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9A" w:rsidRPr="00AE059A" w:rsidRDefault="00D11383" w:rsidP="00F8145E">
      <w:pPr>
        <w:spacing w:before="150" w:after="150"/>
        <w:jc w:val="center"/>
        <w:rPr>
          <w:b/>
          <w:bCs/>
          <w:sz w:val="28"/>
          <w:szCs w:val="28"/>
        </w:rPr>
      </w:pPr>
      <w:r w:rsidRPr="00D11383">
        <w:rPr>
          <w:b/>
          <w:bCs/>
          <w:sz w:val="28"/>
          <w:szCs w:val="28"/>
        </w:rPr>
        <w:t>Ministru kabineta noteikumu projekta „</w:t>
      </w:r>
      <w:r w:rsidRPr="00D11383">
        <w:rPr>
          <w:b/>
          <w:sz w:val="28"/>
          <w:szCs w:val="28"/>
        </w:rPr>
        <w:t>Grozījumi Ministru kabineta 2008.gada 25.augusta noteikumos Nr.684 „Noteikumi par nacionālo numerācijas plānu”</w:t>
      </w:r>
      <w:r w:rsidR="0090432C">
        <w:rPr>
          <w:b/>
          <w:sz w:val="28"/>
          <w:szCs w:val="28"/>
        </w:rPr>
        <w:t>”</w:t>
      </w:r>
      <w:r w:rsidRPr="00D11383">
        <w:rPr>
          <w:b/>
          <w:sz w:val="28"/>
          <w:szCs w:val="28"/>
        </w:rPr>
        <w:t xml:space="preserve"> </w:t>
      </w:r>
      <w:r w:rsidRPr="00D11383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D11383">
          <w:rPr>
            <w:b/>
            <w:bCs/>
            <w:sz w:val="28"/>
            <w:szCs w:val="28"/>
          </w:rPr>
          <w:t>ziņojums</w:t>
        </w:r>
      </w:smartTag>
      <w:r w:rsidRPr="00D11383">
        <w:rPr>
          <w:b/>
          <w:bCs/>
          <w:sz w:val="28"/>
          <w:szCs w:val="28"/>
        </w:rPr>
        <w:t xml:space="preserve"> (anotācija)</w:t>
      </w:r>
    </w:p>
    <w:p w:rsidR="00AE059A" w:rsidRPr="00AE059A" w:rsidRDefault="00D11383" w:rsidP="00F8145E">
      <w:pPr>
        <w:spacing w:before="75" w:after="7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8"/>
        <w:gridCol w:w="2879"/>
        <w:gridCol w:w="5922"/>
      </w:tblGrid>
      <w:tr w:rsidR="00AE059A" w:rsidRPr="00AE059A" w:rsidTr="005F492B">
        <w:trPr>
          <w:tblCellSpacing w:w="0" w:type="dxa"/>
        </w:trPr>
        <w:tc>
          <w:tcPr>
            <w:tcW w:w="9339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E059A" w:rsidRPr="00AE059A" w:rsidRDefault="00D11383" w:rsidP="00092E27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Pr="00D11383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AE059A" w:rsidRPr="00AE059A" w:rsidTr="005F492B">
        <w:trPr>
          <w:trHeight w:val="630"/>
          <w:tblCellSpacing w:w="0" w:type="dxa"/>
        </w:trPr>
        <w:tc>
          <w:tcPr>
            <w:tcW w:w="5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1.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tabs>
                <w:tab w:val="center" w:pos="4153"/>
                <w:tab w:val="right" w:pos="8306"/>
              </w:tabs>
              <w:snapToGrid w:val="0"/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Pamatojums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059A" w:rsidRDefault="00D11383" w:rsidP="00706F17">
            <w:pPr>
              <w:tabs>
                <w:tab w:val="center" w:pos="4153"/>
                <w:tab w:val="num" w:pos="5395"/>
                <w:tab w:val="right" w:pos="8306"/>
              </w:tabs>
              <w:snapToGrid w:val="0"/>
              <w:ind w:left="24" w:right="95"/>
              <w:jc w:val="both"/>
              <w:rPr>
                <w:sz w:val="28"/>
                <w:szCs w:val="28"/>
              </w:rPr>
            </w:pPr>
            <w:r w:rsidRPr="00D11383">
              <w:rPr>
                <w:sz w:val="28"/>
                <w:szCs w:val="28"/>
              </w:rPr>
              <w:t xml:space="preserve">Ministru kabineta noteikumu projekts  „Grozījumi Ministru kabineta 2008.gada 25.augusta noteikumos Nr.684 „Noteikumi par nacionālo numerācijas plānu”” (turpmāk </w:t>
            </w:r>
            <w:r>
              <w:rPr>
                <w:sz w:val="28"/>
                <w:szCs w:val="28"/>
              </w:rPr>
              <w:t>–</w:t>
            </w:r>
            <w:r w:rsidRPr="00D11383">
              <w:rPr>
                <w:sz w:val="28"/>
                <w:szCs w:val="28"/>
              </w:rPr>
              <w:t xml:space="preserve"> noteikumu projekts) izstrādāts saskaņā ar Elektronisko sakaru likuma 56.pantu.</w:t>
            </w:r>
          </w:p>
          <w:p w:rsidR="00706F17" w:rsidRPr="00AE059A" w:rsidRDefault="00706F17" w:rsidP="00706F17">
            <w:pPr>
              <w:tabs>
                <w:tab w:val="center" w:pos="4153"/>
                <w:tab w:val="num" w:pos="5395"/>
                <w:tab w:val="right" w:pos="8306"/>
              </w:tabs>
              <w:snapToGrid w:val="0"/>
              <w:ind w:left="24"/>
              <w:jc w:val="both"/>
              <w:rPr>
                <w:sz w:val="28"/>
                <w:szCs w:val="28"/>
              </w:rPr>
            </w:pPr>
          </w:p>
        </w:tc>
      </w:tr>
      <w:tr w:rsidR="00AE059A" w:rsidRPr="00AE059A" w:rsidTr="005F492B">
        <w:trPr>
          <w:trHeight w:val="472"/>
          <w:tblCellSpacing w:w="0" w:type="dxa"/>
        </w:trPr>
        <w:tc>
          <w:tcPr>
            <w:tcW w:w="5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6501C5" w:rsidRDefault="00D11383" w:rsidP="00092E27">
            <w:pPr>
              <w:spacing w:before="75" w:after="75"/>
              <w:rPr>
                <w:sz w:val="28"/>
                <w:szCs w:val="28"/>
              </w:rPr>
            </w:pPr>
            <w:r w:rsidRPr="006501C5">
              <w:rPr>
                <w:sz w:val="28"/>
                <w:szCs w:val="28"/>
              </w:rPr>
              <w:t> 2.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6501C5" w:rsidRDefault="00D11383" w:rsidP="00092E27">
            <w:pPr>
              <w:spacing w:before="75" w:after="75"/>
              <w:rPr>
                <w:sz w:val="28"/>
                <w:szCs w:val="28"/>
              </w:rPr>
            </w:pPr>
            <w:r w:rsidRPr="006501C5">
              <w:rPr>
                <w:sz w:val="28"/>
                <w:szCs w:val="28"/>
              </w:rPr>
              <w:t> Pašreizējā situācija un problēmas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059A" w:rsidRPr="00AE059A" w:rsidRDefault="00D11383" w:rsidP="00706F17">
            <w:pPr>
              <w:ind w:right="95"/>
              <w:jc w:val="both"/>
              <w:rPr>
                <w:sz w:val="28"/>
                <w:szCs w:val="28"/>
              </w:rPr>
            </w:pPr>
            <w:r w:rsidRPr="00D11383">
              <w:rPr>
                <w:sz w:val="28"/>
                <w:szCs w:val="28"/>
              </w:rPr>
              <w:t xml:space="preserve">Ministru kabineta 2008.gada 25.augusta noteikumu Nr.684 „Noteikumi par nacionālo numerācijas plānu” (turpmāk </w:t>
            </w:r>
            <w:r>
              <w:rPr>
                <w:sz w:val="28"/>
                <w:szCs w:val="28"/>
              </w:rPr>
              <w:t>–</w:t>
            </w:r>
            <w:r w:rsidRPr="00D11383">
              <w:rPr>
                <w:sz w:val="28"/>
                <w:szCs w:val="28"/>
              </w:rPr>
              <w:t xml:space="preserve"> Numerācijas </w:t>
            </w:r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Pr="00D11383">
                <w:rPr>
                  <w:sz w:val="28"/>
                  <w:szCs w:val="28"/>
                </w:rPr>
                <w:t>plāns</w:t>
              </w:r>
            </w:smartTag>
            <w:r w:rsidRPr="00D11383">
              <w:rPr>
                <w:sz w:val="28"/>
                <w:szCs w:val="28"/>
              </w:rPr>
              <w:t>) 2.pielikums paredz numuru un kodu sadalījumu</w:t>
            </w:r>
            <w:r w:rsidR="001A39B1">
              <w:rPr>
                <w:sz w:val="28"/>
                <w:szCs w:val="28"/>
              </w:rPr>
              <w:t>,</w:t>
            </w:r>
            <w:r w:rsidRPr="00D11383">
              <w:rPr>
                <w:sz w:val="28"/>
                <w:szCs w:val="28"/>
              </w:rPr>
              <w:t xml:space="preserve"> tai skaitā publiskā fiksēto telefonu tīkla un cit</w:t>
            </w:r>
            <w:r w:rsidR="000D64F2">
              <w:rPr>
                <w:sz w:val="28"/>
                <w:szCs w:val="28"/>
              </w:rPr>
              <w:t>u</w:t>
            </w:r>
            <w:r w:rsidRPr="00D11383">
              <w:rPr>
                <w:sz w:val="28"/>
                <w:szCs w:val="28"/>
              </w:rPr>
              <w:t xml:space="preserve"> veid</w:t>
            </w:r>
            <w:r w:rsidR="000D64F2">
              <w:rPr>
                <w:sz w:val="28"/>
                <w:szCs w:val="28"/>
              </w:rPr>
              <w:t>u</w:t>
            </w:r>
            <w:r w:rsidRPr="00D11383">
              <w:rPr>
                <w:sz w:val="28"/>
                <w:szCs w:val="28"/>
              </w:rPr>
              <w:t xml:space="preserve"> neģeogrāfisko numuru sadalījumus. </w:t>
            </w:r>
          </w:p>
          <w:p w:rsidR="00AE059A" w:rsidRPr="00AE059A" w:rsidRDefault="00D11383" w:rsidP="00706F17">
            <w:pPr>
              <w:ind w:right="95"/>
              <w:jc w:val="both"/>
              <w:rPr>
                <w:sz w:val="28"/>
                <w:szCs w:val="28"/>
              </w:rPr>
            </w:pPr>
            <w:r w:rsidRPr="00D11383">
              <w:rPr>
                <w:sz w:val="28"/>
                <w:szCs w:val="28"/>
              </w:rPr>
              <w:t>Ņemot vērā elektronisko sakaru komersantu pieprasījumu statistiku par numerācijas lietošanas tiesību piešķiršanu 2009.gadā, Sabiedrisko pakalpojumu regulēšanas komisija paredz, ka nevarēs piešķirt numerācijas lietošanas tiesības pakalpojumu sniegšanai cit</w:t>
            </w:r>
            <w:r w:rsidR="000D64F2">
              <w:rPr>
                <w:sz w:val="28"/>
                <w:szCs w:val="28"/>
              </w:rPr>
              <w:t>u</w:t>
            </w:r>
            <w:r w:rsidRPr="00D11383">
              <w:rPr>
                <w:sz w:val="28"/>
                <w:szCs w:val="28"/>
              </w:rPr>
              <w:t xml:space="preserve"> veid</w:t>
            </w:r>
            <w:r w:rsidR="000D64F2">
              <w:rPr>
                <w:sz w:val="28"/>
                <w:szCs w:val="28"/>
              </w:rPr>
              <w:t>u</w:t>
            </w:r>
            <w:r w:rsidRPr="00D11383">
              <w:rPr>
                <w:sz w:val="28"/>
                <w:szCs w:val="28"/>
              </w:rPr>
              <w:t xml:space="preserve"> neģeogrāfiskiem pakalpojumiem, jo atlicis maz brīvu numuru.</w:t>
            </w:r>
          </w:p>
          <w:p w:rsidR="00AE059A" w:rsidRPr="00AE059A" w:rsidRDefault="00D11383" w:rsidP="00706F17">
            <w:pPr>
              <w:ind w:right="95"/>
              <w:jc w:val="both"/>
              <w:rPr>
                <w:sz w:val="28"/>
                <w:szCs w:val="28"/>
              </w:rPr>
            </w:pPr>
            <w:r w:rsidRPr="00D11383">
              <w:rPr>
                <w:sz w:val="28"/>
                <w:szCs w:val="28"/>
              </w:rPr>
              <w:t>Lai nodrošinātu pieņemtā lēmuma ilgtermiņa risinājumu, neģeogrāfiskās numerācijas cit</w:t>
            </w:r>
            <w:r w:rsidR="000D64F2">
              <w:rPr>
                <w:sz w:val="28"/>
                <w:szCs w:val="28"/>
              </w:rPr>
              <w:t>u</w:t>
            </w:r>
            <w:r w:rsidRPr="00D11383">
              <w:rPr>
                <w:sz w:val="28"/>
                <w:szCs w:val="28"/>
              </w:rPr>
              <w:t xml:space="preserve"> veid</w:t>
            </w:r>
            <w:r w:rsidR="000D64F2">
              <w:rPr>
                <w:sz w:val="28"/>
                <w:szCs w:val="28"/>
              </w:rPr>
              <w:t>u</w:t>
            </w:r>
            <w:r w:rsidRPr="00D11383">
              <w:rPr>
                <w:sz w:val="28"/>
                <w:szCs w:val="28"/>
              </w:rPr>
              <w:t xml:space="preserve"> pakalpojum</w:t>
            </w:r>
            <w:r w:rsidR="00F036A1">
              <w:rPr>
                <w:sz w:val="28"/>
                <w:szCs w:val="28"/>
              </w:rPr>
              <w:t>u</w:t>
            </w:r>
            <w:r w:rsidRPr="00D11383">
              <w:rPr>
                <w:sz w:val="28"/>
                <w:szCs w:val="28"/>
              </w:rPr>
              <w:t xml:space="preserve"> numuriem, kuri šobrīd sākas ar numerācijas indeksiem „685XXXXX” un „689XXXXX”, paredzēts piešķirt brīvu  numerācijas indeksu diapazonā „785XXXXX </w:t>
            </w:r>
            <w:r>
              <w:rPr>
                <w:sz w:val="28"/>
                <w:szCs w:val="28"/>
              </w:rPr>
              <w:t>–</w:t>
            </w:r>
            <w:r w:rsidRPr="00D11383">
              <w:rPr>
                <w:sz w:val="28"/>
                <w:szCs w:val="28"/>
              </w:rPr>
              <w:t xml:space="preserve"> 789XXXXX”. </w:t>
            </w:r>
          </w:p>
          <w:p w:rsidR="00FD7FA2" w:rsidRPr="00AE059A" w:rsidRDefault="00D11383" w:rsidP="00815618">
            <w:pPr>
              <w:spacing w:after="240"/>
              <w:ind w:right="95"/>
              <w:jc w:val="both"/>
              <w:rPr>
                <w:sz w:val="28"/>
                <w:szCs w:val="28"/>
              </w:rPr>
            </w:pPr>
            <w:r w:rsidRPr="00D11383">
              <w:rPr>
                <w:sz w:val="28"/>
                <w:szCs w:val="28"/>
              </w:rPr>
              <w:t xml:space="preserve">Esošo neģeogrāfisko numerāciju ar numerācijas indeksiem „685XXXXX” un „689XXXXX” paredzēts iekļaut galalietotāju abonenta līnijas pieslēgumam publiskajā fiksēto telefonu tīklā, nosakot kā ģeogrāfisko numerāciju. Līdz ar to viss </w:t>
            </w:r>
            <w:r w:rsidRPr="00D11383">
              <w:rPr>
                <w:sz w:val="28"/>
                <w:szCs w:val="28"/>
              </w:rPr>
              <w:lastRenderedPageBreak/>
              <w:t xml:space="preserve">numerācijas diapazons, kas sākas ar „6”, turpmāk tiek paredzēts ģeogrāfiskai numerācijai, savukārt,  </w:t>
            </w:r>
            <w:r w:rsidR="009A1DEF" w:rsidRPr="00D11383">
              <w:rPr>
                <w:sz w:val="28"/>
                <w:szCs w:val="28"/>
              </w:rPr>
              <w:t>cit</w:t>
            </w:r>
            <w:r w:rsidR="00815618">
              <w:rPr>
                <w:sz w:val="28"/>
                <w:szCs w:val="28"/>
              </w:rPr>
              <w:t>u</w:t>
            </w:r>
            <w:r w:rsidR="009A1DEF" w:rsidRPr="00D11383">
              <w:rPr>
                <w:sz w:val="28"/>
                <w:szCs w:val="28"/>
              </w:rPr>
              <w:t xml:space="preserve"> veid</w:t>
            </w:r>
            <w:r w:rsidR="00815618">
              <w:rPr>
                <w:sz w:val="28"/>
                <w:szCs w:val="28"/>
              </w:rPr>
              <w:t>u</w:t>
            </w:r>
            <w:r w:rsidR="009A1DEF" w:rsidRPr="00D11383">
              <w:rPr>
                <w:sz w:val="28"/>
                <w:szCs w:val="28"/>
              </w:rPr>
              <w:t xml:space="preserve"> neģeogrāfiskiem pakalpojumiem </w:t>
            </w:r>
            <w:r w:rsidRPr="00D11383">
              <w:rPr>
                <w:sz w:val="28"/>
                <w:szCs w:val="28"/>
              </w:rPr>
              <w:t xml:space="preserve">tiek paredzēta numerācija, kas sākas ar „7”. </w:t>
            </w:r>
          </w:p>
        </w:tc>
      </w:tr>
      <w:tr w:rsidR="00AE059A" w:rsidRPr="00AE059A" w:rsidTr="005F492B">
        <w:trPr>
          <w:trHeight w:val="797"/>
          <w:tblCellSpacing w:w="0" w:type="dxa"/>
        </w:trPr>
        <w:tc>
          <w:tcPr>
            <w:tcW w:w="5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  <w:r w:rsidRPr="00D11383">
              <w:rPr>
                <w:sz w:val="28"/>
                <w:szCs w:val="28"/>
              </w:rPr>
              <w:t>3.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tabs>
                <w:tab w:val="center" w:pos="4153"/>
                <w:tab w:val="right" w:pos="8306"/>
              </w:tabs>
              <w:snapToGrid w:val="0"/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Saistītie politikas ietekmes novērtējumi  un pētījumi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059A" w:rsidRPr="00AE059A" w:rsidRDefault="00D11383" w:rsidP="00706F17">
            <w:pPr>
              <w:tabs>
                <w:tab w:val="center" w:pos="4153"/>
                <w:tab w:val="right" w:pos="8306"/>
              </w:tabs>
              <w:snapToGrid w:val="0"/>
              <w:spacing w:before="75" w:after="75"/>
              <w:ind w:right="95"/>
              <w:rPr>
                <w:sz w:val="28"/>
                <w:szCs w:val="28"/>
              </w:rPr>
            </w:pPr>
            <w:r w:rsidRPr="00D11383">
              <w:rPr>
                <w:sz w:val="28"/>
                <w:szCs w:val="28"/>
              </w:rPr>
              <w:t>Nav attiecināms.</w:t>
            </w:r>
          </w:p>
        </w:tc>
      </w:tr>
      <w:tr w:rsidR="00AE059A" w:rsidRPr="00AE059A" w:rsidTr="005F492B">
        <w:trPr>
          <w:trHeight w:val="384"/>
          <w:tblCellSpacing w:w="0" w:type="dxa"/>
        </w:trPr>
        <w:tc>
          <w:tcPr>
            <w:tcW w:w="5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tabs>
                <w:tab w:val="center" w:pos="4153"/>
                <w:tab w:val="right" w:pos="8306"/>
              </w:tabs>
              <w:snapToGrid w:val="0"/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4.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242107" w:rsidRDefault="00D11383" w:rsidP="00092E27">
            <w:pPr>
              <w:tabs>
                <w:tab w:val="center" w:pos="4153"/>
                <w:tab w:val="right" w:pos="8306"/>
              </w:tabs>
              <w:snapToGrid w:val="0"/>
              <w:spacing w:before="75" w:after="75"/>
              <w:rPr>
                <w:sz w:val="28"/>
                <w:szCs w:val="28"/>
              </w:rPr>
            </w:pPr>
            <w:r w:rsidRPr="00242107">
              <w:rPr>
                <w:sz w:val="28"/>
                <w:szCs w:val="28"/>
              </w:rPr>
              <w:t> Tiesiskā regulējuma mērķis un būtība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059A" w:rsidRPr="00AE059A" w:rsidRDefault="00FD7FA2" w:rsidP="00815618">
            <w:pPr>
              <w:tabs>
                <w:tab w:val="center" w:pos="4153"/>
                <w:tab w:val="right" w:pos="8306"/>
              </w:tabs>
              <w:snapToGrid w:val="0"/>
              <w:spacing w:before="75" w:after="75"/>
              <w:ind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D11383">
              <w:rPr>
                <w:sz w:val="28"/>
                <w:szCs w:val="28"/>
              </w:rPr>
              <w:t>it</w:t>
            </w:r>
            <w:r w:rsidR="00815618">
              <w:rPr>
                <w:sz w:val="28"/>
                <w:szCs w:val="28"/>
              </w:rPr>
              <w:t>u</w:t>
            </w:r>
            <w:r w:rsidRPr="00D11383">
              <w:rPr>
                <w:sz w:val="28"/>
                <w:szCs w:val="28"/>
              </w:rPr>
              <w:t xml:space="preserve"> veid</w:t>
            </w:r>
            <w:r w:rsidR="00815618">
              <w:rPr>
                <w:sz w:val="28"/>
                <w:szCs w:val="28"/>
              </w:rPr>
              <w:t>u</w:t>
            </w:r>
            <w:r w:rsidRPr="00D11383">
              <w:rPr>
                <w:sz w:val="28"/>
                <w:szCs w:val="28"/>
              </w:rPr>
              <w:t xml:space="preserve"> neģeogrāfiskiem pakalpojumiem</w:t>
            </w:r>
            <w:r w:rsidR="00D11383" w:rsidRPr="00D11383">
              <w:rPr>
                <w:sz w:val="28"/>
                <w:szCs w:val="28"/>
              </w:rPr>
              <w:t xml:space="preserve"> iedalīt diapazonu kas sākas ar „7” un visu numerācijas diapazonu, kas sākas ar „6”, turpmāk paredzēt ģeogrāfiskai numerācijai.</w:t>
            </w:r>
          </w:p>
        </w:tc>
      </w:tr>
      <w:tr w:rsidR="00AE059A" w:rsidRPr="00AE059A" w:rsidTr="005F492B">
        <w:trPr>
          <w:trHeight w:val="476"/>
          <w:tblCellSpacing w:w="0" w:type="dxa"/>
        </w:trPr>
        <w:tc>
          <w:tcPr>
            <w:tcW w:w="5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5.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242107" w:rsidRDefault="00D11383" w:rsidP="00092E27">
            <w:pPr>
              <w:spacing w:before="75" w:after="75"/>
              <w:rPr>
                <w:sz w:val="28"/>
                <w:szCs w:val="28"/>
              </w:rPr>
            </w:pPr>
            <w:r w:rsidRPr="00242107">
              <w:rPr>
                <w:sz w:val="28"/>
                <w:szCs w:val="28"/>
              </w:rPr>
              <w:t> Projekta izstrādē iesaistītās institūcijas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12C4" w:rsidRPr="00AE059A" w:rsidRDefault="00D11383" w:rsidP="0080481B">
            <w:pPr>
              <w:spacing w:before="75" w:after="75"/>
              <w:ind w:right="95"/>
              <w:jc w:val="both"/>
              <w:rPr>
                <w:sz w:val="28"/>
                <w:szCs w:val="28"/>
              </w:rPr>
            </w:pPr>
            <w:r w:rsidRPr="00D11383">
              <w:rPr>
                <w:sz w:val="28"/>
                <w:szCs w:val="28"/>
              </w:rPr>
              <w:t xml:space="preserve">Noteikumu projekts sagatavots konsultējoties ar Numerācijas koordinācijas darba grupas ekspertiem, kuri pārstāv Latvijas Informācijas un komunikācijas tehnoloģijas asociāciju, </w:t>
            </w:r>
            <w:r w:rsidR="0080481B" w:rsidRPr="00D11383">
              <w:rPr>
                <w:sz w:val="28"/>
                <w:szCs w:val="28"/>
              </w:rPr>
              <w:t>Latvijas Telekomunikāciju asociāciju</w:t>
            </w:r>
            <w:r w:rsidR="0080481B">
              <w:rPr>
                <w:sz w:val="28"/>
                <w:szCs w:val="28"/>
              </w:rPr>
              <w:t xml:space="preserve">, </w:t>
            </w:r>
            <w:r w:rsidR="0080481B" w:rsidRPr="00EC19DD">
              <w:rPr>
                <w:sz w:val="28"/>
                <w:szCs w:val="28"/>
              </w:rPr>
              <w:t>Latvijas Elektrotehnikas un elektronikas r</w:t>
            </w:r>
            <w:r w:rsidR="0080481B">
              <w:rPr>
                <w:sz w:val="28"/>
                <w:szCs w:val="28"/>
              </w:rPr>
              <w:t xml:space="preserve">ūpniecības asociāciju, Satiksmes ministriju, </w:t>
            </w:r>
            <w:r w:rsidRPr="00D11383">
              <w:rPr>
                <w:sz w:val="28"/>
                <w:szCs w:val="28"/>
              </w:rPr>
              <w:t xml:space="preserve">Sabiedrisko pakalpojumu regulēšanas komisiju un </w:t>
            </w:r>
            <w:r w:rsidR="0080481B">
              <w:rPr>
                <w:sz w:val="28"/>
                <w:szCs w:val="28"/>
              </w:rPr>
              <w:t>Valsts akciju sabiedrību</w:t>
            </w:r>
            <w:r w:rsidR="0080481B" w:rsidRPr="00EC19DD">
              <w:rPr>
                <w:sz w:val="28"/>
                <w:szCs w:val="28"/>
              </w:rPr>
              <w:t xml:space="preserve"> „Elektronisko sakaru direkcija”</w:t>
            </w:r>
            <w:r w:rsidR="0080481B">
              <w:rPr>
                <w:sz w:val="28"/>
                <w:szCs w:val="28"/>
              </w:rPr>
              <w:t>.</w:t>
            </w:r>
          </w:p>
        </w:tc>
      </w:tr>
      <w:tr w:rsidR="00AE059A" w:rsidRPr="00AE059A" w:rsidTr="005F492B">
        <w:trPr>
          <w:trHeight w:val="953"/>
          <w:tblCellSpacing w:w="0" w:type="dxa"/>
        </w:trPr>
        <w:tc>
          <w:tcPr>
            <w:tcW w:w="5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6.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242107" w:rsidRDefault="00D11383" w:rsidP="00092E27">
            <w:pPr>
              <w:spacing w:before="75" w:after="75"/>
              <w:rPr>
                <w:sz w:val="28"/>
                <w:szCs w:val="28"/>
              </w:rPr>
            </w:pPr>
            <w:r w:rsidRPr="00242107">
              <w:rPr>
                <w:sz w:val="28"/>
                <w:szCs w:val="28"/>
              </w:rPr>
              <w:t> Iemesli, kādēļ netika nodrošināta sabiedrības līdzdalība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1C5" w:rsidRDefault="00D11383" w:rsidP="00706F17">
            <w:pPr>
              <w:spacing w:before="75" w:after="75"/>
              <w:ind w:right="95"/>
              <w:jc w:val="both"/>
              <w:rPr>
                <w:sz w:val="28"/>
                <w:szCs w:val="28"/>
              </w:rPr>
            </w:pPr>
            <w:r w:rsidRPr="00D11383">
              <w:rPr>
                <w:sz w:val="28"/>
                <w:szCs w:val="28"/>
              </w:rPr>
              <w:t xml:space="preserve">Sabiedrības līdzdalība noteikumu projekta izstrādē nebija nepieciešama, jo noteikumu projektā paredzētās izmaiņas neskar gala lietotājus. </w:t>
            </w:r>
          </w:p>
        </w:tc>
      </w:tr>
      <w:tr w:rsidR="00AE059A" w:rsidRPr="00AE059A" w:rsidTr="005F492B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tabs>
                <w:tab w:val="center" w:pos="4153"/>
                <w:tab w:val="right" w:pos="8306"/>
              </w:tabs>
              <w:snapToGrid w:val="0"/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7.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tabs>
                <w:tab w:val="center" w:pos="4153"/>
                <w:tab w:val="right" w:pos="8306"/>
              </w:tabs>
              <w:snapToGrid w:val="0"/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Cita informācija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059A" w:rsidRPr="00AE059A" w:rsidRDefault="001812C4" w:rsidP="001812C4">
            <w:pPr>
              <w:spacing w:before="75" w:after="75"/>
              <w:ind w:right="95"/>
              <w:jc w:val="both"/>
              <w:rPr>
                <w:sz w:val="28"/>
                <w:szCs w:val="28"/>
              </w:rPr>
            </w:pPr>
            <w:r w:rsidRPr="001812C4">
              <w:rPr>
                <w:sz w:val="28"/>
                <w:szCs w:val="28"/>
              </w:rPr>
              <w:t xml:space="preserve">Ņemot vērā </w:t>
            </w:r>
            <w:r>
              <w:rPr>
                <w:sz w:val="28"/>
                <w:szCs w:val="28"/>
              </w:rPr>
              <w:t>veicamo darbu apjomu</w:t>
            </w:r>
            <w:r w:rsidRPr="001812C4">
              <w:rPr>
                <w:sz w:val="28"/>
                <w:szCs w:val="28"/>
              </w:rPr>
              <w:t xml:space="preserve"> atbilstošā num</w:t>
            </w:r>
            <w:r>
              <w:rPr>
                <w:sz w:val="28"/>
                <w:szCs w:val="28"/>
              </w:rPr>
              <w:t>erācijas diapazona atbrīvošanai,</w:t>
            </w:r>
            <w:r w:rsidRPr="001812C4">
              <w:rPr>
                <w:sz w:val="28"/>
                <w:szCs w:val="28"/>
              </w:rPr>
              <w:t xml:space="preserve"> pārejas periods</w:t>
            </w:r>
            <w:r>
              <w:rPr>
                <w:sz w:val="28"/>
                <w:szCs w:val="28"/>
              </w:rPr>
              <w:t xml:space="preserve">  </w:t>
            </w:r>
            <w:r w:rsidRPr="001812C4">
              <w:rPr>
                <w:sz w:val="28"/>
                <w:szCs w:val="28"/>
              </w:rPr>
              <w:t xml:space="preserve">nevar būt īsāks par </w:t>
            </w:r>
            <w:r>
              <w:rPr>
                <w:sz w:val="28"/>
                <w:szCs w:val="28"/>
              </w:rPr>
              <w:t>sešiem</w:t>
            </w:r>
            <w:r w:rsidRPr="001812C4">
              <w:rPr>
                <w:sz w:val="28"/>
                <w:szCs w:val="28"/>
              </w:rPr>
              <w:t xml:space="preserve"> mēnešiem kopš brīža, kad noteikumu grozījumi stājas spēkā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059A" w:rsidRPr="00AE059A" w:rsidRDefault="00D11383" w:rsidP="00F8145E">
      <w:pPr>
        <w:spacing w:before="75" w:after="7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9"/>
        <w:gridCol w:w="4164"/>
        <w:gridCol w:w="4646"/>
      </w:tblGrid>
      <w:tr w:rsidR="00AE059A" w:rsidRPr="00AE059A" w:rsidTr="00B14413">
        <w:trPr>
          <w:tblCellSpacing w:w="0" w:type="dxa"/>
        </w:trPr>
        <w:tc>
          <w:tcPr>
            <w:tcW w:w="9339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E059A" w:rsidRPr="00AE059A" w:rsidRDefault="00D11383" w:rsidP="00092E27">
            <w:pPr>
              <w:spacing w:before="150"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Pr="00D11383">
              <w:rPr>
                <w:b/>
                <w:bCs/>
                <w:sz w:val="28"/>
                <w:szCs w:val="28"/>
              </w:rPr>
              <w:t>II. Tiesību akta projekta ietekme uz sabiedrību</w:t>
            </w:r>
          </w:p>
        </w:tc>
      </w:tr>
      <w:tr w:rsidR="00AE059A" w:rsidRPr="00AE059A" w:rsidTr="00404339">
        <w:trPr>
          <w:trHeight w:val="467"/>
          <w:tblCellSpacing w:w="0" w:type="dxa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1.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242107">
              <w:rPr>
                <w:sz w:val="28"/>
                <w:szCs w:val="28"/>
              </w:rPr>
              <w:t xml:space="preserve">Sabiedrības </w:t>
            </w:r>
            <w:proofErr w:type="spellStart"/>
            <w:r w:rsidRPr="00242107">
              <w:rPr>
                <w:sz w:val="28"/>
                <w:szCs w:val="28"/>
              </w:rPr>
              <w:t>mērķgrupa</w:t>
            </w:r>
            <w:proofErr w:type="spellEnd"/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1C5" w:rsidRDefault="006501C5">
            <w:pPr>
              <w:spacing w:before="75" w:after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Elektronisko sakaru komersanti</w:t>
            </w:r>
          </w:p>
          <w:p w:rsidR="00AE059A" w:rsidRPr="00AE059A" w:rsidRDefault="00AE059A" w:rsidP="004212E8">
            <w:pPr>
              <w:keepNext/>
              <w:spacing w:before="75" w:after="75"/>
              <w:rPr>
                <w:sz w:val="28"/>
                <w:szCs w:val="28"/>
              </w:rPr>
            </w:pPr>
          </w:p>
        </w:tc>
      </w:tr>
      <w:tr w:rsidR="00AE059A" w:rsidRPr="00AE059A" w:rsidTr="00404339">
        <w:trPr>
          <w:trHeight w:val="523"/>
          <w:tblCellSpacing w:w="0" w:type="dxa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242107" w:rsidRDefault="00D11383" w:rsidP="00092E27">
            <w:pPr>
              <w:spacing w:before="75" w:after="75"/>
              <w:rPr>
                <w:sz w:val="28"/>
                <w:szCs w:val="28"/>
              </w:rPr>
            </w:pPr>
            <w:r w:rsidRPr="00242107">
              <w:rPr>
                <w:sz w:val="28"/>
                <w:szCs w:val="28"/>
              </w:rPr>
              <w:t> 2.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242107" w:rsidRDefault="00D11383" w:rsidP="00092E27">
            <w:pPr>
              <w:spacing w:before="75" w:after="75"/>
              <w:rPr>
                <w:sz w:val="28"/>
                <w:szCs w:val="28"/>
              </w:rPr>
            </w:pPr>
            <w:r w:rsidRPr="00242107">
              <w:rPr>
                <w:sz w:val="28"/>
                <w:szCs w:val="28"/>
              </w:rPr>
              <w:t xml:space="preserve"> Citas sabiedrības grupas (bez </w:t>
            </w:r>
            <w:proofErr w:type="spellStart"/>
            <w:r w:rsidRPr="00242107">
              <w:rPr>
                <w:sz w:val="28"/>
                <w:szCs w:val="28"/>
              </w:rPr>
              <w:t>mērķgrupas</w:t>
            </w:r>
            <w:proofErr w:type="spellEnd"/>
            <w:r w:rsidRPr="00242107">
              <w:rPr>
                <w:sz w:val="28"/>
                <w:szCs w:val="28"/>
              </w:rPr>
              <w:t xml:space="preserve">), kuras tiesiskais </w:t>
            </w:r>
            <w:r w:rsidRPr="00242107">
              <w:rPr>
                <w:sz w:val="28"/>
                <w:szCs w:val="28"/>
              </w:rPr>
              <w:lastRenderedPageBreak/>
              <w:t>regulējums arī ietekmē vai varētu ietekmēt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059A" w:rsidRPr="00AE059A" w:rsidRDefault="00D11383" w:rsidP="00096874">
            <w:pPr>
              <w:spacing w:before="75" w:after="75"/>
              <w:rPr>
                <w:sz w:val="28"/>
                <w:szCs w:val="28"/>
              </w:rPr>
            </w:pPr>
            <w:r w:rsidRPr="00D11383">
              <w:rPr>
                <w:sz w:val="28"/>
                <w:szCs w:val="28"/>
              </w:rPr>
              <w:lastRenderedPageBreak/>
              <w:t>Nav attiecināms.</w:t>
            </w:r>
          </w:p>
        </w:tc>
      </w:tr>
      <w:tr w:rsidR="00AE059A" w:rsidRPr="00AE059A" w:rsidTr="00404339">
        <w:trPr>
          <w:trHeight w:val="517"/>
          <w:tblCellSpacing w:w="0" w:type="dxa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242107" w:rsidRDefault="00D11383" w:rsidP="00092E27">
            <w:pPr>
              <w:spacing w:before="75" w:after="75"/>
              <w:rPr>
                <w:sz w:val="28"/>
                <w:szCs w:val="28"/>
              </w:rPr>
            </w:pPr>
            <w:r w:rsidRPr="00242107">
              <w:rPr>
                <w:sz w:val="28"/>
                <w:szCs w:val="28"/>
              </w:rPr>
              <w:lastRenderedPageBreak/>
              <w:t> 3.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242107" w:rsidRDefault="00D11383" w:rsidP="00092E27">
            <w:pPr>
              <w:spacing w:before="75" w:after="75"/>
              <w:rPr>
                <w:sz w:val="28"/>
                <w:szCs w:val="28"/>
              </w:rPr>
            </w:pPr>
            <w:r w:rsidRPr="00242107">
              <w:rPr>
                <w:sz w:val="28"/>
                <w:szCs w:val="28"/>
              </w:rPr>
              <w:t> Tiesiskā regulējuma finansiālā ietekme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 w:rsidRPr="00D11383">
              <w:rPr>
                <w:sz w:val="28"/>
                <w:szCs w:val="28"/>
              </w:rPr>
              <w:t>Nav attiecināms.</w:t>
            </w:r>
          </w:p>
          <w:p w:rsidR="00AE059A" w:rsidRPr="00AE059A" w:rsidRDefault="00AE059A" w:rsidP="005F492B">
            <w:pPr>
              <w:spacing w:before="75" w:after="75"/>
              <w:rPr>
                <w:sz w:val="28"/>
                <w:szCs w:val="28"/>
              </w:rPr>
            </w:pPr>
          </w:p>
        </w:tc>
      </w:tr>
      <w:tr w:rsidR="00AE059A" w:rsidRPr="00AE059A" w:rsidTr="00404339">
        <w:trPr>
          <w:trHeight w:val="517"/>
          <w:tblCellSpacing w:w="0" w:type="dxa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242107" w:rsidRDefault="00D11383" w:rsidP="00092E27">
            <w:pPr>
              <w:spacing w:before="75" w:after="75"/>
              <w:rPr>
                <w:sz w:val="28"/>
                <w:szCs w:val="28"/>
              </w:rPr>
            </w:pPr>
            <w:r w:rsidRPr="00242107">
              <w:rPr>
                <w:sz w:val="28"/>
                <w:szCs w:val="28"/>
              </w:rPr>
              <w:t> 4.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242107" w:rsidRDefault="00D11383" w:rsidP="00092E27">
            <w:pPr>
              <w:spacing w:before="75" w:after="75"/>
              <w:rPr>
                <w:sz w:val="28"/>
                <w:szCs w:val="28"/>
              </w:rPr>
            </w:pPr>
            <w:r w:rsidRPr="00242107">
              <w:rPr>
                <w:sz w:val="28"/>
                <w:szCs w:val="28"/>
              </w:rPr>
              <w:t> Tiesiskā regulējuma nefinansiālā ietekme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059A" w:rsidRPr="00AE059A" w:rsidRDefault="00D11383" w:rsidP="002A1C00">
            <w:pPr>
              <w:spacing w:before="75" w:after="75"/>
              <w:ind w:right="95"/>
              <w:jc w:val="both"/>
              <w:rPr>
                <w:sz w:val="28"/>
                <w:szCs w:val="28"/>
              </w:rPr>
            </w:pPr>
            <w:r w:rsidRPr="00D11383">
              <w:rPr>
                <w:sz w:val="28"/>
                <w:szCs w:val="28"/>
              </w:rPr>
              <w:t>Publiskā fiksēto telefonu tīkla (ģeogrāfiskās numerācijas) un cit</w:t>
            </w:r>
            <w:r w:rsidR="002A1C00">
              <w:rPr>
                <w:sz w:val="28"/>
                <w:szCs w:val="28"/>
              </w:rPr>
              <w:t>u</w:t>
            </w:r>
            <w:r w:rsidRPr="00D11383">
              <w:rPr>
                <w:sz w:val="28"/>
                <w:szCs w:val="28"/>
              </w:rPr>
              <w:t xml:space="preserve"> veid</w:t>
            </w:r>
            <w:r w:rsidR="002A1C00">
              <w:rPr>
                <w:sz w:val="28"/>
                <w:szCs w:val="28"/>
              </w:rPr>
              <w:t>u</w:t>
            </w:r>
            <w:r w:rsidRPr="00D11383">
              <w:rPr>
                <w:sz w:val="28"/>
                <w:szCs w:val="28"/>
              </w:rPr>
              <w:t xml:space="preserve"> pakalpojum</w:t>
            </w:r>
            <w:r w:rsidR="0044544E">
              <w:rPr>
                <w:sz w:val="28"/>
                <w:szCs w:val="28"/>
              </w:rPr>
              <w:t>u</w:t>
            </w:r>
            <w:r w:rsidRPr="00D11383">
              <w:rPr>
                <w:sz w:val="28"/>
                <w:szCs w:val="28"/>
              </w:rPr>
              <w:t xml:space="preserve"> numuru (neģeogrāfiskās numerācijas) </w:t>
            </w:r>
            <w:r w:rsidR="002A1C00">
              <w:rPr>
                <w:sz w:val="28"/>
                <w:szCs w:val="28"/>
              </w:rPr>
              <w:t>kapacitātes</w:t>
            </w:r>
            <w:r w:rsidRPr="00D11383">
              <w:rPr>
                <w:sz w:val="28"/>
                <w:szCs w:val="28"/>
              </w:rPr>
              <w:t xml:space="preserve"> paplašināšana. </w:t>
            </w:r>
          </w:p>
        </w:tc>
      </w:tr>
      <w:tr w:rsidR="00AE059A" w:rsidRPr="00AE059A" w:rsidTr="00404339">
        <w:trPr>
          <w:trHeight w:val="531"/>
          <w:tblCellSpacing w:w="0" w:type="dxa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5.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Nav attiecināms.</w:t>
            </w:r>
          </w:p>
        </w:tc>
      </w:tr>
      <w:tr w:rsidR="00AE059A" w:rsidRPr="00AE059A" w:rsidTr="00404339">
        <w:trPr>
          <w:trHeight w:val="357"/>
          <w:tblCellSpacing w:w="0" w:type="dxa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6.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Nav attiecināms.</w:t>
            </w:r>
          </w:p>
        </w:tc>
      </w:tr>
      <w:tr w:rsidR="00AE059A" w:rsidRPr="00AE059A" w:rsidTr="00404339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7.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Cita informācija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059A" w:rsidRPr="00AE059A" w:rsidRDefault="00D11383" w:rsidP="00092E2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11383">
              <w:rPr>
                <w:sz w:val="28"/>
                <w:szCs w:val="28"/>
              </w:rPr>
              <w:t>Nav.</w:t>
            </w:r>
          </w:p>
        </w:tc>
      </w:tr>
    </w:tbl>
    <w:p w:rsidR="00AE059A" w:rsidRPr="00AE059A" w:rsidRDefault="00D11383" w:rsidP="00F8145E">
      <w:pPr>
        <w:spacing w:before="75" w:after="75"/>
        <w:ind w:firstLine="3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 </w:t>
      </w:r>
      <w:r w:rsidRPr="00D11383">
        <w:rPr>
          <w:i/>
          <w:sz w:val="28"/>
          <w:szCs w:val="28"/>
        </w:rPr>
        <w:t xml:space="preserve">Anotācijas III - VII  sadaļa </w:t>
      </w:r>
      <w:r>
        <w:rPr>
          <w:i/>
          <w:sz w:val="28"/>
          <w:szCs w:val="28"/>
        </w:rPr>
        <w:t>–</w:t>
      </w:r>
      <w:r w:rsidRPr="00D11383">
        <w:rPr>
          <w:i/>
          <w:sz w:val="28"/>
          <w:szCs w:val="28"/>
        </w:rPr>
        <w:t xml:space="preserve"> nav attiecināma. </w:t>
      </w:r>
    </w:p>
    <w:p w:rsidR="00AE059A" w:rsidRPr="00AE059A" w:rsidRDefault="00AE059A" w:rsidP="00A16100">
      <w:pPr>
        <w:jc w:val="both"/>
        <w:rPr>
          <w:sz w:val="28"/>
          <w:szCs w:val="28"/>
        </w:rPr>
      </w:pPr>
    </w:p>
    <w:p w:rsidR="00AE059A" w:rsidRPr="00AE059A" w:rsidRDefault="00AE059A" w:rsidP="008A4FDA">
      <w:pPr>
        <w:rPr>
          <w:sz w:val="28"/>
          <w:szCs w:val="28"/>
        </w:rPr>
      </w:pPr>
    </w:p>
    <w:p w:rsidR="00C5470E" w:rsidRDefault="00C5470E" w:rsidP="00C547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</w:t>
      </w:r>
      <w:r w:rsidRPr="00D11383">
        <w:rPr>
          <w:sz w:val="28"/>
          <w:szCs w:val="28"/>
        </w:rPr>
        <w:t>un</w:t>
      </w:r>
      <w:r>
        <w:rPr>
          <w:sz w:val="28"/>
          <w:szCs w:val="28"/>
        </w:rPr>
        <w:t xml:space="preserve"> </w:t>
      </w:r>
    </w:p>
    <w:p w:rsidR="00C5470E" w:rsidRDefault="00C5470E" w:rsidP="00C547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reģionālās attīstības </w:t>
      </w:r>
      <w:r w:rsidRPr="00D11383">
        <w:rPr>
          <w:sz w:val="28"/>
          <w:szCs w:val="28"/>
        </w:rPr>
        <w:t xml:space="preserve">ministrijas </w:t>
      </w:r>
    </w:p>
    <w:p w:rsidR="00AE059A" w:rsidRPr="00AE059A" w:rsidRDefault="00D11383" w:rsidP="00FA084C">
      <w:pPr>
        <w:pStyle w:val="nospacing"/>
        <w:rPr>
          <w:rFonts w:ascii="Times New Roman" w:hAnsi="Times New Roman"/>
          <w:sz w:val="28"/>
          <w:szCs w:val="28"/>
          <w:lang w:val="lv-LV"/>
        </w:rPr>
      </w:pPr>
      <w:r w:rsidRPr="00D11383">
        <w:rPr>
          <w:rFonts w:ascii="Times New Roman" w:hAnsi="Times New Roman"/>
          <w:sz w:val="28"/>
          <w:szCs w:val="28"/>
          <w:lang w:val="lv-LV"/>
        </w:rPr>
        <w:t>ministrs</w:t>
      </w:r>
      <w:r w:rsidRPr="00D11383">
        <w:rPr>
          <w:rFonts w:ascii="Times New Roman" w:hAnsi="Times New Roman"/>
          <w:sz w:val="28"/>
          <w:szCs w:val="28"/>
          <w:lang w:val="lv-LV"/>
        </w:rPr>
        <w:tab/>
      </w:r>
      <w:r w:rsidRPr="00D11383">
        <w:rPr>
          <w:rFonts w:ascii="Times New Roman" w:hAnsi="Times New Roman"/>
          <w:sz w:val="28"/>
          <w:szCs w:val="28"/>
          <w:lang w:val="lv-LV"/>
        </w:rPr>
        <w:tab/>
      </w:r>
      <w:r w:rsidRPr="00D11383">
        <w:rPr>
          <w:rFonts w:ascii="Times New Roman" w:hAnsi="Times New Roman"/>
          <w:sz w:val="28"/>
          <w:szCs w:val="28"/>
          <w:lang w:val="lv-LV"/>
        </w:rPr>
        <w:tab/>
      </w:r>
      <w:r w:rsidRPr="00D11383">
        <w:rPr>
          <w:rFonts w:ascii="Times New Roman" w:hAnsi="Times New Roman"/>
          <w:sz w:val="28"/>
          <w:szCs w:val="28"/>
          <w:lang w:val="lv-LV"/>
        </w:rPr>
        <w:tab/>
      </w:r>
      <w:r w:rsidRPr="00D11383">
        <w:rPr>
          <w:rFonts w:ascii="Times New Roman" w:hAnsi="Times New Roman"/>
          <w:sz w:val="28"/>
          <w:szCs w:val="28"/>
          <w:lang w:val="lv-LV"/>
        </w:rPr>
        <w:tab/>
      </w:r>
      <w:r w:rsidRPr="00D11383">
        <w:rPr>
          <w:rFonts w:ascii="Times New Roman" w:hAnsi="Times New Roman"/>
          <w:sz w:val="28"/>
          <w:szCs w:val="28"/>
          <w:lang w:val="lv-LV"/>
        </w:rPr>
        <w:tab/>
      </w:r>
      <w:r w:rsidRPr="00D11383">
        <w:rPr>
          <w:rFonts w:ascii="Times New Roman" w:hAnsi="Times New Roman"/>
          <w:sz w:val="28"/>
          <w:szCs w:val="28"/>
          <w:lang w:val="lv-LV"/>
        </w:rPr>
        <w:tab/>
      </w:r>
      <w:r w:rsidRPr="00D11383">
        <w:rPr>
          <w:rFonts w:ascii="Times New Roman" w:hAnsi="Times New Roman"/>
          <w:sz w:val="28"/>
          <w:szCs w:val="28"/>
          <w:lang w:val="lv-LV"/>
        </w:rPr>
        <w:tab/>
      </w:r>
      <w:r w:rsidR="00C5470E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="00C5470E">
        <w:rPr>
          <w:rFonts w:ascii="Times New Roman" w:hAnsi="Times New Roman"/>
          <w:sz w:val="28"/>
          <w:szCs w:val="28"/>
          <w:lang w:val="lv-LV"/>
        </w:rPr>
        <w:t>R.Vējonis</w:t>
      </w:r>
      <w:proofErr w:type="spellEnd"/>
    </w:p>
    <w:p w:rsidR="00AE059A" w:rsidRPr="00AE059A" w:rsidRDefault="00D11383" w:rsidP="008A4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059A" w:rsidRPr="00AE059A" w:rsidRDefault="00AE059A" w:rsidP="000D3B21">
      <w:pPr>
        <w:rPr>
          <w:sz w:val="28"/>
          <w:szCs w:val="28"/>
        </w:rPr>
      </w:pPr>
    </w:p>
    <w:p w:rsidR="00C5470E" w:rsidRDefault="00D11383" w:rsidP="00C5470E">
      <w:pPr>
        <w:widowControl w:val="0"/>
        <w:jc w:val="both"/>
        <w:rPr>
          <w:sz w:val="28"/>
          <w:szCs w:val="28"/>
        </w:rPr>
      </w:pPr>
      <w:r w:rsidRPr="00D11383">
        <w:rPr>
          <w:sz w:val="28"/>
          <w:szCs w:val="28"/>
        </w:rPr>
        <w:t xml:space="preserve">Vīza: </w:t>
      </w:r>
      <w:r w:rsidR="00C5470E">
        <w:rPr>
          <w:sz w:val="28"/>
          <w:szCs w:val="28"/>
        </w:rPr>
        <w:t xml:space="preserve">Vides aizsardzības </w:t>
      </w:r>
      <w:r w:rsidRPr="00D11383">
        <w:rPr>
          <w:sz w:val="28"/>
          <w:szCs w:val="28"/>
        </w:rPr>
        <w:t>un</w:t>
      </w:r>
      <w:r w:rsidR="00C5470E">
        <w:rPr>
          <w:sz w:val="28"/>
          <w:szCs w:val="28"/>
        </w:rPr>
        <w:t xml:space="preserve"> </w:t>
      </w:r>
    </w:p>
    <w:p w:rsidR="00C5470E" w:rsidRDefault="00C5470E" w:rsidP="00C547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reģionālās attīstības </w:t>
      </w:r>
      <w:r w:rsidR="00D11383" w:rsidRPr="00D11383">
        <w:rPr>
          <w:sz w:val="28"/>
          <w:szCs w:val="28"/>
        </w:rPr>
        <w:t xml:space="preserve">ministrijas </w:t>
      </w:r>
    </w:p>
    <w:p w:rsidR="00AE059A" w:rsidRPr="00AE059A" w:rsidRDefault="00481CF2" w:rsidP="00C547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F74302">
        <w:rPr>
          <w:sz w:val="28"/>
          <w:szCs w:val="28"/>
        </w:rPr>
        <w:t>s</w:t>
      </w:r>
      <w:r w:rsidR="00C5470E">
        <w:rPr>
          <w:sz w:val="28"/>
          <w:szCs w:val="28"/>
        </w:rPr>
        <w:tab/>
      </w:r>
      <w:r w:rsidR="00C5470E">
        <w:rPr>
          <w:sz w:val="28"/>
          <w:szCs w:val="28"/>
        </w:rPr>
        <w:tab/>
      </w:r>
      <w:r w:rsidR="00C5470E">
        <w:rPr>
          <w:sz w:val="28"/>
          <w:szCs w:val="28"/>
        </w:rPr>
        <w:tab/>
      </w:r>
      <w:r w:rsidR="00C5470E">
        <w:rPr>
          <w:sz w:val="28"/>
          <w:szCs w:val="28"/>
        </w:rPr>
        <w:tab/>
      </w:r>
      <w:r w:rsidR="00C5470E">
        <w:rPr>
          <w:sz w:val="28"/>
          <w:szCs w:val="28"/>
        </w:rPr>
        <w:tab/>
      </w:r>
      <w:r w:rsidR="00C5470E">
        <w:rPr>
          <w:sz w:val="28"/>
          <w:szCs w:val="28"/>
        </w:rPr>
        <w:tab/>
      </w:r>
      <w:r w:rsidR="00F74302">
        <w:rPr>
          <w:sz w:val="28"/>
          <w:szCs w:val="28"/>
        </w:rPr>
        <w:tab/>
      </w:r>
      <w:r w:rsidR="00C5470E">
        <w:rPr>
          <w:sz w:val="28"/>
          <w:szCs w:val="28"/>
        </w:rPr>
        <w:tab/>
      </w:r>
      <w:r w:rsidR="00F74302">
        <w:rPr>
          <w:sz w:val="28"/>
          <w:szCs w:val="28"/>
        </w:rPr>
        <w:t>G</w:t>
      </w:r>
      <w:r w:rsidR="00D11383" w:rsidRPr="00D11383">
        <w:rPr>
          <w:sz w:val="28"/>
          <w:szCs w:val="28"/>
        </w:rPr>
        <w:t>.</w:t>
      </w:r>
      <w:r w:rsidR="00F74302">
        <w:rPr>
          <w:sz w:val="28"/>
          <w:szCs w:val="28"/>
        </w:rPr>
        <w:t>Puķītis</w:t>
      </w:r>
    </w:p>
    <w:p w:rsidR="00AE059A" w:rsidRDefault="00AE059A" w:rsidP="000D3B21">
      <w:pPr>
        <w:rPr>
          <w:sz w:val="28"/>
          <w:szCs w:val="28"/>
        </w:rPr>
      </w:pPr>
    </w:p>
    <w:p w:rsidR="00AF6BCA" w:rsidRDefault="00AF6BCA" w:rsidP="000D3B21">
      <w:pPr>
        <w:rPr>
          <w:sz w:val="28"/>
          <w:szCs w:val="28"/>
        </w:rPr>
      </w:pPr>
    </w:p>
    <w:p w:rsidR="007F1938" w:rsidRDefault="007F1938" w:rsidP="000D3B21">
      <w:pPr>
        <w:rPr>
          <w:sz w:val="28"/>
          <w:szCs w:val="28"/>
        </w:rPr>
      </w:pPr>
    </w:p>
    <w:p w:rsidR="007F1938" w:rsidRDefault="007F1938" w:rsidP="000D3B21">
      <w:pPr>
        <w:rPr>
          <w:sz w:val="28"/>
          <w:szCs w:val="28"/>
        </w:rPr>
      </w:pPr>
    </w:p>
    <w:p w:rsidR="007F1938" w:rsidRDefault="007F1938" w:rsidP="000D3B21">
      <w:pPr>
        <w:rPr>
          <w:sz w:val="28"/>
          <w:szCs w:val="28"/>
        </w:rPr>
      </w:pPr>
    </w:p>
    <w:p w:rsidR="007F1938" w:rsidRPr="00AE059A" w:rsidRDefault="007F1938" w:rsidP="000D3B21">
      <w:pPr>
        <w:rPr>
          <w:sz w:val="28"/>
          <w:szCs w:val="28"/>
        </w:rPr>
      </w:pPr>
    </w:p>
    <w:p w:rsidR="00AE059A" w:rsidRPr="007A124D" w:rsidRDefault="00041E91" w:rsidP="00310A92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="00D11383" w:rsidRPr="007A124D">
        <w:rPr>
          <w:sz w:val="20"/>
          <w:szCs w:val="20"/>
        </w:rPr>
        <w:t>.</w:t>
      </w:r>
      <w:r w:rsidR="00C5470E" w:rsidRPr="007A124D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D11383" w:rsidRPr="007A124D">
        <w:rPr>
          <w:sz w:val="20"/>
          <w:szCs w:val="20"/>
        </w:rPr>
        <w:t>.201</w:t>
      </w:r>
      <w:r w:rsidR="00C5470E" w:rsidRPr="007A124D">
        <w:rPr>
          <w:sz w:val="20"/>
          <w:szCs w:val="20"/>
        </w:rPr>
        <w:t>1</w:t>
      </w:r>
      <w:r w:rsidR="00D11383" w:rsidRPr="007A124D">
        <w:rPr>
          <w:sz w:val="20"/>
          <w:szCs w:val="20"/>
        </w:rPr>
        <w:t xml:space="preserve">. </w:t>
      </w:r>
      <w:r w:rsidR="005C668A">
        <w:rPr>
          <w:sz w:val="20"/>
          <w:szCs w:val="20"/>
        </w:rPr>
        <w:t>1</w:t>
      </w:r>
      <w:r w:rsidR="002A1C00">
        <w:rPr>
          <w:sz w:val="20"/>
          <w:szCs w:val="20"/>
        </w:rPr>
        <w:t>4</w:t>
      </w:r>
      <w:r w:rsidR="00D11383" w:rsidRPr="007A124D">
        <w:rPr>
          <w:sz w:val="20"/>
          <w:szCs w:val="20"/>
        </w:rPr>
        <w:t>:</w:t>
      </w:r>
      <w:r w:rsidR="002A1C00">
        <w:rPr>
          <w:sz w:val="20"/>
          <w:szCs w:val="20"/>
        </w:rPr>
        <w:t>40</w:t>
      </w:r>
    </w:p>
    <w:p w:rsidR="00AE059A" w:rsidRPr="007A124D" w:rsidRDefault="001F2C7F" w:rsidP="00310A92">
      <w:pPr>
        <w:rPr>
          <w:sz w:val="20"/>
          <w:szCs w:val="20"/>
        </w:rPr>
      </w:pPr>
      <w:fldSimple w:instr=" NUMWORDS   \* MERGEFORMAT ">
        <w:r w:rsidR="00F167DD" w:rsidRPr="00F167DD">
          <w:rPr>
            <w:noProof/>
            <w:sz w:val="20"/>
            <w:szCs w:val="20"/>
          </w:rPr>
          <w:t>441</w:t>
        </w:r>
      </w:fldSimple>
    </w:p>
    <w:p w:rsidR="00AE059A" w:rsidRPr="007A124D" w:rsidRDefault="00D11383" w:rsidP="006B6542">
      <w:pPr>
        <w:rPr>
          <w:sz w:val="20"/>
          <w:szCs w:val="20"/>
        </w:rPr>
      </w:pPr>
      <w:r w:rsidRPr="007A124D">
        <w:rPr>
          <w:sz w:val="20"/>
          <w:szCs w:val="20"/>
        </w:rPr>
        <w:t>A.Vāvere</w:t>
      </w:r>
      <w:r w:rsidR="00AE059A" w:rsidRPr="007A124D">
        <w:rPr>
          <w:sz w:val="20"/>
          <w:szCs w:val="20"/>
        </w:rPr>
        <w:t xml:space="preserve">, </w:t>
      </w:r>
      <w:r w:rsidRPr="007A124D">
        <w:rPr>
          <w:sz w:val="20"/>
          <w:szCs w:val="20"/>
        </w:rPr>
        <w:t xml:space="preserve">67770317 </w:t>
      </w:r>
    </w:p>
    <w:p w:rsidR="00AE059A" w:rsidRPr="007A124D" w:rsidRDefault="001F2C7F" w:rsidP="006B6542">
      <w:pPr>
        <w:rPr>
          <w:sz w:val="20"/>
          <w:szCs w:val="20"/>
        </w:rPr>
      </w:pPr>
      <w:hyperlink r:id="rId8" w:history="1">
        <w:r w:rsidR="00C5470E" w:rsidRPr="007A124D">
          <w:rPr>
            <w:rStyle w:val="Hyperlink"/>
            <w:sz w:val="20"/>
            <w:szCs w:val="20"/>
          </w:rPr>
          <w:t>aija.vavere@varam.gov.lv</w:t>
        </w:r>
      </w:hyperlink>
    </w:p>
    <w:p w:rsidR="00AE059A" w:rsidRPr="00AE059A" w:rsidRDefault="00AE059A" w:rsidP="00A96A4D">
      <w:pPr>
        <w:rPr>
          <w:sz w:val="28"/>
          <w:szCs w:val="28"/>
        </w:rPr>
      </w:pPr>
    </w:p>
    <w:p w:rsidR="00AE059A" w:rsidRPr="00AE059A" w:rsidRDefault="00D11383" w:rsidP="00A96A4D">
      <w:pPr>
        <w:tabs>
          <w:tab w:val="left" w:pos="7140"/>
        </w:tabs>
        <w:rPr>
          <w:sz w:val="28"/>
          <w:szCs w:val="28"/>
        </w:rPr>
      </w:pPr>
      <w:r w:rsidRPr="00D11383">
        <w:rPr>
          <w:sz w:val="28"/>
          <w:szCs w:val="28"/>
        </w:rPr>
        <w:tab/>
      </w:r>
    </w:p>
    <w:sectPr w:rsidR="00AE059A" w:rsidRPr="00AE059A" w:rsidSect="00A90855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418" w:right="1134" w:bottom="1440" w:left="1797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B5" w:rsidRDefault="007E00B5">
      <w:r>
        <w:separator/>
      </w:r>
    </w:p>
  </w:endnote>
  <w:endnote w:type="continuationSeparator" w:id="1">
    <w:p w:rsidR="007E00B5" w:rsidRDefault="007E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B5" w:rsidRPr="004A31A1" w:rsidRDefault="001F2C7F" w:rsidP="004A31A1">
    <w:pPr>
      <w:pStyle w:val="Footer"/>
      <w:jc w:val="both"/>
      <w:rPr>
        <w:rFonts w:ascii="Times New Roman" w:hAnsi="Times New Roman"/>
        <w:sz w:val="20"/>
      </w:rPr>
    </w:pPr>
    <w:fldSimple w:instr=" FILENAME   \* MERGEFORMAT ">
      <w:r w:rsidR="00C6289B" w:rsidRPr="00C6289B">
        <w:rPr>
          <w:rFonts w:ascii="Times New Roman" w:hAnsi="Times New Roman"/>
          <w:noProof/>
          <w:sz w:val="20"/>
        </w:rPr>
        <w:t>VARAMAnot_290311_NNP</w:t>
      </w:r>
    </w:fldSimple>
    <w:r w:rsidR="007E00B5" w:rsidRPr="004A31A1">
      <w:rPr>
        <w:rFonts w:ascii="Times New Roman" w:hAnsi="Times New Roman"/>
        <w:sz w:val="20"/>
      </w:rPr>
      <w:t xml:space="preserve">; </w:t>
    </w:r>
    <w:r w:rsidR="007E00B5" w:rsidRPr="004A31A1">
      <w:rPr>
        <w:rFonts w:ascii="Times New Roman" w:hAnsi="Times New Roman"/>
        <w:bCs/>
        <w:sz w:val="20"/>
      </w:rPr>
      <w:t>Ministru kabineta noteikumu projekta „</w:t>
    </w:r>
    <w:r w:rsidR="007E00B5" w:rsidRPr="004A31A1">
      <w:rPr>
        <w:rFonts w:ascii="Times New Roman" w:hAnsi="Times New Roman"/>
        <w:sz w:val="20"/>
      </w:rPr>
      <w:t>Grozījum</w:t>
    </w:r>
    <w:r w:rsidR="007E00B5">
      <w:rPr>
        <w:rFonts w:ascii="Times New Roman" w:hAnsi="Times New Roman"/>
        <w:sz w:val="20"/>
      </w:rPr>
      <w:t>i</w:t>
    </w:r>
    <w:r w:rsidR="007E00B5" w:rsidRPr="004A31A1">
      <w:rPr>
        <w:rFonts w:ascii="Times New Roman" w:hAnsi="Times New Roman"/>
        <w:sz w:val="20"/>
      </w:rPr>
      <w:t xml:space="preserve"> Ministru kabineta 2008.gada 25.augusta noteikumos Nr.684 „Noteikumi par nacionālo numerācijas plānu”</w:t>
    </w:r>
    <w:r w:rsidR="007E00B5">
      <w:rPr>
        <w:rFonts w:ascii="Times New Roman" w:hAnsi="Times New Roman"/>
        <w:sz w:val="20"/>
      </w:rPr>
      <w:t>”</w:t>
    </w:r>
    <w:r w:rsidR="007E00B5" w:rsidRPr="004A31A1">
      <w:rPr>
        <w:rFonts w:ascii="Times New Roman" w:hAnsi="Times New Roman"/>
        <w:sz w:val="20"/>
      </w:rPr>
      <w:t xml:space="preserve"> </w:t>
    </w:r>
    <w:r w:rsidR="007E00B5" w:rsidRPr="004A31A1">
      <w:rPr>
        <w:rFonts w:ascii="Times New Roman" w:hAnsi="Times New Roman"/>
        <w:bCs/>
        <w:sz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7E00B5" w:rsidRPr="004A31A1">
        <w:rPr>
          <w:rFonts w:ascii="Times New Roman" w:hAnsi="Times New Roman"/>
          <w:bCs/>
          <w:sz w:val="20"/>
        </w:rPr>
        <w:t>ziņojums</w:t>
      </w:r>
    </w:smartTag>
    <w:r w:rsidR="007E00B5" w:rsidRPr="004A31A1">
      <w:rPr>
        <w:rFonts w:ascii="Times New Roman" w:hAnsi="Times New Roman"/>
        <w:bCs/>
        <w:sz w:val="20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B5" w:rsidRPr="004A31A1" w:rsidRDefault="001F2C7F" w:rsidP="004A31A1">
    <w:pPr>
      <w:pStyle w:val="Footer"/>
      <w:jc w:val="both"/>
      <w:rPr>
        <w:rFonts w:ascii="Times New Roman" w:hAnsi="Times New Roman"/>
        <w:sz w:val="16"/>
        <w:szCs w:val="16"/>
      </w:rPr>
    </w:pPr>
    <w:fldSimple w:instr=" FILENAME   \* MERGEFORMAT ">
      <w:r w:rsidR="00C6289B" w:rsidRPr="00C6289B">
        <w:rPr>
          <w:rFonts w:ascii="Times New Roman" w:hAnsi="Times New Roman"/>
          <w:noProof/>
          <w:sz w:val="20"/>
        </w:rPr>
        <w:t>VARAMAnot_290311_NNP</w:t>
      </w:r>
    </w:fldSimple>
    <w:r w:rsidR="007E00B5" w:rsidRPr="00AB243C">
      <w:rPr>
        <w:rFonts w:ascii="Times New Roman" w:hAnsi="Times New Roman"/>
        <w:sz w:val="20"/>
      </w:rPr>
      <w:t xml:space="preserve">; </w:t>
    </w:r>
    <w:r w:rsidR="007E00B5" w:rsidRPr="004A31A1">
      <w:rPr>
        <w:rFonts w:ascii="Times New Roman" w:hAnsi="Times New Roman"/>
        <w:bCs/>
        <w:sz w:val="20"/>
      </w:rPr>
      <w:t>Ministru kabineta noteikumu projekta „</w:t>
    </w:r>
    <w:r w:rsidR="007E00B5" w:rsidRPr="004A31A1">
      <w:rPr>
        <w:rFonts w:ascii="Times New Roman" w:hAnsi="Times New Roman"/>
        <w:sz w:val="20"/>
      </w:rPr>
      <w:t>Grozījum</w:t>
    </w:r>
    <w:r w:rsidR="007E00B5">
      <w:rPr>
        <w:rFonts w:ascii="Times New Roman" w:hAnsi="Times New Roman"/>
        <w:sz w:val="20"/>
      </w:rPr>
      <w:t>i</w:t>
    </w:r>
    <w:r w:rsidR="007E00B5" w:rsidRPr="004A31A1">
      <w:rPr>
        <w:rFonts w:ascii="Times New Roman" w:hAnsi="Times New Roman"/>
        <w:sz w:val="20"/>
      </w:rPr>
      <w:t xml:space="preserve"> Ministru kabineta 2008.gada 25.augusta noteikumos Nr.684 „Noteikumi par nacionālo numerācijas plānu”</w:t>
    </w:r>
    <w:r w:rsidR="007E00B5">
      <w:rPr>
        <w:rFonts w:ascii="Times New Roman" w:hAnsi="Times New Roman"/>
        <w:sz w:val="20"/>
      </w:rPr>
      <w:t>”</w:t>
    </w:r>
    <w:r w:rsidR="007E00B5" w:rsidRPr="004A31A1">
      <w:rPr>
        <w:rFonts w:ascii="Times New Roman" w:hAnsi="Times New Roman"/>
        <w:sz w:val="20"/>
      </w:rPr>
      <w:t xml:space="preserve"> </w:t>
    </w:r>
    <w:r w:rsidR="007E00B5" w:rsidRPr="004A31A1">
      <w:rPr>
        <w:rFonts w:ascii="Times New Roman" w:hAnsi="Times New Roman"/>
        <w:bCs/>
        <w:sz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7E00B5" w:rsidRPr="004A31A1">
        <w:rPr>
          <w:rFonts w:ascii="Times New Roman" w:hAnsi="Times New Roman"/>
          <w:bCs/>
          <w:sz w:val="20"/>
        </w:rPr>
        <w:t>ziņojums</w:t>
      </w:r>
    </w:smartTag>
    <w:r w:rsidR="007E00B5" w:rsidRPr="004A31A1">
      <w:rPr>
        <w:rFonts w:ascii="Times New Roman" w:hAnsi="Times New Roman"/>
        <w:bCs/>
        <w:sz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B5" w:rsidRDefault="007E00B5">
      <w:r>
        <w:separator/>
      </w:r>
    </w:p>
  </w:footnote>
  <w:footnote w:type="continuationSeparator" w:id="1">
    <w:p w:rsidR="007E00B5" w:rsidRDefault="007E0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B5" w:rsidRDefault="001F2C7F" w:rsidP="009C6A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00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0B5" w:rsidRDefault="007E00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B5" w:rsidRDefault="001F2C7F" w:rsidP="009C6A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0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7DD">
      <w:rPr>
        <w:rStyle w:val="PageNumber"/>
        <w:noProof/>
      </w:rPr>
      <w:t>3</w:t>
    </w:r>
    <w:r>
      <w:rPr>
        <w:rStyle w:val="PageNumber"/>
      </w:rPr>
      <w:fldChar w:fldCharType="end"/>
    </w:r>
  </w:p>
  <w:p w:rsidR="007E00B5" w:rsidRDefault="007E00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766"/>
    <w:multiLevelType w:val="multilevel"/>
    <w:tmpl w:val="15EC4B1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42784A1B"/>
    <w:multiLevelType w:val="hybridMultilevel"/>
    <w:tmpl w:val="232806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B21"/>
    <w:rsid w:val="000021E0"/>
    <w:rsid w:val="000055C4"/>
    <w:rsid w:val="0001016F"/>
    <w:rsid w:val="00012C48"/>
    <w:rsid w:val="00015280"/>
    <w:rsid w:val="00015642"/>
    <w:rsid w:val="00017033"/>
    <w:rsid w:val="00027763"/>
    <w:rsid w:val="00032077"/>
    <w:rsid w:val="00041E91"/>
    <w:rsid w:val="00045366"/>
    <w:rsid w:val="00055EEA"/>
    <w:rsid w:val="00072DA9"/>
    <w:rsid w:val="00073094"/>
    <w:rsid w:val="00082711"/>
    <w:rsid w:val="000879E0"/>
    <w:rsid w:val="00091420"/>
    <w:rsid w:val="00092A24"/>
    <w:rsid w:val="00092E27"/>
    <w:rsid w:val="00096874"/>
    <w:rsid w:val="000A4182"/>
    <w:rsid w:val="000A7609"/>
    <w:rsid w:val="000B27AA"/>
    <w:rsid w:val="000D06D1"/>
    <w:rsid w:val="000D0F25"/>
    <w:rsid w:val="000D2571"/>
    <w:rsid w:val="000D3B21"/>
    <w:rsid w:val="000D3C92"/>
    <w:rsid w:val="000D64F2"/>
    <w:rsid w:val="000D7C55"/>
    <w:rsid w:val="000E544C"/>
    <w:rsid w:val="000F70F6"/>
    <w:rsid w:val="00100922"/>
    <w:rsid w:val="00110D52"/>
    <w:rsid w:val="00111795"/>
    <w:rsid w:val="00111E71"/>
    <w:rsid w:val="00116F7A"/>
    <w:rsid w:val="00126B4D"/>
    <w:rsid w:val="001314A0"/>
    <w:rsid w:val="00133893"/>
    <w:rsid w:val="00136888"/>
    <w:rsid w:val="001429E2"/>
    <w:rsid w:val="00147AFB"/>
    <w:rsid w:val="001520D6"/>
    <w:rsid w:val="001552A6"/>
    <w:rsid w:val="001812C4"/>
    <w:rsid w:val="00185C1D"/>
    <w:rsid w:val="001954FC"/>
    <w:rsid w:val="001A39B1"/>
    <w:rsid w:val="001B242B"/>
    <w:rsid w:val="001C3133"/>
    <w:rsid w:val="001D4B27"/>
    <w:rsid w:val="001E0C53"/>
    <w:rsid w:val="001E190B"/>
    <w:rsid w:val="001E2772"/>
    <w:rsid w:val="001F288F"/>
    <w:rsid w:val="001F2C7F"/>
    <w:rsid w:val="00203407"/>
    <w:rsid w:val="00211D2E"/>
    <w:rsid w:val="00212800"/>
    <w:rsid w:val="00214EDA"/>
    <w:rsid w:val="002248C2"/>
    <w:rsid w:val="00227062"/>
    <w:rsid w:val="00230A7E"/>
    <w:rsid w:val="0024132B"/>
    <w:rsid w:val="00242107"/>
    <w:rsid w:val="00260365"/>
    <w:rsid w:val="00264FBC"/>
    <w:rsid w:val="00266840"/>
    <w:rsid w:val="00271283"/>
    <w:rsid w:val="00276054"/>
    <w:rsid w:val="0028027A"/>
    <w:rsid w:val="002832CF"/>
    <w:rsid w:val="00297399"/>
    <w:rsid w:val="002A1C00"/>
    <w:rsid w:val="002C476B"/>
    <w:rsid w:val="002F1CA4"/>
    <w:rsid w:val="002F57A0"/>
    <w:rsid w:val="002F7C41"/>
    <w:rsid w:val="00307611"/>
    <w:rsid w:val="00310A92"/>
    <w:rsid w:val="00327AC0"/>
    <w:rsid w:val="00330A10"/>
    <w:rsid w:val="00336E84"/>
    <w:rsid w:val="003425D7"/>
    <w:rsid w:val="00353F3A"/>
    <w:rsid w:val="00354730"/>
    <w:rsid w:val="003616C1"/>
    <w:rsid w:val="00370253"/>
    <w:rsid w:val="00383794"/>
    <w:rsid w:val="0038679F"/>
    <w:rsid w:val="00391B78"/>
    <w:rsid w:val="00393F13"/>
    <w:rsid w:val="00397F22"/>
    <w:rsid w:val="003A289E"/>
    <w:rsid w:val="003B2048"/>
    <w:rsid w:val="003C0757"/>
    <w:rsid w:val="003C68E3"/>
    <w:rsid w:val="003E33E4"/>
    <w:rsid w:val="003E4A53"/>
    <w:rsid w:val="003E5177"/>
    <w:rsid w:val="003F1F67"/>
    <w:rsid w:val="003F2BDB"/>
    <w:rsid w:val="003F387C"/>
    <w:rsid w:val="003F7D44"/>
    <w:rsid w:val="00404339"/>
    <w:rsid w:val="0041038B"/>
    <w:rsid w:val="004207C7"/>
    <w:rsid w:val="00420A4D"/>
    <w:rsid w:val="004212E8"/>
    <w:rsid w:val="00423FB5"/>
    <w:rsid w:val="004334EA"/>
    <w:rsid w:val="0044544E"/>
    <w:rsid w:val="00445FD8"/>
    <w:rsid w:val="00446E09"/>
    <w:rsid w:val="00447AA6"/>
    <w:rsid w:val="00451FE1"/>
    <w:rsid w:val="00455BB2"/>
    <w:rsid w:val="00456385"/>
    <w:rsid w:val="00460257"/>
    <w:rsid w:val="00461F97"/>
    <w:rsid w:val="004632A3"/>
    <w:rsid w:val="004752A5"/>
    <w:rsid w:val="00475F1F"/>
    <w:rsid w:val="00481646"/>
    <w:rsid w:val="00481CF2"/>
    <w:rsid w:val="00481F78"/>
    <w:rsid w:val="00487D14"/>
    <w:rsid w:val="004A21F3"/>
    <w:rsid w:val="004A31A1"/>
    <w:rsid w:val="004A6138"/>
    <w:rsid w:val="004A710E"/>
    <w:rsid w:val="004B3F04"/>
    <w:rsid w:val="004C4771"/>
    <w:rsid w:val="004D6F88"/>
    <w:rsid w:val="004E02E7"/>
    <w:rsid w:val="004F1DE8"/>
    <w:rsid w:val="004F4B86"/>
    <w:rsid w:val="004F66E7"/>
    <w:rsid w:val="00526F02"/>
    <w:rsid w:val="00527524"/>
    <w:rsid w:val="00531383"/>
    <w:rsid w:val="0053710B"/>
    <w:rsid w:val="00547161"/>
    <w:rsid w:val="005634C1"/>
    <w:rsid w:val="00564E6C"/>
    <w:rsid w:val="0058356F"/>
    <w:rsid w:val="0058563D"/>
    <w:rsid w:val="00586AF4"/>
    <w:rsid w:val="0058703C"/>
    <w:rsid w:val="00596E6B"/>
    <w:rsid w:val="005A2129"/>
    <w:rsid w:val="005A35E1"/>
    <w:rsid w:val="005B0271"/>
    <w:rsid w:val="005B0CD4"/>
    <w:rsid w:val="005B382B"/>
    <w:rsid w:val="005C2717"/>
    <w:rsid w:val="005C668A"/>
    <w:rsid w:val="005F1831"/>
    <w:rsid w:val="005F492B"/>
    <w:rsid w:val="005F592A"/>
    <w:rsid w:val="005F6EFD"/>
    <w:rsid w:val="006000E0"/>
    <w:rsid w:val="00636DA8"/>
    <w:rsid w:val="00640AE5"/>
    <w:rsid w:val="006501C5"/>
    <w:rsid w:val="00662A06"/>
    <w:rsid w:val="00670B41"/>
    <w:rsid w:val="00672153"/>
    <w:rsid w:val="006738BE"/>
    <w:rsid w:val="006916D9"/>
    <w:rsid w:val="0069566A"/>
    <w:rsid w:val="006A1336"/>
    <w:rsid w:val="006B5C2F"/>
    <w:rsid w:val="006B6542"/>
    <w:rsid w:val="006C6528"/>
    <w:rsid w:val="006D395B"/>
    <w:rsid w:val="006F2514"/>
    <w:rsid w:val="006F7867"/>
    <w:rsid w:val="007025A1"/>
    <w:rsid w:val="00704E2C"/>
    <w:rsid w:val="00706F17"/>
    <w:rsid w:val="00707E14"/>
    <w:rsid w:val="007143E5"/>
    <w:rsid w:val="007203DD"/>
    <w:rsid w:val="0073596A"/>
    <w:rsid w:val="007378FF"/>
    <w:rsid w:val="0074353B"/>
    <w:rsid w:val="007465F7"/>
    <w:rsid w:val="00750DE5"/>
    <w:rsid w:val="0077625A"/>
    <w:rsid w:val="00780EA6"/>
    <w:rsid w:val="007818A2"/>
    <w:rsid w:val="0079421F"/>
    <w:rsid w:val="007A124D"/>
    <w:rsid w:val="007B2D3F"/>
    <w:rsid w:val="007B370A"/>
    <w:rsid w:val="007B6DD4"/>
    <w:rsid w:val="007C16C5"/>
    <w:rsid w:val="007D3AA7"/>
    <w:rsid w:val="007D597E"/>
    <w:rsid w:val="007E00B5"/>
    <w:rsid w:val="007E16DA"/>
    <w:rsid w:val="007E2A4D"/>
    <w:rsid w:val="007F1938"/>
    <w:rsid w:val="00800777"/>
    <w:rsid w:val="0080481B"/>
    <w:rsid w:val="00815618"/>
    <w:rsid w:val="00823820"/>
    <w:rsid w:val="00824883"/>
    <w:rsid w:val="00832807"/>
    <w:rsid w:val="008459D8"/>
    <w:rsid w:val="008617B2"/>
    <w:rsid w:val="008645A3"/>
    <w:rsid w:val="00871E9D"/>
    <w:rsid w:val="00872B66"/>
    <w:rsid w:val="008730B1"/>
    <w:rsid w:val="0087536A"/>
    <w:rsid w:val="008A4FDA"/>
    <w:rsid w:val="008A671D"/>
    <w:rsid w:val="008B65F2"/>
    <w:rsid w:val="008B7D49"/>
    <w:rsid w:val="008D6DD5"/>
    <w:rsid w:val="008E69EC"/>
    <w:rsid w:val="00900596"/>
    <w:rsid w:val="00902129"/>
    <w:rsid w:val="009036C8"/>
    <w:rsid w:val="0090432C"/>
    <w:rsid w:val="00906A1A"/>
    <w:rsid w:val="00910D8A"/>
    <w:rsid w:val="00912E8C"/>
    <w:rsid w:val="00916004"/>
    <w:rsid w:val="009164BD"/>
    <w:rsid w:val="00916AE3"/>
    <w:rsid w:val="00947A81"/>
    <w:rsid w:val="00950AE0"/>
    <w:rsid w:val="0095224D"/>
    <w:rsid w:val="009544AA"/>
    <w:rsid w:val="009566B7"/>
    <w:rsid w:val="00984708"/>
    <w:rsid w:val="00990BD5"/>
    <w:rsid w:val="009943ED"/>
    <w:rsid w:val="009A1DEF"/>
    <w:rsid w:val="009A63D6"/>
    <w:rsid w:val="009B4BCE"/>
    <w:rsid w:val="009C1B89"/>
    <w:rsid w:val="009C6AB0"/>
    <w:rsid w:val="009D1CA0"/>
    <w:rsid w:val="009D3F30"/>
    <w:rsid w:val="009E186F"/>
    <w:rsid w:val="009E3897"/>
    <w:rsid w:val="009F7729"/>
    <w:rsid w:val="00A02938"/>
    <w:rsid w:val="00A03BC4"/>
    <w:rsid w:val="00A11214"/>
    <w:rsid w:val="00A120C9"/>
    <w:rsid w:val="00A127A6"/>
    <w:rsid w:val="00A14541"/>
    <w:rsid w:val="00A16100"/>
    <w:rsid w:val="00A17AD9"/>
    <w:rsid w:val="00A23676"/>
    <w:rsid w:val="00A24A33"/>
    <w:rsid w:val="00A41E9A"/>
    <w:rsid w:val="00A524E4"/>
    <w:rsid w:val="00A64BD5"/>
    <w:rsid w:val="00A65EA4"/>
    <w:rsid w:val="00A72597"/>
    <w:rsid w:val="00A7612F"/>
    <w:rsid w:val="00A90855"/>
    <w:rsid w:val="00A96A4D"/>
    <w:rsid w:val="00A97E6A"/>
    <w:rsid w:val="00AA7FAE"/>
    <w:rsid w:val="00AB243C"/>
    <w:rsid w:val="00AB7AB7"/>
    <w:rsid w:val="00AC1133"/>
    <w:rsid w:val="00AD3F85"/>
    <w:rsid w:val="00AD6D9C"/>
    <w:rsid w:val="00AE059A"/>
    <w:rsid w:val="00AE1C53"/>
    <w:rsid w:val="00AE30AA"/>
    <w:rsid w:val="00AE471F"/>
    <w:rsid w:val="00AE5DAF"/>
    <w:rsid w:val="00AE6D7B"/>
    <w:rsid w:val="00AE727C"/>
    <w:rsid w:val="00AF6BCA"/>
    <w:rsid w:val="00B041B6"/>
    <w:rsid w:val="00B12EAB"/>
    <w:rsid w:val="00B14413"/>
    <w:rsid w:val="00B31ED5"/>
    <w:rsid w:val="00B51E36"/>
    <w:rsid w:val="00B54F1F"/>
    <w:rsid w:val="00B60FA9"/>
    <w:rsid w:val="00B629A9"/>
    <w:rsid w:val="00B63A12"/>
    <w:rsid w:val="00B71C47"/>
    <w:rsid w:val="00B773A1"/>
    <w:rsid w:val="00B858FE"/>
    <w:rsid w:val="00BA16F0"/>
    <w:rsid w:val="00BB7CD4"/>
    <w:rsid w:val="00BB7F06"/>
    <w:rsid w:val="00BC565E"/>
    <w:rsid w:val="00BD263C"/>
    <w:rsid w:val="00BD741D"/>
    <w:rsid w:val="00BE2F4C"/>
    <w:rsid w:val="00BE4D87"/>
    <w:rsid w:val="00BF2D27"/>
    <w:rsid w:val="00BF2F2B"/>
    <w:rsid w:val="00C0083F"/>
    <w:rsid w:val="00C03A20"/>
    <w:rsid w:val="00C052C9"/>
    <w:rsid w:val="00C07A2E"/>
    <w:rsid w:val="00C07B85"/>
    <w:rsid w:val="00C14EB0"/>
    <w:rsid w:val="00C21FD9"/>
    <w:rsid w:val="00C23A68"/>
    <w:rsid w:val="00C354E5"/>
    <w:rsid w:val="00C37E98"/>
    <w:rsid w:val="00C5470E"/>
    <w:rsid w:val="00C55889"/>
    <w:rsid w:val="00C6180D"/>
    <w:rsid w:val="00C6289B"/>
    <w:rsid w:val="00C706E0"/>
    <w:rsid w:val="00C72991"/>
    <w:rsid w:val="00C76784"/>
    <w:rsid w:val="00C854E1"/>
    <w:rsid w:val="00CA0213"/>
    <w:rsid w:val="00CB3CE0"/>
    <w:rsid w:val="00CC0E10"/>
    <w:rsid w:val="00CE3C64"/>
    <w:rsid w:val="00CE3FF2"/>
    <w:rsid w:val="00CE4C0E"/>
    <w:rsid w:val="00CF055F"/>
    <w:rsid w:val="00CF2F1D"/>
    <w:rsid w:val="00D0684C"/>
    <w:rsid w:val="00D11383"/>
    <w:rsid w:val="00D15881"/>
    <w:rsid w:val="00D25110"/>
    <w:rsid w:val="00D26007"/>
    <w:rsid w:val="00D265C2"/>
    <w:rsid w:val="00D5212E"/>
    <w:rsid w:val="00D52DF4"/>
    <w:rsid w:val="00D725D4"/>
    <w:rsid w:val="00D9334B"/>
    <w:rsid w:val="00D94728"/>
    <w:rsid w:val="00D9642F"/>
    <w:rsid w:val="00DA5403"/>
    <w:rsid w:val="00DB1BEA"/>
    <w:rsid w:val="00DB2EDD"/>
    <w:rsid w:val="00DC04E7"/>
    <w:rsid w:val="00DC2DA6"/>
    <w:rsid w:val="00DC6512"/>
    <w:rsid w:val="00DC75B3"/>
    <w:rsid w:val="00DD0980"/>
    <w:rsid w:val="00DD3862"/>
    <w:rsid w:val="00DD3FBD"/>
    <w:rsid w:val="00DD6F41"/>
    <w:rsid w:val="00DE295C"/>
    <w:rsid w:val="00DF1D82"/>
    <w:rsid w:val="00E05359"/>
    <w:rsid w:val="00E06CB4"/>
    <w:rsid w:val="00E11371"/>
    <w:rsid w:val="00E23B5A"/>
    <w:rsid w:val="00E308A7"/>
    <w:rsid w:val="00E31366"/>
    <w:rsid w:val="00E56668"/>
    <w:rsid w:val="00E63A9D"/>
    <w:rsid w:val="00E72E7C"/>
    <w:rsid w:val="00E80657"/>
    <w:rsid w:val="00E84D5A"/>
    <w:rsid w:val="00E86F27"/>
    <w:rsid w:val="00E8761C"/>
    <w:rsid w:val="00E87820"/>
    <w:rsid w:val="00EA6E55"/>
    <w:rsid w:val="00EC36DF"/>
    <w:rsid w:val="00EE2531"/>
    <w:rsid w:val="00EE38D1"/>
    <w:rsid w:val="00EF04AC"/>
    <w:rsid w:val="00EF5DE4"/>
    <w:rsid w:val="00F036A1"/>
    <w:rsid w:val="00F048ED"/>
    <w:rsid w:val="00F0721C"/>
    <w:rsid w:val="00F10BDC"/>
    <w:rsid w:val="00F11738"/>
    <w:rsid w:val="00F167DD"/>
    <w:rsid w:val="00F23873"/>
    <w:rsid w:val="00F35031"/>
    <w:rsid w:val="00F476F9"/>
    <w:rsid w:val="00F57369"/>
    <w:rsid w:val="00F706DE"/>
    <w:rsid w:val="00F74302"/>
    <w:rsid w:val="00F773FF"/>
    <w:rsid w:val="00F8145E"/>
    <w:rsid w:val="00F94EAF"/>
    <w:rsid w:val="00FA084C"/>
    <w:rsid w:val="00FA2D0E"/>
    <w:rsid w:val="00FB1D7C"/>
    <w:rsid w:val="00FC214F"/>
    <w:rsid w:val="00FC2221"/>
    <w:rsid w:val="00FC2813"/>
    <w:rsid w:val="00FC74E0"/>
    <w:rsid w:val="00FC7500"/>
    <w:rsid w:val="00FD7FA2"/>
    <w:rsid w:val="00FE3DC2"/>
    <w:rsid w:val="00FE40FE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21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B21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B21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0D3B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D3B21"/>
    <w:pPr>
      <w:spacing w:before="100" w:after="100"/>
    </w:pPr>
    <w:rPr>
      <w:rFonts w:eastAsia="Arial Unicode MS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D3B21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3B21"/>
    <w:rPr>
      <w:rFonts w:ascii="RimTimes" w:hAnsi="RimTimes"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0D3B21"/>
    <w:rPr>
      <w:color w:val="FF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3B21"/>
    <w:rPr>
      <w:rFonts w:eastAsia="Times New Roman" w:cs="Times New Roman"/>
      <w:color w:val="FF0000"/>
      <w:sz w:val="28"/>
    </w:rPr>
  </w:style>
  <w:style w:type="paragraph" w:customStyle="1" w:styleId="naisf">
    <w:name w:val="naisf"/>
    <w:basedOn w:val="Normal"/>
    <w:uiPriority w:val="99"/>
    <w:rsid w:val="000D3B21"/>
    <w:pPr>
      <w:spacing w:before="100" w:after="100"/>
      <w:jc w:val="both"/>
    </w:pPr>
    <w:rPr>
      <w:rFonts w:eastAsia="Arial Unicode MS"/>
      <w:szCs w:val="20"/>
      <w:lang w:val="en-GB"/>
    </w:rPr>
  </w:style>
  <w:style w:type="paragraph" w:customStyle="1" w:styleId="naislab">
    <w:name w:val="naislab"/>
    <w:basedOn w:val="Normal"/>
    <w:uiPriority w:val="99"/>
    <w:rsid w:val="000D3B21"/>
    <w:pPr>
      <w:spacing w:before="100" w:after="100"/>
      <w:jc w:val="right"/>
    </w:pPr>
    <w:rPr>
      <w:rFonts w:eastAsia="Arial Unicode MS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D3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3B21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D3B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2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95"/>
    <w:rPr>
      <w:rFonts w:eastAsia="Times New Roman"/>
      <w:sz w:val="0"/>
      <w:szCs w:val="0"/>
      <w:lang w:eastAsia="en-US"/>
    </w:rPr>
  </w:style>
  <w:style w:type="paragraph" w:customStyle="1" w:styleId="StyleBodyText14ptFirstline127cm">
    <w:name w:val="Style Body Text + 14 pt First line:  127 cm"/>
    <w:basedOn w:val="BodyText"/>
    <w:uiPriority w:val="99"/>
    <w:rsid w:val="006B6542"/>
    <w:pPr>
      <w:spacing w:after="120"/>
      <w:ind w:firstLine="720"/>
      <w:jc w:val="both"/>
    </w:pPr>
    <w:rPr>
      <w:color w:val="auto"/>
      <w:lang w:eastAsia="lv-LV"/>
    </w:rPr>
  </w:style>
  <w:style w:type="paragraph" w:customStyle="1" w:styleId="naisc">
    <w:name w:val="naisc"/>
    <w:basedOn w:val="Normal"/>
    <w:uiPriority w:val="99"/>
    <w:rsid w:val="008B65F2"/>
    <w:pPr>
      <w:spacing w:before="100" w:beforeAutospacing="1" w:after="100" w:afterAutospacing="1"/>
    </w:pPr>
    <w:rPr>
      <w:lang w:eastAsia="lv-LV"/>
    </w:rPr>
  </w:style>
  <w:style w:type="character" w:styleId="Strong">
    <w:name w:val="Strong"/>
    <w:basedOn w:val="DefaultParagraphFont"/>
    <w:uiPriority w:val="99"/>
    <w:qFormat/>
    <w:rsid w:val="00F8145E"/>
    <w:rPr>
      <w:rFonts w:cs="Times New Roman"/>
      <w:b/>
      <w:bCs/>
    </w:rPr>
  </w:style>
  <w:style w:type="paragraph" w:customStyle="1" w:styleId="naiskr">
    <w:name w:val="naiskr"/>
    <w:basedOn w:val="Normal"/>
    <w:uiPriority w:val="99"/>
    <w:rsid w:val="00FC74E0"/>
    <w:pPr>
      <w:spacing w:before="75" w:after="75"/>
    </w:pPr>
    <w:rPr>
      <w:lang w:eastAsia="lv-LV"/>
    </w:rPr>
  </w:style>
  <w:style w:type="paragraph" w:customStyle="1" w:styleId="nospacing">
    <w:name w:val="nospacing"/>
    <w:basedOn w:val="Normal"/>
    <w:uiPriority w:val="99"/>
    <w:rsid w:val="00FA084C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vavere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1AB2-87C0-471D-AD77-E9F74B26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441</Words>
  <Characters>3585</Characters>
  <Application>Microsoft Office Word</Application>
  <DocSecurity>0</DocSecurity>
  <Lines>155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25.augusta noteikumos Nr.684 „Noteikumi par nacionālo numerācijas plānu”</vt:lpstr>
    </vt:vector>
  </TitlesOfParts>
  <Company>Satiksmes ministrija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25.augusta noteikumos Nr.684 „Noteikumi par nacionālo numerācijas plānu”</dc:title>
  <dc:subject>Anotācija</dc:subject>
  <dc:creator>Aija Vāvere</dc:creator>
  <cp:keywords/>
  <cp:lastModifiedBy>AijaVavere</cp:lastModifiedBy>
  <cp:revision>41</cp:revision>
  <cp:lastPrinted>2011-03-29T12:37:00Z</cp:lastPrinted>
  <dcterms:created xsi:type="dcterms:W3CDTF">2010-11-12T13:10:00Z</dcterms:created>
  <dcterms:modified xsi:type="dcterms:W3CDTF">2011-03-30T12:33:00Z</dcterms:modified>
</cp:coreProperties>
</file>