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AF" w:rsidRPr="00A37390" w:rsidRDefault="00D10CAF" w:rsidP="00D10CAF">
      <w:pPr>
        <w:ind w:firstLine="720"/>
        <w:jc w:val="center"/>
        <w:rPr>
          <w:b/>
        </w:rPr>
      </w:pPr>
      <w:r w:rsidRPr="00A37390">
        <w:rPr>
          <w:b/>
        </w:rPr>
        <w:t>Minist</w:t>
      </w:r>
      <w:r w:rsidR="0040407E" w:rsidRPr="00A37390">
        <w:rPr>
          <w:b/>
        </w:rPr>
        <w:t xml:space="preserve">ru kabineta noteikumu projekta </w:t>
      </w:r>
      <w:r w:rsidRPr="00A37390">
        <w:rPr>
          <w:b/>
        </w:rPr>
        <w:t>„</w:t>
      </w:r>
      <w:r w:rsidR="00B36A15" w:rsidRPr="00B36A15">
        <w:rPr>
          <w:b/>
        </w:rPr>
        <w:t>Noteikumi par darbības programmas „Infrastruktūra un pakalpojumi” papildinājuma 3.2.2.2.aktivitāti „Publisko interneta pieejas punktu attīstība</w:t>
      </w:r>
      <w:r w:rsidR="0040407E" w:rsidRPr="00A37390">
        <w:rPr>
          <w:b/>
        </w:rPr>
        <w:t>””</w:t>
      </w:r>
      <w:r w:rsidR="00B36A15" w:rsidRPr="00B36A15">
        <w:rPr>
          <w:b/>
        </w:rPr>
        <w:t xml:space="preserve"> </w:t>
      </w:r>
      <w:r w:rsidR="00B36A15" w:rsidRPr="00A37390">
        <w:rPr>
          <w:b/>
        </w:rPr>
        <w:t>sākotnējās ietekmes</w:t>
      </w:r>
    </w:p>
    <w:p w:rsidR="008C5649" w:rsidRDefault="00852042" w:rsidP="00214094">
      <w:pPr>
        <w:pStyle w:val="naislab"/>
        <w:spacing w:before="0" w:after="0"/>
        <w:jc w:val="center"/>
        <w:outlineLvl w:val="0"/>
        <w:rPr>
          <w:b/>
        </w:rPr>
      </w:pPr>
      <w:r w:rsidRPr="00A37390">
        <w:rPr>
          <w:b/>
        </w:rPr>
        <w:t xml:space="preserve">novērtējuma </w:t>
      </w:r>
      <w:smartTag w:uri="schemas-tilde-lv/tildestengine" w:element="veidnes">
        <w:smartTagPr>
          <w:attr w:name="id" w:val="-1"/>
          <w:attr w:name="baseform" w:val="ziņojums"/>
          <w:attr w:name="text" w:val="ziņojums"/>
        </w:smartTagPr>
        <w:r w:rsidRPr="00A37390">
          <w:rPr>
            <w:b/>
          </w:rPr>
          <w:t>ziņojums</w:t>
        </w:r>
      </w:smartTag>
      <w:r w:rsidRPr="00A37390">
        <w:rPr>
          <w:b/>
        </w:rPr>
        <w:t xml:space="preserve"> (anotācija)</w:t>
      </w:r>
    </w:p>
    <w:p w:rsidR="00F31F98" w:rsidRDefault="00F31F98" w:rsidP="00214094">
      <w:pPr>
        <w:pStyle w:val="naislab"/>
        <w:spacing w:before="0" w:after="0"/>
        <w:jc w:val="center"/>
        <w:outlineLvl w:val="0"/>
        <w:rPr>
          <w:b/>
        </w:rPr>
      </w:pPr>
    </w:p>
    <w:p w:rsidR="00F31F98" w:rsidRPr="00A37390" w:rsidRDefault="00F31F98" w:rsidP="00214094">
      <w:pPr>
        <w:pStyle w:val="naislab"/>
        <w:spacing w:before="0" w:after="0"/>
        <w:jc w:val="center"/>
        <w:outlineLvl w:val="0"/>
        <w:rPr>
          <w:b/>
        </w:rPr>
      </w:pPr>
    </w:p>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315"/>
        <w:gridCol w:w="4860"/>
      </w:tblGrid>
      <w:tr w:rsidR="00852042" w:rsidRPr="00A37390" w:rsidTr="00F31F98">
        <w:tc>
          <w:tcPr>
            <w:tcW w:w="9862" w:type="dxa"/>
            <w:gridSpan w:val="3"/>
            <w:vAlign w:val="center"/>
          </w:tcPr>
          <w:p w:rsidR="00852042" w:rsidRPr="00A37390" w:rsidRDefault="00852042" w:rsidP="006C4607">
            <w:pPr>
              <w:pStyle w:val="naisnod"/>
              <w:spacing w:before="0" w:after="0"/>
            </w:pPr>
            <w:r w:rsidRPr="00A37390">
              <w:t>I</w:t>
            </w:r>
            <w:r w:rsidR="000941C5" w:rsidRPr="00A37390">
              <w:t>.</w:t>
            </w:r>
            <w:r w:rsidRPr="00A37390">
              <w:t xml:space="preserve"> Tiesību akta </w:t>
            </w:r>
            <w:r w:rsidR="002E3FF4" w:rsidRPr="00A37390">
              <w:t xml:space="preserve">projekta </w:t>
            </w:r>
            <w:r w:rsidRPr="00A37390">
              <w:t>izstrādes nepieciešamība</w:t>
            </w:r>
          </w:p>
        </w:tc>
      </w:tr>
      <w:tr w:rsidR="00262E2B" w:rsidRPr="00A37390" w:rsidTr="00F31F98">
        <w:trPr>
          <w:trHeight w:val="630"/>
        </w:trPr>
        <w:tc>
          <w:tcPr>
            <w:tcW w:w="687" w:type="dxa"/>
          </w:tcPr>
          <w:p w:rsidR="00262E2B" w:rsidRPr="00A37390" w:rsidRDefault="00262E2B" w:rsidP="006C4607">
            <w:pPr>
              <w:pStyle w:val="naiskr"/>
              <w:spacing w:before="0" w:after="0"/>
            </w:pPr>
            <w:r w:rsidRPr="00A37390">
              <w:t>1.</w:t>
            </w:r>
          </w:p>
        </w:tc>
        <w:tc>
          <w:tcPr>
            <w:tcW w:w="4315" w:type="dxa"/>
          </w:tcPr>
          <w:p w:rsidR="00262E2B" w:rsidRPr="00A37390" w:rsidRDefault="002D7F54" w:rsidP="00DA5914">
            <w:pPr>
              <w:pStyle w:val="naiskr"/>
              <w:spacing w:before="0" w:after="0"/>
              <w:ind w:left="22"/>
            </w:pPr>
            <w:r w:rsidRPr="00A37390">
              <w:t>Pamatojums</w:t>
            </w:r>
          </w:p>
        </w:tc>
        <w:tc>
          <w:tcPr>
            <w:tcW w:w="4860" w:type="dxa"/>
          </w:tcPr>
          <w:p w:rsidR="00262E2B" w:rsidRPr="00A37390" w:rsidRDefault="00D10CAF" w:rsidP="0025465D">
            <w:pPr>
              <w:pStyle w:val="naiskr"/>
              <w:spacing w:before="120" w:after="120"/>
              <w:ind w:left="102" w:right="142" w:hanging="6"/>
              <w:jc w:val="both"/>
            </w:pPr>
            <w:r w:rsidRPr="00A37390">
              <w:t>Eiropas Savienības struktūrfondu un Kohēzijas fonda vadības likuma 18.panta 10.punkts paredz deleģējumu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tc>
      </w:tr>
      <w:tr w:rsidR="00262E2B" w:rsidRPr="00A37390" w:rsidTr="00F31F98">
        <w:trPr>
          <w:trHeight w:val="472"/>
        </w:trPr>
        <w:tc>
          <w:tcPr>
            <w:tcW w:w="687" w:type="dxa"/>
          </w:tcPr>
          <w:p w:rsidR="00262E2B" w:rsidRPr="00A37390" w:rsidRDefault="00262E2B" w:rsidP="006C4607">
            <w:pPr>
              <w:pStyle w:val="naiskr"/>
              <w:spacing w:before="0" w:after="0"/>
            </w:pPr>
            <w:r w:rsidRPr="00A37390">
              <w:t>2.</w:t>
            </w:r>
          </w:p>
        </w:tc>
        <w:tc>
          <w:tcPr>
            <w:tcW w:w="4315" w:type="dxa"/>
          </w:tcPr>
          <w:p w:rsidR="00262E2B" w:rsidRPr="00A37390" w:rsidRDefault="00262E2B" w:rsidP="00DA5914">
            <w:pPr>
              <w:pStyle w:val="naiskr"/>
              <w:tabs>
                <w:tab w:val="left" w:pos="170"/>
              </w:tabs>
              <w:spacing w:before="0" w:after="0"/>
              <w:ind w:left="22"/>
            </w:pPr>
            <w:r w:rsidRPr="00A37390">
              <w:t>Pašreizējā situācija</w:t>
            </w:r>
            <w:r w:rsidR="001F5CD6" w:rsidRPr="00A37390">
              <w:t xml:space="preserve"> un problēmas</w:t>
            </w:r>
          </w:p>
        </w:tc>
        <w:tc>
          <w:tcPr>
            <w:tcW w:w="4860" w:type="dxa"/>
          </w:tcPr>
          <w:p w:rsidR="008D0D17" w:rsidRDefault="008D0D17" w:rsidP="008D0D17">
            <w:pPr>
              <w:pStyle w:val="naiskr"/>
              <w:spacing w:before="120" w:after="120"/>
              <w:ind w:left="102" w:right="142" w:hanging="6"/>
              <w:jc w:val="both"/>
            </w:pPr>
            <w:r>
              <w:t>2010.gadā internets bija pieejams 60% Latvijas mājsaimniecību, taču i</w:t>
            </w:r>
            <w:r w:rsidRPr="0035294A">
              <w:t xml:space="preserve">nterneta pieejamības līmenis dažādos reģionos un valstī kopumā nav pietiekami augsts, lai gan Rīgā un citās Latvijas lielākās pilsētās interneta pieejamības līmenis pēdējos gados ir strauji paaugstinājies. Pamatojoties uz statistikas datiem, var secināt, ka joprojām pastāv samērā lielās atšķirības starp interneta izmantošanas (mājās un darbā) intensitāti pilsētās un laukos, kas norāda uz dažādu ar interneta pieejamību saistīto problēmu lielāku izplatību lauku rajonos, tāpēc nepieciešams veicināt publisko interneta pieejas punktu izveidi, īpaši pašvaldībās. </w:t>
            </w:r>
          </w:p>
          <w:p w:rsidR="008D0D17" w:rsidRDefault="008D0D17" w:rsidP="008D0D17">
            <w:pPr>
              <w:pStyle w:val="naiskr"/>
              <w:spacing w:before="120" w:after="120"/>
              <w:ind w:left="102" w:right="142" w:hanging="6"/>
              <w:jc w:val="both"/>
            </w:pPr>
            <w:r>
              <w:t xml:space="preserve">Iepriekšējā plānošanas perioda ietvaros izveidoto </w:t>
            </w:r>
            <w:r w:rsidR="00D5571E" w:rsidRPr="0035294A">
              <w:t>publisko interneta pieejas punktu</w:t>
            </w:r>
            <w:r>
              <w:t xml:space="preserve"> pēc-projektu pārbaudes liecina, ka pieprasījums pēc </w:t>
            </w:r>
            <w:r w:rsidR="00D5571E" w:rsidRPr="0035294A">
              <w:t>publisko in</w:t>
            </w:r>
            <w:r w:rsidR="00D5571E">
              <w:t>terneta pieejas punktiem</w:t>
            </w:r>
            <w:r>
              <w:t xml:space="preserve"> ir augsts un iedzīvotāji ļoti atzinīgi novērtē tiem nodrošināto iespēju tos izmantot, lai ikdienā piekļūtu publiskās</w:t>
            </w:r>
            <w:r w:rsidRPr="00F93993">
              <w:t xml:space="preserve"> pārvaldes un komercsabiedrību piedāvātajiem elektroniskajiem u.c. pakalpojumiem un informācijai</w:t>
            </w:r>
            <w:r>
              <w:t xml:space="preserve">, taču tai pašā laikā norāda uz to, ka jau izveidoto </w:t>
            </w:r>
            <w:r w:rsidR="00D5571E" w:rsidRPr="0035294A">
              <w:t>publisko interneta pieejas punktu</w:t>
            </w:r>
            <w:r>
              <w:t xml:space="preserve"> skaits ir nepietiekams. </w:t>
            </w:r>
            <w:r w:rsidR="00D5571E">
              <w:t>P</w:t>
            </w:r>
            <w:r w:rsidR="00D5571E" w:rsidRPr="0035294A">
              <w:t>ublisko interneta pieejas punktu</w:t>
            </w:r>
            <w:r>
              <w:t xml:space="preserve"> izveide </w:t>
            </w:r>
            <w:r w:rsidRPr="00892162">
              <w:t>3.2.2.2.aktivitātes „Publisko interneta pieejas punktu attīstība” ietvaros</w:t>
            </w:r>
            <w:r w:rsidRPr="006630D6">
              <w:t xml:space="preserve"> </w:t>
            </w:r>
            <w:r>
              <w:t>paaugstinās</w:t>
            </w:r>
            <w:r w:rsidRPr="00F93993">
              <w:t xml:space="preserve"> piekļuves iespējas internetam pēc iespējas plašāk</w:t>
            </w:r>
            <w:r>
              <w:t xml:space="preserve">am iedzīvotāju </w:t>
            </w:r>
            <w:r>
              <w:lastRenderedPageBreak/>
              <w:t>lokam.</w:t>
            </w:r>
          </w:p>
          <w:p w:rsidR="008D0D17" w:rsidRPr="00B8720E" w:rsidRDefault="008D0D17" w:rsidP="008D0D17">
            <w:pPr>
              <w:pStyle w:val="naiskr"/>
              <w:spacing w:before="120" w:after="120"/>
              <w:ind w:left="102" w:right="142" w:hanging="6"/>
              <w:jc w:val="both"/>
            </w:pPr>
            <w:r w:rsidRPr="00B8720E">
              <w:t xml:space="preserve">Viens no </w:t>
            </w:r>
            <w:r w:rsidR="00D5571E">
              <w:t xml:space="preserve">informācijas sabiedrības un </w:t>
            </w:r>
            <w:r w:rsidRPr="00B8720E">
              <w:t xml:space="preserve">e-pārvaldes ieviešanas veiksmes faktoriem, kas būtiski ietekmē izveidoto e-pārvaldes risinājumu un sistēmu izstrādes un uzturēšanas lietderību ir tas – cik plaši šie risinājumi tiks izmantoti. Tikai pie pietiekami lielas e-pakalpojumu izmantošanas intensitātes risinājumu ieviešanas izmaksas atmaksājas. Lai novērstu risku, ka e-pārvaldes risinājumos ieguldītie līdzekļi netiek izmantoti neefektīvi, ir jāveicina to izmantošana – </w:t>
            </w:r>
            <w:r w:rsidR="00D5571E" w:rsidRPr="0035294A">
              <w:t>publisko interneta pieejas punktu</w:t>
            </w:r>
            <w:r w:rsidRPr="00B8720E">
              <w:t xml:space="preserve"> izveide ir viens no instrumentiem, kā to panākt.</w:t>
            </w:r>
          </w:p>
          <w:p w:rsidR="00D6553E" w:rsidRDefault="00D6553E" w:rsidP="0025465D">
            <w:pPr>
              <w:pStyle w:val="naiskr"/>
              <w:spacing w:before="120" w:after="120"/>
              <w:ind w:left="102" w:right="142" w:hanging="6"/>
              <w:jc w:val="both"/>
            </w:pPr>
            <w:r w:rsidRPr="009018DE">
              <w:t xml:space="preserve">Saskaņā ar </w:t>
            </w:r>
            <w:r w:rsidRPr="00D6553E">
              <w:t>Ministru kabineta 2008.gada 12.augusta sēdes protokol</w:t>
            </w:r>
            <w:r w:rsidR="00671301">
              <w:t>lēmuma</w:t>
            </w:r>
            <w:r w:rsidRPr="00D6553E">
              <w:t xml:space="preserve"> </w:t>
            </w:r>
            <w:r w:rsidR="00CE37E3">
              <w:t>(</w:t>
            </w:r>
            <w:r w:rsidRPr="00D6553E">
              <w:t>Nr.58 7.§</w:t>
            </w:r>
            <w:r w:rsidR="00CE37E3">
              <w:t>)</w:t>
            </w:r>
            <w:r w:rsidRPr="00D6553E">
              <w:t xml:space="preserve"> 9.punktu </w:t>
            </w:r>
            <w:r w:rsidR="00671301">
              <w:t>r</w:t>
            </w:r>
            <w:r w:rsidRPr="009018DE">
              <w:t>eģionālās attīstības un pašvaldību lietu ministram tika uzdots līdz 2008.gada 1.oktobrim iesniegt noteiktā kārtībā Ministru kabinetā noteikumu projektu par 3.2.2.2.aktivitātes "Publisko interneta pieejas punktu attīstība"</w:t>
            </w:r>
            <w:r>
              <w:t xml:space="preserve"> </w:t>
            </w:r>
            <w:r w:rsidR="00CC2408">
              <w:t xml:space="preserve">(turpmāk – 3.2.2.2.aktivitāte) </w:t>
            </w:r>
            <w:r w:rsidRPr="009018DE">
              <w:t>īstenošanu.</w:t>
            </w:r>
          </w:p>
          <w:p w:rsidR="00D6553E" w:rsidRDefault="006630D6" w:rsidP="0025465D">
            <w:pPr>
              <w:pStyle w:val="naiskr"/>
              <w:spacing w:before="120" w:after="120"/>
              <w:ind w:left="102" w:right="142" w:hanging="6"/>
              <w:jc w:val="both"/>
            </w:pPr>
            <w:r>
              <w:t>Savukārt s</w:t>
            </w:r>
            <w:r w:rsidR="00D6553E" w:rsidRPr="00F35348">
              <w:t xml:space="preserve">askaņā ar </w:t>
            </w:r>
            <w:r w:rsidR="00D6553E" w:rsidRPr="0025465D">
              <w:t>Ministru kabineta 2008.</w:t>
            </w:r>
            <w:r w:rsidR="00671301">
              <w:t>gada 22.decembra sēdes protokollēmuma</w:t>
            </w:r>
            <w:r w:rsidR="00D6553E" w:rsidRPr="0025465D">
              <w:t xml:space="preserve"> </w:t>
            </w:r>
            <w:r w:rsidR="00CE37E3" w:rsidRPr="0025465D">
              <w:t>(</w:t>
            </w:r>
            <w:r w:rsidR="00D6553E" w:rsidRPr="0025465D">
              <w:t>Nr.94 65.§</w:t>
            </w:r>
            <w:r w:rsidR="00CE37E3" w:rsidRPr="0025465D">
              <w:t>)</w:t>
            </w:r>
            <w:r w:rsidR="00D6553E" w:rsidRPr="0025465D">
              <w:t xml:space="preserve"> 48.punktu </w:t>
            </w:r>
            <w:r w:rsidR="00D6553E" w:rsidRPr="00F35348">
              <w:t>Reģionālās attīstības un pašvaldību lietu ministrijai</w:t>
            </w:r>
            <w:r w:rsidR="00CC2408">
              <w:t xml:space="preserve"> (turpmāk –RAPLM)</w:t>
            </w:r>
            <w:r w:rsidR="00D6553E" w:rsidRPr="00F35348">
              <w:t xml:space="preserve"> </w:t>
            </w:r>
            <w:r w:rsidR="00CE37E3">
              <w:t xml:space="preserve">tika </w:t>
            </w:r>
            <w:r w:rsidR="00D6553E" w:rsidRPr="00F35348">
              <w:t>uzdots atlikt 3.2.2.2.aktivitātes projektu uzsākšanu 2009.gadā līdz nākam</w:t>
            </w:r>
            <w:r w:rsidR="00D6553E">
              <w:t>ajam Ministru kabineta lēmumam</w:t>
            </w:r>
            <w:r w:rsidR="00971196">
              <w:t>.</w:t>
            </w:r>
          </w:p>
          <w:p w:rsidR="00971196" w:rsidRDefault="00971196" w:rsidP="00B11E44">
            <w:pPr>
              <w:pStyle w:val="naisf"/>
              <w:spacing w:before="0" w:after="120"/>
              <w:ind w:left="74" w:right="113" w:firstLine="0"/>
            </w:pPr>
            <w:r w:rsidRPr="00971196">
              <w:t>Atbilstoši 2009.gada 31.marta Ministru kabineta sēdes proto</w:t>
            </w:r>
            <w:r w:rsidR="00671301">
              <w:t>kollēmuma</w:t>
            </w:r>
            <w:r w:rsidRPr="00971196">
              <w:t xml:space="preserve"> (</w:t>
            </w:r>
            <w:r w:rsidR="00B11E44">
              <w:t>Nr.22 50.§) 17.punktā uzdotajam un ņemot vērā, ka s</w:t>
            </w:r>
            <w:r w:rsidR="00B11E44" w:rsidRPr="00175F41">
              <w:t xml:space="preserve">askaņā ar </w:t>
            </w:r>
            <w:r w:rsidR="00B11E44" w:rsidRPr="00175F41">
              <w:rPr>
                <w:bCs/>
              </w:rPr>
              <w:t xml:space="preserve">Ministru kabineta </w:t>
            </w:r>
            <w:r w:rsidR="00B11E44" w:rsidRPr="00175F41">
              <w:t>2010.gada 22.novembra</w:t>
            </w:r>
            <w:r w:rsidR="00B11E44">
              <w:rPr>
                <w:bCs/>
              </w:rPr>
              <w:t xml:space="preserve"> rīkojumā</w:t>
            </w:r>
            <w:r w:rsidR="00B11E44" w:rsidRPr="00175F41">
              <w:rPr>
                <w:bCs/>
              </w:rPr>
              <w:t xml:space="preserve"> Nr.676 „</w:t>
            </w:r>
            <w:r w:rsidR="00B11E44" w:rsidRPr="00175F41">
              <w:t>Par Reģionālās attīstības un pašvaldību lietu ministrijas likvidācijas nodrošināšanu</w:t>
            </w:r>
            <w:r w:rsidR="00B11E44" w:rsidRPr="00175F41">
              <w:rPr>
                <w:bCs/>
              </w:rPr>
              <w:t>”</w:t>
            </w:r>
            <w:r w:rsidR="00B11E44" w:rsidRPr="00175F41">
              <w:rPr>
                <w:b/>
                <w:bCs/>
              </w:rPr>
              <w:t xml:space="preserve"> </w:t>
            </w:r>
            <w:r w:rsidR="00B11E44" w:rsidRPr="00175F41">
              <w:rPr>
                <w:bCs/>
              </w:rPr>
              <w:t>līdz</w:t>
            </w:r>
            <w:r w:rsidR="00B11E44">
              <w:rPr>
                <w:b/>
                <w:bCs/>
              </w:rPr>
              <w:t xml:space="preserve"> </w:t>
            </w:r>
            <w:r w:rsidR="00B11E44" w:rsidRPr="00175F41">
              <w:t xml:space="preserve">2010.gada 31.decembrim </w:t>
            </w:r>
            <w:r w:rsidR="00B11E44">
              <w:t xml:space="preserve">tiek </w:t>
            </w:r>
            <w:r w:rsidR="00B11E44" w:rsidRPr="00175F41">
              <w:t>likvidēt</w:t>
            </w:r>
            <w:r w:rsidR="00B11E44">
              <w:t>a</w:t>
            </w:r>
            <w:r w:rsidR="00B11E44" w:rsidRPr="00175F41">
              <w:t xml:space="preserve"> </w:t>
            </w:r>
            <w:r w:rsidR="00B11E44">
              <w:t xml:space="preserve">RAPLM un </w:t>
            </w:r>
            <w:r w:rsidR="00B11E44" w:rsidRPr="00175F41">
              <w:t>pievieno</w:t>
            </w:r>
            <w:r w:rsidR="00B11E44">
              <w:t>ta</w:t>
            </w:r>
            <w:r w:rsidR="00B11E44" w:rsidRPr="00175F41">
              <w:t xml:space="preserve"> Vides ministrijai</w:t>
            </w:r>
            <w:r w:rsidR="00B11E44">
              <w:t xml:space="preserve"> un</w:t>
            </w:r>
            <w:r w:rsidR="00B11E44" w:rsidRPr="00175F41">
              <w:t xml:space="preserve"> ar </w:t>
            </w:r>
            <w:r w:rsidR="00B11E44" w:rsidRPr="008B48B4">
              <w:t xml:space="preserve">2011.gada 1.janvāri </w:t>
            </w:r>
            <w:r w:rsidR="00B11E44" w:rsidRPr="00175F41">
              <w:t xml:space="preserve">Vides ministrija ir </w:t>
            </w:r>
            <w:r w:rsidR="00B11E44">
              <w:t>RAPLM</w:t>
            </w:r>
            <w:r w:rsidR="00B11E44" w:rsidRPr="008B48B4">
              <w:t xml:space="preserve"> funkciju, pārvaldes uzdevumu, tiesību, saistību, mantas, finanšu līdzekļu, lietvedības un arhīva pārņēmēja</w:t>
            </w:r>
            <w:r w:rsidR="00B11E44">
              <w:t xml:space="preserve">, </w:t>
            </w:r>
            <w:r w:rsidR="00D31F86">
              <w:t>Vides aizsardzības un reģionālās attīstības (turpmāk – VARAM)</w:t>
            </w:r>
            <w:r w:rsidRPr="00971196">
              <w:t xml:space="preserve"> ir sagatavojusi Ministru kabineta noteikumu projektu</w:t>
            </w:r>
            <w:r>
              <w:t xml:space="preserve"> </w:t>
            </w:r>
            <w:r w:rsidRPr="007D14BA">
              <w:rPr>
                <w:sz w:val="28"/>
                <w:szCs w:val="28"/>
              </w:rPr>
              <w:t>„</w:t>
            </w:r>
            <w:r w:rsidRPr="00971196">
              <w:t xml:space="preserve">Noteikumi par darbības programmas „Infrastruktūra un pakalpojumi” papildinājuma 3.2.2.2.aktivitāti „Publisko interneta pieejas punktu attīstība”” (turpmāk – Ministru kabineta noteikumu projekts), kura pielikumā ir iekļauti projektu iesniegumu </w:t>
            </w:r>
            <w:r w:rsidRPr="00971196">
              <w:lastRenderedPageBreak/>
              <w:t>vērtēšanas kritēriji. Saskaņā ar Ministru prezidenta 201</w:t>
            </w:r>
            <w:r w:rsidR="00D31F86">
              <w:t>1</w:t>
            </w:r>
            <w:r w:rsidRPr="00971196">
              <w:t xml:space="preserve">.gada </w:t>
            </w:r>
            <w:r w:rsidR="00D31F86">
              <w:t>1</w:t>
            </w:r>
            <w:r w:rsidRPr="00971196">
              <w:t>.</w:t>
            </w:r>
            <w:r w:rsidR="00D31F86">
              <w:t>marta</w:t>
            </w:r>
            <w:r w:rsidR="00B11E44">
              <w:t xml:space="preserve"> rezolūciju </w:t>
            </w:r>
            <w:r w:rsidR="00D31F86" w:rsidRPr="00B11E44">
              <w:t>Nr.12/SAN-310</w:t>
            </w:r>
            <w:r w:rsidR="00D31F86">
              <w:rPr>
                <w:sz w:val="28"/>
                <w:szCs w:val="28"/>
              </w:rPr>
              <w:t xml:space="preserve"> </w:t>
            </w:r>
            <w:r w:rsidRPr="00971196">
              <w:t>Ministru kabineta noteikumu projekta sagatavošanas t</w:t>
            </w:r>
            <w:r w:rsidR="00D04263">
              <w:t>ermiņš ir 201</w:t>
            </w:r>
            <w:r w:rsidR="00D31F86">
              <w:t>1</w:t>
            </w:r>
            <w:r w:rsidR="00D04263">
              <w:t>.gada 3</w:t>
            </w:r>
            <w:r w:rsidR="00D31F86">
              <w:t>1</w:t>
            </w:r>
            <w:r w:rsidR="00D04263">
              <w:t>.</w:t>
            </w:r>
            <w:r w:rsidR="00D31F86">
              <w:t>marts</w:t>
            </w:r>
            <w:r w:rsidR="00D04263">
              <w:t xml:space="preserve">. </w:t>
            </w:r>
          </w:p>
          <w:p w:rsidR="008C6A5E" w:rsidRPr="00EC42FB" w:rsidRDefault="00CC2408" w:rsidP="008C6A5E">
            <w:pPr>
              <w:pStyle w:val="naiskr"/>
              <w:spacing w:before="120" w:after="120"/>
              <w:ind w:left="102" w:right="142" w:hanging="6"/>
              <w:jc w:val="both"/>
            </w:pPr>
            <w:r>
              <w:t xml:space="preserve">Projektu iesniegumu vērtēšanas kritēriji </w:t>
            </w:r>
            <w:r w:rsidR="007618FD">
              <w:t>3.2.2.2</w:t>
            </w:r>
            <w:r w:rsidR="00D04263">
              <w:t>.</w:t>
            </w:r>
            <w:r>
              <w:t>aktivitātei</w:t>
            </w:r>
            <w:r w:rsidR="00C32722">
              <w:t xml:space="preserve"> </w:t>
            </w:r>
            <w:r w:rsidR="00020A5E" w:rsidRPr="00D20766">
              <w:t xml:space="preserve">tika apstiprināti </w:t>
            </w:r>
            <w:r w:rsidR="00020A5E" w:rsidRPr="00C32722">
              <w:t>Eiropas Savienības fondu uzraudzības komitejā 20</w:t>
            </w:r>
            <w:r w:rsidR="00C32722" w:rsidRPr="00C32722">
              <w:t>10</w:t>
            </w:r>
            <w:r w:rsidR="00020A5E" w:rsidRPr="00C32722">
              <w:t xml:space="preserve">.gada </w:t>
            </w:r>
            <w:r w:rsidR="00C32722" w:rsidRPr="00C32722">
              <w:t>9</w:t>
            </w:r>
            <w:r w:rsidR="00020A5E" w:rsidRPr="00C32722">
              <w:t>.</w:t>
            </w:r>
            <w:r w:rsidR="00C32722" w:rsidRPr="00C32722">
              <w:t>martā</w:t>
            </w:r>
            <w:r w:rsidR="00971196">
              <w:t xml:space="preserve"> (lēmums </w:t>
            </w:r>
            <w:r w:rsidR="00971196" w:rsidRPr="00971196">
              <w:t>Nr.L-2010/5</w:t>
            </w:r>
            <w:r w:rsidR="00971196">
              <w:rPr>
                <w:sz w:val="28"/>
                <w:szCs w:val="28"/>
              </w:rPr>
              <w:t>)</w:t>
            </w:r>
            <w:r w:rsidR="00C32722" w:rsidRPr="00C32722">
              <w:t>.</w:t>
            </w:r>
            <w:r w:rsidR="00020A5E" w:rsidRPr="00D20766">
              <w:t xml:space="preserve"> </w:t>
            </w:r>
          </w:p>
        </w:tc>
      </w:tr>
      <w:tr w:rsidR="00262E2B" w:rsidRPr="00A37390" w:rsidTr="00F31F98">
        <w:trPr>
          <w:trHeight w:val="1071"/>
        </w:trPr>
        <w:tc>
          <w:tcPr>
            <w:tcW w:w="687" w:type="dxa"/>
          </w:tcPr>
          <w:p w:rsidR="00262E2B" w:rsidRPr="00A37390" w:rsidRDefault="00262E2B" w:rsidP="006C4607">
            <w:pPr>
              <w:pStyle w:val="naiskr"/>
              <w:spacing w:before="0" w:after="0"/>
            </w:pPr>
            <w:r w:rsidRPr="00A37390">
              <w:lastRenderedPageBreak/>
              <w:t>3.</w:t>
            </w:r>
          </w:p>
        </w:tc>
        <w:tc>
          <w:tcPr>
            <w:tcW w:w="4315" w:type="dxa"/>
          </w:tcPr>
          <w:p w:rsidR="00262E2B" w:rsidRPr="00A37390" w:rsidRDefault="00420870" w:rsidP="00DA5914">
            <w:pPr>
              <w:pStyle w:val="naiskr"/>
              <w:spacing w:before="0" w:after="0"/>
              <w:ind w:left="22"/>
            </w:pPr>
            <w:r w:rsidRPr="00A37390">
              <w:t>S</w:t>
            </w:r>
            <w:r w:rsidR="000B69CF" w:rsidRPr="00A37390">
              <w:t xml:space="preserve">aistītie </w:t>
            </w:r>
            <w:r w:rsidR="001A6AE4" w:rsidRPr="00A37390">
              <w:t>politikas ietekmes novērtējumi</w:t>
            </w:r>
            <w:r w:rsidR="00CB0247" w:rsidRPr="00A37390">
              <w:t xml:space="preserve"> un</w:t>
            </w:r>
            <w:r w:rsidR="001A6AE4" w:rsidRPr="00A37390">
              <w:t xml:space="preserve"> </w:t>
            </w:r>
            <w:r w:rsidR="000B69CF" w:rsidRPr="00A37390">
              <w:t>pētījumi</w:t>
            </w:r>
          </w:p>
        </w:tc>
        <w:tc>
          <w:tcPr>
            <w:tcW w:w="4860" w:type="dxa"/>
          </w:tcPr>
          <w:p w:rsidR="00D20FF4" w:rsidRPr="00A37390" w:rsidRDefault="0013250C" w:rsidP="0025465D">
            <w:pPr>
              <w:pStyle w:val="FootnoteText"/>
              <w:spacing w:before="120" w:after="120"/>
              <w:ind w:left="102" w:right="142"/>
              <w:rPr>
                <w:sz w:val="24"/>
                <w:szCs w:val="24"/>
              </w:rPr>
            </w:pPr>
            <w:r w:rsidRPr="00A37390">
              <w:rPr>
                <w:sz w:val="24"/>
                <w:szCs w:val="24"/>
              </w:rPr>
              <w:t>Nav attiecināms.</w:t>
            </w:r>
          </w:p>
        </w:tc>
      </w:tr>
      <w:tr w:rsidR="00262E2B" w:rsidRPr="00A37390" w:rsidTr="00F31F98">
        <w:trPr>
          <w:trHeight w:val="384"/>
        </w:trPr>
        <w:tc>
          <w:tcPr>
            <w:tcW w:w="687" w:type="dxa"/>
          </w:tcPr>
          <w:p w:rsidR="00262E2B" w:rsidRPr="00A37390" w:rsidRDefault="00262E2B" w:rsidP="006C4607">
            <w:pPr>
              <w:pStyle w:val="naiskr"/>
              <w:spacing w:before="0" w:after="0"/>
            </w:pPr>
            <w:r w:rsidRPr="00A37390">
              <w:t>4.</w:t>
            </w:r>
          </w:p>
        </w:tc>
        <w:tc>
          <w:tcPr>
            <w:tcW w:w="4315" w:type="dxa"/>
          </w:tcPr>
          <w:p w:rsidR="00262E2B" w:rsidRPr="00A37390" w:rsidRDefault="000C790C" w:rsidP="00DA5914">
            <w:pPr>
              <w:pStyle w:val="naiskr"/>
              <w:spacing w:before="0" w:after="0"/>
              <w:ind w:left="22"/>
            </w:pPr>
            <w:r w:rsidRPr="00A37390">
              <w:t>Tiesiskā r</w:t>
            </w:r>
            <w:r w:rsidR="00400032" w:rsidRPr="00A37390">
              <w:t xml:space="preserve">egulējuma </w:t>
            </w:r>
            <w:r w:rsidR="00262E2B" w:rsidRPr="00A37390">
              <w:t>mērķis un būtība</w:t>
            </w:r>
          </w:p>
        </w:tc>
        <w:tc>
          <w:tcPr>
            <w:tcW w:w="4860" w:type="dxa"/>
          </w:tcPr>
          <w:p w:rsidR="00707D33" w:rsidRDefault="008E25F0" w:rsidP="0025465D">
            <w:pPr>
              <w:spacing w:before="120" w:after="120"/>
              <w:ind w:left="102" w:right="142"/>
              <w:jc w:val="both"/>
            </w:pPr>
            <w:r w:rsidRPr="00A37390">
              <w:t xml:space="preserve">Ministru kabineta noteikumu projekts </w:t>
            </w:r>
            <w:r w:rsidR="004A24E2">
              <w:t>nosaka kārtību</w:t>
            </w:r>
            <w:r w:rsidR="00707D33" w:rsidRPr="00A37390">
              <w:t>, kādā īsteno</w:t>
            </w:r>
            <w:r w:rsidR="006D4451">
              <w:t xml:space="preserve"> 3.2.2.2.ak</w:t>
            </w:r>
            <w:r w:rsidR="00707D33">
              <w:t>tivitāti.</w:t>
            </w:r>
          </w:p>
          <w:p w:rsidR="004A24E2" w:rsidRPr="0035175E" w:rsidRDefault="004A24E2" w:rsidP="0025465D">
            <w:pPr>
              <w:spacing w:before="120" w:after="120"/>
              <w:ind w:left="102" w:right="142"/>
              <w:jc w:val="both"/>
            </w:pPr>
            <w:r w:rsidRPr="0035175E">
              <w:t xml:space="preserve">Aktivitātes īstenošanas veids ir </w:t>
            </w:r>
            <w:r>
              <w:t>ierobežota</w:t>
            </w:r>
            <w:r w:rsidRPr="0035175E">
              <w:t xml:space="preserve"> projektu iesniegumu atlase.</w:t>
            </w:r>
          </w:p>
          <w:p w:rsidR="00707D33" w:rsidRPr="004A24E2" w:rsidRDefault="004A24E2" w:rsidP="0025465D">
            <w:pPr>
              <w:spacing w:before="120" w:after="120"/>
              <w:ind w:left="102" w:right="142"/>
              <w:jc w:val="both"/>
              <w:rPr>
                <w:sz w:val="26"/>
                <w:szCs w:val="26"/>
              </w:rPr>
            </w:pPr>
            <w:r>
              <w:t>Ministru kabineta noteikumu projekts</w:t>
            </w:r>
            <w:r w:rsidR="00707D33" w:rsidRPr="00A37390">
              <w:t xml:space="preserve"> nosaka projektu iesniegumu vērtēšanas kritērijus,</w:t>
            </w:r>
            <w:r w:rsidR="0025465D">
              <w:t xml:space="preserve"> </w:t>
            </w:r>
            <w:r w:rsidRPr="004A24E2">
              <w:t>projekta minimālo un maksimālo attiecināmo izmaksu kopsummu, projekta iesnieguma veidlapu, projektu iesniegumu atlases un vērtēšanas kārtību, lēmuma par projekta iesnieguma apstiprināšanu vai noraidīšanu pieņemšanas un paziņošanas kārtību, projektu īstenošanas noteikumus,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p w:rsidR="00707D33" w:rsidRDefault="00707D33" w:rsidP="0025465D">
            <w:pPr>
              <w:spacing w:before="120" w:after="120"/>
              <w:ind w:left="102" w:right="142"/>
              <w:jc w:val="both"/>
            </w:pPr>
            <w:r>
              <w:t>3.2.2.2</w:t>
            </w:r>
            <w:r w:rsidRPr="00D20766">
              <w:t xml:space="preserve">.aktivitātes </w:t>
            </w:r>
            <w:r w:rsidRPr="006630D6">
              <w:t xml:space="preserve">mērķis ir </w:t>
            </w:r>
            <w:r>
              <w:t>p</w:t>
            </w:r>
            <w:r w:rsidRPr="00F93993">
              <w:t>aaugstināt piekļuves iespējas internetam pēc iespējas plašākām sabiedrības grupām, veicinot piekļuvi publiskās pārvaldes un komercsabiedrību piedāvātajiem elektroniskajiem u.c. pakalpojumiem un informācijai, lai veicinātu iedzīvotāju iekļaušanos sabiedrības sociālajos, ekonomiskajos un kultūras procesos un uzlabotu viņu dzīves kvalitāti.</w:t>
            </w:r>
          </w:p>
          <w:p w:rsidR="00803E80" w:rsidRPr="00A37390" w:rsidRDefault="00707D33" w:rsidP="00C04CAA">
            <w:pPr>
              <w:spacing w:before="120" w:after="120"/>
              <w:ind w:left="102" w:right="142"/>
              <w:jc w:val="both"/>
            </w:pPr>
            <w:r w:rsidRPr="00A37390">
              <w:t xml:space="preserve">Saskaņā ar </w:t>
            </w:r>
            <w:r w:rsidRPr="006630D6">
              <w:t xml:space="preserve">darbības programmas „Infrastruktūra un pakalpojumi” papildinājumā noteikto </w:t>
            </w:r>
            <w:r w:rsidRPr="00A37390">
              <w:t xml:space="preserve">kopējais aktivitātei pieejamais finansējums ir </w:t>
            </w:r>
            <w:r w:rsidRPr="00457ED9">
              <w:t>3 000</w:t>
            </w:r>
            <w:r>
              <w:t> </w:t>
            </w:r>
            <w:r w:rsidR="008C6A5E">
              <w:t>000</w:t>
            </w:r>
            <w:r w:rsidRPr="006630D6">
              <w:t xml:space="preserve"> </w:t>
            </w:r>
            <w:r>
              <w:t>lats</w:t>
            </w:r>
            <w:r w:rsidRPr="00326496">
              <w:t xml:space="preserve">, tai skaitā Eiropas </w:t>
            </w:r>
            <w:r>
              <w:t xml:space="preserve">Reģionālās attīstības fonda </w:t>
            </w:r>
            <w:r w:rsidRPr="00326496">
              <w:t xml:space="preserve">finansējums </w:t>
            </w:r>
            <w:r w:rsidR="005B61A1">
              <w:t>2 550 000 latu</w:t>
            </w:r>
            <w:r w:rsidRPr="00457ED9">
              <w:t xml:space="preserve"> </w:t>
            </w:r>
            <w:r w:rsidRPr="00326496">
              <w:t xml:space="preserve">un </w:t>
            </w:r>
            <w:r w:rsidR="00C04CAA">
              <w:t>pašvaldību</w:t>
            </w:r>
            <w:r w:rsidRPr="00326496">
              <w:t xml:space="preserve"> budžeta finansējums </w:t>
            </w:r>
            <w:r w:rsidRPr="00457ED9">
              <w:t>450 000</w:t>
            </w:r>
            <w:r w:rsidRPr="006630D6">
              <w:t xml:space="preserve"> </w:t>
            </w:r>
            <w:r w:rsidR="005B61A1">
              <w:t>latu</w:t>
            </w:r>
            <w:r w:rsidRPr="00326496">
              <w:t>.</w:t>
            </w:r>
          </w:p>
        </w:tc>
      </w:tr>
      <w:tr w:rsidR="00262E2B" w:rsidRPr="00A37390" w:rsidTr="00F31F98">
        <w:trPr>
          <w:trHeight w:val="476"/>
        </w:trPr>
        <w:tc>
          <w:tcPr>
            <w:tcW w:w="687" w:type="dxa"/>
          </w:tcPr>
          <w:p w:rsidR="00262E2B" w:rsidRPr="00A37390" w:rsidRDefault="00262E2B" w:rsidP="006C4607">
            <w:pPr>
              <w:pStyle w:val="naiskr"/>
              <w:spacing w:before="0" w:after="0"/>
            </w:pPr>
            <w:r w:rsidRPr="00A37390">
              <w:lastRenderedPageBreak/>
              <w:t>5.</w:t>
            </w:r>
          </w:p>
        </w:tc>
        <w:tc>
          <w:tcPr>
            <w:tcW w:w="4315" w:type="dxa"/>
          </w:tcPr>
          <w:p w:rsidR="00262E2B" w:rsidRPr="00A37390" w:rsidRDefault="001A4066" w:rsidP="00DA5914">
            <w:pPr>
              <w:pStyle w:val="naiskr"/>
              <w:spacing w:before="0" w:after="0"/>
              <w:ind w:left="22"/>
            </w:pPr>
            <w:r w:rsidRPr="00A37390">
              <w:t>Projekta i</w:t>
            </w:r>
            <w:r w:rsidR="00262E2B" w:rsidRPr="00A37390">
              <w:t>zstrād</w:t>
            </w:r>
            <w:r w:rsidR="00420870" w:rsidRPr="00A37390">
              <w:t xml:space="preserve">ē </w:t>
            </w:r>
            <w:r w:rsidR="00262E2B" w:rsidRPr="00A37390">
              <w:t>iesaistītās institūcijas</w:t>
            </w:r>
          </w:p>
        </w:tc>
        <w:tc>
          <w:tcPr>
            <w:tcW w:w="4860" w:type="dxa"/>
          </w:tcPr>
          <w:p w:rsidR="00262E2B" w:rsidRPr="00A37390" w:rsidRDefault="00F25801" w:rsidP="0025465D">
            <w:pPr>
              <w:pStyle w:val="naiskr"/>
              <w:spacing w:before="120" w:after="120"/>
              <w:ind w:left="102" w:right="142"/>
              <w:jc w:val="both"/>
            </w:pPr>
            <w:r>
              <w:rPr>
                <w:iCs/>
              </w:rPr>
              <w:t>Nav</w:t>
            </w:r>
            <w:r w:rsidR="00E06186" w:rsidRPr="00A37390">
              <w:rPr>
                <w:iCs/>
              </w:rPr>
              <w:t>.</w:t>
            </w:r>
          </w:p>
        </w:tc>
      </w:tr>
      <w:tr w:rsidR="00262E2B" w:rsidRPr="000F449A" w:rsidTr="00F31F98">
        <w:trPr>
          <w:trHeight w:val="415"/>
        </w:trPr>
        <w:tc>
          <w:tcPr>
            <w:tcW w:w="687" w:type="dxa"/>
          </w:tcPr>
          <w:p w:rsidR="00262E2B" w:rsidRPr="000F449A" w:rsidRDefault="00262E2B" w:rsidP="006C4607">
            <w:pPr>
              <w:pStyle w:val="naiskr"/>
              <w:spacing w:before="0" w:after="0"/>
            </w:pPr>
            <w:r w:rsidRPr="000F449A">
              <w:t>6.</w:t>
            </w:r>
          </w:p>
        </w:tc>
        <w:tc>
          <w:tcPr>
            <w:tcW w:w="4315" w:type="dxa"/>
          </w:tcPr>
          <w:p w:rsidR="00262E2B" w:rsidRPr="000F449A" w:rsidRDefault="00BB7C94" w:rsidP="00DA5914">
            <w:pPr>
              <w:pStyle w:val="naiskr"/>
              <w:spacing w:before="0" w:after="0"/>
              <w:ind w:left="22"/>
              <w:rPr>
                <w:i/>
              </w:rPr>
            </w:pPr>
            <w:r w:rsidRPr="000F449A">
              <w:t xml:space="preserve">Iemesli, kādēļ netika nodrošināta </w:t>
            </w:r>
            <w:r w:rsidR="00262E2B" w:rsidRPr="000F449A">
              <w:t xml:space="preserve">sabiedrības </w:t>
            </w:r>
            <w:r w:rsidRPr="000F449A">
              <w:t>līdzdalība</w:t>
            </w:r>
          </w:p>
        </w:tc>
        <w:tc>
          <w:tcPr>
            <w:tcW w:w="4860" w:type="dxa"/>
          </w:tcPr>
          <w:p w:rsidR="00812BB5" w:rsidRPr="006D4451" w:rsidRDefault="004A24E2" w:rsidP="0025465D">
            <w:pPr>
              <w:pStyle w:val="FootnoteText"/>
              <w:spacing w:before="120" w:after="120"/>
              <w:ind w:left="102" w:right="142"/>
              <w:jc w:val="both"/>
              <w:rPr>
                <w:sz w:val="24"/>
                <w:szCs w:val="24"/>
              </w:rPr>
            </w:pPr>
            <w:r w:rsidRPr="006D4451">
              <w:rPr>
                <w:sz w:val="24"/>
                <w:szCs w:val="24"/>
              </w:rPr>
              <w:t>Ņemot vērā, to, ka 3.2.2.2.aktivitāte tiek īstenota ierobežotas projektu iesniegumu atlases veidā, sabiedrības līdzdalība nebija nepieciešama.</w:t>
            </w:r>
          </w:p>
        </w:tc>
      </w:tr>
      <w:tr w:rsidR="00262E2B" w:rsidRPr="000F449A" w:rsidTr="00F31F98">
        <w:tc>
          <w:tcPr>
            <w:tcW w:w="687" w:type="dxa"/>
          </w:tcPr>
          <w:p w:rsidR="00262E2B" w:rsidRPr="000F449A" w:rsidRDefault="00262E2B" w:rsidP="006C4607">
            <w:pPr>
              <w:pStyle w:val="naiskr"/>
              <w:spacing w:before="0" w:after="0"/>
            </w:pPr>
            <w:r w:rsidRPr="000F449A">
              <w:t>7.</w:t>
            </w:r>
          </w:p>
        </w:tc>
        <w:tc>
          <w:tcPr>
            <w:tcW w:w="4315" w:type="dxa"/>
          </w:tcPr>
          <w:p w:rsidR="00262E2B" w:rsidRPr="000F449A" w:rsidRDefault="00262E2B" w:rsidP="006C4607">
            <w:pPr>
              <w:pStyle w:val="naiskr"/>
              <w:spacing w:before="0" w:after="0"/>
            </w:pPr>
            <w:r w:rsidRPr="000F449A">
              <w:t>Cita informācija</w:t>
            </w:r>
          </w:p>
        </w:tc>
        <w:tc>
          <w:tcPr>
            <w:tcW w:w="4860" w:type="dxa"/>
          </w:tcPr>
          <w:p w:rsidR="00262E2B" w:rsidRPr="000F449A" w:rsidRDefault="00262E2B" w:rsidP="0025465D">
            <w:pPr>
              <w:pStyle w:val="naiskr"/>
              <w:spacing w:before="120" w:after="120"/>
              <w:ind w:left="102" w:right="142"/>
            </w:pPr>
            <w:r w:rsidRPr="000F449A">
              <w:t>Nav</w:t>
            </w:r>
            <w:r w:rsidR="00914E42" w:rsidRPr="000F449A">
              <w:t>.</w:t>
            </w:r>
          </w:p>
        </w:tc>
      </w:tr>
    </w:tbl>
    <w:p w:rsidR="00402719" w:rsidRDefault="00402719" w:rsidP="006C4607">
      <w:pPr>
        <w:pStyle w:val="naisf"/>
        <w:spacing w:before="0" w:after="0"/>
      </w:pPr>
    </w:p>
    <w:p w:rsidR="00F31F98" w:rsidRPr="000F449A" w:rsidRDefault="00F31F98" w:rsidP="006C4607">
      <w:pPr>
        <w:pStyle w:val="naisf"/>
        <w:spacing w:before="0" w:after="0"/>
      </w:pPr>
    </w:p>
    <w:tbl>
      <w:tblPr>
        <w:tblpPr w:leftFromText="180" w:rightFromText="180" w:vertAnchor="text" w:horzAnchor="margin" w:tblpXSpec="center" w:tblpY="149"/>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417"/>
        <w:gridCol w:w="4938"/>
      </w:tblGrid>
      <w:tr w:rsidR="0062298A" w:rsidRPr="000F449A" w:rsidTr="00F31F98">
        <w:tc>
          <w:tcPr>
            <w:tcW w:w="10042" w:type="dxa"/>
            <w:gridSpan w:val="3"/>
            <w:vAlign w:val="center"/>
          </w:tcPr>
          <w:p w:rsidR="0062298A" w:rsidRPr="000F449A" w:rsidRDefault="0062298A" w:rsidP="006C4607">
            <w:pPr>
              <w:pStyle w:val="naisnod"/>
              <w:spacing w:before="0" w:after="0"/>
            </w:pPr>
            <w:r w:rsidRPr="000F449A">
              <w:t>II</w:t>
            </w:r>
            <w:r w:rsidR="000941C5" w:rsidRPr="000F449A">
              <w:t>.</w:t>
            </w:r>
            <w:r w:rsidRPr="000F449A">
              <w:t xml:space="preserve"> Tiesību akta projekta ietekme uz sabiedrību</w:t>
            </w:r>
          </w:p>
        </w:tc>
      </w:tr>
      <w:tr w:rsidR="0062298A" w:rsidRPr="00A37390" w:rsidTr="00F31F98">
        <w:trPr>
          <w:trHeight w:val="467"/>
        </w:trPr>
        <w:tc>
          <w:tcPr>
            <w:tcW w:w="687" w:type="dxa"/>
          </w:tcPr>
          <w:p w:rsidR="0062298A" w:rsidRPr="000F449A" w:rsidRDefault="0062298A" w:rsidP="006C4607">
            <w:pPr>
              <w:pStyle w:val="naiskr"/>
              <w:spacing w:before="0" w:after="0"/>
            </w:pPr>
            <w:r w:rsidRPr="000F449A">
              <w:t>1.</w:t>
            </w:r>
          </w:p>
        </w:tc>
        <w:tc>
          <w:tcPr>
            <w:tcW w:w="4417" w:type="dxa"/>
          </w:tcPr>
          <w:p w:rsidR="0062298A" w:rsidRPr="000F449A" w:rsidRDefault="00C27A08" w:rsidP="006C4607">
            <w:pPr>
              <w:pStyle w:val="naiskr"/>
              <w:spacing w:before="0" w:after="0"/>
            </w:pPr>
            <w:r w:rsidRPr="000F449A">
              <w:t>Sabiedrības mērķgrupa</w:t>
            </w:r>
          </w:p>
        </w:tc>
        <w:tc>
          <w:tcPr>
            <w:tcW w:w="4938" w:type="dxa"/>
          </w:tcPr>
          <w:p w:rsidR="000F449A" w:rsidRPr="000F449A" w:rsidRDefault="00544CF9" w:rsidP="0025465D">
            <w:pPr>
              <w:pStyle w:val="naiskr"/>
              <w:spacing w:before="0" w:after="0"/>
              <w:ind w:left="102" w:right="142"/>
              <w:jc w:val="both"/>
            </w:pPr>
            <w:r>
              <w:t>Latvijas i</w:t>
            </w:r>
            <w:r w:rsidR="002F6A5E" w:rsidRPr="000F449A">
              <w:t>edzīvotāji</w:t>
            </w:r>
            <w:r>
              <w:t xml:space="preserve"> (</w:t>
            </w:r>
            <w:r w:rsidRPr="00544CF9">
              <w:t>2 miljoni)</w:t>
            </w:r>
            <w:r w:rsidR="002F6A5E" w:rsidRPr="000F449A">
              <w:t xml:space="preserve"> un citi publisko inte</w:t>
            </w:r>
            <w:r w:rsidR="000F449A" w:rsidRPr="000F449A">
              <w:t>rneta pieejas punktu lietotāji.</w:t>
            </w:r>
          </w:p>
          <w:p w:rsidR="002E27AF" w:rsidRPr="000F449A" w:rsidRDefault="002E27AF" w:rsidP="0025465D">
            <w:pPr>
              <w:pStyle w:val="naiskr"/>
              <w:spacing w:before="0" w:after="0"/>
              <w:ind w:left="102" w:right="142"/>
              <w:jc w:val="both"/>
            </w:pPr>
          </w:p>
        </w:tc>
      </w:tr>
      <w:tr w:rsidR="0062298A" w:rsidRPr="00A37390" w:rsidTr="00F31F98">
        <w:trPr>
          <w:trHeight w:val="523"/>
        </w:trPr>
        <w:tc>
          <w:tcPr>
            <w:tcW w:w="687" w:type="dxa"/>
          </w:tcPr>
          <w:p w:rsidR="0062298A" w:rsidRPr="00A37390" w:rsidRDefault="0062298A" w:rsidP="006C4607">
            <w:pPr>
              <w:pStyle w:val="naiskr"/>
              <w:spacing w:before="0" w:after="0"/>
            </w:pPr>
            <w:r w:rsidRPr="00A37390">
              <w:t>2.</w:t>
            </w:r>
          </w:p>
        </w:tc>
        <w:tc>
          <w:tcPr>
            <w:tcW w:w="4417" w:type="dxa"/>
          </w:tcPr>
          <w:p w:rsidR="00C1133D" w:rsidRPr="00A37390" w:rsidRDefault="00C27A08" w:rsidP="006C4607">
            <w:pPr>
              <w:pStyle w:val="naiskr"/>
              <w:spacing w:before="0" w:after="0"/>
            </w:pPr>
            <w:r w:rsidRPr="00A37390">
              <w:t>Citas sabiedrības grupas (bez mērķgrupas), kuras tiesiskais regulējums arī ietekmē vai varētu ietekmēt</w:t>
            </w:r>
          </w:p>
        </w:tc>
        <w:tc>
          <w:tcPr>
            <w:tcW w:w="4938" w:type="dxa"/>
          </w:tcPr>
          <w:p w:rsidR="002E27AF" w:rsidRPr="00BD05D4" w:rsidRDefault="000F449A" w:rsidP="0025465D">
            <w:pPr>
              <w:pStyle w:val="naiskr"/>
              <w:spacing w:before="0" w:after="0"/>
              <w:ind w:left="102" w:right="142"/>
              <w:jc w:val="both"/>
              <w:rPr>
                <w:highlight w:val="yellow"/>
              </w:rPr>
            </w:pPr>
            <w:r w:rsidRPr="00A37390">
              <w:rPr>
                <w:iCs/>
              </w:rPr>
              <w:t>Nav attiecināms</w:t>
            </w:r>
            <w:r>
              <w:rPr>
                <w:iCs/>
              </w:rPr>
              <w:t>.</w:t>
            </w:r>
          </w:p>
        </w:tc>
      </w:tr>
      <w:tr w:rsidR="0062298A" w:rsidRPr="00A37390" w:rsidTr="00F31F98">
        <w:trPr>
          <w:trHeight w:val="517"/>
        </w:trPr>
        <w:tc>
          <w:tcPr>
            <w:tcW w:w="687" w:type="dxa"/>
          </w:tcPr>
          <w:p w:rsidR="0062298A" w:rsidRPr="00A37390" w:rsidRDefault="0062298A" w:rsidP="006C4607">
            <w:pPr>
              <w:pStyle w:val="naiskr"/>
              <w:spacing w:before="0" w:after="0"/>
            </w:pPr>
            <w:r w:rsidRPr="00A37390">
              <w:t>3.</w:t>
            </w:r>
          </w:p>
        </w:tc>
        <w:tc>
          <w:tcPr>
            <w:tcW w:w="4417" w:type="dxa"/>
          </w:tcPr>
          <w:p w:rsidR="00C1133D" w:rsidRPr="00A37390" w:rsidRDefault="000C790C" w:rsidP="006C4607">
            <w:pPr>
              <w:pStyle w:val="naiskr"/>
              <w:spacing w:before="0" w:after="0"/>
            </w:pPr>
            <w:r w:rsidRPr="00A37390">
              <w:t>Tiesiskā r</w:t>
            </w:r>
            <w:r w:rsidR="003D21FF" w:rsidRPr="00A37390">
              <w:t>egulējuma</w:t>
            </w:r>
            <w:r w:rsidR="00C27A08" w:rsidRPr="00A37390">
              <w:t xml:space="preserve"> finansiālā ietekme</w:t>
            </w:r>
          </w:p>
        </w:tc>
        <w:tc>
          <w:tcPr>
            <w:tcW w:w="4938" w:type="dxa"/>
          </w:tcPr>
          <w:p w:rsidR="002E27AF" w:rsidRPr="00BD05D4" w:rsidRDefault="000F449A" w:rsidP="0025465D">
            <w:pPr>
              <w:pStyle w:val="naiskr"/>
              <w:spacing w:before="0" w:after="0"/>
              <w:ind w:left="102" w:right="142"/>
              <w:jc w:val="both"/>
              <w:rPr>
                <w:highlight w:val="yellow"/>
              </w:rPr>
            </w:pPr>
            <w:r w:rsidRPr="00A37390">
              <w:rPr>
                <w:iCs/>
              </w:rPr>
              <w:t>Nav attiecināms</w:t>
            </w:r>
            <w:r>
              <w:rPr>
                <w:iCs/>
              </w:rPr>
              <w:t>.</w:t>
            </w:r>
          </w:p>
        </w:tc>
      </w:tr>
      <w:tr w:rsidR="00C27A08" w:rsidRPr="00A37390" w:rsidTr="00F31F98">
        <w:trPr>
          <w:trHeight w:val="517"/>
        </w:trPr>
        <w:tc>
          <w:tcPr>
            <w:tcW w:w="687" w:type="dxa"/>
          </w:tcPr>
          <w:p w:rsidR="00C27A08" w:rsidRPr="00A37390" w:rsidRDefault="00C27A08" w:rsidP="006C4607">
            <w:pPr>
              <w:pStyle w:val="naiskr"/>
              <w:spacing w:before="0" w:after="0"/>
            </w:pPr>
            <w:r w:rsidRPr="00A37390">
              <w:t>4.</w:t>
            </w:r>
          </w:p>
        </w:tc>
        <w:tc>
          <w:tcPr>
            <w:tcW w:w="4417" w:type="dxa"/>
          </w:tcPr>
          <w:p w:rsidR="00C27A08" w:rsidRPr="00A37390" w:rsidRDefault="00C27A08" w:rsidP="006C4607">
            <w:pPr>
              <w:pStyle w:val="naiskr"/>
              <w:spacing w:before="0" w:after="0"/>
            </w:pPr>
            <w:r w:rsidRPr="00A37390">
              <w:t>Tiesiskā regulējuma nefinansiālā ietekme</w:t>
            </w:r>
          </w:p>
        </w:tc>
        <w:tc>
          <w:tcPr>
            <w:tcW w:w="4938" w:type="dxa"/>
          </w:tcPr>
          <w:p w:rsidR="00C27A08" w:rsidRPr="00A37390" w:rsidRDefault="00614E2F" w:rsidP="0025465D">
            <w:pPr>
              <w:pStyle w:val="naiskr"/>
              <w:spacing w:before="0" w:after="0"/>
              <w:ind w:left="102" w:right="142"/>
              <w:jc w:val="both"/>
            </w:pPr>
            <w:r w:rsidRPr="00A37390">
              <w:rPr>
                <w:iCs/>
              </w:rPr>
              <w:t>Nav attiecināms</w:t>
            </w:r>
            <w:r w:rsidR="00914E42">
              <w:rPr>
                <w:iCs/>
              </w:rPr>
              <w:t>.</w:t>
            </w:r>
          </w:p>
        </w:tc>
      </w:tr>
      <w:tr w:rsidR="0062298A" w:rsidRPr="00A37390" w:rsidTr="00F31F98">
        <w:trPr>
          <w:trHeight w:val="531"/>
        </w:trPr>
        <w:tc>
          <w:tcPr>
            <w:tcW w:w="687" w:type="dxa"/>
          </w:tcPr>
          <w:p w:rsidR="0062298A" w:rsidRPr="00A37390" w:rsidRDefault="00C27A08" w:rsidP="006C4607">
            <w:pPr>
              <w:pStyle w:val="naiskr"/>
              <w:spacing w:before="0" w:after="0"/>
            </w:pPr>
            <w:r w:rsidRPr="00A37390">
              <w:t>5</w:t>
            </w:r>
            <w:r w:rsidR="0062298A" w:rsidRPr="00A37390">
              <w:t>.</w:t>
            </w:r>
          </w:p>
        </w:tc>
        <w:tc>
          <w:tcPr>
            <w:tcW w:w="4417" w:type="dxa"/>
          </w:tcPr>
          <w:p w:rsidR="00C1133D" w:rsidRPr="00A37390" w:rsidRDefault="00C1133D" w:rsidP="006C4607">
            <w:pPr>
              <w:pStyle w:val="naiskr"/>
              <w:spacing w:before="0" w:after="0"/>
            </w:pPr>
            <w:r w:rsidRPr="00A37390">
              <w:t>Administratīv</w:t>
            </w:r>
            <w:r w:rsidR="00C27A08" w:rsidRPr="00A37390">
              <w:t>ās</w:t>
            </w:r>
            <w:r w:rsidRPr="00A37390">
              <w:t xml:space="preserve"> procedūr</w:t>
            </w:r>
            <w:r w:rsidR="00965897" w:rsidRPr="00A37390">
              <w:t>a</w:t>
            </w:r>
            <w:r w:rsidRPr="00A37390">
              <w:t xml:space="preserve">s </w:t>
            </w:r>
            <w:r w:rsidR="00C27A08" w:rsidRPr="00A37390">
              <w:t>raksturojums</w:t>
            </w:r>
          </w:p>
        </w:tc>
        <w:tc>
          <w:tcPr>
            <w:tcW w:w="4938" w:type="dxa"/>
          </w:tcPr>
          <w:p w:rsidR="0062298A" w:rsidRPr="00A37390" w:rsidRDefault="00E06186" w:rsidP="0025465D">
            <w:pPr>
              <w:pStyle w:val="naiskr"/>
              <w:spacing w:before="0" w:after="0"/>
              <w:ind w:left="102" w:right="142"/>
            </w:pPr>
            <w:r w:rsidRPr="00A37390">
              <w:rPr>
                <w:iCs/>
              </w:rPr>
              <w:t>Nav attiecināms</w:t>
            </w:r>
            <w:r w:rsidR="00914E42">
              <w:rPr>
                <w:iCs/>
              </w:rPr>
              <w:t>.</w:t>
            </w:r>
          </w:p>
        </w:tc>
      </w:tr>
      <w:tr w:rsidR="0062298A" w:rsidRPr="00A37390" w:rsidTr="00F31F98">
        <w:trPr>
          <w:trHeight w:val="357"/>
        </w:trPr>
        <w:tc>
          <w:tcPr>
            <w:tcW w:w="687" w:type="dxa"/>
          </w:tcPr>
          <w:p w:rsidR="0062298A" w:rsidRPr="00A37390" w:rsidRDefault="00C27A08" w:rsidP="006C4607">
            <w:pPr>
              <w:pStyle w:val="naiskr"/>
              <w:spacing w:before="0" w:after="0"/>
            </w:pPr>
            <w:r w:rsidRPr="00A37390">
              <w:t>6</w:t>
            </w:r>
            <w:r w:rsidR="0062298A" w:rsidRPr="00A37390">
              <w:t>.</w:t>
            </w:r>
          </w:p>
        </w:tc>
        <w:tc>
          <w:tcPr>
            <w:tcW w:w="4417" w:type="dxa"/>
          </w:tcPr>
          <w:p w:rsidR="00AE5066" w:rsidRPr="00A37390" w:rsidRDefault="00C27A08" w:rsidP="006C4607">
            <w:pPr>
              <w:pStyle w:val="naiskr"/>
              <w:spacing w:before="0" w:after="0"/>
            </w:pPr>
            <w:r w:rsidRPr="00A37390">
              <w:t xml:space="preserve">Administratīvo izmaksu </w:t>
            </w:r>
            <w:r w:rsidR="00502374" w:rsidRPr="00A37390">
              <w:t xml:space="preserve">monetārs </w:t>
            </w:r>
            <w:r w:rsidRPr="00A37390">
              <w:t>novērtējums</w:t>
            </w:r>
          </w:p>
        </w:tc>
        <w:tc>
          <w:tcPr>
            <w:tcW w:w="4938" w:type="dxa"/>
          </w:tcPr>
          <w:p w:rsidR="0062298A" w:rsidRPr="00A37390" w:rsidRDefault="00E06186" w:rsidP="0025465D">
            <w:pPr>
              <w:pStyle w:val="naiskr"/>
              <w:spacing w:before="0" w:after="0"/>
              <w:ind w:left="102" w:right="142"/>
            </w:pPr>
            <w:r w:rsidRPr="00A37390">
              <w:rPr>
                <w:iCs/>
              </w:rPr>
              <w:t>Nav attiecināms</w:t>
            </w:r>
            <w:r w:rsidR="00914E42">
              <w:rPr>
                <w:iCs/>
              </w:rPr>
              <w:t>.</w:t>
            </w:r>
          </w:p>
        </w:tc>
      </w:tr>
      <w:tr w:rsidR="0062298A" w:rsidRPr="00A37390" w:rsidTr="00F31F98">
        <w:tc>
          <w:tcPr>
            <w:tcW w:w="687" w:type="dxa"/>
          </w:tcPr>
          <w:p w:rsidR="0062298A" w:rsidRPr="00A37390" w:rsidRDefault="00C27A08" w:rsidP="006C4607">
            <w:pPr>
              <w:pStyle w:val="naiskr"/>
              <w:spacing w:before="0" w:after="0"/>
            </w:pPr>
            <w:r w:rsidRPr="00A37390">
              <w:t>7</w:t>
            </w:r>
            <w:r w:rsidR="0062298A" w:rsidRPr="00A37390">
              <w:t>.</w:t>
            </w:r>
          </w:p>
        </w:tc>
        <w:tc>
          <w:tcPr>
            <w:tcW w:w="4417" w:type="dxa"/>
          </w:tcPr>
          <w:p w:rsidR="0062298A" w:rsidRPr="00A37390" w:rsidRDefault="009E12D7" w:rsidP="006C4607">
            <w:pPr>
              <w:pStyle w:val="naiskr"/>
              <w:spacing w:before="0" w:after="0"/>
            </w:pPr>
            <w:r w:rsidRPr="00A37390">
              <w:t>Cita informācija</w:t>
            </w:r>
          </w:p>
        </w:tc>
        <w:tc>
          <w:tcPr>
            <w:tcW w:w="4938" w:type="dxa"/>
          </w:tcPr>
          <w:p w:rsidR="0062298A" w:rsidRPr="00A37390" w:rsidRDefault="0062298A" w:rsidP="0025465D">
            <w:pPr>
              <w:pStyle w:val="naiskr"/>
              <w:spacing w:before="0" w:after="0"/>
              <w:ind w:left="102" w:right="142"/>
            </w:pPr>
            <w:r w:rsidRPr="00A37390">
              <w:t>Nav</w:t>
            </w:r>
            <w:r w:rsidR="00914E42">
              <w:t>.</w:t>
            </w:r>
          </w:p>
        </w:tc>
      </w:tr>
    </w:tbl>
    <w:p w:rsidR="00AE5066" w:rsidRDefault="00AE5066" w:rsidP="006C4607">
      <w:pPr>
        <w:pStyle w:val="naiskr"/>
        <w:tabs>
          <w:tab w:val="left" w:pos="2628"/>
        </w:tabs>
        <w:spacing w:before="0" w:after="0"/>
      </w:pPr>
    </w:p>
    <w:tbl>
      <w:tblPr>
        <w:tblW w:w="5511" w:type="pct"/>
        <w:tblInd w:w="-4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283"/>
        <w:gridCol w:w="1272"/>
        <w:gridCol w:w="1286"/>
        <w:gridCol w:w="1262"/>
        <w:gridCol w:w="1262"/>
        <w:gridCol w:w="1699"/>
      </w:tblGrid>
      <w:tr w:rsidR="00383BB1" w:rsidRPr="0011584F" w:rsidTr="00383BB1">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b/>
                <w:bCs/>
                <w:color w:val="000000"/>
              </w:rPr>
            </w:pPr>
            <w:r w:rsidRPr="0011584F">
              <w:rPr>
                <w:b/>
                <w:bCs/>
                <w:color w:val="000000"/>
              </w:rPr>
              <w:t>III. Tiesību akta projekta ietekme uz valsts budžetu un pašvaldību budžetiem</w:t>
            </w:r>
          </w:p>
        </w:tc>
      </w:tr>
      <w:tr w:rsidR="00383BB1" w:rsidRPr="0011584F" w:rsidTr="00383BB1">
        <w:tc>
          <w:tcPr>
            <w:tcW w:w="1631" w:type="pct"/>
            <w:vMerge w:val="restar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b/>
                <w:bCs/>
                <w:color w:val="000000"/>
              </w:rPr>
            </w:pPr>
            <w:r w:rsidRPr="0011584F">
              <w:rPr>
                <w:b/>
                <w:bCs/>
                <w:color w:val="000000"/>
              </w:rPr>
              <w:t>Rādītāji</w:t>
            </w:r>
          </w:p>
        </w:tc>
        <w:tc>
          <w:tcPr>
            <w:tcW w:w="1271" w:type="pct"/>
            <w:gridSpan w:val="2"/>
            <w:vMerge w:val="restar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b/>
                <w:bCs/>
                <w:color w:val="000000"/>
              </w:rPr>
            </w:pPr>
            <w:r w:rsidRPr="0011584F">
              <w:rPr>
                <w:b/>
                <w:bCs/>
                <w:color w:val="000000"/>
              </w:rPr>
              <w:t>201</w:t>
            </w:r>
            <w:r>
              <w:rPr>
                <w:b/>
                <w:bCs/>
                <w:color w:val="000000"/>
              </w:rPr>
              <w:t>1</w:t>
            </w:r>
            <w:r w:rsidRPr="0011584F">
              <w:rPr>
                <w:b/>
                <w:bCs/>
                <w:color w:val="000000"/>
              </w:rPr>
              <w:t>.gads</w:t>
            </w:r>
          </w:p>
        </w:tc>
        <w:tc>
          <w:tcPr>
            <w:tcW w:w="2098" w:type="pct"/>
            <w:gridSpan w:val="3"/>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rPr>
            </w:pPr>
            <w:r w:rsidRPr="0011584F">
              <w:rPr>
                <w:color w:val="000000"/>
              </w:rPr>
              <w:t>Turpmākie trīs gadi (tūkst</w:t>
            </w:r>
            <w:smartTag w:uri="schemas-tilde-lv/tildestengine" w:element="currency2">
              <w:smartTagPr>
                <w:attr w:name="currency_text" w:val="latu"/>
                <w:attr w:name="currency_value" w:val="."/>
                <w:attr w:name="currency_key" w:val="LVL"/>
                <w:attr w:name="currency_id" w:val="48"/>
              </w:smartTagPr>
              <w:r w:rsidRPr="0011584F">
                <w:rPr>
                  <w:color w:val="000000"/>
                </w:rPr>
                <w:t>. latu</w:t>
              </w:r>
            </w:smartTag>
            <w:r w:rsidRPr="0011584F">
              <w:rPr>
                <w:color w:val="000000"/>
              </w:rPr>
              <w:t>)</w:t>
            </w:r>
          </w:p>
        </w:tc>
      </w:tr>
      <w:tr w:rsidR="00383BB1" w:rsidRPr="0011584F" w:rsidTr="00383BB1">
        <w:tc>
          <w:tcPr>
            <w:tcW w:w="1631" w:type="pct"/>
            <w:vMerge/>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rPr>
                <w:b/>
                <w:bCs/>
                <w:color w:val="000000"/>
              </w:rPr>
            </w:pPr>
          </w:p>
        </w:tc>
        <w:tc>
          <w:tcPr>
            <w:tcW w:w="1271" w:type="pct"/>
            <w:gridSpan w:val="2"/>
            <w:vMerge/>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rPr>
                <w:b/>
                <w:bCs/>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b/>
                <w:bCs/>
                <w:color w:val="000000"/>
              </w:rPr>
            </w:pPr>
            <w:r w:rsidRPr="0011584F">
              <w:rPr>
                <w:b/>
                <w:bCs/>
                <w:color w:val="000000"/>
              </w:rPr>
              <w:t>201</w:t>
            </w:r>
            <w:r>
              <w:rPr>
                <w:b/>
                <w:bCs/>
                <w:color w:val="000000"/>
              </w:rPr>
              <w:t>2</w:t>
            </w:r>
            <w:r w:rsidRPr="0011584F">
              <w:rPr>
                <w:b/>
                <w:bCs/>
                <w:color w:val="000000"/>
              </w:rPr>
              <w:t>.g.</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b/>
                <w:bCs/>
                <w:color w:val="000000"/>
              </w:rPr>
            </w:pPr>
            <w:r w:rsidRPr="0011584F">
              <w:rPr>
                <w:b/>
                <w:bCs/>
                <w:color w:val="000000"/>
              </w:rPr>
              <w:t>201</w:t>
            </w:r>
            <w:r>
              <w:rPr>
                <w:b/>
                <w:bCs/>
                <w:color w:val="000000"/>
              </w:rPr>
              <w:t>3</w:t>
            </w:r>
            <w:r w:rsidRPr="0011584F">
              <w:rPr>
                <w:b/>
                <w:bCs/>
                <w:color w:val="000000"/>
              </w:rPr>
              <w:t>.g.</w:t>
            </w:r>
          </w:p>
        </w:tc>
        <w:tc>
          <w:tcPr>
            <w:tcW w:w="844" w:type="pc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b/>
                <w:bCs/>
                <w:color w:val="000000"/>
              </w:rPr>
            </w:pPr>
            <w:r w:rsidRPr="0011584F">
              <w:rPr>
                <w:b/>
                <w:bCs/>
                <w:color w:val="000000"/>
              </w:rPr>
              <w:t>201</w:t>
            </w:r>
            <w:r>
              <w:rPr>
                <w:b/>
                <w:bCs/>
                <w:color w:val="000000"/>
              </w:rPr>
              <w:t>4</w:t>
            </w:r>
            <w:r w:rsidRPr="0011584F">
              <w:rPr>
                <w:b/>
                <w:bCs/>
                <w:color w:val="000000"/>
              </w:rPr>
              <w:t>.g.</w:t>
            </w:r>
          </w:p>
        </w:tc>
      </w:tr>
      <w:tr w:rsidR="00383BB1" w:rsidRPr="0011584F" w:rsidTr="00383BB1">
        <w:tc>
          <w:tcPr>
            <w:tcW w:w="1631" w:type="pct"/>
            <w:vMerge/>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rPr>
                <w:b/>
                <w:bCs/>
                <w:color w:val="000000"/>
              </w:rPr>
            </w:pPr>
          </w:p>
        </w:tc>
        <w:tc>
          <w:tcPr>
            <w:tcW w:w="632" w:type="pc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rPr>
            </w:pPr>
            <w:r w:rsidRPr="0011584F">
              <w:rPr>
                <w:color w:val="000000"/>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rPr>
            </w:pPr>
            <w:r w:rsidRPr="0011584F">
              <w:rPr>
                <w:color w:val="000000"/>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rPr>
            </w:pPr>
            <w:r w:rsidRPr="0011584F">
              <w:rPr>
                <w:color w:val="000000"/>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rPr>
            </w:pPr>
            <w:r w:rsidRPr="0011584F">
              <w:rPr>
                <w:color w:val="000000"/>
              </w:rPr>
              <w:t>Izmaiņas, salīdzinot ar kārtējo (n) gadu</w:t>
            </w:r>
          </w:p>
        </w:tc>
        <w:tc>
          <w:tcPr>
            <w:tcW w:w="844" w:type="pc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rPr>
            </w:pPr>
            <w:r w:rsidRPr="0011584F">
              <w:rPr>
                <w:color w:val="000000"/>
              </w:rPr>
              <w:t>Izmaiņas, salīdzinot ar kārtējo (n) gadu</w:t>
            </w:r>
          </w:p>
        </w:tc>
      </w:tr>
      <w:tr w:rsidR="00383BB1" w:rsidRPr="0011584F" w:rsidTr="00383BB1">
        <w:tc>
          <w:tcPr>
            <w:tcW w:w="1631" w:type="pc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sz w:val="20"/>
                <w:szCs w:val="20"/>
              </w:rPr>
            </w:pPr>
            <w:r w:rsidRPr="0011584F">
              <w:rPr>
                <w:color w:val="000000"/>
                <w:sz w:val="20"/>
                <w:szCs w:val="20"/>
              </w:rPr>
              <w:t>1</w:t>
            </w:r>
          </w:p>
        </w:tc>
        <w:tc>
          <w:tcPr>
            <w:tcW w:w="632" w:type="pc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sz w:val="20"/>
                <w:szCs w:val="20"/>
              </w:rPr>
            </w:pPr>
            <w:r w:rsidRPr="0011584F">
              <w:rPr>
                <w:color w:val="000000"/>
                <w:sz w:val="20"/>
                <w:szCs w:val="20"/>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sz w:val="20"/>
                <w:szCs w:val="20"/>
              </w:rPr>
            </w:pPr>
            <w:r w:rsidRPr="0011584F">
              <w:rPr>
                <w:color w:val="000000"/>
                <w:sz w:val="20"/>
                <w:szCs w:val="20"/>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sz w:val="20"/>
                <w:szCs w:val="20"/>
              </w:rPr>
            </w:pPr>
            <w:r w:rsidRPr="0011584F">
              <w:rPr>
                <w:color w:val="000000"/>
                <w:sz w:val="20"/>
                <w:szCs w:val="20"/>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sz w:val="20"/>
                <w:szCs w:val="20"/>
              </w:rPr>
            </w:pPr>
            <w:r w:rsidRPr="0011584F">
              <w:rPr>
                <w:color w:val="000000"/>
                <w:sz w:val="20"/>
                <w:szCs w:val="20"/>
              </w:rPr>
              <w:t>5</w:t>
            </w:r>
          </w:p>
        </w:tc>
        <w:tc>
          <w:tcPr>
            <w:tcW w:w="844" w:type="pct"/>
            <w:tcBorders>
              <w:top w:val="outset" w:sz="6" w:space="0" w:color="000000"/>
              <w:left w:val="outset" w:sz="6" w:space="0" w:color="000000"/>
              <w:bottom w:val="outset" w:sz="6" w:space="0" w:color="000000"/>
              <w:right w:val="outset" w:sz="6" w:space="0" w:color="000000"/>
            </w:tcBorders>
            <w:vAlign w:val="center"/>
          </w:tcPr>
          <w:p w:rsidR="00383BB1" w:rsidRPr="0011584F" w:rsidRDefault="00383BB1" w:rsidP="00D1501D">
            <w:pPr>
              <w:spacing w:before="100" w:beforeAutospacing="1" w:after="100" w:afterAutospacing="1"/>
              <w:jc w:val="center"/>
              <w:rPr>
                <w:color w:val="000000"/>
                <w:sz w:val="20"/>
                <w:szCs w:val="20"/>
              </w:rPr>
            </w:pPr>
            <w:r w:rsidRPr="0011584F">
              <w:rPr>
                <w:color w:val="000000"/>
                <w:sz w:val="20"/>
                <w:szCs w:val="20"/>
              </w:rPr>
              <w:t>6</w:t>
            </w:r>
          </w:p>
        </w:tc>
      </w:tr>
      <w:tr w:rsidR="000355EB" w:rsidRPr="0011584F" w:rsidTr="00383BB1">
        <w:trPr>
          <w:trHeight w:val="220"/>
        </w:trPr>
        <w:tc>
          <w:tcPr>
            <w:tcW w:w="1631" w:type="pct"/>
            <w:tcBorders>
              <w:top w:val="outset" w:sz="6" w:space="0" w:color="000000"/>
              <w:left w:val="outset" w:sz="6" w:space="0" w:color="000000"/>
              <w:bottom w:val="outset" w:sz="6" w:space="0" w:color="000000"/>
              <w:right w:val="outset" w:sz="6" w:space="0" w:color="000000"/>
            </w:tcBorders>
          </w:tcPr>
          <w:p w:rsidR="000355EB" w:rsidRPr="008934EE" w:rsidRDefault="000355EB" w:rsidP="00D1501D">
            <w:pPr>
              <w:spacing w:before="100" w:beforeAutospacing="1" w:after="100" w:afterAutospacing="1"/>
              <w:rPr>
                <w:b/>
                <w:color w:val="000000"/>
              </w:rPr>
            </w:pPr>
            <w:r w:rsidRPr="008934EE">
              <w:rPr>
                <w:b/>
                <w:color w:val="000000"/>
              </w:rPr>
              <w:t>1. Budžeta ieņēmumi:</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D1501D">
            <w:pPr>
              <w:spacing w:line="360" w:lineRule="auto"/>
              <w:jc w:val="right"/>
              <w:rPr>
                <w:b/>
                <w:color w:val="000000"/>
              </w:rPr>
            </w:pPr>
            <w:r w:rsidRPr="008934EE">
              <w:rPr>
                <w:b/>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D1501D">
            <w:pPr>
              <w:spacing w:line="360" w:lineRule="auto"/>
              <w:jc w:val="right"/>
              <w:rPr>
                <w:b/>
                <w:color w:val="000000"/>
              </w:rPr>
            </w:pPr>
            <w:r w:rsidRPr="008934EE">
              <w:rPr>
                <w:b/>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D1501D">
            <w:pPr>
              <w:spacing w:line="360" w:lineRule="auto"/>
              <w:jc w:val="right"/>
              <w:rPr>
                <w:b/>
                <w:color w:val="000000"/>
              </w:rPr>
            </w:pPr>
            <w:r w:rsidRPr="008934EE">
              <w:rPr>
                <w:b/>
                <w:color w:val="000000"/>
              </w:rPr>
              <w:t>1275</w:t>
            </w:r>
            <w:r w:rsidR="003C4AF8" w:rsidRPr="008934EE">
              <w:rPr>
                <w:b/>
                <w:color w:val="000000"/>
              </w:rPr>
              <w:t>,00</w:t>
            </w:r>
            <w:r w:rsidRPr="008934EE">
              <w:rPr>
                <w:b/>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D1501D">
            <w:pPr>
              <w:spacing w:line="360" w:lineRule="auto"/>
              <w:jc w:val="right"/>
              <w:rPr>
                <w:b/>
                <w:color w:val="000000"/>
              </w:rPr>
            </w:pPr>
            <w:r w:rsidRPr="008934EE">
              <w:rPr>
                <w:b/>
                <w:color w:val="000000"/>
              </w:rPr>
              <w:t>1275</w:t>
            </w:r>
            <w:r w:rsidR="003C4AF8" w:rsidRPr="008934EE">
              <w:rPr>
                <w:b/>
                <w:color w:val="000000"/>
              </w:rPr>
              <w:t>,00</w:t>
            </w:r>
            <w:r w:rsidRPr="008934EE">
              <w:rPr>
                <w:b/>
                <w:color w:val="000000"/>
              </w:rPr>
              <w:t> </w:t>
            </w:r>
          </w:p>
        </w:tc>
        <w:tc>
          <w:tcPr>
            <w:tcW w:w="844" w:type="pct"/>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0355EB">
            <w:pPr>
              <w:spacing w:line="360" w:lineRule="auto"/>
              <w:jc w:val="right"/>
              <w:rPr>
                <w:b/>
                <w:color w:val="000000"/>
              </w:rPr>
            </w:pPr>
            <w:r w:rsidRPr="008934EE">
              <w:rPr>
                <w:b/>
                <w:color w:val="000000"/>
              </w:rPr>
              <w:t>0</w:t>
            </w:r>
          </w:p>
        </w:tc>
      </w:tr>
      <w:tr w:rsidR="000355EB" w:rsidRPr="0011584F" w:rsidTr="00383BB1">
        <w:tc>
          <w:tcPr>
            <w:tcW w:w="1631" w:type="pct"/>
            <w:tcBorders>
              <w:top w:val="outset" w:sz="6" w:space="0" w:color="000000"/>
              <w:left w:val="outset" w:sz="6" w:space="0" w:color="000000"/>
              <w:bottom w:val="outset" w:sz="6" w:space="0" w:color="000000"/>
              <w:right w:val="outset" w:sz="6" w:space="0" w:color="000000"/>
            </w:tcBorders>
          </w:tcPr>
          <w:p w:rsidR="000355EB" w:rsidRPr="0011584F" w:rsidRDefault="000355EB" w:rsidP="00D1501D">
            <w:pPr>
              <w:spacing w:before="100" w:beforeAutospacing="1" w:after="100" w:afterAutospacing="1"/>
              <w:rPr>
                <w:color w:val="000000"/>
              </w:rPr>
            </w:pPr>
            <w:r w:rsidRPr="0011584F">
              <w:rPr>
                <w:color w:val="000000"/>
              </w:rPr>
              <w:t>1.1. valsts pamatbudžets, tai skaitā ieņēmumi no maksas pakalpojumiem un citi pašu ieņēmumi</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Pr>
                <w:color w:val="000000"/>
              </w:rPr>
              <w:t>275</w:t>
            </w:r>
            <w:r w:rsidR="003C4AF8">
              <w:rPr>
                <w:color w:val="000000"/>
              </w:rPr>
              <w:t>,00</w:t>
            </w:r>
            <w:r w:rsidRPr="0011584F">
              <w:rPr>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Pr>
                <w:color w:val="000000"/>
              </w:rPr>
              <w:t>1275</w:t>
            </w:r>
            <w:r w:rsidR="003C4AF8">
              <w:rPr>
                <w:color w:val="000000"/>
              </w:rPr>
              <w:t>,00</w:t>
            </w:r>
            <w:r w:rsidRPr="0011584F">
              <w:rPr>
                <w:color w:val="000000"/>
              </w:rPr>
              <w:t> </w:t>
            </w:r>
          </w:p>
        </w:tc>
        <w:tc>
          <w:tcPr>
            <w:tcW w:w="844"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r>
      <w:tr w:rsidR="000355EB" w:rsidRPr="0011584F" w:rsidTr="00383BB1">
        <w:tc>
          <w:tcPr>
            <w:tcW w:w="1631" w:type="pct"/>
            <w:tcBorders>
              <w:top w:val="outset" w:sz="6" w:space="0" w:color="000000"/>
              <w:left w:val="outset" w:sz="6" w:space="0" w:color="000000"/>
              <w:bottom w:val="outset" w:sz="6" w:space="0" w:color="000000"/>
              <w:right w:val="outset" w:sz="6" w:space="0" w:color="000000"/>
            </w:tcBorders>
          </w:tcPr>
          <w:p w:rsidR="000355EB" w:rsidRPr="0011584F" w:rsidRDefault="000355EB" w:rsidP="00D1501D">
            <w:pPr>
              <w:spacing w:before="100" w:beforeAutospacing="1" w:after="100" w:afterAutospacing="1"/>
              <w:rPr>
                <w:color w:val="000000"/>
              </w:rPr>
            </w:pPr>
            <w:r w:rsidRPr="0011584F">
              <w:rPr>
                <w:color w:val="000000"/>
              </w:rPr>
              <w:t>1.2. valsts speciālais 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844"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r>
      <w:tr w:rsidR="000355EB" w:rsidRPr="0011584F" w:rsidTr="00383BB1">
        <w:tc>
          <w:tcPr>
            <w:tcW w:w="1631" w:type="pct"/>
            <w:tcBorders>
              <w:top w:val="outset" w:sz="6" w:space="0" w:color="000000"/>
              <w:left w:val="outset" w:sz="6" w:space="0" w:color="000000"/>
              <w:bottom w:val="outset" w:sz="6" w:space="0" w:color="000000"/>
              <w:right w:val="outset" w:sz="6" w:space="0" w:color="000000"/>
            </w:tcBorders>
          </w:tcPr>
          <w:p w:rsidR="000355EB" w:rsidRPr="0011584F" w:rsidRDefault="000355EB" w:rsidP="00D1501D">
            <w:pPr>
              <w:spacing w:before="100" w:beforeAutospacing="1" w:after="100" w:afterAutospacing="1"/>
              <w:rPr>
                <w:color w:val="000000"/>
              </w:rPr>
            </w:pPr>
            <w:r w:rsidRPr="0011584F">
              <w:rPr>
                <w:color w:val="000000"/>
              </w:rPr>
              <w:t>1.3. pašvaldību 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844"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r>
      <w:tr w:rsidR="000355EB" w:rsidRPr="0011584F" w:rsidTr="00383BB1">
        <w:tc>
          <w:tcPr>
            <w:tcW w:w="1631" w:type="pct"/>
            <w:tcBorders>
              <w:top w:val="outset" w:sz="6" w:space="0" w:color="000000"/>
              <w:left w:val="outset" w:sz="6" w:space="0" w:color="000000"/>
              <w:bottom w:val="outset" w:sz="6" w:space="0" w:color="000000"/>
              <w:right w:val="outset" w:sz="6" w:space="0" w:color="000000"/>
            </w:tcBorders>
          </w:tcPr>
          <w:p w:rsidR="000355EB" w:rsidRPr="008934EE" w:rsidRDefault="000355EB" w:rsidP="00D1501D">
            <w:pPr>
              <w:spacing w:before="100" w:beforeAutospacing="1" w:after="100" w:afterAutospacing="1"/>
              <w:rPr>
                <w:b/>
                <w:color w:val="000000"/>
              </w:rPr>
            </w:pPr>
            <w:r w:rsidRPr="008934EE">
              <w:rPr>
                <w:b/>
                <w:color w:val="000000"/>
              </w:rPr>
              <w:t>2. Budžeta izdevumi:</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D1501D">
            <w:pPr>
              <w:spacing w:line="360" w:lineRule="auto"/>
              <w:jc w:val="right"/>
              <w:rPr>
                <w:b/>
                <w:color w:val="000000"/>
              </w:rPr>
            </w:pPr>
            <w:r w:rsidRPr="008934EE">
              <w:rPr>
                <w:b/>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8934EE" w:rsidRDefault="000355EB" w:rsidP="00D1501D">
            <w:pPr>
              <w:spacing w:line="360" w:lineRule="auto"/>
              <w:jc w:val="right"/>
              <w:rPr>
                <w:b/>
                <w:color w:val="000000"/>
              </w:rPr>
            </w:pPr>
            <w:r w:rsidRPr="008934EE">
              <w:rPr>
                <w:b/>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F78BB" w:rsidRPr="00BF78BB" w:rsidRDefault="00BF78BB" w:rsidP="00BF78BB">
            <w:pPr>
              <w:spacing w:line="360" w:lineRule="auto"/>
              <w:jc w:val="right"/>
              <w:rPr>
                <w:b/>
                <w:color w:val="000000"/>
              </w:rPr>
            </w:pPr>
            <w:r>
              <w:rPr>
                <w:b/>
                <w:bCs/>
                <w:color w:val="000000"/>
              </w:rPr>
              <w:t>1 517,28</w:t>
            </w:r>
          </w:p>
          <w:p w:rsidR="000355EB" w:rsidRPr="008934EE" w:rsidRDefault="000355EB" w:rsidP="00D1501D">
            <w:pPr>
              <w:spacing w:line="360" w:lineRule="auto"/>
              <w:jc w:val="right"/>
              <w:rPr>
                <w:b/>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F78BB" w:rsidRPr="00BF78BB" w:rsidRDefault="00BF78BB" w:rsidP="00BF78BB">
            <w:pPr>
              <w:spacing w:line="360" w:lineRule="auto"/>
              <w:jc w:val="right"/>
              <w:rPr>
                <w:b/>
                <w:color w:val="000000"/>
              </w:rPr>
            </w:pPr>
            <w:r>
              <w:rPr>
                <w:b/>
                <w:bCs/>
                <w:color w:val="000000"/>
              </w:rPr>
              <w:lastRenderedPageBreak/>
              <w:t>1 543,20</w:t>
            </w:r>
          </w:p>
          <w:p w:rsidR="000355EB" w:rsidRPr="008934EE" w:rsidRDefault="000355EB" w:rsidP="00D1501D">
            <w:pPr>
              <w:spacing w:line="360" w:lineRule="auto"/>
              <w:jc w:val="right"/>
              <w:rPr>
                <w:b/>
                <w:color w:val="000000"/>
              </w:rPr>
            </w:pPr>
          </w:p>
        </w:tc>
        <w:tc>
          <w:tcPr>
            <w:tcW w:w="844" w:type="pct"/>
            <w:tcBorders>
              <w:top w:val="outset" w:sz="6" w:space="0" w:color="000000"/>
              <w:left w:val="outset" w:sz="6" w:space="0" w:color="000000"/>
              <w:bottom w:val="outset" w:sz="6" w:space="0" w:color="000000"/>
              <w:right w:val="outset" w:sz="6" w:space="0" w:color="000000"/>
            </w:tcBorders>
            <w:vAlign w:val="center"/>
          </w:tcPr>
          <w:p w:rsidR="00BF78BB" w:rsidRPr="00BF78BB" w:rsidRDefault="00BF78BB" w:rsidP="00BF78BB">
            <w:pPr>
              <w:spacing w:line="360" w:lineRule="auto"/>
              <w:jc w:val="right"/>
              <w:rPr>
                <w:b/>
                <w:color w:val="000000"/>
              </w:rPr>
            </w:pPr>
            <w:r>
              <w:rPr>
                <w:b/>
                <w:bCs/>
                <w:color w:val="000000"/>
              </w:rPr>
              <w:lastRenderedPageBreak/>
              <w:t>86,40</w:t>
            </w:r>
          </w:p>
          <w:p w:rsidR="000355EB" w:rsidRPr="008934EE" w:rsidRDefault="000355EB" w:rsidP="00D1501D">
            <w:pPr>
              <w:spacing w:line="360" w:lineRule="auto"/>
              <w:jc w:val="right"/>
              <w:rPr>
                <w:b/>
                <w:color w:val="000000"/>
              </w:rPr>
            </w:pPr>
          </w:p>
        </w:tc>
      </w:tr>
      <w:tr w:rsidR="000355EB" w:rsidRPr="0011584F" w:rsidTr="00383BB1">
        <w:tc>
          <w:tcPr>
            <w:tcW w:w="1631" w:type="pct"/>
            <w:tcBorders>
              <w:top w:val="outset" w:sz="6" w:space="0" w:color="000000"/>
              <w:left w:val="outset" w:sz="6" w:space="0" w:color="000000"/>
              <w:bottom w:val="outset" w:sz="6" w:space="0" w:color="000000"/>
              <w:right w:val="outset" w:sz="6" w:space="0" w:color="000000"/>
            </w:tcBorders>
          </w:tcPr>
          <w:p w:rsidR="000355EB" w:rsidRPr="0011584F" w:rsidRDefault="000355EB" w:rsidP="00D1501D">
            <w:pPr>
              <w:spacing w:before="100" w:beforeAutospacing="1" w:after="100" w:afterAutospacing="1"/>
              <w:rPr>
                <w:color w:val="000000"/>
              </w:rPr>
            </w:pPr>
            <w:r w:rsidRPr="0011584F">
              <w:rPr>
                <w:color w:val="000000"/>
              </w:rPr>
              <w:lastRenderedPageBreak/>
              <w:t>2.1. valsts pamatbudžets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B63C41" w:rsidP="00B63C41">
            <w:pPr>
              <w:spacing w:line="360" w:lineRule="auto"/>
              <w:jc w:val="right"/>
              <w:rPr>
                <w:color w:val="000000"/>
              </w:rPr>
            </w:pPr>
            <w:r>
              <w:rPr>
                <w:color w:val="000000"/>
              </w:rPr>
              <w:t>1 275,00</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B63C41" w:rsidP="00B63C41">
            <w:pPr>
              <w:spacing w:line="360" w:lineRule="auto"/>
              <w:jc w:val="right"/>
              <w:rPr>
                <w:color w:val="000000"/>
              </w:rPr>
            </w:pPr>
            <w:r>
              <w:rPr>
                <w:color w:val="000000"/>
              </w:rPr>
              <w:t>1 275,00</w:t>
            </w:r>
          </w:p>
        </w:tc>
        <w:tc>
          <w:tcPr>
            <w:tcW w:w="844" w:type="pct"/>
            <w:tcBorders>
              <w:top w:val="outset" w:sz="6" w:space="0" w:color="000000"/>
              <w:left w:val="outset" w:sz="6" w:space="0" w:color="000000"/>
              <w:bottom w:val="outset" w:sz="6" w:space="0" w:color="000000"/>
              <w:right w:val="outset" w:sz="6" w:space="0" w:color="000000"/>
            </w:tcBorders>
            <w:vAlign w:val="center"/>
          </w:tcPr>
          <w:p w:rsidR="00B63C41" w:rsidRPr="0011584F" w:rsidRDefault="00B63C41" w:rsidP="00B63C41">
            <w:pPr>
              <w:spacing w:line="360" w:lineRule="auto"/>
              <w:jc w:val="right"/>
              <w:rPr>
                <w:color w:val="000000"/>
              </w:rPr>
            </w:pPr>
            <w:r>
              <w:rPr>
                <w:color w:val="000000"/>
              </w:rPr>
              <w:t>0</w:t>
            </w:r>
          </w:p>
        </w:tc>
      </w:tr>
      <w:tr w:rsidR="008934EE" w:rsidRPr="0011584F" w:rsidTr="00383BB1">
        <w:tc>
          <w:tcPr>
            <w:tcW w:w="1631" w:type="pct"/>
            <w:tcBorders>
              <w:top w:val="outset" w:sz="6" w:space="0" w:color="000000"/>
              <w:left w:val="outset" w:sz="6" w:space="0" w:color="000000"/>
              <w:bottom w:val="outset" w:sz="6" w:space="0" w:color="000000"/>
              <w:right w:val="outset" w:sz="6" w:space="0" w:color="000000"/>
            </w:tcBorders>
          </w:tcPr>
          <w:p w:rsidR="008934EE" w:rsidRPr="0011584F" w:rsidRDefault="008934EE" w:rsidP="00D1501D">
            <w:pPr>
              <w:spacing w:before="100" w:beforeAutospacing="1" w:after="100" w:afterAutospacing="1"/>
              <w:rPr>
                <w:color w:val="000000"/>
              </w:rPr>
            </w:pPr>
            <w:r>
              <w:rPr>
                <w:color w:val="000000"/>
              </w:rPr>
              <w:t>2.1.1. avansa maksājumi</w:t>
            </w:r>
          </w:p>
        </w:tc>
        <w:tc>
          <w:tcPr>
            <w:tcW w:w="632" w:type="pct"/>
            <w:tcBorders>
              <w:top w:val="outset" w:sz="6" w:space="0" w:color="000000"/>
              <w:left w:val="outset" w:sz="6" w:space="0" w:color="000000"/>
              <w:bottom w:val="outset" w:sz="6" w:space="0" w:color="000000"/>
              <w:right w:val="outset" w:sz="6" w:space="0" w:color="000000"/>
            </w:tcBorders>
            <w:vAlign w:val="center"/>
          </w:tcPr>
          <w:p w:rsidR="008934EE" w:rsidRPr="0011584F" w:rsidRDefault="008934EE" w:rsidP="00D1501D">
            <w:pPr>
              <w:spacing w:line="360" w:lineRule="auto"/>
              <w:jc w:val="right"/>
              <w:rPr>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934EE" w:rsidRPr="0011584F" w:rsidRDefault="008934EE" w:rsidP="00D1501D">
            <w:pPr>
              <w:spacing w:line="360" w:lineRule="auto"/>
              <w:jc w:val="right"/>
              <w:rPr>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934EE" w:rsidRPr="0011584F" w:rsidRDefault="00B63C41" w:rsidP="00B63C41">
            <w:pPr>
              <w:spacing w:line="360" w:lineRule="auto"/>
              <w:jc w:val="right"/>
              <w:rPr>
                <w:color w:val="000000"/>
              </w:rPr>
            </w:pPr>
            <w:r>
              <w:rPr>
                <w:color w:val="000000"/>
              </w:rPr>
              <w:t>1 275,00</w:t>
            </w:r>
          </w:p>
        </w:tc>
        <w:tc>
          <w:tcPr>
            <w:tcW w:w="0" w:type="auto"/>
            <w:tcBorders>
              <w:top w:val="outset" w:sz="6" w:space="0" w:color="000000"/>
              <w:left w:val="outset" w:sz="6" w:space="0" w:color="000000"/>
              <w:bottom w:val="outset" w:sz="6" w:space="0" w:color="000000"/>
              <w:right w:val="outset" w:sz="6" w:space="0" w:color="000000"/>
            </w:tcBorders>
            <w:vAlign w:val="center"/>
          </w:tcPr>
          <w:p w:rsidR="008934EE" w:rsidRPr="0011584F" w:rsidRDefault="00B63C41" w:rsidP="00B63C41">
            <w:pPr>
              <w:spacing w:line="360" w:lineRule="auto"/>
              <w:jc w:val="right"/>
              <w:rPr>
                <w:color w:val="000000"/>
              </w:rPr>
            </w:pPr>
            <w:r>
              <w:rPr>
                <w:color w:val="000000"/>
              </w:rPr>
              <w:t>1 275,00</w:t>
            </w:r>
          </w:p>
        </w:tc>
        <w:tc>
          <w:tcPr>
            <w:tcW w:w="844" w:type="pct"/>
            <w:tcBorders>
              <w:top w:val="outset" w:sz="6" w:space="0" w:color="000000"/>
              <w:left w:val="outset" w:sz="6" w:space="0" w:color="000000"/>
              <w:bottom w:val="outset" w:sz="6" w:space="0" w:color="000000"/>
              <w:right w:val="outset" w:sz="6" w:space="0" w:color="000000"/>
            </w:tcBorders>
            <w:vAlign w:val="center"/>
          </w:tcPr>
          <w:p w:rsidR="008934EE" w:rsidRPr="0011584F" w:rsidRDefault="008934EE" w:rsidP="00D1501D">
            <w:pPr>
              <w:spacing w:line="360" w:lineRule="auto"/>
              <w:jc w:val="right"/>
              <w:rPr>
                <w:color w:val="000000"/>
              </w:rPr>
            </w:pPr>
            <w:r>
              <w:rPr>
                <w:color w:val="000000"/>
              </w:rPr>
              <w:t>0</w:t>
            </w:r>
            <w:r w:rsidR="00B63C41">
              <w:rPr>
                <w:color w:val="000000"/>
              </w:rPr>
              <w:t xml:space="preserve"> </w:t>
            </w:r>
          </w:p>
        </w:tc>
      </w:tr>
      <w:tr w:rsidR="000355EB" w:rsidRPr="0011584F" w:rsidTr="00383BB1">
        <w:tc>
          <w:tcPr>
            <w:tcW w:w="1631" w:type="pct"/>
            <w:tcBorders>
              <w:top w:val="outset" w:sz="6" w:space="0" w:color="000000"/>
              <w:left w:val="outset" w:sz="6" w:space="0" w:color="000000"/>
              <w:bottom w:val="outset" w:sz="6" w:space="0" w:color="000000"/>
              <w:right w:val="outset" w:sz="6" w:space="0" w:color="000000"/>
            </w:tcBorders>
          </w:tcPr>
          <w:p w:rsidR="000355EB" w:rsidRPr="0011584F" w:rsidRDefault="000355EB" w:rsidP="00D1501D">
            <w:pPr>
              <w:spacing w:before="100" w:beforeAutospacing="1" w:after="100" w:afterAutospacing="1"/>
              <w:rPr>
                <w:color w:val="000000"/>
              </w:rPr>
            </w:pPr>
            <w:r w:rsidRPr="0011584F">
              <w:rPr>
                <w:color w:val="000000"/>
              </w:rPr>
              <w:t>2.2. valsts speciālais 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c>
          <w:tcPr>
            <w:tcW w:w="844" w:type="pct"/>
            <w:tcBorders>
              <w:top w:val="outset" w:sz="6" w:space="0" w:color="000000"/>
              <w:left w:val="outset" w:sz="6" w:space="0" w:color="000000"/>
              <w:bottom w:val="outset" w:sz="6" w:space="0" w:color="000000"/>
              <w:right w:val="outset" w:sz="6" w:space="0" w:color="000000"/>
            </w:tcBorders>
            <w:vAlign w:val="center"/>
          </w:tcPr>
          <w:p w:rsidR="000355EB" w:rsidRPr="0011584F" w:rsidRDefault="000355EB" w:rsidP="00D1501D">
            <w:pPr>
              <w:spacing w:line="360" w:lineRule="auto"/>
              <w:jc w:val="right"/>
              <w:rPr>
                <w:color w:val="000000"/>
              </w:rPr>
            </w:pPr>
            <w:r w:rsidRPr="0011584F">
              <w:rPr>
                <w:color w:val="000000"/>
              </w:rPr>
              <w:t>0 </w:t>
            </w: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11584F" w:rsidRDefault="00BD6928" w:rsidP="00D1501D">
            <w:pPr>
              <w:spacing w:before="100" w:beforeAutospacing="1" w:after="100" w:afterAutospacing="1"/>
              <w:rPr>
                <w:color w:val="000000"/>
              </w:rPr>
            </w:pPr>
            <w:r w:rsidRPr="0011584F">
              <w:rPr>
                <w:color w:val="000000"/>
              </w:rPr>
              <w:t>2.3. pašvaldību 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11584F" w:rsidRDefault="00B63C41" w:rsidP="00B63C41">
            <w:pPr>
              <w:spacing w:line="360" w:lineRule="auto"/>
              <w:jc w:val="right"/>
              <w:rPr>
                <w:color w:val="000000"/>
              </w:rPr>
            </w:pPr>
            <w:r>
              <w:rPr>
                <w:color w:val="000000"/>
              </w:rPr>
              <w:t>242,28</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BD6928" w:rsidRDefault="00B63C41" w:rsidP="00B63C41">
            <w:pPr>
              <w:spacing w:line="360" w:lineRule="auto"/>
              <w:jc w:val="right"/>
              <w:rPr>
                <w:color w:val="000000"/>
              </w:rPr>
            </w:pPr>
            <w:r>
              <w:rPr>
                <w:color w:val="000000"/>
              </w:rPr>
              <w:t>268,20</w:t>
            </w:r>
          </w:p>
        </w:tc>
        <w:tc>
          <w:tcPr>
            <w:tcW w:w="844" w:type="pct"/>
            <w:tcBorders>
              <w:top w:val="outset" w:sz="6" w:space="0" w:color="000000"/>
              <w:left w:val="outset" w:sz="6" w:space="0" w:color="000000"/>
              <w:bottom w:val="outset" w:sz="6" w:space="0" w:color="000000"/>
              <w:right w:val="outset" w:sz="6" w:space="0" w:color="000000"/>
            </w:tcBorders>
            <w:vAlign w:val="center"/>
          </w:tcPr>
          <w:p w:rsidR="00BD6928" w:rsidRPr="00BD6928" w:rsidRDefault="00BD6928" w:rsidP="00D1501D">
            <w:pPr>
              <w:spacing w:line="360" w:lineRule="auto"/>
              <w:jc w:val="right"/>
              <w:rPr>
                <w:color w:val="000000"/>
              </w:rPr>
            </w:pPr>
            <w:r w:rsidRPr="00BD6928">
              <w:rPr>
                <w:color w:val="000000"/>
              </w:rPr>
              <w:t>86</w:t>
            </w:r>
            <w:r>
              <w:rPr>
                <w:color w:val="000000"/>
              </w:rPr>
              <w:t>,</w:t>
            </w:r>
            <w:r w:rsidRPr="00BD6928">
              <w:rPr>
                <w:color w:val="000000"/>
              </w:rPr>
              <w:t>40</w:t>
            </w: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8934EE" w:rsidRDefault="00BD6928" w:rsidP="00D1501D">
            <w:pPr>
              <w:spacing w:before="100" w:beforeAutospacing="1" w:after="100" w:afterAutospacing="1"/>
              <w:rPr>
                <w:b/>
                <w:color w:val="000000"/>
              </w:rPr>
            </w:pPr>
            <w:r w:rsidRPr="008934EE">
              <w:rPr>
                <w:b/>
                <w:color w:val="000000"/>
              </w:rPr>
              <w:t>3. Finansiālā ietekme:</w:t>
            </w:r>
          </w:p>
        </w:tc>
        <w:tc>
          <w:tcPr>
            <w:tcW w:w="632" w:type="pct"/>
            <w:tcBorders>
              <w:top w:val="outset" w:sz="6" w:space="0" w:color="000000"/>
              <w:left w:val="outset" w:sz="6" w:space="0" w:color="000000"/>
              <w:bottom w:val="outset" w:sz="6" w:space="0" w:color="000000"/>
              <w:right w:val="outset" w:sz="6" w:space="0" w:color="000000"/>
            </w:tcBorders>
            <w:vAlign w:val="center"/>
          </w:tcPr>
          <w:p w:rsidR="00BD6928" w:rsidRPr="008934EE" w:rsidRDefault="00BD6928" w:rsidP="00D1501D">
            <w:pPr>
              <w:spacing w:line="360" w:lineRule="auto"/>
              <w:jc w:val="right"/>
              <w:rPr>
                <w:b/>
                <w:color w:val="000000"/>
              </w:rPr>
            </w:pPr>
            <w:r w:rsidRPr="008934EE">
              <w:rPr>
                <w:b/>
                <w:color w:val="000000"/>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8934EE" w:rsidRDefault="00BD6928" w:rsidP="00D1501D">
            <w:pPr>
              <w:spacing w:line="360" w:lineRule="auto"/>
              <w:jc w:val="right"/>
              <w:rPr>
                <w:b/>
                <w:color w:val="000000"/>
              </w:rPr>
            </w:pPr>
            <w:r w:rsidRPr="008934EE">
              <w:rPr>
                <w:b/>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8934EE" w:rsidRDefault="00B63C41" w:rsidP="005705C9">
            <w:pPr>
              <w:spacing w:line="360" w:lineRule="auto"/>
              <w:jc w:val="right"/>
              <w:rPr>
                <w:b/>
                <w:color w:val="000000"/>
              </w:rPr>
            </w:pPr>
            <w:r>
              <w:rPr>
                <w:b/>
                <w:bCs/>
                <w:color w:val="000000"/>
              </w:rPr>
              <w:t>-2</w:t>
            </w:r>
            <w:r w:rsidR="005705C9">
              <w:rPr>
                <w:b/>
                <w:bCs/>
                <w:color w:val="000000"/>
              </w:rPr>
              <w:t>42</w:t>
            </w:r>
            <w:r>
              <w:rPr>
                <w:b/>
                <w:bCs/>
                <w:color w:val="000000"/>
              </w:rPr>
              <w:t>,28 </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8934EE" w:rsidRDefault="003C4AF8" w:rsidP="00D1501D">
            <w:pPr>
              <w:spacing w:line="360" w:lineRule="auto"/>
              <w:jc w:val="right"/>
              <w:rPr>
                <w:b/>
                <w:color w:val="000000"/>
              </w:rPr>
            </w:pPr>
            <w:r w:rsidRPr="008934EE">
              <w:rPr>
                <w:b/>
                <w:color w:val="000000"/>
              </w:rPr>
              <w:t>-</w:t>
            </w:r>
            <w:r w:rsidR="005705C9">
              <w:rPr>
                <w:b/>
                <w:color w:val="000000"/>
              </w:rPr>
              <w:t>268</w:t>
            </w:r>
            <w:r w:rsidRPr="008934EE">
              <w:rPr>
                <w:b/>
                <w:color w:val="000000"/>
              </w:rPr>
              <w:t>,2</w:t>
            </w:r>
            <w:r w:rsidR="00BD6928" w:rsidRPr="008934EE">
              <w:rPr>
                <w:b/>
                <w:color w:val="000000"/>
              </w:rPr>
              <w:t>0 </w:t>
            </w:r>
          </w:p>
        </w:tc>
        <w:tc>
          <w:tcPr>
            <w:tcW w:w="844" w:type="pct"/>
            <w:tcBorders>
              <w:top w:val="outset" w:sz="6" w:space="0" w:color="000000"/>
              <w:left w:val="outset" w:sz="6" w:space="0" w:color="000000"/>
              <w:bottom w:val="outset" w:sz="6" w:space="0" w:color="000000"/>
              <w:right w:val="outset" w:sz="6" w:space="0" w:color="000000"/>
            </w:tcBorders>
            <w:vAlign w:val="center"/>
          </w:tcPr>
          <w:p w:rsidR="00BD6928" w:rsidRPr="008934EE" w:rsidRDefault="003C4AF8" w:rsidP="005705C9">
            <w:pPr>
              <w:spacing w:line="360" w:lineRule="auto"/>
              <w:jc w:val="right"/>
              <w:rPr>
                <w:b/>
                <w:color w:val="000000"/>
              </w:rPr>
            </w:pPr>
            <w:r w:rsidRPr="008934EE">
              <w:rPr>
                <w:b/>
                <w:color w:val="000000"/>
              </w:rPr>
              <w:t>-</w:t>
            </w:r>
            <w:r w:rsidR="005705C9">
              <w:rPr>
                <w:b/>
                <w:color w:val="000000"/>
              </w:rPr>
              <w:t>86</w:t>
            </w:r>
            <w:r w:rsidRPr="008934EE">
              <w:rPr>
                <w:b/>
                <w:color w:val="000000"/>
              </w:rPr>
              <w:t>,40</w:t>
            </w:r>
          </w:p>
        </w:tc>
      </w:tr>
      <w:tr w:rsidR="003C4AF8" w:rsidRPr="0011584F" w:rsidTr="00383BB1">
        <w:tc>
          <w:tcPr>
            <w:tcW w:w="1631" w:type="pct"/>
            <w:tcBorders>
              <w:top w:val="outset" w:sz="6" w:space="0" w:color="000000"/>
              <w:left w:val="outset" w:sz="6" w:space="0" w:color="000000"/>
              <w:bottom w:val="outset" w:sz="6" w:space="0" w:color="000000"/>
              <w:right w:val="outset" w:sz="6" w:space="0" w:color="000000"/>
            </w:tcBorders>
          </w:tcPr>
          <w:p w:rsidR="003C4AF8" w:rsidRPr="0011584F" w:rsidRDefault="003C4AF8" w:rsidP="00D1501D">
            <w:pPr>
              <w:spacing w:before="100" w:beforeAutospacing="1" w:after="100" w:afterAutospacing="1"/>
              <w:rPr>
                <w:color w:val="000000"/>
              </w:rPr>
            </w:pPr>
            <w:r w:rsidRPr="0011584F">
              <w:rPr>
                <w:color w:val="000000"/>
              </w:rPr>
              <w:t>3.1. valsts pamatbudžets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3C4AF8" w:rsidRPr="0011584F" w:rsidRDefault="003C4AF8" w:rsidP="00D1501D">
            <w:pPr>
              <w:spacing w:line="360" w:lineRule="auto"/>
              <w:jc w:val="right"/>
              <w:rPr>
                <w:color w:val="000000"/>
              </w:rPr>
            </w:pPr>
            <w:r w:rsidRPr="0011584F">
              <w:rPr>
                <w:color w:val="000000"/>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3C4AF8" w:rsidRPr="0011584F" w:rsidRDefault="003C4AF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3C4AF8" w:rsidRPr="0011584F" w:rsidRDefault="00B63C41" w:rsidP="00D1501D">
            <w:pPr>
              <w:spacing w:line="360" w:lineRule="auto"/>
              <w:jc w:val="right"/>
              <w:rPr>
                <w:color w:val="000000"/>
              </w:rPr>
            </w:pPr>
            <w:r>
              <w:rPr>
                <w:color w:val="000000"/>
              </w:rPr>
              <w:t>0</w:t>
            </w:r>
            <w:r w:rsidR="003C4AF8" w:rsidRPr="0011584F">
              <w:rPr>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3C4AF8" w:rsidRPr="0011584F" w:rsidRDefault="00B63C41" w:rsidP="003C4AF8">
            <w:pPr>
              <w:spacing w:line="360" w:lineRule="auto"/>
              <w:jc w:val="right"/>
              <w:rPr>
                <w:color w:val="000000"/>
              </w:rPr>
            </w:pPr>
            <w:r>
              <w:rPr>
                <w:color w:val="000000"/>
              </w:rPr>
              <w:t>0</w:t>
            </w:r>
          </w:p>
        </w:tc>
        <w:tc>
          <w:tcPr>
            <w:tcW w:w="844" w:type="pct"/>
            <w:tcBorders>
              <w:top w:val="outset" w:sz="6" w:space="0" w:color="000000"/>
              <w:left w:val="outset" w:sz="6" w:space="0" w:color="000000"/>
              <w:bottom w:val="outset" w:sz="6" w:space="0" w:color="000000"/>
              <w:right w:val="outset" w:sz="6" w:space="0" w:color="000000"/>
            </w:tcBorders>
            <w:vAlign w:val="center"/>
          </w:tcPr>
          <w:p w:rsidR="003C4AF8" w:rsidRPr="0011584F" w:rsidRDefault="005705C9" w:rsidP="00D1501D">
            <w:pPr>
              <w:spacing w:line="360" w:lineRule="auto"/>
              <w:jc w:val="right"/>
              <w:rPr>
                <w:color w:val="000000"/>
              </w:rPr>
            </w:pPr>
            <w:r>
              <w:rPr>
                <w:color w:val="000000"/>
              </w:rPr>
              <w:t>0</w:t>
            </w:r>
            <w:r w:rsidR="003C4AF8" w:rsidRPr="0011584F">
              <w:rPr>
                <w:color w:val="000000"/>
              </w:rPr>
              <w:t> </w:t>
            </w: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11584F" w:rsidRDefault="00BD6928" w:rsidP="00D1501D">
            <w:pPr>
              <w:spacing w:before="100" w:beforeAutospacing="1" w:after="100" w:afterAutospacing="1"/>
              <w:rPr>
                <w:color w:val="000000"/>
              </w:rPr>
            </w:pPr>
            <w:r w:rsidRPr="0011584F">
              <w:rPr>
                <w:color w:val="000000"/>
              </w:rPr>
              <w:t>3.2. speciālais 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11584F" w:rsidRDefault="003C4AF8" w:rsidP="00D1501D">
            <w:pPr>
              <w:spacing w:line="360" w:lineRule="auto"/>
              <w:jc w:val="right"/>
              <w:rPr>
                <w:color w:val="000000"/>
              </w:rPr>
            </w:pPr>
            <w:r>
              <w:rPr>
                <w:color w:val="000000"/>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spacing w:line="360" w:lineRule="auto"/>
              <w:jc w:val="right"/>
              <w:rPr>
                <w:color w:val="000000"/>
              </w:rPr>
            </w:pPr>
            <w:r w:rsidRPr="0011584F">
              <w:rPr>
                <w:color w:val="000000"/>
              </w:rPr>
              <w:t>0 </w:t>
            </w:r>
          </w:p>
        </w:tc>
        <w:tc>
          <w:tcPr>
            <w:tcW w:w="844" w:type="pct"/>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spacing w:line="360" w:lineRule="auto"/>
              <w:jc w:val="right"/>
              <w:rPr>
                <w:color w:val="000000"/>
              </w:rPr>
            </w:pPr>
            <w:r w:rsidRPr="0011584F">
              <w:rPr>
                <w:color w:val="000000"/>
              </w:rPr>
              <w:t>0 </w:t>
            </w:r>
          </w:p>
        </w:tc>
      </w:tr>
      <w:tr w:rsidR="003C4AF8" w:rsidRPr="0011584F" w:rsidTr="00383BB1">
        <w:tc>
          <w:tcPr>
            <w:tcW w:w="1631" w:type="pct"/>
            <w:tcBorders>
              <w:top w:val="outset" w:sz="6" w:space="0" w:color="000000"/>
              <w:left w:val="outset" w:sz="6" w:space="0" w:color="000000"/>
              <w:bottom w:val="outset" w:sz="6" w:space="0" w:color="000000"/>
              <w:right w:val="outset" w:sz="6" w:space="0" w:color="000000"/>
            </w:tcBorders>
          </w:tcPr>
          <w:p w:rsidR="003C4AF8" w:rsidRPr="0011584F" w:rsidRDefault="003C4AF8" w:rsidP="00D1501D">
            <w:pPr>
              <w:spacing w:before="100" w:beforeAutospacing="1" w:after="100" w:afterAutospacing="1"/>
              <w:rPr>
                <w:color w:val="000000"/>
              </w:rPr>
            </w:pPr>
            <w:r w:rsidRPr="0011584F">
              <w:rPr>
                <w:color w:val="000000"/>
              </w:rPr>
              <w:t>3.3. pašvaldību budžets</w:t>
            </w:r>
          </w:p>
        </w:tc>
        <w:tc>
          <w:tcPr>
            <w:tcW w:w="632" w:type="pct"/>
            <w:tcBorders>
              <w:top w:val="outset" w:sz="6" w:space="0" w:color="000000"/>
              <w:left w:val="outset" w:sz="6" w:space="0" w:color="000000"/>
              <w:bottom w:val="outset" w:sz="6" w:space="0" w:color="000000"/>
              <w:right w:val="outset" w:sz="6" w:space="0" w:color="000000"/>
            </w:tcBorders>
            <w:vAlign w:val="center"/>
          </w:tcPr>
          <w:p w:rsidR="003C4AF8" w:rsidRPr="0011584F" w:rsidRDefault="003C4AF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3C4AF8" w:rsidRPr="0011584F" w:rsidRDefault="003C4AF8" w:rsidP="00D1501D">
            <w:pPr>
              <w:spacing w:line="360" w:lineRule="auto"/>
              <w:jc w:val="right"/>
              <w:rPr>
                <w:color w:val="000000"/>
              </w:rPr>
            </w:pPr>
            <w:r w:rsidRPr="0011584F">
              <w:rPr>
                <w:color w:val="000000"/>
              </w:rPr>
              <w:t>0 </w:t>
            </w:r>
          </w:p>
        </w:tc>
        <w:tc>
          <w:tcPr>
            <w:tcW w:w="0" w:type="auto"/>
            <w:tcBorders>
              <w:top w:val="outset" w:sz="6" w:space="0" w:color="000000"/>
              <w:left w:val="outset" w:sz="6" w:space="0" w:color="000000"/>
              <w:bottom w:val="outset" w:sz="6" w:space="0" w:color="000000"/>
              <w:right w:val="outset" w:sz="6" w:space="0" w:color="000000"/>
            </w:tcBorders>
            <w:vAlign w:val="center"/>
          </w:tcPr>
          <w:p w:rsidR="003C4AF8" w:rsidRPr="0011584F" w:rsidRDefault="00B63C41" w:rsidP="00B63C41">
            <w:pPr>
              <w:jc w:val="right"/>
              <w:rPr>
                <w:color w:val="000000"/>
              </w:rPr>
            </w:pPr>
            <w:r>
              <w:rPr>
                <w:color w:val="000000"/>
              </w:rPr>
              <w:t>-242,28</w:t>
            </w:r>
          </w:p>
        </w:tc>
        <w:tc>
          <w:tcPr>
            <w:tcW w:w="0" w:type="auto"/>
            <w:tcBorders>
              <w:top w:val="outset" w:sz="6" w:space="0" w:color="000000"/>
              <w:left w:val="outset" w:sz="6" w:space="0" w:color="000000"/>
              <w:bottom w:val="outset" w:sz="6" w:space="0" w:color="000000"/>
              <w:right w:val="outset" w:sz="6" w:space="0" w:color="000000"/>
            </w:tcBorders>
            <w:vAlign w:val="center"/>
          </w:tcPr>
          <w:p w:rsidR="003C4AF8" w:rsidRPr="00BD6928" w:rsidRDefault="00B63C41" w:rsidP="00B63C41">
            <w:pPr>
              <w:jc w:val="right"/>
              <w:rPr>
                <w:color w:val="000000"/>
              </w:rPr>
            </w:pPr>
            <w:r>
              <w:rPr>
                <w:color w:val="000000"/>
              </w:rPr>
              <w:t>-268,20</w:t>
            </w:r>
          </w:p>
        </w:tc>
        <w:tc>
          <w:tcPr>
            <w:tcW w:w="844" w:type="pct"/>
            <w:tcBorders>
              <w:top w:val="outset" w:sz="6" w:space="0" w:color="000000"/>
              <w:left w:val="outset" w:sz="6" w:space="0" w:color="000000"/>
              <w:bottom w:val="outset" w:sz="6" w:space="0" w:color="000000"/>
              <w:right w:val="outset" w:sz="6" w:space="0" w:color="000000"/>
            </w:tcBorders>
            <w:vAlign w:val="center"/>
          </w:tcPr>
          <w:p w:rsidR="003C4AF8" w:rsidRPr="00BD6928" w:rsidRDefault="003C4AF8" w:rsidP="00D1501D">
            <w:pPr>
              <w:spacing w:line="360" w:lineRule="auto"/>
              <w:jc w:val="right"/>
              <w:rPr>
                <w:color w:val="000000"/>
              </w:rPr>
            </w:pPr>
            <w:r>
              <w:rPr>
                <w:color w:val="000000"/>
              </w:rPr>
              <w:t>-</w:t>
            </w:r>
            <w:r w:rsidRPr="00BD6928">
              <w:rPr>
                <w:color w:val="000000"/>
              </w:rPr>
              <w:t>86</w:t>
            </w:r>
            <w:r>
              <w:rPr>
                <w:color w:val="000000"/>
              </w:rPr>
              <w:t>,</w:t>
            </w:r>
            <w:r w:rsidRPr="00BD6928">
              <w:rPr>
                <w:color w:val="000000"/>
              </w:rPr>
              <w:t>40</w:t>
            </w:r>
          </w:p>
        </w:tc>
      </w:tr>
      <w:tr w:rsidR="00D54D8B" w:rsidRPr="0011584F" w:rsidTr="000639D9">
        <w:trPr>
          <w:trHeight w:val="1367"/>
        </w:trPr>
        <w:tc>
          <w:tcPr>
            <w:tcW w:w="1631" w:type="pct"/>
            <w:tcBorders>
              <w:top w:val="outset" w:sz="6" w:space="0" w:color="000000"/>
              <w:left w:val="outset" w:sz="6" w:space="0" w:color="000000"/>
              <w:bottom w:val="outset" w:sz="6" w:space="0" w:color="000000"/>
              <w:right w:val="outset" w:sz="6" w:space="0" w:color="000000"/>
            </w:tcBorders>
          </w:tcPr>
          <w:p w:rsidR="00D54D8B" w:rsidRPr="0011584F" w:rsidRDefault="00D54D8B" w:rsidP="00D1501D">
            <w:pPr>
              <w:spacing w:before="100" w:beforeAutospacing="1" w:after="100" w:afterAutospacing="1"/>
              <w:rPr>
                <w:color w:val="000000"/>
              </w:rPr>
            </w:pPr>
            <w:r w:rsidRPr="0011584F">
              <w:rPr>
                <w:color w:val="000000"/>
              </w:rPr>
              <w:t>4. Finanšu līdzekļi papildu izde</w:t>
            </w:r>
            <w:r w:rsidRPr="0011584F">
              <w:rPr>
                <w:color w:val="000000"/>
              </w:rPr>
              <w:softHyphen/>
              <w:t>vumu finansēšanai (kompensējošu izdevumu samazinājumu norāda ar "+" zīmi)</w:t>
            </w:r>
          </w:p>
        </w:tc>
        <w:tc>
          <w:tcPr>
            <w:tcW w:w="632" w:type="pct"/>
            <w:tcBorders>
              <w:top w:val="outset" w:sz="6" w:space="0" w:color="000000"/>
              <w:left w:val="outset" w:sz="6" w:space="0" w:color="000000"/>
              <w:bottom w:val="outset" w:sz="6" w:space="0" w:color="000000"/>
              <w:right w:val="outset" w:sz="6" w:space="0" w:color="000000"/>
            </w:tcBorders>
            <w:vAlign w:val="center"/>
          </w:tcPr>
          <w:p w:rsidR="00D54D8B" w:rsidRPr="0011584F" w:rsidRDefault="00D54D8B" w:rsidP="00D1501D">
            <w:pPr>
              <w:spacing w:before="100" w:beforeAutospacing="1" w:after="100" w:afterAutospacing="1"/>
              <w:jc w:val="center"/>
              <w:rPr>
                <w:color w:val="000000"/>
              </w:rPr>
            </w:pPr>
            <w:r w:rsidRPr="0011584F">
              <w:rPr>
                <w:color w:val="000000"/>
              </w:rPr>
              <w:t>X</w:t>
            </w:r>
          </w:p>
        </w:tc>
        <w:tc>
          <w:tcPr>
            <w:tcW w:w="0" w:type="auto"/>
            <w:tcBorders>
              <w:top w:val="outset" w:sz="6" w:space="0" w:color="000000"/>
              <w:left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right w:val="outset" w:sz="6" w:space="0" w:color="000000"/>
            </w:tcBorders>
          </w:tcPr>
          <w:p w:rsidR="00D54D8B" w:rsidRDefault="005705C9">
            <w:r>
              <w:t>0</w:t>
            </w:r>
          </w:p>
        </w:tc>
        <w:tc>
          <w:tcPr>
            <w:tcW w:w="844" w:type="pct"/>
            <w:tcBorders>
              <w:top w:val="outset" w:sz="6" w:space="0" w:color="000000"/>
              <w:left w:val="outset" w:sz="6" w:space="0" w:color="000000"/>
              <w:right w:val="outset" w:sz="6" w:space="0" w:color="000000"/>
            </w:tcBorders>
          </w:tcPr>
          <w:p w:rsidR="00D54D8B" w:rsidRDefault="005705C9">
            <w:r>
              <w:t>0</w:t>
            </w:r>
          </w:p>
        </w:tc>
      </w:tr>
      <w:tr w:rsidR="00D54D8B" w:rsidRPr="0011584F" w:rsidTr="00275AE7">
        <w:trPr>
          <w:trHeight w:val="233"/>
        </w:trPr>
        <w:tc>
          <w:tcPr>
            <w:tcW w:w="1631" w:type="pct"/>
            <w:tcBorders>
              <w:top w:val="outset" w:sz="6" w:space="0" w:color="000000"/>
              <w:left w:val="outset" w:sz="6" w:space="0" w:color="000000"/>
              <w:bottom w:val="outset" w:sz="6" w:space="0" w:color="000000"/>
              <w:right w:val="outset" w:sz="6" w:space="0" w:color="000000"/>
            </w:tcBorders>
          </w:tcPr>
          <w:p w:rsidR="00D54D8B" w:rsidRPr="0011584F" w:rsidRDefault="00D54D8B" w:rsidP="00D1501D">
            <w:pPr>
              <w:spacing w:before="100" w:beforeAutospacing="1" w:after="100" w:afterAutospacing="1"/>
              <w:rPr>
                <w:color w:val="000000"/>
              </w:rPr>
            </w:pPr>
            <w:r w:rsidRPr="0011584F">
              <w:rPr>
                <w:color w:val="000000"/>
              </w:rPr>
              <w:t>5. Precizēta finansiālā ietekme:</w:t>
            </w:r>
          </w:p>
        </w:tc>
        <w:tc>
          <w:tcPr>
            <w:tcW w:w="632" w:type="pct"/>
            <w:vMerge w:val="restart"/>
            <w:tcBorders>
              <w:top w:val="outset" w:sz="6" w:space="0" w:color="000000"/>
              <w:left w:val="outset" w:sz="6" w:space="0" w:color="000000"/>
              <w:bottom w:val="outset" w:sz="6" w:space="0" w:color="000000"/>
              <w:right w:val="outset" w:sz="6" w:space="0" w:color="000000"/>
            </w:tcBorders>
          </w:tcPr>
          <w:p w:rsidR="00D54D8B" w:rsidRPr="0011584F" w:rsidRDefault="00D54D8B" w:rsidP="00D1501D">
            <w:pPr>
              <w:spacing w:before="100" w:beforeAutospacing="1" w:after="100" w:afterAutospacing="1"/>
              <w:jc w:val="center"/>
              <w:rPr>
                <w:color w:val="000000"/>
              </w:rPr>
            </w:pPr>
            <w:r w:rsidRPr="0011584F">
              <w:rPr>
                <w:color w:val="000000"/>
              </w:rPr>
              <w:t>X</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844" w:type="pct"/>
            <w:tcBorders>
              <w:top w:val="outset" w:sz="6" w:space="0" w:color="000000"/>
              <w:left w:val="outset" w:sz="6" w:space="0" w:color="000000"/>
              <w:bottom w:val="outset" w:sz="6" w:space="0" w:color="000000"/>
              <w:right w:val="outset" w:sz="6" w:space="0" w:color="000000"/>
            </w:tcBorders>
          </w:tcPr>
          <w:p w:rsidR="00D54D8B" w:rsidRDefault="005705C9">
            <w:r>
              <w:t>0</w:t>
            </w:r>
          </w:p>
        </w:tc>
      </w:tr>
      <w:tr w:rsidR="00D54D8B" w:rsidRPr="0011584F" w:rsidTr="00275AE7">
        <w:tc>
          <w:tcPr>
            <w:tcW w:w="1631" w:type="pct"/>
            <w:tcBorders>
              <w:top w:val="outset" w:sz="6" w:space="0" w:color="000000"/>
              <w:left w:val="outset" w:sz="6" w:space="0" w:color="000000"/>
              <w:bottom w:val="outset" w:sz="6" w:space="0" w:color="000000"/>
              <w:right w:val="outset" w:sz="6" w:space="0" w:color="000000"/>
            </w:tcBorders>
          </w:tcPr>
          <w:p w:rsidR="00D54D8B" w:rsidRPr="0011584F" w:rsidRDefault="00D54D8B" w:rsidP="00D1501D">
            <w:pPr>
              <w:spacing w:before="100" w:beforeAutospacing="1" w:after="100" w:afterAutospacing="1"/>
              <w:rPr>
                <w:color w:val="000000"/>
              </w:rPr>
            </w:pPr>
            <w:r w:rsidRPr="0011584F">
              <w:rPr>
                <w:color w:val="000000"/>
              </w:rPr>
              <w:t>5.1. valsts pamatbudžets</w:t>
            </w:r>
          </w:p>
        </w:tc>
        <w:tc>
          <w:tcPr>
            <w:tcW w:w="632" w:type="pct"/>
            <w:vMerge/>
            <w:tcBorders>
              <w:top w:val="outset" w:sz="6" w:space="0" w:color="000000"/>
              <w:left w:val="outset" w:sz="6" w:space="0" w:color="000000"/>
              <w:bottom w:val="outset" w:sz="6" w:space="0" w:color="000000"/>
              <w:right w:val="outset" w:sz="6" w:space="0" w:color="000000"/>
            </w:tcBorders>
            <w:vAlign w:val="center"/>
          </w:tcPr>
          <w:p w:rsidR="00D54D8B" w:rsidRPr="0011584F" w:rsidRDefault="00D54D8B" w:rsidP="00D1501D">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844" w:type="pct"/>
            <w:tcBorders>
              <w:top w:val="outset" w:sz="6" w:space="0" w:color="000000"/>
              <w:left w:val="outset" w:sz="6" w:space="0" w:color="000000"/>
              <w:bottom w:val="outset" w:sz="6" w:space="0" w:color="000000"/>
              <w:right w:val="outset" w:sz="6" w:space="0" w:color="000000"/>
            </w:tcBorders>
          </w:tcPr>
          <w:p w:rsidR="00D54D8B" w:rsidRDefault="005705C9">
            <w:r>
              <w:t>0</w:t>
            </w:r>
          </w:p>
        </w:tc>
      </w:tr>
      <w:tr w:rsidR="00D54D8B" w:rsidRPr="0011584F" w:rsidTr="00275AE7">
        <w:tc>
          <w:tcPr>
            <w:tcW w:w="1631" w:type="pct"/>
            <w:tcBorders>
              <w:top w:val="outset" w:sz="6" w:space="0" w:color="000000"/>
              <w:left w:val="outset" w:sz="6" w:space="0" w:color="000000"/>
              <w:bottom w:val="outset" w:sz="6" w:space="0" w:color="000000"/>
              <w:right w:val="outset" w:sz="6" w:space="0" w:color="000000"/>
            </w:tcBorders>
          </w:tcPr>
          <w:p w:rsidR="00D54D8B" w:rsidRPr="0011584F" w:rsidRDefault="00D54D8B" w:rsidP="00D1501D">
            <w:pPr>
              <w:spacing w:before="100" w:beforeAutospacing="1" w:after="100" w:afterAutospacing="1"/>
              <w:rPr>
                <w:color w:val="000000"/>
              </w:rPr>
            </w:pPr>
            <w:r w:rsidRPr="0011584F">
              <w:rPr>
                <w:color w:val="000000"/>
              </w:rPr>
              <w:t>5.2. speciālais budžets</w:t>
            </w:r>
          </w:p>
        </w:tc>
        <w:tc>
          <w:tcPr>
            <w:tcW w:w="632" w:type="pct"/>
            <w:vMerge/>
            <w:tcBorders>
              <w:top w:val="outset" w:sz="6" w:space="0" w:color="000000"/>
              <w:left w:val="outset" w:sz="6" w:space="0" w:color="000000"/>
              <w:bottom w:val="outset" w:sz="6" w:space="0" w:color="000000"/>
              <w:right w:val="outset" w:sz="6" w:space="0" w:color="000000"/>
            </w:tcBorders>
            <w:vAlign w:val="center"/>
          </w:tcPr>
          <w:p w:rsidR="00D54D8B" w:rsidRPr="0011584F" w:rsidRDefault="00D54D8B" w:rsidP="00D1501D">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844" w:type="pct"/>
            <w:tcBorders>
              <w:top w:val="outset" w:sz="6" w:space="0" w:color="000000"/>
              <w:left w:val="outset" w:sz="6" w:space="0" w:color="000000"/>
              <w:bottom w:val="outset" w:sz="6" w:space="0" w:color="000000"/>
              <w:right w:val="outset" w:sz="6" w:space="0" w:color="000000"/>
            </w:tcBorders>
          </w:tcPr>
          <w:p w:rsidR="00D54D8B" w:rsidRDefault="005705C9">
            <w:r>
              <w:t>0</w:t>
            </w:r>
          </w:p>
        </w:tc>
      </w:tr>
      <w:tr w:rsidR="00D54D8B" w:rsidRPr="0011584F" w:rsidTr="00275AE7">
        <w:tc>
          <w:tcPr>
            <w:tcW w:w="1631" w:type="pct"/>
            <w:tcBorders>
              <w:top w:val="outset" w:sz="6" w:space="0" w:color="000000"/>
              <w:left w:val="outset" w:sz="6" w:space="0" w:color="000000"/>
              <w:bottom w:val="outset" w:sz="6" w:space="0" w:color="000000"/>
              <w:right w:val="outset" w:sz="6" w:space="0" w:color="000000"/>
            </w:tcBorders>
          </w:tcPr>
          <w:p w:rsidR="00D54D8B" w:rsidRPr="0011584F" w:rsidRDefault="00D54D8B" w:rsidP="00D1501D">
            <w:pPr>
              <w:spacing w:before="100" w:beforeAutospacing="1" w:after="100" w:afterAutospacing="1"/>
              <w:rPr>
                <w:color w:val="000000"/>
              </w:rPr>
            </w:pPr>
            <w:r w:rsidRPr="0011584F">
              <w:rPr>
                <w:color w:val="000000"/>
              </w:rPr>
              <w:t>5.3. pašvaldību budžets</w:t>
            </w:r>
          </w:p>
        </w:tc>
        <w:tc>
          <w:tcPr>
            <w:tcW w:w="632" w:type="pct"/>
            <w:vMerge/>
            <w:tcBorders>
              <w:top w:val="outset" w:sz="6" w:space="0" w:color="000000"/>
              <w:left w:val="outset" w:sz="6" w:space="0" w:color="000000"/>
              <w:bottom w:val="outset" w:sz="6" w:space="0" w:color="000000"/>
              <w:right w:val="outset" w:sz="6" w:space="0" w:color="000000"/>
            </w:tcBorders>
            <w:vAlign w:val="center"/>
          </w:tcPr>
          <w:p w:rsidR="00D54D8B" w:rsidRPr="0011584F" w:rsidRDefault="00D54D8B" w:rsidP="00D1501D">
            <w:pPr>
              <w:rPr>
                <w:color w:val="000000"/>
              </w:rPr>
            </w:pP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0" w:type="auto"/>
            <w:tcBorders>
              <w:top w:val="outset" w:sz="6" w:space="0" w:color="000000"/>
              <w:left w:val="outset" w:sz="6" w:space="0" w:color="000000"/>
              <w:bottom w:val="outset" w:sz="6" w:space="0" w:color="000000"/>
              <w:right w:val="outset" w:sz="6" w:space="0" w:color="000000"/>
            </w:tcBorders>
          </w:tcPr>
          <w:p w:rsidR="00D54D8B" w:rsidRDefault="005705C9">
            <w:r>
              <w:t>0</w:t>
            </w:r>
          </w:p>
        </w:tc>
        <w:tc>
          <w:tcPr>
            <w:tcW w:w="844" w:type="pct"/>
            <w:tcBorders>
              <w:top w:val="outset" w:sz="6" w:space="0" w:color="000000"/>
              <w:left w:val="outset" w:sz="6" w:space="0" w:color="000000"/>
              <w:bottom w:val="outset" w:sz="6" w:space="0" w:color="000000"/>
              <w:right w:val="outset" w:sz="6" w:space="0" w:color="000000"/>
            </w:tcBorders>
          </w:tcPr>
          <w:p w:rsidR="00D54D8B" w:rsidRDefault="005705C9">
            <w:r>
              <w:t>0</w:t>
            </w: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11584F" w:rsidRDefault="00BD6928" w:rsidP="00D1501D">
            <w:pPr>
              <w:spacing w:before="100" w:beforeAutospacing="1" w:after="100" w:afterAutospacing="1"/>
              <w:rPr>
                <w:color w:val="000000"/>
              </w:rPr>
            </w:pPr>
            <w:r w:rsidRPr="0011584F">
              <w:rPr>
                <w:color w:val="000000"/>
              </w:rPr>
              <w:t>6. Detalizēts ieņēmumu un izdevu</w:t>
            </w:r>
            <w:r w:rsidRPr="0011584F">
              <w:rPr>
                <w:color w:val="000000"/>
              </w:rPr>
              <w:softHyphen/>
              <w:t>mu aprēķins (ja nepieciešams, detalizētu ieņēmumu un izdevumu aprēķinu var pievienot anotācijas pielikumā):</w:t>
            </w:r>
          </w:p>
        </w:tc>
        <w:tc>
          <w:tcPr>
            <w:tcW w:w="3369" w:type="pct"/>
            <w:gridSpan w:val="5"/>
            <w:vMerge w:val="restart"/>
            <w:tcBorders>
              <w:top w:val="outset" w:sz="6" w:space="0" w:color="000000"/>
              <w:left w:val="outset" w:sz="6" w:space="0" w:color="000000"/>
              <w:bottom w:val="outset" w:sz="6" w:space="0" w:color="000000"/>
              <w:right w:val="outset" w:sz="6" w:space="0" w:color="000000"/>
            </w:tcBorders>
          </w:tcPr>
          <w:p w:rsidR="005B61A1" w:rsidRDefault="00D54D8B" w:rsidP="00921402">
            <w:pPr>
              <w:jc w:val="both"/>
            </w:pPr>
            <w:r>
              <w:rPr>
                <w:color w:val="000000"/>
              </w:rPr>
              <w:t xml:space="preserve">Aktivitātes īstenošanai paredzēti 3 000 000 latu, no kuriem 2 550 000 latu ir </w:t>
            </w:r>
            <w:r w:rsidRPr="00326496">
              <w:t xml:space="preserve">Eiropas </w:t>
            </w:r>
            <w:r>
              <w:t xml:space="preserve">Reģionālās attīstības fonda </w:t>
            </w:r>
            <w:r w:rsidRPr="00326496">
              <w:t>finansējums</w:t>
            </w:r>
            <w:r>
              <w:t xml:space="preserve">, bet 450 000 latu – </w:t>
            </w:r>
            <w:r w:rsidR="00B63C41">
              <w:t>pašvaldību</w:t>
            </w:r>
            <w:r>
              <w:t xml:space="preserve"> budžeta finansējums. Plānots, ka nepieciešamais finansējums aktivitātes īstenošanai tiks apgūts 2012. un 2013.gadā</w:t>
            </w:r>
            <w:r w:rsidR="00B8104E">
              <w:t xml:space="preserve">, </w:t>
            </w:r>
            <w:r>
              <w:t xml:space="preserve"> un gadā nepieciešamais finansējums avansā no valsts budžeta būs 1 </w:t>
            </w:r>
            <w:r w:rsidR="00B63C41">
              <w:t>275</w:t>
            </w:r>
            <w:r>
              <w:t xml:space="preserve"> 000 latu, </w:t>
            </w:r>
            <w:r w:rsidR="00B63C41">
              <w:t>kuri</w:t>
            </w:r>
            <w:r>
              <w:t xml:space="preserve"> tiks atmaksāti</w:t>
            </w:r>
            <w:r w:rsidR="00752EBA">
              <w:t xml:space="preserve"> valsts budžetā</w:t>
            </w:r>
            <w:r>
              <w:t xml:space="preserve"> no </w:t>
            </w:r>
            <w:r w:rsidRPr="00326496">
              <w:t xml:space="preserve">Eiropas </w:t>
            </w:r>
            <w:r>
              <w:t>Reģionālās attīstības fonda.</w:t>
            </w:r>
            <w:r w:rsidR="00752EBA">
              <w:t xml:space="preserve"> </w:t>
            </w:r>
          </w:p>
          <w:p w:rsidR="00BD6928" w:rsidRDefault="00752EBA" w:rsidP="00921402">
            <w:pPr>
              <w:jc w:val="both"/>
            </w:pPr>
            <w:r>
              <w:t xml:space="preserve">Pašvaldību budžeta izdevumi sastāv no interneta pieslēguma abonēšanas izmaksām un publisko interneta pieejas punktu ierīkošanas izmaksām (telpu iekārtošana, </w:t>
            </w:r>
            <w:r w:rsidR="00921402">
              <w:t xml:space="preserve">telpu </w:t>
            </w:r>
            <w:r>
              <w:t xml:space="preserve">noma, darba vides nodrošināšana u.c. izmaksām), kuras nav iespējams precīzi aprēķināt, pirms nav veikts pētījums par aktivitātes </w:t>
            </w:r>
            <w:r w:rsidR="00921402">
              <w:t>īstenošanas a</w:t>
            </w:r>
            <w:r>
              <w:t>spektiem. Interneta pieslēguma abonēšanas izmaksas aprēķinātas pieņemot, ka abonēšanas cena mēnesī</w:t>
            </w:r>
            <w:r w:rsidR="005B61A1">
              <w:t xml:space="preserve"> ir</w:t>
            </w:r>
            <w:r>
              <w:t xml:space="preserve"> vidēji </w:t>
            </w:r>
            <w:r w:rsidRPr="00BE765A">
              <w:t>18</w:t>
            </w:r>
            <w:r>
              <w:t xml:space="preserve"> latu par 10 Mbit</w:t>
            </w:r>
            <w:r w:rsidR="005B61A1">
              <w:t>/s ātru savienojumu. Pieņemot, ka tiks izveidoti</w:t>
            </w:r>
            <w:r w:rsidR="00591374">
              <w:t xml:space="preserve"> jauni 350</w:t>
            </w:r>
            <w:r w:rsidR="005B61A1">
              <w:t xml:space="preserve"> līdz 400 interneta pieejas punkti, pašvaldību izdevumi</w:t>
            </w:r>
            <w:r w:rsidR="00B8104E">
              <w:t xml:space="preserve"> gadā</w:t>
            </w:r>
            <w:r w:rsidR="005B61A1">
              <w:t xml:space="preserve"> nebūs lielāki par 86 400 latu. Pieņemts, ka 2012 gadā abonēšanas maksa būs  20%, bet 2013.gadā – 50% no kopējās</w:t>
            </w:r>
            <w:r w:rsidR="00921402">
              <w:t xml:space="preserve"> </w:t>
            </w:r>
            <w:r w:rsidR="00B8104E">
              <w:t>pašvaldību</w:t>
            </w:r>
            <w:r w:rsidR="005B61A1">
              <w:t xml:space="preserve"> abonēšanas maksas. </w:t>
            </w:r>
          </w:p>
          <w:p w:rsidR="005B61A1" w:rsidRPr="00752EBA" w:rsidRDefault="005B61A1" w:rsidP="004D1138">
            <w:pPr>
              <w:jc w:val="both"/>
            </w:pPr>
            <w:r>
              <w:t>Precizētā finansiālā ietekme būs aprēķināma</w:t>
            </w:r>
            <w:r w:rsidR="001B7D0B">
              <w:t xml:space="preserve"> pēc </w:t>
            </w:r>
            <w:r w:rsidR="004D1138">
              <w:t>projekta iesnieguma iesniegšanas</w:t>
            </w:r>
            <w:r w:rsidR="001B7D0B">
              <w:t xml:space="preserve">, kas </w:t>
            </w:r>
            <w:r w:rsidR="00B8104E">
              <w:t>parādīs netiešo ietekmi uz valsts budžetu, ņemot vērā iedzīvotāju aktīvāku e-pakalpojumu izmantošanu</w:t>
            </w:r>
            <w:r w:rsidR="004D1138">
              <w:t>.</w:t>
            </w: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11584F" w:rsidRDefault="00BD6928" w:rsidP="00D1501D">
            <w:pPr>
              <w:spacing w:before="100" w:beforeAutospacing="1" w:after="100" w:afterAutospacing="1"/>
              <w:rPr>
                <w:color w:val="000000"/>
              </w:rPr>
            </w:pPr>
            <w:r w:rsidRPr="0011584F">
              <w:rPr>
                <w:color w:val="000000"/>
              </w:rPr>
              <w:t>6.1. detalizēts ieņēmumu aprēķins</w:t>
            </w:r>
          </w:p>
        </w:tc>
        <w:tc>
          <w:tcPr>
            <w:tcW w:w="3369" w:type="pct"/>
            <w:gridSpan w:val="5"/>
            <w:vMerge/>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rPr>
                <w:color w:val="000000"/>
              </w:rPr>
            </w:pP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11584F" w:rsidRDefault="00BD6928" w:rsidP="00D1501D">
            <w:pPr>
              <w:spacing w:before="100" w:beforeAutospacing="1" w:after="100" w:afterAutospacing="1"/>
              <w:rPr>
                <w:color w:val="000000"/>
              </w:rPr>
            </w:pPr>
            <w:r w:rsidRPr="0011584F">
              <w:rPr>
                <w:color w:val="000000"/>
              </w:rPr>
              <w:t>6.2. detalizēts izdevumu aprēķins</w:t>
            </w:r>
          </w:p>
        </w:tc>
        <w:tc>
          <w:tcPr>
            <w:tcW w:w="3369" w:type="pct"/>
            <w:gridSpan w:val="5"/>
            <w:vMerge/>
            <w:tcBorders>
              <w:top w:val="outset" w:sz="6" w:space="0" w:color="000000"/>
              <w:left w:val="outset" w:sz="6" w:space="0" w:color="000000"/>
              <w:bottom w:val="outset" w:sz="6" w:space="0" w:color="000000"/>
              <w:right w:val="outset" w:sz="6" w:space="0" w:color="000000"/>
            </w:tcBorders>
            <w:vAlign w:val="center"/>
          </w:tcPr>
          <w:p w:rsidR="00BD6928" w:rsidRPr="0011584F" w:rsidRDefault="00BD6928" w:rsidP="00D1501D">
            <w:pPr>
              <w:rPr>
                <w:color w:val="000000"/>
              </w:rPr>
            </w:pPr>
          </w:p>
        </w:tc>
      </w:tr>
      <w:tr w:rsidR="00BD6928" w:rsidRPr="0011584F" w:rsidTr="00383BB1">
        <w:tc>
          <w:tcPr>
            <w:tcW w:w="1631" w:type="pct"/>
            <w:tcBorders>
              <w:top w:val="outset" w:sz="6" w:space="0" w:color="000000"/>
              <w:left w:val="outset" w:sz="6" w:space="0" w:color="000000"/>
              <w:bottom w:val="outset" w:sz="6" w:space="0" w:color="000000"/>
              <w:right w:val="outset" w:sz="6" w:space="0" w:color="000000"/>
            </w:tcBorders>
          </w:tcPr>
          <w:p w:rsidR="00BD6928" w:rsidRPr="0011584F" w:rsidRDefault="00BD6928" w:rsidP="00D1501D">
            <w:pPr>
              <w:spacing w:before="100" w:beforeAutospacing="1" w:after="100" w:afterAutospacing="1"/>
              <w:rPr>
                <w:color w:val="000000"/>
              </w:rPr>
            </w:pPr>
            <w:r w:rsidRPr="0011584F">
              <w:rPr>
                <w:color w:val="000000"/>
              </w:rPr>
              <w:t>7. Cita informācija</w:t>
            </w:r>
          </w:p>
        </w:tc>
        <w:tc>
          <w:tcPr>
            <w:tcW w:w="3369" w:type="pct"/>
            <w:gridSpan w:val="5"/>
            <w:tcBorders>
              <w:top w:val="outset" w:sz="6" w:space="0" w:color="000000"/>
              <w:left w:val="outset" w:sz="6" w:space="0" w:color="000000"/>
              <w:bottom w:val="outset" w:sz="6" w:space="0" w:color="000000"/>
              <w:right w:val="outset" w:sz="6" w:space="0" w:color="000000"/>
            </w:tcBorders>
          </w:tcPr>
          <w:p w:rsidR="00BD6928" w:rsidRPr="0011584F" w:rsidRDefault="00921402" w:rsidP="00D1501D">
            <w:pPr>
              <w:spacing w:before="100" w:beforeAutospacing="1" w:after="100" w:afterAutospacing="1"/>
              <w:rPr>
                <w:color w:val="000000"/>
              </w:rPr>
            </w:pPr>
            <w:r w:rsidRPr="00A37390">
              <w:t>Nav</w:t>
            </w:r>
            <w:r>
              <w:t>.</w:t>
            </w:r>
          </w:p>
        </w:tc>
      </w:tr>
    </w:tbl>
    <w:p w:rsidR="00383BB1" w:rsidRDefault="00383BB1" w:rsidP="006C4607">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8C6A5E" w:rsidRPr="007C0F2C" w:rsidTr="005A3A77">
        <w:trPr>
          <w:jc w:val="center"/>
        </w:trPr>
        <w:tc>
          <w:tcPr>
            <w:tcW w:w="10098" w:type="dxa"/>
            <w:gridSpan w:val="3"/>
          </w:tcPr>
          <w:p w:rsidR="008C6A5E" w:rsidRPr="007C0F2C" w:rsidRDefault="008C6A5E" w:rsidP="005A3A77">
            <w:pPr>
              <w:pStyle w:val="naisnod"/>
              <w:spacing w:before="0" w:after="0"/>
              <w:jc w:val="both"/>
            </w:pPr>
            <w:r w:rsidRPr="00004EFF">
              <w:t>IV. Tiesību akta projekta ietekme uz spēkā esošo tiesību normu sistēmu</w:t>
            </w:r>
            <w:r w:rsidRPr="007C0F2C">
              <w:t xml:space="preserve"> </w:t>
            </w:r>
          </w:p>
        </w:tc>
      </w:tr>
      <w:tr w:rsidR="008C6A5E" w:rsidRPr="00327620" w:rsidTr="005A3A77">
        <w:trPr>
          <w:jc w:val="center"/>
        </w:trPr>
        <w:tc>
          <w:tcPr>
            <w:tcW w:w="1188" w:type="dxa"/>
          </w:tcPr>
          <w:p w:rsidR="008C6A5E" w:rsidRPr="0025465D" w:rsidRDefault="008C6A5E" w:rsidP="005A3A77">
            <w:pPr>
              <w:pStyle w:val="naiskr"/>
              <w:spacing w:before="0" w:after="0"/>
            </w:pPr>
            <w:r w:rsidRPr="0025465D">
              <w:t>1.</w:t>
            </w:r>
          </w:p>
        </w:tc>
        <w:tc>
          <w:tcPr>
            <w:tcW w:w="4320" w:type="dxa"/>
          </w:tcPr>
          <w:p w:rsidR="008C6A5E" w:rsidRPr="0025465D" w:rsidRDefault="008C6A5E" w:rsidP="005A3A77">
            <w:pPr>
              <w:pStyle w:val="naiskr"/>
              <w:spacing w:before="0" w:after="0"/>
            </w:pPr>
            <w:r w:rsidRPr="00004EFF">
              <w:t xml:space="preserve">Nepieciešamie saistītie tiesību aktu </w:t>
            </w:r>
            <w:r w:rsidRPr="00004EFF">
              <w:lastRenderedPageBreak/>
              <w:t>projekti</w:t>
            </w:r>
          </w:p>
        </w:tc>
        <w:tc>
          <w:tcPr>
            <w:tcW w:w="4590" w:type="dxa"/>
          </w:tcPr>
          <w:p w:rsidR="008C6A5E" w:rsidRPr="00327620" w:rsidRDefault="008C6A5E" w:rsidP="008D0D17">
            <w:pPr>
              <w:pStyle w:val="naiskr"/>
              <w:tabs>
                <w:tab w:val="left" w:pos="2628"/>
              </w:tabs>
              <w:spacing w:before="0" w:after="0"/>
              <w:ind w:left="102" w:right="142"/>
              <w:jc w:val="both"/>
              <w:rPr>
                <w:iCs/>
              </w:rPr>
            </w:pPr>
            <w:r>
              <w:lastRenderedPageBreak/>
              <w:t xml:space="preserve">VARAM ir sagatavojusi iesniegšanai </w:t>
            </w:r>
            <w:r>
              <w:lastRenderedPageBreak/>
              <w:t>Ministru kabinetā</w:t>
            </w:r>
            <w:r w:rsidRPr="00785B5F">
              <w:t xml:space="preserve"> </w:t>
            </w:r>
            <w:r w:rsidR="008D0D17">
              <w:t xml:space="preserve">grozījumus </w:t>
            </w:r>
            <w:r w:rsidR="008D0D17" w:rsidRPr="008D0D17">
              <w:t>darbības programmas „Infrastruktūra un pakalpojumi” papildinājumā</w:t>
            </w:r>
            <w:r w:rsidRPr="00785B5F">
              <w:t xml:space="preserve">, lai nodrošinātu, ka Ministru kabineta </w:t>
            </w:r>
            <w:r w:rsidR="008D0D17">
              <w:t xml:space="preserve">noteikuma projekts atbilst darbības programmas </w:t>
            </w:r>
            <w:r w:rsidR="008D0D17" w:rsidRPr="008D0D17">
              <w:t>„Infrastruktūra un pakalpojumi” papildinājumā noteiktajam</w:t>
            </w:r>
            <w:r w:rsidRPr="00785B5F">
              <w:t>.</w:t>
            </w:r>
          </w:p>
        </w:tc>
      </w:tr>
      <w:tr w:rsidR="008C6A5E" w:rsidRPr="00327620" w:rsidTr="005A3A77">
        <w:trPr>
          <w:jc w:val="center"/>
        </w:trPr>
        <w:tc>
          <w:tcPr>
            <w:tcW w:w="1188" w:type="dxa"/>
          </w:tcPr>
          <w:p w:rsidR="008C6A5E" w:rsidRPr="0025465D" w:rsidRDefault="008C6A5E" w:rsidP="005A3A77">
            <w:pPr>
              <w:pStyle w:val="naiskr"/>
              <w:spacing w:before="0" w:after="0"/>
            </w:pPr>
            <w:r w:rsidRPr="00004EFF">
              <w:lastRenderedPageBreak/>
              <w:t>2.</w:t>
            </w:r>
          </w:p>
        </w:tc>
        <w:tc>
          <w:tcPr>
            <w:tcW w:w="4320" w:type="dxa"/>
          </w:tcPr>
          <w:p w:rsidR="008C6A5E" w:rsidRPr="0025465D" w:rsidRDefault="008C6A5E" w:rsidP="005A3A77">
            <w:pPr>
              <w:pStyle w:val="naiskr"/>
              <w:spacing w:before="0" w:after="0"/>
            </w:pPr>
            <w:r w:rsidRPr="00004EFF">
              <w:t>Cita informācija</w:t>
            </w:r>
          </w:p>
        </w:tc>
        <w:tc>
          <w:tcPr>
            <w:tcW w:w="4590" w:type="dxa"/>
          </w:tcPr>
          <w:p w:rsidR="008C6A5E" w:rsidRPr="00327620" w:rsidRDefault="008C6A5E" w:rsidP="005A3A77">
            <w:pPr>
              <w:pStyle w:val="naiskr"/>
              <w:tabs>
                <w:tab w:val="left" w:pos="2628"/>
              </w:tabs>
              <w:spacing w:before="0" w:after="0"/>
              <w:ind w:left="102" w:right="142"/>
              <w:jc w:val="both"/>
            </w:pPr>
            <w:r>
              <w:t>Nav attiecināms.</w:t>
            </w:r>
          </w:p>
        </w:tc>
      </w:tr>
    </w:tbl>
    <w:p w:rsidR="008C6A5E" w:rsidRDefault="008C6A5E" w:rsidP="006C4607">
      <w:pPr>
        <w:pStyle w:val="naiskr"/>
        <w:tabs>
          <w:tab w:val="left" w:pos="2628"/>
        </w:tabs>
        <w:spacing w:before="0" w:after="0"/>
      </w:pPr>
    </w:p>
    <w:p w:rsidR="00F31F98" w:rsidRDefault="00F31F98" w:rsidP="006C4607">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411F4" w:rsidRPr="008A6CD9" w:rsidTr="00A411F4">
        <w:trPr>
          <w:jc w:val="center"/>
        </w:trPr>
        <w:tc>
          <w:tcPr>
            <w:tcW w:w="10098" w:type="dxa"/>
            <w:gridSpan w:val="3"/>
          </w:tcPr>
          <w:p w:rsidR="00A411F4" w:rsidRPr="007C0F2C" w:rsidRDefault="00A411F4" w:rsidP="00A411F4">
            <w:pPr>
              <w:pStyle w:val="naisnod"/>
              <w:spacing w:before="0" w:after="0"/>
              <w:jc w:val="both"/>
            </w:pPr>
            <w:r w:rsidRPr="007C0F2C">
              <w:t>V. Tiesību akta projekta atbilstība Latvijas Republikas starptautiskajām saistībām</w:t>
            </w:r>
          </w:p>
        </w:tc>
      </w:tr>
      <w:tr w:rsidR="00A411F4" w:rsidRPr="00A411F4" w:rsidTr="00A411F4">
        <w:trPr>
          <w:jc w:val="center"/>
        </w:trPr>
        <w:tc>
          <w:tcPr>
            <w:tcW w:w="1188" w:type="dxa"/>
          </w:tcPr>
          <w:p w:rsidR="00A411F4" w:rsidRPr="0025465D" w:rsidRDefault="00A411F4" w:rsidP="0025465D">
            <w:pPr>
              <w:pStyle w:val="naiskr"/>
              <w:spacing w:before="0" w:after="0"/>
            </w:pPr>
            <w:r w:rsidRPr="0025465D">
              <w:t>1.</w:t>
            </w:r>
          </w:p>
        </w:tc>
        <w:tc>
          <w:tcPr>
            <w:tcW w:w="4320" w:type="dxa"/>
          </w:tcPr>
          <w:p w:rsidR="00A411F4" w:rsidRPr="0025465D" w:rsidRDefault="00A411F4" w:rsidP="0025465D">
            <w:pPr>
              <w:pStyle w:val="naiskr"/>
              <w:spacing w:before="0" w:after="0"/>
            </w:pPr>
            <w:r w:rsidRPr="0025465D">
              <w:t>Saistības pret Eiropas Savienību</w:t>
            </w:r>
          </w:p>
        </w:tc>
        <w:tc>
          <w:tcPr>
            <w:tcW w:w="4590" w:type="dxa"/>
          </w:tcPr>
          <w:p w:rsidR="00A411F4" w:rsidRPr="00327620" w:rsidRDefault="00DB2351" w:rsidP="0025465D">
            <w:pPr>
              <w:pStyle w:val="naiskr"/>
              <w:tabs>
                <w:tab w:val="left" w:pos="2628"/>
              </w:tabs>
              <w:spacing w:before="0" w:after="0"/>
              <w:ind w:left="102" w:right="142"/>
              <w:jc w:val="both"/>
              <w:rPr>
                <w:iCs/>
              </w:rPr>
            </w:pPr>
            <w:r w:rsidRPr="00327620">
              <w:t xml:space="preserve">Padomes </w:t>
            </w:r>
            <w:smartTag w:uri="schemas-tilde-lv/tildestengine" w:element="date">
              <w:smartTagPr>
                <w:attr w:name="Day" w:val="11"/>
                <w:attr w:name="Month" w:val="7"/>
                <w:attr w:name="Year" w:val="2006"/>
              </w:smartTagPr>
              <w:r w:rsidRPr="00327620">
                <w:t>2006.gada 11.jūlija</w:t>
              </w:r>
            </w:smartTag>
            <w:r w:rsidR="006D4451">
              <w:t xml:space="preserve"> Regula</w:t>
            </w:r>
            <w:r w:rsidRPr="00327620">
              <w:t xml:space="preserve"> (EK) Nr.1083/2006, ar ko paredz vispārīgus noteikumus par Eiropas Reģionālās attīstības fondu, Eiropas Sociālo fondu un Kohēzijas fondu un atceļ Regulu (EK) Nr.1260/1999</w:t>
            </w:r>
            <w:r w:rsidR="00327620" w:rsidRPr="00327620">
              <w:t>.</w:t>
            </w:r>
          </w:p>
        </w:tc>
      </w:tr>
      <w:tr w:rsidR="00DB2351" w:rsidRPr="00A411F4" w:rsidTr="00A411F4">
        <w:trPr>
          <w:jc w:val="center"/>
        </w:trPr>
        <w:tc>
          <w:tcPr>
            <w:tcW w:w="1188" w:type="dxa"/>
          </w:tcPr>
          <w:p w:rsidR="00DB2351" w:rsidRPr="0025465D" w:rsidRDefault="00DB2351" w:rsidP="0025465D">
            <w:pPr>
              <w:pStyle w:val="naiskr"/>
              <w:spacing w:before="0" w:after="0"/>
            </w:pPr>
            <w:r w:rsidRPr="0025465D">
              <w:t>2.</w:t>
            </w:r>
          </w:p>
        </w:tc>
        <w:tc>
          <w:tcPr>
            <w:tcW w:w="4320" w:type="dxa"/>
          </w:tcPr>
          <w:p w:rsidR="00DB2351" w:rsidRPr="0025465D" w:rsidRDefault="00DB2351" w:rsidP="0025465D">
            <w:pPr>
              <w:pStyle w:val="naiskr"/>
              <w:spacing w:before="0" w:after="0"/>
            </w:pPr>
            <w:r w:rsidRPr="0025465D">
              <w:t>Citas starptautiskās saistības</w:t>
            </w:r>
          </w:p>
        </w:tc>
        <w:tc>
          <w:tcPr>
            <w:tcW w:w="4590" w:type="dxa"/>
          </w:tcPr>
          <w:p w:rsidR="00DB2351" w:rsidRPr="00327620" w:rsidRDefault="00DB2351" w:rsidP="0025465D">
            <w:pPr>
              <w:pStyle w:val="naisf"/>
              <w:spacing w:before="0" w:after="0"/>
              <w:ind w:left="102" w:right="142" w:firstLine="0"/>
            </w:pPr>
            <w:r w:rsidRPr="00327620">
              <w:t>Nav attiecināms</w:t>
            </w:r>
          </w:p>
        </w:tc>
      </w:tr>
      <w:tr w:rsidR="00DB2351" w:rsidRPr="00A411F4" w:rsidTr="00A411F4">
        <w:trPr>
          <w:jc w:val="center"/>
        </w:trPr>
        <w:tc>
          <w:tcPr>
            <w:tcW w:w="1188" w:type="dxa"/>
          </w:tcPr>
          <w:p w:rsidR="00DB2351" w:rsidRPr="0025465D" w:rsidRDefault="00DB2351" w:rsidP="0025465D">
            <w:pPr>
              <w:pStyle w:val="naiskr"/>
              <w:spacing w:before="0" w:after="0"/>
            </w:pPr>
            <w:r w:rsidRPr="0025465D">
              <w:t>3.</w:t>
            </w:r>
          </w:p>
        </w:tc>
        <w:tc>
          <w:tcPr>
            <w:tcW w:w="4320" w:type="dxa"/>
          </w:tcPr>
          <w:p w:rsidR="00DB2351" w:rsidRPr="0025465D" w:rsidRDefault="00DB2351" w:rsidP="0025465D">
            <w:pPr>
              <w:pStyle w:val="naiskr"/>
              <w:spacing w:before="0" w:after="0"/>
            </w:pPr>
            <w:r w:rsidRPr="0025465D">
              <w:t>Cita informācija</w:t>
            </w:r>
          </w:p>
        </w:tc>
        <w:tc>
          <w:tcPr>
            <w:tcW w:w="4590" w:type="dxa"/>
          </w:tcPr>
          <w:p w:rsidR="00DB2351" w:rsidRPr="00327620" w:rsidRDefault="00DB2351" w:rsidP="0025465D">
            <w:pPr>
              <w:pStyle w:val="naisf"/>
              <w:spacing w:before="0" w:after="0"/>
              <w:ind w:left="102" w:right="142" w:firstLine="0"/>
            </w:pPr>
            <w:r w:rsidRPr="00327620">
              <w:t xml:space="preserve">Ar </w:t>
            </w:r>
            <w:r w:rsidR="0014720C">
              <w:t xml:space="preserve">Ministru kabineta </w:t>
            </w:r>
            <w:r w:rsidRPr="00327620">
              <w:t xml:space="preserve">noteikumu projektu tiks nodrošināta Padomes </w:t>
            </w:r>
            <w:smartTag w:uri="schemas-tilde-lv/tildestengine" w:element="date">
              <w:smartTagPr>
                <w:attr w:name="Day" w:val="11"/>
                <w:attr w:name="Month" w:val="7"/>
                <w:attr w:name="Year" w:val="2006"/>
              </w:smartTagPr>
              <w:r w:rsidRPr="00327620">
                <w:t>2006.gada 11.jūlija</w:t>
              </w:r>
            </w:smartTag>
            <w:r w:rsidRPr="00327620">
              <w:t xml:space="preserve"> Regulas (EK) Nr.1083/2006, ar ko paredz vispārīgus noteikumus par Eiropas Reģionālās attīstības fondu, Eiropas Sociālo fondu un Kohēzijas fondu un atceļ Regulu (EK) Nr.1260/1999, 93.panta 1. un 2.punktā minētā principa izpilde </w:t>
            </w:r>
            <w:r w:rsidR="00327620" w:rsidRPr="00327620">
              <w:t xml:space="preserve">aktivitātes un </w:t>
            </w:r>
            <w:r w:rsidRPr="00327620">
              <w:t>projektu līmenī</w:t>
            </w:r>
            <w:r w:rsidR="00327620" w:rsidRPr="00327620">
              <w:t>.</w:t>
            </w:r>
          </w:p>
        </w:tc>
      </w:tr>
    </w:tbl>
    <w:p w:rsidR="00A411F4" w:rsidRDefault="00A411F4" w:rsidP="00A411F4">
      <w:pPr>
        <w:pStyle w:val="naisf"/>
        <w:spacing w:before="0" w:after="0"/>
        <w:rPr>
          <w:color w:val="FF0000"/>
        </w:rPr>
      </w:pPr>
    </w:p>
    <w:p w:rsidR="00F31F98" w:rsidRDefault="00F31F98" w:rsidP="00A411F4">
      <w:pPr>
        <w:pStyle w:val="naisf"/>
        <w:spacing w:before="0" w:after="0"/>
        <w:rPr>
          <w:color w:val="FF0000"/>
        </w:rPr>
      </w:pPr>
    </w:p>
    <w:tbl>
      <w:tblPr>
        <w:tblW w:w="10328"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119"/>
        <w:gridCol w:w="2551"/>
        <w:gridCol w:w="2410"/>
        <w:gridCol w:w="2248"/>
      </w:tblGrid>
      <w:tr w:rsidR="00A411F4" w:rsidRPr="00A411F4" w:rsidTr="00F31F98">
        <w:trPr>
          <w:trHeight w:val="523"/>
          <w:jc w:val="center"/>
        </w:trPr>
        <w:tc>
          <w:tcPr>
            <w:tcW w:w="10328" w:type="dxa"/>
            <w:gridSpan w:val="4"/>
            <w:vAlign w:val="center"/>
          </w:tcPr>
          <w:p w:rsidR="00A411F4" w:rsidRPr="0038031C" w:rsidRDefault="00A411F4" w:rsidP="00A411F4">
            <w:pPr>
              <w:pStyle w:val="naisnod"/>
              <w:spacing w:before="0" w:after="0"/>
            </w:pPr>
            <w:r w:rsidRPr="0038031C">
              <w:t xml:space="preserve">1.tabula </w:t>
            </w:r>
          </w:p>
          <w:p w:rsidR="00A411F4" w:rsidRPr="0038031C" w:rsidRDefault="00A411F4" w:rsidP="00A411F4">
            <w:pPr>
              <w:pStyle w:val="naisnod"/>
              <w:spacing w:before="0" w:after="0"/>
              <w:rPr>
                <w:i/>
              </w:rPr>
            </w:pPr>
            <w:r w:rsidRPr="0038031C">
              <w:t>Tiesību akta projekta atbilstība ES tiesību aktiem</w:t>
            </w:r>
          </w:p>
        </w:tc>
      </w:tr>
      <w:tr w:rsidR="00A411F4" w:rsidRPr="0038031C" w:rsidTr="00F31F98">
        <w:trPr>
          <w:trHeight w:val="165"/>
          <w:jc w:val="center"/>
        </w:trPr>
        <w:tc>
          <w:tcPr>
            <w:tcW w:w="3119" w:type="dxa"/>
            <w:vAlign w:val="center"/>
          </w:tcPr>
          <w:p w:rsidR="00A411F4" w:rsidRPr="0038031C" w:rsidRDefault="00A411F4" w:rsidP="00A411F4">
            <w:pPr>
              <w:pStyle w:val="naiskr"/>
              <w:spacing w:before="0" w:after="0"/>
              <w:jc w:val="center"/>
            </w:pPr>
            <w:r w:rsidRPr="0038031C">
              <w:t>A</w:t>
            </w:r>
          </w:p>
        </w:tc>
        <w:tc>
          <w:tcPr>
            <w:tcW w:w="2551" w:type="dxa"/>
            <w:vAlign w:val="center"/>
          </w:tcPr>
          <w:p w:rsidR="00A411F4" w:rsidRPr="0038031C" w:rsidRDefault="00A411F4" w:rsidP="00A411F4">
            <w:pPr>
              <w:pStyle w:val="naiskr"/>
              <w:spacing w:before="0" w:after="0"/>
              <w:jc w:val="center"/>
            </w:pPr>
            <w:r w:rsidRPr="0038031C">
              <w:t>B</w:t>
            </w:r>
          </w:p>
        </w:tc>
        <w:tc>
          <w:tcPr>
            <w:tcW w:w="2410" w:type="dxa"/>
            <w:vAlign w:val="center"/>
          </w:tcPr>
          <w:p w:rsidR="00A411F4" w:rsidRPr="0038031C" w:rsidRDefault="00A411F4" w:rsidP="00A411F4">
            <w:pPr>
              <w:pStyle w:val="naiskr"/>
              <w:spacing w:before="0" w:after="0"/>
              <w:jc w:val="center"/>
            </w:pPr>
            <w:r w:rsidRPr="0038031C">
              <w:t>C</w:t>
            </w:r>
          </w:p>
        </w:tc>
        <w:tc>
          <w:tcPr>
            <w:tcW w:w="2248" w:type="dxa"/>
            <w:vAlign w:val="center"/>
          </w:tcPr>
          <w:p w:rsidR="00A411F4" w:rsidRPr="0038031C" w:rsidRDefault="00A411F4" w:rsidP="00A411F4">
            <w:pPr>
              <w:pStyle w:val="naiskr"/>
              <w:spacing w:before="0" w:after="0"/>
              <w:jc w:val="center"/>
            </w:pPr>
            <w:r w:rsidRPr="0038031C">
              <w:t>D</w:t>
            </w:r>
          </w:p>
        </w:tc>
      </w:tr>
      <w:tr w:rsidR="000D14E0" w:rsidRPr="00A411F4" w:rsidTr="00F31F98">
        <w:trPr>
          <w:trHeight w:val="2068"/>
          <w:jc w:val="center"/>
        </w:trPr>
        <w:tc>
          <w:tcPr>
            <w:tcW w:w="3119" w:type="dxa"/>
          </w:tcPr>
          <w:p w:rsidR="000D14E0" w:rsidRPr="0038031C" w:rsidRDefault="000D14E0" w:rsidP="0025465D">
            <w:pPr>
              <w:pStyle w:val="naiskr"/>
              <w:spacing w:before="120" w:after="120"/>
              <w:ind w:left="102" w:right="142"/>
            </w:pPr>
            <w:r w:rsidRPr="0038031C">
              <w:t xml:space="preserve">Padomes </w:t>
            </w:r>
            <w:smartTag w:uri="schemas-tilde-lv/tildestengine" w:element="date">
              <w:smartTagPr>
                <w:attr w:name="Day" w:val="11"/>
                <w:attr w:name="Month" w:val="7"/>
                <w:attr w:name="Year" w:val="2006"/>
              </w:smartTagPr>
              <w:r w:rsidRPr="0038031C">
                <w:t>2006.gada 11.jūlija</w:t>
              </w:r>
            </w:smartTag>
            <w:r w:rsidRPr="0038031C">
              <w:t xml:space="preserve"> Regulas (EK) Nr.1083/2006, ar ko paredz vispārīgus noteikumus par Eiropas Reģionālās attīstības fondu, Eiropas Sociālo fondu un Kohēzijas fondu un atceļ Regulu (EK) Nr.1260/1999, 93.panta 1.punkts</w:t>
            </w:r>
          </w:p>
        </w:tc>
        <w:tc>
          <w:tcPr>
            <w:tcW w:w="2551" w:type="dxa"/>
          </w:tcPr>
          <w:p w:rsidR="000D14E0" w:rsidRPr="00743F69" w:rsidRDefault="000D14E0" w:rsidP="0025465D">
            <w:pPr>
              <w:pStyle w:val="naiskr"/>
              <w:spacing w:before="120" w:after="120"/>
              <w:ind w:left="102" w:right="142"/>
              <w:rPr>
                <w:iCs/>
              </w:rPr>
            </w:pPr>
            <w:r w:rsidRPr="00743F69">
              <w:rPr>
                <w:iCs/>
              </w:rPr>
              <w:t>Noteikumu projekta</w:t>
            </w:r>
            <w:r w:rsidR="0025465D">
              <w:rPr>
                <w:iCs/>
              </w:rPr>
              <w:t xml:space="preserve"> </w:t>
            </w:r>
            <w:r w:rsidR="00743F69" w:rsidRPr="00743F69">
              <w:rPr>
                <w:iCs/>
              </w:rPr>
              <w:t>7</w:t>
            </w:r>
            <w:r w:rsidRPr="00743F69">
              <w:rPr>
                <w:iCs/>
              </w:rPr>
              <w:t>.3. apakšpunkts.</w:t>
            </w:r>
          </w:p>
          <w:p w:rsidR="000D14E0" w:rsidRPr="00743F69" w:rsidRDefault="000D14E0" w:rsidP="0025465D">
            <w:pPr>
              <w:pStyle w:val="naiskr"/>
              <w:spacing w:before="120" w:after="120"/>
              <w:ind w:left="102" w:right="142"/>
              <w:rPr>
                <w:iCs/>
              </w:rPr>
            </w:pPr>
          </w:p>
          <w:p w:rsidR="000D14E0" w:rsidRPr="0025465D" w:rsidRDefault="000D14E0" w:rsidP="0025465D">
            <w:pPr>
              <w:pStyle w:val="naiskr"/>
              <w:spacing w:before="120" w:after="120"/>
              <w:ind w:left="102" w:right="142"/>
              <w:rPr>
                <w:iCs/>
              </w:rPr>
            </w:pPr>
            <w:r w:rsidRPr="00743F69">
              <w:rPr>
                <w:iCs/>
              </w:rPr>
              <w:t>Noteikumu projekta</w:t>
            </w:r>
            <w:r w:rsidR="0025465D">
              <w:rPr>
                <w:iCs/>
              </w:rPr>
              <w:t xml:space="preserve"> </w:t>
            </w:r>
            <w:r w:rsidR="00743F69" w:rsidRPr="00743F69">
              <w:rPr>
                <w:iCs/>
              </w:rPr>
              <w:t>8</w:t>
            </w:r>
            <w:r w:rsidRPr="00743F69">
              <w:rPr>
                <w:iCs/>
              </w:rPr>
              <w:t>.14.apakšpunkts.</w:t>
            </w:r>
          </w:p>
        </w:tc>
        <w:tc>
          <w:tcPr>
            <w:tcW w:w="2410" w:type="dxa"/>
          </w:tcPr>
          <w:p w:rsidR="000D14E0" w:rsidRPr="0038031C" w:rsidRDefault="000D14E0" w:rsidP="0025465D">
            <w:pPr>
              <w:spacing w:before="120" w:beforeAutospacing="1" w:after="120" w:afterAutospacing="1"/>
              <w:ind w:left="102" w:right="142"/>
              <w:jc w:val="both"/>
            </w:pPr>
            <w:r w:rsidRPr="0038031C">
              <w:t>A ailē minētās Eiropas Savienības tiesību normas ieviestas pilnībā</w:t>
            </w:r>
          </w:p>
          <w:p w:rsidR="000D14E0" w:rsidRPr="0038031C" w:rsidRDefault="000D14E0" w:rsidP="0025465D">
            <w:pPr>
              <w:spacing w:before="120" w:beforeAutospacing="1" w:after="120" w:afterAutospacing="1"/>
              <w:ind w:left="102" w:right="142"/>
            </w:pPr>
            <w:r w:rsidRPr="0038031C">
              <w:t> </w:t>
            </w:r>
          </w:p>
          <w:p w:rsidR="000D14E0" w:rsidRPr="0038031C" w:rsidRDefault="000D14E0" w:rsidP="0025465D">
            <w:pPr>
              <w:spacing w:before="100" w:beforeAutospacing="1" w:after="100" w:afterAutospacing="1"/>
              <w:ind w:left="102" w:right="142"/>
            </w:pPr>
          </w:p>
        </w:tc>
        <w:tc>
          <w:tcPr>
            <w:tcW w:w="2248" w:type="dxa"/>
          </w:tcPr>
          <w:p w:rsidR="000D14E0" w:rsidRPr="0038031C" w:rsidRDefault="000D14E0" w:rsidP="0025465D">
            <w:pPr>
              <w:spacing w:before="120" w:beforeAutospacing="1" w:after="120" w:afterAutospacing="1"/>
              <w:ind w:left="102" w:right="142"/>
              <w:jc w:val="both"/>
            </w:pPr>
            <w:r w:rsidRPr="0038031C">
              <w:t> B ailē minētās noteikumu projekta normas ir atbilstošas Eiropas Savienības tiesību aktiem.</w:t>
            </w:r>
          </w:p>
          <w:p w:rsidR="000D14E0" w:rsidRPr="0038031C" w:rsidRDefault="000D14E0" w:rsidP="0025465D">
            <w:pPr>
              <w:spacing w:before="120" w:beforeAutospacing="1" w:after="120" w:afterAutospacing="1"/>
              <w:ind w:left="102" w:right="142"/>
            </w:pPr>
          </w:p>
        </w:tc>
      </w:tr>
      <w:tr w:rsidR="000D14E0" w:rsidRPr="00A411F4" w:rsidTr="00F31F98">
        <w:trPr>
          <w:trHeight w:val="2068"/>
          <w:jc w:val="center"/>
        </w:trPr>
        <w:tc>
          <w:tcPr>
            <w:tcW w:w="3119" w:type="dxa"/>
          </w:tcPr>
          <w:p w:rsidR="000D14E0" w:rsidRPr="00743F69" w:rsidRDefault="000D14E0" w:rsidP="0025465D">
            <w:pPr>
              <w:pStyle w:val="naiskr"/>
              <w:spacing w:before="120" w:after="120"/>
              <w:ind w:left="102" w:right="142"/>
            </w:pPr>
            <w:r w:rsidRPr="00743F69">
              <w:t xml:space="preserve">Padomes </w:t>
            </w:r>
            <w:smartTag w:uri="schemas-tilde-lv/tildestengine" w:element="date">
              <w:smartTagPr>
                <w:attr w:name="Year" w:val="2006"/>
                <w:attr w:name="Month" w:val="7"/>
                <w:attr w:name="Day" w:val="11"/>
              </w:smartTagPr>
              <w:r w:rsidRPr="00743F69">
                <w:t>2006.gada 11.jūlija</w:t>
              </w:r>
            </w:smartTag>
            <w:r w:rsidRPr="00743F69">
              <w:t xml:space="preserve"> Regulas (EK) Nr.1083/2006, ar ko paredz vispārīgus noteikumus par Eiropas Reģionālās attīstības fondu, Eiropas Sociālo fondu un Kohēzijas fondu un atceļ Regulu (EK) Nr.1260/1999, </w:t>
            </w:r>
            <w:r w:rsidRPr="00743F69">
              <w:lastRenderedPageBreak/>
              <w:t>93.panta 2.punkts</w:t>
            </w:r>
          </w:p>
        </w:tc>
        <w:tc>
          <w:tcPr>
            <w:tcW w:w="2551" w:type="dxa"/>
          </w:tcPr>
          <w:p w:rsidR="000D14E0" w:rsidRPr="00743F69" w:rsidRDefault="000D14E0" w:rsidP="0025465D">
            <w:pPr>
              <w:pStyle w:val="naiskr"/>
              <w:spacing w:before="120" w:after="120"/>
              <w:ind w:left="102" w:right="142"/>
              <w:rPr>
                <w:iCs/>
              </w:rPr>
            </w:pPr>
            <w:r w:rsidRPr="00743F69">
              <w:rPr>
                <w:iCs/>
              </w:rPr>
              <w:lastRenderedPageBreak/>
              <w:t>Noteikumu projekta</w:t>
            </w:r>
            <w:r w:rsidR="0025465D">
              <w:rPr>
                <w:iCs/>
              </w:rPr>
              <w:t xml:space="preserve"> </w:t>
            </w:r>
            <w:r w:rsidR="00743F69" w:rsidRPr="00743F69">
              <w:rPr>
                <w:iCs/>
              </w:rPr>
              <w:t>7</w:t>
            </w:r>
            <w:r w:rsidRPr="00743F69">
              <w:rPr>
                <w:iCs/>
              </w:rPr>
              <w:t>.3. apakšpunkts.</w:t>
            </w:r>
          </w:p>
          <w:p w:rsidR="000D14E0" w:rsidRPr="00743F69" w:rsidRDefault="000D14E0" w:rsidP="0025465D">
            <w:pPr>
              <w:pStyle w:val="naiskr"/>
              <w:spacing w:before="120" w:after="120"/>
              <w:ind w:left="102" w:right="142"/>
              <w:rPr>
                <w:iCs/>
              </w:rPr>
            </w:pPr>
          </w:p>
          <w:p w:rsidR="000D14E0" w:rsidRPr="00743F69" w:rsidRDefault="000D14E0" w:rsidP="0025465D">
            <w:pPr>
              <w:pStyle w:val="naiskr"/>
              <w:spacing w:before="120" w:after="120"/>
              <w:ind w:left="102" w:right="142"/>
              <w:rPr>
                <w:iCs/>
              </w:rPr>
            </w:pPr>
            <w:r w:rsidRPr="00743F69">
              <w:rPr>
                <w:iCs/>
              </w:rPr>
              <w:t>Noteikumu projekta</w:t>
            </w:r>
            <w:r w:rsidR="0025465D">
              <w:rPr>
                <w:iCs/>
              </w:rPr>
              <w:t xml:space="preserve"> </w:t>
            </w:r>
            <w:r w:rsidR="00743F69" w:rsidRPr="00743F69">
              <w:rPr>
                <w:iCs/>
              </w:rPr>
              <w:t>8</w:t>
            </w:r>
            <w:r w:rsidRPr="00743F69">
              <w:rPr>
                <w:iCs/>
              </w:rPr>
              <w:t>.14.apakšpunkts.</w:t>
            </w:r>
          </w:p>
        </w:tc>
        <w:tc>
          <w:tcPr>
            <w:tcW w:w="2410" w:type="dxa"/>
          </w:tcPr>
          <w:p w:rsidR="000D14E0" w:rsidRPr="0038031C" w:rsidRDefault="000D14E0" w:rsidP="0025465D">
            <w:pPr>
              <w:spacing w:before="120" w:beforeAutospacing="1" w:after="120" w:afterAutospacing="1"/>
              <w:ind w:left="102" w:right="142"/>
              <w:jc w:val="both"/>
            </w:pPr>
            <w:r w:rsidRPr="0038031C">
              <w:t>A ailē minētās Eiropas Savienības tiesību normas ieviestas pilnībā</w:t>
            </w:r>
          </w:p>
          <w:p w:rsidR="000D14E0" w:rsidRPr="0038031C" w:rsidRDefault="000D14E0" w:rsidP="0025465D">
            <w:pPr>
              <w:spacing w:before="120" w:beforeAutospacing="1" w:after="120" w:afterAutospacing="1"/>
              <w:ind w:left="102" w:right="142"/>
            </w:pPr>
            <w:r w:rsidRPr="0038031C">
              <w:t> </w:t>
            </w:r>
          </w:p>
          <w:p w:rsidR="000D14E0" w:rsidRPr="0038031C" w:rsidRDefault="000D14E0" w:rsidP="0025465D">
            <w:pPr>
              <w:spacing w:before="120" w:beforeAutospacing="1" w:after="120" w:afterAutospacing="1"/>
              <w:ind w:left="102" w:right="142"/>
            </w:pPr>
          </w:p>
        </w:tc>
        <w:tc>
          <w:tcPr>
            <w:tcW w:w="2248" w:type="dxa"/>
          </w:tcPr>
          <w:p w:rsidR="000D14E0" w:rsidRPr="0038031C" w:rsidRDefault="000D14E0" w:rsidP="0025465D">
            <w:pPr>
              <w:spacing w:before="120" w:beforeAutospacing="1" w:after="120" w:afterAutospacing="1"/>
              <w:ind w:left="102" w:right="142"/>
              <w:jc w:val="both"/>
            </w:pPr>
            <w:r w:rsidRPr="0038031C">
              <w:t> B ailē minētās noteikumu projekta normas ir atbilstošas Eiropas Savienības tiesību aktiem.</w:t>
            </w:r>
          </w:p>
          <w:p w:rsidR="000D14E0" w:rsidRPr="0038031C" w:rsidRDefault="000D14E0" w:rsidP="0025465D">
            <w:pPr>
              <w:spacing w:before="120" w:beforeAutospacing="1" w:after="120" w:afterAutospacing="1"/>
              <w:ind w:left="102" w:right="142"/>
            </w:pPr>
          </w:p>
        </w:tc>
      </w:tr>
      <w:tr w:rsidR="00A411F4" w:rsidRPr="00A411F4" w:rsidTr="00F31F98">
        <w:trPr>
          <w:trHeight w:val="281"/>
          <w:jc w:val="center"/>
        </w:trPr>
        <w:tc>
          <w:tcPr>
            <w:tcW w:w="3119" w:type="dxa"/>
            <w:vAlign w:val="center"/>
          </w:tcPr>
          <w:p w:rsidR="00A411F4" w:rsidRPr="0038031C" w:rsidRDefault="00A411F4" w:rsidP="0025465D">
            <w:pPr>
              <w:pStyle w:val="naiskr"/>
              <w:spacing w:before="120" w:after="120"/>
              <w:ind w:left="102" w:right="142"/>
            </w:pPr>
            <w:r w:rsidRPr="0038031C">
              <w:lastRenderedPageBreak/>
              <w:t>Kā ir izmantota ES tiesību aktā paredzētā rīcības brīvība dalībvalstij pārņemt vai ieviest noteiktas ES tiesību akta normas.</w:t>
            </w:r>
          </w:p>
          <w:p w:rsidR="00A411F4" w:rsidRPr="0038031C" w:rsidRDefault="00A411F4" w:rsidP="0025465D">
            <w:pPr>
              <w:pStyle w:val="naiskr"/>
              <w:spacing w:before="120" w:after="120"/>
              <w:ind w:left="102" w:right="142"/>
            </w:pPr>
            <w:r w:rsidRPr="0038031C">
              <w:t>Kādēļ?</w:t>
            </w:r>
          </w:p>
        </w:tc>
        <w:tc>
          <w:tcPr>
            <w:tcW w:w="7209" w:type="dxa"/>
            <w:gridSpan w:val="3"/>
          </w:tcPr>
          <w:p w:rsidR="00A411F4" w:rsidRPr="0038031C" w:rsidRDefault="000D14E0" w:rsidP="0025465D">
            <w:pPr>
              <w:pStyle w:val="naiskr"/>
              <w:spacing w:before="120" w:after="120"/>
              <w:ind w:left="102" w:right="142"/>
            </w:pPr>
            <w:r w:rsidRPr="0038031C">
              <w:rPr>
                <w:iCs/>
              </w:rPr>
              <w:t>Nav attiecināms.</w:t>
            </w:r>
          </w:p>
        </w:tc>
      </w:tr>
      <w:tr w:rsidR="00A411F4" w:rsidRPr="00A411F4" w:rsidTr="00F31F98">
        <w:trPr>
          <w:trHeight w:val="913"/>
          <w:jc w:val="center"/>
        </w:trPr>
        <w:tc>
          <w:tcPr>
            <w:tcW w:w="3119" w:type="dxa"/>
            <w:vAlign w:val="center"/>
          </w:tcPr>
          <w:p w:rsidR="00A411F4" w:rsidRPr="0038031C" w:rsidRDefault="00A411F4" w:rsidP="0025465D">
            <w:pPr>
              <w:pStyle w:val="naiskr"/>
              <w:spacing w:before="120" w:after="120"/>
              <w:ind w:left="102" w:right="142"/>
              <w:rPr>
                <w:i/>
              </w:rPr>
            </w:pPr>
            <w:r w:rsidRPr="0038031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09" w:type="dxa"/>
            <w:gridSpan w:val="3"/>
          </w:tcPr>
          <w:p w:rsidR="00A411F4" w:rsidRPr="0038031C" w:rsidRDefault="0038031C" w:rsidP="0025465D">
            <w:pPr>
              <w:pStyle w:val="naiskr"/>
              <w:spacing w:before="120" w:after="120"/>
              <w:ind w:left="102" w:right="142"/>
            </w:pPr>
            <w:r w:rsidRPr="0038031C">
              <w:rPr>
                <w:iCs/>
              </w:rPr>
              <w:t>Nav.</w:t>
            </w:r>
          </w:p>
        </w:tc>
      </w:tr>
      <w:tr w:rsidR="00A411F4" w:rsidRPr="00A411F4" w:rsidTr="00F31F98">
        <w:trPr>
          <w:trHeight w:val="579"/>
          <w:jc w:val="center"/>
        </w:trPr>
        <w:tc>
          <w:tcPr>
            <w:tcW w:w="3119" w:type="dxa"/>
          </w:tcPr>
          <w:p w:rsidR="00A411F4" w:rsidRPr="00743F69" w:rsidRDefault="00A411F4" w:rsidP="0025465D">
            <w:pPr>
              <w:pStyle w:val="naiskr"/>
              <w:spacing w:before="120" w:after="120"/>
              <w:ind w:left="102" w:right="142"/>
            </w:pPr>
            <w:r w:rsidRPr="00743F69">
              <w:t>Cita informācija</w:t>
            </w:r>
          </w:p>
        </w:tc>
        <w:tc>
          <w:tcPr>
            <w:tcW w:w="7209" w:type="dxa"/>
            <w:gridSpan w:val="3"/>
          </w:tcPr>
          <w:p w:rsidR="00A411F4" w:rsidRPr="0038031C" w:rsidRDefault="00A411F4" w:rsidP="0025465D">
            <w:pPr>
              <w:pStyle w:val="naiskr"/>
              <w:spacing w:before="120" w:after="120"/>
              <w:ind w:left="102" w:right="142"/>
              <w:rPr>
                <w:i/>
                <w:sz w:val="22"/>
                <w:szCs w:val="22"/>
              </w:rPr>
            </w:pPr>
            <w:r w:rsidRPr="0038031C">
              <w:rPr>
                <w:sz w:val="22"/>
                <w:szCs w:val="22"/>
              </w:rPr>
              <w:t>Nav</w:t>
            </w:r>
            <w:r w:rsidR="008A6DCD" w:rsidRPr="0038031C">
              <w:rPr>
                <w:sz w:val="22"/>
                <w:szCs w:val="22"/>
              </w:rPr>
              <w:t>.</w:t>
            </w:r>
          </w:p>
        </w:tc>
      </w:tr>
    </w:tbl>
    <w:p w:rsidR="00F31F98" w:rsidRDefault="00F31F98" w:rsidP="00A411F4">
      <w:pPr>
        <w:pStyle w:val="naisf"/>
        <w:spacing w:before="0" w:after="0"/>
        <w:ind w:firstLine="0"/>
        <w:rPr>
          <w:color w:val="FF0000"/>
        </w:rPr>
      </w:pPr>
    </w:p>
    <w:tbl>
      <w:tblPr>
        <w:tblW w:w="10431"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82"/>
        <w:gridCol w:w="3402"/>
        <w:gridCol w:w="2947"/>
      </w:tblGrid>
      <w:tr w:rsidR="0038031C" w:rsidRPr="0046394F" w:rsidTr="0038031C">
        <w:trPr>
          <w:trHeight w:val="792"/>
          <w:jc w:val="center"/>
        </w:trPr>
        <w:tc>
          <w:tcPr>
            <w:tcW w:w="10431" w:type="dxa"/>
            <w:gridSpan w:val="3"/>
            <w:vAlign w:val="center"/>
          </w:tcPr>
          <w:p w:rsidR="0038031C" w:rsidRPr="0046394F" w:rsidRDefault="0038031C" w:rsidP="0038031C">
            <w:pPr>
              <w:pStyle w:val="naisnod"/>
              <w:spacing w:before="0" w:after="0"/>
            </w:pPr>
            <w:r w:rsidRPr="0046394F">
              <w:t xml:space="preserve">2.tabula </w:t>
            </w:r>
          </w:p>
          <w:p w:rsidR="0038031C" w:rsidRPr="0046394F" w:rsidRDefault="0038031C" w:rsidP="0038031C">
            <w:pPr>
              <w:pStyle w:val="naisnod"/>
              <w:spacing w:before="0" w:after="0"/>
            </w:pPr>
            <w:r w:rsidRPr="0046394F">
              <w:t>Ar tiesību akta projektu uzņemtās saistības, kas izriet no starptautiskajiem tiesību aktiem vai starptautiskas institūcijas vai organizācijas dokumentiem</w:t>
            </w:r>
          </w:p>
          <w:p w:rsidR="0038031C" w:rsidRPr="0046394F" w:rsidRDefault="0038031C" w:rsidP="0038031C">
            <w:pPr>
              <w:pStyle w:val="naisnod"/>
              <w:spacing w:before="0" w:after="0"/>
            </w:pPr>
            <w:r w:rsidRPr="0046394F">
              <w:t>Pasākumi šo saistību izpildei</w:t>
            </w:r>
          </w:p>
        </w:tc>
      </w:tr>
      <w:tr w:rsidR="0038031C" w:rsidRPr="0046394F" w:rsidTr="0038031C">
        <w:trPr>
          <w:trHeight w:val="1349"/>
          <w:jc w:val="center"/>
        </w:trPr>
        <w:tc>
          <w:tcPr>
            <w:tcW w:w="4082" w:type="dxa"/>
            <w:vAlign w:val="center"/>
          </w:tcPr>
          <w:p w:rsidR="0038031C" w:rsidRPr="0046394F" w:rsidRDefault="0038031C" w:rsidP="0038031C">
            <w:pPr>
              <w:pStyle w:val="naiskr"/>
              <w:spacing w:before="0" w:after="0"/>
              <w:ind w:hanging="10"/>
            </w:pPr>
            <w:r w:rsidRPr="0046394F">
              <w:t>Attiecīgā starptautiskā tiesību akta vai starptautiskas institūcijas vai organizācijas dokumenta (turpmāk – starptautiskais dokuments) datums, numurs un nosaukums</w:t>
            </w:r>
          </w:p>
        </w:tc>
        <w:tc>
          <w:tcPr>
            <w:tcW w:w="6349" w:type="dxa"/>
            <w:gridSpan w:val="2"/>
          </w:tcPr>
          <w:p w:rsidR="0038031C" w:rsidRPr="0046394F" w:rsidRDefault="0038031C" w:rsidP="0038031C">
            <w:pPr>
              <w:pStyle w:val="naiskr"/>
              <w:spacing w:before="0" w:after="0"/>
            </w:pPr>
            <w:r w:rsidRPr="0046394F">
              <w:t>Nav attiecināms.</w:t>
            </w:r>
          </w:p>
        </w:tc>
      </w:tr>
      <w:tr w:rsidR="0038031C" w:rsidRPr="0046394F" w:rsidTr="0038031C">
        <w:trPr>
          <w:trHeight w:val="341"/>
          <w:jc w:val="center"/>
        </w:trPr>
        <w:tc>
          <w:tcPr>
            <w:tcW w:w="4082" w:type="dxa"/>
            <w:vAlign w:val="center"/>
          </w:tcPr>
          <w:p w:rsidR="0038031C" w:rsidRPr="0046394F" w:rsidRDefault="0038031C" w:rsidP="0038031C">
            <w:pPr>
              <w:pStyle w:val="naiskr"/>
              <w:spacing w:before="0" w:after="0"/>
              <w:jc w:val="center"/>
            </w:pPr>
            <w:r w:rsidRPr="0046394F">
              <w:t>A</w:t>
            </w:r>
          </w:p>
        </w:tc>
        <w:tc>
          <w:tcPr>
            <w:tcW w:w="3402" w:type="dxa"/>
            <w:vAlign w:val="center"/>
          </w:tcPr>
          <w:p w:rsidR="0038031C" w:rsidRPr="0046394F" w:rsidRDefault="0038031C" w:rsidP="0038031C">
            <w:pPr>
              <w:pStyle w:val="naiskr"/>
              <w:spacing w:before="0" w:after="0"/>
              <w:jc w:val="center"/>
            </w:pPr>
            <w:r w:rsidRPr="0046394F">
              <w:t>B</w:t>
            </w:r>
          </w:p>
        </w:tc>
        <w:tc>
          <w:tcPr>
            <w:tcW w:w="2947" w:type="dxa"/>
            <w:vAlign w:val="center"/>
          </w:tcPr>
          <w:p w:rsidR="0038031C" w:rsidRPr="0046394F" w:rsidRDefault="0038031C" w:rsidP="0038031C">
            <w:pPr>
              <w:pStyle w:val="naiskr"/>
              <w:spacing w:before="0" w:after="0"/>
              <w:jc w:val="center"/>
            </w:pPr>
            <w:r w:rsidRPr="0046394F">
              <w:t>C</w:t>
            </w:r>
          </w:p>
        </w:tc>
      </w:tr>
      <w:tr w:rsidR="0038031C" w:rsidRPr="0046394F" w:rsidTr="0038031C">
        <w:trPr>
          <w:trHeight w:val="341"/>
          <w:jc w:val="center"/>
        </w:trPr>
        <w:tc>
          <w:tcPr>
            <w:tcW w:w="4082" w:type="dxa"/>
          </w:tcPr>
          <w:p w:rsidR="0038031C" w:rsidRPr="0046394F" w:rsidRDefault="0038031C" w:rsidP="0038031C">
            <w:pPr>
              <w:pStyle w:val="naiskr"/>
              <w:spacing w:before="0" w:after="0"/>
            </w:pPr>
            <w:r w:rsidRPr="0046394F">
              <w:t>Starptautiskās saistības (pēc būtības), kas izriet no norādītā starptautiskā dokumenta.</w:t>
            </w:r>
          </w:p>
          <w:p w:rsidR="0038031C" w:rsidRPr="0046394F" w:rsidRDefault="0038031C" w:rsidP="0038031C">
            <w:pPr>
              <w:pStyle w:val="naiskr"/>
              <w:spacing w:before="0" w:after="0"/>
            </w:pPr>
          </w:p>
          <w:p w:rsidR="0038031C" w:rsidRPr="0046394F" w:rsidRDefault="0038031C" w:rsidP="0038031C">
            <w:pPr>
              <w:pStyle w:val="naiskr"/>
              <w:spacing w:before="0" w:after="0"/>
            </w:pPr>
            <w:r w:rsidRPr="0046394F">
              <w:t>Konkrēti veicamie pasākumi vai uzdevumi, kas nepieciešami šo starptautisko saistību izpildei</w:t>
            </w:r>
          </w:p>
        </w:tc>
        <w:tc>
          <w:tcPr>
            <w:tcW w:w="3402" w:type="dxa"/>
          </w:tcPr>
          <w:p w:rsidR="0038031C" w:rsidRPr="0046394F" w:rsidRDefault="0038031C" w:rsidP="0038031C">
            <w:pPr>
              <w:pStyle w:val="naiskr"/>
              <w:spacing w:before="0" w:after="0"/>
            </w:pPr>
            <w:r w:rsidRPr="0046394F">
              <w:t>Nav.</w:t>
            </w:r>
          </w:p>
        </w:tc>
        <w:tc>
          <w:tcPr>
            <w:tcW w:w="2947" w:type="dxa"/>
          </w:tcPr>
          <w:p w:rsidR="0038031C" w:rsidRPr="0046394F" w:rsidRDefault="0038031C" w:rsidP="0038031C">
            <w:pPr>
              <w:pStyle w:val="naiskr"/>
              <w:spacing w:before="0" w:after="0"/>
            </w:pPr>
            <w:r w:rsidRPr="0046394F">
              <w:t>Nav.</w:t>
            </w:r>
          </w:p>
        </w:tc>
      </w:tr>
      <w:tr w:rsidR="0038031C" w:rsidRPr="0046394F" w:rsidTr="0038031C">
        <w:trPr>
          <w:trHeight w:val="671"/>
          <w:jc w:val="center"/>
        </w:trPr>
        <w:tc>
          <w:tcPr>
            <w:tcW w:w="4082" w:type="dxa"/>
          </w:tcPr>
          <w:p w:rsidR="0038031C" w:rsidRPr="0046394F" w:rsidRDefault="0038031C" w:rsidP="0038031C">
            <w:pPr>
              <w:pStyle w:val="naiskr"/>
              <w:spacing w:before="0" w:after="0"/>
            </w:pPr>
            <w:r w:rsidRPr="0046394F">
              <w:rPr>
                <w:iCs/>
              </w:rPr>
              <w:t>Iekļauj informāciju atbilstoši instrukcijas 58</w:t>
            </w:r>
            <w:r w:rsidRPr="0046394F">
              <w:t>.1.apakšpunktā noteiktajam</w:t>
            </w:r>
          </w:p>
        </w:tc>
        <w:tc>
          <w:tcPr>
            <w:tcW w:w="3402" w:type="dxa"/>
          </w:tcPr>
          <w:p w:rsidR="0038031C" w:rsidRPr="0046394F" w:rsidRDefault="0038031C" w:rsidP="0038031C">
            <w:pPr>
              <w:pStyle w:val="naiskr"/>
              <w:spacing w:before="0" w:after="0"/>
            </w:pPr>
            <w:r w:rsidRPr="0046394F">
              <w:t>Nav.</w:t>
            </w:r>
          </w:p>
        </w:tc>
        <w:tc>
          <w:tcPr>
            <w:tcW w:w="2947" w:type="dxa"/>
          </w:tcPr>
          <w:p w:rsidR="0038031C" w:rsidRPr="0046394F" w:rsidRDefault="0038031C" w:rsidP="0038031C">
            <w:pPr>
              <w:pStyle w:val="naiskr"/>
              <w:spacing w:before="0" w:after="0"/>
            </w:pPr>
            <w:r w:rsidRPr="0046394F">
              <w:t>Nav.</w:t>
            </w:r>
          </w:p>
        </w:tc>
      </w:tr>
      <w:tr w:rsidR="0038031C" w:rsidRPr="0046394F" w:rsidTr="00B6635F">
        <w:trPr>
          <w:trHeight w:val="161"/>
          <w:jc w:val="center"/>
        </w:trPr>
        <w:tc>
          <w:tcPr>
            <w:tcW w:w="4082" w:type="dxa"/>
            <w:vAlign w:val="center"/>
          </w:tcPr>
          <w:p w:rsidR="0038031C" w:rsidRPr="0046394F" w:rsidRDefault="0038031C" w:rsidP="0038031C">
            <w:pPr>
              <w:pStyle w:val="naisf"/>
              <w:tabs>
                <w:tab w:val="left" w:pos="900"/>
              </w:tabs>
              <w:spacing w:before="0" w:after="0"/>
              <w:ind w:firstLine="0"/>
              <w:jc w:val="left"/>
            </w:pPr>
            <w:r w:rsidRPr="0046394F">
              <w:t xml:space="preserve">Vai starptautiskajā dokumentā paredzētās </w:t>
            </w:r>
            <w:r w:rsidRPr="0046394F">
              <w:lastRenderedPageBreak/>
              <w:t>saistības nav pretrunā ar jau esošajām Latvijas Republikas starptautiskajām saistībām</w:t>
            </w:r>
          </w:p>
        </w:tc>
        <w:tc>
          <w:tcPr>
            <w:tcW w:w="6349" w:type="dxa"/>
            <w:gridSpan w:val="2"/>
          </w:tcPr>
          <w:p w:rsidR="0038031C" w:rsidRPr="0046394F" w:rsidRDefault="0038031C" w:rsidP="0038031C">
            <w:pPr>
              <w:pStyle w:val="naiskr"/>
              <w:spacing w:before="0" w:after="0"/>
            </w:pPr>
            <w:r w:rsidRPr="0046394F">
              <w:lastRenderedPageBreak/>
              <w:t>Nav.</w:t>
            </w:r>
          </w:p>
        </w:tc>
      </w:tr>
      <w:tr w:rsidR="0038031C" w:rsidRPr="0046394F" w:rsidTr="00B6635F">
        <w:trPr>
          <w:trHeight w:val="709"/>
          <w:jc w:val="center"/>
        </w:trPr>
        <w:tc>
          <w:tcPr>
            <w:tcW w:w="4082" w:type="dxa"/>
          </w:tcPr>
          <w:p w:rsidR="0038031C" w:rsidRPr="0046394F" w:rsidRDefault="0038031C" w:rsidP="0038031C">
            <w:pPr>
              <w:pStyle w:val="naiskr"/>
              <w:spacing w:before="0" w:after="0"/>
            </w:pPr>
            <w:r w:rsidRPr="0046394F">
              <w:lastRenderedPageBreak/>
              <w:t>Cita informācija</w:t>
            </w:r>
          </w:p>
        </w:tc>
        <w:tc>
          <w:tcPr>
            <w:tcW w:w="6349" w:type="dxa"/>
            <w:gridSpan w:val="2"/>
          </w:tcPr>
          <w:p w:rsidR="0038031C" w:rsidRPr="0046394F" w:rsidRDefault="0038031C" w:rsidP="0038031C">
            <w:pPr>
              <w:pStyle w:val="naiskr"/>
              <w:spacing w:before="0" w:after="0"/>
            </w:pPr>
            <w:r w:rsidRPr="0046394F">
              <w:t>Nav.</w:t>
            </w:r>
          </w:p>
        </w:tc>
      </w:tr>
    </w:tbl>
    <w:p w:rsidR="0038031C" w:rsidRPr="0046394F" w:rsidRDefault="0038031C" w:rsidP="00A411F4">
      <w:pPr>
        <w:pStyle w:val="naisf"/>
        <w:spacing w:before="0" w:after="0"/>
        <w:ind w:firstLine="0"/>
        <w:rPr>
          <w:color w:val="FF0000"/>
        </w:rPr>
      </w:pPr>
    </w:p>
    <w:tbl>
      <w:tblPr>
        <w:tblpPr w:leftFromText="180" w:rightFromText="180" w:vertAnchor="text" w:horzAnchor="margin" w:tblpXSpec="center" w:tblpY="149"/>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53"/>
      </w:tblGrid>
      <w:tr w:rsidR="00A411F4" w:rsidRPr="0046394F" w:rsidTr="00A411F4">
        <w:tc>
          <w:tcPr>
            <w:tcW w:w="10353" w:type="dxa"/>
          </w:tcPr>
          <w:p w:rsidR="00A411F4" w:rsidRPr="0046394F" w:rsidRDefault="00A411F4" w:rsidP="00A411F4">
            <w:pPr>
              <w:pStyle w:val="naisf"/>
              <w:spacing w:before="0" w:after="0"/>
              <w:jc w:val="left"/>
            </w:pPr>
            <w:r w:rsidRPr="0046394F">
              <w:t>Anotācijas III, IV, VI un VII sadaļas – nav attiecināmas.</w:t>
            </w:r>
          </w:p>
        </w:tc>
      </w:tr>
    </w:tbl>
    <w:p w:rsidR="00A411F4" w:rsidRPr="0046394F" w:rsidRDefault="00A411F4" w:rsidP="006C4607">
      <w:pPr>
        <w:pStyle w:val="naiskr"/>
        <w:tabs>
          <w:tab w:val="left" w:pos="2628"/>
        </w:tabs>
        <w:spacing w:before="0" w:after="0"/>
      </w:pPr>
    </w:p>
    <w:p w:rsidR="00A411F4" w:rsidRPr="00A37390" w:rsidRDefault="00A411F4" w:rsidP="006C4607">
      <w:pPr>
        <w:pStyle w:val="naiskr"/>
        <w:tabs>
          <w:tab w:val="left" w:pos="2628"/>
        </w:tabs>
        <w:spacing w:before="0" w:after="0"/>
      </w:pPr>
    </w:p>
    <w:p w:rsidR="00593A9A" w:rsidRPr="00A37390" w:rsidRDefault="00593A9A" w:rsidP="00724F78">
      <w:pPr>
        <w:pStyle w:val="Signature"/>
        <w:widowControl/>
        <w:tabs>
          <w:tab w:val="clear" w:pos="9072"/>
          <w:tab w:val="right" w:pos="7938"/>
        </w:tabs>
        <w:spacing w:before="0"/>
        <w:ind w:right="84" w:firstLine="0"/>
        <w:rPr>
          <w:color w:val="000000"/>
          <w:sz w:val="24"/>
          <w:szCs w:val="24"/>
          <w:lang w:val="lv-LV"/>
        </w:rPr>
      </w:pPr>
    </w:p>
    <w:p w:rsidR="00995D40" w:rsidRDefault="00995D40" w:rsidP="00995D40"/>
    <w:p w:rsidR="00B11E44" w:rsidRPr="00D22743" w:rsidRDefault="00B11E44" w:rsidP="00B11E44">
      <w:pPr>
        <w:pStyle w:val="BodyTextIndent"/>
        <w:tabs>
          <w:tab w:val="num" w:pos="1090"/>
        </w:tabs>
        <w:ind w:left="0"/>
      </w:pPr>
      <w:r w:rsidRPr="00D22743">
        <w:t xml:space="preserve">Iesniedzējs: </w:t>
      </w:r>
    </w:p>
    <w:p w:rsidR="00B11E44" w:rsidRPr="00D22743" w:rsidRDefault="00B11E44" w:rsidP="00B11E44">
      <w:pPr>
        <w:jc w:val="both"/>
        <w:rPr>
          <w:lang w:bidi="lo-LA"/>
        </w:rPr>
      </w:pPr>
      <w:r w:rsidRPr="00D22743">
        <w:rPr>
          <w:lang w:bidi="lo-LA"/>
        </w:rPr>
        <w:t>Vides aizsardzības un reģionālās attīstības ministrs</w:t>
      </w:r>
      <w:r w:rsidRPr="00D22743">
        <w:rPr>
          <w:lang w:bidi="lo-LA"/>
        </w:rPr>
        <w:tab/>
      </w:r>
      <w:r w:rsidRPr="00D22743">
        <w:rPr>
          <w:lang w:bidi="lo-LA"/>
        </w:rPr>
        <w:tab/>
      </w:r>
      <w:r w:rsidRPr="00D22743">
        <w:rPr>
          <w:lang w:bidi="lo-LA"/>
        </w:rPr>
        <w:tab/>
      </w:r>
      <w:r w:rsidRPr="00D22743">
        <w:rPr>
          <w:lang w:bidi="lo-LA"/>
        </w:rPr>
        <w:tab/>
      </w:r>
      <w:r>
        <w:rPr>
          <w:lang w:bidi="lo-LA"/>
        </w:rPr>
        <w:tab/>
      </w:r>
      <w:r w:rsidRPr="00D22743">
        <w:rPr>
          <w:lang w:bidi="lo-LA"/>
        </w:rPr>
        <w:t>R.Vējonis</w:t>
      </w:r>
    </w:p>
    <w:p w:rsidR="00B11E44" w:rsidRPr="00D22743" w:rsidRDefault="00B11E44" w:rsidP="00B11E44">
      <w:pPr>
        <w:jc w:val="both"/>
      </w:pPr>
    </w:p>
    <w:p w:rsidR="00B11E44" w:rsidRPr="00D22743" w:rsidRDefault="00B11E44" w:rsidP="00B11E44">
      <w:pPr>
        <w:jc w:val="both"/>
      </w:pPr>
    </w:p>
    <w:p w:rsidR="00B11E44" w:rsidRPr="00D22743" w:rsidRDefault="00B11E44" w:rsidP="00B11E44">
      <w:pPr>
        <w:jc w:val="both"/>
      </w:pPr>
      <w:r w:rsidRPr="00D22743">
        <w:t xml:space="preserve">Vizē: </w:t>
      </w:r>
    </w:p>
    <w:p w:rsidR="00B11E44" w:rsidRPr="00D22743" w:rsidRDefault="00B11E44" w:rsidP="00B11E44">
      <w:pPr>
        <w:jc w:val="both"/>
      </w:pPr>
      <w:r w:rsidRPr="00D22743">
        <w:t>Valsts sekretārs</w:t>
      </w:r>
      <w:r w:rsidRPr="00D22743">
        <w:tab/>
      </w:r>
      <w:r w:rsidRPr="00D22743">
        <w:tab/>
      </w:r>
      <w:r w:rsidRPr="00D22743">
        <w:tab/>
      </w:r>
      <w:r w:rsidRPr="00D22743">
        <w:tab/>
      </w:r>
      <w:r w:rsidRPr="00D22743">
        <w:tab/>
      </w:r>
      <w:r w:rsidRPr="00D22743">
        <w:tab/>
      </w:r>
      <w:r w:rsidRPr="00D22743">
        <w:tab/>
      </w:r>
      <w:r w:rsidRPr="00D22743">
        <w:tab/>
      </w:r>
      <w:r w:rsidRPr="00D22743">
        <w:tab/>
        <w:t>G.Puķītis</w:t>
      </w:r>
    </w:p>
    <w:p w:rsidR="00B11E44" w:rsidRPr="00D22743" w:rsidRDefault="00B11E44" w:rsidP="00B11E44">
      <w:pPr>
        <w:rPr>
          <w:noProof/>
        </w:rPr>
      </w:pPr>
    </w:p>
    <w:p w:rsidR="00B11E44" w:rsidRPr="00E35765" w:rsidRDefault="00B11E44" w:rsidP="00B11E44">
      <w:pPr>
        <w:rPr>
          <w:noProof/>
          <w:sz w:val="20"/>
          <w:szCs w:val="20"/>
        </w:rPr>
      </w:pPr>
    </w:p>
    <w:p w:rsidR="007826E6" w:rsidRDefault="007826E6" w:rsidP="00593A9A"/>
    <w:p w:rsidR="000E55EE" w:rsidRDefault="000E55EE" w:rsidP="00593A9A"/>
    <w:p w:rsidR="000E55EE" w:rsidRDefault="000E55EE" w:rsidP="00593A9A"/>
    <w:p w:rsidR="00B6635F" w:rsidRDefault="00B6635F" w:rsidP="00593A9A"/>
    <w:p w:rsidR="00B6635F" w:rsidRDefault="00B6635F" w:rsidP="00593A9A"/>
    <w:p w:rsidR="00B6635F" w:rsidRDefault="00B6635F" w:rsidP="00593A9A"/>
    <w:p w:rsidR="00B6635F" w:rsidRPr="00A37390" w:rsidRDefault="00B6635F" w:rsidP="00593A9A"/>
    <w:p w:rsidR="00201797" w:rsidRPr="00201797" w:rsidRDefault="00F60B64" w:rsidP="00201797">
      <w:pPr>
        <w:pStyle w:val="naisf"/>
        <w:spacing w:before="0" w:after="0"/>
        <w:ind w:firstLine="0"/>
        <w:rPr>
          <w:sz w:val="16"/>
          <w:szCs w:val="16"/>
        </w:rPr>
      </w:pPr>
      <w:r>
        <w:rPr>
          <w:sz w:val="16"/>
          <w:szCs w:val="16"/>
        </w:rPr>
        <w:t>20</w:t>
      </w:r>
      <w:r w:rsidR="00396AD9">
        <w:rPr>
          <w:sz w:val="16"/>
          <w:szCs w:val="16"/>
        </w:rPr>
        <w:t>.09</w:t>
      </w:r>
      <w:r w:rsidR="001F784A">
        <w:rPr>
          <w:sz w:val="16"/>
          <w:szCs w:val="16"/>
        </w:rPr>
        <w:t>.</w:t>
      </w:r>
      <w:r w:rsidR="00201797" w:rsidRPr="00201797">
        <w:rPr>
          <w:sz w:val="16"/>
          <w:szCs w:val="16"/>
        </w:rPr>
        <w:t>201</w:t>
      </w:r>
      <w:r w:rsidR="00B11E44">
        <w:rPr>
          <w:sz w:val="16"/>
          <w:szCs w:val="16"/>
        </w:rPr>
        <w:t>1</w:t>
      </w:r>
      <w:r w:rsidR="00201797" w:rsidRPr="00201797">
        <w:rPr>
          <w:sz w:val="16"/>
          <w:szCs w:val="16"/>
        </w:rPr>
        <w:t xml:space="preserve"> </w:t>
      </w:r>
      <w:r>
        <w:rPr>
          <w:sz w:val="16"/>
          <w:szCs w:val="16"/>
        </w:rPr>
        <w:t>12</w:t>
      </w:r>
      <w:r w:rsidR="00201797" w:rsidRPr="00201797">
        <w:rPr>
          <w:sz w:val="16"/>
          <w:szCs w:val="16"/>
        </w:rPr>
        <w:t>:</w:t>
      </w:r>
      <w:r w:rsidR="00C04CAA">
        <w:rPr>
          <w:sz w:val="16"/>
          <w:szCs w:val="16"/>
        </w:rPr>
        <w:t>41</w:t>
      </w:r>
      <w:bookmarkStart w:id="0" w:name="_GoBack"/>
      <w:bookmarkEnd w:id="0"/>
    </w:p>
    <w:p w:rsidR="00F860E3" w:rsidRPr="001F784A" w:rsidRDefault="00F60B64" w:rsidP="00F860E3">
      <w:pPr>
        <w:pStyle w:val="Header"/>
        <w:rPr>
          <w:sz w:val="16"/>
          <w:szCs w:val="16"/>
        </w:rPr>
      </w:pPr>
      <w:r>
        <w:rPr>
          <w:sz w:val="16"/>
          <w:szCs w:val="16"/>
        </w:rPr>
        <w:t>17</w:t>
      </w:r>
      <w:r w:rsidR="00C04CAA">
        <w:rPr>
          <w:sz w:val="16"/>
          <w:szCs w:val="16"/>
        </w:rPr>
        <w:t>22</w:t>
      </w:r>
    </w:p>
    <w:p w:rsidR="00201797" w:rsidRPr="00201797" w:rsidRDefault="00201797" w:rsidP="00201797">
      <w:pPr>
        <w:pStyle w:val="naisf"/>
        <w:spacing w:before="0" w:after="0"/>
        <w:ind w:firstLine="0"/>
        <w:rPr>
          <w:sz w:val="16"/>
          <w:szCs w:val="16"/>
        </w:rPr>
      </w:pPr>
      <w:r w:rsidRPr="00201797">
        <w:rPr>
          <w:sz w:val="16"/>
          <w:szCs w:val="16"/>
        </w:rPr>
        <w:t>I.Briņķe</w:t>
      </w:r>
    </w:p>
    <w:p w:rsidR="00201797" w:rsidRPr="00201797" w:rsidRDefault="00201797" w:rsidP="00201797">
      <w:pPr>
        <w:pStyle w:val="naisf"/>
        <w:spacing w:before="0" w:after="0"/>
        <w:ind w:firstLine="0"/>
        <w:rPr>
          <w:sz w:val="16"/>
          <w:szCs w:val="16"/>
        </w:rPr>
      </w:pPr>
      <w:r w:rsidRPr="00201797">
        <w:rPr>
          <w:sz w:val="16"/>
          <w:szCs w:val="16"/>
        </w:rPr>
        <w:t>67770326, Ieva.Brinke@</w:t>
      </w:r>
      <w:r w:rsidR="00B11E44">
        <w:rPr>
          <w:sz w:val="16"/>
          <w:szCs w:val="16"/>
        </w:rPr>
        <w:t>varam</w:t>
      </w:r>
      <w:r w:rsidRPr="00201797">
        <w:rPr>
          <w:sz w:val="16"/>
          <w:szCs w:val="16"/>
        </w:rPr>
        <w:t>.gov.lv</w:t>
      </w:r>
    </w:p>
    <w:p w:rsidR="00A37390" w:rsidRPr="00A37390" w:rsidRDefault="00A37390" w:rsidP="00201797"/>
    <w:sectPr w:rsidR="00A37390" w:rsidRPr="00A37390" w:rsidSect="00593A9A">
      <w:headerReference w:type="even" r:id="rId8"/>
      <w:headerReference w:type="default" r:id="rId9"/>
      <w:footerReference w:type="default" r:id="rId10"/>
      <w:footerReference w:type="first" r:id="rId11"/>
      <w:pgSz w:w="11906" w:h="16838" w:code="9"/>
      <w:pgMar w:top="993" w:right="1134"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E45" w:rsidRDefault="00FE3E45">
      <w:r>
        <w:separator/>
      </w:r>
    </w:p>
  </w:endnote>
  <w:endnote w:type="continuationSeparator" w:id="0">
    <w:p w:rsidR="00FE3E45" w:rsidRDefault="00FE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Pr="00396AD9" w:rsidRDefault="00396AD9" w:rsidP="00396AD9">
    <w:pPr>
      <w:jc w:val="both"/>
      <w:rPr>
        <w:sz w:val="20"/>
        <w:szCs w:val="20"/>
      </w:rPr>
    </w:pPr>
    <w:r>
      <w:rPr>
        <w:sz w:val="20"/>
        <w:szCs w:val="20"/>
      </w:rPr>
      <w:t>VARAM</w:t>
    </w:r>
    <w:r w:rsidRPr="00051D30">
      <w:rPr>
        <w:sz w:val="20"/>
        <w:szCs w:val="20"/>
      </w:rPr>
      <w:t>Anot_</w:t>
    </w:r>
    <w:r w:rsidR="00D87C36">
      <w:rPr>
        <w:sz w:val="20"/>
        <w:szCs w:val="20"/>
      </w:rPr>
      <w:t>20</w:t>
    </w:r>
    <w:r>
      <w:rPr>
        <w:sz w:val="20"/>
        <w:szCs w:val="20"/>
      </w:rPr>
      <w:t>0911</w:t>
    </w:r>
    <w:r w:rsidRPr="00051D30">
      <w:rPr>
        <w:sz w:val="20"/>
        <w:szCs w:val="20"/>
      </w:rPr>
      <w:t>_</w:t>
    </w:r>
    <w:r>
      <w:rPr>
        <w:sz w:val="20"/>
        <w:szCs w:val="20"/>
      </w:rPr>
      <w:t>3222</w:t>
    </w:r>
    <w:r w:rsidRPr="00051D30">
      <w:rPr>
        <w:sz w:val="20"/>
        <w:szCs w:val="20"/>
      </w:rPr>
      <w:t>; Ministru kabineta noteikumu projekta „Noteikumi par darbības programmas „</w:t>
    </w:r>
    <w:r>
      <w:rPr>
        <w:sz w:val="20"/>
        <w:szCs w:val="20"/>
      </w:rPr>
      <w:t>Infrastruktūra un pakalpojumi” papildinājuma 3.2.2.2</w:t>
    </w:r>
    <w:r w:rsidRPr="00051D30">
      <w:rPr>
        <w:sz w:val="20"/>
        <w:szCs w:val="20"/>
      </w:rPr>
      <w:t>.aktivitāti „</w:t>
    </w:r>
    <w:r>
      <w:rPr>
        <w:sz w:val="20"/>
        <w:szCs w:val="20"/>
      </w:rPr>
      <w:t>Publisko interneta pieejas punktu attīstība</w:t>
    </w:r>
    <w:r w:rsidRPr="00051D30">
      <w:rPr>
        <w:sz w:val="20"/>
        <w:szCs w:val="20"/>
      </w:rPr>
      <w:t>””</w:t>
    </w:r>
    <w:r>
      <w:rPr>
        <w:sz w:val="20"/>
        <w:szCs w:val="20"/>
      </w:rPr>
      <w:t xml:space="preserve"> </w:t>
    </w:r>
    <w:r w:rsidRPr="00051D30">
      <w:rPr>
        <w:sz w:val="20"/>
        <w:szCs w:val="20"/>
      </w:rPr>
      <w:t xml:space="preserve">sākotnējās ietekmes novērtējuma </w:t>
    </w:r>
    <w:smartTag w:uri="schemas-tilde-lv/tildestengine" w:element="veidnes">
      <w:smartTagPr>
        <w:attr w:name="text" w:val="ziņojums"/>
        <w:attr w:name="baseform" w:val="ziņojums"/>
        <w:attr w:name="id" w:val="-1"/>
      </w:smartTagPr>
      <w:r w:rsidRPr="00051D30">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Pr="00051D30" w:rsidRDefault="00B11E44" w:rsidP="00B11E44">
    <w:pPr>
      <w:jc w:val="both"/>
      <w:rPr>
        <w:sz w:val="20"/>
        <w:szCs w:val="20"/>
      </w:rPr>
    </w:pPr>
    <w:r>
      <w:rPr>
        <w:sz w:val="20"/>
        <w:szCs w:val="20"/>
      </w:rPr>
      <w:t>VARAM</w:t>
    </w:r>
    <w:r w:rsidRPr="00051D30">
      <w:rPr>
        <w:sz w:val="20"/>
        <w:szCs w:val="20"/>
      </w:rPr>
      <w:t>Anot_</w:t>
    </w:r>
    <w:r w:rsidR="00D87C36">
      <w:rPr>
        <w:sz w:val="20"/>
        <w:szCs w:val="20"/>
      </w:rPr>
      <w:t>20</w:t>
    </w:r>
    <w:r w:rsidR="00396AD9">
      <w:rPr>
        <w:sz w:val="20"/>
        <w:szCs w:val="20"/>
      </w:rPr>
      <w:t>09</w:t>
    </w:r>
    <w:r>
      <w:rPr>
        <w:sz w:val="20"/>
        <w:szCs w:val="20"/>
      </w:rPr>
      <w:t>11</w:t>
    </w:r>
    <w:r w:rsidRPr="00051D30">
      <w:rPr>
        <w:sz w:val="20"/>
        <w:szCs w:val="20"/>
      </w:rPr>
      <w:t>_</w:t>
    </w:r>
    <w:r>
      <w:rPr>
        <w:sz w:val="20"/>
        <w:szCs w:val="20"/>
      </w:rPr>
      <w:t>3222</w:t>
    </w:r>
    <w:r w:rsidRPr="00051D30">
      <w:rPr>
        <w:sz w:val="20"/>
        <w:szCs w:val="20"/>
      </w:rPr>
      <w:t>; Ministru kabineta noteikumu projekta „Noteikumi par darbības programmas „</w:t>
    </w:r>
    <w:r>
      <w:rPr>
        <w:sz w:val="20"/>
        <w:szCs w:val="20"/>
      </w:rPr>
      <w:t>Infrastruktūra un pakalpojumi” papildinājuma 3.2.2.2</w:t>
    </w:r>
    <w:r w:rsidRPr="00051D30">
      <w:rPr>
        <w:sz w:val="20"/>
        <w:szCs w:val="20"/>
      </w:rPr>
      <w:t>.aktivitāti „</w:t>
    </w:r>
    <w:r>
      <w:rPr>
        <w:sz w:val="20"/>
        <w:szCs w:val="20"/>
      </w:rPr>
      <w:t>Publisko interneta pieejas punktu attīstība</w:t>
    </w:r>
    <w:r w:rsidRPr="00051D30">
      <w:rPr>
        <w:sz w:val="20"/>
        <w:szCs w:val="20"/>
      </w:rPr>
      <w:t>””</w:t>
    </w:r>
    <w:r>
      <w:rPr>
        <w:sz w:val="20"/>
        <w:szCs w:val="20"/>
      </w:rPr>
      <w:t xml:space="preserve"> </w:t>
    </w:r>
    <w:r w:rsidRPr="00051D30">
      <w:rPr>
        <w:sz w:val="20"/>
        <w:szCs w:val="20"/>
      </w:rPr>
      <w:t xml:space="preserve">sākotnējās ietekmes novērtējuma </w:t>
    </w:r>
    <w:smartTag w:uri="schemas-tilde-lv/tildestengine" w:element="veidnes">
      <w:smartTagPr>
        <w:attr w:name="text" w:val="ziņojums"/>
        <w:attr w:name="baseform" w:val="ziņojums"/>
        <w:attr w:name="id" w:val="-1"/>
      </w:smartTagPr>
      <w:r w:rsidRPr="00051D30">
        <w:rPr>
          <w:sz w:val="20"/>
          <w:szCs w:val="20"/>
        </w:rPr>
        <w:t>ziņojums</w:t>
      </w:r>
    </w:smartTag>
    <w:r>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E45" w:rsidRDefault="00FE3E45">
      <w:r>
        <w:separator/>
      </w:r>
    </w:p>
  </w:footnote>
  <w:footnote w:type="continuationSeparator" w:id="0">
    <w:p w:rsidR="00FE3E45" w:rsidRDefault="00FE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Default="00D90D63" w:rsidP="003C449B">
    <w:pPr>
      <w:pStyle w:val="Header"/>
      <w:framePr w:wrap="around" w:vAnchor="text" w:hAnchor="margin" w:xAlign="center" w:y="1"/>
      <w:rPr>
        <w:rStyle w:val="PageNumber"/>
      </w:rPr>
    </w:pPr>
    <w:r>
      <w:rPr>
        <w:rStyle w:val="PageNumber"/>
      </w:rPr>
      <w:fldChar w:fldCharType="begin"/>
    </w:r>
    <w:r w:rsidR="00453D51">
      <w:rPr>
        <w:rStyle w:val="PageNumber"/>
      </w:rPr>
      <w:instrText xml:space="preserve">PAGE  </w:instrText>
    </w:r>
    <w:r>
      <w:rPr>
        <w:rStyle w:val="PageNumber"/>
      </w:rPr>
      <w:fldChar w:fldCharType="end"/>
    </w:r>
  </w:p>
  <w:p w:rsidR="00453D51" w:rsidRDefault="00453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1" w:rsidRDefault="00D90D63" w:rsidP="003C449B">
    <w:pPr>
      <w:pStyle w:val="Header"/>
      <w:framePr w:wrap="around" w:vAnchor="text" w:hAnchor="margin" w:xAlign="center" w:y="1"/>
      <w:rPr>
        <w:rStyle w:val="PageNumber"/>
      </w:rPr>
    </w:pPr>
    <w:r>
      <w:rPr>
        <w:rStyle w:val="PageNumber"/>
      </w:rPr>
      <w:fldChar w:fldCharType="begin"/>
    </w:r>
    <w:r w:rsidR="00453D51">
      <w:rPr>
        <w:rStyle w:val="PageNumber"/>
      </w:rPr>
      <w:instrText xml:space="preserve">PAGE  </w:instrText>
    </w:r>
    <w:r>
      <w:rPr>
        <w:rStyle w:val="PageNumber"/>
      </w:rPr>
      <w:fldChar w:fldCharType="separate"/>
    </w:r>
    <w:r w:rsidR="00F06B04">
      <w:rPr>
        <w:rStyle w:val="PageNumber"/>
        <w:noProof/>
      </w:rPr>
      <w:t>5</w:t>
    </w:r>
    <w:r>
      <w:rPr>
        <w:rStyle w:val="PageNumber"/>
      </w:rPr>
      <w:fldChar w:fldCharType="end"/>
    </w:r>
  </w:p>
  <w:p w:rsidR="00453D51" w:rsidRDefault="00453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BFB"/>
    <w:multiLevelType w:val="multilevel"/>
    <w:tmpl w:val="5B2C2C2C"/>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b w:val="0"/>
      </w:rPr>
    </w:lvl>
    <w:lvl w:ilvl="2">
      <w:start w:val="1"/>
      <w:numFmt w:val="decimal"/>
      <w:lvlText w:val="%1.%2.%3."/>
      <w:lvlJc w:val="left"/>
      <w:pPr>
        <w:ind w:left="50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91645"/>
    <w:multiLevelType w:val="hybridMultilevel"/>
    <w:tmpl w:val="14AA3EB8"/>
    <w:lvl w:ilvl="0" w:tplc="88A22E10">
      <w:start w:val="1"/>
      <w:numFmt w:val="decimal"/>
      <w:lvlText w:val="%1."/>
      <w:lvlJc w:val="left"/>
      <w:pPr>
        <w:ind w:left="487" w:hanging="360"/>
      </w:pPr>
      <w:rPr>
        <w:rFonts w:ascii="Times New Roman" w:eastAsia="Times New Roman" w:hAnsi="Times New Roman" w:cs="Times New Roman"/>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34D9E"/>
    <w:multiLevelType w:val="hybridMultilevel"/>
    <w:tmpl w:val="BEA8A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96678DC"/>
    <w:multiLevelType w:val="hybridMultilevel"/>
    <w:tmpl w:val="BE88221C"/>
    <w:lvl w:ilvl="0" w:tplc="DEA04220">
      <w:start w:val="1"/>
      <w:numFmt w:val="decimal"/>
      <w:pStyle w:val="EE-paragrCharChar"/>
      <w:lvlText w:val="%1."/>
      <w:lvlJc w:val="left"/>
      <w:pPr>
        <w:ind w:left="360" w:hanging="360"/>
      </w:pPr>
      <w:rPr>
        <w:b w:val="0"/>
        <w:i w:val="0"/>
        <w:sz w:val="24"/>
        <w:szCs w:val="24"/>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5"/>
  </w:num>
  <w:num w:numId="4">
    <w:abstractNumId w:val="3"/>
  </w:num>
  <w:num w:numId="5">
    <w:abstractNumId w:val="1"/>
  </w:num>
  <w:num w:numId="6">
    <w:abstractNumId w:val="11"/>
  </w:num>
  <w:num w:numId="7">
    <w:abstractNumId w:val="16"/>
  </w:num>
  <w:num w:numId="8">
    <w:abstractNumId w:val="7"/>
  </w:num>
  <w:num w:numId="9">
    <w:abstractNumId w:val="4"/>
  </w:num>
  <w:num w:numId="10">
    <w:abstractNumId w:val="8"/>
  </w:num>
  <w:num w:numId="11">
    <w:abstractNumId w:val="10"/>
  </w:num>
  <w:num w:numId="12">
    <w:abstractNumId w:val="12"/>
  </w:num>
  <w:num w:numId="13">
    <w:abstractNumId w:val="14"/>
  </w:num>
  <w:num w:numId="14">
    <w:abstractNumId w:val="2"/>
  </w:num>
  <w:num w:numId="15">
    <w:abstractNumId w:val="13"/>
  </w:num>
  <w:num w:numId="16">
    <w:abstractNumId w:val="0"/>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4BF0"/>
    <w:rsid w:val="0000795C"/>
    <w:rsid w:val="00010573"/>
    <w:rsid w:val="00011D24"/>
    <w:rsid w:val="000125B7"/>
    <w:rsid w:val="00013FF4"/>
    <w:rsid w:val="00015BC8"/>
    <w:rsid w:val="00020A5E"/>
    <w:rsid w:val="00020FE1"/>
    <w:rsid w:val="00022E13"/>
    <w:rsid w:val="000269C4"/>
    <w:rsid w:val="000276C8"/>
    <w:rsid w:val="00032388"/>
    <w:rsid w:val="000355EB"/>
    <w:rsid w:val="00035CE2"/>
    <w:rsid w:val="00036246"/>
    <w:rsid w:val="00051D30"/>
    <w:rsid w:val="00052BAC"/>
    <w:rsid w:val="0005553B"/>
    <w:rsid w:val="00060028"/>
    <w:rsid w:val="000604D2"/>
    <w:rsid w:val="00064699"/>
    <w:rsid w:val="0009005E"/>
    <w:rsid w:val="000941C5"/>
    <w:rsid w:val="000A6451"/>
    <w:rsid w:val="000A6996"/>
    <w:rsid w:val="000B064E"/>
    <w:rsid w:val="000B0CA7"/>
    <w:rsid w:val="000B69CF"/>
    <w:rsid w:val="000C49EE"/>
    <w:rsid w:val="000C790C"/>
    <w:rsid w:val="000D13E8"/>
    <w:rsid w:val="000D14E0"/>
    <w:rsid w:val="000D45BE"/>
    <w:rsid w:val="000D6E0A"/>
    <w:rsid w:val="000E0E26"/>
    <w:rsid w:val="000E3965"/>
    <w:rsid w:val="000E55EE"/>
    <w:rsid w:val="000E6695"/>
    <w:rsid w:val="000E6D78"/>
    <w:rsid w:val="000F061D"/>
    <w:rsid w:val="000F21F8"/>
    <w:rsid w:val="000F449A"/>
    <w:rsid w:val="000F4794"/>
    <w:rsid w:val="0012040B"/>
    <w:rsid w:val="00124F12"/>
    <w:rsid w:val="0013250C"/>
    <w:rsid w:val="001336F9"/>
    <w:rsid w:val="001431E7"/>
    <w:rsid w:val="00144E3A"/>
    <w:rsid w:val="0014720C"/>
    <w:rsid w:val="0015060C"/>
    <w:rsid w:val="00152FF7"/>
    <w:rsid w:val="0016018A"/>
    <w:rsid w:val="00160759"/>
    <w:rsid w:val="00161F0E"/>
    <w:rsid w:val="001655B3"/>
    <w:rsid w:val="00170E2A"/>
    <w:rsid w:val="001749C8"/>
    <w:rsid w:val="00177394"/>
    <w:rsid w:val="00182C18"/>
    <w:rsid w:val="00183CC2"/>
    <w:rsid w:val="001900E4"/>
    <w:rsid w:val="00190F88"/>
    <w:rsid w:val="001A4066"/>
    <w:rsid w:val="001A6AE4"/>
    <w:rsid w:val="001A7632"/>
    <w:rsid w:val="001B01FD"/>
    <w:rsid w:val="001B4A71"/>
    <w:rsid w:val="001B7D0B"/>
    <w:rsid w:val="001C1881"/>
    <w:rsid w:val="001D4791"/>
    <w:rsid w:val="001D5B54"/>
    <w:rsid w:val="001E1DBF"/>
    <w:rsid w:val="001E4639"/>
    <w:rsid w:val="001E4A7D"/>
    <w:rsid w:val="001E51AC"/>
    <w:rsid w:val="001F43A8"/>
    <w:rsid w:val="001F5CD6"/>
    <w:rsid w:val="001F784A"/>
    <w:rsid w:val="00201797"/>
    <w:rsid w:val="002037E7"/>
    <w:rsid w:val="0020642E"/>
    <w:rsid w:val="0021263D"/>
    <w:rsid w:val="00213F0C"/>
    <w:rsid w:val="00214094"/>
    <w:rsid w:val="002154AA"/>
    <w:rsid w:val="0021592D"/>
    <w:rsid w:val="00222D76"/>
    <w:rsid w:val="00223EB1"/>
    <w:rsid w:val="0022582D"/>
    <w:rsid w:val="00231344"/>
    <w:rsid w:val="0023231F"/>
    <w:rsid w:val="0023436E"/>
    <w:rsid w:val="002347C0"/>
    <w:rsid w:val="002405A9"/>
    <w:rsid w:val="00241A6C"/>
    <w:rsid w:val="00242D2B"/>
    <w:rsid w:val="0025465D"/>
    <w:rsid w:val="00262E2B"/>
    <w:rsid w:val="00265964"/>
    <w:rsid w:val="00270429"/>
    <w:rsid w:val="002717CB"/>
    <w:rsid w:val="002723E9"/>
    <w:rsid w:val="00277929"/>
    <w:rsid w:val="00283B82"/>
    <w:rsid w:val="002846E9"/>
    <w:rsid w:val="00284C34"/>
    <w:rsid w:val="0029066C"/>
    <w:rsid w:val="00292037"/>
    <w:rsid w:val="002B50DB"/>
    <w:rsid w:val="002C12AB"/>
    <w:rsid w:val="002C1FBA"/>
    <w:rsid w:val="002C7390"/>
    <w:rsid w:val="002C7CAC"/>
    <w:rsid w:val="002D3306"/>
    <w:rsid w:val="002D48AA"/>
    <w:rsid w:val="002D712B"/>
    <w:rsid w:val="002D7BAA"/>
    <w:rsid w:val="002D7F54"/>
    <w:rsid w:val="002E27AF"/>
    <w:rsid w:val="002E3FF4"/>
    <w:rsid w:val="002E5530"/>
    <w:rsid w:val="002F3770"/>
    <w:rsid w:val="002F6A5E"/>
    <w:rsid w:val="002F78C8"/>
    <w:rsid w:val="00300F4E"/>
    <w:rsid w:val="00301CF3"/>
    <w:rsid w:val="003132E6"/>
    <w:rsid w:val="0032715C"/>
    <w:rsid w:val="00327620"/>
    <w:rsid w:val="00331DD6"/>
    <w:rsid w:val="00337CA5"/>
    <w:rsid w:val="00362478"/>
    <w:rsid w:val="00362D93"/>
    <w:rsid w:val="003657E9"/>
    <w:rsid w:val="0036668D"/>
    <w:rsid w:val="00372D58"/>
    <w:rsid w:val="00375B25"/>
    <w:rsid w:val="0038031C"/>
    <w:rsid w:val="00383BB1"/>
    <w:rsid w:val="00396542"/>
    <w:rsid w:val="0039685B"/>
    <w:rsid w:val="00396AD9"/>
    <w:rsid w:val="003A0B2A"/>
    <w:rsid w:val="003A31A6"/>
    <w:rsid w:val="003A7F0C"/>
    <w:rsid w:val="003A7F79"/>
    <w:rsid w:val="003B1398"/>
    <w:rsid w:val="003B6404"/>
    <w:rsid w:val="003C4115"/>
    <w:rsid w:val="003C449B"/>
    <w:rsid w:val="003C4AF8"/>
    <w:rsid w:val="003D21FF"/>
    <w:rsid w:val="003D4320"/>
    <w:rsid w:val="003D48CD"/>
    <w:rsid w:val="003E05EB"/>
    <w:rsid w:val="003F0112"/>
    <w:rsid w:val="003F071A"/>
    <w:rsid w:val="003F160B"/>
    <w:rsid w:val="00400032"/>
    <w:rsid w:val="00400B5B"/>
    <w:rsid w:val="00402719"/>
    <w:rsid w:val="0040407E"/>
    <w:rsid w:val="00405A00"/>
    <w:rsid w:val="00420870"/>
    <w:rsid w:val="0043791B"/>
    <w:rsid w:val="00441483"/>
    <w:rsid w:val="00441BCB"/>
    <w:rsid w:val="00446EAA"/>
    <w:rsid w:val="00447566"/>
    <w:rsid w:val="0044780C"/>
    <w:rsid w:val="00451071"/>
    <w:rsid w:val="0045176A"/>
    <w:rsid w:val="00453D51"/>
    <w:rsid w:val="00456332"/>
    <w:rsid w:val="00461826"/>
    <w:rsid w:val="0046394F"/>
    <w:rsid w:val="00466671"/>
    <w:rsid w:val="0047174B"/>
    <w:rsid w:val="004729CE"/>
    <w:rsid w:val="00472BD8"/>
    <w:rsid w:val="004800F9"/>
    <w:rsid w:val="004804E8"/>
    <w:rsid w:val="00483836"/>
    <w:rsid w:val="004844DB"/>
    <w:rsid w:val="0049134A"/>
    <w:rsid w:val="00492798"/>
    <w:rsid w:val="004A24E2"/>
    <w:rsid w:val="004A532A"/>
    <w:rsid w:val="004A58CB"/>
    <w:rsid w:val="004B1795"/>
    <w:rsid w:val="004B505F"/>
    <w:rsid w:val="004B56DD"/>
    <w:rsid w:val="004C020F"/>
    <w:rsid w:val="004C1AFD"/>
    <w:rsid w:val="004C3B9E"/>
    <w:rsid w:val="004C558B"/>
    <w:rsid w:val="004C5862"/>
    <w:rsid w:val="004D1138"/>
    <w:rsid w:val="004D6F8F"/>
    <w:rsid w:val="004F1F88"/>
    <w:rsid w:val="004F5F1B"/>
    <w:rsid w:val="004F68B8"/>
    <w:rsid w:val="00502374"/>
    <w:rsid w:val="005060A1"/>
    <w:rsid w:val="00510720"/>
    <w:rsid w:val="00511779"/>
    <w:rsid w:val="00516072"/>
    <w:rsid w:val="005204A6"/>
    <w:rsid w:val="005332EC"/>
    <w:rsid w:val="00534418"/>
    <w:rsid w:val="0053493E"/>
    <w:rsid w:val="005353AB"/>
    <w:rsid w:val="00544CF9"/>
    <w:rsid w:val="00552222"/>
    <w:rsid w:val="005560BC"/>
    <w:rsid w:val="005573BE"/>
    <w:rsid w:val="005705C9"/>
    <w:rsid w:val="00572700"/>
    <w:rsid w:val="00580468"/>
    <w:rsid w:val="00585888"/>
    <w:rsid w:val="0058603B"/>
    <w:rsid w:val="00591254"/>
    <w:rsid w:val="00591374"/>
    <w:rsid w:val="00593A9A"/>
    <w:rsid w:val="0059431B"/>
    <w:rsid w:val="00597655"/>
    <w:rsid w:val="005A22AF"/>
    <w:rsid w:val="005A39CC"/>
    <w:rsid w:val="005A3DC5"/>
    <w:rsid w:val="005B4730"/>
    <w:rsid w:val="005B61A1"/>
    <w:rsid w:val="005C1B2D"/>
    <w:rsid w:val="005C70CE"/>
    <w:rsid w:val="005C7B4E"/>
    <w:rsid w:val="005D0571"/>
    <w:rsid w:val="005D732F"/>
    <w:rsid w:val="005E05D7"/>
    <w:rsid w:val="005E41E7"/>
    <w:rsid w:val="005E450F"/>
    <w:rsid w:val="005F4882"/>
    <w:rsid w:val="00602451"/>
    <w:rsid w:val="00605E4A"/>
    <w:rsid w:val="00614E2F"/>
    <w:rsid w:val="0062298A"/>
    <w:rsid w:val="006254FA"/>
    <w:rsid w:val="00626514"/>
    <w:rsid w:val="00626589"/>
    <w:rsid w:val="00627203"/>
    <w:rsid w:val="006339A0"/>
    <w:rsid w:val="006413A8"/>
    <w:rsid w:val="00642E56"/>
    <w:rsid w:val="006465FB"/>
    <w:rsid w:val="00651E00"/>
    <w:rsid w:val="00655840"/>
    <w:rsid w:val="0065725D"/>
    <w:rsid w:val="00657BAF"/>
    <w:rsid w:val="00662C29"/>
    <w:rsid w:val="006630D6"/>
    <w:rsid w:val="00671301"/>
    <w:rsid w:val="00671ECC"/>
    <w:rsid w:val="00674572"/>
    <w:rsid w:val="00687763"/>
    <w:rsid w:val="00687D4F"/>
    <w:rsid w:val="00692B0D"/>
    <w:rsid w:val="00693E0E"/>
    <w:rsid w:val="006A1AE3"/>
    <w:rsid w:val="006C30E1"/>
    <w:rsid w:val="006C4607"/>
    <w:rsid w:val="006D099A"/>
    <w:rsid w:val="006D4451"/>
    <w:rsid w:val="006D48F1"/>
    <w:rsid w:val="006E4FA3"/>
    <w:rsid w:val="006F45BE"/>
    <w:rsid w:val="007004FC"/>
    <w:rsid w:val="00706670"/>
    <w:rsid w:val="00707D33"/>
    <w:rsid w:val="00720621"/>
    <w:rsid w:val="00723367"/>
    <w:rsid w:val="0072417C"/>
    <w:rsid w:val="00724F78"/>
    <w:rsid w:val="0072613F"/>
    <w:rsid w:val="00734450"/>
    <w:rsid w:val="00737F83"/>
    <w:rsid w:val="00741E5F"/>
    <w:rsid w:val="00743F69"/>
    <w:rsid w:val="00745F67"/>
    <w:rsid w:val="00746DCE"/>
    <w:rsid w:val="0075039E"/>
    <w:rsid w:val="00752D9D"/>
    <w:rsid w:val="00752EBA"/>
    <w:rsid w:val="00754784"/>
    <w:rsid w:val="00757C6E"/>
    <w:rsid w:val="007618FD"/>
    <w:rsid w:val="00762BDA"/>
    <w:rsid w:val="00764FF0"/>
    <w:rsid w:val="00765D0C"/>
    <w:rsid w:val="007805FD"/>
    <w:rsid w:val="007826E6"/>
    <w:rsid w:val="00784422"/>
    <w:rsid w:val="00784742"/>
    <w:rsid w:val="007B3B54"/>
    <w:rsid w:val="007B3FA0"/>
    <w:rsid w:val="007B4E10"/>
    <w:rsid w:val="007B7C93"/>
    <w:rsid w:val="007C0F2C"/>
    <w:rsid w:val="007C2BCC"/>
    <w:rsid w:val="007C4EF0"/>
    <w:rsid w:val="007D099D"/>
    <w:rsid w:val="007E0816"/>
    <w:rsid w:val="007E2664"/>
    <w:rsid w:val="007E3ABF"/>
    <w:rsid w:val="007E5BFA"/>
    <w:rsid w:val="007E6689"/>
    <w:rsid w:val="007E6C46"/>
    <w:rsid w:val="007E731C"/>
    <w:rsid w:val="007F0A03"/>
    <w:rsid w:val="007F1A02"/>
    <w:rsid w:val="00803E80"/>
    <w:rsid w:val="00805D22"/>
    <w:rsid w:val="00810040"/>
    <w:rsid w:val="00812BB5"/>
    <w:rsid w:val="0082023A"/>
    <w:rsid w:val="00821A7A"/>
    <w:rsid w:val="008253F8"/>
    <w:rsid w:val="0082592C"/>
    <w:rsid w:val="008325E4"/>
    <w:rsid w:val="00832A2B"/>
    <w:rsid w:val="00844550"/>
    <w:rsid w:val="00845811"/>
    <w:rsid w:val="00846994"/>
    <w:rsid w:val="00850451"/>
    <w:rsid w:val="00852042"/>
    <w:rsid w:val="008534C9"/>
    <w:rsid w:val="008556E2"/>
    <w:rsid w:val="0085599D"/>
    <w:rsid w:val="008611A1"/>
    <w:rsid w:val="0087510C"/>
    <w:rsid w:val="008934EE"/>
    <w:rsid w:val="0089738E"/>
    <w:rsid w:val="008A6DCD"/>
    <w:rsid w:val="008B5FDB"/>
    <w:rsid w:val="008C50F4"/>
    <w:rsid w:val="008C5649"/>
    <w:rsid w:val="008C6A5E"/>
    <w:rsid w:val="008C76F2"/>
    <w:rsid w:val="008D0D17"/>
    <w:rsid w:val="008D3B4A"/>
    <w:rsid w:val="008E2298"/>
    <w:rsid w:val="008E25F0"/>
    <w:rsid w:val="008E44A2"/>
    <w:rsid w:val="008E697D"/>
    <w:rsid w:val="00903263"/>
    <w:rsid w:val="00906A21"/>
    <w:rsid w:val="009079C3"/>
    <w:rsid w:val="00910462"/>
    <w:rsid w:val="0091083F"/>
    <w:rsid w:val="00914E42"/>
    <w:rsid w:val="00915AB1"/>
    <w:rsid w:val="00917532"/>
    <w:rsid w:val="00921402"/>
    <w:rsid w:val="009235BA"/>
    <w:rsid w:val="00924023"/>
    <w:rsid w:val="00924CE2"/>
    <w:rsid w:val="00925B9F"/>
    <w:rsid w:val="00931AED"/>
    <w:rsid w:val="00940F47"/>
    <w:rsid w:val="009476A3"/>
    <w:rsid w:val="00947735"/>
    <w:rsid w:val="0095334F"/>
    <w:rsid w:val="00965897"/>
    <w:rsid w:val="0096765C"/>
    <w:rsid w:val="00971196"/>
    <w:rsid w:val="009727E4"/>
    <w:rsid w:val="0098131A"/>
    <w:rsid w:val="009856F7"/>
    <w:rsid w:val="009934C5"/>
    <w:rsid w:val="00994C0F"/>
    <w:rsid w:val="00995D40"/>
    <w:rsid w:val="009A3201"/>
    <w:rsid w:val="009A52AD"/>
    <w:rsid w:val="009B22D7"/>
    <w:rsid w:val="009B3B63"/>
    <w:rsid w:val="009B72ED"/>
    <w:rsid w:val="009B7CD8"/>
    <w:rsid w:val="009C6DEB"/>
    <w:rsid w:val="009D3557"/>
    <w:rsid w:val="009D6504"/>
    <w:rsid w:val="009D7ED5"/>
    <w:rsid w:val="009E12D7"/>
    <w:rsid w:val="009E15E0"/>
    <w:rsid w:val="009E2ABB"/>
    <w:rsid w:val="009E661A"/>
    <w:rsid w:val="00A02DA4"/>
    <w:rsid w:val="00A06781"/>
    <w:rsid w:val="00A074C3"/>
    <w:rsid w:val="00A1036E"/>
    <w:rsid w:val="00A1509C"/>
    <w:rsid w:val="00A17F74"/>
    <w:rsid w:val="00A313B0"/>
    <w:rsid w:val="00A34260"/>
    <w:rsid w:val="00A37390"/>
    <w:rsid w:val="00A411F4"/>
    <w:rsid w:val="00A6264D"/>
    <w:rsid w:val="00A65ED4"/>
    <w:rsid w:val="00A70CFD"/>
    <w:rsid w:val="00A72A0B"/>
    <w:rsid w:val="00A77BB0"/>
    <w:rsid w:val="00A81E42"/>
    <w:rsid w:val="00A83AAE"/>
    <w:rsid w:val="00A864FE"/>
    <w:rsid w:val="00A86F41"/>
    <w:rsid w:val="00A87D04"/>
    <w:rsid w:val="00A948FB"/>
    <w:rsid w:val="00A950C5"/>
    <w:rsid w:val="00A9550E"/>
    <w:rsid w:val="00AA1061"/>
    <w:rsid w:val="00AA1D25"/>
    <w:rsid w:val="00AA30D6"/>
    <w:rsid w:val="00AB2B1A"/>
    <w:rsid w:val="00AB350B"/>
    <w:rsid w:val="00AB397F"/>
    <w:rsid w:val="00AB5832"/>
    <w:rsid w:val="00AC3331"/>
    <w:rsid w:val="00AC4A18"/>
    <w:rsid w:val="00AC51F2"/>
    <w:rsid w:val="00AD0F83"/>
    <w:rsid w:val="00AD2852"/>
    <w:rsid w:val="00AE2FD2"/>
    <w:rsid w:val="00AE5066"/>
    <w:rsid w:val="00AE5E24"/>
    <w:rsid w:val="00AE61B7"/>
    <w:rsid w:val="00AE6CBA"/>
    <w:rsid w:val="00AE79AD"/>
    <w:rsid w:val="00AF35E4"/>
    <w:rsid w:val="00AF5CDE"/>
    <w:rsid w:val="00B0625D"/>
    <w:rsid w:val="00B10CEB"/>
    <w:rsid w:val="00B11A57"/>
    <w:rsid w:val="00B11A91"/>
    <w:rsid w:val="00B11E44"/>
    <w:rsid w:val="00B17B75"/>
    <w:rsid w:val="00B211C3"/>
    <w:rsid w:val="00B25597"/>
    <w:rsid w:val="00B267B9"/>
    <w:rsid w:val="00B33C90"/>
    <w:rsid w:val="00B33E09"/>
    <w:rsid w:val="00B36A15"/>
    <w:rsid w:val="00B431CD"/>
    <w:rsid w:val="00B50708"/>
    <w:rsid w:val="00B50C68"/>
    <w:rsid w:val="00B51293"/>
    <w:rsid w:val="00B52B1E"/>
    <w:rsid w:val="00B53100"/>
    <w:rsid w:val="00B55481"/>
    <w:rsid w:val="00B56C32"/>
    <w:rsid w:val="00B57ACF"/>
    <w:rsid w:val="00B63C41"/>
    <w:rsid w:val="00B64BB1"/>
    <w:rsid w:val="00B6588A"/>
    <w:rsid w:val="00B6635F"/>
    <w:rsid w:val="00B6699B"/>
    <w:rsid w:val="00B71A79"/>
    <w:rsid w:val="00B73166"/>
    <w:rsid w:val="00B73D47"/>
    <w:rsid w:val="00B8104E"/>
    <w:rsid w:val="00B8426C"/>
    <w:rsid w:val="00B91B8D"/>
    <w:rsid w:val="00B9210A"/>
    <w:rsid w:val="00B94E90"/>
    <w:rsid w:val="00BB0599"/>
    <w:rsid w:val="00BB0A82"/>
    <w:rsid w:val="00BB4F65"/>
    <w:rsid w:val="00BB7C94"/>
    <w:rsid w:val="00BC0A9D"/>
    <w:rsid w:val="00BC31FA"/>
    <w:rsid w:val="00BC4532"/>
    <w:rsid w:val="00BD05D4"/>
    <w:rsid w:val="00BD4B6E"/>
    <w:rsid w:val="00BD6928"/>
    <w:rsid w:val="00BE765A"/>
    <w:rsid w:val="00BF1185"/>
    <w:rsid w:val="00BF40ED"/>
    <w:rsid w:val="00BF5BC2"/>
    <w:rsid w:val="00BF78BB"/>
    <w:rsid w:val="00C0112E"/>
    <w:rsid w:val="00C04CAA"/>
    <w:rsid w:val="00C0769F"/>
    <w:rsid w:val="00C1133D"/>
    <w:rsid w:val="00C13410"/>
    <w:rsid w:val="00C175BB"/>
    <w:rsid w:val="00C21589"/>
    <w:rsid w:val="00C22A0F"/>
    <w:rsid w:val="00C253E8"/>
    <w:rsid w:val="00C27A08"/>
    <w:rsid w:val="00C31312"/>
    <w:rsid w:val="00C326C6"/>
    <w:rsid w:val="00C32722"/>
    <w:rsid w:val="00C35295"/>
    <w:rsid w:val="00C36ADD"/>
    <w:rsid w:val="00C36E74"/>
    <w:rsid w:val="00C40595"/>
    <w:rsid w:val="00C41621"/>
    <w:rsid w:val="00C43A3A"/>
    <w:rsid w:val="00C449FA"/>
    <w:rsid w:val="00C5384F"/>
    <w:rsid w:val="00C56964"/>
    <w:rsid w:val="00C62FD3"/>
    <w:rsid w:val="00C656D5"/>
    <w:rsid w:val="00C67103"/>
    <w:rsid w:val="00C71BB9"/>
    <w:rsid w:val="00C8548E"/>
    <w:rsid w:val="00C91F2F"/>
    <w:rsid w:val="00C94C28"/>
    <w:rsid w:val="00CB0247"/>
    <w:rsid w:val="00CB3440"/>
    <w:rsid w:val="00CC1692"/>
    <w:rsid w:val="00CC2408"/>
    <w:rsid w:val="00CD138B"/>
    <w:rsid w:val="00CD17BB"/>
    <w:rsid w:val="00CD3DB2"/>
    <w:rsid w:val="00CD3E31"/>
    <w:rsid w:val="00CD74A3"/>
    <w:rsid w:val="00CE0527"/>
    <w:rsid w:val="00CE1627"/>
    <w:rsid w:val="00CE2214"/>
    <w:rsid w:val="00CE37E3"/>
    <w:rsid w:val="00CE5B23"/>
    <w:rsid w:val="00CE648E"/>
    <w:rsid w:val="00CF4BCE"/>
    <w:rsid w:val="00CF70AD"/>
    <w:rsid w:val="00CF7729"/>
    <w:rsid w:val="00D00059"/>
    <w:rsid w:val="00D04263"/>
    <w:rsid w:val="00D107FA"/>
    <w:rsid w:val="00D10CAF"/>
    <w:rsid w:val="00D12275"/>
    <w:rsid w:val="00D12766"/>
    <w:rsid w:val="00D20FF4"/>
    <w:rsid w:val="00D24D2C"/>
    <w:rsid w:val="00D31BF6"/>
    <w:rsid w:val="00D31F86"/>
    <w:rsid w:val="00D35881"/>
    <w:rsid w:val="00D54D8B"/>
    <w:rsid w:val="00D5571E"/>
    <w:rsid w:val="00D6553E"/>
    <w:rsid w:val="00D67DA1"/>
    <w:rsid w:val="00D87C36"/>
    <w:rsid w:val="00D90D63"/>
    <w:rsid w:val="00DA1498"/>
    <w:rsid w:val="00DA285B"/>
    <w:rsid w:val="00DA5914"/>
    <w:rsid w:val="00DA7DA5"/>
    <w:rsid w:val="00DB073B"/>
    <w:rsid w:val="00DB2351"/>
    <w:rsid w:val="00DB58C3"/>
    <w:rsid w:val="00DB78F0"/>
    <w:rsid w:val="00DC2E43"/>
    <w:rsid w:val="00DD095C"/>
    <w:rsid w:val="00DD1020"/>
    <w:rsid w:val="00DD1330"/>
    <w:rsid w:val="00DD1794"/>
    <w:rsid w:val="00DE0B83"/>
    <w:rsid w:val="00DE1A81"/>
    <w:rsid w:val="00DE1C13"/>
    <w:rsid w:val="00DE4E10"/>
    <w:rsid w:val="00E02ABF"/>
    <w:rsid w:val="00E06186"/>
    <w:rsid w:val="00E102AF"/>
    <w:rsid w:val="00E14995"/>
    <w:rsid w:val="00E158BE"/>
    <w:rsid w:val="00E16B17"/>
    <w:rsid w:val="00E179CD"/>
    <w:rsid w:val="00E2377D"/>
    <w:rsid w:val="00E23E8D"/>
    <w:rsid w:val="00E37F98"/>
    <w:rsid w:val="00E41849"/>
    <w:rsid w:val="00E427B0"/>
    <w:rsid w:val="00E45497"/>
    <w:rsid w:val="00E46559"/>
    <w:rsid w:val="00E526A4"/>
    <w:rsid w:val="00E529A0"/>
    <w:rsid w:val="00E53695"/>
    <w:rsid w:val="00E54807"/>
    <w:rsid w:val="00E63486"/>
    <w:rsid w:val="00E6670C"/>
    <w:rsid w:val="00E66F6B"/>
    <w:rsid w:val="00E776E8"/>
    <w:rsid w:val="00E8340C"/>
    <w:rsid w:val="00E927AC"/>
    <w:rsid w:val="00E92C1F"/>
    <w:rsid w:val="00E95D4B"/>
    <w:rsid w:val="00EB199F"/>
    <w:rsid w:val="00EB5ABE"/>
    <w:rsid w:val="00EB5C34"/>
    <w:rsid w:val="00EC23F7"/>
    <w:rsid w:val="00EC42FB"/>
    <w:rsid w:val="00EC4BD8"/>
    <w:rsid w:val="00EC63EB"/>
    <w:rsid w:val="00EC64F6"/>
    <w:rsid w:val="00ED3CD8"/>
    <w:rsid w:val="00ED412F"/>
    <w:rsid w:val="00EF36B2"/>
    <w:rsid w:val="00F06B04"/>
    <w:rsid w:val="00F201EC"/>
    <w:rsid w:val="00F2075B"/>
    <w:rsid w:val="00F208A9"/>
    <w:rsid w:val="00F25801"/>
    <w:rsid w:val="00F31F98"/>
    <w:rsid w:val="00F35AAF"/>
    <w:rsid w:val="00F37979"/>
    <w:rsid w:val="00F41D75"/>
    <w:rsid w:val="00F44254"/>
    <w:rsid w:val="00F5139D"/>
    <w:rsid w:val="00F60B64"/>
    <w:rsid w:val="00F631B6"/>
    <w:rsid w:val="00F63CF9"/>
    <w:rsid w:val="00F63DAC"/>
    <w:rsid w:val="00F70D92"/>
    <w:rsid w:val="00F7454F"/>
    <w:rsid w:val="00F77988"/>
    <w:rsid w:val="00F77F48"/>
    <w:rsid w:val="00F860E3"/>
    <w:rsid w:val="00F939F9"/>
    <w:rsid w:val="00F94337"/>
    <w:rsid w:val="00FA3288"/>
    <w:rsid w:val="00FB199F"/>
    <w:rsid w:val="00FB30F1"/>
    <w:rsid w:val="00FB53E7"/>
    <w:rsid w:val="00FC2225"/>
    <w:rsid w:val="00FE2AF2"/>
    <w:rsid w:val="00FE3E45"/>
    <w:rsid w:val="00FE4524"/>
    <w:rsid w:val="00FE679C"/>
    <w:rsid w:val="00FF2780"/>
    <w:rsid w:val="00FF3FFD"/>
    <w:rsid w:val="00FF4C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uiPriority w:val="99"/>
    <w:unhideWhenUsed/>
    <w:rsid w:val="0013250C"/>
    <w:pPr>
      <w:spacing w:before="100" w:beforeAutospacing="1" w:after="100" w:afterAutospacing="1"/>
    </w:pPr>
  </w:style>
  <w:style w:type="paragraph" w:styleId="Signature">
    <w:name w:val="Signature"/>
    <w:basedOn w:val="Normal"/>
    <w:next w:val="EnvelopeReturn"/>
    <w:link w:val="SignatureChar"/>
    <w:rsid w:val="00724F78"/>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724F78"/>
    <w:rPr>
      <w:sz w:val="26"/>
      <w:lang w:val="en-AU" w:eastAsia="en-US"/>
    </w:rPr>
  </w:style>
  <w:style w:type="paragraph" w:styleId="EnvelopeReturn">
    <w:name w:val="envelope return"/>
    <w:basedOn w:val="Normal"/>
    <w:rsid w:val="00724F78"/>
    <w:pPr>
      <w:keepLines/>
      <w:widowControl w:val="0"/>
      <w:spacing w:before="600"/>
    </w:pPr>
    <w:rPr>
      <w:sz w:val="26"/>
      <w:szCs w:val="20"/>
      <w:lang w:val="en-AU" w:eastAsia="en-US"/>
    </w:rPr>
  </w:style>
  <w:style w:type="character" w:customStyle="1" w:styleId="EE-paragrCharCharChar1">
    <w:name w:val="EE-paragr Char Char Char1"/>
    <w:basedOn w:val="DefaultParagraphFont"/>
    <w:link w:val="EE-paragrCharChar"/>
    <w:locked/>
    <w:rsid w:val="007618FD"/>
    <w:rPr>
      <w:bCs/>
      <w:sz w:val="24"/>
      <w:szCs w:val="24"/>
    </w:rPr>
  </w:style>
  <w:style w:type="paragraph" w:customStyle="1" w:styleId="EE-paragrCharChar">
    <w:name w:val="EE-paragr Char Char"/>
    <w:basedOn w:val="Normal"/>
    <w:link w:val="EE-paragrCharCharChar1"/>
    <w:autoRedefine/>
    <w:rsid w:val="007618FD"/>
    <w:pPr>
      <w:numPr>
        <w:numId w:val="15"/>
      </w:numPr>
      <w:tabs>
        <w:tab w:val="left" w:pos="284"/>
      </w:tabs>
      <w:spacing w:before="120" w:after="120"/>
      <w:jc w:val="both"/>
    </w:pPr>
    <w:rPr>
      <w:bCs/>
    </w:rPr>
  </w:style>
  <w:style w:type="character" w:customStyle="1" w:styleId="HeaderChar">
    <w:name w:val="Header Char"/>
    <w:basedOn w:val="DefaultParagraphFont"/>
    <w:link w:val="Header"/>
    <w:uiPriority w:val="99"/>
    <w:rsid w:val="00CE37E3"/>
    <w:rPr>
      <w:sz w:val="24"/>
      <w:szCs w:val="24"/>
    </w:rPr>
  </w:style>
  <w:style w:type="paragraph" w:styleId="ListParagraph">
    <w:name w:val="List Paragraph"/>
    <w:basedOn w:val="Normal"/>
    <w:uiPriority w:val="99"/>
    <w:qFormat/>
    <w:rsid w:val="006630D6"/>
    <w:pPr>
      <w:spacing w:after="200" w:line="276" w:lineRule="auto"/>
      <w:ind w:left="720"/>
      <w:contextualSpacing/>
    </w:pPr>
    <w:rPr>
      <w:rFonts w:ascii="Calibri" w:hAnsi="Calibri"/>
      <w:sz w:val="22"/>
      <w:szCs w:val="22"/>
    </w:rPr>
  </w:style>
  <w:style w:type="paragraph" w:styleId="BodyText">
    <w:name w:val="Body Text"/>
    <w:basedOn w:val="Normal"/>
    <w:link w:val="BodyTextChar"/>
    <w:unhideWhenUsed/>
    <w:rsid w:val="004A24E2"/>
    <w:pPr>
      <w:jc w:val="both"/>
    </w:pPr>
    <w:rPr>
      <w:sz w:val="28"/>
      <w:szCs w:val="20"/>
    </w:rPr>
  </w:style>
  <w:style w:type="character" w:customStyle="1" w:styleId="BodyTextChar">
    <w:name w:val="Body Text Char"/>
    <w:basedOn w:val="DefaultParagraphFont"/>
    <w:link w:val="BodyText"/>
    <w:rsid w:val="004A24E2"/>
    <w:rPr>
      <w:sz w:val="28"/>
    </w:rPr>
  </w:style>
  <w:style w:type="paragraph" w:customStyle="1" w:styleId="Noteikumutekstam">
    <w:name w:val="Noteikumu tekstam"/>
    <w:basedOn w:val="Normal"/>
    <w:link w:val="NoteikumutekstamRakstz"/>
    <w:autoRedefine/>
    <w:rsid w:val="004A24E2"/>
    <w:pPr>
      <w:ind w:left="165" w:right="71"/>
      <w:jc w:val="both"/>
    </w:pPr>
    <w:rPr>
      <w:sz w:val="28"/>
      <w:szCs w:val="28"/>
    </w:rPr>
  </w:style>
  <w:style w:type="character" w:customStyle="1" w:styleId="NoteikumutekstamRakstz">
    <w:name w:val="Noteikumu tekstam Rakstz."/>
    <w:basedOn w:val="DefaultParagraphFont"/>
    <w:link w:val="Noteikumutekstam"/>
    <w:locked/>
    <w:rsid w:val="004A24E2"/>
    <w:rPr>
      <w:sz w:val="28"/>
      <w:szCs w:val="28"/>
    </w:rPr>
  </w:style>
  <w:style w:type="paragraph" w:styleId="BodyTextIndent">
    <w:name w:val="Body Text Indent"/>
    <w:basedOn w:val="Normal"/>
    <w:link w:val="BodyTextIndentChar"/>
    <w:rsid w:val="00B11E44"/>
    <w:pPr>
      <w:spacing w:after="120"/>
      <w:ind w:left="283"/>
    </w:pPr>
  </w:style>
  <w:style w:type="character" w:customStyle="1" w:styleId="BodyTextIndentChar">
    <w:name w:val="Body Text Indent Char"/>
    <w:basedOn w:val="DefaultParagraphFont"/>
    <w:link w:val="BodyTextIndent"/>
    <w:rsid w:val="00B11E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uiPriority w:val="99"/>
    <w:unhideWhenUsed/>
    <w:rsid w:val="0013250C"/>
    <w:pPr>
      <w:spacing w:before="100" w:beforeAutospacing="1" w:after="100" w:afterAutospacing="1"/>
    </w:pPr>
  </w:style>
  <w:style w:type="paragraph" w:styleId="Signature">
    <w:name w:val="Signature"/>
    <w:basedOn w:val="Normal"/>
    <w:next w:val="EnvelopeReturn"/>
    <w:link w:val="SignatureChar"/>
    <w:rsid w:val="00724F78"/>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724F78"/>
    <w:rPr>
      <w:sz w:val="26"/>
      <w:lang w:val="en-AU" w:eastAsia="en-US"/>
    </w:rPr>
  </w:style>
  <w:style w:type="paragraph" w:styleId="EnvelopeReturn">
    <w:name w:val="envelope return"/>
    <w:basedOn w:val="Normal"/>
    <w:rsid w:val="00724F78"/>
    <w:pPr>
      <w:keepLines/>
      <w:widowControl w:val="0"/>
      <w:spacing w:before="600"/>
    </w:pPr>
    <w:rPr>
      <w:sz w:val="26"/>
      <w:szCs w:val="20"/>
      <w:lang w:val="en-AU" w:eastAsia="en-US"/>
    </w:rPr>
  </w:style>
  <w:style w:type="character" w:customStyle="1" w:styleId="EE-paragrCharCharChar1">
    <w:name w:val="EE-paragr Char Char Char1"/>
    <w:basedOn w:val="DefaultParagraphFont"/>
    <w:link w:val="EE-paragrCharChar"/>
    <w:locked/>
    <w:rsid w:val="007618FD"/>
    <w:rPr>
      <w:bCs/>
      <w:sz w:val="24"/>
      <w:szCs w:val="24"/>
    </w:rPr>
  </w:style>
  <w:style w:type="paragraph" w:customStyle="1" w:styleId="EE-paragrCharChar">
    <w:name w:val="EE-paragr Char Char"/>
    <w:basedOn w:val="Normal"/>
    <w:link w:val="EE-paragrCharCharChar1"/>
    <w:autoRedefine/>
    <w:rsid w:val="007618FD"/>
    <w:pPr>
      <w:numPr>
        <w:numId w:val="15"/>
      </w:numPr>
      <w:tabs>
        <w:tab w:val="left" w:pos="284"/>
      </w:tabs>
      <w:spacing w:before="120" w:after="120"/>
      <w:jc w:val="both"/>
    </w:pPr>
    <w:rPr>
      <w:bCs/>
    </w:rPr>
  </w:style>
  <w:style w:type="character" w:customStyle="1" w:styleId="HeaderChar">
    <w:name w:val="Header Char"/>
    <w:basedOn w:val="DefaultParagraphFont"/>
    <w:link w:val="Header"/>
    <w:uiPriority w:val="99"/>
    <w:rsid w:val="00CE37E3"/>
    <w:rPr>
      <w:sz w:val="24"/>
      <w:szCs w:val="24"/>
    </w:rPr>
  </w:style>
  <w:style w:type="paragraph" w:styleId="ListParagraph">
    <w:name w:val="List Paragraph"/>
    <w:basedOn w:val="Normal"/>
    <w:uiPriority w:val="99"/>
    <w:qFormat/>
    <w:rsid w:val="006630D6"/>
    <w:pPr>
      <w:spacing w:after="200" w:line="276" w:lineRule="auto"/>
      <w:ind w:left="720"/>
      <w:contextualSpacing/>
    </w:pPr>
    <w:rPr>
      <w:rFonts w:ascii="Calibri" w:hAnsi="Calibri"/>
      <w:sz w:val="22"/>
      <w:szCs w:val="22"/>
    </w:rPr>
  </w:style>
  <w:style w:type="paragraph" w:styleId="BodyText">
    <w:name w:val="Body Text"/>
    <w:basedOn w:val="Normal"/>
    <w:link w:val="BodyTextChar"/>
    <w:unhideWhenUsed/>
    <w:rsid w:val="004A24E2"/>
    <w:pPr>
      <w:jc w:val="both"/>
    </w:pPr>
    <w:rPr>
      <w:sz w:val="28"/>
      <w:szCs w:val="20"/>
    </w:rPr>
  </w:style>
  <w:style w:type="character" w:customStyle="1" w:styleId="BodyTextChar">
    <w:name w:val="Body Text Char"/>
    <w:basedOn w:val="DefaultParagraphFont"/>
    <w:link w:val="BodyText"/>
    <w:rsid w:val="004A24E2"/>
    <w:rPr>
      <w:sz w:val="28"/>
    </w:rPr>
  </w:style>
  <w:style w:type="paragraph" w:customStyle="1" w:styleId="Noteikumutekstam">
    <w:name w:val="Noteikumu tekstam"/>
    <w:basedOn w:val="Normal"/>
    <w:link w:val="NoteikumutekstamRakstz"/>
    <w:autoRedefine/>
    <w:rsid w:val="004A24E2"/>
    <w:pPr>
      <w:ind w:left="165" w:right="71"/>
      <w:jc w:val="both"/>
    </w:pPr>
    <w:rPr>
      <w:sz w:val="28"/>
      <w:szCs w:val="28"/>
    </w:rPr>
  </w:style>
  <w:style w:type="character" w:customStyle="1" w:styleId="NoteikumutekstamRakstz">
    <w:name w:val="Noteikumu tekstam Rakstz."/>
    <w:basedOn w:val="DefaultParagraphFont"/>
    <w:link w:val="Noteikumutekstam"/>
    <w:locked/>
    <w:rsid w:val="004A24E2"/>
    <w:rPr>
      <w:sz w:val="28"/>
      <w:szCs w:val="28"/>
    </w:rPr>
  </w:style>
  <w:style w:type="paragraph" w:styleId="BodyTextIndent">
    <w:name w:val="Body Text Indent"/>
    <w:basedOn w:val="Normal"/>
    <w:link w:val="BodyTextIndentChar"/>
    <w:rsid w:val="00B11E44"/>
    <w:pPr>
      <w:spacing w:after="120"/>
      <w:ind w:left="283"/>
    </w:pPr>
  </w:style>
  <w:style w:type="character" w:customStyle="1" w:styleId="BodyTextIndentChar">
    <w:name w:val="Body Text Indent Char"/>
    <w:basedOn w:val="DefaultParagraphFont"/>
    <w:link w:val="BodyTextIndent"/>
    <w:rsid w:val="00B11E44"/>
    <w:rPr>
      <w:sz w:val="24"/>
      <w:szCs w:val="24"/>
    </w:rPr>
  </w:style>
</w:styles>
</file>

<file path=word/webSettings.xml><?xml version="1.0" encoding="utf-8"?>
<w:webSettings xmlns:r="http://schemas.openxmlformats.org/officeDocument/2006/relationships" xmlns:w="http://schemas.openxmlformats.org/wordprocessingml/2006/main">
  <w:divs>
    <w:div w:id="198978471">
      <w:bodyDiv w:val="1"/>
      <w:marLeft w:val="0"/>
      <w:marRight w:val="0"/>
      <w:marTop w:val="0"/>
      <w:marBottom w:val="0"/>
      <w:divBdr>
        <w:top w:val="none" w:sz="0" w:space="0" w:color="auto"/>
        <w:left w:val="none" w:sz="0" w:space="0" w:color="auto"/>
        <w:bottom w:val="none" w:sz="0" w:space="0" w:color="auto"/>
        <w:right w:val="none" w:sz="0" w:space="0" w:color="auto"/>
      </w:divBdr>
    </w:div>
    <w:div w:id="293028398">
      <w:bodyDiv w:val="1"/>
      <w:marLeft w:val="0"/>
      <w:marRight w:val="0"/>
      <w:marTop w:val="0"/>
      <w:marBottom w:val="0"/>
      <w:divBdr>
        <w:top w:val="none" w:sz="0" w:space="0" w:color="auto"/>
        <w:left w:val="none" w:sz="0" w:space="0" w:color="auto"/>
        <w:bottom w:val="none" w:sz="0" w:space="0" w:color="auto"/>
        <w:right w:val="none" w:sz="0" w:space="0" w:color="auto"/>
      </w:divBdr>
    </w:div>
    <w:div w:id="529149139">
      <w:bodyDiv w:val="1"/>
      <w:marLeft w:val="0"/>
      <w:marRight w:val="0"/>
      <w:marTop w:val="0"/>
      <w:marBottom w:val="0"/>
      <w:divBdr>
        <w:top w:val="none" w:sz="0" w:space="0" w:color="auto"/>
        <w:left w:val="none" w:sz="0" w:space="0" w:color="auto"/>
        <w:bottom w:val="none" w:sz="0" w:space="0" w:color="auto"/>
        <w:right w:val="none" w:sz="0" w:space="0" w:color="auto"/>
      </w:divBdr>
    </w:div>
    <w:div w:id="722363428">
      <w:bodyDiv w:val="1"/>
      <w:marLeft w:val="0"/>
      <w:marRight w:val="0"/>
      <w:marTop w:val="0"/>
      <w:marBottom w:val="0"/>
      <w:divBdr>
        <w:top w:val="none" w:sz="0" w:space="0" w:color="auto"/>
        <w:left w:val="none" w:sz="0" w:space="0" w:color="auto"/>
        <w:bottom w:val="none" w:sz="0" w:space="0" w:color="auto"/>
        <w:right w:val="none" w:sz="0" w:space="0" w:color="auto"/>
      </w:divBdr>
    </w:div>
    <w:div w:id="786628653">
      <w:bodyDiv w:val="1"/>
      <w:marLeft w:val="0"/>
      <w:marRight w:val="0"/>
      <w:marTop w:val="0"/>
      <w:marBottom w:val="0"/>
      <w:divBdr>
        <w:top w:val="none" w:sz="0" w:space="0" w:color="auto"/>
        <w:left w:val="none" w:sz="0" w:space="0" w:color="auto"/>
        <w:bottom w:val="none" w:sz="0" w:space="0" w:color="auto"/>
        <w:right w:val="none" w:sz="0" w:space="0" w:color="auto"/>
      </w:divBdr>
    </w:div>
    <w:div w:id="997195892">
      <w:bodyDiv w:val="1"/>
      <w:marLeft w:val="0"/>
      <w:marRight w:val="0"/>
      <w:marTop w:val="0"/>
      <w:marBottom w:val="0"/>
      <w:divBdr>
        <w:top w:val="none" w:sz="0" w:space="0" w:color="auto"/>
        <w:left w:val="none" w:sz="0" w:space="0" w:color="auto"/>
        <w:bottom w:val="none" w:sz="0" w:space="0" w:color="auto"/>
        <w:right w:val="none" w:sz="0" w:space="0" w:color="auto"/>
      </w:divBdr>
    </w:div>
    <w:div w:id="1089158858">
      <w:bodyDiv w:val="1"/>
      <w:marLeft w:val="0"/>
      <w:marRight w:val="0"/>
      <w:marTop w:val="0"/>
      <w:marBottom w:val="0"/>
      <w:divBdr>
        <w:top w:val="none" w:sz="0" w:space="0" w:color="auto"/>
        <w:left w:val="none" w:sz="0" w:space="0" w:color="auto"/>
        <w:bottom w:val="none" w:sz="0" w:space="0" w:color="auto"/>
        <w:right w:val="none" w:sz="0" w:space="0" w:color="auto"/>
      </w:divBdr>
    </w:div>
    <w:div w:id="1089811911">
      <w:bodyDiv w:val="1"/>
      <w:marLeft w:val="0"/>
      <w:marRight w:val="0"/>
      <w:marTop w:val="0"/>
      <w:marBottom w:val="0"/>
      <w:divBdr>
        <w:top w:val="none" w:sz="0" w:space="0" w:color="auto"/>
        <w:left w:val="none" w:sz="0" w:space="0" w:color="auto"/>
        <w:bottom w:val="none" w:sz="0" w:space="0" w:color="auto"/>
        <w:right w:val="none" w:sz="0" w:space="0" w:color="auto"/>
      </w:divBdr>
    </w:div>
    <w:div w:id="1189835163">
      <w:bodyDiv w:val="1"/>
      <w:marLeft w:val="0"/>
      <w:marRight w:val="0"/>
      <w:marTop w:val="0"/>
      <w:marBottom w:val="0"/>
      <w:divBdr>
        <w:top w:val="none" w:sz="0" w:space="0" w:color="auto"/>
        <w:left w:val="none" w:sz="0" w:space="0" w:color="auto"/>
        <w:bottom w:val="none" w:sz="0" w:space="0" w:color="auto"/>
        <w:right w:val="none" w:sz="0" w:space="0" w:color="auto"/>
      </w:divBdr>
    </w:div>
    <w:div w:id="1216507791">
      <w:bodyDiv w:val="1"/>
      <w:marLeft w:val="0"/>
      <w:marRight w:val="0"/>
      <w:marTop w:val="0"/>
      <w:marBottom w:val="0"/>
      <w:divBdr>
        <w:top w:val="none" w:sz="0" w:space="0" w:color="auto"/>
        <w:left w:val="none" w:sz="0" w:space="0" w:color="auto"/>
        <w:bottom w:val="none" w:sz="0" w:space="0" w:color="auto"/>
        <w:right w:val="none" w:sz="0" w:space="0" w:color="auto"/>
      </w:divBdr>
    </w:div>
    <w:div w:id="1268924925">
      <w:bodyDiv w:val="1"/>
      <w:marLeft w:val="0"/>
      <w:marRight w:val="0"/>
      <w:marTop w:val="0"/>
      <w:marBottom w:val="0"/>
      <w:divBdr>
        <w:top w:val="none" w:sz="0" w:space="0" w:color="auto"/>
        <w:left w:val="none" w:sz="0" w:space="0" w:color="auto"/>
        <w:bottom w:val="none" w:sz="0" w:space="0" w:color="auto"/>
        <w:right w:val="none" w:sz="0" w:space="0" w:color="auto"/>
      </w:divBdr>
    </w:div>
    <w:div w:id="1281689553">
      <w:bodyDiv w:val="1"/>
      <w:marLeft w:val="0"/>
      <w:marRight w:val="0"/>
      <w:marTop w:val="0"/>
      <w:marBottom w:val="0"/>
      <w:divBdr>
        <w:top w:val="none" w:sz="0" w:space="0" w:color="auto"/>
        <w:left w:val="none" w:sz="0" w:space="0" w:color="auto"/>
        <w:bottom w:val="none" w:sz="0" w:space="0" w:color="auto"/>
        <w:right w:val="none" w:sz="0" w:space="0" w:color="auto"/>
      </w:divBdr>
    </w:div>
    <w:div w:id="1903129978">
      <w:bodyDiv w:val="1"/>
      <w:marLeft w:val="0"/>
      <w:marRight w:val="0"/>
      <w:marTop w:val="0"/>
      <w:marBottom w:val="0"/>
      <w:divBdr>
        <w:top w:val="none" w:sz="0" w:space="0" w:color="auto"/>
        <w:left w:val="none" w:sz="0" w:space="0" w:color="auto"/>
        <w:bottom w:val="none" w:sz="0" w:space="0" w:color="auto"/>
        <w:right w:val="none" w:sz="0" w:space="0" w:color="auto"/>
      </w:divBdr>
    </w:div>
    <w:div w:id="20904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B2B8-4063-4650-A78A-2590895A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8640</Words>
  <Characters>4926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Brinke</dc:creator>
  <dc:description>67082972_x000d_
Ieva.Bloma@mk.gov.lv</dc:description>
  <cp:lastModifiedBy>RitvarsTimermanis</cp:lastModifiedBy>
  <cp:revision>4</cp:revision>
  <cp:lastPrinted>2010-06-10T11:46:00Z</cp:lastPrinted>
  <dcterms:created xsi:type="dcterms:W3CDTF">2011-09-29T08:00:00Z</dcterms:created>
  <dcterms:modified xsi:type="dcterms:W3CDTF">2011-09-29T08:05:00Z</dcterms:modified>
</cp:coreProperties>
</file>