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90" w:rsidRDefault="00151855" w:rsidP="00773384">
      <w:pPr>
        <w:ind w:right="26"/>
        <w:jc w:val="center"/>
        <w:rPr>
          <w:b/>
          <w:sz w:val="28"/>
          <w:szCs w:val="28"/>
        </w:rPr>
      </w:pPr>
      <w:r>
        <w:rPr>
          <w:b/>
          <w:bCs/>
          <w:sz w:val="28"/>
          <w:szCs w:val="28"/>
        </w:rPr>
        <w:t>L</w:t>
      </w:r>
      <w:r w:rsidR="00252190">
        <w:rPr>
          <w:b/>
          <w:bCs/>
          <w:sz w:val="28"/>
          <w:szCs w:val="28"/>
        </w:rPr>
        <w:t>ikum</w:t>
      </w:r>
      <w:r w:rsidR="00252190" w:rsidRPr="00095FEE">
        <w:rPr>
          <w:b/>
          <w:bCs/>
          <w:sz w:val="28"/>
          <w:szCs w:val="28"/>
        </w:rPr>
        <w:t>projekta</w:t>
      </w:r>
      <w:r w:rsidR="00252190" w:rsidRPr="00095FEE">
        <w:rPr>
          <w:sz w:val="28"/>
          <w:szCs w:val="28"/>
        </w:rPr>
        <w:t xml:space="preserve"> </w:t>
      </w:r>
      <w:bookmarkStart w:id="0" w:name="OLE_LINK1"/>
      <w:bookmarkStart w:id="1" w:name="OLE_LINK2"/>
      <w:r w:rsidR="006E6C43">
        <w:rPr>
          <w:b/>
          <w:sz w:val="28"/>
          <w:szCs w:val="28"/>
        </w:rPr>
        <w:t>„Grozījumi</w:t>
      </w:r>
      <w:r>
        <w:rPr>
          <w:b/>
          <w:sz w:val="28"/>
          <w:szCs w:val="28"/>
        </w:rPr>
        <w:t xml:space="preserve"> </w:t>
      </w:r>
      <w:bookmarkEnd w:id="0"/>
      <w:bookmarkEnd w:id="1"/>
      <w:r w:rsidR="00773384">
        <w:rPr>
          <w:b/>
          <w:sz w:val="28"/>
          <w:szCs w:val="28"/>
        </w:rPr>
        <w:t>Dabas resursu nodokļa likumā</w:t>
      </w:r>
      <w:r w:rsidR="00773384">
        <w:rPr>
          <w:b/>
          <w:bCs/>
          <w:sz w:val="28"/>
          <w:szCs w:val="28"/>
        </w:rPr>
        <w:t>”</w:t>
      </w:r>
      <w:r w:rsidR="00773384">
        <w:rPr>
          <w:b/>
          <w:sz w:val="28"/>
          <w:szCs w:val="28"/>
        </w:rPr>
        <w:t xml:space="preserve"> </w:t>
      </w:r>
      <w:r w:rsidR="00252190" w:rsidRPr="006E0F50">
        <w:rPr>
          <w:b/>
          <w:sz w:val="28"/>
          <w:szCs w:val="28"/>
        </w:rPr>
        <w:t>sākotnējās ietekmes novērtējuma ziņojums (anotācija)</w:t>
      </w:r>
    </w:p>
    <w:p w:rsidR="00252190" w:rsidRPr="00095FEE" w:rsidRDefault="00252190"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252190" w:rsidRPr="00AB7622" w:rsidTr="00504256">
        <w:tc>
          <w:tcPr>
            <w:tcW w:w="5000" w:type="pct"/>
            <w:gridSpan w:val="3"/>
            <w:tcBorders>
              <w:top w:val="single" w:sz="4" w:space="0" w:color="auto"/>
              <w:left w:val="single" w:sz="4" w:space="0" w:color="auto"/>
              <w:bottom w:val="outset" w:sz="6" w:space="0" w:color="000000"/>
              <w:right w:val="single" w:sz="4" w:space="0" w:color="auto"/>
            </w:tcBorders>
            <w:vAlign w:val="center"/>
          </w:tcPr>
          <w:p w:rsidR="00252190" w:rsidRPr="00AB7622" w:rsidRDefault="00252190" w:rsidP="00504256">
            <w:pPr>
              <w:spacing w:before="100" w:beforeAutospacing="1" w:after="100" w:afterAutospacing="1"/>
              <w:jc w:val="center"/>
              <w:rPr>
                <w:b/>
                <w:bCs/>
              </w:rPr>
            </w:pPr>
            <w:r w:rsidRPr="00AB7622">
              <w:rPr>
                <w:b/>
                <w:bCs/>
              </w:rPr>
              <w:t>I. Tiesību akta projekta izstrādes nepieciešamība</w:t>
            </w:r>
          </w:p>
        </w:tc>
      </w:tr>
      <w:tr w:rsidR="00252190" w:rsidRPr="00AB7622" w:rsidTr="00504256">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1.</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Pamatojums</w:t>
            </w:r>
          </w:p>
        </w:tc>
        <w:tc>
          <w:tcPr>
            <w:tcW w:w="3294" w:type="pct"/>
            <w:tcBorders>
              <w:top w:val="outset" w:sz="6" w:space="0" w:color="000000"/>
              <w:left w:val="outset" w:sz="6" w:space="0" w:color="000000"/>
              <w:bottom w:val="outset" w:sz="6" w:space="0" w:color="000000"/>
              <w:right w:val="outset" w:sz="6" w:space="0" w:color="000000"/>
            </w:tcBorders>
          </w:tcPr>
          <w:p w:rsidR="00252190" w:rsidRPr="00182490" w:rsidRDefault="007E0480" w:rsidP="00BF71B3">
            <w:pPr>
              <w:pStyle w:val="Default"/>
              <w:ind w:left="169"/>
              <w:jc w:val="both"/>
              <w:rPr>
                <w:sz w:val="23"/>
                <w:szCs w:val="23"/>
              </w:rPr>
            </w:pPr>
            <w:r>
              <w:rPr>
                <w:i/>
                <w:iCs/>
                <w:sz w:val="23"/>
                <w:szCs w:val="23"/>
              </w:rPr>
              <w:t xml:space="preserve">Euro </w:t>
            </w:r>
            <w:r>
              <w:rPr>
                <w:sz w:val="23"/>
                <w:szCs w:val="23"/>
              </w:rPr>
              <w:t>ieviešanas kārtības likuma 30.panta pirmā daļa, Ministru kabineta 2012.gada 27.jūnija rīkojuma Nr.282 „Par „</w:t>
            </w:r>
            <w:r w:rsidRPr="00CC75AF">
              <w:t>Koncepciju par normatīvo aktu sakārtošanu saistībā ar eiro ieviešanu Latvijā””</w:t>
            </w:r>
            <w:r>
              <w:t xml:space="preserve"> </w:t>
            </w:r>
            <w:r w:rsidR="00BF71B3">
              <w:t>6.</w:t>
            </w:r>
            <w:r>
              <w:t>punkts</w:t>
            </w:r>
            <w:r w:rsidRPr="00CC75AF">
              <w:t xml:space="preserve">, Ministru kabineta 2013.gada 29.maija </w:t>
            </w:r>
            <w:r>
              <w:t>r</w:t>
            </w:r>
            <w:r w:rsidRPr="00CC75AF">
              <w:t>īkojum</w:t>
            </w:r>
            <w:r>
              <w:t>s</w:t>
            </w:r>
            <w:r w:rsidRPr="00CC75AF">
              <w:t xml:space="preserve"> Nr.212 „Par tiesību aktu grozījumu virzību saistībā ar </w:t>
            </w:r>
            <w:r w:rsidRPr="00CC75AF">
              <w:rPr>
                <w:i/>
              </w:rPr>
              <w:t>euro</w:t>
            </w:r>
            <w:r w:rsidRPr="00CC75AF">
              <w:t xml:space="preserve"> ieviešanu Latvijā”</w:t>
            </w:r>
            <w:r>
              <w:rPr>
                <w:sz w:val="23"/>
                <w:szCs w:val="23"/>
              </w:rPr>
              <w:t xml:space="preserve"> un Latvijas Nacionālā </w:t>
            </w:r>
            <w:r>
              <w:rPr>
                <w:i/>
                <w:iCs/>
                <w:sz w:val="23"/>
                <w:szCs w:val="23"/>
              </w:rPr>
              <w:t xml:space="preserve">euro </w:t>
            </w:r>
            <w:r>
              <w:rPr>
                <w:sz w:val="23"/>
                <w:szCs w:val="23"/>
              </w:rPr>
              <w:t xml:space="preserve">ieviešanas plāna (apstiprināts ar Ministru kabineta 2013.gada 4.aprīļa rīkojumu Nr.136) 1. pielikuma </w:t>
            </w:r>
            <w:r w:rsidRPr="00CC75AF">
              <w:rPr>
                <w:sz w:val="23"/>
                <w:szCs w:val="23"/>
              </w:rPr>
              <w:t>J2.</w:t>
            </w:r>
            <w:r w:rsidR="00BF71B3">
              <w:rPr>
                <w:sz w:val="23"/>
                <w:szCs w:val="23"/>
              </w:rPr>
              <w:t>1</w:t>
            </w:r>
            <w:r w:rsidRPr="00CC75AF">
              <w:rPr>
                <w:sz w:val="23"/>
                <w:szCs w:val="23"/>
              </w:rPr>
              <w:t>. (J2.</w:t>
            </w:r>
            <w:r w:rsidR="00BF71B3">
              <w:rPr>
                <w:sz w:val="23"/>
                <w:szCs w:val="23"/>
              </w:rPr>
              <w:t>1</w:t>
            </w:r>
            <w:r w:rsidRPr="00CC75AF">
              <w:rPr>
                <w:sz w:val="23"/>
                <w:szCs w:val="23"/>
              </w:rPr>
              <w:t>.1</w:t>
            </w:r>
            <w:r>
              <w:rPr>
                <w:sz w:val="23"/>
                <w:szCs w:val="23"/>
              </w:rPr>
              <w:t>)</w:t>
            </w:r>
            <w:r>
              <w:rPr>
                <w:sz w:val="16"/>
                <w:szCs w:val="16"/>
              </w:rPr>
              <w:t xml:space="preserve"> </w:t>
            </w:r>
            <w:r>
              <w:rPr>
                <w:sz w:val="23"/>
                <w:szCs w:val="23"/>
              </w:rPr>
              <w:t>pasākums.</w:t>
            </w:r>
          </w:p>
        </w:tc>
      </w:tr>
      <w:tr w:rsidR="00252190" w:rsidRPr="00AB7622" w:rsidTr="00504256">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2.</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252190" w:rsidRDefault="00252190" w:rsidP="00504256">
            <w:pPr>
              <w:pStyle w:val="Default"/>
              <w:ind w:left="169"/>
              <w:jc w:val="both"/>
              <w:rPr>
                <w:sz w:val="23"/>
                <w:szCs w:val="23"/>
              </w:rPr>
            </w:pPr>
            <w:r>
              <w:rPr>
                <w:sz w:val="23"/>
                <w:szCs w:val="23"/>
              </w:rPr>
              <w:t xml:space="preserve">Ņemot vērā, ka ar 2014.gada 1.janvāri Latvijā plānots ieviest </w:t>
            </w:r>
            <w:r>
              <w:rPr>
                <w:i/>
                <w:iCs/>
                <w:sz w:val="23"/>
                <w:szCs w:val="23"/>
              </w:rPr>
              <w:t>euro</w:t>
            </w:r>
            <w:r>
              <w:rPr>
                <w:sz w:val="23"/>
                <w:szCs w:val="23"/>
              </w:rPr>
              <w:t xml:space="preserve">, ir nepieciešams veikt grozījumus </w:t>
            </w:r>
            <w:r w:rsidR="00773384" w:rsidRPr="00773384">
              <w:rPr>
                <w:szCs w:val="28"/>
              </w:rPr>
              <w:t>Dabas resursu nodokļa likumā</w:t>
            </w:r>
            <w:r w:rsidRPr="00773384">
              <w:rPr>
                <w:sz w:val="22"/>
                <w:szCs w:val="23"/>
              </w:rPr>
              <w:t xml:space="preserve">, </w:t>
            </w:r>
            <w:r>
              <w:rPr>
                <w:sz w:val="23"/>
                <w:szCs w:val="23"/>
              </w:rPr>
              <w:t xml:space="preserve">aizstājot tajā latus ar </w:t>
            </w:r>
            <w:r>
              <w:rPr>
                <w:i/>
                <w:iCs/>
                <w:sz w:val="23"/>
                <w:szCs w:val="23"/>
              </w:rPr>
              <w:t>euro</w:t>
            </w:r>
            <w:r>
              <w:rPr>
                <w:sz w:val="23"/>
                <w:szCs w:val="23"/>
              </w:rPr>
              <w:t xml:space="preserve">. </w:t>
            </w:r>
          </w:p>
          <w:p w:rsidR="00252190" w:rsidRPr="00182490" w:rsidRDefault="00252190" w:rsidP="00504256">
            <w:pPr>
              <w:ind w:left="144" w:right="72"/>
              <w:jc w:val="both"/>
              <w:rPr>
                <w:sz w:val="23"/>
                <w:szCs w:val="23"/>
              </w:rPr>
            </w:pPr>
            <w:r>
              <w:rPr>
                <w:sz w:val="23"/>
                <w:szCs w:val="23"/>
              </w:rPr>
              <w:t xml:space="preserve">Ņemot vērā, ka Latvijas Banka pēc </w:t>
            </w:r>
            <w:r>
              <w:rPr>
                <w:i/>
                <w:iCs/>
                <w:sz w:val="23"/>
                <w:szCs w:val="23"/>
              </w:rPr>
              <w:t xml:space="preserve">euro </w:t>
            </w:r>
            <w:r>
              <w:rPr>
                <w:sz w:val="23"/>
                <w:szCs w:val="23"/>
              </w:rPr>
              <w:t xml:space="preserve">ieviešanas vairs nenoteiks valūtas maiņas kursu, nepieciešams grozīt arī tās normas, kurās ir pieminēts Latvijas Bankas noteiktais valūtas kurss. </w:t>
            </w:r>
          </w:p>
        </w:tc>
      </w:tr>
      <w:tr w:rsidR="00252190" w:rsidRPr="00AB7622" w:rsidTr="00504256">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3.</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ind w:left="150" w:right="71" w:hanging="2"/>
              <w:jc w:val="both"/>
            </w:pPr>
            <w:r>
              <w:t>Nav attiecināms.</w:t>
            </w:r>
          </w:p>
        </w:tc>
      </w:tr>
      <w:tr w:rsidR="00252190" w:rsidRPr="00AB7622" w:rsidTr="00504256">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4.</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7E0480" w:rsidRDefault="007E0480" w:rsidP="00CC22F5">
            <w:pPr>
              <w:pStyle w:val="Default"/>
              <w:spacing w:before="120"/>
              <w:ind w:left="170"/>
              <w:jc w:val="both"/>
              <w:rPr>
                <w:sz w:val="23"/>
                <w:szCs w:val="23"/>
              </w:rPr>
            </w:pPr>
            <w:r>
              <w:rPr>
                <w:sz w:val="23"/>
                <w:szCs w:val="23"/>
              </w:rPr>
              <w:t xml:space="preserve">Šā projekta mērķis ir pielāgot </w:t>
            </w:r>
            <w:r w:rsidR="00773384">
              <w:rPr>
                <w:szCs w:val="28"/>
              </w:rPr>
              <w:t>Dabas resursu nodokļa likumu</w:t>
            </w:r>
            <w:r w:rsidR="00BF71B3">
              <w:rPr>
                <w:bCs/>
                <w:szCs w:val="28"/>
              </w:rPr>
              <w:t xml:space="preserve"> </w:t>
            </w:r>
            <w:r>
              <w:rPr>
                <w:i/>
                <w:iCs/>
                <w:sz w:val="23"/>
                <w:szCs w:val="23"/>
              </w:rPr>
              <w:t xml:space="preserve">euro </w:t>
            </w:r>
            <w:r w:rsidR="00773384">
              <w:rPr>
                <w:sz w:val="23"/>
                <w:szCs w:val="23"/>
              </w:rPr>
              <w:t>ieviešanai, aizstājot tajā</w:t>
            </w:r>
            <w:r>
              <w:rPr>
                <w:sz w:val="23"/>
                <w:szCs w:val="23"/>
              </w:rPr>
              <w:t xml:space="preserve"> latus ar </w:t>
            </w:r>
            <w:r>
              <w:rPr>
                <w:i/>
                <w:iCs/>
                <w:sz w:val="23"/>
                <w:szCs w:val="23"/>
              </w:rPr>
              <w:t>euro</w:t>
            </w:r>
            <w:r>
              <w:rPr>
                <w:sz w:val="23"/>
                <w:szCs w:val="23"/>
              </w:rPr>
              <w:t xml:space="preserve">. </w:t>
            </w:r>
          </w:p>
          <w:p w:rsidR="002D7CA4" w:rsidRPr="000D3074" w:rsidRDefault="007E0480" w:rsidP="002D7CA4">
            <w:pPr>
              <w:pStyle w:val="Default"/>
              <w:ind w:left="169"/>
              <w:jc w:val="both"/>
              <w:rPr>
                <w:color w:val="auto"/>
                <w:sz w:val="23"/>
                <w:szCs w:val="23"/>
              </w:rPr>
            </w:pPr>
            <w:r>
              <w:rPr>
                <w:sz w:val="23"/>
                <w:szCs w:val="23"/>
              </w:rPr>
              <w:t xml:space="preserve">Šis projekts paredz aizstāt attiecīgajā normatīvajā aktā latus ar </w:t>
            </w:r>
            <w:r>
              <w:rPr>
                <w:i/>
                <w:iCs/>
                <w:sz w:val="23"/>
                <w:szCs w:val="23"/>
              </w:rPr>
              <w:t xml:space="preserve">euro </w:t>
            </w:r>
            <w:r>
              <w:rPr>
                <w:sz w:val="23"/>
                <w:szCs w:val="23"/>
              </w:rPr>
              <w:t xml:space="preserve">atbilstoši </w:t>
            </w:r>
            <w:r>
              <w:rPr>
                <w:i/>
                <w:iCs/>
                <w:sz w:val="23"/>
                <w:szCs w:val="23"/>
              </w:rPr>
              <w:t xml:space="preserve">Euro </w:t>
            </w:r>
            <w:r>
              <w:rPr>
                <w:sz w:val="23"/>
                <w:szCs w:val="23"/>
              </w:rPr>
              <w:t>ieviešanas kārtības likuma 6.pant</w:t>
            </w:r>
            <w:r w:rsidR="00773384">
              <w:rPr>
                <w:sz w:val="23"/>
                <w:szCs w:val="23"/>
              </w:rPr>
              <w:t xml:space="preserve">a </w:t>
            </w:r>
            <w:r w:rsidR="00BF71B3">
              <w:rPr>
                <w:sz w:val="23"/>
                <w:szCs w:val="23"/>
              </w:rPr>
              <w:t>otrajā daļā</w:t>
            </w:r>
            <w:r>
              <w:rPr>
                <w:sz w:val="16"/>
                <w:szCs w:val="16"/>
              </w:rPr>
              <w:t xml:space="preserve"> </w:t>
            </w:r>
            <w:r>
              <w:rPr>
                <w:sz w:val="23"/>
                <w:szCs w:val="23"/>
              </w:rPr>
              <w:t>paredzētaj</w:t>
            </w:r>
            <w:r w:rsidR="00BF71B3">
              <w:rPr>
                <w:sz w:val="23"/>
                <w:szCs w:val="23"/>
              </w:rPr>
              <w:t>a</w:t>
            </w:r>
            <w:r>
              <w:rPr>
                <w:sz w:val="23"/>
                <w:szCs w:val="23"/>
              </w:rPr>
              <w:t>m princip</w:t>
            </w:r>
            <w:r w:rsidR="00BF71B3">
              <w:rPr>
                <w:sz w:val="23"/>
                <w:szCs w:val="23"/>
              </w:rPr>
              <w:t>am</w:t>
            </w:r>
            <w:r>
              <w:rPr>
                <w:sz w:val="23"/>
                <w:szCs w:val="23"/>
              </w:rPr>
              <w:t xml:space="preserve">. </w:t>
            </w:r>
            <w:r w:rsidR="002D7CA4">
              <w:rPr>
                <w:color w:val="auto"/>
                <w:sz w:val="23"/>
                <w:szCs w:val="23"/>
              </w:rPr>
              <w:t>Atbilstoši minētās tiesību normas otrajai daļai</w:t>
            </w:r>
            <w:r w:rsidR="002D7CA4" w:rsidRPr="000D3074">
              <w:rPr>
                <w:color w:val="auto"/>
                <w:sz w:val="23"/>
                <w:szCs w:val="23"/>
              </w:rPr>
              <w:t xml:space="preserve"> </w:t>
            </w:r>
            <w:r w:rsidR="002D7CA4">
              <w:rPr>
                <w:color w:val="auto"/>
                <w:sz w:val="23"/>
                <w:szCs w:val="23"/>
              </w:rPr>
              <w:t>n</w:t>
            </w:r>
            <w:r w:rsidR="002D7CA4" w:rsidRPr="000D3074">
              <w:rPr>
                <w:color w:val="auto"/>
                <w:sz w:val="23"/>
                <w:szCs w:val="23"/>
              </w:rPr>
              <w:t xml:space="preserve">audas summas un vērtības naudas izteiksmē pēc latu konvertācijas uz </w:t>
            </w:r>
            <w:r w:rsidR="002D7CA4" w:rsidRPr="000D3074">
              <w:rPr>
                <w:i/>
                <w:color w:val="auto"/>
                <w:sz w:val="23"/>
                <w:szCs w:val="23"/>
              </w:rPr>
              <w:t>euro</w:t>
            </w:r>
            <w:r w:rsidR="002D7CA4" w:rsidRPr="000D3074">
              <w:rPr>
                <w:color w:val="auto"/>
                <w:sz w:val="23"/>
                <w:szCs w:val="23"/>
              </w:rPr>
              <w:t xml:space="preserve"> noapaļo līdz tuvākajam centam, ņemot vērā trešo zīmi aiz komata. Tomēr, tā kā </w:t>
            </w:r>
            <w:r w:rsidR="00675B89">
              <w:rPr>
                <w:color w:val="auto"/>
                <w:sz w:val="23"/>
                <w:szCs w:val="23"/>
              </w:rPr>
              <w:t>likumā</w:t>
            </w:r>
            <w:r w:rsidR="002D7CA4" w:rsidRPr="000D3074">
              <w:rPr>
                <w:color w:val="auto"/>
                <w:sz w:val="23"/>
                <w:szCs w:val="23"/>
              </w:rPr>
              <w:t xml:space="preserve"> ietvertā naudas summa 0,01 Ls konvertācijas rezultātā, izmantojot </w:t>
            </w:r>
            <w:r w:rsidR="002D7CA4" w:rsidRPr="000D3074">
              <w:rPr>
                <w:i/>
                <w:iCs/>
                <w:color w:val="auto"/>
                <w:sz w:val="23"/>
                <w:szCs w:val="23"/>
              </w:rPr>
              <w:t xml:space="preserve">Euro </w:t>
            </w:r>
            <w:r w:rsidR="002D7CA4" w:rsidRPr="000D3074">
              <w:rPr>
                <w:color w:val="auto"/>
                <w:sz w:val="23"/>
                <w:szCs w:val="23"/>
              </w:rPr>
              <w:t xml:space="preserve">ieviešanas kārtības likuma 6.panta otrajā daļā paredzēto principu, ir 0,01 </w:t>
            </w:r>
            <w:r w:rsidR="002D7CA4" w:rsidRPr="000D3074">
              <w:rPr>
                <w:i/>
                <w:color w:val="auto"/>
                <w:sz w:val="23"/>
                <w:szCs w:val="23"/>
              </w:rPr>
              <w:t xml:space="preserve">euro </w:t>
            </w:r>
            <w:r w:rsidR="002D7CA4" w:rsidRPr="000D3074">
              <w:rPr>
                <w:color w:val="auto"/>
                <w:sz w:val="23"/>
                <w:szCs w:val="23"/>
              </w:rPr>
              <w:t xml:space="preserve">un, ņemot vērā to, ka šādas nodevas piemērošana lielām platībām var radīt ievērojamu negatīvu ietekmi uz valsts budžetu, ir atstāti trīs cipari aiz komata un naudas summa 0,01 Ls ir pārveidota uz 0,014 </w:t>
            </w:r>
            <w:r w:rsidR="002D7CA4" w:rsidRPr="000D3074">
              <w:rPr>
                <w:i/>
                <w:color w:val="auto"/>
                <w:sz w:val="23"/>
                <w:szCs w:val="23"/>
              </w:rPr>
              <w:t xml:space="preserve">euro. </w:t>
            </w:r>
            <w:r w:rsidR="002D7CA4" w:rsidRPr="000D3074">
              <w:rPr>
                <w:color w:val="auto"/>
                <w:sz w:val="23"/>
                <w:szCs w:val="23"/>
              </w:rPr>
              <w:t xml:space="preserve">Tāds pats princips piemērots arī pārveidojot naudas summu 0,001 Ls, kas, to pārrēķinot, ir izteikta kā 0,0014 </w:t>
            </w:r>
            <w:r w:rsidR="002D7CA4" w:rsidRPr="000D3074">
              <w:rPr>
                <w:i/>
                <w:color w:val="auto"/>
                <w:sz w:val="23"/>
                <w:szCs w:val="23"/>
              </w:rPr>
              <w:t>euro</w:t>
            </w:r>
            <w:r w:rsidR="002D7CA4">
              <w:rPr>
                <w:i/>
                <w:color w:val="auto"/>
                <w:sz w:val="23"/>
                <w:szCs w:val="23"/>
              </w:rPr>
              <w:t xml:space="preserve"> </w:t>
            </w:r>
            <w:r w:rsidR="002D7CA4" w:rsidRPr="002D7CA4">
              <w:rPr>
                <w:color w:val="auto"/>
                <w:sz w:val="23"/>
                <w:szCs w:val="23"/>
              </w:rPr>
              <w:t>un naudas summu</w:t>
            </w:r>
            <w:r w:rsidR="002D7CA4">
              <w:rPr>
                <w:i/>
                <w:color w:val="auto"/>
                <w:sz w:val="23"/>
                <w:szCs w:val="23"/>
              </w:rPr>
              <w:t xml:space="preserve"> 0,1 Ls, </w:t>
            </w:r>
            <w:r w:rsidR="002D7CA4" w:rsidRPr="000D3074">
              <w:rPr>
                <w:color w:val="auto"/>
                <w:sz w:val="23"/>
                <w:szCs w:val="23"/>
              </w:rPr>
              <w:t>kas, to pārrēķinot, ir izteikta</w:t>
            </w:r>
            <w:r w:rsidR="002D7CA4">
              <w:rPr>
                <w:color w:val="auto"/>
                <w:sz w:val="23"/>
                <w:szCs w:val="23"/>
              </w:rPr>
              <w:t xml:space="preserve"> kā 0,</w:t>
            </w:r>
            <w:r w:rsidR="002D7CA4" w:rsidRPr="000D3074">
              <w:rPr>
                <w:color w:val="auto"/>
                <w:sz w:val="23"/>
                <w:szCs w:val="23"/>
              </w:rPr>
              <w:t xml:space="preserve">14 </w:t>
            </w:r>
            <w:r w:rsidR="002D7CA4" w:rsidRPr="000D3074">
              <w:rPr>
                <w:i/>
                <w:color w:val="auto"/>
                <w:sz w:val="23"/>
                <w:szCs w:val="23"/>
              </w:rPr>
              <w:t>euro</w:t>
            </w:r>
            <w:r w:rsidR="002D7CA4" w:rsidRPr="000D3074">
              <w:rPr>
                <w:color w:val="auto"/>
                <w:sz w:val="23"/>
                <w:szCs w:val="23"/>
              </w:rPr>
              <w:t>.</w:t>
            </w:r>
          </w:p>
          <w:p w:rsidR="007E0480" w:rsidRDefault="007E0480" w:rsidP="00CC22F5">
            <w:pPr>
              <w:pStyle w:val="Default"/>
              <w:spacing w:before="120"/>
              <w:ind w:left="170"/>
              <w:jc w:val="both"/>
              <w:rPr>
                <w:sz w:val="23"/>
                <w:szCs w:val="23"/>
              </w:rPr>
            </w:pPr>
          </w:p>
          <w:p w:rsidR="00F57091" w:rsidRPr="009C7277" w:rsidRDefault="007E0480" w:rsidP="009C7277">
            <w:pPr>
              <w:spacing w:before="120"/>
              <w:ind w:left="170" w:right="74"/>
              <w:jc w:val="both"/>
              <w:rPr>
                <w:sz w:val="23"/>
                <w:szCs w:val="23"/>
              </w:rPr>
            </w:pPr>
            <w:r>
              <w:rPr>
                <w:sz w:val="23"/>
                <w:szCs w:val="23"/>
              </w:rPr>
              <w:t xml:space="preserve">Grozītās tiesību normas </w:t>
            </w:r>
            <w:r>
              <w:rPr>
                <w:i/>
                <w:iCs/>
                <w:sz w:val="23"/>
                <w:szCs w:val="23"/>
              </w:rPr>
              <w:t xml:space="preserve">euro </w:t>
            </w:r>
            <w:r>
              <w:rPr>
                <w:sz w:val="23"/>
                <w:szCs w:val="23"/>
              </w:rPr>
              <w:t>valūtā nav personām nelabvēlīgākas par sākotnējo tiesību normu latos un nerada vērā ņemamu negatīvu ietekmi uz valsts budžetu.</w:t>
            </w:r>
          </w:p>
        </w:tc>
      </w:tr>
      <w:tr w:rsidR="00252190" w:rsidRPr="00AB7622" w:rsidTr="00504256">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5.</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after="120"/>
              <w:ind w:left="150" w:right="74" w:hanging="2"/>
              <w:jc w:val="both"/>
            </w:pPr>
            <w:r>
              <w:t>Nav attiecināms.</w:t>
            </w:r>
            <w:r w:rsidRPr="00AB7622">
              <w:t xml:space="preserve"> </w:t>
            </w:r>
          </w:p>
        </w:tc>
      </w:tr>
      <w:tr w:rsidR="00252190" w:rsidRPr="00AB7622" w:rsidTr="00504256">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6.</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504256">
            <w:pPr>
              <w:spacing w:before="100" w:beforeAutospacing="1" w:after="100" w:afterAutospacing="1"/>
            </w:pPr>
            <w:r w:rsidRPr="00AB7622">
              <w:t xml:space="preserve">Iemesli, kādēļ netika nodrošināta sabiedrības </w:t>
            </w:r>
            <w:r w:rsidRPr="00AB7622">
              <w:lastRenderedPageBreak/>
              <w:t>līdzdalība</w:t>
            </w:r>
          </w:p>
        </w:tc>
        <w:tc>
          <w:tcPr>
            <w:tcW w:w="3294" w:type="pct"/>
            <w:tcBorders>
              <w:top w:val="outset" w:sz="6" w:space="0" w:color="000000"/>
              <w:left w:val="outset" w:sz="6" w:space="0" w:color="000000"/>
              <w:bottom w:val="outset" w:sz="6" w:space="0" w:color="000000"/>
              <w:right w:val="outset" w:sz="6" w:space="0" w:color="000000"/>
            </w:tcBorders>
          </w:tcPr>
          <w:p w:rsidR="00252190" w:rsidRDefault="00252190" w:rsidP="00504256">
            <w:pPr>
              <w:pStyle w:val="Default"/>
              <w:ind w:left="169"/>
              <w:jc w:val="both"/>
              <w:rPr>
                <w:sz w:val="23"/>
                <w:szCs w:val="23"/>
              </w:rPr>
            </w:pPr>
            <w:r>
              <w:rPr>
                <w:sz w:val="23"/>
                <w:szCs w:val="23"/>
              </w:rPr>
              <w:lastRenderedPageBreak/>
              <w:t xml:space="preserve">Sabiedrības līdzdalība projekta izstrādē netika nodrošināta, jo projekts nemaina pastāvošo tiesisko regulējumu pēc būtības. </w:t>
            </w:r>
          </w:p>
          <w:p w:rsidR="00252190" w:rsidRPr="00AB7622" w:rsidRDefault="00252190" w:rsidP="00504256">
            <w:pPr>
              <w:spacing w:after="120"/>
              <w:ind w:left="150" w:right="74" w:hanging="2"/>
              <w:jc w:val="both"/>
            </w:pPr>
            <w:r>
              <w:rPr>
                <w:sz w:val="23"/>
                <w:szCs w:val="23"/>
              </w:rPr>
              <w:lastRenderedPageBreak/>
              <w:t xml:space="preserve"> </w:t>
            </w:r>
          </w:p>
        </w:tc>
      </w:tr>
      <w:tr w:rsidR="00252190" w:rsidRPr="00AB7622" w:rsidTr="00504256">
        <w:tc>
          <w:tcPr>
            <w:tcW w:w="315" w:type="pct"/>
            <w:tcBorders>
              <w:top w:val="outset" w:sz="6" w:space="0" w:color="000000"/>
              <w:left w:val="outset" w:sz="6" w:space="0" w:color="000000"/>
              <w:bottom w:val="single" w:sz="4" w:space="0" w:color="auto"/>
              <w:right w:val="outset" w:sz="6" w:space="0" w:color="000000"/>
            </w:tcBorders>
          </w:tcPr>
          <w:p w:rsidR="00252190" w:rsidRPr="00AB7622" w:rsidRDefault="00252190" w:rsidP="00504256">
            <w:pPr>
              <w:spacing w:before="100" w:beforeAutospacing="1" w:after="100" w:afterAutospacing="1"/>
            </w:pPr>
            <w:r w:rsidRPr="00AB7622">
              <w:lastRenderedPageBreak/>
              <w:t>7.</w:t>
            </w:r>
          </w:p>
        </w:tc>
        <w:tc>
          <w:tcPr>
            <w:tcW w:w="1391" w:type="pct"/>
            <w:tcBorders>
              <w:top w:val="outset" w:sz="6" w:space="0" w:color="000000"/>
              <w:left w:val="outset" w:sz="6" w:space="0" w:color="000000"/>
              <w:bottom w:val="single" w:sz="4" w:space="0" w:color="auto"/>
              <w:right w:val="outset" w:sz="6" w:space="0" w:color="000000"/>
            </w:tcBorders>
          </w:tcPr>
          <w:p w:rsidR="00252190" w:rsidRPr="00AB7622" w:rsidRDefault="00252190" w:rsidP="00504256">
            <w:pPr>
              <w:spacing w:before="100" w:beforeAutospacing="1" w:after="100" w:afterAutospacing="1"/>
            </w:pPr>
            <w:r w:rsidRPr="00AB7622">
              <w:t>Cita informācija</w:t>
            </w:r>
          </w:p>
        </w:tc>
        <w:tc>
          <w:tcPr>
            <w:tcW w:w="3294" w:type="pct"/>
            <w:tcBorders>
              <w:top w:val="outset" w:sz="6" w:space="0" w:color="000000"/>
              <w:left w:val="outset" w:sz="6" w:space="0" w:color="000000"/>
              <w:bottom w:val="single" w:sz="4" w:space="0" w:color="auto"/>
              <w:right w:val="outset" w:sz="6" w:space="0" w:color="000000"/>
            </w:tcBorders>
          </w:tcPr>
          <w:p w:rsidR="007E0480" w:rsidRDefault="007E0480" w:rsidP="007E0480">
            <w:pPr>
              <w:pStyle w:val="Default"/>
              <w:ind w:left="169"/>
              <w:jc w:val="both"/>
              <w:rPr>
                <w:sz w:val="23"/>
                <w:szCs w:val="23"/>
              </w:rPr>
            </w:pPr>
            <w:r>
              <w:rPr>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252190" w:rsidRPr="00AB7622" w:rsidRDefault="007E0480" w:rsidP="007E0480">
            <w:pPr>
              <w:spacing w:after="120"/>
              <w:ind w:left="150" w:right="74" w:hanging="2"/>
              <w:jc w:val="both"/>
            </w:pPr>
            <w:r>
              <w:rPr>
                <w:sz w:val="23"/>
                <w:szCs w:val="23"/>
              </w:rPr>
              <w:t xml:space="preserve">Šim projektam ir jābūt apstiprinātam un publicētam oficiālajā izdevumā „Latvijas Vēstnesis” līdz </w:t>
            </w:r>
            <w:r>
              <w:rPr>
                <w:i/>
                <w:iCs/>
                <w:sz w:val="23"/>
                <w:szCs w:val="23"/>
              </w:rPr>
              <w:t xml:space="preserve">euro </w:t>
            </w:r>
            <w:r>
              <w:rPr>
                <w:sz w:val="23"/>
                <w:szCs w:val="23"/>
              </w:rPr>
              <w:t>ieviešanas dienai.</w:t>
            </w:r>
          </w:p>
        </w:tc>
      </w:tr>
    </w:tbl>
    <w:p w:rsidR="00252190" w:rsidRDefault="00252190" w:rsidP="00252190">
      <w:pP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6C1F22" w:rsidRPr="00AB7622" w:rsidTr="00504256">
        <w:tc>
          <w:tcPr>
            <w:tcW w:w="5000" w:type="pct"/>
            <w:tcBorders>
              <w:top w:val="single" w:sz="4" w:space="0" w:color="auto"/>
              <w:left w:val="single" w:sz="4" w:space="0" w:color="auto"/>
              <w:bottom w:val="outset" w:sz="6" w:space="0" w:color="000000"/>
              <w:right w:val="single" w:sz="4" w:space="0" w:color="auto"/>
            </w:tcBorders>
            <w:vAlign w:val="center"/>
          </w:tcPr>
          <w:p w:rsidR="006C1F22" w:rsidRPr="00AB7622" w:rsidRDefault="006C1F22" w:rsidP="00504256">
            <w:pPr>
              <w:spacing w:before="100" w:beforeAutospacing="1" w:after="100" w:afterAutospacing="1"/>
              <w:jc w:val="center"/>
              <w:rPr>
                <w:b/>
                <w:bCs/>
              </w:rPr>
            </w:pPr>
            <w:r w:rsidRPr="00AB7622">
              <w:rPr>
                <w:b/>
                <w:bCs/>
              </w:rPr>
              <w:t>I</w:t>
            </w:r>
            <w:r>
              <w:rPr>
                <w:b/>
                <w:bCs/>
              </w:rPr>
              <w:t>I</w:t>
            </w:r>
            <w:r w:rsidRPr="00AB7622">
              <w:rPr>
                <w:b/>
                <w:bCs/>
              </w:rPr>
              <w:t xml:space="preserve">. Tiesību akta projekta </w:t>
            </w:r>
            <w:r>
              <w:rPr>
                <w:b/>
                <w:bCs/>
              </w:rPr>
              <w:t>ietekme uz sabiedrību</w:t>
            </w:r>
          </w:p>
        </w:tc>
      </w:tr>
      <w:tr w:rsidR="006C1F22" w:rsidRPr="00182490" w:rsidTr="00504256">
        <w:tc>
          <w:tcPr>
            <w:tcW w:w="5000" w:type="pct"/>
            <w:tcBorders>
              <w:top w:val="outset" w:sz="6" w:space="0" w:color="000000"/>
              <w:left w:val="outset" w:sz="6" w:space="0" w:color="000000"/>
              <w:bottom w:val="outset" w:sz="6" w:space="0" w:color="000000"/>
              <w:right w:val="outset" w:sz="6" w:space="0" w:color="000000"/>
            </w:tcBorders>
          </w:tcPr>
          <w:p w:rsidR="006C1F22" w:rsidRPr="00182490" w:rsidRDefault="006C1F22" w:rsidP="00504256">
            <w:pPr>
              <w:pStyle w:val="Default"/>
              <w:ind w:left="169"/>
              <w:jc w:val="both"/>
              <w:rPr>
                <w:sz w:val="23"/>
                <w:szCs w:val="23"/>
              </w:rPr>
            </w:pPr>
            <w:r>
              <w:t>Projekts nerada ietekmi uz sabiedrību, jo nemaina spēkā esošo tiesisko regulējumu pēc būtības.</w:t>
            </w:r>
          </w:p>
        </w:tc>
      </w:tr>
    </w:tbl>
    <w:p w:rsidR="006C1F22" w:rsidRDefault="006C1F22" w:rsidP="006C1F22">
      <w:pPr>
        <w:jc w:val="center"/>
        <w:rPr>
          <w:sz w:val="28"/>
          <w:szCs w:val="28"/>
        </w:rPr>
      </w:pPr>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331"/>
        <w:gridCol w:w="1354"/>
        <w:gridCol w:w="1354"/>
        <w:gridCol w:w="1355"/>
        <w:gridCol w:w="1296"/>
      </w:tblGrid>
      <w:tr w:rsidR="00477EEA" w:rsidRPr="00FE313F" w:rsidTr="00477EEA">
        <w:trPr>
          <w:trHeight w:val="652"/>
          <w:jc w:val="center"/>
        </w:trPr>
        <w:tc>
          <w:tcPr>
            <w:tcW w:w="9601" w:type="dxa"/>
            <w:gridSpan w:val="6"/>
          </w:tcPr>
          <w:p w:rsidR="00477EEA" w:rsidRPr="00FE313F" w:rsidRDefault="00477EEA" w:rsidP="00504256">
            <w:pPr>
              <w:pStyle w:val="naisnod"/>
              <w:spacing w:before="0" w:after="0"/>
              <w:rPr>
                <w:i/>
              </w:rPr>
            </w:pPr>
            <w:r w:rsidRPr="00FE313F">
              <w:br w:type="page"/>
              <w:t>III. Tiesību akta projekta ietekme uz valsts budžetu un pašvaldību budžetiem</w:t>
            </w:r>
          </w:p>
        </w:tc>
      </w:tr>
      <w:tr w:rsidR="00477EEA" w:rsidRPr="00FE313F" w:rsidTr="00477EEA">
        <w:trPr>
          <w:jc w:val="center"/>
        </w:trPr>
        <w:tc>
          <w:tcPr>
            <w:tcW w:w="2911" w:type="dxa"/>
            <w:vMerge w:val="restart"/>
            <w:vAlign w:val="center"/>
          </w:tcPr>
          <w:p w:rsidR="00477EEA" w:rsidRPr="00FE313F" w:rsidRDefault="00477EEA" w:rsidP="00504256">
            <w:pPr>
              <w:pStyle w:val="naisf"/>
              <w:spacing w:before="0" w:after="0"/>
              <w:ind w:firstLine="0"/>
              <w:jc w:val="center"/>
              <w:rPr>
                <w:b/>
              </w:rPr>
            </w:pPr>
            <w:r w:rsidRPr="00FE313F">
              <w:rPr>
                <w:b/>
              </w:rPr>
              <w:t>Rādītāji</w:t>
            </w:r>
          </w:p>
        </w:tc>
        <w:tc>
          <w:tcPr>
            <w:tcW w:w="2685" w:type="dxa"/>
            <w:gridSpan w:val="2"/>
            <w:vMerge w:val="restart"/>
            <w:vAlign w:val="center"/>
          </w:tcPr>
          <w:p w:rsidR="00477EEA" w:rsidRPr="00FE313F" w:rsidRDefault="00AA0364" w:rsidP="00504256">
            <w:pPr>
              <w:pStyle w:val="naisf"/>
              <w:spacing w:before="0" w:after="0"/>
              <w:ind w:firstLine="0"/>
              <w:jc w:val="center"/>
              <w:rPr>
                <w:b/>
              </w:rPr>
            </w:pPr>
            <w:r>
              <w:rPr>
                <w:b/>
              </w:rPr>
              <w:t>2013.</w:t>
            </w:r>
            <w:r w:rsidR="00477EEA" w:rsidRPr="00FE313F">
              <w:rPr>
                <w:b/>
              </w:rPr>
              <w:t xml:space="preserve"> gads</w:t>
            </w:r>
          </w:p>
        </w:tc>
        <w:tc>
          <w:tcPr>
            <w:tcW w:w="4005" w:type="dxa"/>
            <w:gridSpan w:val="3"/>
            <w:vAlign w:val="center"/>
          </w:tcPr>
          <w:p w:rsidR="00477EEA" w:rsidRPr="00FE313F" w:rsidRDefault="00477EEA" w:rsidP="00AA0364">
            <w:pPr>
              <w:pStyle w:val="naisf"/>
              <w:spacing w:before="0" w:after="0"/>
              <w:ind w:firstLine="0"/>
              <w:jc w:val="center"/>
              <w:rPr>
                <w:b/>
                <w:i/>
              </w:rPr>
            </w:pPr>
            <w:r w:rsidRPr="00FE313F">
              <w:t xml:space="preserve">Turpmākie trīs gadi (tūkst. </w:t>
            </w:r>
            <w:r w:rsidR="009D6CF9" w:rsidRPr="009D6CF9">
              <w:rPr>
                <w:i/>
              </w:rPr>
              <w:t>euro</w:t>
            </w:r>
            <w:r w:rsidRPr="00FE313F">
              <w:t>)</w:t>
            </w:r>
          </w:p>
        </w:tc>
      </w:tr>
      <w:tr w:rsidR="00477EEA" w:rsidRPr="00FE313F" w:rsidTr="00477EEA">
        <w:trPr>
          <w:jc w:val="center"/>
        </w:trPr>
        <w:tc>
          <w:tcPr>
            <w:tcW w:w="2911" w:type="dxa"/>
            <w:vMerge/>
            <w:vAlign w:val="center"/>
          </w:tcPr>
          <w:p w:rsidR="00477EEA" w:rsidRPr="00FE313F" w:rsidRDefault="00477EEA" w:rsidP="00504256">
            <w:pPr>
              <w:pStyle w:val="naisf"/>
              <w:spacing w:before="0" w:after="0"/>
              <w:ind w:firstLine="0"/>
              <w:jc w:val="center"/>
              <w:rPr>
                <w:b/>
                <w:i/>
              </w:rPr>
            </w:pPr>
          </w:p>
        </w:tc>
        <w:tc>
          <w:tcPr>
            <w:tcW w:w="2685" w:type="dxa"/>
            <w:gridSpan w:val="2"/>
            <w:vMerge/>
            <w:vAlign w:val="center"/>
          </w:tcPr>
          <w:p w:rsidR="00477EEA" w:rsidRPr="00FE313F" w:rsidRDefault="00477EEA" w:rsidP="00504256">
            <w:pPr>
              <w:pStyle w:val="naisf"/>
              <w:spacing w:before="0" w:after="0"/>
              <w:ind w:firstLine="0"/>
              <w:jc w:val="center"/>
              <w:rPr>
                <w:b/>
                <w:i/>
              </w:rPr>
            </w:pPr>
          </w:p>
        </w:tc>
        <w:tc>
          <w:tcPr>
            <w:tcW w:w="1354" w:type="dxa"/>
            <w:vAlign w:val="center"/>
          </w:tcPr>
          <w:p w:rsidR="00477EEA" w:rsidRPr="00FE313F" w:rsidRDefault="00AA0364" w:rsidP="00504256">
            <w:pPr>
              <w:pStyle w:val="naisf"/>
              <w:spacing w:before="0" w:after="0"/>
              <w:ind w:firstLine="0"/>
              <w:jc w:val="center"/>
              <w:rPr>
                <w:b/>
                <w:i/>
              </w:rPr>
            </w:pPr>
            <w:r>
              <w:rPr>
                <w:b/>
                <w:bCs/>
              </w:rPr>
              <w:t>2014.gads</w:t>
            </w:r>
          </w:p>
        </w:tc>
        <w:tc>
          <w:tcPr>
            <w:tcW w:w="1355" w:type="dxa"/>
            <w:vAlign w:val="center"/>
          </w:tcPr>
          <w:p w:rsidR="00477EEA" w:rsidRPr="00FE313F" w:rsidRDefault="00AA0364" w:rsidP="00504256">
            <w:pPr>
              <w:pStyle w:val="naisf"/>
              <w:spacing w:before="0" w:after="0"/>
              <w:ind w:firstLine="0"/>
              <w:jc w:val="center"/>
              <w:rPr>
                <w:b/>
                <w:i/>
              </w:rPr>
            </w:pPr>
            <w:r>
              <w:rPr>
                <w:b/>
                <w:bCs/>
              </w:rPr>
              <w:t>2015.gads</w:t>
            </w:r>
          </w:p>
        </w:tc>
        <w:tc>
          <w:tcPr>
            <w:tcW w:w="1296" w:type="dxa"/>
            <w:vAlign w:val="center"/>
          </w:tcPr>
          <w:p w:rsidR="00477EEA" w:rsidRPr="00FE313F" w:rsidRDefault="00AA0364" w:rsidP="00504256">
            <w:pPr>
              <w:pStyle w:val="naisf"/>
              <w:spacing w:before="0" w:after="0"/>
              <w:ind w:firstLine="0"/>
              <w:jc w:val="center"/>
              <w:rPr>
                <w:b/>
                <w:i/>
              </w:rPr>
            </w:pPr>
            <w:r>
              <w:rPr>
                <w:b/>
                <w:bCs/>
              </w:rPr>
              <w:t>2016.gads</w:t>
            </w:r>
          </w:p>
        </w:tc>
      </w:tr>
      <w:tr w:rsidR="00477EEA" w:rsidRPr="00FE313F" w:rsidTr="00477EEA">
        <w:trPr>
          <w:jc w:val="center"/>
        </w:trPr>
        <w:tc>
          <w:tcPr>
            <w:tcW w:w="2911" w:type="dxa"/>
            <w:vMerge/>
            <w:vAlign w:val="center"/>
          </w:tcPr>
          <w:p w:rsidR="00477EEA" w:rsidRPr="00FE313F" w:rsidRDefault="00477EEA" w:rsidP="00504256">
            <w:pPr>
              <w:pStyle w:val="naisf"/>
              <w:spacing w:before="0" w:after="0"/>
              <w:ind w:firstLine="0"/>
              <w:jc w:val="center"/>
              <w:rPr>
                <w:b/>
                <w:i/>
              </w:rPr>
            </w:pPr>
          </w:p>
        </w:tc>
        <w:tc>
          <w:tcPr>
            <w:tcW w:w="1331" w:type="dxa"/>
            <w:vAlign w:val="center"/>
          </w:tcPr>
          <w:p w:rsidR="00477EEA" w:rsidRPr="00FE313F" w:rsidRDefault="00477EEA" w:rsidP="00504256">
            <w:pPr>
              <w:pStyle w:val="naisf"/>
              <w:spacing w:before="0" w:after="0"/>
              <w:ind w:firstLine="0"/>
              <w:jc w:val="center"/>
              <w:rPr>
                <w:b/>
                <w:i/>
              </w:rPr>
            </w:pPr>
            <w:r w:rsidRPr="00FE313F">
              <w:t>Saskaņā ar valsts budžetu kārtējam gadam</w:t>
            </w:r>
          </w:p>
        </w:tc>
        <w:tc>
          <w:tcPr>
            <w:tcW w:w="1354" w:type="dxa"/>
            <w:vAlign w:val="center"/>
          </w:tcPr>
          <w:p w:rsidR="00477EEA" w:rsidRPr="00FE313F" w:rsidRDefault="00477EEA" w:rsidP="00504256">
            <w:pPr>
              <w:pStyle w:val="naisf"/>
              <w:spacing w:before="0" w:after="0"/>
              <w:ind w:firstLine="0"/>
              <w:jc w:val="center"/>
              <w:rPr>
                <w:b/>
                <w:i/>
              </w:rPr>
            </w:pPr>
            <w:r w:rsidRPr="00FE313F">
              <w:t>Izmaiņas kārtējā gadā, salīdzinot ar budžetu kārtējam gadam</w:t>
            </w:r>
          </w:p>
        </w:tc>
        <w:tc>
          <w:tcPr>
            <w:tcW w:w="1354" w:type="dxa"/>
            <w:vAlign w:val="center"/>
          </w:tcPr>
          <w:p w:rsidR="00477EEA" w:rsidRPr="00FE313F" w:rsidRDefault="00477EEA" w:rsidP="00AA0364">
            <w:pPr>
              <w:pStyle w:val="naisf"/>
              <w:spacing w:before="0" w:after="0"/>
              <w:ind w:firstLine="0"/>
              <w:jc w:val="center"/>
              <w:rPr>
                <w:b/>
                <w:i/>
              </w:rPr>
            </w:pPr>
            <w:r w:rsidRPr="00FE313F">
              <w:t xml:space="preserve">Izmaiņas, salīdzinot ar kārtējo </w:t>
            </w:r>
            <w:r w:rsidR="00AA0364">
              <w:t>2013.</w:t>
            </w:r>
            <w:r w:rsidRPr="00FE313F">
              <w:t xml:space="preserve"> gadu</w:t>
            </w:r>
          </w:p>
        </w:tc>
        <w:tc>
          <w:tcPr>
            <w:tcW w:w="1355" w:type="dxa"/>
            <w:vAlign w:val="center"/>
          </w:tcPr>
          <w:p w:rsidR="00477EEA" w:rsidRPr="00FE313F" w:rsidRDefault="00477EEA" w:rsidP="00AA0364">
            <w:pPr>
              <w:pStyle w:val="naisf"/>
              <w:spacing w:before="0" w:after="0"/>
              <w:ind w:firstLine="0"/>
              <w:jc w:val="center"/>
              <w:rPr>
                <w:b/>
                <w:i/>
              </w:rPr>
            </w:pPr>
            <w:r w:rsidRPr="00FE313F">
              <w:t xml:space="preserve">Izmaiņas, salīdzinot ar kārtējo </w:t>
            </w:r>
            <w:r w:rsidR="00AA0364">
              <w:t>2013.</w:t>
            </w:r>
            <w:r w:rsidRPr="00FE313F">
              <w:t xml:space="preserve"> gadu</w:t>
            </w:r>
          </w:p>
        </w:tc>
        <w:tc>
          <w:tcPr>
            <w:tcW w:w="1296" w:type="dxa"/>
            <w:vAlign w:val="center"/>
          </w:tcPr>
          <w:p w:rsidR="00477EEA" w:rsidRPr="00FE313F" w:rsidRDefault="00477EEA" w:rsidP="00AA0364">
            <w:pPr>
              <w:pStyle w:val="naisf"/>
              <w:spacing w:before="0" w:after="0"/>
              <w:ind w:firstLine="0"/>
              <w:jc w:val="center"/>
              <w:rPr>
                <w:b/>
                <w:i/>
              </w:rPr>
            </w:pPr>
            <w:r w:rsidRPr="00FE313F">
              <w:t xml:space="preserve">Izmaiņas, salīdzinot ar kārtējo </w:t>
            </w:r>
            <w:r w:rsidR="00AA0364">
              <w:t>2013.</w:t>
            </w:r>
            <w:r w:rsidRPr="00FE313F">
              <w:t>gadu</w:t>
            </w:r>
          </w:p>
        </w:tc>
      </w:tr>
      <w:tr w:rsidR="00477EEA" w:rsidRPr="00FE313F" w:rsidTr="00477EEA">
        <w:trPr>
          <w:jc w:val="center"/>
        </w:trPr>
        <w:tc>
          <w:tcPr>
            <w:tcW w:w="2911" w:type="dxa"/>
            <w:vAlign w:val="center"/>
          </w:tcPr>
          <w:p w:rsidR="00477EEA" w:rsidRPr="00FE313F" w:rsidRDefault="00477EEA" w:rsidP="00504256">
            <w:pPr>
              <w:pStyle w:val="naisf"/>
              <w:spacing w:before="0" w:after="0"/>
              <w:ind w:firstLine="0"/>
              <w:jc w:val="center"/>
              <w:rPr>
                <w:bCs/>
              </w:rPr>
            </w:pPr>
            <w:r w:rsidRPr="00FE313F">
              <w:rPr>
                <w:bCs/>
              </w:rPr>
              <w:t>1</w:t>
            </w:r>
          </w:p>
        </w:tc>
        <w:tc>
          <w:tcPr>
            <w:tcW w:w="1331" w:type="dxa"/>
            <w:vAlign w:val="center"/>
          </w:tcPr>
          <w:p w:rsidR="00477EEA" w:rsidRPr="00FE313F" w:rsidRDefault="00477EEA" w:rsidP="00504256">
            <w:pPr>
              <w:pStyle w:val="naisf"/>
              <w:spacing w:before="0" w:after="0"/>
              <w:ind w:firstLine="0"/>
              <w:jc w:val="center"/>
              <w:rPr>
                <w:bCs/>
              </w:rPr>
            </w:pPr>
            <w:r w:rsidRPr="00FE313F">
              <w:rPr>
                <w:bCs/>
              </w:rPr>
              <w:t>2</w:t>
            </w:r>
          </w:p>
        </w:tc>
        <w:tc>
          <w:tcPr>
            <w:tcW w:w="1354" w:type="dxa"/>
            <w:vAlign w:val="center"/>
          </w:tcPr>
          <w:p w:rsidR="00477EEA" w:rsidRPr="00FE313F" w:rsidRDefault="00477EEA" w:rsidP="00504256">
            <w:pPr>
              <w:pStyle w:val="naisf"/>
              <w:spacing w:before="0" w:after="0"/>
              <w:ind w:firstLine="0"/>
              <w:jc w:val="center"/>
              <w:rPr>
                <w:bCs/>
              </w:rPr>
            </w:pPr>
            <w:r w:rsidRPr="00FE313F">
              <w:rPr>
                <w:bCs/>
              </w:rPr>
              <w:t>3</w:t>
            </w:r>
          </w:p>
        </w:tc>
        <w:tc>
          <w:tcPr>
            <w:tcW w:w="1354" w:type="dxa"/>
            <w:vAlign w:val="center"/>
          </w:tcPr>
          <w:p w:rsidR="00477EEA" w:rsidRPr="00FE313F" w:rsidRDefault="00477EEA" w:rsidP="00504256">
            <w:pPr>
              <w:pStyle w:val="naisf"/>
              <w:spacing w:before="0" w:after="0"/>
              <w:ind w:firstLine="0"/>
              <w:jc w:val="center"/>
              <w:rPr>
                <w:bCs/>
              </w:rPr>
            </w:pPr>
            <w:r w:rsidRPr="00FE313F">
              <w:rPr>
                <w:bCs/>
              </w:rPr>
              <w:t>4</w:t>
            </w:r>
          </w:p>
        </w:tc>
        <w:tc>
          <w:tcPr>
            <w:tcW w:w="1355" w:type="dxa"/>
            <w:vAlign w:val="center"/>
          </w:tcPr>
          <w:p w:rsidR="00477EEA" w:rsidRPr="00FE313F" w:rsidRDefault="00477EEA" w:rsidP="00504256">
            <w:pPr>
              <w:pStyle w:val="naisf"/>
              <w:spacing w:before="0" w:after="0"/>
              <w:ind w:firstLine="0"/>
              <w:jc w:val="center"/>
              <w:rPr>
                <w:bCs/>
              </w:rPr>
            </w:pPr>
            <w:r w:rsidRPr="00FE313F">
              <w:rPr>
                <w:bCs/>
              </w:rPr>
              <w:t>5</w:t>
            </w:r>
          </w:p>
        </w:tc>
        <w:tc>
          <w:tcPr>
            <w:tcW w:w="1296" w:type="dxa"/>
            <w:vAlign w:val="center"/>
          </w:tcPr>
          <w:p w:rsidR="00477EEA" w:rsidRPr="00FE313F" w:rsidRDefault="00477EEA" w:rsidP="00504256">
            <w:pPr>
              <w:pStyle w:val="naisf"/>
              <w:spacing w:before="0" w:after="0"/>
              <w:ind w:firstLine="0"/>
              <w:jc w:val="center"/>
              <w:rPr>
                <w:bCs/>
              </w:rPr>
            </w:pPr>
            <w:r w:rsidRPr="00FE313F">
              <w:rPr>
                <w:bCs/>
              </w:rPr>
              <w:t>6</w:t>
            </w:r>
          </w:p>
        </w:tc>
      </w:tr>
      <w:tr w:rsidR="00477EEA" w:rsidRPr="00FE313F" w:rsidTr="00477EEA">
        <w:trPr>
          <w:jc w:val="center"/>
        </w:trPr>
        <w:tc>
          <w:tcPr>
            <w:tcW w:w="2911" w:type="dxa"/>
          </w:tcPr>
          <w:p w:rsidR="00477EEA" w:rsidRPr="00FE313F" w:rsidRDefault="00477EEA" w:rsidP="00504256">
            <w:pPr>
              <w:pStyle w:val="naisf"/>
              <w:spacing w:before="0" w:after="0"/>
              <w:ind w:firstLine="0"/>
              <w:rPr>
                <w:i/>
              </w:rPr>
            </w:pPr>
            <w:r w:rsidRPr="00FE313F">
              <w:t>1. Budžeta ieņēmumi:</w:t>
            </w:r>
          </w:p>
        </w:tc>
        <w:tc>
          <w:tcPr>
            <w:tcW w:w="1331"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7A517F">
            <w:pPr>
              <w:pStyle w:val="naisf"/>
              <w:spacing w:before="0" w:after="0"/>
              <w:ind w:firstLine="0"/>
              <w:rPr>
                <w:i/>
              </w:rPr>
            </w:pPr>
            <w:r w:rsidRPr="00FE313F">
              <w:t>1.1. valsts pamatbudžets, tai skaitā ieņēmumi no maksas pakalpojumiem un citi pašu ieņēmumi</w:t>
            </w:r>
          </w:p>
        </w:tc>
        <w:tc>
          <w:tcPr>
            <w:tcW w:w="1331"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pStyle w:val="naisf"/>
              <w:spacing w:before="0" w:after="0"/>
              <w:ind w:firstLine="0"/>
              <w:rPr>
                <w:i/>
              </w:rPr>
            </w:pPr>
            <w:r w:rsidRPr="00FE313F">
              <w:t>1.2. valsts speciālais budžets</w:t>
            </w:r>
          </w:p>
        </w:tc>
        <w:tc>
          <w:tcPr>
            <w:tcW w:w="1331"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pStyle w:val="naisf"/>
              <w:spacing w:before="0" w:after="0"/>
              <w:ind w:firstLine="0"/>
              <w:rPr>
                <w:i/>
              </w:rPr>
            </w:pPr>
            <w:r w:rsidRPr="00FE313F">
              <w:t>1.3. pašvaldību budžets</w:t>
            </w:r>
          </w:p>
        </w:tc>
        <w:tc>
          <w:tcPr>
            <w:tcW w:w="1331"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2. Budžeta izdevumi:</w:t>
            </w:r>
          </w:p>
        </w:tc>
        <w:tc>
          <w:tcPr>
            <w:tcW w:w="1331"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2.1. valsts pamatbudžets</w:t>
            </w:r>
          </w:p>
        </w:tc>
        <w:tc>
          <w:tcPr>
            <w:tcW w:w="1331"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2.2. valsts speciālais budžets</w:t>
            </w:r>
          </w:p>
        </w:tc>
        <w:tc>
          <w:tcPr>
            <w:tcW w:w="1331"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 xml:space="preserve">2.3. pašvaldību budžets </w:t>
            </w:r>
          </w:p>
        </w:tc>
        <w:tc>
          <w:tcPr>
            <w:tcW w:w="1331"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3. Finansiālā ietekme:</w:t>
            </w:r>
          </w:p>
        </w:tc>
        <w:tc>
          <w:tcPr>
            <w:tcW w:w="1331" w:type="dxa"/>
            <w:shd w:val="clear" w:color="auto" w:fill="auto"/>
            <w:vAlign w:val="center"/>
          </w:tcPr>
          <w:p w:rsidR="00477EEA" w:rsidRPr="00FE313F" w:rsidRDefault="00477EEA" w:rsidP="00504256">
            <w:pPr>
              <w:pStyle w:val="naisf"/>
              <w:spacing w:before="0" w:after="0"/>
              <w:ind w:firstLine="0"/>
              <w:jc w:val="cente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3.1. valsts pamatbudžets</w:t>
            </w:r>
          </w:p>
        </w:tc>
        <w:tc>
          <w:tcPr>
            <w:tcW w:w="1331" w:type="dxa"/>
            <w:shd w:val="clear" w:color="auto" w:fill="auto"/>
          </w:tcPr>
          <w:p w:rsidR="00477EEA" w:rsidRPr="00FE313F" w:rsidRDefault="00477EEA" w:rsidP="00504256">
            <w:pPr>
              <w:pStyle w:val="naisf"/>
              <w:spacing w:before="0" w:after="0"/>
              <w:ind w:firstLine="0"/>
              <w:rPr>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3.2. speciālais budžets</w:t>
            </w:r>
          </w:p>
        </w:tc>
        <w:tc>
          <w:tcPr>
            <w:tcW w:w="1331" w:type="dxa"/>
            <w:shd w:val="clear" w:color="auto" w:fill="auto"/>
          </w:tcPr>
          <w:p w:rsidR="00477EEA" w:rsidRPr="00FE313F" w:rsidRDefault="00477EEA" w:rsidP="00504256">
            <w:pPr>
              <w:pStyle w:val="naisf"/>
              <w:spacing w:before="0" w:after="0"/>
              <w:ind w:firstLine="0"/>
              <w:rPr>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 xml:space="preserve">3.3. pašvaldību budžets </w:t>
            </w:r>
          </w:p>
        </w:tc>
        <w:tc>
          <w:tcPr>
            <w:tcW w:w="1331" w:type="dxa"/>
            <w:shd w:val="clear" w:color="auto" w:fill="auto"/>
          </w:tcPr>
          <w:p w:rsidR="00477EEA" w:rsidRPr="00FE313F" w:rsidRDefault="00477EEA" w:rsidP="00504256">
            <w:pPr>
              <w:pStyle w:val="naisf"/>
              <w:spacing w:before="0" w:after="0"/>
              <w:ind w:firstLine="0"/>
              <w:rPr>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vMerge w:val="restart"/>
          </w:tcPr>
          <w:p w:rsidR="00477EEA" w:rsidRPr="00FE313F" w:rsidRDefault="00477EEA" w:rsidP="00504256">
            <w:pPr>
              <w:jc w:val="both"/>
            </w:pPr>
            <w:r w:rsidRPr="00FE313F">
              <w:t>4. Finanšu līdzekļi papildu izde</w:t>
            </w:r>
            <w:r w:rsidRPr="00FE313F">
              <w:softHyphen/>
              <w:t>vumu finansēšanai (kompensējošu izdevumu samazinājumu norāda ar "+" zīmi)</w:t>
            </w:r>
          </w:p>
        </w:tc>
        <w:tc>
          <w:tcPr>
            <w:tcW w:w="1331" w:type="dxa"/>
            <w:vMerge w:val="restart"/>
          </w:tcPr>
          <w:p w:rsidR="00477EEA" w:rsidRPr="00FE313F" w:rsidRDefault="00477EEA" w:rsidP="00504256">
            <w:pPr>
              <w:pStyle w:val="naisf"/>
              <w:spacing w:before="0" w:after="0"/>
              <w:ind w:firstLine="0"/>
              <w:jc w:val="center"/>
              <w:rPr>
                <w:i/>
              </w:rPr>
            </w:pPr>
            <w:r w:rsidRPr="00FE313F">
              <w:t>X</w:t>
            </w:r>
          </w:p>
        </w:tc>
        <w:tc>
          <w:tcPr>
            <w:tcW w:w="1354" w:type="dxa"/>
          </w:tcPr>
          <w:p w:rsidR="00477EEA" w:rsidRPr="00FE313F" w:rsidRDefault="00477EEA" w:rsidP="00504256">
            <w:pPr>
              <w:pStyle w:val="naisf"/>
              <w:spacing w:before="0" w:after="0"/>
              <w:ind w:firstLine="0"/>
              <w:jc w:val="left"/>
              <w:rPr>
                <w:b/>
                <w:i/>
              </w:rPr>
            </w:pPr>
          </w:p>
        </w:tc>
        <w:tc>
          <w:tcPr>
            <w:tcW w:w="1354" w:type="dxa"/>
          </w:tcPr>
          <w:p w:rsidR="00477EEA" w:rsidRPr="00FE313F" w:rsidRDefault="00477EEA" w:rsidP="00504256">
            <w:pPr>
              <w:pStyle w:val="naisf"/>
              <w:spacing w:before="0" w:after="0"/>
              <w:ind w:firstLine="0"/>
              <w:jc w:val="left"/>
              <w:rPr>
                <w:b/>
                <w:i/>
              </w:rPr>
            </w:pPr>
          </w:p>
        </w:tc>
        <w:tc>
          <w:tcPr>
            <w:tcW w:w="1355" w:type="dxa"/>
          </w:tcPr>
          <w:p w:rsidR="00477EEA" w:rsidRPr="00FE313F" w:rsidRDefault="00477EEA" w:rsidP="00504256">
            <w:pPr>
              <w:pStyle w:val="naisf"/>
              <w:spacing w:before="0" w:after="0"/>
              <w:ind w:firstLine="0"/>
              <w:jc w:val="left"/>
              <w:rPr>
                <w:b/>
                <w:i/>
              </w:rPr>
            </w:pPr>
          </w:p>
        </w:tc>
        <w:tc>
          <w:tcPr>
            <w:tcW w:w="1296" w:type="dxa"/>
          </w:tcPr>
          <w:p w:rsidR="00477EEA" w:rsidRPr="00FE313F" w:rsidRDefault="00477EEA" w:rsidP="00504256">
            <w:pPr>
              <w:pStyle w:val="naisf"/>
              <w:spacing w:before="0" w:after="0"/>
              <w:ind w:firstLine="0"/>
              <w:jc w:val="left"/>
              <w:rPr>
                <w:b/>
                <w:i/>
              </w:rPr>
            </w:pPr>
          </w:p>
        </w:tc>
      </w:tr>
      <w:tr w:rsidR="00477EEA" w:rsidRPr="00FE313F" w:rsidTr="00477EEA">
        <w:trPr>
          <w:jc w:val="center"/>
        </w:trPr>
        <w:tc>
          <w:tcPr>
            <w:tcW w:w="2911" w:type="dxa"/>
            <w:vMerge/>
          </w:tcPr>
          <w:p w:rsidR="00477EEA" w:rsidRPr="00FE313F" w:rsidRDefault="00477EEA" w:rsidP="00504256">
            <w:pPr>
              <w:jc w:val="both"/>
            </w:pPr>
          </w:p>
        </w:tc>
        <w:tc>
          <w:tcPr>
            <w:tcW w:w="1331" w:type="dxa"/>
            <w:vMerge/>
          </w:tcPr>
          <w:p w:rsidR="00477EEA" w:rsidRPr="00FE313F" w:rsidRDefault="00477EEA" w:rsidP="00504256">
            <w:pPr>
              <w:pStyle w:val="naisf"/>
              <w:spacing w:before="0" w:after="0"/>
              <w:ind w:firstLine="0"/>
              <w:jc w:val="center"/>
              <w:rPr>
                <w:i/>
              </w:rPr>
            </w:pPr>
          </w:p>
        </w:tc>
        <w:tc>
          <w:tcPr>
            <w:tcW w:w="1354" w:type="dxa"/>
          </w:tcPr>
          <w:p w:rsidR="00477EEA" w:rsidRPr="00FE313F" w:rsidRDefault="00477EEA" w:rsidP="00504256">
            <w:pPr>
              <w:pStyle w:val="naisf"/>
              <w:spacing w:before="0" w:after="0"/>
              <w:ind w:firstLine="0"/>
              <w:jc w:val="left"/>
              <w:rPr>
                <w:b/>
                <w:i/>
              </w:rPr>
            </w:pPr>
          </w:p>
        </w:tc>
        <w:tc>
          <w:tcPr>
            <w:tcW w:w="1354" w:type="dxa"/>
          </w:tcPr>
          <w:p w:rsidR="00477EEA" w:rsidRPr="00FE313F" w:rsidRDefault="00477EEA" w:rsidP="00504256">
            <w:pPr>
              <w:pStyle w:val="naisf"/>
              <w:spacing w:before="0" w:after="0"/>
              <w:ind w:firstLine="0"/>
              <w:jc w:val="left"/>
              <w:rPr>
                <w:b/>
                <w:i/>
              </w:rPr>
            </w:pPr>
          </w:p>
        </w:tc>
        <w:tc>
          <w:tcPr>
            <w:tcW w:w="1355" w:type="dxa"/>
          </w:tcPr>
          <w:p w:rsidR="00477EEA" w:rsidRPr="00FE313F" w:rsidRDefault="00477EEA" w:rsidP="00504256">
            <w:pPr>
              <w:pStyle w:val="naisf"/>
              <w:spacing w:before="0" w:after="0"/>
              <w:ind w:firstLine="0"/>
              <w:jc w:val="left"/>
              <w:rPr>
                <w:b/>
                <w:i/>
              </w:rPr>
            </w:pPr>
          </w:p>
        </w:tc>
        <w:tc>
          <w:tcPr>
            <w:tcW w:w="1296" w:type="dxa"/>
          </w:tcPr>
          <w:p w:rsidR="00477EEA" w:rsidRPr="00FE313F" w:rsidRDefault="00477EEA" w:rsidP="00504256">
            <w:pPr>
              <w:pStyle w:val="naisf"/>
              <w:spacing w:before="0" w:after="0"/>
              <w:ind w:firstLine="0"/>
              <w:jc w:val="left"/>
              <w:rPr>
                <w:b/>
                <w:i/>
              </w:rPr>
            </w:pPr>
          </w:p>
        </w:tc>
      </w:tr>
      <w:tr w:rsidR="00477EEA" w:rsidRPr="00FE313F" w:rsidTr="00477EEA">
        <w:trPr>
          <w:jc w:val="center"/>
        </w:trPr>
        <w:tc>
          <w:tcPr>
            <w:tcW w:w="2911" w:type="dxa"/>
            <w:vMerge/>
          </w:tcPr>
          <w:p w:rsidR="00477EEA" w:rsidRPr="00FE313F" w:rsidRDefault="00477EEA" w:rsidP="00504256">
            <w:pPr>
              <w:jc w:val="both"/>
            </w:pPr>
          </w:p>
        </w:tc>
        <w:tc>
          <w:tcPr>
            <w:tcW w:w="1331" w:type="dxa"/>
            <w:vMerge/>
          </w:tcPr>
          <w:p w:rsidR="00477EEA" w:rsidRPr="00FE313F" w:rsidRDefault="00477EEA" w:rsidP="00504256">
            <w:pPr>
              <w:pStyle w:val="naisf"/>
              <w:spacing w:before="0" w:after="0"/>
              <w:ind w:firstLine="0"/>
              <w:jc w:val="center"/>
              <w:rPr>
                <w:i/>
              </w:rPr>
            </w:pPr>
          </w:p>
        </w:tc>
        <w:tc>
          <w:tcPr>
            <w:tcW w:w="1354" w:type="dxa"/>
          </w:tcPr>
          <w:p w:rsidR="00477EEA" w:rsidRPr="00FE313F" w:rsidRDefault="00477EEA" w:rsidP="00504256">
            <w:pPr>
              <w:pStyle w:val="naisf"/>
              <w:spacing w:before="0" w:after="0"/>
              <w:ind w:firstLine="0"/>
              <w:jc w:val="left"/>
              <w:rPr>
                <w:b/>
                <w:i/>
              </w:rPr>
            </w:pPr>
          </w:p>
        </w:tc>
        <w:tc>
          <w:tcPr>
            <w:tcW w:w="1354" w:type="dxa"/>
          </w:tcPr>
          <w:p w:rsidR="00477EEA" w:rsidRPr="00FE313F" w:rsidRDefault="00477EEA" w:rsidP="00504256">
            <w:pPr>
              <w:pStyle w:val="naisf"/>
              <w:spacing w:before="0" w:after="0"/>
              <w:ind w:firstLine="0"/>
              <w:jc w:val="left"/>
              <w:rPr>
                <w:b/>
                <w:i/>
              </w:rPr>
            </w:pPr>
          </w:p>
        </w:tc>
        <w:tc>
          <w:tcPr>
            <w:tcW w:w="1355" w:type="dxa"/>
          </w:tcPr>
          <w:p w:rsidR="00477EEA" w:rsidRPr="00FE313F" w:rsidRDefault="00477EEA" w:rsidP="00504256">
            <w:pPr>
              <w:pStyle w:val="naisf"/>
              <w:spacing w:before="0" w:after="0"/>
              <w:ind w:firstLine="0"/>
              <w:jc w:val="left"/>
              <w:rPr>
                <w:b/>
                <w:i/>
              </w:rPr>
            </w:pPr>
          </w:p>
        </w:tc>
        <w:tc>
          <w:tcPr>
            <w:tcW w:w="1296" w:type="dxa"/>
          </w:tcPr>
          <w:p w:rsidR="00477EEA" w:rsidRPr="00FE313F" w:rsidRDefault="00477EEA" w:rsidP="00504256">
            <w:pPr>
              <w:pStyle w:val="naisf"/>
              <w:spacing w:before="0" w:after="0"/>
              <w:ind w:firstLine="0"/>
              <w:jc w:val="left"/>
              <w:rPr>
                <w:b/>
                <w:i/>
              </w:rPr>
            </w:pPr>
          </w:p>
        </w:tc>
      </w:tr>
      <w:tr w:rsidR="00477EEA" w:rsidRPr="00FE313F" w:rsidTr="00477EEA">
        <w:trPr>
          <w:jc w:val="center"/>
        </w:trPr>
        <w:tc>
          <w:tcPr>
            <w:tcW w:w="2911" w:type="dxa"/>
          </w:tcPr>
          <w:p w:rsidR="00477EEA" w:rsidRPr="00FE313F" w:rsidRDefault="00477EEA" w:rsidP="00504256">
            <w:pPr>
              <w:jc w:val="both"/>
            </w:pPr>
            <w:r w:rsidRPr="00FE313F">
              <w:lastRenderedPageBreak/>
              <w:t>5. Precizēta finansiālā ietekme:</w:t>
            </w:r>
          </w:p>
        </w:tc>
        <w:tc>
          <w:tcPr>
            <w:tcW w:w="1331" w:type="dxa"/>
            <w:vMerge w:val="restart"/>
          </w:tcPr>
          <w:p w:rsidR="00477EEA" w:rsidRPr="00FE313F" w:rsidRDefault="00477EEA" w:rsidP="00504256">
            <w:pPr>
              <w:pStyle w:val="naisf"/>
              <w:spacing w:before="0" w:after="0"/>
              <w:ind w:firstLine="0"/>
              <w:jc w:val="center"/>
              <w:rPr>
                <w:i/>
              </w:rPr>
            </w:pPr>
            <w:r w:rsidRPr="00FE313F">
              <w:t>X</w:t>
            </w: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5.1. valsts pamatbudžets</w:t>
            </w:r>
          </w:p>
        </w:tc>
        <w:tc>
          <w:tcPr>
            <w:tcW w:w="1331" w:type="dxa"/>
            <w:vMerge/>
            <w:vAlign w:val="center"/>
          </w:tcPr>
          <w:p w:rsidR="00477EEA" w:rsidRPr="00FE313F" w:rsidRDefault="00477EEA" w:rsidP="00504256">
            <w:pPr>
              <w:pStyle w:val="naisf"/>
              <w:spacing w:before="0" w:after="0"/>
              <w:ind w:firstLine="0"/>
              <w:jc w:val="center"/>
              <w:rPr>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5.2. speciālais budžets</w:t>
            </w:r>
          </w:p>
        </w:tc>
        <w:tc>
          <w:tcPr>
            <w:tcW w:w="1331" w:type="dxa"/>
            <w:vMerge/>
            <w:vAlign w:val="center"/>
          </w:tcPr>
          <w:p w:rsidR="00477EEA" w:rsidRPr="00FE313F" w:rsidRDefault="00477EEA" w:rsidP="00504256">
            <w:pPr>
              <w:pStyle w:val="naisf"/>
              <w:spacing w:before="0" w:after="0"/>
              <w:ind w:firstLine="0"/>
              <w:jc w:val="center"/>
              <w:rPr>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 xml:space="preserve">5.3. pašvaldību budžets </w:t>
            </w:r>
          </w:p>
        </w:tc>
        <w:tc>
          <w:tcPr>
            <w:tcW w:w="1331" w:type="dxa"/>
            <w:vMerge/>
            <w:vAlign w:val="center"/>
          </w:tcPr>
          <w:p w:rsidR="00477EEA" w:rsidRPr="00FE313F" w:rsidRDefault="00477EEA" w:rsidP="00504256">
            <w:pPr>
              <w:pStyle w:val="naisf"/>
              <w:spacing w:before="0" w:after="0"/>
              <w:ind w:firstLine="0"/>
              <w:jc w:val="center"/>
              <w:rPr>
                <w:i/>
              </w:rPr>
            </w:pPr>
          </w:p>
        </w:tc>
        <w:tc>
          <w:tcPr>
            <w:tcW w:w="1354" w:type="dxa"/>
          </w:tcPr>
          <w:p w:rsidR="00477EEA" w:rsidRPr="00FE313F" w:rsidRDefault="00477EEA" w:rsidP="00504256">
            <w:pPr>
              <w:pStyle w:val="naisf"/>
              <w:spacing w:before="0" w:after="0"/>
              <w:ind w:firstLine="0"/>
              <w:rPr>
                <w:b/>
                <w:i/>
              </w:rPr>
            </w:pPr>
          </w:p>
        </w:tc>
        <w:tc>
          <w:tcPr>
            <w:tcW w:w="1354" w:type="dxa"/>
          </w:tcPr>
          <w:p w:rsidR="00477EEA" w:rsidRPr="00FE313F" w:rsidRDefault="00477EEA" w:rsidP="00504256">
            <w:pPr>
              <w:pStyle w:val="naisf"/>
              <w:spacing w:before="0" w:after="0"/>
              <w:ind w:firstLine="0"/>
              <w:rPr>
                <w:b/>
                <w:i/>
              </w:rPr>
            </w:pPr>
          </w:p>
        </w:tc>
        <w:tc>
          <w:tcPr>
            <w:tcW w:w="1355" w:type="dxa"/>
          </w:tcPr>
          <w:p w:rsidR="00477EEA" w:rsidRPr="00FE313F" w:rsidRDefault="00477EEA" w:rsidP="00504256">
            <w:pPr>
              <w:pStyle w:val="naisf"/>
              <w:spacing w:before="0" w:after="0"/>
              <w:ind w:firstLine="0"/>
              <w:rPr>
                <w:b/>
                <w:i/>
              </w:rPr>
            </w:pPr>
          </w:p>
        </w:tc>
        <w:tc>
          <w:tcPr>
            <w:tcW w:w="1296" w:type="dxa"/>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6. Detalizēts ieņēmumu un izdevu</w:t>
            </w:r>
            <w:r w:rsidRPr="00FE313F">
              <w:softHyphen/>
              <w:t>mu aprēķins (ja nepieciešams, detalizētu ieņēmumu un izdevumu aprēķinu var pievienot anotācijas pielikumā):</w:t>
            </w:r>
          </w:p>
        </w:tc>
        <w:tc>
          <w:tcPr>
            <w:tcW w:w="6690" w:type="dxa"/>
            <w:gridSpan w:val="5"/>
            <w:vMerge w:val="restart"/>
            <w:vAlign w:val="center"/>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6.1. detalizēts ieņēmumu aprēķins</w:t>
            </w:r>
          </w:p>
        </w:tc>
        <w:tc>
          <w:tcPr>
            <w:tcW w:w="6690" w:type="dxa"/>
            <w:gridSpan w:val="5"/>
            <w:vMerge/>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6.2. detalizēts izdevumu aprēķins</w:t>
            </w:r>
          </w:p>
        </w:tc>
        <w:tc>
          <w:tcPr>
            <w:tcW w:w="6690" w:type="dxa"/>
            <w:gridSpan w:val="5"/>
            <w:vMerge/>
          </w:tcPr>
          <w:p w:rsidR="00477EEA" w:rsidRPr="00FE313F" w:rsidRDefault="00477EEA" w:rsidP="00504256">
            <w:pPr>
              <w:pStyle w:val="naisf"/>
              <w:spacing w:before="0" w:after="0"/>
              <w:ind w:firstLine="0"/>
              <w:rPr>
                <w:b/>
                <w:i/>
              </w:rPr>
            </w:pPr>
          </w:p>
        </w:tc>
      </w:tr>
      <w:tr w:rsidR="00477EEA" w:rsidRPr="00FE313F" w:rsidTr="00477EEA">
        <w:trPr>
          <w:jc w:val="center"/>
        </w:trPr>
        <w:tc>
          <w:tcPr>
            <w:tcW w:w="2911" w:type="dxa"/>
          </w:tcPr>
          <w:p w:rsidR="00477EEA" w:rsidRPr="00FE313F" w:rsidRDefault="00477EEA" w:rsidP="00504256">
            <w:pPr>
              <w:jc w:val="both"/>
            </w:pPr>
            <w:r w:rsidRPr="00FE313F">
              <w:t>7. Cita informācija</w:t>
            </w:r>
          </w:p>
        </w:tc>
        <w:tc>
          <w:tcPr>
            <w:tcW w:w="6690" w:type="dxa"/>
            <w:gridSpan w:val="5"/>
          </w:tcPr>
          <w:p w:rsidR="00477EEA" w:rsidRPr="00FE313F" w:rsidRDefault="00477EEA" w:rsidP="00504256">
            <w:pPr>
              <w:pStyle w:val="naisf"/>
              <w:tabs>
                <w:tab w:val="left" w:pos="4644"/>
              </w:tabs>
              <w:spacing w:before="0" w:after="0"/>
              <w:ind w:firstLine="0"/>
            </w:pPr>
            <w:r>
              <w:t>Grozījumu ietekmi (iespējamo ieņēmumu samazinājumu vai izdevumu palielinājumu), iespējams segt, nemainot attiecīgajās budžeta programmās vai apakšprogrammās finansējuma sadalījumu pa ieņēmumu, izdevumu vai fina</w:t>
            </w:r>
            <w:r w:rsidR="00504256">
              <w:t xml:space="preserve">nsēšanas klasifikācijas kodiem </w:t>
            </w:r>
            <w:proofErr w:type="gramStart"/>
            <w:r w:rsidR="00504256" w:rsidRPr="007F34E2">
              <w:t>(</w:t>
            </w:r>
            <w:proofErr w:type="gramEnd"/>
            <w:r w:rsidR="00504256" w:rsidRPr="007F34E2">
              <w:t>skat. Excel pielikumu ar aprēķiniem, datne</w:t>
            </w:r>
            <w:proofErr w:type="gramStart"/>
            <w:r w:rsidR="00504256" w:rsidRPr="007F34E2">
              <w:t xml:space="preserve">  </w:t>
            </w:r>
            <w:proofErr w:type="gramEnd"/>
            <w:r w:rsidR="00504256">
              <w:t>VARAMAnotp1_2407</w:t>
            </w:r>
            <w:r w:rsidR="00504256" w:rsidRPr="008054AA">
              <w:t>13_</w:t>
            </w:r>
            <w:r w:rsidR="00504256">
              <w:t>DRN</w:t>
            </w:r>
            <w:r w:rsidR="00504256" w:rsidRPr="007F34E2">
              <w:t>).</w:t>
            </w:r>
          </w:p>
        </w:tc>
      </w:tr>
    </w:tbl>
    <w:p w:rsidR="00477EEA" w:rsidRDefault="00477EEA" w:rsidP="006C1F22">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6C1F22" w:rsidRPr="00AB7622" w:rsidTr="00504256">
        <w:tc>
          <w:tcPr>
            <w:tcW w:w="5000" w:type="pct"/>
            <w:tcBorders>
              <w:top w:val="single" w:sz="4" w:space="0" w:color="auto"/>
              <w:left w:val="single" w:sz="4" w:space="0" w:color="auto"/>
              <w:bottom w:val="outset" w:sz="6" w:space="0" w:color="000000"/>
              <w:right w:val="single" w:sz="4" w:space="0" w:color="auto"/>
            </w:tcBorders>
            <w:vAlign w:val="center"/>
          </w:tcPr>
          <w:p w:rsidR="006C1F22" w:rsidRPr="00AB7622" w:rsidRDefault="006C1F22" w:rsidP="00504256">
            <w:pPr>
              <w:spacing w:before="100" w:beforeAutospacing="1" w:after="100" w:afterAutospacing="1"/>
              <w:jc w:val="center"/>
              <w:rPr>
                <w:b/>
                <w:bCs/>
              </w:rPr>
            </w:pPr>
            <w:r w:rsidRPr="00AB7622">
              <w:rPr>
                <w:b/>
                <w:bCs/>
              </w:rPr>
              <w:t>I</w:t>
            </w:r>
            <w:r>
              <w:rPr>
                <w:b/>
                <w:bCs/>
              </w:rPr>
              <w:t>V</w:t>
            </w:r>
            <w:r w:rsidRPr="00AB7622">
              <w:rPr>
                <w:b/>
                <w:bCs/>
              </w:rPr>
              <w:t xml:space="preserve">. </w:t>
            </w:r>
            <w:r w:rsidRPr="00B40F0C">
              <w:rPr>
                <w:b/>
                <w:bCs/>
              </w:rPr>
              <w:t>Tiesību akta projekta ietekme uz spēkā esošo tiesību normu sistēmu</w:t>
            </w:r>
          </w:p>
        </w:tc>
      </w:tr>
      <w:tr w:rsidR="006C1F22" w:rsidRPr="00182490" w:rsidTr="00504256">
        <w:tc>
          <w:tcPr>
            <w:tcW w:w="5000" w:type="pct"/>
            <w:tcBorders>
              <w:top w:val="outset" w:sz="6" w:space="0" w:color="000000"/>
              <w:left w:val="outset" w:sz="6" w:space="0" w:color="000000"/>
              <w:bottom w:val="outset" w:sz="6" w:space="0" w:color="000000"/>
              <w:right w:val="outset" w:sz="6" w:space="0" w:color="000000"/>
            </w:tcBorders>
          </w:tcPr>
          <w:p w:rsidR="006C1F22" w:rsidRDefault="006C1F22" w:rsidP="00504256">
            <w:pPr>
              <w:pStyle w:val="Default"/>
              <w:ind w:left="169"/>
              <w:jc w:val="center"/>
              <w:rPr>
                <w:sz w:val="23"/>
                <w:szCs w:val="23"/>
              </w:rPr>
            </w:pPr>
            <w:r>
              <w:t>Projekts šo jomu neskar.</w:t>
            </w:r>
          </w:p>
        </w:tc>
      </w:tr>
    </w:tbl>
    <w:p w:rsidR="006C1F22" w:rsidRDefault="006C1F22" w:rsidP="006C1F22">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6C1F22" w:rsidRPr="00AB7622" w:rsidTr="00504256">
        <w:tc>
          <w:tcPr>
            <w:tcW w:w="5000" w:type="pct"/>
            <w:tcBorders>
              <w:top w:val="single" w:sz="4" w:space="0" w:color="auto"/>
              <w:left w:val="single" w:sz="4" w:space="0" w:color="auto"/>
              <w:bottom w:val="outset" w:sz="6" w:space="0" w:color="000000"/>
              <w:right w:val="single" w:sz="4" w:space="0" w:color="auto"/>
            </w:tcBorders>
            <w:vAlign w:val="center"/>
          </w:tcPr>
          <w:p w:rsidR="006C1F22" w:rsidRPr="00AB7622" w:rsidRDefault="006C1F22" w:rsidP="00504256">
            <w:pPr>
              <w:spacing w:before="100" w:beforeAutospacing="1" w:after="100" w:afterAutospacing="1"/>
              <w:jc w:val="center"/>
              <w:rPr>
                <w:b/>
                <w:bCs/>
              </w:rPr>
            </w:pPr>
            <w:r>
              <w:rPr>
                <w:b/>
                <w:bCs/>
              </w:rPr>
              <w:t>V</w:t>
            </w:r>
            <w:r w:rsidRPr="00AB7622">
              <w:rPr>
                <w:b/>
                <w:bCs/>
              </w:rPr>
              <w:t xml:space="preserve">. </w:t>
            </w:r>
            <w:r w:rsidRPr="00B40F0C">
              <w:rPr>
                <w:b/>
                <w:bCs/>
              </w:rPr>
              <w:t>Tiesību akta projekta atbilstība Latvijas Republikas starptautiskajām saistībām</w:t>
            </w:r>
          </w:p>
        </w:tc>
      </w:tr>
      <w:tr w:rsidR="006C1F22" w:rsidRPr="00182490" w:rsidTr="00504256">
        <w:tc>
          <w:tcPr>
            <w:tcW w:w="5000" w:type="pct"/>
            <w:tcBorders>
              <w:top w:val="outset" w:sz="6" w:space="0" w:color="000000"/>
              <w:left w:val="outset" w:sz="6" w:space="0" w:color="000000"/>
              <w:bottom w:val="outset" w:sz="6" w:space="0" w:color="000000"/>
              <w:right w:val="outset" w:sz="6" w:space="0" w:color="000000"/>
            </w:tcBorders>
          </w:tcPr>
          <w:p w:rsidR="006C1F22" w:rsidRDefault="006C1F22" w:rsidP="00504256">
            <w:pPr>
              <w:pStyle w:val="Default"/>
              <w:ind w:left="169"/>
              <w:jc w:val="center"/>
              <w:rPr>
                <w:sz w:val="23"/>
                <w:szCs w:val="23"/>
              </w:rPr>
            </w:pPr>
            <w:r>
              <w:t>Projekts šo jomu neskar.</w:t>
            </w:r>
          </w:p>
        </w:tc>
      </w:tr>
    </w:tbl>
    <w:p w:rsidR="006C1F22" w:rsidRDefault="006C1F22" w:rsidP="006C1F22">
      <w:pPr>
        <w:jc w:val="center"/>
        <w:rPr>
          <w:b/>
          <w:bCs/>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6C1F22" w:rsidRPr="00AB7622" w:rsidTr="00504256">
        <w:tc>
          <w:tcPr>
            <w:tcW w:w="5000" w:type="pct"/>
            <w:tcBorders>
              <w:top w:val="single" w:sz="4" w:space="0" w:color="auto"/>
              <w:left w:val="single" w:sz="4" w:space="0" w:color="auto"/>
              <w:bottom w:val="outset" w:sz="6" w:space="0" w:color="000000"/>
              <w:right w:val="single" w:sz="4" w:space="0" w:color="auto"/>
            </w:tcBorders>
            <w:vAlign w:val="center"/>
          </w:tcPr>
          <w:p w:rsidR="006C1F22" w:rsidRDefault="006C1F22" w:rsidP="00504256">
            <w:pPr>
              <w:jc w:val="center"/>
              <w:rPr>
                <w:b/>
                <w:bCs/>
              </w:rPr>
            </w:pPr>
            <w:r>
              <w:rPr>
                <w:b/>
                <w:bCs/>
              </w:rPr>
              <w:t>VI</w:t>
            </w:r>
            <w:r w:rsidRPr="00AB7622">
              <w:rPr>
                <w:b/>
                <w:bCs/>
              </w:rPr>
              <w:t xml:space="preserve">. </w:t>
            </w:r>
            <w:r w:rsidRPr="00B40F0C">
              <w:rPr>
                <w:b/>
                <w:bCs/>
              </w:rPr>
              <w:t>Sabiedrības līdzdalība un šīs līdzdalības rezultāti</w:t>
            </w:r>
          </w:p>
        </w:tc>
      </w:tr>
      <w:tr w:rsidR="006C1F22" w:rsidRPr="00182490" w:rsidTr="00504256">
        <w:tc>
          <w:tcPr>
            <w:tcW w:w="5000" w:type="pct"/>
            <w:tcBorders>
              <w:top w:val="outset" w:sz="6" w:space="0" w:color="000000"/>
              <w:left w:val="outset" w:sz="6" w:space="0" w:color="000000"/>
              <w:bottom w:val="outset" w:sz="6" w:space="0" w:color="000000"/>
              <w:right w:val="outset" w:sz="6" w:space="0" w:color="000000"/>
            </w:tcBorders>
          </w:tcPr>
          <w:p w:rsidR="006C1F22" w:rsidRDefault="006C1F22" w:rsidP="00504256">
            <w:pPr>
              <w:pStyle w:val="Default"/>
              <w:ind w:left="169"/>
              <w:jc w:val="center"/>
              <w:rPr>
                <w:sz w:val="23"/>
                <w:szCs w:val="23"/>
              </w:rPr>
            </w:pPr>
            <w:r>
              <w:t>Projekts šo jomu neskar.</w:t>
            </w:r>
          </w:p>
        </w:tc>
      </w:tr>
    </w:tbl>
    <w:p w:rsidR="006C1F22" w:rsidRDefault="006C1F22" w:rsidP="006C1F22">
      <w:pPr>
        <w:jc w:val="center"/>
        <w:rPr>
          <w:b/>
          <w:bCs/>
          <w:sz w:val="28"/>
          <w:szCs w:val="28"/>
          <w:u w:val="single"/>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6C1F22" w:rsidRPr="00AB7622" w:rsidTr="00504256">
        <w:tc>
          <w:tcPr>
            <w:tcW w:w="5000" w:type="pct"/>
            <w:tcBorders>
              <w:top w:val="single" w:sz="4" w:space="0" w:color="auto"/>
              <w:left w:val="single" w:sz="4" w:space="0" w:color="auto"/>
              <w:bottom w:val="outset" w:sz="6" w:space="0" w:color="000000"/>
              <w:right w:val="single" w:sz="4" w:space="0" w:color="auto"/>
            </w:tcBorders>
            <w:vAlign w:val="center"/>
          </w:tcPr>
          <w:p w:rsidR="006C1F22" w:rsidRPr="00AB7622" w:rsidRDefault="006C1F22" w:rsidP="00504256">
            <w:pPr>
              <w:spacing w:before="100" w:beforeAutospacing="1" w:after="100" w:afterAutospacing="1"/>
              <w:jc w:val="center"/>
              <w:rPr>
                <w:b/>
                <w:bCs/>
              </w:rPr>
            </w:pPr>
            <w:r>
              <w:rPr>
                <w:b/>
                <w:bCs/>
              </w:rPr>
              <w:t>VII</w:t>
            </w:r>
            <w:r w:rsidRPr="00AB7622">
              <w:rPr>
                <w:b/>
                <w:bCs/>
              </w:rPr>
              <w:t xml:space="preserve">. </w:t>
            </w:r>
            <w:r w:rsidRPr="00B40F0C">
              <w:rPr>
                <w:b/>
                <w:bCs/>
              </w:rPr>
              <w:t>Tiesību akta projekta izpildes nodrošināšana un tās ietekme uz institūcijām</w:t>
            </w:r>
          </w:p>
        </w:tc>
      </w:tr>
      <w:tr w:rsidR="006C1F22" w:rsidRPr="00182490" w:rsidTr="00504256">
        <w:tc>
          <w:tcPr>
            <w:tcW w:w="5000" w:type="pct"/>
            <w:tcBorders>
              <w:top w:val="outset" w:sz="6" w:space="0" w:color="000000"/>
              <w:left w:val="outset" w:sz="6" w:space="0" w:color="000000"/>
              <w:bottom w:val="outset" w:sz="6" w:space="0" w:color="000000"/>
              <w:right w:val="outset" w:sz="6" w:space="0" w:color="000000"/>
            </w:tcBorders>
          </w:tcPr>
          <w:p w:rsidR="006C1F22" w:rsidRDefault="006C1F22" w:rsidP="00504256">
            <w:pPr>
              <w:pStyle w:val="Default"/>
              <w:ind w:left="169"/>
              <w:jc w:val="center"/>
              <w:rPr>
                <w:sz w:val="23"/>
                <w:szCs w:val="23"/>
              </w:rPr>
            </w:pPr>
            <w:r>
              <w:t>Projekts šo jomu neskar.</w:t>
            </w:r>
          </w:p>
        </w:tc>
      </w:tr>
    </w:tbl>
    <w:p w:rsidR="006C1F22" w:rsidRDefault="006C1F22" w:rsidP="006C1F22">
      <w:pPr>
        <w:rPr>
          <w:sz w:val="28"/>
          <w:szCs w:val="28"/>
        </w:rPr>
      </w:pPr>
    </w:p>
    <w:p w:rsidR="00252190" w:rsidRPr="00CB04E2" w:rsidRDefault="00504256" w:rsidP="00252190">
      <w:pPr>
        <w:tabs>
          <w:tab w:val="left" w:pos="6804"/>
        </w:tabs>
        <w:rPr>
          <w:color w:val="000000"/>
          <w:sz w:val="26"/>
          <w:szCs w:val="26"/>
        </w:rPr>
      </w:pPr>
      <w:r>
        <w:rPr>
          <w:color w:val="000000"/>
          <w:sz w:val="26"/>
          <w:szCs w:val="26"/>
        </w:rPr>
        <w:t>V</w:t>
      </w:r>
      <w:r w:rsidR="00252190" w:rsidRPr="00CB04E2">
        <w:rPr>
          <w:color w:val="000000"/>
          <w:sz w:val="26"/>
          <w:szCs w:val="26"/>
        </w:rPr>
        <w:t xml:space="preserve">ides aizsardzības un </w:t>
      </w:r>
    </w:p>
    <w:p w:rsidR="00252190" w:rsidRPr="00CB04E2" w:rsidRDefault="00252190" w:rsidP="00252190">
      <w:pPr>
        <w:tabs>
          <w:tab w:val="left" w:pos="6804"/>
        </w:tabs>
        <w:rPr>
          <w:color w:val="000000"/>
          <w:sz w:val="26"/>
          <w:szCs w:val="26"/>
        </w:rPr>
      </w:pPr>
      <w:r>
        <w:rPr>
          <w:color w:val="000000"/>
          <w:sz w:val="26"/>
          <w:szCs w:val="26"/>
        </w:rPr>
        <w:t>reģionālās attīstības ministrs</w:t>
      </w:r>
      <w:r>
        <w:rPr>
          <w:color w:val="000000"/>
          <w:sz w:val="26"/>
          <w:szCs w:val="26"/>
        </w:rPr>
        <w:tab/>
      </w:r>
      <w:proofErr w:type="spellStart"/>
      <w:r>
        <w:rPr>
          <w:color w:val="000000"/>
          <w:sz w:val="26"/>
          <w:szCs w:val="26"/>
        </w:rPr>
        <w:t>E.Sprūdžs</w:t>
      </w:r>
      <w:proofErr w:type="spellEnd"/>
      <w:r w:rsidRPr="00CB04E2">
        <w:rPr>
          <w:color w:val="000000"/>
          <w:sz w:val="26"/>
          <w:szCs w:val="26"/>
        </w:rPr>
        <w:t xml:space="preserve"> </w:t>
      </w:r>
    </w:p>
    <w:p w:rsidR="00252190" w:rsidRDefault="00252190" w:rsidP="00252190">
      <w:pPr>
        <w:tabs>
          <w:tab w:val="left" w:pos="6804"/>
        </w:tabs>
        <w:rPr>
          <w:color w:val="000000"/>
          <w:sz w:val="26"/>
          <w:szCs w:val="26"/>
        </w:rPr>
      </w:pPr>
    </w:p>
    <w:p w:rsidR="00252190" w:rsidRPr="00933172" w:rsidRDefault="00252190" w:rsidP="00252190">
      <w:pPr>
        <w:tabs>
          <w:tab w:val="left" w:pos="6804"/>
        </w:tabs>
        <w:rPr>
          <w:color w:val="000000"/>
          <w:sz w:val="26"/>
          <w:szCs w:val="26"/>
        </w:rPr>
      </w:pPr>
    </w:p>
    <w:p w:rsidR="00252190" w:rsidRPr="001978A2" w:rsidRDefault="00252190" w:rsidP="00252190">
      <w:pPr>
        <w:tabs>
          <w:tab w:val="left" w:pos="6804"/>
        </w:tabs>
        <w:rPr>
          <w:color w:val="000000"/>
          <w:sz w:val="26"/>
          <w:szCs w:val="26"/>
        </w:rPr>
      </w:pPr>
      <w:r w:rsidRPr="001978A2">
        <w:rPr>
          <w:color w:val="000000"/>
          <w:sz w:val="26"/>
          <w:szCs w:val="26"/>
        </w:rPr>
        <w:t xml:space="preserve">Vīza: </w:t>
      </w:r>
    </w:p>
    <w:p w:rsidR="0063747B" w:rsidRDefault="007E0480" w:rsidP="00252190">
      <w:pPr>
        <w:tabs>
          <w:tab w:val="left" w:pos="6804"/>
        </w:tabs>
        <w:rPr>
          <w:color w:val="000000"/>
          <w:sz w:val="26"/>
          <w:szCs w:val="26"/>
        </w:rPr>
      </w:pPr>
      <w:r>
        <w:rPr>
          <w:color w:val="000000"/>
          <w:sz w:val="26"/>
          <w:szCs w:val="26"/>
        </w:rPr>
        <w:t>v</w:t>
      </w:r>
      <w:r w:rsidR="0063747B">
        <w:rPr>
          <w:color w:val="000000"/>
          <w:sz w:val="26"/>
          <w:szCs w:val="26"/>
        </w:rPr>
        <w:t xml:space="preserve">alsts sekretāra </w:t>
      </w:r>
      <w:proofErr w:type="spellStart"/>
      <w:r w:rsidR="0063747B">
        <w:rPr>
          <w:color w:val="000000"/>
          <w:sz w:val="26"/>
          <w:szCs w:val="26"/>
        </w:rPr>
        <w:t>p.i</w:t>
      </w:r>
      <w:proofErr w:type="spellEnd"/>
      <w:r w:rsidR="0063747B">
        <w:rPr>
          <w:color w:val="000000"/>
          <w:sz w:val="26"/>
          <w:szCs w:val="26"/>
        </w:rPr>
        <w:t>.,</w:t>
      </w:r>
    </w:p>
    <w:p w:rsidR="00252190" w:rsidRPr="00CA5057" w:rsidRDefault="0063747B" w:rsidP="00252190">
      <w:pPr>
        <w:tabs>
          <w:tab w:val="left" w:pos="6804"/>
        </w:tabs>
        <w:rPr>
          <w:color w:val="000000"/>
          <w:sz w:val="26"/>
          <w:szCs w:val="26"/>
        </w:rPr>
      </w:pPr>
      <w:r>
        <w:rPr>
          <w:color w:val="000000"/>
          <w:sz w:val="26"/>
          <w:szCs w:val="26"/>
        </w:rPr>
        <w:t>administrācijas vadītājs</w:t>
      </w:r>
      <w:r w:rsidR="00252190" w:rsidRPr="00CA5057">
        <w:rPr>
          <w:color w:val="000000"/>
          <w:sz w:val="26"/>
          <w:szCs w:val="26"/>
        </w:rPr>
        <w:tab/>
      </w:r>
      <w:r>
        <w:rPr>
          <w:color w:val="000000"/>
          <w:sz w:val="26"/>
          <w:szCs w:val="26"/>
        </w:rPr>
        <w:t>G</w:t>
      </w:r>
      <w:r w:rsidR="00252190">
        <w:rPr>
          <w:color w:val="000000"/>
          <w:sz w:val="26"/>
          <w:szCs w:val="26"/>
        </w:rPr>
        <w:t>.</w:t>
      </w:r>
      <w:r>
        <w:rPr>
          <w:color w:val="000000"/>
          <w:sz w:val="26"/>
          <w:szCs w:val="26"/>
        </w:rPr>
        <w:t>Kauliņš</w:t>
      </w:r>
    </w:p>
    <w:p w:rsidR="00252190" w:rsidRDefault="00252190" w:rsidP="00252190">
      <w:pPr>
        <w:pStyle w:val="PlainText"/>
        <w:jc w:val="both"/>
        <w:rPr>
          <w:rFonts w:ascii="Times New Roman" w:hAnsi="Times New Roman" w:cs="Times New Roman"/>
          <w:sz w:val="28"/>
          <w:szCs w:val="28"/>
        </w:rPr>
      </w:pPr>
    </w:p>
    <w:p w:rsidR="00252190" w:rsidRPr="007E3871" w:rsidRDefault="0063747B" w:rsidP="00252190">
      <w:pPr>
        <w:pStyle w:val="PlainText"/>
        <w:jc w:val="both"/>
        <w:rPr>
          <w:rFonts w:ascii="Times New Roman" w:hAnsi="Times New Roman" w:cs="Times New Roman"/>
          <w:sz w:val="22"/>
          <w:szCs w:val="22"/>
        </w:rPr>
      </w:pPr>
      <w:r>
        <w:rPr>
          <w:rFonts w:ascii="Times New Roman" w:hAnsi="Times New Roman" w:cs="Times New Roman"/>
          <w:sz w:val="22"/>
          <w:szCs w:val="22"/>
        </w:rPr>
        <w:t>31</w:t>
      </w:r>
      <w:r w:rsidR="004A2138">
        <w:rPr>
          <w:rFonts w:ascii="Times New Roman" w:hAnsi="Times New Roman" w:cs="Times New Roman"/>
          <w:sz w:val="22"/>
          <w:szCs w:val="22"/>
        </w:rPr>
        <w:t>.07</w:t>
      </w:r>
      <w:r w:rsidR="00252190" w:rsidRPr="007E3871">
        <w:rPr>
          <w:rFonts w:ascii="Times New Roman" w:hAnsi="Times New Roman" w:cs="Times New Roman"/>
          <w:sz w:val="22"/>
          <w:szCs w:val="22"/>
        </w:rPr>
        <w:t>.201</w:t>
      </w:r>
      <w:r w:rsidR="00252190">
        <w:rPr>
          <w:rFonts w:ascii="Times New Roman" w:hAnsi="Times New Roman" w:cs="Times New Roman"/>
          <w:sz w:val="22"/>
          <w:szCs w:val="22"/>
        </w:rPr>
        <w:t>3</w:t>
      </w:r>
      <w:r w:rsidR="00252190" w:rsidRPr="007E3871">
        <w:rPr>
          <w:rFonts w:ascii="Times New Roman" w:hAnsi="Times New Roman" w:cs="Times New Roman"/>
          <w:sz w:val="22"/>
          <w:szCs w:val="22"/>
        </w:rPr>
        <w:t xml:space="preserve"> 1</w:t>
      </w:r>
      <w:r>
        <w:rPr>
          <w:rFonts w:ascii="Times New Roman" w:hAnsi="Times New Roman" w:cs="Times New Roman"/>
          <w:sz w:val="22"/>
          <w:szCs w:val="22"/>
        </w:rPr>
        <w:t>5</w:t>
      </w:r>
      <w:bookmarkStart w:id="2" w:name="_GoBack"/>
      <w:bookmarkEnd w:id="2"/>
      <w:r w:rsidR="00252190" w:rsidRPr="007E3871">
        <w:rPr>
          <w:rFonts w:ascii="Times New Roman" w:hAnsi="Times New Roman" w:cs="Times New Roman"/>
          <w:sz w:val="22"/>
          <w:szCs w:val="22"/>
        </w:rPr>
        <w:t>:</w:t>
      </w:r>
      <w:r w:rsidR="004A2138">
        <w:rPr>
          <w:rFonts w:ascii="Times New Roman" w:hAnsi="Times New Roman" w:cs="Times New Roman"/>
          <w:sz w:val="22"/>
          <w:szCs w:val="22"/>
        </w:rPr>
        <w:t>41</w:t>
      </w:r>
    </w:p>
    <w:p w:rsidR="00252190" w:rsidRDefault="0063747B" w:rsidP="00252190">
      <w:pPr>
        <w:pStyle w:val="PlainText"/>
        <w:jc w:val="both"/>
        <w:rPr>
          <w:rFonts w:ascii="Times New Roman" w:hAnsi="Times New Roman" w:cs="Times New Roman"/>
          <w:sz w:val="22"/>
          <w:szCs w:val="22"/>
        </w:rPr>
      </w:pPr>
      <w:r>
        <w:rPr>
          <w:rFonts w:ascii="Times New Roman" w:hAnsi="Times New Roman" w:cs="Times New Roman"/>
          <w:sz w:val="22"/>
          <w:szCs w:val="22"/>
        </w:rPr>
        <w:t>697</w:t>
      </w:r>
    </w:p>
    <w:p w:rsidR="00252190" w:rsidRPr="00A85CDC" w:rsidRDefault="00252190" w:rsidP="00252190">
      <w:pPr>
        <w:pStyle w:val="PlainText"/>
        <w:jc w:val="both"/>
        <w:rPr>
          <w:rFonts w:ascii="Times New Roman" w:hAnsi="Times New Roman" w:cs="Times New Roman"/>
          <w:sz w:val="22"/>
          <w:szCs w:val="22"/>
        </w:rPr>
      </w:pPr>
      <w:proofErr w:type="spellStart"/>
      <w:r>
        <w:rPr>
          <w:rFonts w:ascii="Times New Roman" w:hAnsi="Times New Roman" w:cs="Times New Roman"/>
          <w:sz w:val="22"/>
          <w:szCs w:val="22"/>
        </w:rPr>
        <w:t>N.Cudečka-Puriņa</w:t>
      </w:r>
      <w:proofErr w:type="spellEnd"/>
    </w:p>
    <w:p w:rsidR="00252190" w:rsidRDefault="00252190" w:rsidP="00252190">
      <w:pPr>
        <w:jc w:val="both"/>
        <w:rPr>
          <w:sz w:val="22"/>
          <w:szCs w:val="22"/>
          <w:lang w:val="nb-NO"/>
        </w:rPr>
      </w:pPr>
      <w:r>
        <w:rPr>
          <w:sz w:val="22"/>
          <w:szCs w:val="22"/>
          <w:lang w:val="nb-NO"/>
        </w:rPr>
        <w:t>67026491</w:t>
      </w:r>
    </w:p>
    <w:p w:rsidR="00504256" w:rsidRPr="00CC22F5" w:rsidRDefault="0063747B" w:rsidP="00CC22F5">
      <w:pPr>
        <w:jc w:val="both"/>
        <w:rPr>
          <w:sz w:val="22"/>
          <w:szCs w:val="22"/>
          <w:lang w:val="nb-NO"/>
        </w:rPr>
      </w:pPr>
      <w:hyperlink r:id="rId8" w:history="1">
        <w:r w:rsidR="00252190" w:rsidRPr="00F45941">
          <w:rPr>
            <w:rStyle w:val="Hyperlink"/>
            <w:sz w:val="22"/>
            <w:szCs w:val="22"/>
            <w:lang w:val="nb-NO"/>
          </w:rPr>
          <w:t>natalija.cudecka-purina@varam.gov.lv</w:t>
        </w:r>
      </w:hyperlink>
      <w:r w:rsidR="00252190">
        <w:rPr>
          <w:sz w:val="22"/>
          <w:szCs w:val="22"/>
          <w:lang w:val="nb-NO"/>
        </w:rPr>
        <w:t xml:space="preserve"> </w:t>
      </w:r>
    </w:p>
    <w:sectPr w:rsidR="00504256" w:rsidRPr="00CC22F5" w:rsidSect="006C04F2">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56" w:rsidRDefault="00504256" w:rsidP="00252190">
      <w:r>
        <w:separator/>
      </w:r>
    </w:p>
  </w:endnote>
  <w:endnote w:type="continuationSeparator" w:id="0">
    <w:p w:rsidR="00504256" w:rsidRDefault="00504256"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56" w:rsidRPr="004A2138" w:rsidRDefault="004A2138" w:rsidP="004A2138">
    <w:pPr>
      <w:pStyle w:val="Footer"/>
      <w:jc w:val="both"/>
    </w:pPr>
    <w:r>
      <w:t>VARAMLik</w:t>
    </w:r>
    <w:r w:rsidRPr="004D3E56">
      <w:t>_</w:t>
    </w:r>
    <w:r>
      <w:t>24</w:t>
    </w:r>
    <w:r w:rsidRPr="00EF6DE9">
      <w:t>0</w:t>
    </w:r>
    <w:r>
      <w:t>7</w:t>
    </w:r>
    <w:r w:rsidRPr="00EF6DE9">
      <w:t>13_</w:t>
    </w:r>
    <w:r>
      <w:t>DRN</w:t>
    </w:r>
    <w:r w:rsidRPr="00EF6DE9">
      <w:t xml:space="preserve">; </w:t>
    </w:r>
    <w:r w:rsidRPr="00F6333D">
      <w:rPr>
        <w:bCs/>
        <w:szCs w:val="28"/>
      </w:rPr>
      <w:t>Likumprojekt</w:t>
    </w:r>
    <w:r>
      <w:rPr>
        <w:bCs/>
        <w:szCs w:val="28"/>
      </w:rPr>
      <w:t>s</w:t>
    </w:r>
    <w:r w:rsidRPr="00F6333D">
      <w:rPr>
        <w:szCs w:val="28"/>
      </w:rPr>
      <w:t xml:space="preserve"> „Grozījumi </w:t>
    </w:r>
    <w:r>
      <w:rPr>
        <w:szCs w:val="28"/>
      </w:rPr>
      <w:t>Dabas resursu nodokļa likumā</w:t>
    </w:r>
    <w:r w:rsidRPr="00F6333D">
      <w:rPr>
        <w:bCs/>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56" w:rsidRPr="004A2138" w:rsidRDefault="004A2138" w:rsidP="004A2138">
    <w:pPr>
      <w:pStyle w:val="Footer"/>
      <w:jc w:val="both"/>
    </w:pPr>
    <w:r>
      <w:t>VARAMLik</w:t>
    </w:r>
    <w:r w:rsidRPr="004D3E56">
      <w:t>_</w:t>
    </w:r>
    <w:r>
      <w:t>24</w:t>
    </w:r>
    <w:r w:rsidRPr="00EF6DE9">
      <w:t>0</w:t>
    </w:r>
    <w:r>
      <w:t>7</w:t>
    </w:r>
    <w:r w:rsidRPr="00EF6DE9">
      <w:t>13_</w:t>
    </w:r>
    <w:r>
      <w:t>DRN</w:t>
    </w:r>
    <w:r w:rsidRPr="00EF6DE9">
      <w:t xml:space="preserve">; </w:t>
    </w:r>
    <w:r w:rsidRPr="00F6333D">
      <w:rPr>
        <w:bCs/>
        <w:szCs w:val="28"/>
      </w:rPr>
      <w:t>Likumprojekt</w:t>
    </w:r>
    <w:r>
      <w:rPr>
        <w:bCs/>
        <w:szCs w:val="28"/>
      </w:rPr>
      <w:t>s</w:t>
    </w:r>
    <w:r w:rsidRPr="00F6333D">
      <w:rPr>
        <w:szCs w:val="28"/>
      </w:rPr>
      <w:t xml:space="preserve"> „Grozījumi </w:t>
    </w:r>
    <w:r>
      <w:rPr>
        <w:szCs w:val="28"/>
      </w:rPr>
      <w:t>Dabas resursu nodokļa likumā</w:t>
    </w:r>
    <w:r w:rsidRPr="00F6333D">
      <w:rPr>
        <w:bCs/>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56" w:rsidRDefault="00504256" w:rsidP="00252190">
      <w:r>
        <w:separator/>
      </w:r>
    </w:p>
  </w:footnote>
  <w:footnote w:type="continuationSeparator" w:id="0">
    <w:p w:rsidR="00504256" w:rsidRDefault="00504256"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56" w:rsidRDefault="00504256" w:rsidP="00504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256" w:rsidRDefault="00504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56" w:rsidRDefault="00504256" w:rsidP="00504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47B">
      <w:rPr>
        <w:rStyle w:val="PageNumber"/>
        <w:noProof/>
      </w:rPr>
      <w:t>3</w:t>
    </w:r>
    <w:r>
      <w:rPr>
        <w:rStyle w:val="PageNumber"/>
      </w:rPr>
      <w:fldChar w:fldCharType="end"/>
    </w:r>
  </w:p>
  <w:p w:rsidR="00504256" w:rsidRDefault="00504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90"/>
    <w:rsid w:val="000859DB"/>
    <w:rsid w:val="0010505F"/>
    <w:rsid w:val="00151855"/>
    <w:rsid w:val="001849EC"/>
    <w:rsid w:val="001C0D6B"/>
    <w:rsid w:val="001C3181"/>
    <w:rsid w:val="00252190"/>
    <w:rsid w:val="002C013B"/>
    <w:rsid w:val="002D7CA4"/>
    <w:rsid w:val="0031125C"/>
    <w:rsid w:val="00357506"/>
    <w:rsid w:val="003C14E9"/>
    <w:rsid w:val="004144BA"/>
    <w:rsid w:val="00477EEA"/>
    <w:rsid w:val="004A2138"/>
    <w:rsid w:val="00504256"/>
    <w:rsid w:val="0063747B"/>
    <w:rsid w:val="00675B89"/>
    <w:rsid w:val="0068324D"/>
    <w:rsid w:val="006C04F2"/>
    <w:rsid w:val="006C1F22"/>
    <w:rsid w:val="006E303E"/>
    <w:rsid w:val="006E6C43"/>
    <w:rsid w:val="00773384"/>
    <w:rsid w:val="00773BE5"/>
    <w:rsid w:val="007A517F"/>
    <w:rsid w:val="007E0480"/>
    <w:rsid w:val="00950F04"/>
    <w:rsid w:val="0097219A"/>
    <w:rsid w:val="009C7277"/>
    <w:rsid w:val="009D6CF9"/>
    <w:rsid w:val="00AA0364"/>
    <w:rsid w:val="00AA386B"/>
    <w:rsid w:val="00AB5D92"/>
    <w:rsid w:val="00B15C14"/>
    <w:rsid w:val="00BF71B3"/>
    <w:rsid w:val="00C67A32"/>
    <w:rsid w:val="00CC22F5"/>
    <w:rsid w:val="00D2372B"/>
    <w:rsid w:val="00DD6656"/>
    <w:rsid w:val="00F57091"/>
    <w:rsid w:val="00F661CC"/>
    <w:rsid w:val="00F84567"/>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BF71B3"/>
    <w:rPr>
      <w:rFonts w:ascii="Tahoma" w:hAnsi="Tahoma" w:cs="Tahoma"/>
      <w:sz w:val="16"/>
      <w:szCs w:val="16"/>
    </w:rPr>
  </w:style>
  <w:style w:type="character" w:customStyle="1" w:styleId="BalloonTextChar">
    <w:name w:val="Balloon Text Char"/>
    <w:basedOn w:val="DefaultParagraphFont"/>
    <w:link w:val="BalloonText"/>
    <w:uiPriority w:val="99"/>
    <w:semiHidden/>
    <w:rsid w:val="00BF71B3"/>
    <w:rPr>
      <w:rFonts w:ascii="Tahoma" w:eastAsia="Times New Roman" w:hAnsi="Tahoma" w:cs="Tahoma"/>
      <w:sz w:val="16"/>
      <w:szCs w:val="16"/>
      <w:lang w:eastAsia="lv-LV"/>
    </w:rPr>
  </w:style>
  <w:style w:type="paragraph" w:customStyle="1" w:styleId="naisf">
    <w:name w:val="naisf"/>
    <w:basedOn w:val="Normal"/>
    <w:rsid w:val="00477EEA"/>
    <w:pPr>
      <w:spacing w:before="75" w:after="75"/>
      <w:ind w:firstLine="375"/>
      <w:jc w:val="both"/>
    </w:pPr>
  </w:style>
  <w:style w:type="paragraph" w:customStyle="1" w:styleId="naisnod">
    <w:name w:val="naisnod"/>
    <w:basedOn w:val="Normal"/>
    <w:rsid w:val="00477EEA"/>
    <w:pPr>
      <w:spacing w:before="150" w:after="150"/>
      <w:jc w:val="center"/>
    </w:pPr>
    <w:rPr>
      <w:b/>
      <w:bCs/>
    </w:rPr>
  </w:style>
  <w:style w:type="character" w:styleId="CommentReference">
    <w:name w:val="annotation reference"/>
    <w:basedOn w:val="DefaultParagraphFont"/>
    <w:uiPriority w:val="99"/>
    <w:semiHidden/>
    <w:unhideWhenUsed/>
    <w:rsid w:val="00477EEA"/>
    <w:rPr>
      <w:sz w:val="16"/>
      <w:szCs w:val="16"/>
    </w:rPr>
  </w:style>
  <w:style w:type="paragraph" w:styleId="CommentText">
    <w:name w:val="annotation text"/>
    <w:basedOn w:val="Normal"/>
    <w:link w:val="CommentTextChar"/>
    <w:uiPriority w:val="99"/>
    <w:semiHidden/>
    <w:unhideWhenUsed/>
    <w:rsid w:val="00477EEA"/>
    <w:rPr>
      <w:sz w:val="20"/>
      <w:szCs w:val="20"/>
    </w:rPr>
  </w:style>
  <w:style w:type="character" w:customStyle="1" w:styleId="CommentTextChar">
    <w:name w:val="Comment Text Char"/>
    <w:basedOn w:val="DefaultParagraphFont"/>
    <w:link w:val="CommentText"/>
    <w:uiPriority w:val="99"/>
    <w:semiHidden/>
    <w:rsid w:val="00477EE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77EEA"/>
    <w:rPr>
      <w:b/>
      <w:bCs/>
    </w:rPr>
  </w:style>
  <w:style w:type="character" w:customStyle="1" w:styleId="CommentSubjectChar">
    <w:name w:val="Comment Subject Char"/>
    <w:basedOn w:val="CommentTextChar"/>
    <w:link w:val="CommentSubject"/>
    <w:uiPriority w:val="99"/>
    <w:semiHidden/>
    <w:rsid w:val="00477EEA"/>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BF71B3"/>
    <w:rPr>
      <w:rFonts w:ascii="Tahoma" w:hAnsi="Tahoma" w:cs="Tahoma"/>
      <w:sz w:val="16"/>
      <w:szCs w:val="16"/>
    </w:rPr>
  </w:style>
  <w:style w:type="character" w:customStyle="1" w:styleId="BalloonTextChar">
    <w:name w:val="Balloon Text Char"/>
    <w:basedOn w:val="DefaultParagraphFont"/>
    <w:link w:val="BalloonText"/>
    <w:uiPriority w:val="99"/>
    <w:semiHidden/>
    <w:rsid w:val="00BF71B3"/>
    <w:rPr>
      <w:rFonts w:ascii="Tahoma" w:eastAsia="Times New Roman" w:hAnsi="Tahoma" w:cs="Tahoma"/>
      <w:sz w:val="16"/>
      <w:szCs w:val="16"/>
      <w:lang w:eastAsia="lv-LV"/>
    </w:rPr>
  </w:style>
  <w:style w:type="paragraph" w:customStyle="1" w:styleId="naisf">
    <w:name w:val="naisf"/>
    <w:basedOn w:val="Normal"/>
    <w:rsid w:val="00477EEA"/>
    <w:pPr>
      <w:spacing w:before="75" w:after="75"/>
      <w:ind w:firstLine="375"/>
      <w:jc w:val="both"/>
    </w:pPr>
  </w:style>
  <w:style w:type="paragraph" w:customStyle="1" w:styleId="naisnod">
    <w:name w:val="naisnod"/>
    <w:basedOn w:val="Normal"/>
    <w:rsid w:val="00477EEA"/>
    <w:pPr>
      <w:spacing w:before="150" w:after="150"/>
      <w:jc w:val="center"/>
    </w:pPr>
    <w:rPr>
      <w:b/>
      <w:bCs/>
    </w:rPr>
  </w:style>
  <w:style w:type="character" w:styleId="CommentReference">
    <w:name w:val="annotation reference"/>
    <w:basedOn w:val="DefaultParagraphFont"/>
    <w:uiPriority w:val="99"/>
    <w:semiHidden/>
    <w:unhideWhenUsed/>
    <w:rsid w:val="00477EEA"/>
    <w:rPr>
      <w:sz w:val="16"/>
      <w:szCs w:val="16"/>
    </w:rPr>
  </w:style>
  <w:style w:type="paragraph" w:styleId="CommentText">
    <w:name w:val="annotation text"/>
    <w:basedOn w:val="Normal"/>
    <w:link w:val="CommentTextChar"/>
    <w:uiPriority w:val="99"/>
    <w:semiHidden/>
    <w:unhideWhenUsed/>
    <w:rsid w:val="00477EEA"/>
    <w:rPr>
      <w:sz w:val="20"/>
      <w:szCs w:val="20"/>
    </w:rPr>
  </w:style>
  <w:style w:type="character" w:customStyle="1" w:styleId="CommentTextChar">
    <w:name w:val="Comment Text Char"/>
    <w:basedOn w:val="DefaultParagraphFont"/>
    <w:link w:val="CommentText"/>
    <w:uiPriority w:val="99"/>
    <w:semiHidden/>
    <w:rsid w:val="00477EE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77EEA"/>
    <w:rPr>
      <w:b/>
      <w:bCs/>
    </w:rPr>
  </w:style>
  <w:style w:type="character" w:customStyle="1" w:styleId="CommentSubjectChar">
    <w:name w:val="Comment Subject Char"/>
    <w:basedOn w:val="CommentTextChar"/>
    <w:link w:val="CommentSubject"/>
    <w:uiPriority w:val="99"/>
    <w:semiHidden/>
    <w:rsid w:val="00477EE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cudecka-purina@vara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73A5E-9261-45C7-BB0F-A9E5F03F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3508</Words>
  <Characters>2001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Dabas resursu nodokļa likuma anotācija</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resursu nodokļa likuma anotācija</dc:title>
  <dc:creator>Natālija Cudečka-Puriņa</dc:creator>
  <cp:lastModifiedBy>Natālija Cudečka-Puriņa</cp:lastModifiedBy>
  <cp:revision>8</cp:revision>
  <dcterms:created xsi:type="dcterms:W3CDTF">2013-06-18T06:25:00Z</dcterms:created>
  <dcterms:modified xsi:type="dcterms:W3CDTF">2013-08-01T09:04:00Z</dcterms:modified>
  <cp:category>Anotācija</cp:category>
</cp:coreProperties>
</file>