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3C" w:rsidRDefault="003E0F3C" w:rsidP="00C442E1">
      <w:pPr>
        <w:pStyle w:val="naisc"/>
        <w:spacing w:before="0" w:after="0"/>
        <w:rPr>
          <w:b/>
          <w:bCs/>
          <w:sz w:val="28"/>
          <w:szCs w:val="28"/>
        </w:rPr>
      </w:pPr>
    </w:p>
    <w:p w:rsidR="003E0F3C" w:rsidRDefault="003E0F3C" w:rsidP="00C442E1">
      <w:pPr>
        <w:pStyle w:val="naisc"/>
        <w:spacing w:before="0" w:after="0"/>
        <w:rPr>
          <w:b/>
          <w:bCs/>
          <w:sz w:val="28"/>
          <w:szCs w:val="28"/>
        </w:rPr>
      </w:pPr>
      <w:r>
        <w:rPr>
          <w:b/>
          <w:bCs/>
          <w:sz w:val="28"/>
          <w:szCs w:val="28"/>
        </w:rPr>
        <w:t xml:space="preserve">Ministru kabineta noteikumu </w:t>
      </w:r>
      <w:r w:rsidRPr="00172D11">
        <w:rPr>
          <w:b/>
          <w:bCs/>
          <w:sz w:val="28"/>
          <w:szCs w:val="28"/>
        </w:rPr>
        <w:t>projekta</w:t>
      </w:r>
      <w:r>
        <w:rPr>
          <w:b/>
          <w:bCs/>
          <w:sz w:val="28"/>
          <w:szCs w:val="28"/>
        </w:rPr>
        <w:t xml:space="preserve"> </w:t>
      </w:r>
    </w:p>
    <w:p w:rsidR="003E0F3C" w:rsidRDefault="003E0F3C" w:rsidP="00C442E1">
      <w:pPr>
        <w:pStyle w:val="naisc"/>
        <w:spacing w:before="0" w:after="0"/>
        <w:rPr>
          <w:b/>
          <w:bCs/>
          <w:sz w:val="28"/>
          <w:szCs w:val="28"/>
        </w:rPr>
      </w:pPr>
      <w:r>
        <w:rPr>
          <w:b/>
          <w:bCs/>
          <w:sz w:val="28"/>
          <w:szCs w:val="28"/>
        </w:rPr>
        <w:t>„</w:t>
      </w:r>
      <w:r w:rsidRPr="000F6419">
        <w:rPr>
          <w:b/>
          <w:bCs/>
          <w:sz w:val="28"/>
          <w:szCs w:val="28"/>
        </w:rPr>
        <w:t>Valsts informācijas sistēmu savietotāju un integrēto valsts informācijas sistēmu aizsardzības prasības</w:t>
      </w:r>
      <w:r>
        <w:rPr>
          <w:b/>
          <w:bCs/>
          <w:sz w:val="28"/>
          <w:szCs w:val="28"/>
        </w:rPr>
        <w:t xml:space="preserve">” </w:t>
      </w:r>
    </w:p>
    <w:p w:rsidR="003E0F3C" w:rsidRPr="00FC36FB" w:rsidRDefault="003E0F3C" w:rsidP="00C442E1">
      <w:pPr>
        <w:pStyle w:val="naisc"/>
        <w:spacing w:before="0" w:after="0"/>
        <w:rPr>
          <w:b/>
          <w:bCs/>
          <w:sz w:val="28"/>
          <w:szCs w:val="28"/>
        </w:rPr>
      </w:pPr>
      <w:r w:rsidRPr="004D506F">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4D506F">
          <w:rPr>
            <w:b/>
            <w:bCs/>
            <w:sz w:val="28"/>
            <w:szCs w:val="28"/>
          </w:rPr>
          <w:t>ziņojums</w:t>
        </w:r>
      </w:smartTag>
      <w:r w:rsidRPr="004D506F">
        <w:rPr>
          <w:b/>
          <w:bCs/>
          <w:sz w:val="28"/>
          <w:szCs w:val="28"/>
        </w:rPr>
        <w:t xml:space="preserve"> (anotācija)</w:t>
      </w:r>
    </w:p>
    <w:p w:rsidR="003E0F3C" w:rsidRDefault="003E0F3C" w:rsidP="00B149DE">
      <w:pPr>
        <w:pStyle w:val="naisc"/>
        <w:spacing w:before="0" w:after="0"/>
        <w:rPr>
          <w:sz w:val="28"/>
          <w:szCs w:val="28"/>
        </w:rPr>
      </w:pPr>
    </w:p>
    <w:p w:rsidR="003E0F3C" w:rsidRDefault="003E0F3C" w:rsidP="00B149DE">
      <w:pPr>
        <w:pStyle w:val="naisc"/>
        <w:spacing w:before="0" w:after="0"/>
        <w:rPr>
          <w:sz w:val="28"/>
          <w:szCs w:val="28"/>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1455"/>
        <w:gridCol w:w="7399"/>
      </w:tblGrid>
      <w:tr w:rsidR="003E0F3C" w:rsidRPr="00FC36FB" w:rsidTr="009E0A56">
        <w:tc>
          <w:tcPr>
            <w:tcW w:w="5000" w:type="pct"/>
            <w:gridSpan w:val="3"/>
            <w:tcBorders>
              <w:top w:val="single" w:sz="4" w:space="0" w:color="auto"/>
              <w:left w:val="single" w:sz="4" w:space="0" w:color="auto"/>
              <w:bottom w:val="outset" w:sz="6" w:space="0" w:color="000000"/>
              <w:right w:val="single" w:sz="4" w:space="0" w:color="auto"/>
            </w:tcBorders>
            <w:vAlign w:val="center"/>
          </w:tcPr>
          <w:p w:rsidR="003E0F3C" w:rsidRPr="00FC36FB" w:rsidRDefault="003E0F3C" w:rsidP="00A039D6">
            <w:pPr>
              <w:spacing w:before="100" w:beforeAutospacing="1" w:after="100" w:afterAutospacing="1"/>
              <w:jc w:val="center"/>
              <w:rPr>
                <w:b/>
                <w:bCs/>
              </w:rPr>
            </w:pPr>
            <w:r w:rsidRPr="00FC36FB">
              <w:rPr>
                <w:b/>
                <w:bCs/>
              </w:rPr>
              <w:t>I. Tiesību akta projekta izstrādes nepieciešamība</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pPr>
            <w:r w:rsidRPr="00FC36FB">
              <w:t>1.</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pPr>
            <w:r w:rsidRPr="00FC36FB">
              <w:t>Pamatojums</w:t>
            </w:r>
          </w:p>
        </w:tc>
        <w:tc>
          <w:tcPr>
            <w:tcW w:w="4003" w:type="pct"/>
            <w:tcBorders>
              <w:top w:val="outset" w:sz="6" w:space="0" w:color="000000"/>
              <w:left w:val="outset" w:sz="6" w:space="0" w:color="000000"/>
              <w:bottom w:val="outset" w:sz="6" w:space="0" w:color="000000"/>
            </w:tcBorders>
          </w:tcPr>
          <w:p w:rsidR="003E0F3C" w:rsidRPr="00FC36FB" w:rsidRDefault="003E0F3C" w:rsidP="004C32FA">
            <w:pPr>
              <w:jc w:val="both"/>
            </w:pPr>
            <w:r w:rsidRPr="00F1405B">
              <w:t>Ministru kabineta noteikumu projekts „Valsts informācijas sistēmu savietotāju un integrētā valsts informācijas sistēmā ietilpstošo valsts informācijas sistēmu aizsardzības prasības” (turpmāk – noteikumu projekts) izstrādāts</w:t>
            </w:r>
            <w:r>
              <w:t>,</w:t>
            </w:r>
            <w:r w:rsidRPr="00F1405B">
              <w:t xml:space="preserve"> pamatojoties uz Valsts informācijas sistēmu likuma 16.pantu.</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pPr>
            <w:r w:rsidRPr="00FC36FB">
              <w:t>2.</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4D506F">
            <w:r w:rsidRPr="00FC36FB">
              <w:t>Pašreizējā situācija un problēmas</w:t>
            </w:r>
          </w:p>
        </w:tc>
        <w:tc>
          <w:tcPr>
            <w:tcW w:w="4003" w:type="pct"/>
            <w:tcBorders>
              <w:top w:val="outset" w:sz="6" w:space="0" w:color="000000"/>
              <w:left w:val="outset" w:sz="6" w:space="0" w:color="000000"/>
              <w:bottom w:val="outset" w:sz="6" w:space="0" w:color="000000"/>
            </w:tcBorders>
          </w:tcPr>
          <w:p w:rsidR="003E0F3C" w:rsidRPr="00FC36FB" w:rsidRDefault="003E0F3C" w:rsidP="00F91D10">
            <w:pPr>
              <w:jc w:val="both"/>
            </w:pPr>
            <w:r w:rsidRPr="00F1405B">
              <w:t>Šobrīd Valsts informācijas sistēmu likumā ir definētas integrētā valsts informācijas sistēmā ietilpstošo valsts informācijas sistēmu pazīmes, bet prasības informācijas sistēmu savietotāju un integrētā valsts informācijas sistēmā ietilpstošo valsts informācijas sistēmu aizsardzībai nav noteiktas.</w:t>
            </w:r>
            <w:r>
              <w:t xml:space="preserve"> </w:t>
            </w:r>
            <w:r w:rsidRPr="00BF52B5">
              <w:t>Gadījumos, kad informācijas sistēmu savietotājs vai integrētā valsts informācijas sistēmā ietilpstoša valsts informācijas sistēma, nespēj nodrošināt korektu darbību, var tikt ietekmēta visu to valsts informācijas sistēmu darbība, kuras saistītas ar informācijas sistēmu savietotāju vai ietilpst integrētajā valsts informācijas sistēmā.</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3.</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Saistītie politikas ietekmes novērtējumi un pētījumi</w:t>
            </w:r>
          </w:p>
        </w:tc>
        <w:tc>
          <w:tcPr>
            <w:tcW w:w="4003" w:type="pct"/>
            <w:tcBorders>
              <w:top w:val="outset" w:sz="6" w:space="0" w:color="000000"/>
              <w:left w:val="outset" w:sz="6" w:space="0" w:color="000000"/>
              <w:bottom w:val="outset" w:sz="6" w:space="0" w:color="000000"/>
            </w:tcBorders>
          </w:tcPr>
          <w:p w:rsidR="003E0F3C" w:rsidRPr="00FC36FB" w:rsidRDefault="003E0F3C" w:rsidP="00C13423">
            <w:pPr>
              <w:spacing w:before="100" w:beforeAutospacing="1" w:after="100" w:afterAutospacing="1"/>
            </w:pPr>
            <w:r w:rsidRPr="00FC36FB">
              <w:rPr>
                <w:bCs/>
              </w:rPr>
              <w:t>Nav attiecināms</w:t>
            </w:r>
            <w:r>
              <w:rPr>
                <w:bCs/>
              </w:rPr>
              <w:t>.</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4.</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Tiesiskā regulējuma mērķis un būtība</w:t>
            </w:r>
          </w:p>
        </w:tc>
        <w:tc>
          <w:tcPr>
            <w:tcW w:w="4003" w:type="pct"/>
            <w:tcBorders>
              <w:top w:val="outset" w:sz="6" w:space="0" w:color="000000"/>
              <w:left w:val="outset" w:sz="6" w:space="0" w:color="000000"/>
              <w:bottom w:val="outset" w:sz="6" w:space="0" w:color="000000"/>
            </w:tcBorders>
          </w:tcPr>
          <w:p w:rsidR="003E0F3C" w:rsidRDefault="003E0F3C" w:rsidP="00F1405B">
            <w:pPr>
              <w:jc w:val="both"/>
            </w:pPr>
            <w:r>
              <w:t xml:space="preserve">Noteikumu projekta mērķis ir mazināt riskus, kuri saistīti ar valsts informācijas sistēmu darbības traucējumiem. </w:t>
            </w:r>
          </w:p>
          <w:p w:rsidR="003E0F3C" w:rsidRDefault="003E0F3C" w:rsidP="00F1405B">
            <w:pPr>
              <w:jc w:val="both"/>
            </w:pPr>
            <w:r>
              <w:t>Noteikumu projekts nosaka pamatprasību kopumu, kas jāievēro, lai nodrošinātu informācijas sistēmu savietotāju un integrētā valsts informācijas sistēmā ietilpstošo valsts informācijas sistēmu aizsardzību. Prasības sadalītas pēc kritērijiem - elektroenerģijas piegāde un nodrošinājums, datu apmaiņa, infrastruktūras aizsardzība, loģiskā aizsardzība, monitorings, rezerves kopiju veidošana un glabāšana, programmatūras atjaunināšana, apkalpojošais personāls.</w:t>
            </w:r>
          </w:p>
          <w:p w:rsidR="003E0F3C" w:rsidRPr="00BF52B5" w:rsidRDefault="003E0F3C" w:rsidP="00F1405B">
            <w:pPr>
              <w:jc w:val="both"/>
            </w:pPr>
            <w:r w:rsidRPr="00BF52B5">
              <w:t>Termins „integrēta valsts informācijas sistēma” ir definēts Valsts informācijas sistēmu likuma 1.pantā. Par integrētā valsts informācijas sistēmā ietilpstošu valsts informācijas sistēmu atzīstama tāda valsts informācijas sistēma, kura nosūta, vai saņem datus, tai skaitā ģeotelpiskos datus, kādai citai valsts informācijas sistēmai pa tiešo vai izmantojot valsts informācijas sistēmu savietotāju.</w:t>
            </w:r>
          </w:p>
          <w:p w:rsidR="003E0F3C" w:rsidRPr="00CF348B" w:rsidRDefault="003E0F3C" w:rsidP="004508E4">
            <w:pPr>
              <w:jc w:val="both"/>
              <w:rPr>
                <w:u w:val="single"/>
              </w:rPr>
            </w:pPr>
            <w:r w:rsidRPr="00BF52B5">
              <w:t xml:space="preserve">Noteikumu projekta 4.punkts un 10.5 apakšpunkts stājas spēkā 2013.gada 1.februārī. Ņemot vērā to, ka noteikumu projekta prasības paredzēts nodrošinās piešķirto budžeta līdzekļu ietvaros, bet minēto punktu izpildei nepieciešamie līdzekļi nav tik lieli, lai pieprasītu papildus finansējumu, valsts informācijas sistēmu pārziņiem vai institūcijai, kura nodrošina savietotāja darbību jāieplāno nākošā gada iekšējā sistēmas drošības pasākumu īstenošanai paredzētā budžeta pārdali, vai jāizvērtē iespēju izmantot informācijas tehnoloģiju centralizācijas pieeju, kura noteikta </w:t>
            </w:r>
            <w:r w:rsidRPr="00BF52B5">
              <w:lastRenderedPageBreak/>
              <w:t>Ministru kabineta 2010.gada 6.aprīļa sēdē pieņemtajā informatīvajā ziņojumā „Par Microsoft infrastruktūras programmatūras izmantošanas un informācijas tehnoloģiju infrastruktūras optimizācijas iespējām ministrijās un to padotības iestādēs”(prot. Nr.17 32.§ 1.punkts).</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lastRenderedPageBreak/>
              <w:t>5.</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Projekta izstrādē iesaistītās institūcijas</w:t>
            </w:r>
          </w:p>
        </w:tc>
        <w:tc>
          <w:tcPr>
            <w:tcW w:w="4003" w:type="pct"/>
            <w:tcBorders>
              <w:top w:val="outset" w:sz="6" w:space="0" w:color="000000"/>
              <w:left w:val="outset" w:sz="6" w:space="0" w:color="000000"/>
              <w:bottom w:val="outset" w:sz="6" w:space="0" w:color="000000"/>
            </w:tcBorders>
          </w:tcPr>
          <w:p w:rsidR="003E0F3C" w:rsidRPr="00BF52B5" w:rsidRDefault="003E0F3C" w:rsidP="00C13423">
            <w:pPr>
              <w:spacing w:before="100" w:beforeAutospacing="1" w:after="100" w:afterAutospacing="1"/>
            </w:pPr>
            <w:r w:rsidRPr="00BF52B5">
              <w:t>Finanšu ministrija, Aizsardzības ministrija, Ārlietu ministrija, Ekonomikas ministrija, Labklājības ministrija, Iekšlietu ministrija, Kultūras ministrija, Satiksmes ministrija, Veselības ministrija, Tieslietu ministrija, Valsts kanceleja, Izglītības un zinātnes ministrija, Zemkopības ministrija, Korupcijas novēršanas un apkarošanas birojs un Latvijas Banka.</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6.</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Iemesli, kādēļ netika nodrošināta sabiedrības līdzdalība</w:t>
            </w:r>
          </w:p>
        </w:tc>
        <w:tc>
          <w:tcPr>
            <w:tcW w:w="4003" w:type="pct"/>
            <w:tcBorders>
              <w:top w:val="outset" w:sz="6" w:space="0" w:color="000000"/>
              <w:left w:val="outset" w:sz="6" w:space="0" w:color="000000"/>
              <w:bottom w:val="outset" w:sz="6" w:space="0" w:color="000000"/>
            </w:tcBorders>
          </w:tcPr>
          <w:p w:rsidR="003E0F3C" w:rsidRPr="00FC36FB" w:rsidRDefault="003E0F3C" w:rsidP="00C13423">
            <w:pPr>
              <w:spacing w:before="100" w:beforeAutospacing="1" w:after="100" w:afterAutospacing="1"/>
            </w:pPr>
            <w:r w:rsidRPr="00827518">
              <w:rPr>
                <w:bCs/>
              </w:rPr>
              <w:t>Nav attiecināms</w:t>
            </w:r>
            <w:r>
              <w:rPr>
                <w:bCs/>
              </w:rPr>
              <w:t>.</w:t>
            </w:r>
          </w:p>
        </w:tc>
      </w:tr>
      <w:tr w:rsidR="003E0F3C" w:rsidRPr="00FC36FB" w:rsidTr="009E0A56">
        <w:tc>
          <w:tcPr>
            <w:tcW w:w="210" w:type="pct"/>
            <w:tcBorders>
              <w:top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7.</w:t>
            </w:r>
          </w:p>
        </w:tc>
        <w:tc>
          <w:tcPr>
            <w:tcW w:w="787" w:type="pct"/>
            <w:tcBorders>
              <w:top w:val="outset" w:sz="6" w:space="0" w:color="000000"/>
              <w:left w:val="outset" w:sz="6" w:space="0" w:color="000000"/>
              <w:bottom w:val="outset" w:sz="6" w:space="0" w:color="000000"/>
              <w:right w:val="outset" w:sz="6" w:space="0" w:color="000000"/>
            </w:tcBorders>
          </w:tcPr>
          <w:p w:rsidR="003E0F3C" w:rsidRPr="00FC36FB" w:rsidRDefault="003E0F3C" w:rsidP="00C13423">
            <w:pPr>
              <w:spacing w:before="100" w:beforeAutospacing="1" w:after="100" w:afterAutospacing="1"/>
            </w:pPr>
            <w:r w:rsidRPr="00FC36FB">
              <w:t>Cita informācija</w:t>
            </w:r>
          </w:p>
        </w:tc>
        <w:tc>
          <w:tcPr>
            <w:tcW w:w="4003" w:type="pct"/>
            <w:tcBorders>
              <w:top w:val="outset" w:sz="6" w:space="0" w:color="000000"/>
              <w:left w:val="outset" w:sz="6" w:space="0" w:color="000000"/>
              <w:bottom w:val="outset" w:sz="6" w:space="0" w:color="000000"/>
            </w:tcBorders>
          </w:tcPr>
          <w:p w:rsidR="003E0F3C" w:rsidRPr="00FC36FB" w:rsidRDefault="003E0F3C" w:rsidP="00C13423">
            <w:pPr>
              <w:spacing w:before="100" w:beforeAutospacing="1" w:after="100" w:afterAutospacing="1"/>
            </w:pPr>
            <w:r w:rsidRPr="00FC36FB">
              <w:t xml:space="preserve">Nav. </w:t>
            </w:r>
          </w:p>
        </w:tc>
      </w:tr>
    </w:tbl>
    <w:p w:rsidR="003E0F3C" w:rsidRDefault="003E0F3C" w:rsidP="00A039D6">
      <w:pPr>
        <w:tabs>
          <w:tab w:val="left" w:pos="1095"/>
        </w:tabs>
      </w:pPr>
    </w:p>
    <w:p w:rsidR="003E0F3C" w:rsidRDefault="003E0F3C" w:rsidP="00A039D6">
      <w:pPr>
        <w:tabs>
          <w:tab w:val="left" w:pos="1095"/>
        </w:tabs>
      </w:pPr>
    </w:p>
    <w:tbl>
      <w:tblPr>
        <w:tblW w:w="9214"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591"/>
        <w:gridCol w:w="1321"/>
        <w:gridCol w:w="1418"/>
        <w:gridCol w:w="1624"/>
        <w:gridCol w:w="1701"/>
        <w:gridCol w:w="1559"/>
      </w:tblGrid>
      <w:tr w:rsidR="003E0F3C" w:rsidTr="00DB20E8">
        <w:tc>
          <w:tcPr>
            <w:tcW w:w="9214" w:type="dxa"/>
            <w:gridSpan w:val="6"/>
            <w:tcBorders>
              <w:top w:val="outset" w:sz="6" w:space="0" w:color="000000"/>
              <w:bottom w:val="outset" w:sz="6" w:space="0" w:color="000000"/>
            </w:tcBorders>
          </w:tcPr>
          <w:p w:rsidR="003E0F3C" w:rsidRDefault="003E0F3C" w:rsidP="00944215">
            <w:pPr>
              <w:pStyle w:val="NormalWeb"/>
              <w:spacing w:before="0" w:after="0"/>
              <w:jc w:val="center"/>
              <w:rPr>
                <w:b/>
                <w:bCs/>
              </w:rPr>
            </w:pPr>
            <w:r>
              <w:rPr>
                <w:b/>
                <w:bCs/>
              </w:rPr>
              <w:t>III. Tiesību akta projekta ietekme uz valsts budžetu un pašvaldību budžetiem</w:t>
            </w:r>
          </w:p>
        </w:tc>
      </w:tr>
      <w:tr w:rsidR="003E0F3C" w:rsidTr="00DB20E8">
        <w:tc>
          <w:tcPr>
            <w:tcW w:w="1591" w:type="dxa"/>
            <w:vMerge w:val="restart"/>
            <w:tcBorders>
              <w:top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rPr>
                <w:b/>
                <w:bCs/>
              </w:rPr>
            </w:pPr>
            <w:r>
              <w:rPr>
                <w:b/>
                <w:bCs/>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tcPr>
          <w:p w:rsidR="003E0F3C" w:rsidRPr="00BF52B5" w:rsidRDefault="003E0F3C" w:rsidP="00944215">
            <w:pPr>
              <w:pStyle w:val="NormalWeb"/>
              <w:spacing w:before="0" w:after="0"/>
              <w:jc w:val="center"/>
              <w:rPr>
                <w:b/>
                <w:bCs/>
              </w:rPr>
            </w:pPr>
            <w:r w:rsidRPr="00BF52B5">
              <w:rPr>
                <w:b/>
                <w:bCs/>
              </w:rPr>
              <w:t>2012. gads</w:t>
            </w:r>
          </w:p>
        </w:tc>
        <w:tc>
          <w:tcPr>
            <w:tcW w:w="4884" w:type="dxa"/>
            <w:gridSpan w:val="3"/>
            <w:tcBorders>
              <w:top w:val="outset" w:sz="6" w:space="0" w:color="000000"/>
              <w:left w:val="outset" w:sz="6" w:space="0" w:color="000000"/>
              <w:bottom w:val="outset" w:sz="6" w:space="0" w:color="000000"/>
            </w:tcBorders>
            <w:vAlign w:val="center"/>
          </w:tcPr>
          <w:p w:rsidR="003E0F3C" w:rsidRDefault="003E0F3C" w:rsidP="00944215">
            <w:pPr>
              <w:pStyle w:val="NormalWeb"/>
              <w:spacing w:before="0" w:after="0"/>
              <w:jc w:val="center"/>
            </w:pPr>
            <w:r>
              <w:t>Turpmākie trīs gadi (tūkst</w:t>
            </w:r>
            <w:smartTag w:uri="schemas-tilde-lv/tildestengine" w:element="currency2">
              <w:smartTagPr>
                <w:attr w:name="currency_text" w:val="latu"/>
                <w:attr w:name="currency_value" w:val="."/>
                <w:attr w:name="currency_key" w:val="LVL"/>
                <w:attr w:name="currency_id" w:val="48"/>
              </w:smartTagPr>
              <w:r>
                <w:t>. latu</w:t>
              </w:r>
            </w:smartTag>
            <w:r>
              <w:t>)</w:t>
            </w:r>
          </w:p>
        </w:tc>
      </w:tr>
      <w:tr w:rsidR="003E0F3C" w:rsidTr="00DB20E8">
        <w:tc>
          <w:tcPr>
            <w:tcW w:w="1591" w:type="dxa"/>
            <w:vMerge/>
            <w:tcBorders>
              <w:top w:val="outset" w:sz="6" w:space="0" w:color="000000"/>
              <w:bottom w:val="outset" w:sz="6" w:space="0" w:color="000000"/>
              <w:right w:val="outset" w:sz="6" w:space="0" w:color="000000"/>
            </w:tcBorders>
            <w:vAlign w:val="center"/>
          </w:tcPr>
          <w:p w:rsidR="003E0F3C" w:rsidRDefault="003E0F3C" w:rsidP="00944215">
            <w:pPr>
              <w:rPr>
                <w:b/>
                <w:bCs/>
                <w:lang w:eastAsia="en-US"/>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b/>
                <w:bCs/>
                <w:lang w:eastAsia="en-US"/>
              </w:rPr>
            </w:pPr>
          </w:p>
        </w:tc>
        <w:tc>
          <w:tcPr>
            <w:tcW w:w="1624" w:type="dxa"/>
            <w:tcBorders>
              <w:top w:val="outset" w:sz="6" w:space="0" w:color="000000"/>
              <w:left w:val="outset" w:sz="6" w:space="0" w:color="000000"/>
              <w:bottom w:val="outset" w:sz="6" w:space="0" w:color="000000"/>
              <w:right w:val="outset" w:sz="6" w:space="0" w:color="000000"/>
            </w:tcBorders>
            <w:vAlign w:val="center"/>
          </w:tcPr>
          <w:p w:rsidR="003E0F3C" w:rsidRPr="00BF52B5" w:rsidRDefault="003E0F3C" w:rsidP="00944215">
            <w:pPr>
              <w:pStyle w:val="NormalWeb"/>
              <w:spacing w:before="0" w:after="0"/>
              <w:jc w:val="center"/>
              <w:rPr>
                <w:b/>
                <w:bCs/>
              </w:rPr>
            </w:pPr>
            <w:r w:rsidRPr="00BF52B5">
              <w:rPr>
                <w:b/>
                <w:bCs/>
              </w:rPr>
              <w:t>2013</w:t>
            </w:r>
          </w:p>
        </w:tc>
        <w:tc>
          <w:tcPr>
            <w:tcW w:w="1701" w:type="dxa"/>
            <w:tcBorders>
              <w:top w:val="outset" w:sz="6" w:space="0" w:color="000000"/>
              <w:left w:val="outset" w:sz="6" w:space="0" w:color="000000"/>
              <w:bottom w:val="outset" w:sz="6" w:space="0" w:color="000000"/>
              <w:right w:val="outset" w:sz="6" w:space="0" w:color="000000"/>
            </w:tcBorders>
            <w:vAlign w:val="center"/>
          </w:tcPr>
          <w:p w:rsidR="003E0F3C" w:rsidRPr="00BF52B5" w:rsidRDefault="003E0F3C" w:rsidP="00944215">
            <w:pPr>
              <w:pStyle w:val="NormalWeb"/>
              <w:spacing w:before="0" w:after="0"/>
              <w:jc w:val="center"/>
              <w:rPr>
                <w:b/>
                <w:bCs/>
              </w:rPr>
            </w:pPr>
            <w:r w:rsidRPr="00BF52B5">
              <w:rPr>
                <w:b/>
                <w:bCs/>
              </w:rPr>
              <w:t>2014</w:t>
            </w:r>
          </w:p>
        </w:tc>
        <w:tc>
          <w:tcPr>
            <w:tcW w:w="1559" w:type="dxa"/>
            <w:tcBorders>
              <w:top w:val="outset" w:sz="6" w:space="0" w:color="000000"/>
              <w:left w:val="outset" w:sz="6" w:space="0" w:color="000000"/>
              <w:bottom w:val="outset" w:sz="6" w:space="0" w:color="000000"/>
            </w:tcBorders>
            <w:vAlign w:val="center"/>
          </w:tcPr>
          <w:p w:rsidR="003E0F3C" w:rsidRPr="00BF52B5" w:rsidRDefault="003E0F3C" w:rsidP="00944215">
            <w:pPr>
              <w:pStyle w:val="NormalWeb"/>
              <w:spacing w:before="0" w:after="0"/>
              <w:jc w:val="center"/>
              <w:rPr>
                <w:b/>
                <w:bCs/>
              </w:rPr>
            </w:pPr>
            <w:r w:rsidRPr="00BF52B5">
              <w:rPr>
                <w:b/>
                <w:bCs/>
              </w:rPr>
              <w:t>2015</w:t>
            </w:r>
          </w:p>
        </w:tc>
      </w:tr>
      <w:tr w:rsidR="003E0F3C" w:rsidTr="00DB20E8">
        <w:tc>
          <w:tcPr>
            <w:tcW w:w="1591" w:type="dxa"/>
            <w:vMerge/>
            <w:tcBorders>
              <w:top w:val="outset" w:sz="6" w:space="0" w:color="000000"/>
              <w:bottom w:val="outset" w:sz="6" w:space="0" w:color="000000"/>
              <w:right w:val="outset" w:sz="6" w:space="0" w:color="000000"/>
            </w:tcBorders>
            <w:vAlign w:val="center"/>
          </w:tcPr>
          <w:p w:rsidR="003E0F3C" w:rsidRDefault="003E0F3C" w:rsidP="00944215">
            <w:pPr>
              <w:rPr>
                <w:b/>
                <w:bCs/>
                <w:lang w:eastAsia="en-US"/>
              </w:rPr>
            </w:pPr>
          </w:p>
        </w:tc>
        <w:tc>
          <w:tcPr>
            <w:tcW w:w="1321"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Izmaiņas, salīdzinot ar kārtējo (2011)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Izmaiņas, salīdzinot ar kārtējo (2011) gadu</w:t>
            </w:r>
          </w:p>
        </w:tc>
        <w:tc>
          <w:tcPr>
            <w:tcW w:w="1559" w:type="dxa"/>
            <w:tcBorders>
              <w:top w:val="outset" w:sz="6" w:space="0" w:color="000000"/>
              <w:left w:val="outset" w:sz="6" w:space="0" w:color="000000"/>
              <w:bottom w:val="outset" w:sz="6" w:space="0" w:color="000000"/>
            </w:tcBorders>
            <w:vAlign w:val="center"/>
          </w:tcPr>
          <w:p w:rsidR="003E0F3C" w:rsidRDefault="003E0F3C" w:rsidP="00944215">
            <w:pPr>
              <w:pStyle w:val="NormalWeb"/>
              <w:spacing w:before="0" w:after="0"/>
              <w:jc w:val="center"/>
            </w:pPr>
            <w:r>
              <w:t>Izmaiņas, salīdzinot ar kārtējo (2011) gadu</w:t>
            </w:r>
          </w:p>
        </w:tc>
      </w:tr>
      <w:tr w:rsidR="003E0F3C" w:rsidTr="00DB20E8">
        <w:tc>
          <w:tcPr>
            <w:tcW w:w="1591" w:type="dxa"/>
            <w:tcBorders>
              <w:top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1</w:t>
            </w:r>
          </w:p>
        </w:tc>
        <w:tc>
          <w:tcPr>
            <w:tcW w:w="1321"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2</w:t>
            </w:r>
          </w:p>
        </w:tc>
        <w:tc>
          <w:tcPr>
            <w:tcW w:w="1418"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3</w:t>
            </w:r>
          </w:p>
        </w:tc>
        <w:tc>
          <w:tcPr>
            <w:tcW w:w="1624"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pStyle w:val="NormalWeb"/>
              <w:spacing w:before="0" w:after="0"/>
              <w:jc w:val="center"/>
            </w:pPr>
            <w:r>
              <w:t>5</w:t>
            </w:r>
          </w:p>
        </w:tc>
        <w:tc>
          <w:tcPr>
            <w:tcW w:w="1559" w:type="dxa"/>
            <w:tcBorders>
              <w:top w:val="outset" w:sz="6" w:space="0" w:color="000000"/>
              <w:left w:val="outset" w:sz="6" w:space="0" w:color="000000"/>
              <w:bottom w:val="outset" w:sz="6" w:space="0" w:color="000000"/>
            </w:tcBorders>
            <w:vAlign w:val="center"/>
          </w:tcPr>
          <w:p w:rsidR="003E0F3C" w:rsidRDefault="003E0F3C" w:rsidP="00944215">
            <w:pPr>
              <w:pStyle w:val="NormalWeb"/>
              <w:spacing w:before="0" w:after="0"/>
              <w:jc w:val="center"/>
            </w:pPr>
            <w:r>
              <w:t>6</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1. Budžeta ieņēmumi:</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1.3.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2. Budžeta izdevumi:</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2.1. valsts pamatbudžets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lastRenderedPageBreak/>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2.3.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3. Finansiālā ietekme:</w:t>
            </w:r>
          </w:p>
        </w:tc>
        <w:tc>
          <w:tcPr>
            <w:tcW w:w="1321" w:type="dxa"/>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3.1. valsts pamatbudžets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xml:space="preserve">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3.2. speciālais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3.3.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vMerge w:val="restart"/>
            <w:tcBorders>
              <w:top w:val="outset" w:sz="6" w:space="0" w:color="000000"/>
              <w:bottom w:val="outset" w:sz="6" w:space="0" w:color="000000"/>
              <w:right w:val="outset" w:sz="6" w:space="0" w:color="000000"/>
            </w:tcBorders>
          </w:tcPr>
          <w:p w:rsidR="003E0F3C" w:rsidRDefault="003E0F3C" w:rsidP="00944215">
            <w:pPr>
              <w:pStyle w:val="NormalWeb"/>
              <w:spacing w:before="0" w:after="0"/>
            </w:pPr>
            <w:r>
              <w:t>4. Finanšu līdzekļi papildu izde</w:t>
            </w:r>
            <w:r>
              <w:softHyphen/>
              <w:t>vumu finansēšanai (kompensējošu izdevumu samazinājumu norāda ar "+" zīmi)</w:t>
            </w:r>
          </w:p>
        </w:tc>
        <w:tc>
          <w:tcPr>
            <w:tcW w:w="1321" w:type="dxa"/>
            <w:vMerge w:val="restart"/>
            <w:tcBorders>
              <w:top w:val="outset" w:sz="6" w:space="0" w:color="000000"/>
              <w:left w:val="outset" w:sz="6" w:space="0" w:color="000000"/>
              <w:bottom w:val="outset" w:sz="6" w:space="0" w:color="000000"/>
              <w:right w:val="outset" w:sz="6" w:space="0" w:color="000000"/>
            </w:tcBorders>
          </w:tcPr>
          <w:p w:rsidR="003E0F3C" w:rsidRDefault="003E0F3C" w:rsidP="00944215">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xml:space="preserve">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vMerge/>
            <w:tcBorders>
              <w:top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vMerge/>
            <w:tcBorders>
              <w:top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tcPr>
          <w:p w:rsidR="003E0F3C" w:rsidRDefault="003E0F3C" w:rsidP="00944215">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rPr>
                <w:lang w:eastAsia="en-US"/>
              </w:rP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rPr>
                <w:lang w:eastAsia="en-US"/>
              </w:rP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3E0F3C" w:rsidRDefault="003E0F3C" w:rsidP="00944215">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 0</w:t>
            </w:r>
          </w:p>
        </w:tc>
        <w:tc>
          <w:tcPr>
            <w:tcW w:w="1624"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3E0F3C" w:rsidRDefault="003E0F3C" w:rsidP="00944215">
            <w:pPr>
              <w:rPr>
                <w:lang w:eastAsia="en-US"/>
              </w:rPr>
            </w:pPr>
            <w:r>
              <w:t>0</w:t>
            </w:r>
          </w:p>
        </w:tc>
        <w:tc>
          <w:tcPr>
            <w:tcW w:w="1559" w:type="dxa"/>
            <w:tcBorders>
              <w:top w:val="outset" w:sz="6" w:space="0" w:color="000000"/>
              <w:left w:val="outset" w:sz="6" w:space="0" w:color="000000"/>
              <w:bottom w:val="outset" w:sz="6" w:space="0" w:color="000000"/>
            </w:tcBorders>
          </w:tcPr>
          <w:p w:rsidR="003E0F3C" w:rsidRDefault="003E0F3C" w:rsidP="00944215">
            <w:pPr>
              <w:rPr>
                <w:lang w:eastAsia="en-US"/>
              </w:rPr>
            </w:pPr>
            <w:r>
              <w:t>0</w:t>
            </w:r>
          </w:p>
        </w:tc>
      </w:tr>
      <w:tr w:rsidR="003E0F3C" w:rsidTr="00DB20E8">
        <w:trPr>
          <w:trHeight w:val="2231"/>
        </w:trPr>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6. Detalizēts ieņēmumu un izdevu</w:t>
            </w:r>
            <w:r>
              <w:softHyphen/>
              <w:t>mu aprēķins (ja nepieciešams, detalizētu ieņēmumu un izdevumu aprēķinu var pievienot anotācijas pielikumā):</w:t>
            </w:r>
          </w:p>
        </w:tc>
        <w:tc>
          <w:tcPr>
            <w:tcW w:w="7623" w:type="dxa"/>
            <w:gridSpan w:val="5"/>
            <w:tcBorders>
              <w:top w:val="outset" w:sz="6" w:space="0" w:color="000000"/>
              <w:left w:val="outset" w:sz="6" w:space="0" w:color="000000"/>
              <w:bottom w:val="outset" w:sz="6" w:space="0" w:color="000000"/>
            </w:tcBorders>
            <w:vAlign w:val="center"/>
          </w:tcPr>
          <w:p w:rsidR="003E0F3C" w:rsidRDefault="003E0F3C" w:rsidP="00944215">
            <w:pPr>
              <w:rPr>
                <w:lang w:eastAsia="en-US"/>
              </w:rPr>
            </w:pPr>
            <w:r>
              <w:rPr>
                <w:lang w:eastAsia="en-US"/>
              </w:rPr>
              <w:t>Nav.</w:t>
            </w:r>
          </w:p>
        </w:tc>
      </w:tr>
      <w:tr w:rsidR="003E0F3C" w:rsidTr="00DB20E8">
        <w:trPr>
          <w:trHeight w:val="169"/>
        </w:trPr>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6.1. detalizēts ieņēmumu aprēķins</w:t>
            </w:r>
          </w:p>
        </w:tc>
        <w:tc>
          <w:tcPr>
            <w:tcW w:w="7623" w:type="dxa"/>
            <w:gridSpan w:val="5"/>
            <w:tcBorders>
              <w:top w:val="outset" w:sz="6" w:space="0" w:color="000000"/>
              <w:left w:val="outset" w:sz="6" w:space="0" w:color="000000"/>
              <w:bottom w:val="outset" w:sz="6" w:space="0" w:color="000000"/>
            </w:tcBorders>
            <w:vAlign w:val="center"/>
          </w:tcPr>
          <w:p w:rsidR="003E0F3C" w:rsidRDefault="003E0F3C" w:rsidP="00944215">
            <w:pPr>
              <w:rPr>
                <w:lang w:eastAsia="en-US"/>
              </w:rPr>
            </w:pPr>
            <w:r>
              <w:rPr>
                <w:lang w:eastAsia="en-US"/>
              </w:rPr>
              <w:t>Nav.</w:t>
            </w:r>
          </w:p>
        </w:tc>
      </w:tr>
      <w:tr w:rsidR="003E0F3C" w:rsidTr="00DB20E8">
        <w:trPr>
          <w:trHeight w:val="25"/>
        </w:trPr>
        <w:tc>
          <w:tcPr>
            <w:tcW w:w="1591" w:type="dxa"/>
            <w:tcBorders>
              <w:top w:val="outset" w:sz="6" w:space="0" w:color="000000"/>
              <w:bottom w:val="outset" w:sz="6" w:space="0" w:color="000000"/>
              <w:right w:val="outset" w:sz="6" w:space="0" w:color="000000"/>
            </w:tcBorders>
          </w:tcPr>
          <w:p w:rsidR="003E0F3C" w:rsidRDefault="003E0F3C" w:rsidP="00944215">
            <w:pPr>
              <w:pStyle w:val="NormalWeb"/>
              <w:spacing w:before="0" w:after="0"/>
            </w:pPr>
            <w:r>
              <w:t xml:space="preserve">6.2. detalizēts </w:t>
            </w:r>
            <w:r>
              <w:lastRenderedPageBreak/>
              <w:t>izdevumu aprēķins</w:t>
            </w:r>
          </w:p>
        </w:tc>
        <w:tc>
          <w:tcPr>
            <w:tcW w:w="7623" w:type="dxa"/>
            <w:gridSpan w:val="5"/>
            <w:tcBorders>
              <w:top w:val="outset" w:sz="6" w:space="0" w:color="000000"/>
              <w:left w:val="outset" w:sz="6" w:space="0" w:color="000000"/>
              <w:bottom w:val="outset" w:sz="6" w:space="0" w:color="000000"/>
            </w:tcBorders>
            <w:vAlign w:val="center"/>
          </w:tcPr>
          <w:p w:rsidR="003E0F3C" w:rsidRDefault="003E0F3C" w:rsidP="00944215">
            <w:pPr>
              <w:pStyle w:val="NormalWeb"/>
              <w:spacing w:before="0" w:after="0"/>
              <w:jc w:val="both"/>
            </w:pPr>
            <w:r>
              <w:lastRenderedPageBreak/>
              <w:t>Nav.</w:t>
            </w:r>
          </w:p>
        </w:tc>
      </w:tr>
      <w:tr w:rsidR="003E0F3C" w:rsidTr="00DB20E8">
        <w:tc>
          <w:tcPr>
            <w:tcW w:w="1591" w:type="dxa"/>
            <w:tcBorders>
              <w:top w:val="outset" w:sz="6" w:space="0" w:color="000000"/>
              <w:bottom w:val="outset" w:sz="6" w:space="0" w:color="000000"/>
              <w:right w:val="outset" w:sz="6" w:space="0" w:color="000000"/>
            </w:tcBorders>
          </w:tcPr>
          <w:p w:rsidR="003E0F3C" w:rsidRDefault="003E0F3C" w:rsidP="00944215">
            <w:r>
              <w:lastRenderedPageBreak/>
              <w:t>7. Cita informācija</w:t>
            </w:r>
          </w:p>
        </w:tc>
        <w:tc>
          <w:tcPr>
            <w:tcW w:w="7623" w:type="dxa"/>
            <w:gridSpan w:val="5"/>
            <w:tcBorders>
              <w:top w:val="outset" w:sz="6" w:space="0" w:color="000000"/>
              <w:left w:val="outset" w:sz="6" w:space="0" w:color="000000"/>
              <w:bottom w:val="outset" w:sz="6" w:space="0" w:color="000000"/>
            </w:tcBorders>
          </w:tcPr>
          <w:p w:rsidR="003E0F3C" w:rsidRDefault="003E0F3C" w:rsidP="00DB20E8">
            <w:pPr>
              <w:tabs>
                <w:tab w:val="left" w:pos="585"/>
              </w:tabs>
              <w:jc w:val="both"/>
            </w:pPr>
            <w:r>
              <w:t xml:space="preserve">Ņemot vērā datus (67 </w:t>
            </w:r>
            <w:r w:rsidRPr="00AC0440">
              <w:t xml:space="preserve">integrētā valsts </w:t>
            </w:r>
            <w:r>
              <w:t xml:space="preserve">informācijas sistēmā ietilpstošas valsts informācijas sistēmas), kuri apkopoti Valsts informācijas sistēmu reģistrā, tika iegūta informācija no </w:t>
            </w:r>
            <w:r w:rsidRPr="00AC0440">
              <w:t xml:space="preserve">integrētā valsts </w:t>
            </w:r>
            <w:r>
              <w:t>informācijas sistēmā ietilpstošo valsts informācijas sistēmu turētājiem sakarā ar papildu izmaksām, kuras būtu saistītas ar noteikumu prasību ieviešanu.</w:t>
            </w:r>
          </w:p>
          <w:p w:rsidR="003E0F3C" w:rsidRDefault="003E0F3C" w:rsidP="00DB20E8">
            <w:pPr>
              <w:tabs>
                <w:tab w:val="left" w:pos="585"/>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6"/>
              <w:gridCol w:w="4371"/>
            </w:tblGrid>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093166">
                  <w:pPr>
                    <w:pStyle w:val="naiskr"/>
                    <w:spacing w:before="0" w:after="0"/>
                    <w:rPr>
                      <w:b/>
                    </w:rPr>
                  </w:pPr>
                  <w:r w:rsidRPr="00BF52B5">
                    <w:rPr>
                      <w:b/>
                    </w:rPr>
                    <w:t>Valsts informācijas sistēmas pārzinis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rPr>
                      <w:b/>
                    </w:rPr>
                  </w:pPr>
                  <w:r w:rsidRPr="00BF52B5">
                    <w:rPr>
                      <w:b/>
                    </w:rPr>
                    <w:t>Valsts informācijas sistēmas nosaukums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Nacionālais veselības dienests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4"/>
                    </w:numPr>
                    <w:spacing w:before="0" w:after="0"/>
                    <w:ind w:left="435" w:hanging="283"/>
                    <w:jc w:val="both"/>
                  </w:pPr>
                  <w:r w:rsidRPr="00BF52B5">
                    <w:t>Ar noteiktām slimībām slimojošu pacientu reģistrs.</w:t>
                  </w:r>
                </w:p>
                <w:p w:rsidR="003E0F3C" w:rsidRPr="00BF52B5" w:rsidRDefault="003E0F3C" w:rsidP="00082AB2">
                  <w:pPr>
                    <w:pStyle w:val="naiskr"/>
                    <w:numPr>
                      <w:ilvl w:val="0"/>
                      <w:numId w:val="4"/>
                    </w:numPr>
                    <w:spacing w:before="0" w:after="0"/>
                    <w:ind w:left="435" w:hanging="283"/>
                    <w:jc w:val="both"/>
                  </w:pPr>
                  <w:r w:rsidRPr="00BF52B5">
                    <w:t>Kompensējamo zāļu reģistrācijas un uzskaites informācijas sistēma.</w:t>
                  </w:r>
                </w:p>
                <w:p w:rsidR="003E0F3C" w:rsidRPr="00BF52B5" w:rsidRDefault="003E0F3C" w:rsidP="00082AB2">
                  <w:pPr>
                    <w:pStyle w:val="naiskr"/>
                    <w:numPr>
                      <w:ilvl w:val="0"/>
                      <w:numId w:val="4"/>
                    </w:numPr>
                    <w:spacing w:before="0" w:after="0"/>
                    <w:ind w:left="435" w:hanging="283"/>
                    <w:jc w:val="both"/>
                  </w:pPr>
                  <w:r w:rsidRPr="00BF52B5">
                    <w:t>Vadības informācijas sistēma</w:t>
                  </w:r>
                </w:p>
                <w:p w:rsidR="003E0F3C" w:rsidRPr="00BF52B5" w:rsidRDefault="003E0F3C" w:rsidP="00082AB2">
                  <w:pPr>
                    <w:pStyle w:val="naiskr"/>
                    <w:numPr>
                      <w:ilvl w:val="0"/>
                      <w:numId w:val="4"/>
                    </w:numPr>
                    <w:spacing w:before="0" w:after="0"/>
                    <w:ind w:left="435" w:hanging="283"/>
                    <w:jc w:val="both"/>
                  </w:pPr>
                  <w:r w:rsidRPr="00BF52B5">
                    <w:t>E-veselības integrācijas platforma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asinsdonoru centrs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Asins pagatavojumu izsekojamības no donora līdz pacientam vienotā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SIA „Autotransporta direkcija”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5"/>
                    </w:numPr>
                    <w:spacing w:before="0" w:after="0"/>
                    <w:ind w:left="435" w:hanging="283"/>
                    <w:jc w:val="both"/>
                  </w:pPr>
                  <w:r w:rsidRPr="00BF52B5">
                    <w:t>Autopārvadātāju informatīvā datu bāze.</w:t>
                  </w:r>
                </w:p>
                <w:p w:rsidR="003E0F3C" w:rsidRPr="00BF52B5" w:rsidRDefault="003E0F3C" w:rsidP="00082AB2">
                  <w:pPr>
                    <w:pStyle w:val="naiskr"/>
                    <w:numPr>
                      <w:ilvl w:val="0"/>
                      <w:numId w:val="5"/>
                    </w:numPr>
                    <w:spacing w:before="0" w:after="0"/>
                    <w:ind w:left="435" w:hanging="283"/>
                    <w:jc w:val="both"/>
                  </w:pPr>
                  <w:proofErr w:type="spellStart"/>
                  <w:r w:rsidRPr="00BF52B5">
                    <w:t>TACHOnet</w:t>
                  </w:r>
                  <w:proofErr w:type="spellEnd"/>
                  <w:r w:rsidRPr="00BF52B5">
                    <w:t xml:space="preserve"> informatīvā datu bāze.</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Nodarbinātības valsts aģentūra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Bezdarbnieku uzskaites un reģistrēto vakanču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izglītības satura centrs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6"/>
                    </w:numPr>
                    <w:spacing w:before="0" w:after="0"/>
                    <w:ind w:left="435" w:hanging="283"/>
                    <w:jc w:val="both"/>
                  </w:pPr>
                  <w:r w:rsidRPr="00BF52B5">
                    <w:t>Centralizēto eksāmenu rezultātu datu bāze.</w:t>
                  </w:r>
                </w:p>
                <w:p w:rsidR="003E0F3C" w:rsidRPr="00BF52B5" w:rsidRDefault="003E0F3C" w:rsidP="00082AB2">
                  <w:pPr>
                    <w:pStyle w:val="naiskr"/>
                    <w:numPr>
                      <w:ilvl w:val="0"/>
                      <w:numId w:val="6"/>
                    </w:numPr>
                    <w:spacing w:before="0" w:after="0"/>
                    <w:ind w:left="435" w:hanging="283"/>
                    <w:jc w:val="both"/>
                  </w:pPr>
                  <w:r w:rsidRPr="00BF52B5">
                    <w:t>Pieteikumu valsts pārbaudes darbiem datu bāze.</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Veselības un darbspēju ekspertīzes ārstu valsts komisija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Invaliditātes informatīvā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Latvijas Republikas Uzņēmumu reģistrs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7"/>
                    </w:numPr>
                    <w:spacing w:before="0" w:after="0"/>
                    <w:ind w:left="435" w:hanging="283"/>
                    <w:jc w:val="both"/>
                  </w:pPr>
                  <w:r w:rsidRPr="00BF52B5">
                    <w:t>Komercķīlu reģistrs.</w:t>
                  </w:r>
                </w:p>
                <w:p w:rsidR="003E0F3C" w:rsidRPr="00BF52B5" w:rsidRDefault="003E0F3C" w:rsidP="00082AB2">
                  <w:pPr>
                    <w:pStyle w:val="naiskr"/>
                    <w:numPr>
                      <w:ilvl w:val="0"/>
                      <w:numId w:val="7"/>
                    </w:numPr>
                    <w:spacing w:before="0" w:after="0"/>
                    <w:ind w:left="435" w:hanging="283"/>
                    <w:jc w:val="both"/>
                  </w:pPr>
                  <w:r w:rsidRPr="00BF52B5">
                    <w:t>Laulāto mantisko attiecību reģistrs.</w:t>
                  </w:r>
                </w:p>
                <w:p w:rsidR="003E0F3C" w:rsidRPr="00BF52B5" w:rsidRDefault="003E0F3C" w:rsidP="00082AB2">
                  <w:pPr>
                    <w:pStyle w:val="naiskr"/>
                    <w:numPr>
                      <w:ilvl w:val="0"/>
                      <w:numId w:val="7"/>
                    </w:numPr>
                    <w:spacing w:before="0" w:after="0"/>
                    <w:ind w:left="435" w:hanging="283"/>
                    <w:jc w:val="both"/>
                  </w:pPr>
                  <w:r w:rsidRPr="00BF52B5">
                    <w:t>Maksātnespējas reģistrs.</w:t>
                  </w:r>
                </w:p>
                <w:p w:rsidR="003E0F3C" w:rsidRPr="00BF52B5" w:rsidRDefault="003E0F3C" w:rsidP="00082AB2">
                  <w:pPr>
                    <w:pStyle w:val="naiskr"/>
                    <w:numPr>
                      <w:ilvl w:val="0"/>
                      <w:numId w:val="7"/>
                    </w:numPr>
                    <w:spacing w:before="0" w:after="0"/>
                    <w:ind w:left="435" w:hanging="283"/>
                    <w:jc w:val="both"/>
                  </w:pPr>
                  <w:r w:rsidRPr="00BF52B5">
                    <w:t>Uzņēmumu reģistra informācijas sistēma.</w:t>
                  </w:r>
                </w:p>
                <w:p w:rsidR="003E0F3C" w:rsidRPr="00BF52B5" w:rsidRDefault="003E0F3C" w:rsidP="00082AB2">
                  <w:pPr>
                    <w:pStyle w:val="naiskr"/>
                    <w:numPr>
                      <w:ilvl w:val="0"/>
                      <w:numId w:val="7"/>
                    </w:numPr>
                    <w:spacing w:before="0" w:after="0"/>
                    <w:ind w:left="435" w:hanging="283"/>
                    <w:jc w:val="both"/>
                  </w:pPr>
                  <w:r w:rsidRPr="00BF52B5">
                    <w:t>Komercķīlu reģistrs.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Veselības inspekcija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24523C">
                  <w:pPr>
                    <w:pStyle w:val="naiskr"/>
                    <w:numPr>
                      <w:ilvl w:val="0"/>
                      <w:numId w:val="11"/>
                    </w:numPr>
                    <w:spacing w:before="0" w:after="0"/>
                    <w:jc w:val="both"/>
                  </w:pPr>
                  <w:proofErr w:type="spellStart"/>
                  <w:r w:rsidRPr="00BF52B5">
                    <w:t>Arstniecības</w:t>
                  </w:r>
                  <w:proofErr w:type="spellEnd"/>
                  <w:r w:rsidRPr="00BF52B5">
                    <w:t xml:space="preserve"> iestāžu reģistrs</w:t>
                  </w:r>
                </w:p>
                <w:p w:rsidR="003E0F3C" w:rsidRPr="00BF52B5" w:rsidRDefault="003E0F3C" w:rsidP="0024523C">
                  <w:pPr>
                    <w:pStyle w:val="naiskr"/>
                    <w:numPr>
                      <w:ilvl w:val="0"/>
                      <w:numId w:val="11"/>
                    </w:numPr>
                    <w:spacing w:before="0" w:after="0"/>
                    <w:jc w:val="both"/>
                  </w:pPr>
                  <w:r w:rsidRPr="00BF52B5">
                    <w:t>Ārstniecības personu un ārstniecības atbalsta personu reģistrs</w:t>
                  </w:r>
                </w:p>
                <w:p w:rsidR="003E0F3C" w:rsidRPr="00BF52B5" w:rsidRDefault="003E0F3C" w:rsidP="0024523C">
                  <w:pPr>
                    <w:pStyle w:val="naiskr"/>
                    <w:numPr>
                      <w:ilvl w:val="0"/>
                      <w:numId w:val="11"/>
                    </w:numPr>
                    <w:spacing w:before="0" w:after="0"/>
                    <w:jc w:val="both"/>
                  </w:pPr>
                  <w:r w:rsidRPr="00BF52B5">
                    <w:t>Vienotā uzraudzības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augu aizsardzības dienests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Kultūraugu uzraudzības valsts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Zemkopības ministrija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Latvijas zivsaimniecības integrētā kontroles un informācijas sistēma (LZIKIS).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Lauksaimniecības datu centrs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 xml:space="preserve">Lauksaimniecības datu centra informācijas </w:t>
                  </w:r>
                  <w:r w:rsidRPr="00BF52B5">
                    <w:lastRenderedPageBreak/>
                    <w:t>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lastRenderedPageBreak/>
                    <w:t>Lauku atbalsta dienests</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Lauku atbalsta dienesta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Ekonomikas ministrija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Naftas produktu informācijas sistēma NAPRO.</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VSIA "Nacionālais rehabilitācijas centrs "Vaivari""</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No valsts budžeta līdzekļiem finansējamo tehnisko palīglīdzekļu lietotāju reģistrs.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reģionālās attīstības aģentūra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8"/>
                    </w:numPr>
                    <w:spacing w:before="0" w:after="0"/>
                    <w:ind w:left="435" w:hanging="283"/>
                    <w:jc w:val="both"/>
                  </w:pPr>
                  <w:r w:rsidRPr="00BF52B5">
                    <w:t>Elektronisko iepirkumu sistēma.</w:t>
                  </w:r>
                </w:p>
                <w:p w:rsidR="003E0F3C" w:rsidRPr="00BF52B5" w:rsidRDefault="003E0F3C" w:rsidP="00082AB2">
                  <w:pPr>
                    <w:pStyle w:val="naiskr"/>
                    <w:numPr>
                      <w:ilvl w:val="0"/>
                      <w:numId w:val="8"/>
                    </w:numPr>
                    <w:spacing w:before="0" w:after="0"/>
                    <w:ind w:left="435" w:hanging="283"/>
                    <w:jc w:val="both"/>
                  </w:pPr>
                  <w:r w:rsidRPr="00BF52B5">
                    <w:t>Pašvaldību vienotā informācijas sistēma.</w:t>
                  </w:r>
                </w:p>
                <w:p w:rsidR="003E0F3C" w:rsidRPr="00BF52B5" w:rsidRDefault="003E0F3C" w:rsidP="00082AB2">
                  <w:pPr>
                    <w:pStyle w:val="naiskr"/>
                    <w:numPr>
                      <w:ilvl w:val="0"/>
                      <w:numId w:val="8"/>
                    </w:numPr>
                    <w:spacing w:before="0" w:after="0"/>
                    <w:ind w:left="435" w:hanging="283"/>
                    <w:jc w:val="both"/>
                  </w:pPr>
                  <w:r w:rsidRPr="00BF52B5">
                    <w:t>Vienotais valsts un pašvaldību pakalpojumu portāls.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sociālās apdrošināšanas aģentūra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Sociālās apdrošināšanas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Ceļu satiksmes drošības direkcija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9"/>
                    </w:numPr>
                    <w:spacing w:before="0" w:after="0"/>
                    <w:ind w:left="435" w:hanging="283"/>
                    <w:jc w:val="both"/>
                  </w:pPr>
                  <w:r w:rsidRPr="00BF52B5">
                    <w:t>Transportlīdzekļu un to numurēto agregātu tirdzniecības reģistrs.</w:t>
                  </w:r>
                </w:p>
                <w:p w:rsidR="003E0F3C" w:rsidRPr="00BF52B5" w:rsidRDefault="003E0F3C" w:rsidP="00082AB2">
                  <w:pPr>
                    <w:pStyle w:val="naiskr"/>
                    <w:numPr>
                      <w:ilvl w:val="0"/>
                      <w:numId w:val="9"/>
                    </w:numPr>
                    <w:spacing w:before="0" w:after="0"/>
                    <w:ind w:left="435" w:hanging="283"/>
                    <w:jc w:val="both"/>
                  </w:pPr>
                  <w:r w:rsidRPr="00BF52B5">
                    <w:t>Transportlīdzekļu un to vadītāju valsts reģistrs.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Valsts kultūras pieminekļu aizsardzības inspekcija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Valsts aizsargājamo kultūras pieminekļu reģistrs.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Izglītības un zinātnes ministrija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Valsts izglītības informācijas sistēma.</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Juridiskās palīdzības administrācija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numPr>
                      <w:ilvl w:val="0"/>
                      <w:numId w:val="10"/>
                    </w:numPr>
                    <w:spacing w:before="0" w:after="0"/>
                    <w:ind w:left="435" w:hanging="283"/>
                    <w:jc w:val="both"/>
                  </w:pPr>
                  <w:r w:rsidRPr="00BF52B5">
                    <w:t>Valsts kompensācijas reģistrs.</w:t>
                  </w:r>
                </w:p>
                <w:p w:rsidR="003E0F3C" w:rsidRPr="00BF52B5" w:rsidRDefault="003E0F3C" w:rsidP="00082AB2">
                  <w:pPr>
                    <w:pStyle w:val="naiskr"/>
                    <w:numPr>
                      <w:ilvl w:val="0"/>
                      <w:numId w:val="10"/>
                    </w:numPr>
                    <w:spacing w:before="0" w:after="0"/>
                    <w:ind w:left="435" w:hanging="283"/>
                    <w:jc w:val="both"/>
                  </w:pPr>
                  <w:r w:rsidRPr="00BF52B5">
                    <w:t>Valsts nodrošinātās juridiskās palīdzības reģistrs.</w:t>
                  </w:r>
                </w:p>
              </w:tc>
            </w:tr>
            <w:tr w:rsidR="003E0F3C" w:rsidTr="0089041C">
              <w:tc>
                <w:tcPr>
                  <w:tcW w:w="3076" w:type="dxa"/>
                  <w:tcBorders>
                    <w:top w:val="single" w:sz="4" w:space="0" w:color="000000"/>
                    <w:left w:val="single" w:sz="4" w:space="0" w:color="000000"/>
                    <w:bottom w:val="single" w:sz="4" w:space="0" w:color="000000"/>
                    <w:right w:val="single" w:sz="4" w:space="0" w:color="000000"/>
                  </w:tcBorders>
                </w:tcPr>
                <w:p w:rsidR="003E0F3C" w:rsidRPr="00BF52B5" w:rsidRDefault="003E0F3C" w:rsidP="0089041C">
                  <w:pPr>
                    <w:pStyle w:val="naiskr"/>
                    <w:spacing w:before="0" w:after="0"/>
                    <w:jc w:val="center"/>
                  </w:pPr>
                  <w:r w:rsidRPr="00BF52B5">
                    <w:t>Tieslietu ministrija</w:t>
                  </w:r>
                </w:p>
              </w:tc>
              <w:tc>
                <w:tcPr>
                  <w:tcW w:w="4371" w:type="dxa"/>
                  <w:tcBorders>
                    <w:top w:val="single" w:sz="4" w:space="0" w:color="000000"/>
                    <w:left w:val="single" w:sz="4" w:space="0" w:color="000000"/>
                    <w:bottom w:val="single" w:sz="4" w:space="0" w:color="000000"/>
                    <w:right w:val="single" w:sz="4" w:space="0" w:color="000000"/>
                  </w:tcBorders>
                </w:tcPr>
                <w:p w:rsidR="003E0F3C" w:rsidRPr="00BF52B5" w:rsidRDefault="003E0F3C" w:rsidP="00082AB2">
                  <w:pPr>
                    <w:pStyle w:val="naiskr"/>
                    <w:spacing w:before="0" w:after="0"/>
                    <w:jc w:val="both"/>
                  </w:pPr>
                  <w:r w:rsidRPr="00BF52B5">
                    <w:t>Valsts vienotā datorizētā zemesgrāmata.</w:t>
                  </w:r>
                </w:p>
              </w:tc>
            </w:tr>
          </w:tbl>
          <w:p w:rsidR="003E0F3C" w:rsidRDefault="003E0F3C" w:rsidP="00DB20E8">
            <w:pPr>
              <w:tabs>
                <w:tab w:val="left" w:pos="585"/>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6"/>
              <w:gridCol w:w="4371"/>
            </w:tblGrid>
            <w:tr w:rsidR="003E0F3C" w:rsidTr="00DB20E8">
              <w:tc>
                <w:tcPr>
                  <w:tcW w:w="3076" w:type="dxa"/>
                  <w:tcBorders>
                    <w:top w:val="single" w:sz="4" w:space="0" w:color="000000"/>
                    <w:left w:val="single" w:sz="4" w:space="0" w:color="000000"/>
                    <w:bottom w:val="single" w:sz="4" w:space="0" w:color="000000"/>
                    <w:right w:val="single" w:sz="4" w:space="0" w:color="000000"/>
                  </w:tcBorders>
                </w:tcPr>
                <w:p w:rsidR="003E0F3C" w:rsidRPr="007F084B" w:rsidRDefault="003E0F3C" w:rsidP="005151EA">
                  <w:pPr>
                    <w:pStyle w:val="naiskr"/>
                    <w:spacing w:before="0" w:after="0"/>
                    <w:rPr>
                      <w:b/>
                    </w:rPr>
                  </w:pPr>
                  <w:r>
                    <w:rPr>
                      <w:b/>
                    </w:rPr>
                    <w:t>Valsts informācijas</w:t>
                  </w:r>
                  <w:r w:rsidRPr="007F084B">
                    <w:rPr>
                      <w:b/>
                    </w:rPr>
                    <w:t xml:space="preserve"> </w:t>
                  </w:r>
                  <w:r>
                    <w:rPr>
                      <w:b/>
                    </w:rPr>
                    <w:t>sistēmu skaits, kurām</w:t>
                  </w:r>
                  <w:r w:rsidRPr="007F084B">
                    <w:rPr>
                      <w:b/>
                    </w:rPr>
                    <w:t xml:space="preserve"> nepieciešams papildus finansējums konkrētā servisa nodrošināšanai.</w:t>
                  </w:r>
                </w:p>
              </w:tc>
              <w:tc>
                <w:tcPr>
                  <w:tcW w:w="4371" w:type="dxa"/>
                  <w:tcBorders>
                    <w:top w:val="single" w:sz="4" w:space="0" w:color="000000"/>
                    <w:left w:val="single" w:sz="4" w:space="0" w:color="000000"/>
                    <w:bottom w:val="single" w:sz="4" w:space="0" w:color="000000"/>
                    <w:right w:val="single" w:sz="4" w:space="0" w:color="000000"/>
                  </w:tcBorders>
                </w:tcPr>
                <w:p w:rsidR="003E0F3C" w:rsidRPr="007F084B" w:rsidRDefault="003E0F3C" w:rsidP="00944215">
                  <w:pPr>
                    <w:pStyle w:val="naiskr"/>
                    <w:spacing w:before="0" w:after="0"/>
                    <w:rPr>
                      <w:b/>
                    </w:rPr>
                  </w:pPr>
                  <w:r w:rsidRPr="007F084B">
                    <w:rPr>
                      <w:b/>
                    </w:rPr>
                    <w:t>Nodrošināmais serviss.</w:t>
                  </w:r>
                </w:p>
              </w:tc>
            </w:tr>
            <w:tr w:rsidR="003E0F3C" w:rsidTr="00DB20E8">
              <w:tc>
                <w:tcPr>
                  <w:tcW w:w="3076" w:type="dxa"/>
                  <w:tcBorders>
                    <w:top w:val="single" w:sz="4" w:space="0" w:color="000000"/>
                    <w:left w:val="single" w:sz="4" w:space="0" w:color="000000"/>
                    <w:bottom w:val="single" w:sz="4" w:space="0" w:color="000000"/>
                    <w:right w:val="single" w:sz="4" w:space="0" w:color="000000"/>
                  </w:tcBorders>
                </w:tcPr>
                <w:p w:rsidR="003E0F3C" w:rsidRDefault="003E0F3C" w:rsidP="00451CE9">
                  <w:pPr>
                    <w:pStyle w:val="naiskr"/>
                    <w:spacing w:before="0" w:after="0"/>
                    <w:jc w:val="center"/>
                  </w:pPr>
                  <w:r>
                    <w:t>9</w:t>
                  </w:r>
                </w:p>
              </w:tc>
              <w:tc>
                <w:tcPr>
                  <w:tcW w:w="4371" w:type="dxa"/>
                  <w:tcBorders>
                    <w:top w:val="single" w:sz="4" w:space="0" w:color="000000"/>
                    <w:left w:val="single" w:sz="4" w:space="0" w:color="000000"/>
                    <w:bottom w:val="single" w:sz="4" w:space="0" w:color="000000"/>
                    <w:right w:val="single" w:sz="4" w:space="0" w:color="000000"/>
                  </w:tcBorders>
                </w:tcPr>
                <w:p w:rsidR="003E0F3C" w:rsidRPr="009724F8" w:rsidRDefault="003E0F3C" w:rsidP="00944215">
                  <w:pPr>
                    <w:pStyle w:val="naiskr"/>
                    <w:spacing w:before="0" w:after="0"/>
                    <w:rPr>
                      <w:highlight w:val="yellow"/>
                    </w:rPr>
                  </w:pPr>
                  <w:r w:rsidRPr="009F1555">
                    <w:t>Rezerves Internet pieslēgums.</w:t>
                  </w:r>
                </w:p>
              </w:tc>
            </w:tr>
            <w:tr w:rsidR="003E0F3C" w:rsidTr="00DB20E8">
              <w:tc>
                <w:tcPr>
                  <w:tcW w:w="3076" w:type="dxa"/>
                  <w:tcBorders>
                    <w:top w:val="single" w:sz="4" w:space="0" w:color="000000"/>
                    <w:left w:val="single" w:sz="4" w:space="0" w:color="000000"/>
                    <w:bottom w:val="single" w:sz="4" w:space="0" w:color="000000"/>
                    <w:right w:val="single" w:sz="4" w:space="0" w:color="000000"/>
                  </w:tcBorders>
                </w:tcPr>
                <w:p w:rsidR="003E0F3C" w:rsidRDefault="003E0F3C" w:rsidP="00451CE9">
                  <w:pPr>
                    <w:pStyle w:val="naiskr"/>
                    <w:spacing w:before="0" w:after="0"/>
                    <w:jc w:val="center"/>
                  </w:pPr>
                  <w:r>
                    <w:t>33</w:t>
                  </w:r>
                </w:p>
              </w:tc>
              <w:tc>
                <w:tcPr>
                  <w:tcW w:w="4371" w:type="dxa"/>
                  <w:tcBorders>
                    <w:top w:val="single" w:sz="4" w:space="0" w:color="000000"/>
                    <w:left w:val="single" w:sz="4" w:space="0" w:color="000000"/>
                    <w:bottom w:val="single" w:sz="4" w:space="0" w:color="000000"/>
                    <w:right w:val="single" w:sz="4" w:space="0" w:color="000000"/>
                  </w:tcBorders>
                </w:tcPr>
                <w:p w:rsidR="003E0F3C" w:rsidRPr="009724F8" w:rsidRDefault="003E0F3C" w:rsidP="00944215">
                  <w:pPr>
                    <w:pStyle w:val="naiskr"/>
                    <w:spacing w:before="0" w:after="0"/>
                    <w:rPr>
                      <w:highlight w:val="yellow"/>
                    </w:rPr>
                  </w:pPr>
                  <w:r w:rsidRPr="009F1555">
                    <w:t>Rezerves kopiju glabāšanas prasību nodrošināšana (ugunsdrošs seifs).</w:t>
                  </w:r>
                </w:p>
              </w:tc>
            </w:tr>
          </w:tbl>
          <w:p w:rsidR="003E0F3C" w:rsidRDefault="003E0F3C" w:rsidP="00DB20E8">
            <w:pPr>
              <w:pStyle w:val="naisk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36"/>
              <w:gridCol w:w="4311"/>
            </w:tblGrid>
            <w:tr w:rsidR="003E0F3C" w:rsidTr="00DB20E8">
              <w:tc>
                <w:tcPr>
                  <w:tcW w:w="3136" w:type="dxa"/>
                  <w:tcBorders>
                    <w:top w:val="single" w:sz="4" w:space="0" w:color="000000"/>
                    <w:left w:val="single" w:sz="4" w:space="0" w:color="000000"/>
                    <w:bottom w:val="single" w:sz="4" w:space="0" w:color="000000"/>
                    <w:right w:val="single" w:sz="4" w:space="0" w:color="000000"/>
                  </w:tcBorders>
                </w:tcPr>
                <w:p w:rsidR="003E0F3C" w:rsidRPr="007F084B" w:rsidRDefault="003E0F3C" w:rsidP="00944215">
                  <w:pPr>
                    <w:pStyle w:val="naiskr"/>
                    <w:spacing w:before="0" w:after="0"/>
                    <w:rPr>
                      <w:b/>
                    </w:rPr>
                  </w:pPr>
                  <w:r w:rsidRPr="007F084B">
                    <w:rPr>
                      <w:b/>
                    </w:rPr>
                    <w:t>Nodrošināmais serviss.</w:t>
                  </w:r>
                </w:p>
              </w:tc>
              <w:tc>
                <w:tcPr>
                  <w:tcW w:w="4311" w:type="dxa"/>
                  <w:tcBorders>
                    <w:top w:val="single" w:sz="4" w:space="0" w:color="000000"/>
                    <w:left w:val="single" w:sz="4" w:space="0" w:color="000000"/>
                    <w:bottom w:val="single" w:sz="4" w:space="0" w:color="000000"/>
                    <w:right w:val="single" w:sz="4" w:space="0" w:color="000000"/>
                  </w:tcBorders>
                </w:tcPr>
                <w:p w:rsidR="003E0F3C" w:rsidRPr="007F084B" w:rsidRDefault="003E0F3C" w:rsidP="00944215">
                  <w:pPr>
                    <w:pStyle w:val="naiskr"/>
                    <w:spacing w:before="0" w:after="0"/>
                    <w:rPr>
                      <w:b/>
                    </w:rPr>
                  </w:pPr>
                  <w:r w:rsidRPr="007F084B">
                    <w:rPr>
                      <w:b/>
                    </w:rPr>
                    <w:t>Aptuvenās izmaksas. (tūkst. latu)</w:t>
                  </w:r>
                </w:p>
              </w:tc>
            </w:tr>
            <w:tr w:rsidR="003E0F3C" w:rsidTr="00DB20E8">
              <w:tc>
                <w:tcPr>
                  <w:tcW w:w="3136"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pPr>
                  <w:r>
                    <w:t>Rezerves Internet pieslēgums (ierīkošana)</w:t>
                  </w:r>
                </w:p>
              </w:tc>
              <w:tc>
                <w:tcPr>
                  <w:tcW w:w="4311"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jc w:val="center"/>
                  </w:pPr>
                  <w:r>
                    <w:t>0.2</w:t>
                  </w:r>
                </w:p>
              </w:tc>
            </w:tr>
            <w:tr w:rsidR="003E0F3C" w:rsidTr="00DB20E8">
              <w:tc>
                <w:tcPr>
                  <w:tcW w:w="3136"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pPr>
                  <w:r>
                    <w:t>Rezerves Internet pieslēgums (uzturēšana mēnesī)</w:t>
                  </w:r>
                </w:p>
              </w:tc>
              <w:tc>
                <w:tcPr>
                  <w:tcW w:w="4311"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jc w:val="center"/>
                  </w:pPr>
                  <w:r>
                    <w:t>0.1</w:t>
                  </w:r>
                </w:p>
              </w:tc>
            </w:tr>
            <w:tr w:rsidR="003E0F3C" w:rsidTr="00DB20E8">
              <w:tc>
                <w:tcPr>
                  <w:tcW w:w="3136"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pPr>
                  <w:r>
                    <w:t>Rezerves kopiju glabāšanas prasību nodrošināšana (ugunsdrošs seifs).</w:t>
                  </w:r>
                </w:p>
              </w:tc>
              <w:tc>
                <w:tcPr>
                  <w:tcW w:w="4311" w:type="dxa"/>
                  <w:tcBorders>
                    <w:top w:val="single" w:sz="4" w:space="0" w:color="000000"/>
                    <w:left w:val="single" w:sz="4" w:space="0" w:color="000000"/>
                    <w:bottom w:val="single" w:sz="4" w:space="0" w:color="000000"/>
                    <w:right w:val="single" w:sz="4" w:space="0" w:color="000000"/>
                  </w:tcBorders>
                </w:tcPr>
                <w:p w:rsidR="003E0F3C" w:rsidRDefault="003E0F3C" w:rsidP="00944215">
                  <w:pPr>
                    <w:pStyle w:val="naiskr"/>
                    <w:spacing w:before="0" w:after="0"/>
                    <w:jc w:val="center"/>
                  </w:pPr>
                  <w:r>
                    <w:t>0.4</w:t>
                  </w:r>
                </w:p>
              </w:tc>
            </w:tr>
          </w:tbl>
          <w:p w:rsidR="003E0F3C" w:rsidRDefault="003E0F3C" w:rsidP="00944215">
            <w:pPr>
              <w:jc w:val="both"/>
            </w:pPr>
            <w:r>
              <w:t>I</w:t>
            </w:r>
            <w:r w:rsidRPr="008B5D03">
              <w:t>ntegrētā valsts informācijas sistēmā ietilpstošo valst</w:t>
            </w:r>
            <w:r>
              <w:t>s informācijas sistēmu pārziņi un institūcijas</w:t>
            </w:r>
            <w:r w:rsidRPr="008B5D03">
              <w:t>, kura</w:t>
            </w:r>
            <w:r>
              <w:t>s</w:t>
            </w:r>
            <w:r w:rsidRPr="008B5D03">
              <w:t xml:space="preserve"> nodrošina valsts informācijas sistēmu savietotāja darbību</w:t>
            </w:r>
            <w:r>
              <w:t xml:space="preserve">, </w:t>
            </w:r>
            <w:r w:rsidRPr="001062DD">
              <w:t>noteikumu prasības nodrošinās piešķirto budžeta līdzekļu ietvaros</w:t>
            </w:r>
            <w:r>
              <w:t>.</w:t>
            </w:r>
          </w:p>
        </w:tc>
      </w:tr>
    </w:tbl>
    <w:p w:rsidR="003E0F3C" w:rsidRDefault="003E0F3C" w:rsidP="00A039D6">
      <w:pPr>
        <w:tabs>
          <w:tab w:val="left" w:pos="1095"/>
        </w:tabs>
      </w:pPr>
    </w:p>
    <w:p w:rsidR="003E0F3C" w:rsidRDefault="003E0F3C" w:rsidP="00A039D6">
      <w:pPr>
        <w:tabs>
          <w:tab w:val="left" w:pos="1095"/>
        </w:tabs>
      </w:pPr>
    </w:p>
    <w:tbl>
      <w:tblPr>
        <w:tblW w:w="5050" w:type="pct"/>
        <w:jc w:val="righ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9"/>
        <w:gridCol w:w="3134"/>
        <w:gridCol w:w="5839"/>
      </w:tblGrid>
      <w:tr w:rsidR="003E0F3C" w:rsidRPr="00FC36FB" w:rsidTr="00B76371">
        <w:trPr>
          <w:jc w:val="right"/>
        </w:trPr>
        <w:tc>
          <w:tcPr>
            <w:tcW w:w="5000" w:type="pct"/>
            <w:gridSpan w:val="3"/>
            <w:tcBorders>
              <w:top w:val="outset" w:sz="6" w:space="0" w:color="000000"/>
              <w:bottom w:val="outset" w:sz="6" w:space="0" w:color="000000"/>
            </w:tcBorders>
          </w:tcPr>
          <w:p w:rsidR="003E0F3C" w:rsidRPr="00FC36FB" w:rsidRDefault="003E0F3C" w:rsidP="00D65639">
            <w:pPr>
              <w:pStyle w:val="NormalWeb"/>
              <w:jc w:val="center"/>
              <w:rPr>
                <w:b/>
                <w:bCs/>
              </w:rPr>
            </w:pPr>
            <w:r>
              <w:rPr>
                <w:b/>
                <w:bCs/>
              </w:rPr>
              <w:lastRenderedPageBreak/>
              <w:t>VI</w:t>
            </w:r>
            <w:r w:rsidRPr="00FC36FB">
              <w:rPr>
                <w:b/>
                <w:bCs/>
              </w:rPr>
              <w:t xml:space="preserve">. </w:t>
            </w:r>
            <w:r w:rsidRPr="00F91E97">
              <w:rPr>
                <w:b/>
                <w:bCs/>
              </w:rPr>
              <w:t>Sabiedrības līdzdalība un šīs līdzdalības rezultāti</w:t>
            </w:r>
          </w:p>
        </w:tc>
      </w:tr>
      <w:tr w:rsidR="003E0F3C" w:rsidRPr="00FC36FB" w:rsidTr="00B7637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FC36FB">
              <w:t>1.</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D65639">
              <w:t>Sabiedrības informēšana par projekta izstrādes uzsākšanu</w:t>
            </w:r>
          </w:p>
        </w:tc>
        <w:tc>
          <w:tcPr>
            <w:tcW w:w="3166" w:type="pct"/>
            <w:tcBorders>
              <w:top w:val="outset" w:sz="6" w:space="0" w:color="000000"/>
              <w:left w:val="outset" w:sz="6" w:space="0" w:color="000000"/>
              <w:bottom w:val="outset" w:sz="6" w:space="0" w:color="000000"/>
            </w:tcBorders>
          </w:tcPr>
          <w:p w:rsidR="003E0F3C" w:rsidRPr="00BF52B5" w:rsidRDefault="003E0F3C" w:rsidP="00D65639">
            <w:pPr>
              <w:spacing w:before="100" w:beforeAutospacing="1" w:after="100" w:afterAutospacing="1"/>
              <w:jc w:val="both"/>
            </w:pPr>
            <w:r w:rsidRPr="00BF52B5">
              <w:t>2011.gada 12.decembrī noteikumu projekts tika elektroniski nosūtīts saskaņošanai ar Latvijas atvērto tehnoloģiju asociāciju un biedrība "Latvijas Informācijas un komunikācijas tehnoloģijas asociāciju".</w:t>
            </w:r>
          </w:p>
        </w:tc>
      </w:tr>
      <w:tr w:rsidR="003E0F3C" w:rsidRPr="00FC36FB" w:rsidTr="00B7637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FC36FB">
              <w:t>2.</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D65639">
              <w:t>Sabiedrības līdzdalība projekta izstrādē</w:t>
            </w:r>
          </w:p>
        </w:tc>
        <w:tc>
          <w:tcPr>
            <w:tcW w:w="3166" w:type="pct"/>
            <w:tcBorders>
              <w:top w:val="outset" w:sz="6" w:space="0" w:color="000000"/>
              <w:left w:val="outset" w:sz="6" w:space="0" w:color="000000"/>
              <w:bottom w:val="outset" w:sz="6" w:space="0" w:color="000000"/>
            </w:tcBorders>
          </w:tcPr>
          <w:p w:rsidR="003E0F3C" w:rsidRPr="00BF52B5" w:rsidRDefault="003E0F3C" w:rsidP="00B76371">
            <w:pPr>
              <w:jc w:val="both"/>
            </w:pPr>
            <w:r w:rsidRPr="00BF52B5">
              <w:t>Latvijas atvērto tehnoloģiju asociācija un biedrība "Latvijas Informācijas un komunikācijas tehnoloģijas asociāciju" ir vadošās nevalstiskās organizācijas Latvijā informācijas tehnoloģiju jomā.</w:t>
            </w:r>
          </w:p>
          <w:p w:rsidR="003E0F3C" w:rsidRPr="00BF52B5" w:rsidRDefault="003E0F3C" w:rsidP="00B76371">
            <w:pPr>
              <w:jc w:val="both"/>
            </w:pPr>
            <w:r w:rsidRPr="00BF52B5">
              <w:t xml:space="preserve">2011.gada 21.decembrī tika organizēta saskaņošanas sanāksme kurā tika apspriesti minēto nevalstisko organizāciju priekšlikumi saistībā ar noteikumu projektu. </w:t>
            </w:r>
          </w:p>
        </w:tc>
      </w:tr>
      <w:tr w:rsidR="003E0F3C" w:rsidRPr="00FC36FB" w:rsidTr="00B7637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FC36FB">
              <w:t>3.</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D65639">
              <w:t>Sabiedrības līdzdalības rezultāti</w:t>
            </w:r>
          </w:p>
        </w:tc>
        <w:tc>
          <w:tcPr>
            <w:tcW w:w="3166" w:type="pct"/>
            <w:tcBorders>
              <w:top w:val="outset" w:sz="6" w:space="0" w:color="000000"/>
              <w:left w:val="outset" w:sz="6" w:space="0" w:color="000000"/>
              <w:bottom w:val="outset" w:sz="6" w:space="0" w:color="000000"/>
            </w:tcBorders>
          </w:tcPr>
          <w:p w:rsidR="003E0F3C" w:rsidRDefault="003E0F3C" w:rsidP="003B1D9B">
            <w:pPr>
              <w:jc w:val="both"/>
              <w:rPr>
                <w:bCs/>
              </w:rPr>
            </w:pPr>
            <w:r w:rsidRPr="0032511A">
              <w:rPr>
                <w:bCs/>
              </w:rPr>
              <w:t>Augstāk minētās neva</w:t>
            </w:r>
            <w:r>
              <w:rPr>
                <w:bCs/>
              </w:rPr>
              <w:t xml:space="preserve">lstiskās organizācijas atbalsta </w:t>
            </w:r>
            <w:r w:rsidRPr="0032511A">
              <w:rPr>
                <w:bCs/>
              </w:rPr>
              <w:t>noteikumu projekta tālāko virzību</w:t>
            </w:r>
            <w:r>
              <w:rPr>
                <w:bCs/>
              </w:rPr>
              <w:t>.</w:t>
            </w:r>
          </w:p>
          <w:p w:rsidR="003E0F3C" w:rsidRPr="00BF52B5" w:rsidRDefault="003E0F3C" w:rsidP="003B1D9B">
            <w:pPr>
              <w:jc w:val="both"/>
              <w:rPr>
                <w:bCs/>
              </w:rPr>
            </w:pPr>
            <w:r w:rsidRPr="00BF52B5">
              <w:rPr>
                <w:bCs/>
              </w:rPr>
              <w:t>Galvenie nevalstisko organizāciju priekšlikumi skāra sistēmas datu apmaiņas nodrošināšanas prasības, prasības sistēmas datu rezerves kopiju veidošanai un glabāšanai kā arī sistēmas monitoringa prasības.</w:t>
            </w:r>
          </w:p>
          <w:p w:rsidR="003E0F3C" w:rsidRPr="008E7412" w:rsidRDefault="003E0F3C" w:rsidP="003B1D9B">
            <w:pPr>
              <w:jc w:val="both"/>
              <w:rPr>
                <w:bCs/>
              </w:rPr>
            </w:pPr>
            <w:r w:rsidRPr="00BF52B5">
              <w:rPr>
                <w:bCs/>
              </w:rPr>
              <w:t>Nevalstisko organizāciju priekšlikumi tika ņemti vērā iestrādājot attiecīgos labojumus noteikumu projektā.</w:t>
            </w:r>
          </w:p>
        </w:tc>
      </w:tr>
      <w:tr w:rsidR="003E0F3C" w:rsidRPr="00FC36FB" w:rsidTr="00B7637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FC36FB">
              <w:t>4.</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D65639">
              <w:t>Saeimas un ekspertu līdzdalība</w:t>
            </w:r>
          </w:p>
        </w:tc>
        <w:tc>
          <w:tcPr>
            <w:tcW w:w="3166" w:type="pct"/>
            <w:tcBorders>
              <w:top w:val="outset" w:sz="6" w:space="0" w:color="000000"/>
              <w:left w:val="outset" w:sz="6" w:space="0" w:color="000000"/>
              <w:bottom w:val="outset" w:sz="6" w:space="0" w:color="000000"/>
            </w:tcBorders>
          </w:tcPr>
          <w:p w:rsidR="003E0F3C" w:rsidRPr="00FC36FB" w:rsidRDefault="003E0F3C" w:rsidP="00B76371">
            <w:pPr>
              <w:spacing w:before="100" w:beforeAutospacing="1" w:after="100" w:afterAutospacing="1"/>
            </w:pPr>
            <w:r w:rsidRPr="00D65639">
              <w:rPr>
                <w:bCs/>
              </w:rPr>
              <w:t>Projekts šo jomu neskar.</w:t>
            </w:r>
          </w:p>
        </w:tc>
      </w:tr>
      <w:tr w:rsidR="003E0F3C" w:rsidRPr="00FC36FB" w:rsidTr="00B7637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t>5</w:t>
            </w:r>
            <w:r w:rsidRPr="00FC36FB">
              <w:t>.</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B76371">
            <w:pPr>
              <w:spacing w:before="100" w:beforeAutospacing="1" w:after="100" w:afterAutospacing="1"/>
            </w:pPr>
            <w:r w:rsidRPr="00FC36FB">
              <w:t>Cita informācija</w:t>
            </w:r>
          </w:p>
        </w:tc>
        <w:tc>
          <w:tcPr>
            <w:tcW w:w="3166" w:type="pct"/>
            <w:tcBorders>
              <w:top w:val="outset" w:sz="6" w:space="0" w:color="000000"/>
              <w:left w:val="outset" w:sz="6" w:space="0" w:color="000000"/>
              <w:bottom w:val="outset" w:sz="6" w:space="0" w:color="000000"/>
            </w:tcBorders>
          </w:tcPr>
          <w:p w:rsidR="003E0F3C" w:rsidRPr="00FC36FB" w:rsidRDefault="003E0F3C" w:rsidP="00B76371">
            <w:pPr>
              <w:spacing w:before="100" w:beforeAutospacing="1" w:after="100" w:afterAutospacing="1"/>
            </w:pPr>
            <w:r w:rsidRPr="00FC36FB">
              <w:t>Nav</w:t>
            </w:r>
            <w:r>
              <w:t>.</w:t>
            </w:r>
          </w:p>
        </w:tc>
      </w:tr>
    </w:tbl>
    <w:p w:rsidR="003E0F3C" w:rsidRDefault="003E0F3C" w:rsidP="00A039D6">
      <w:pPr>
        <w:tabs>
          <w:tab w:val="left" w:pos="1095"/>
        </w:tabs>
      </w:pPr>
    </w:p>
    <w:p w:rsidR="003E0F3C" w:rsidRDefault="003E0F3C" w:rsidP="00A039D6">
      <w:pPr>
        <w:tabs>
          <w:tab w:val="left" w:pos="1095"/>
        </w:tabs>
      </w:pPr>
    </w:p>
    <w:tbl>
      <w:tblPr>
        <w:tblW w:w="5050" w:type="pct"/>
        <w:jc w:val="righ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9"/>
        <w:gridCol w:w="3134"/>
        <w:gridCol w:w="5839"/>
      </w:tblGrid>
      <w:tr w:rsidR="003E0F3C" w:rsidRPr="00FC36FB" w:rsidTr="002414D2">
        <w:trPr>
          <w:jc w:val="right"/>
        </w:trPr>
        <w:tc>
          <w:tcPr>
            <w:tcW w:w="5000" w:type="pct"/>
            <w:gridSpan w:val="3"/>
            <w:tcBorders>
              <w:top w:val="outset" w:sz="6" w:space="0" w:color="000000"/>
              <w:bottom w:val="outset" w:sz="6" w:space="0" w:color="000000"/>
            </w:tcBorders>
          </w:tcPr>
          <w:p w:rsidR="003E0F3C" w:rsidRPr="00FC36FB" w:rsidRDefault="003E0F3C" w:rsidP="008975F3">
            <w:pPr>
              <w:pStyle w:val="NormalWeb"/>
              <w:jc w:val="both"/>
              <w:rPr>
                <w:b/>
                <w:bCs/>
              </w:rPr>
            </w:pPr>
            <w:r w:rsidRPr="00FC36FB">
              <w:rPr>
                <w:b/>
                <w:bCs/>
              </w:rPr>
              <w:t>VII. Tiesību akta projekta izpildes nodrošināšana un tās ietekme uz institūcijām</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1.</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Projekta izpildē iesaistītās institūcijas</w:t>
            </w:r>
          </w:p>
        </w:tc>
        <w:tc>
          <w:tcPr>
            <w:tcW w:w="3166" w:type="pct"/>
            <w:tcBorders>
              <w:top w:val="outset" w:sz="6" w:space="0" w:color="000000"/>
              <w:left w:val="outset" w:sz="6" w:space="0" w:color="000000"/>
              <w:bottom w:val="outset" w:sz="6" w:space="0" w:color="000000"/>
            </w:tcBorders>
          </w:tcPr>
          <w:p w:rsidR="003E0F3C" w:rsidRPr="00BF52B5" w:rsidRDefault="003E0F3C" w:rsidP="0013690E">
            <w:pPr>
              <w:jc w:val="both"/>
            </w:pPr>
            <w:r w:rsidRPr="00BF52B5">
              <w:t>Noteikumu projekts attiecas uz integrētā valsts informācijas sistēmā ietilpstošo valsts informācijas sistēmu pārziņiem un institūciju, kura nodrošina valsts informācijas sistēmu savietotāja darbību.</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2.</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Projekta izpildes ietekme uz pārvaldes funkcijām</w:t>
            </w:r>
          </w:p>
        </w:tc>
        <w:tc>
          <w:tcPr>
            <w:tcW w:w="3166" w:type="pct"/>
            <w:tcBorders>
              <w:top w:val="outset" w:sz="6" w:space="0" w:color="000000"/>
              <w:left w:val="outset" w:sz="6" w:space="0" w:color="000000"/>
              <w:bottom w:val="outset" w:sz="6" w:space="0" w:color="000000"/>
            </w:tcBorders>
          </w:tcPr>
          <w:p w:rsidR="003E0F3C" w:rsidRDefault="003E0F3C" w:rsidP="008975F3">
            <w:pPr>
              <w:jc w:val="both"/>
            </w:pPr>
            <w:r w:rsidRPr="00C90CE7">
              <w:t>Noteikumu projekta izpilde tiks nodrošināta esošo institūciju līdzšinējo funkciju ietvaros.</w:t>
            </w:r>
          </w:p>
          <w:p w:rsidR="003E0F3C" w:rsidRPr="00FC36FB" w:rsidRDefault="003E0F3C" w:rsidP="004D2ACA">
            <w:pPr>
              <w:jc w:val="both"/>
            </w:pPr>
            <w:r>
              <w:t xml:space="preserve">Minētajiem valsts informācijas sistēmu pārziņiem un institūcijām, kuras nodrošina </w:t>
            </w:r>
            <w:r w:rsidRPr="00C90CE7">
              <w:t>valsts informāci</w:t>
            </w:r>
            <w:r>
              <w:t xml:space="preserve">jas sistēmu savietotāja darbību, būs jānodrošina noteikumu projektā noteikto prasību izpildi. </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3.</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Projekta izpildes ietekme uz pārvaldes institucionālo struktūru.</w:t>
            </w:r>
          </w:p>
          <w:p w:rsidR="003E0F3C" w:rsidRPr="00FC36FB" w:rsidRDefault="003E0F3C" w:rsidP="008975F3">
            <w:pPr>
              <w:spacing w:before="100" w:beforeAutospacing="1" w:after="100" w:afterAutospacing="1"/>
            </w:pPr>
            <w:r w:rsidRPr="00FC36FB">
              <w:t>Jaunu institūciju izveide</w:t>
            </w:r>
          </w:p>
        </w:tc>
        <w:tc>
          <w:tcPr>
            <w:tcW w:w="3166" w:type="pct"/>
            <w:tcBorders>
              <w:top w:val="outset" w:sz="6" w:space="0" w:color="000000"/>
              <w:left w:val="outset" w:sz="6" w:space="0" w:color="000000"/>
              <w:bottom w:val="outset" w:sz="6" w:space="0" w:color="000000"/>
            </w:tcBorders>
          </w:tcPr>
          <w:p w:rsidR="003E0F3C" w:rsidRPr="00FC36FB" w:rsidRDefault="003E0F3C" w:rsidP="008975F3">
            <w:pPr>
              <w:spacing w:before="100" w:beforeAutospacing="1" w:after="100" w:afterAutospacing="1"/>
            </w:pPr>
            <w:r>
              <w:rPr>
                <w:bCs/>
              </w:rPr>
              <w:t>Noteikumu projekts neparedz jaunu institūciju izveidi.</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4.</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Projekta izpildes ietekme uz pārvaldes institucionālo struktūru.</w:t>
            </w:r>
          </w:p>
          <w:p w:rsidR="003E0F3C" w:rsidRPr="00FC36FB" w:rsidRDefault="003E0F3C" w:rsidP="008975F3">
            <w:pPr>
              <w:spacing w:before="100" w:beforeAutospacing="1" w:after="100" w:afterAutospacing="1"/>
            </w:pPr>
            <w:r w:rsidRPr="00FC36FB">
              <w:t>Esošu institūciju likvidācija</w:t>
            </w:r>
          </w:p>
        </w:tc>
        <w:tc>
          <w:tcPr>
            <w:tcW w:w="3166" w:type="pct"/>
            <w:tcBorders>
              <w:top w:val="outset" w:sz="6" w:space="0" w:color="000000"/>
              <w:left w:val="outset" w:sz="6" w:space="0" w:color="000000"/>
              <w:bottom w:val="outset" w:sz="6" w:space="0" w:color="000000"/>
            </w:tcBorders>
          </w:tcPr>
          <w:p w:rsidR="003E0F3C" w:rsidRPr="00FC36FB" w:rsidRDefault="003E0F3C" w:rsidP="008975F3">
            <w:pPr>
              <w:spacing w:before="100" w:beforeAutospacing="1" w:after="100" w:afterAutospacing="1"/>
            </w:pPr>
            <w:r>
              <w:rPr>
                <w:bCs/>
              </w:rPr>
              <w:t>Noteikumu projekts neparedz esošu institūciju likvidāciju.</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5.</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 xml:space="preserve">Projekta izpildes ietekme uz pārvaldes institucionālo </w:t>
            </w:r>
            <w:r w:rsidRPr="00FC36FB">
              <w:lastRenderedPageBreak/>
              <w:t>struktūru.</w:t>
            </w:r>
          </w:p>
          <w:p w:rsidR="003E0F3C" w:rsidRPr="00FC36FB" w:rsidRDefault="003E0F3C" w:rsidP="008975F3">
            <w:pPr>
              <w:spacing w:before="100" w:beforeAutospacing="1" w:after="100" w:afterAutospacing="1"/>
            </w:pPr>
            <w:r w:rsidRPr="00FC36FB">
              <w:t>Esošu institūciju reorganizācija</w:t>
            </w:r>
          </w:p>
        </w:tc>
        <w:tc>
          <w:tcPr>
            <w:tcW w:w="3166" w:type="pct"/>
            <w:tcBorders>
              <w:top w:val="outset" w:sz="6" w:space="0" w:color="000000"/>
              <w:left w:val="outset" w:sz="6" w:space="0" w:color="000000"/>
              <w:bottom w:val="outset" w:sz="6" w:space="0" w:color="000000"/>
            </w:tcBorders>
          </w:tcPr>
          <w:p w:rsidR="003E0F3C" w:rsidRPr="00FC36FB" w:rsidRDefault="003E0F3C" w:rsidP="008975F3">
            <w:pPr>
              <w:spacing w:before="100" w:beforeAutospacing="1" w:after="100" w:afterAutospacing="1"/>
            </w:pPr>
            <w:r>
              <w:rPr>
                <w:bCs/>
              </w:rPr>
              <w:lastRenderedPageBreak/>
              <w:t>Noteikumu projekts neparedz esošu institūciju reorganizāciju.</w:t>
            </w:r>
          </w:p>
        </w:tc>
      </w:tr>
      <w:tr w:rsidR="003E0F3C" w:rsidRPr="00FC36FB" w:rsidTr="00C45331">
        <w:trPr>
          <w:jc w:val="right"/>
        </w:trPr>
        <w:tc>
          <w:tcPr>
            <w:tcW w:w="0" w:type="auto"/>
            <w:tcBorders>
              <w:top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lastRenderedPageBreak/>
              <w:t>6.</w:t>
            </w:r>
          </w:p>
        </w:tc>
        <w:tc>
          <w:tcPr>
            <w:tcW w:w="1699" w:type="pct"/>
            <w:tcBorders>
              <w:top w:val="outset" w:sz="6" w:space="0" w:color="000000"/>
              <w:left w:val="outset" w:sz="6" w:space="0" w:color="000000"/>
              <w:bottom w:val="outset" w:sz="6" w:space="0" w:color="000000"/>
              <w:right w:val="outset" w:sz="6" w:space="0" w:color="000000"/>
            </w:tcBorders>
          </w:tcPr>
          <w:p w:rsidR="003E0F3C" w:rsidRPr="00FC36FB" w:rsidRDefault="003E0F3C" w:rsidP="008975F3">
            <w:pPr>
              <w:spacing w:before="100" w:beforeAutospacing="1" w:after="100" w:afterAutospacing="1"/>
            </w:pPr>
            <w:r w:rsidRPr="00FC36FB">
              <w:t>Cita informācija</w:t>
            </w:r>
          </w:p>
        </w:tc>
        <w:tc>
          <w:tcPr>
            <w:tcW w:w="3166" w:type="pct"/>
            <w:tcBorders>
              <w:top w:val="outset" w:sz="6" w:space="0" w:color="000000"/>
              <w:left w:val="outset" w:sz="6" w:space="0" w:color="000000"/>
              <w:bottom w:val="outset" w:sz="6" w:space="0" w:color="000000"/>
            </w:tcBorders>
          </w:tcPr>
          <w:p w:rsidR="003E0F3C" w:rsidRPr="00FC36FB" w:rsidRDefault="003E0F3C" w:rsidP="008975F3">
            <w:pPr>
              <w:spacing w:before="100" w:beforeAutospacing="1" w:after="100" w:afterAutospacing="1"/>
            </w:pPr>
            <w:r w:rsidRPr="00FC36FB">
              <w:t>Nav</w:t>
            </w:r>
            <w:r>
              <w:t>.</w:t>
            </w:r>
          </w:p>
        </w:tc>
      </w:tr>
    </w:tbl>
    <w:p w:rsidR="003E0F3C" w:rsidRPr="00BF52B5" w:rsidRDefault="003E0F3C" w:rsidP="007B7D9D">
      <w:r w:rsidRPr="00BF52B5">
        <w:t>Anotācijas II, IV un V sadaļa – noteikumu projekts šīs jomas neskar.</w:t>
      </w:r>
    </w:p>
    <w:p w:rsidR="003E0F3C" w:rsidRDefault="003E0F3C" w:rsidP="00655056">
      <w:pPr>
        <w:rPr>
          <w:sz w:val="28"/>
          <w:szCs w:val="28"/>
        </w:rPr>
      </w:pPr>
    </w:p>
    <w:p w:rsidR="003E0F3C" w:rsidRDefault="003E0F3C" w:rsidP="00655056">
      <w:pPr>
        <w:rPr>
          <w:sz w:val="28"/>
          <w:szCs w:val="28"/>
        </w:rPr>
      </w:pPr>
    </w:p>
    <w:p w:rsidR="003E0F3C" w:rsidRPr="00A03CE0" w:rsidRDefault="003E0F3C" w:rsidP="00C90CE7">
      <w:pPr>
        <w:jc w:val="both"/>
      </w:pPr>
      <w:r w:rsidRPr="00A03CE0">
        <w:t>Vides aizsardzības un</w:t>
      </w:r>
    </w:p>
    <w:p w:rsidR="003E0F3C" w:rsidRPr="00A03CE0" w:rsidRDefault="003E0F3C" w:rsidP="00C90CE7">
      <w:pPr>
        <w:jc w:val="both"/>
      </w:pPr>
      <w:r w:rsidRPr="00A03CE0">
        <w:t>reģionālās attīstības ministrs</w:t>
      </w:r>
      <w:r w:rsidRPr="00A03CE0">
        <w:tab/>
      </w:r>
      <w:r w:rsidRPr="00A03CE0">
        <w:tab/>
      </w:r>
      <w:r w:rsidRPr="00A03CE0">
        <w:tab/>
      </w:r>
      <w:r w:rsidRPr="00A03CE0">
        <w:tab/>
      </w:r>
      <w:r w:rsidRPr="00A03CE0">
        <w:tab/>
      </w:r>
      <w:r w:rsidRPr="00A03CE0">
        <w:tab/>
      </w:r>
      <w:r w:rsidRPr="00A03CE0">
        <w:tab/>
      </w:r>
      <w:r>
        <w:tab/>
        <w:t xml:space="preserve">  </w:t>
      </w:r>
      <w:proofErr w:type="spellStart"/>
      <w:r w:rsidRPr="00A03CE0">
        <w:t>E.Sprūdžs</w:t>
      </w:r>
      <w:proofErr w:type="spellEnd"/>
    </w:p>
    <w:p w:rsidR="003E0F3C" w:rsidRPr="00A03CE0" w:rsidRDefault="003E0F3C" w:rsidP="00C90CE7">
      <w:pPr>
        <w:jc w:val="both"/>
      </w:pPr>
    </w:p>
    <w:p w:rsidR="003E0F3C" w:rsidRPr="00A03CE0" w:rsidRDefault="003E0F3C" w:rsidP="00C90CE7">
      <w:pPr>
        <w:jc w:val="both"/>
      </w:pPr>
    </w:p>
    <w:p w:rsidR="003E0F3C" w:rsidRPr="00A03CE0" w:rsidRDefault="003E0F3C" w:rsidP="00C90CE7">
      <w:pPr>
        <w:jc w:val="both"/>
      </w:pPr>
      <w:r w:rsidRPr="00A03CE0">
        <w:t>Vīza:</w:t>
      </w:r>
    </w:p>
    <w:p w:rsidR="003E0F3C" w:rsidRPr="00A03CE0" w:rsidRDefault="003E0F3C" w:rsidP="00C90CE7">
      <w:pPr>
        <w:jc w:val="both"/>
      </w:pPr>
      <w:r w:rsidRPr="00A03CE0">
        <w:t xml:space="preserve">Vides aizsardzības un </w:t>
      </w:r>
    </w:p>
    <w:p w:rsidR="003E0F3C" w:rsidRPr="00A03CE0" w:rsidRDefault="003E0F3C" w:rsidP="00C90CE7">
      <w:pPr>
        <w:jc w:val="both"/>
      </w:pPr>
      <w:r w:rsidRPr="00A03CE0">
        <w:t xml:space="preserve">reģionālās attīstības ministrijas valsts sekretārs   </w:t>
      </w:r>
      <w:r w:rsidRPr="00A03CE0">
        <w:tab/>
        <w:t xml:space="preserve">                                </w:t>
      </w:r>
      <w:r w:rsidR="00BF52B5">
        <w:tab/>
        <w:t xml:space="preserve">           A.Antonovs</w:t>
      </w:r>
    </w:p>
    <w:p w:rsidR="003E0F3C" w:rsidRDefault="003E0F3C" w:rsidP="00702508">
      <w:pPr>
        <w:jc w:val="both"/>
        <w:rPr>
          <w:sz w:val="20"/>
          <w:szCs w:val="20"/>
        </w:rPr>
      </w:pPr>
    </w:p>
    <w:p w:rsidR="003E0F3C" w:rsidRDefault="003E0F3C" w:rsidP="00702508">
      <w:pPr>
        <w:jc w:val="both"/>
        <w:rPr>
          <w:sz w:val="20"/>
          <w:szCs w:val="20"/>
        </w:rPr>
      </w:pPr>
    </w:p>
    <w:p w:rsidR="00553737" w:rsidRDefault="00553737" w:rsidP="00702508">
      <w:pPr>
        <w:jc w:val="both"/>
        <w:rPr>
          <w:sz w:val="20"/>
          <w:szCs w:val="20"/>
        </w:rPr>
      </w:pPr>
      <w:r>
        <w:rPr>
          <w:sz w:val="20"/>
          <w:szCs w:val="20"/>
        </w:rPr>
        <w:t>03.05.2012 10:21</w:t>
      </w:r>
    </w:p>
    <w:p w:rsidR="003E0F3C" w:rsidRPr="00A03CE0" w:rsidRDefault="007108C7" w:rsidP="00826060">
      <w:pPr>
        <w:widowControl w:val="0"/>
        <w:jc w:val="both"/>
        <w:rPr>
          <w:sz w:val="20"/>
          <w:szCs w:val="20"/>
        </w:rPr>
      </w:pPr>
      <w:fldSimple w:instr=" NUMWORDS   \* MERGEFORMAT ">
        <w:r w:rsidR="003E0F3C" w:rsidRPr="00703654">
          <w:rPr>
            <w:noProof/>
            <w:sz w:val="20"/>
            <w:szCs w:val="20"/>
          </w:rPr>
          <w:t>1361</w:t>
        </w:r>
      </w:fldSimple>
    </w:p>
    <w:p w:rsidR="003E0F3C" w:rsidRPr="00A03CE0" w:rsidRDefault="003E0F3C" w:rsidP="00C90CE7">
      <w:pPr>
        <w:widowControl w:val="0"/>
        <w:jc w:val="both"/>
        <w:rPr>
          <w:sz w:val="20"/>
          <w:szCs w:val="20"/>
        </w:rPr>
      </w:pPr>
      <w:r w:rsidRPr="00A03CE0">
        <w:rPr>
          <w:sz w:val="20"/>
          <w:szCs w:val="20"/>
        </w:rPr>
        <w:t>R.Guds</w:t>
      </w:r>
    </w:p>
    <w:p w:rsidR="003E0F3C" w:rsidRPr="00A03CE0" w:rsidRDefault="003E0F3C" w:rsidP="00C90CE7">
      <w:pPr>
        <w:widowControl w:val="0"/>
        <w:jc w:val="both"/>
        <w:rPr>
          <w:sz w:val="20"/>
          <w:szCs w:val="20"/>
        </w:rPr>
      </w:pPr>
      <w:r w:rsidRPr="00A03CE0">
        <w:rPr>
          <w:sz w:val="20"/>
          <w:szCs w:val="20"/>
        </w:rPr>
        <w:t xml:space="preserve">67770310, Rihards.Guds@varam.gov.lv </w:t>
      </w:r>
    </w:p>
    <w:p w:rsidR="003E0F3C" w:rsidRPr="00A2069D" w:rsidRDefault="003E0F3C" w:rsidP="002C0FE8">
      <w:pPr>
        <w:jc w:val="both"/>
        <w:rPr>
          <w:sz w:val="26"/>
          <w:szCs w:val="26"/>
        </w:rPr>
      </w:pPr>
    </w:p>
    <w:sectPr w:rsidR="003E0F3C" w:rsidRPr="00A2069D" w:rsidSect="00A039D6">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63" w:rsidRDefault="00C72863">
      <w:r>
        <w:separator/>
      </w:r>
    </w:p>
  </w:endnote>
  <w:endnote w:type="continuationSeparator" w:id="0">
    <w:p w:rsidR="00C72863" w:rsidRDefault="00C7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3C" w:rsidRPr="00170E19" w:rsidRDefault="007761FA" w:rsidP="00170E19">
    <w:pPr>
      <w:pStyle w:val="Footer"/>
    </w:pPr>
    <w:r>
      <w:rPr>
        <w:sz w:val="20"/>
        <w:szCs w:val="20"/>
      </w:rPr>
      <w:t>VARAMAnot_0305</w:t>
    </w:r>
    <w:r w:rsidR="003E0F3C">
      <w:rPr>
        <w:sz w:val="20"/>
        <w:szCs w:val="20"/>
      </w:rPr>
      <w:t>12_</w:t>
    </w:r>
    <w:r w:rsidR="003E0F3C" w:rsidRPr="00F20D50">
      <w:rPr>
        <w:sz w:val="20"/>
        <w:szCs w:val="20"/>
      </w:rPr>
      <w:t>VIS; Ministru kabineta noteikumu projekta „</w:t>
    </w:r>
    <w:r w:rsidR="003E0F3C" w:rsidRPr="003A005E">
      <w:rPr>
        <w:sz w:val="20"/>
        <w:szCs w:val="20"/>
      </w:rPr>
      <w:t>Valsts informācijas sistēmu savietotāju un integrētā valsts informācijas sistēmā ietilpstošo valsts informācijas sistēmu aizsardzības prasības</w:t>
    </w:r>
    <w:r w:rsidR="003E0F3C" w:rsidRPr="00F20D50">
      <w:rPr>
        <w:sz w:val="20"/>
        <w:szCs w:val="20"/>
      </w:rPr>
      <w:t xml:space="preserve">” </w:t>
    </w:r>
    <w:r w:rsidR="003E0F3C" w:rsidRPr="004D506F">
      <w:rPr>
        <w:sz w:val="20"/>
        <w:szCs w:val="20"/>
      </w:rPr>
      <w:t xml:space="preserve">sākotnējās ietekmes novērtējuma </w:t>
    </w:r>
    <w:smartTag w:uri="schemas-tilde-lv/tildestengine" w:element="veidnes">
      <w:smartTagPr>
        <w:attr w:name="text" w:val="ziņojums"/>
        <w:attr w:name="baseform" w:val="ziņojums"/>
        <w:attr w:name="id" w:val="-1"/>
      </w:smartTagPr>
      <w:r w:rsidR="003E0F3C" w:rsidRPr="004D506F">
        <w:rPr>
          <w:sz w:val="20"/>
          <w:szCs w:val="20"/>
        </w:rPr>
        <w:t>ziņojums</w:t>
      </w:r>
    </w:smartTag>
    <w:r w:rsidR="003E0F3C" w:rsidRPr="004D506F">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3C" w:rsidRDefault="007761FA" w:rsidP="00170E19">
    <w:pPr>
      <w:pStyle w:val="Footer"/>
    </w:pPr>
    <w:r>
      <w:rPr>
        <w:sz w:val="20"/>
        <w:szCs w:val="20"/>
      </w:rPr>
      <w:t>VARAMAnot_0305</w:t>
    </w:r>
    <w:r w:rsidR="003E0F3C">
      <w:rPr>
        <w:sz w:val="20"/>
        <w:szCs w:val="20"/>
      </w:rPr>
      <w:t>12_</w:t>
    </w:r>
    <w:r w:rsidR="003E0F3C" w:rsidRPr="00F20D50">
      <w:rPr>
        <w:sz w:val="20"/>
        <w:szCs w:val="20"/>
      </w:rPr>
      <w:t>VIS; Ministru kabineta noteikumu projekta „</w:t>
    </w:r>
    <w:r w:rsidR="003E0F3C" w:rsidRPr="003A005E">
      <w:rPr>
        <w:sz w:val="20"/>
        <w:szCs w:val="20"/>
      </w:rPr>
      <w:t>Valsts informācijas sistēmu savietotāju un integrētā valsts informācijas sistēmā ietilpstošo valsts informācijas sistēmu aizsardzības prasības</w:t>
    </w:r>
    <w:r w:rsidR="003E0F3C" w:rsidRPr="00F20D50">
      <w:rPr>
        <w:sz w:val="20"/>
        <w:szCs w:val="20"/>
      </w:rPr>
      <w:t xml:space="preserve">” </w:t>
    </w:r>
    <w:r w:rsidR="003E0F3C" w:rsidRPr="004D506F">
      <w:rPr>
        <w:sz w:val="20"/>
        <w:szCs w:val="20"/>
      </w:rPr>
      <w:t xml:space="preserve">sākotnējās ietekmes novērtējuma </w:t>
    </w:r>
    <w:smartTag w:uri="schemas-tilde-lv/tildestengine" w:element="veidnes">
      <w:smartTagPr>
        <w:attr w:name="text" w:val="ziņojums"/>
        <w:attr w:name="baseform" w:val="ziņojums"/>
        <w:attr w:name="id" w:val="-1"/>
      </w:smartTagPr>
      <w:r w:rsidR="003E0F3C" w:rsidRPr="004D506F">
        <w:rPr>
          <w:sz w:val="20"/>
          <w:szCs w:val="20"/>
        </w:rPr>
        <w:t>ziņojums</w:t>
      </w:r>
    </w:smartTag>
    <w:r w:rsidR="003E0F3C" w:rsidRPr="004D506F">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63" w:rsidRDefault="00C72863">
      <w:r>
        <w:separator/>
      </w:r>
    </w:p>
  </w:footnote>
  <w:footnote w:type="continuationSeparator" w:id="0">
    <w:p w:rsidR="00C72863" w:rsidRDefault="00C72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3C" w:rsidRDefault="007108C7" w:rsidP="002935F0">
    <w:pPr>
      <w:pStyle w:val="Header"/>
      <w:framePr w:wrap="around" w:vAnchor="text" w:hAnchor="margin" w:xAlign="center" w:y="1"/>
      <w:rPr>
        <w:rStyle w:val="PageNumber"/>
      </w:rPr>
    </w:pPr>
    <w:r>
      <w:rPr>
        <w:rStyle w:val="PageNumber"/>
      </w:rPr>
      <w:fldChar w:fldCharType="begin"/>
    </w:r>
    <w:r w:rsidR="003E0F3C">
      <w:rPr>
        <w:rStyle w:val="PageNumber"/>
      </w:rPr>
      <w:instrText xml:space="preserve">PAGE  </w:instrText>
    </w:r>
    <w:r>
      <w:rPr>
        <w:rStyle w:val="PageNumber"/>
      </w:rPr>
      <w:fldChar w:fldCharType="end"/>
    </w:r>
  </w:p>
  <w:p w:rsidR="003E0F3C" w:rsidRDefault="003E0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3C" w:rsidRDefault="007108C7" w:rsidP="002935F0">
    <w:pPr>
      <w:pStyle w:val="Header"/>
      <w:framePr w:wrap="around" w:vAnchor="text" w:hAnchor="margin" w:xAlign="center" w:y="1"/>
      <w:rPr>
        <w:rStyle w:val="PageNumber"/>
      </w:rPr>
    </w:pPr>
    <w:r>
      <w:rPr>
        <w:rStyle w:val="PageNumber"/>
      </w:rPr>
      <w:fldChar w:fldCharType="begin"/>
    </w:r>
    <w:r w:rsidR="003E0F3C">
      <w:rPr>
        <w:rStyle w:val="PageNumber"/>
      </w:rPr>
      <w:instrText xml:space="preserve">PAGE  </w:instrText>
    </w:r>
    <w:r>
      <w:rPr>
        <w:rStyle w:val="PageNumber"/>
      </w:rPr>
      <w:fldChar w:fldCharType="separate"/>
    </w:r>
    <w:r w:rsidR="00D154FB">
      <w:rPr>
        <w:rStyle w:val="PageNumber"/>
        <w:noProof/>
      </w:rPr>
      <w:t>7</w:t>
    </w:r>
    <w:r>
      <w:rPr>
        <w:rStyle w:val="PageNumber"/>
      </w:rPr>
      <w:fldChar w:fldCharType="end"/>
    </w:r>
  </w:p>
  <w:p w:rsidR="003E0F3C" w:rsidRDefault="003E0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C5"/>
    <w:multiLevelType w:val="hybridMultilevel"/>
    <w:tmpl w:val="B0A2C2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0C04BE"/>
    <w:multiLevelType w:val="hybridMultilevel"/>
    <w:tmpl w:val="37286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603096"/>
    <w:multiLevelType w:val="hybridMultilevel"/>
    <w:tmpl w:val="58CE6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DB21BC"/>
    <w:multiLevelType w:val="hybridMultilevel"/>
    <w:tmpl w:val="9E743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D66B4A"/>
    <w:multiLevelType w:val="hybridMultilevel"/>
    <w:tmpl w:val="A718E56C"/>
    <w:lvl w:ilvl="0" w:tplc="E5A22B5C">
      <w:start w:val="1"/>
      <w:numFmt w:val="decimal"/>
      <w:lvlText w:val="(%1)"/>
      <w:lvlJc w:val="left"/>
      <w:pPr>
        <w:tabs>
          <w:tab w:val="num" w:pos="720"/>
        </w:tabs>
        <w:ind w:left="720" w:hanging="360"/>
      </w:pPr>
      <w:rPr>
        <w:rFonts w:cs="Times New Roman" w:hint="default"/>
      </w:rPr>
    </w:lvl>
    <w:lvl w:ilvl="1" w:tplc="EF760C50">
      <w:start w:val="1"/>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45779D"/>
    <w:multiLevelType w:val="hybridMultilevel"/>
    <w:tmpl w:val="28B87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DE2052"/>
    <w:multiLevelType w:val="hybridMultilevel"/>
    <w:tmpl w:val="2648E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9BC3CFB"/>
    <w:multiLevelType w:val="hybridMultilevel"/>
    <w:tmpl w:val="42A2C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C674EE"/>
    <w:multiLevelType w:val="hybridMultilevel"/>
    <w:tmpl w:val="61AED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51F0333E"/>
    <w:multiLevelType w:val="hybridMultilevel"/>
    <w:tmpl w:val="B19E68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75213A59"/>
    <w:multiLevelType w:val="hybridMultilevel"/>
    <w:tmpl w:val="67581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5"/>
  </w:num>
  <w:num w:numId="6">
    <w:abstractNumId w:val="6"/>
  </w:num>
  <w:num w:numId="7">
    <w:abstractNumId w:val="1"/>
  </w:num>
  <w:num w:numId="8">
    <w:abstractNumId w:val="3"/>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23D"/>
    <w:rsid w:val="00003293"/>
    <w:rsid w:val="00003746"/>
    <w:rsid w:val="00005DFA"/>
    <w:rsid w:val="00012231"/>
    <w:rsid w:val="0001589B"/>
    <w:rsid w:val="00015BE4"/>
    <w:rsid w:val="00016492"/>
    <w:rsid w:val="00016FEA"/>
    <w:rsid w:val="00020845"/>
    <w:rsid w:val="00023887"/>
    <w:rsid w:val="00030818"/>
    <w:rsid w:val="0003431E"/>
    <w:rsid w:val="00035450"/>
    <w:rsid w:val="00035EDF"/>
    <w:rsid w:val="000473CC"/>
    <w:rsid w:val="00057A45"/>
    <w:rsid w:val="00066234"/>
    <w:rsid w:val="00071E05"/>
    <w:rsid w:val="00073EF6"/>
    <w:rsid w:val="00076EF5"/>
    <w:rsid w:val="00077B6A"/>
    <w:rsid w:val="00080B1F"/>
    <w:rsid w:val="00081BF2"/>
    <w:rsid w:val="00082AB2"/>
    <w:rsid w:val="00093166"/>
    <w:rsid w:val="000947C0"/>
    <w:rsid w:val="00094944"/>
    <w:rsid w:val="00097499"/>
    <w:rsid w:val="000A00B4"/>
    <w:rsid w:val="000A48C5"/>
    <w:rsid w:val="000A6FA4"/>
    <w:rsid w:val="000B4BDA"/>
    <w:rsid w:val="000B664E"/>
    <w:rsid w:val="000C0D48"/>
    <w:rsid w:val="000C1212"/>
    <w:rsid w:val="000C3CA9"/>
    <w:rsid w:val="000C6415"/>
    <w:rsid w:val="000D5011"/>
    <w:rsid w:val="000D6357"/>
    <w:rsid w:val="000D6363"/>
    <w:rsid w:val="000E48FD"/>
    <w:rsid w:val="000E52AF"/>
    <w:rsid w:val="000E581B"/>
    <w:rsid w:val="000E6EEB"/>
    <w:rsid w:val="000F08AC"/>
    <w:rsid w:val="000F19F3"/>
    <w:rsid w:val="000F1E99"/>
    <w:rsid w:val="000F41A6"/>
    <w:rsid w:val="000F4C90"/>
    <w:rsid w:val="000F6419"/>
    <w:rsid w:val="000F7C50"/>
    <w:rsid w:val="001027ED"/>
    <w:rsid w:val="00106273"/>
    <w:rsid w:val="001062DD"/>
    <w:rsid w:val="00106A76"/>
    <w:rsid w:val="00107CE4"/>
    <w:rsid w:val="00110389"/>
    <w:rsid w:val="001116A8"/>
    <w:rsid w:val="001256C9"/>
    <w:rsid w:val="00126108"/>
    <w:rsid w:val="00135360"/>
    <w:rsid w:val="00135B78"/>
    <w:rsid w:val="0013690E"/>
    <w:rsid w:val="00140129"/>
    <w:rsid w:val="00140E02"/>
    <w:rsid w:val="00143C67"/>
    <w:rsid w:val="00150455"/>
    <w:rsid w:val="001529F6"/>
    <w:rsid w:val="001624CE"/>
    <w:rsid w:val="00163A9C"/>
    <w:rsid w:val="00166713"/>
    <w:rsid w:val="001667E5"/>
    <w:rsid w:val="00170E19"/>
    <w:rsid w:val="00172D11"/>
    <w:rsid w:val="00176719"/>
    <w:rsid w:val="00176DCD"/>
    <w:rsid w:val="00184E83"/>
    <w:rsid w:val="00187149"/>
    <w:rsid w:val="00191032"/>
    <w:rsid w:val="001950E3"/>
    <w:rsid w:val="00196092"/>
    <w:rsid w:val="001966C0"/>
    <w:rsid w:val="001A495C"/>
    <w:rsid w:val="001A677D"/>
    <w:rsid w:val="001B05AA"/>
    <w:rsid w:val="001B1DB6"/>
    <w:rsid w:val="001B25AF"/>
    <w:rsid w:val="001B4F59"/>
    <w:rsid w:val="001C1363"/>
    <w:rsid w:val="001C3946"/>
    <w:rsid w:val="001C4032"/>
    <w:rsid w:val="001C5849"/>
    <w:rsid w:val="001C653D"/>
    <w:rsid w:val="001C6A33"/>
    <w:rsid w:val="001D0707"/>
    <w:rsid w:val="001D11D4"/>
    <w:rsid w:val="001E032E"/>
    <w:rsid w:val="001E2237"/>
    <w:rsid w:val="001E65AE"/>
    <w:rsid w:val="002078DB"/>
    <w:rsid w:val="002120B6"/>
    <w:rsid w:val="002122F4"/>
    <w:rsid w:val="00214299"/>
    <w:rsid w:val="00214C14"/>
    <w:rsid w:val="0021745F"/>
    <w:rsid w:val="00221ADE"/>
    <w:rsid w:val="00222714"/>
    <w:rsid w:val="0022346E"/>
    <w:rsid w:val="00225E9A"/>
    <w:rsid w:val="002262EF"/>
    <w:rsid w:val="002267D6"/>
    <w:rsid w:val="00227D0B"/>
    <w:rsid w:val="00230541"/>
    <w:rsid w:val="00230AF7"/>
    <w:rsid w:val="002414D2"/>
    <w:rsid w:val="00242761"/>
    <w:rsid w:val="002434D6"/>
    <w:rsid w:val="0024523C"/>
    <w:rsid w:val="00245A09"/>
    <w:rsid w:val="00246C24"/>
    <w:rsid w:val="00247189"/>
    <w:rsid w:val="00253B7F"/>
    <w:rsid w:val="002543F7"/>
    <w:rsid w:val="00255833"/>
    <w:rsid w:val="0025677D"/>
    <w:rsid w:val="00260C74"/>
    <w:rsid w:val="00263218"/>
    <w:rsid w:val="00264888"/>
    <w:rsid w:val="00266091"/>
    <w:rsid w:val="00271451"/>
    <w:rsid w:val="00275EA9"/>
    <w:rsid w:val="00281829"/>
    <w:rsid w:val="002818A9"/>
    <w:rsid w:val="00282697"/>
    <w:rsid w:val="00284A74"/>
    <w:rsid w:val="002851CB"/>
    <w:rsid w:val="00285671"/>
    <w:rsid w:val="002877B0"/>
    <w:rsid w:val="002878B7"/>
    <w:rsid w:val="00287B3F"/>
    <w:rsid w:val="002935F0"/>
    <w:rsid w:val="002947CC"/>
    <w:rsid w:val="00295126"/>
    <w:rsid w:val="00295590"/>
    <w:rsid w:val="00296B9D"/>
    <w:rsid w:val="002A179C"/>
    <w:rsid w:val="002A3831"/>
    <w:rsid w:val="002A3CA8"/>
    <w:rsid w:val="002A40F4"/>
    <w:rsid w:val="002A70D7"/>
    <w:rsid w:val="002B1874"/>
    <w:rsid w:val="002B5960"/>
    <w:rsid w:val="002B6231"/>
    <w:rsid w:val="002B7D53"/>
    <w:rsid w:val="002C0FE8"/>
    <w:rsid w:val="002C1946"/>
    <w:rsid w:val="002C2C45"/>
    <w:rsid w:val="002C3C06"/>
    <w:rsid w:val="002C458D"/>
    <w:rsid w:val="002C491B"/>
    <w:rsid w:val="002C5775"/>
    <w:rsid w:val="002C5B68"/>
    <w:rsid w:val="002C6C0C"/>
    <w:rsid w:val="002D2599"/>
    <w:rsid w:val="002D5CD4"/>
    <w:rsid w:val="002E29C3"/>
    <w:rsid w:val="002E2EF1"/>
    <w:rsid w:val="002E7C61"/>
    <w:rsid w:val="002F213D"/>
    <w:rsid w:val="002F60C9"/>
    <w:rsid w:val="003028D9"/>
    <w:rsid w:val="003060BE"/>
    <w:rsid w:val="00307E5F"/>
    <w:rsid w:val="00310936"/>
    <w:rsid w:val="00310CFE"/>
    <w:rsid w:val="0032146F"/>
    <w:rsid w:val="003232F6"/>
    <w:rsid w:val="0032511A"/>
    <w:rsid w:val="00325213"/>
    <w:rsid w:val="0033121E"/>
    <w:rsid w:val="0033181F"/>
    <w:rsid w:val="003347C6"/>
    <w:rsid w:val="0033481C"/>
    <w:rsid w:val="003366B8"/>
    <w:rsid w:val="00342326"/>
    <w:rsid w:val="00342647"/>
    <w:rsid w:val="00343CA7"/>
    <w:rsid w:val="003472FC"/>
    <w:rsid w:val="003474A0"/>
    <w:rsid w:val="0034788F"/>
    <w:rsid w:val="00352CB6"/>
    <w:rsid w:val="00353075"/>
    <w:rsid w:val="00353367"/>
    <w:rsid w:val="003542F5"/>
    <w:rsid w:val="00354BD6"/>
    <w:rsid w:val="0035690D"/>
    <w:rsid w:val="00362B79"/>
    <w:rsid w:val="003630A9"/>
    <w:rsid w:val="00366CD5"/>
    <w:rsid w:val="0037102C"/>
    <w:rsid w:val="00371EAD"/>
    <w:rsid w:val="0037305E"/>
    <w:rsid w:val="003747BF"/>
    <w:rsid w:val="00377C24"/>
    <w:rsid w:val="00380E7C"/>
    <w:rsid w:val="00384500"/>
    <w:rsid w:val="00385E66"/>
    <w:rsid w:val="00391A41"/>
    <w:rsid w:val="00392B36"/>
    <w:rsid w:val="00393677"/>
    <w:rsid w:val="0039373A"/>
    <w:rsid w:val="003A005E"/>
    <w:rsid w:val="003A632F"/>
    <w:rsid w:val="003A6B2C"/>
    <w:rsid w:val="003B051E"/>
    <w:rsid w:val="003B1D9B"/>
    <w:rsid w:val="003C06C4"/>
    <w:rsid w:val="003C3CFB"/>
    <w:rsid w:val="003C6239"/>
    <w:rsid w:val="003D2013"/>
    <w:rsid w:val="003D28E1"/>
    <w:rsid w:val="003D5EFA"/>
    <w:rsid w:val="003E0241"/>
    <w:rsid w:val="003E0F3C"/>
    <w:rsid w:val="003E27D2"/>
    <w:rsid w:val="003E4277"/>
    <w:rsid w:val="003E4B18"/>
    <w:rsid w:val="003E5716"/>
    <w:rsid w:val="003E657B"/>
    <w:rsid w:val="003E79DE"/>
    <w:rsid w:val="003F3652"/>
    <w:rsid w:val="003F53E3"/>
    <w:rsid w:val="003F5E5E"/>
    <w:rsid w:val="00405388"/>
    <w:rsid w:val="00405623"/>
    <w:rsid w:val="00405CBA"/>
    <w:rsid w:val="00406AAB"/>
    <w:rsid w:val="00407053"/>
    <w:rsid w:val="00407D8C"/>
    <w:rsid w:val="00411A4F"/>
    <w:rsid w:val="00411ECA"/>
    <w:rsid w:val="0041297E"/>
    <w:rsid w:val="00415306"/>
    <w:rsid w:val="00415B9F"/>
    <w:rsid w:val="004249A6"/>
    <w:rsid w:val="00426858"/>
    <w:rsid w:val="00431666"/>
    <w:rsid w:val="00432E7A"/>
    <w:rsid w:val="004344A3"/>
    <w:rsid w:val="00434610"/>
    <w:rsid w:val="004413A4"/>
    <w:rsid w:val="0044472C"/>
    <w:rsid w:val="004455EB"/>
    <w:rsid w:val="0044680C"/>
    <w:rsid w:val="004508E4"/>
    <w:rsid w:val="00451CE9"/>
    <w:rsid w:val="0045427B"/>
    <w:rsid w:val="004608EC"/>
    <w:rsid w:val="004624B5"/>
    <w:rsid w:val="00462DBD"/>
    <w:rsid w:val="00466AC2"/>
    <w:rsid w:val="00467D11"/>
    <w:rsid w:val="00467F17"/>
    <w:rsid w:val="0047058B"/>
    <w:rsid w:val="00471B6E"/>
    <w:rsid w:val="00482B5D"/>
    <w:rsid w:val="00483C9C"/>
    <w:rsid w:val="00486CD5"/>
    <w:rsid w:val="004872B9"/>
    <w:rsid w:val="00492FF8"/>
    <w:rsid w:val="004946FF"/>
    <w:rsid w:val="004950D0"/>
    <w:rsid w:val="004A00FE"/>
    <w:rsid w:val="004A02EA"/>
    <w:rsid w:val="004A0B1A"/>
    <w:rsid w:val="004A0B26"/>
    <w:rsid w:val="004A290E"/>
    <w:rsid w:val="004A760D"/>
    <w:rsid w:val="004A7911"/>
    <w:rsid w:val="004B2F8A"/>
    <w:rsid w:val="004B515D"/>
    <w:rsid w:val="004C23EF"/>
    <w:rsid w:val="004C32FA"/>
    <w:rsid w:val="004C6659"/>
    <w:rsid w:val="004D0540"/>
    <w:rsid w:val="004D2ACA"/>
    <w:rsid w:val="004D506F"/>
    <w:rsid w:val="004E589E"/>
    <w:rsid w:val="004E6D36"/>
    <w:rsid w:val="004F00FD"/>
    <w:rsid w:val="004F2D4D"/>
    <w:rsid w:val="004F3760"/>
    <w:rsid w:val="004F510F"/>
    <w:rsid w:val="004F514B"/>
    <w:rsid w:val="004F5A60"/>
    <w:rsid w:val="00505B75"/>
    <w:rsid w:val="005151EA"/>
    <w:rsid w:val="005177D9"/>
    <w:rsid w:val="00521B2E"/>
    <w:rsid w:val="005236E8"/>
    <w:rsid w:val="00523EAC"/>
    <w:rsid w:val="005256A8"/>
    <w:rsid w:val="005332C2"/>
    <w:rsid w:val="005333D0"/>
    <w:rsid w:val="00534946"/>
    <w:rsid w:val="0054301C"/>
    <w:rsid w:val="005454DA"/>
    <w:rsid w:val="00547BCA"/>
    <w:rsid w:val="00552AC1"/>
    <w:rsid w:val="00553737"/>
    <w:rsid w:val="00555427"/>
    <w:rsid w:val="005571B3"/>
    <w:rsid w:val="005576BE"/>
    <w:rsid w:val="005621A7"/>
    <w:rsid w:val="005640E7"/>
    <w:rsid w:val="00567AB2"/>
    <w:rsid w:val="0058217D"/>
    <w:rsid w:val="00585548"/>
    <w:rsid w:val="00585DEE"/>
    <w:rsid w:val="005869FB"/>
    <w:rsid w:val="005A6A8E"/>
    <w:rsid w:val="005A7162"/>
    <w:rsid w:val="005B16C5"/>
    <w:rsid w:val="005B19A3"/>
    <w:rsid w:val="005B3146"/>
    <w:rsid w:val="005B443E"/>
    <w:rsid w:val="005B6AE7"/>
    <w:rsid w:val="005B796E"/>
    <w:rsid w:val="005C1B7D"/>
    <w:rsid w:val="005C529C"/>
    <w:rsid w:val="005F05F7"/>
    <w:rsid w:val="005F2664"/>
    <w:rsid w:val="005F3414"/>
    <w:rsid w:val="005F5E9E"/>
    <w:rsid w:val="005F6928"/>
    <w:rsid w:val="00602602"/>
    <w:rsid w:val="0060298C"/>
    <w:rsid w:val="00603309"/>
    <w:rsid w:val="00606EDF"/>
    <w:rsid w:val="00607F6E"/>
    <w:rsid w:val="006103B7"/>
    <w:rsid w:val="00610A65"/>
    <w:rsid w:val="0061166E"/>
    <w:rsid w:val="00617064"/>
    <w:rsid w:val="00617251"/>
    <w:rsid w:val="0062087E"/>
    <w:rsid w:val="00622403"/>
    <w:rsid w:val="00622D8D"/>
    <w:rsid w:val="00626B4C"/>
    <w:rsid w:val="006330A8"/>
    <w:rsid w:val="00642EDA"/>
    <w:rsid w:val="006477D4"/>
    <w:rsid w:val="006505C5"/>
    <w:rsid w:val="0065378F"/>
    <w:rsid w:val="00655056"/>
    <w:rsid w:val="00656EF1"/>
    <w:rsid w:val="00657209"/>
    <w:rsid w:val="00664BCB"/>
    <w:rsid w:val="00665642"/>
    <w:rsid w:val="0066610F"/>
    <w:rsid w:val="00670EDD"/>
    <w:rsid w:val="00671D41"/>
    <w:rsid w:val="00672575"/>
    <w:rsid w:val="00673859"/>
    <w:rsid w:val="0067497F"/>
    <w:rsid w:val="0067509B"/>
    <w:rsid w:val="00681AC1"/>
    <w:rsid w:val="006836F3"/>
    <w:rsid w:val="00683AA1"/>
    <w:rsid w:val="0068526C"/>
    <w:rsid w:val="00687979"/>
    <w:rsid w:val="00687DB4"/>
    <w:rsid w:val="00691BC7"/>
    <w:rsid w:val="006942FE"/>
    <w:rsid w:val="00696F94"/>
    <w:rsid w:val="006978BC"/>
    <w:rsid w:val="0069791F"/>
    <w:rsid w:val="006A010F"/>
    <w:rsid w:val="006A20B8"/>
    <w:rsid w:val="006A4FB9"/>
    <w:rsid w:val="006A51BC"/>
    <w:rsid w:val="006A6D8B"/>
    <w:rsid w:val="006B0FFD"/>
    <w:rsid w:val="006B2A6B"/>
    <w:rsid w:val="006B2F03"/>
    <w:rsid w:val="006B2F57"/>
    <w:rsid w:val="006C0F84"/>
    <w:rsid w:val="006C5847"/>
    <w:rsid w:val="006D17CE"/>
    <w:rsid w:val="006D53CE"/>
    <w:rsid w:val="006E0829"/>
    <w:rsid w:val="006E57FF"/>
    <w:rsid w:val="006F475D"/>
    <w:rsid w:val="00702508"/>
    <w:rsid w:val="00703654"/>
    <w:rsid w:val="00704942"/>
    <w:rsid w:val="00705D2A"/>
    <w:rsid w:val="00705FFB"/>
    <w:rsid w:val="00706E96"/>
    <w:rsid w:val="007108C7"/>
    <w:rsid w:val="007128C4"/>
    <w:rsid w:val="00713776"/>
    <w:rsid w:val="00713E11"/>
    <w:rsid w:val="00715E63"/>
    <w:rsid w:val="00721623"/>
    <w:rsid w:val="007376A3"/>
    <w:rsid w:val="00741FC8"/>
    <w:rsid w:val="00744AC4"/>
    <w:rsid w:val="00745173"/>
    <w:rsid w:val="007459D0"/>
    <w:rsid w:val="00746D3D"/>
    <w:rsid w:val="00747535"/>
    <w:rsid w:val="00751005"/>
    <w:rsid w:val="00751A08"/>
    <w:rsid w:val="007526EC"/>
    <w:rsid w:val="00752B8D"/>
    <w:rsid w:val="00755F6C"/>
    <w:rsid w:val="0075695E"/>
    <w:rsid w:val="007601AB"/>
    <w:rsid w:val="007650F1"/>
    <w:rsid w:val="007664F8"/>
    <w:rsid w:val="007761FA"/>
    <w:rsid w:val="00784175"/>
    <w:rsid w:val="00784919"/>
    <w:rsid w:val="00785E07"/>
    <w:rsid w:val="007929F2"/>
    <w:rsid w:val="00795377"/>
    <w:rsid w:val="0079601D"/>
    <w:rsid w:val="007A0520"/>
    <w:rsid w:val="007A3682"/>
    <w:rsid w:val="007B25FE"/>
    <w:rsid w:val="007B2938"/>
    <w:rsid w:val="007B7D9D"/>
    <w:rsid w:val="007C08EA"/>
    <w:rsid w:val="007C33CC"/>
    <w:rsid w:val="007C69FF"/>
    <w:rsid w:val="007D35AD"/>
    <w:rsid w:val="007E0B03"/>
    <w:rsid w:val="007E5E62"/>
    <w:rsid w:val="007E69C2"/>
    <w:rsid w:val="007E6F35"/>
    <w:rsid w:val="007F084B"/>
    <w:rsid w:val="007F2ED7"/>
    <w:rsid w:val="007F6107"/>
    <w:rsid w:val="007F7480"/>
    <w:rsid w:val="008000E4"/>
    <w:rsid w:val="00802288"/>
    <w:rsid w:val="00804CB4"/>
    <w:rsid w:val="00811173"/>
    <w:rsid w:val="008229F3"/>
    <w:rsid w:val="00824744"/>
    <w:rsid w:val="0082500A"/>
    <w:rsid w:val="00825B5E"/>
    <w:rsid w:val="00826060"/>
    <w:rsid w:val="00826184"/>
    <w:rsid w:val="00827518"/>
    <w:rsid w:val="00833534"/>
    <w:rsid w:val="00834300"/>
    <w:rsid w:val="0083467F"/>
    <w:rsid w:val="00834D19"/>
    <w:rsid w:val="00835565"/>
    <w:rsid w:val="00836C42"/>
    <w:rsid w:val="00843464"/>
    <w:rsid w:val="00843BCD"/>
    <w:rsid w:val="0084529C"/>
    <w:rsid w:val="008525F1"/>
    <w:rsid w:val="00853F9F"/>
    <w:rsid w:val="00855105"/>
    <w:rsid w:val="00855EAC"/>
    <w:rsid w:val="00856CB1"/>
    <w:rsid w:val="00860256"/>
    <w:rsid w:val="00872A6C"/>
    <w:rsid w:val="0087467A"/>
    <w:rsid w:val="00877C38"/>
    <w:rsid w:val="008834D1"/>
    <w:rsid w:val="0088556E"/>
    <w:rsid w:val="00887B32"/>
    <w:rsid w:val="008903BE"/>
    <w:rsid w:val="0089041C"/>
    <w:rsid w:val="008906FF"/>
    <w:rsid w:val="0089342E"/>
    <w:rsid w:val="008975F3"/>
    <w:rsid w:val="008A556A"/>
    <w:rsid w:val="008B149A"/>
    <w:rsid w:val="008B1E9C"/>
    <w:rsid w:val="008B26BC"/>
    <w:rsid w:val="008B4D46"/>
    <w:rsid w:val="008B56E6"/>
    <w:rsid w:val="008B5D03"/>
    <w:rsid w:val="008B6B88"/>
    <w:rsid w:val="008C6756"/>
    <w:rsid w:val="008C782C"/>
    <w:rsid w:val="008D35FC"/>
    <w:rsid w:val="008D472D"/>
    <w:rsid w:val="008D62AE"/>
    <w:rsid w:val="008D730D"/>
    <w:rsid w:val="008E3144"/>
    <w:rsid w:val="008E43E5"/>
    <w:rsid w:val="008E54E4"/>
    <w:rsid w:val="008E5FAC"/>
    <w:rsid w:val="008E7412"/>
    <w:rsid w:val="008F068B"/>
    <w:rsid w:val="008F2882"/>
    <w:rsid w:val="00902655"/>
    <w:rsid w:val="00905A26"/>
    <w:rsid w:val="00907472"/>
    <w:rsid w:val="009077DF"/>
    <w:rsid w:val="0091179E"/>
    <w:rsid w:val="0091273E"/>
    <w:rsid w:val="00913FB1"/>
    <w:rsid w:val="0091477C"/>
    <w:rsid w:val="00916D86"/>
    <w:rsid w:val="009170B8"/>
    <w:rsid w:val="00917CA4"/>
    <w:rsid w:val="0092046C"/>
    <w:rsid w:val="00920D0B"/>
    <w:rsid w:val="00920E52"/>
    <w:rsid w:val="009244A7"/>
    <w:rsid w:val="00924B8A"/>
    <w:rsid w:val="0092744E"/>
    <w:rsid w:val="009324A6"/>
    <w:rsid w:val="0093455F"/>
    <w:rsid w:val="009366D2"/>
    <w:rsid w:val="0093785F"/>
    <w:rsid w:val="00942CBC"/>
    <w:rsid w:val="00943216"/>
    <w:rsid w:val="00943E9B"/>
    <w:rsid w:val="00944215"/>
    <w:rsid w:val="0094629B"/>
    <w:rsid w:val="00953FC1"/>
    <w:rsid w:val="00960B52"/>
    <w:rsid w:val="00960BDA"/>
    <w:rsid w:val="009633D8"/>
    <w:rsid w:val="00964D08"/>
    <w:rsid w:val="00971C70"/>
    <w:rsid w:val="00972292"/>
    <w:rsid w:val="009724F8"/>
    <w:rsid w:val="00973CCE"/>
    <w:rsid w:val="00977526"/>
    <w:rsid w:val="00982C7F"/>
    <w:rsid w:val="00985838"/>
    <w:rsid w:val="00990413"/>
    <w:rsid w:val="0099629F"/>
    <w:rsid w:val="0099642A"/>
    <w:rsid w:val="00996C56"/>
    <w:rsid w:val="009A6EAC"/>
    <w:rsid w:val="009A70CF"/>
    <w:rsid w:val="009B11E4"/>
    <w:rsid w:val="009B12FF"/>
    <w:rsid w:val="009B598B"/>
    <w:rsid w:val="009B6BA0"/>
    <w:rsid w:val="009C2517"/>
    <w:rsid w:val="009C25AF"/>
    <w:rsid w:val="009C448C"/>
    <w:rsid w:val="009C5B69"/>
    <w:rsid w:val="009C5C54"/>
    <w:rsid w:val="009C65E9"/>
    <w:rsid w:val="009D56D0"/>
    <w:rsid w:val="009E0A56"/>
    <w:rsid w:val="009F1555"/>
    <w:rsid w:val="009F202B"/>
    <w:rsid w:val="009F4300"/>
    <w:rsid w:val="009F5B93"/>
    <w:rsid w:val="009F703C"/>
    <w:rsid w:val="00A039D6"/>
    <w:rsid w:val="00A03CE0"/>
    <w:rsid w:val="00A05F83"/>
    <w:rsid w:val="00A06749"/>
    <w:rsid w:val="00A145F0"/>
    <w:rsid w:val="00A1601B"/>
    <w:rsid w:val="00A20426"/>
    <w:rsid w:val="00A2069D"/>
    <w:rsid w:val="00A22014"/>
    <w:rsid w:val="00A231DB"/>
    <w:rsid w:val="00A27954"/>
    <w:rsid w:val="00A27BF5"/>
    <w:rsid w:val="00A30707"/>
    <w:rsid w:val="00A32B15"/>
    <w:rsid w:val="00A343D4"/>
    <w:rsid w:val="00A34456"/>
    <w:rsid w:val="00A3489B"/>
    <w:rsid w:val="00A34F42"/>
    <w:rsid w:val="00A357F5"/>
    <w:rsid w:val="00A372D3"/>
    <w:rsid w:val="00A37FF2"/>
    <w:rsid w:val="00A40C50"/>
    <w:rsid w:val="00A41F2D"/>
    <w:rsid w:val="00A43A0C"/>
    <w:rsid w:val="00A44A09"/>
    <w:rsid w:val="00A50281"/>
    <w:rsid w:val="00A53993"/>
    <w:rsid w:val="00A53CC1"/>
    <w:rsid w:val="00A552A0"/>
    <w:rsid w:val="00A56F1B"/>
    <w:rsid w:val="00A5747C"/>
    <w:rsid w:val="00A60D61"/>
    <w:rsid w:val="00A6205E"/>
    <w:rsid w:val="00A6386F"/>
    <w:rsid w:val="00A65475"/>
    <w:rsid w:val="00A66C4C"/>
    <w:rsid w:val="00A72845"/>
    <w:rsid w:val="00A72C36"/>
    <w:rsid w:val="00A73C75"/>
    <w:rsid w:val="00A748D1"/>
    <w:rsid w:val="00A77692"/>
    <w:rsid w:val="00A77C47"/>
    <w:rsid w:val="00A8536F"/>
    <w:rsid w:val="00A853F3"/>
    <w:rsid w:val="00A938DE"/>
    <w:rsid w:val="00A94999"/>
    <w:rsid w:val="00A963D4"/>
    <w:rsid w:val="00AA0C78"/>
    <w:rsid w:val="00AA0FC6"/>
    <w:rsid w:val="00AA0FF5"/>
    <w:rsid w:val="00AA1676"/>
    <w:rsid w:val="00AA2179"/>
    <w:rsid w:val="00AA2B9F"/>
    <w:rsid w:val="00AA418C"/>
    <w:rsid w:val="00AA78CB"/>
    <w:rsid w:val="00AB00F9"/>
    <w:rsid w:val="00AB28CC"/>
    <w:rsid w:val="00AB2C02"/>
    <w:rsid w:val="00AB4D5B"/>
    <w:rsid w:val="00AC0440"/>
    <w:rsid w:val="00AC171D"/>
    <w:rsid w:val="00AC2D76"/>
    <w:rsid w:val="00AC6D83"/>
    <w:rsid w:val="00AD3DB0"/>
    <w:rsid w:val="00AD657F"/>
    <w:rsid w:val="00AE01CE"/>
    <w:rsid w:val="00AE418B"/>
    <w:rsid w:val="00AE4B1D"/>
    <w:rsid w:val="00AE50E1"/>
    <w:rsid w:val="00AF3540"/>
    <w:rsid w:val="00AF35B4"/>
    <w:rsid w:val="00AF4210"/>
    <w:rsid w:val="00B0093E"/>
    <w:rsid w:val="00B0383E"/>
    <w:rsid w:val="00B0756B"/>
    <w:rsid w:val="00B107DC"/>
    <w:rsid w:val="00B12645"/>
    <w:rsid w:val="00B12C65"/>
    <w:rsid w:val="00B149DE"/>
    <w:rsid w:val="00B2148C"/>
    <w:rsid w:val="00B224BC"/>
    <w:rsid w:val="00B36433"/>
    <w:rsid w:val="00B419A1"/>
    <w:rsid w:val="00B436BE"/>
    <w:rsid w:val="00B43711"/>
    <w:rsid w:val="00B43C5F"/>
    <w:rsid w:val="00B4513E"/>
    <w:rsid w:val="00B4543A"/>
    <w:rsid w:val="00B500B4"/>
    <w:rsid w:val="00B57027"/>
    <w:rsid w:val="00B5777D"/>
    <w:rsid w:val="00B713AC"/>
    <w:rsid w:val="00B7219C"/>
    <w:rsid w:val="00B727A8"/>
    <w:rsid w:val="00B72FE7"/>
    <w:rsid w:val="00B76371"/>
    <w:rsid w:val="00B800B5"/>
    <w:rsid w:val="00B80598"/>
    <w:rsid w:val="00B8133B"/>
    <w:rsid w:val="00B813A9"/>
    <w:rsid w:val="00B85FB6"/>
    <w:rsid w:val="00B867E3"/>
    <w:rsid w:val="00B91663"/>
    <w:rsid w:val="00B9407C"/>
    <w:rsid w:val="00BA0328"/>
    <w:rsid w:val="00BA1D5B"/>
    <w:rsid w:val="00BB252A"/>
    <w:rsid w:val="00BB44FA"/>
    <w:rsid w:val="00BB6148"/>
    <w:rsid w:val="00BB7ACB"/>
    <w:rsid w:val="00BC1328"/>
    <w:rsid w:val="00BC192A"/>
    <w:rsid w:val="00BC3CDB"/>
    <w:rsid w:val="00BC51D3"/>
    <w:rsid w:val="00BC66BC"/>
    <w:rsid w:val="00BD5B29"/>
    <w:rsid w:val="00BD7148"/>
    <w:rsid w:val="00BD750C"/>
    <w:rsid w:val="00BE04B4"/>
    <w:rsid w:val="00BE658A"/>
    <w:rsid w:val="00BF33B9"/>
    <w:rsid w:val="00BF3AB4"/>
    <w:rsid w:val="00BF46AF"/>
    <w:rsid w:val="00BF52B5"/>
    <w:rsid w:val="00BF65A1"/>
    <w:rsid w:val="00BF735D"/>
    <w:rsid w:val="00BF771B"/>
    <w:rsid w:val="00BF79CB"/>
    <w:rsid w:val="00C012A3"/>
    <w:rsid w:val="00C035DD"/>
    <w:rsid w:val="00C06CB4"/>
    <w:rsid w:val="00C100BB"/>
    <w:rsid w:val="00C10A7F"/>
    <w:rsid w:val="00C13423"/>
    <w:rsid w:val="00C14503"/>
    <w:rsid w:val="00C16697"/>
    <w:rsid w:val="00C25D43"/>
    <w:rsid w:val="00C31A39"/>
    <w:rsid w:val="00C33BBD"/>
    <w:rsid w:val="00C350A3"/>
    <w:rsid w:val="00C413CB"/>
    <w:rsid w:val="00C442E1"/>
    <w:rsid w:val="00C44673"/>
    <w:rsid w:val="00C45331"/>
    <w:rsid w:val="00C527E5"/>
    <w:rsid w:val="00C55A90"/>
    <w:rsid w:val="00C63AC6"/>
    <w:rsid w:val="00C648D7"/>
    <w:rsid w:val="00C6694A"/>
    <w:rsid w:val="00C70D97"/>
    <w:rsid w:val="00C720DB"/>
    <w:rsid w:val="00C72613"/>
    <w:rsid w:val="00C72863"/>
    <w:rsid w:val="00C807AC"/>
    <w:rsid w:val="00C809CF"/>
    <w:rsid w:val="00C854E1"/>
    <w:rsid w:val="00C86446"/>
    <w:rsid w:val="00C8733F"/>
    <w:rsid w:val="00C90CE7"/>
    <w:rsid w:val="00C90E35"/>
    <w:rsid w:val="00C9138C"/>
    <w:rsid w:val="00C9385D"/>
    <w:rsid w:val="00C93E8E"/>
    <w:rsid w:val="00C95CA1"/>
    <w:rsid w:val="00CA0A6B"/>
    <w:rsid w:val="00CA73A3"/>
    <w:rsid w:val="00CB27A1"/>
    <w:rsid w:val="00CB5738"/>
    <w:rsid w:val="00CC07C6"/>
    <w:rsid w:val="00CC2A75"/>
    <w:rsid w:val="00CC4E0B"/>
    <w:rsid w:val="00CC5F70"/>
    <w:rsid w:val="00CD1469"/>
    <w:rsid w:val="00CD4742"/>
    <w:rsid w:val="00CD6194"/>
    <w:rsid w:val="00CD6705"/>
    <w:rsid w:val="00CD7D4D"/>
    <w:rsid w:val="00CE1CFF"/>
    <w:rsid w:val="00CE2807"/>
    <w:rsid w:val="00CE67A8"/>
    <w:rsid w:val="00CE7AF6"/>
    <w:rsid w:val="00CF348B"/>
    <w:rsid w:val="00CF6BD2"/>
    <w:rsid w:val="00D029C2"/>
    <w:rsid w:val="00D03AE8"/>
    <w:rsid w:val="00D1073B"/>
    <w:rsid w:val="00D116D0"/>
    <w:rsid w:val="00D13BA2"/>
    <w:rsid w:val="00D154FB"/>
    <w:rsid w:val="00D24D6B"/>
    <w:rsid w:val="00D25FD5"/>
    <w:rsid w:val="00D31706"/>
    <w:rsid w:val="00D34D1A"/>
    <w:rsid w:val="00D35607"/>
    <w:rsid w:val="00D406BF"/>
    <w:rsid w:val="00D4760A"/>
    <w:rsid w:val="00D50B30"/>
    <w:rsid w:val="00D5219F"/>
    <w:rsid w:val="00D53CD9"/>
    <w:rsid w:val="00D5481E"/>
    <w:rsid w:val="00D61529"/>
    <w:rsid w:val="00D646D2"/>
    <w:rsid w:val="00D65639"/>
    <w:rsid w:val="00D66EE9"/>
    <w:rsid w:val="00D7406D"/>
    <w:rsid w:val="00D767AF"/>
    <w:rsid w:val="00D80A02"/>
    <w:rsid w:val="00D81266"/>
    <w:rsid w:val="00D8214D"/>
    <w:rsid w:val="00D8282B"/>
    <w:rsid w:val="00D84A0D"/>
    <w:rsid w:val="00D85903"/>
    <w:rsid w:val="00D91F06"/>
    <w:rsid w:val="00D94425"/>
    <w:rsid w:val="00DA00BA"/>
    <w:rsid w:val="00DA55C6"/>
    <w:rsid w:val="00DB0DAD"/>
    <w:rsid w:val="00DB1487"/>
    <w:rsid w:val="00DB20E8"/>
    <w:rsid w:val="00DB4077"/>
    <w:rsid w:val="00DB4B19"/>
    <w:rsid w:val="00DB6086"/>
    <w:rsid w:val="00DC0B39"/>
    <w:rsid w:val="00DC1B87"/>
    <w:rsid w:val="00DC3E0A"/>
    <w:rsid w:val="00DC41EA"/>
    <w:rsid w:val="00DC7864"/>
    <w:rsid w:val="00DD0F99"/>
    <w:rsid w:val="00DD3174"/>
    <w:rsid w:val="00DD32B2"/>
    <w:rsid w:val="00DD4FE7"/>
    <w:rsid w:val="00DF29DB"/>
    <w:rsid w:val="00DF2EE1"/>
    <w:rsid w:val="00DF3372"/>
    <w:rsid w:val="00DF43E3"/>
    <w:rsid w:val="00DF60D0"/>
    <w:rsid w:val="00E0183D"/>
    <w:rsid w:val="00E05A63"/>
    <w:rsid w:val="00E06DE0"/>
    <w:rsid w:val="00E12A5E"/>
    <w:rsid w:val="00E14FDA"/>
    <w:rsid w:val="00E172E7"/>
    <w:rsid w:val="00E205C5"/>
    <w:rsid w:val="00E20981"/>
    <w:rsid w:val="00E2785C"/>
    <w:rsid w:val="00E31265"/>
    <w:rsid w:val="00E337D5"/>
    <w:rsid w:val="00E35FFA"/>
    <w:rsid w:val="00E439B6"/>
    <w:rsid w:val="00E44CD2"/>
    <w:rsid w:val="00E51E30"/>
    <w:rsid w:val="00E5729A"/>
    <w:rsid w:val="00E624D3"/>
    <w:rsid w:val="00E62B7D"/>
    <w:rsid w:val="00E64781"/>
    <w:rsid w:val="00E711A2"/>
    <w:rsid w:val="00E724FF"/>
    <w:rsid w:val="00E73316"/>
    <w:rsid w:val="00E95C3B"/>
    <w:rsid w:val="00E960D6"/>
    <w:rsid w:val="00E96954"/>
    <w:rsid w:val="00E96DCA"/>
    <w:rsid w:val="00E97175"/>
    <w:rsid w:val="00EA1AC0"/>
    <w:rsid w:val="00EA3CF0"/>
    <w:rsid w:val="00EA6B96"/>
    <w:rsid w:val="00EB707D"/>
    <w:rsid w:val="00EC3025"/>
    <w:rsid w:val="00EC60FA"/>
    <w:rsid w:val="00EC74F7"/>
    <w:rsid w:val="00ED186C"/>
    <w:rsid w:val="00ED47C6"/>
    <w:rsid w:val="00ED4CAF"/>
    <w:rsid w:val="00ED5C60"/>
    <w:rsid w:val="00ED693C"/>
    <w:rsid w:val="00EE238B"/>
    <w:rsid w:val="00EE66FE"/>
    <w:rsid w:val="00EE788C"/>
    <w:rsid w:val="00EF287C"/>
    <w:rsid w:val="00EF42D0"/>
    <w:rsid w:val="00F01D9C"/>
    <w:rsid w:val="00F02BAC"/>
    <w:rsid w:val="00F03A9F"/>
    <w:rsid w:val="00F03DB7"/>
    <w:rsid w:val="00F07AE5"/>
    <w:rsid w:val="00F125D3"/>
    <w:rsid w:val="00F12A23"/>
    <w:rsid w:val="00F13E5F"/>
    <w:rsid w:val="00F1405B"/>
    <w:rsid w:val="00F166E6"/>
    <w:rsid w:val="00F17C02"/>
    <w:rsid w:val="00F17D86"/>
    <w:rsid w:val="00F20D50"/>
    <w:rsid w:val="00F22330"/>
    <w:rsid w:val="00F25133"/>
    <w:rsid w:val="00F27761"/>
    <w:rsid w:val="00F31F7E"/>
    <w:rsid w:val="00F41A48"/>
    <w:rsid w:val="00F41B55"/>
    <w:rsid w:val="00F4478D"/>
    <w:rsid w:val="00F50B98"/>
    <w:rsid w:val="00F528F9"/>
    <w:rsid w:val="00F52F11"/>
    <w:rsid w:val="00F55522"/>
    <w:rsid w:val="00F57B67"/>
    <w:rsid w:val="00F62EBA"/>
    <w:rsid w:val="00F65356"/>
    <w:rsid w:val="00F66D73"/>
    <w:rsid w:val="00F66E7C"/>
    <w:rsid w:val="00F71478"/>
    <w:rsid w:val="00F715D9"/>
    <w:rsid w:val="00F72819"/>
    <w:rsid w:val="00F72DD0"/>
    <w:rsid w:val="00F73F7E"/>
    <w:rsid w:val="00F74FC1"/>
    <w:rsid w:val="00F7692B"/>
    <w:rsid w:val="00F8285A"/>
    <w:rsid w:val="00F86E88"/>
    <w:rsid w:val="00F876D9"/>
    <w:rsid w:val="00F87CF1"/>
    <w:rsid w:val="00F90638"/>
    <w:rsid w:val="00F91D10"/>
    <w:rsid w:val="00F91E97"/>
    <w:rsid w:val="00F928E9"/>
    <w:rsid w:val="00F97202"/>
    <w:rsid w:val="00FA0BB1"/>
    <w:rsid w:val="00FA22DC"/>
    <w:rsid w:val="00FA2D57"/>
    <w:rsid w:val="00FA3245"/>
    <w:rsid w:val="00FB3920"/>
    <w:rsid w:val="00FB6648"/>
    <w:rsid w:val="00FB6B76"/>
    <w:rsid w:val="00FC19F8"/>
    <w:rsid w:val="00FC1F7B"/>
    <w:rsid w:val="00FC27AB"/>
    <w:rsid w:val="00FC36FB"/>
    <w:rsid w:val="00FC5070"/>
    <w:rsid w:val="00FC54B9"/>
    <w:rsid w:val="00FD1DB6"/>
    <w:rsid w:val="00FD62CD"/>
    <w:rsid w:val="00FE18DB"/>
    <w:rsid w:val="00FE3B6D"/>
    <w:rsid w:val="00FE63AE"/>
    <w:rsid w:val="00FE6984"/>
    <w:rsid w:val="00FE700B"/>
    <w:rsid w:val="00FE7253"/>
    <w:rsid w:val="00FE7564"/>
    <w:rsid w:val="00FE7D7B"/>
    <w:rsid w:val="00FE7E26"/>
    <w:rsid w:val="00FF3B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2"/>
    <w:rPr>
      <w:sz w:val="24"/>
      <w:szCs w:val="24"/>
    </w:rPr>
  </w:style>
  <w:style w:type="paragraph" w:styleId="Heading4">
    <w:name w:val="heading 4"/>
    <w:basedOn w:val="Normal"/>
    <w:next w:val="Normal"/>
    <w:link w:val="Heading4Char"/>
    <w:uiPriority w:val="9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40F4"/>
    <w:rPr>
      <w:rFonts w:ascii="Calibri" w:hAnsi="Calibri" w:cs="Times New Roman"/>
      <w:b/>
      <w:bCs/>
      <w:sz w:val="28"/>
      <w:szCs w:val="28"/>
    </w:rPr>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uiPriority w:val="99"/>
    <w:rsid w:val="00057A45"/>
    <w:pPr>
      <w:spacing w:before="150" w:after="150"/>
      <w:jc w:val="center"/>
    </w:pPr>
    <w:rPr>
      <w:b/>
      <w:bCs/>
    </w:rPr>
  </w:style>
  <w:style w:type="paragraph" w:customStyle="1" w:styleId="naislab">
    <w:name w:val="naislab"/>
    <w:basedOn w:val="Normal"/>
    <w:uiPriority w:val="99"/>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uiPriority w:val="99"/>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customStyle="1" w:styleId="HeaderChar">
    <w:name w:val="Header Char"/>
    <w:basedOn w:val="DefaultParagraphFont"/>
    <w:link w:val="Header"/>
    <w:uiPriority w:val="99"/>
    <w:semiHidden/>
    <w:locked/>
    <w:rsid w:val="002A40F4"/>
    <w:rPr>
      <w:rFonts w:cs="Times New Roman"/>
      <w:sz w:val="24"/>
      <w:szCs w:val="24"/>
    </w:rPr>
  </w:style>
  <w:style w:type="character" w:styleId="PageNumber">
    <w:name w:val="page number"/>
    <w:basedOn w:val="DefaultParagraphFont"/>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style>
  <w:style w:type="character" w:customStyle="1" w:styleId="FooterChar">
    <w:name w:val="Footer Char"/>
    <w:basedOn w:val="DefaultParagraphFont"/>
    <w:link w:val="Footer"/>
    <w:uiPriority w:val="99"/>
    <w:locked/>
    <w:rsid w:val="00170E19"/>
    <w:rPr>
      <w:rFonts w:cs="Times New Roman"/>
      <w:sz w:val="24"/>
      <w:szCs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rFonts w:cs="Times New Roman"/>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40F4"/>
    <w:rPr>
      <w:rFonts w:ascii="Courier New" w:hAnsi="Courier New" w:cs="Courier New"/>
      <w:sz w:val="20"/>
      <w:szCs w:val="20"/>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0F4"/>
    <w:rPr>
      <w:rFonts w:cs="Times New Roman"/>
      <w:sz w:val="2"/>
    </w:rPr>
  </w:style>
  <w:style w:type="character" w:styleId="CommentReference">
    <w:name w:val="annotation reference"/>
    <w:basedOn w:val="DefaultParagraphFont"/>
    <w:uiPriority w:val="99"/>
    <w:semiHidden/>
    <w:rsid w:val="00486CD5"/>
    <w:rPr>
      <w:rFonts w:cs="Times New Roman"/>
      <w:sz w:val="16"/>
      <w:szCs w:val="16"/>
    </w:rPr>
  </w:style>
  <w:style w:type="paragraph" w:styleId="CommentText">
    <w:name w:val="annotation text"/>
    <w:basedOn w:val="Normal"/>
    <w:link w:val="CommentTextChar"/>
    <w:uiPriority w:val="99"/>
    <w:semiHidden/>
    <w:rsid w:val="00486CD5"/>
    <w:rPr>
      <w:sz w:val="20"/>
      <w:szCs w:val="20"/>
    </w:rPr>
  </w:style>
  <w:style w:type="character" w:customStyle="1" w:styleId="CommentTextChar">
    <w:name w:val="Comment Text Char"/>
    <w:basedOn w:val="DefaultParagraphFont"/>
    <w:link w:val="CommentText"/>
    <w:uiPriority w:val="99"/>
    <w:semiHidden/>
    <w:locked/>
    <w:rsid w:val="002A40F4"/>
    <w:rPr>
      <w:rFonts w:cs="Times New Roman"/>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basedOn w:val="CommentTextChar"/>
    <w:link w:val="CommentSubject"/>
    <w:uiPriority w:val="99"/>
    <w:semiHidden/>
    <w:locked/>
    <w:rsid w:val="002A40F4"/>
    <w:rPr>
      <w:b/>
      <w:bCs/>
    </w:rPr>
  </w:style>
  <w:style w:type="character" w:customStyle="1" w:styleId="EmailStyle37">
    <w:name w:val="EmailStyle371"/>
    <w:aliases w:val="EmailStyle371"/>
    <w:basedOn w:val="DefaultParagraphFont"/>
    <w:uiPriority w:val="99"/>
    <w:semiHidden/>
    <w:personal/>
    <w:rsid w:val="00B4543A"/>
    <w:rPr>
      <w:rFonts w:ascii="Arial" w:hAnsi="Arial" w:cs="Arial"/>
      <w:color w:val="auto"/>
      <w:sz w:val="20"/>
      <w:szCs w:val="20"/>
    </w:rPr>
  </w:style>
  <w:style w:type="character" w:styleId="Strong">
    <w:name w:val="Strong"/>
    <w:basedOn w:val="DefaultParagraphFont"/>
    <w:uiPriority w:val="99"/>
    <w:qFormat/>
    <w:rsid w:val="00DB20E8"/>
    <w:rPr>
      <w:rFonts w:cs="Times New Roman"/>
      <w:b/>
    </w:rPr>
  </w:style>
</w:styles>
</file>

<file path=word/webSettings.xml><?xml version="1.0" encoding="utf-8"?>
<w:webSettings xmlns:r="http://schemas.openxmlformats.org/officeDocument/2006/relationships" xmlns:w="http://schemas.openxmlformats.org/wordprocessingml/2006/main">
  <w:divs>
    <w:div w:id="1103694544">
      <w:marLeft w:val="0"/>
      <w:marRight w:val="0"/>
      <w:marTop w:val="0"/>
      <w:marBottom w:val="0"/>
      <w:divBdr>
        <w:top w:val="none" w:sz="0" w:space="0" w:color="auto"/>
        <w:left w:val="none" w:sz="0" w:space="0" w:color="auto"/>
        <w:bottom w:val="none" w:sz="0" w:space="0" w:color="auto"/>
        <w:right w:val="none" w:sz="0" w:space="0" w:color="auto"/>
      </w:divBdr>
    </w:div>
    <w:div w:id="1103694545">
      <w:marLeft w:val="0"/>
      <w:marRight w:val="0"/>
      <w:marTop w:val="0"/>
      <w:marBottom w:val="0"/>
      <w:divBdr>
        <w:top w:val="none" w:sz="0" w:space="0" w:color="auto"/>
        <w:left w:val="none" w:sz="0" w:space="0" w:color="auto"/>
        <w:bottom w:val="none" w:sz="0" w:space="0" w:color="auto"/>
        <w:right w:val="none" w:sz="0" w:space="0" w:color="auto"/>
      </w:divBdr>
    </w:div>
    <w:div w:id="1103694546">
      <w:marLeft w:val="0"/>
      <w:marRight w:val="0"/>
      <w:marTop w:val="0"/>
      <w:marBottom w:val="0"/>
      <w:divBdr>
        <w:top w:val="none" w:sz="0" w:space="0" w:color="auto"/>
        <w:left w:val="none" w:sz="0" w:space="0" w:color="auto"/>
        <w:bottom w:val="none" w:sz="0" w:space="0" w:color="auto"/>
        <w:right w:val="none" w:sz="0" w:space="0" w:color="auto"/>
      </w:divBdr>
    </w:div>
    <w:div w:id="1103694548">
      <w:marLeft w:val="120"/>
      <w:marRight w:val="120"/>
      <w:marTop w:val="45"/>
      <w:marBottom w:val="45"/>
      <w:divBdr>
        <w:top w:val="none" w:sz="0" w:space="0" w:color="auto"/>
        <w:left w:val="none" w:sz="0" w:space="0" w:color="auto"/>
        <w:bottom w:val="none" w:sz="0" w:space="0" w:color="auto"/>
        <w:right w:val="none" w:sz="0" w:space="0" w:color="auto"/>
      </w:divBdr>
      <w:divsChild>
        <w:div w:id="1103694550">
          <w:marLeft w:val="0"/>
          <w:marRight w:val="0"/>
          <w:marTop w:val="0"/>
          <w:marBottom w:val="0"/>
          <w:divBdr>
            <w:top w:val="none" w:sz="0" w:space="0" w:color="auto"/>
            <w:left w:val="none" w:sz="0" w:space="0" w:color="auto"/>
            <w:bottom w:val="none" w:sz="0" w:space="0" w:color="auto"/>
            <w:right w:val="none" w:sz="0" w:space="0" w:color="auto"/>
          </w:divBdr>
          <w:divsChild>
            <w:div w:id="1103694543">
              <w:marLeft w:val="240"/>
              <w:marRight w:val="240"/>
              <w:marTop w:val="0"/>
              <w:marBottom w:val="0"/>
              <w:divBdr>
                <w:top w:val="none" w:sz="0" w:space="0" w:color="auto"/>
                <w:left w:val="none" w:sz="0" w:space="0" w:color="auto"/>
                <w:bottom w:val="none" w:sz="0" w:space="0" w:color="auto"/>
                <w:right w:val="none" w:sz="0" w:space="0" w:color="auto"/>
              </w:divBdr>
              <w:divsChild>
                <w:div w:id="11036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4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7287</Words>
  <Characters>4155</Characters>
  <Application>Microsoft Office Word</Application>
  <DocSecurity>0</DocSecurity>
  <Lines>34</Lines>
  <Paragraphs>22</Paragraphs>
  <ScaleCrop>false</ScaleCrop>
  <Company>Satiksmes ministrija, Valsts dzelzceļa tehniskā inspekcija</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Projekta anotācija</dc:subject>
  <dc:creator>Rihards Guds</dc:creator>
  <cp:lastModifiedBy>aleksandras</cp:lastModifiedBy>
  <cp:revision>2</cp:revision>
  <cp:lastPrinted>2012-02-14T11:59:00Z</cp:lastPrinted>
  <dcterms:created xsi:type="dcterms:W3CDTF">2012-05-17T07:40:00Z</dcterms:created>
  <dcterms:modified xsi:type="dcterms:W3CDTF">2012-05-17T07:40:00Z</dcterms:modified>
</cp:coreProperties>
</file>