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846" w:rsidRDefault="00FD2BF8" w:rsidP="00675555">
      <w:pPr>
        <w:jc w:val="center"/>
        <w:rPr>
          <w:b/>
          <w:sz w:val="28"/>
          <w:szCs w:val="28"/>
        </w:rPr>
      </w:pPr>
      <w:r>
        <w:rPr>
          <w:b/>
          <w:bCs/>
          <w:sz w:val="28"/>
          <w:szCs w:val="28"/>
        </w:rPr>
        <w:t xml:space="preserve">Ministru kabineta noteikumu projekta </w:t>
      </w:r>
      <w:r>
        <w:rPr>
          <w:b/>
          <w:sz w:val="28"/>
          <w:szCs w:val="28"/>
        </w:rPr>
        <w:t xml:space="preserve">„Grozījumi Ministru kabineta 2009.gada 15.decembra noteikumos Nr.1465 „Noteikumi par darbības programmas „Infrastruktūra un pakalpojumi” papildinājuma 3.4.1.3.aktivitāti „Bioloģiskās daudzveidības saglabāšanas </w:t>
      </w:r>
      <w:proofErr w:type="spellStart"/>
      <w:r>
        <w:rPr>
          <w:b/>
          <w:i/>
          <w:sz w:val="28"/>
          <w:szCs w:val="28"/>
        </w:rPr>
        <w:t>ex</w:t>
      </w:r>
      <w:proofErr w:type="spellEnd"/>
      <w:r>
        <w:rPr>
          <w:b/>
          <w:i/>
          <w:sz w:val="28"/>
          <w:szCs w:val="28"/>
        </w:rPr>
        <w:t xml:space="preserve"> situ</w:t>
      </w:r>
      <w:r>
        <w:rPr>
          <w:b/>
          <w:sz w:val="28"/>
          <w:szCs w:val="28"/>
        </w:rPr>
        <w:t xml:space="preserve"> infrastruktūras izveide”” sākotnējās ietekmes novērtējuma </w:t>
      </w:r>
      <w:smartTag w:uri="schemas-tilde-lv/tildestengine" w:element="veidnes">
        <w:smartTagPr>
          <w:attr w:name="id" w:val="-1"/>
          <w:attr w:name="baseform" w:val="ziņojums"/>
          <w:attr w:name="text" w:val="ziņojums"/>
        </w:smartTagPr>
        <w:r>
          <w:rPr>
            <w:b/>
            <w:sz w:val="28"/>
            <w:szCs w:val="28"/>
          </w:rPr>
          <w:t>ziņojums</w:t>
        </w:r>
      </w:smartTag>
      <w:r>
        <w:rPr>
          <w:b/>
          <w:sz w:val="28"/>
          <w:szCs w:val="28"/>
        </w:rPr>
        <w:t xml:space="preserve"> (anotācija)</w:t>
      </w:r>
    </w:p>
    <w:p w:rsidR="000F2846" w:rsidRDefault="000F2846">
      <w:pPr>
        <w:jc w:val="center"/>
        <w:rPr>
          <w:b/>
          <w:sz w:val="28"/>
          <w:szCs w:val="28"/>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23"/>
        <w:gridCol w:w="1887"/>
        <w:gridCol w:w="7011"/>
      </w:tblGrid>
      <w:tr w:rsidR="000F2846">
        <w:trPr>
          <w:tblCellSpacing w:w="15" w:type="dxa"/>
        </w:trPr>
        <w:tc>
          <w:tcPr>
            <w:tcW w:w="0" w:type="auto"/>
            <w:gridSpan w:val="3"/>
            <w:tcBorders>
              <w:top w:val="single" w:sz="6" w:space="0" w:color="auto"/>
              <w:left w:val="single" w:sz="6" w:space="0" w:color="auto"/>
              <w:bottom w:val="outset" w:sz="6" w:space="0" w:color="000000"/>
              <w:right w:val="single" w:sz="6" w:space="0" w:color="auto"/>
            </w:tcBorders>
            <w:vAlign w:val="center"/>
          </w:tcPr>
          <w:p w:rsidR="000F2846" w:rsidRDefault="00FD2BF8">
            <w:pPr>
              <w:jc w:val="center"/>
              <w:rPr>
                <w:b/>
                <w:bCs/>
              </w:rPr>
            </w:pPr>
            <w:r>
              <w:rPr>
                <w:b/>
                <w:bCs/>
              </w:rPr>
              <w:t>I. Tiesību akta projekta izstrādes nepieciešamība</w:t>
            </w:r>
          </w:p>
        </w:tc>
      </w:tr>
      <w:tr w:rsidR="000F2846">
        <w:trPr>
          <w:tblCellSpacing w:w="15" w:type="dxa"/>
        </w:trPr>
        <w:tc>
          <w:tcPr>
            <w:tcW w:w="150" w:type="pct"/>
            <w:tcBorders>
              <w:top w:val="outset" w:sz="6" w:space="0" w:color="000000"/>
              <w:left w:val="outset" w:sz="6" w:space="0" w:color="000000"/>
              <w:bottom w:val="outset" w:sz="6" w:space="0" w:color="000000"/>
              <w:right w:val="outset" w:sz="6" w:space="0" w:color="000000"/>
            </w:tcBorders>
          </w:tcPr>
          <w:p w:rsidR="000F2846" w:rsidRDefault="00FD2BF8">
            <w:r>
              <w:t>1.</w:t>
            </w:r>
          </w:p>
        </w:tc>
        <w:tc>
          <w:tcPr>
            <w:tcW w:w="1000" w:type="pct"/>
            <w:tcBorders>
              <w:top w:val="outset" w:sz="6" w:space="0" w:color="000000"/>
              <w:left w:val="outset" w:sz="6" w:space="0" w:color="000000"/>
              <w:bottom w:val="outset" w:sz="6" w:space="0" w:color="000000"/>
              <w:right w:val="outset" w:sz="6" w:space="0" w:color="000000"/>
            </w:tcBorders>
          </w:tcPr>
          <w:p w:rsidR="000F2846" w:rsidRDefault="00FD2BF8">
            <w:r>
              <w:t>Pamatojums</w:t>
            </w:r>
          </w:p>
        </w:tc>
        <w:tc>
          <w:tcPr>
            <w:tcW w:w="3750" w:type="pct"/>
            <w:tcBorders>
              <w:top w:val="outset" w:sz="6" w:space="0" w:color="000000"/>
              <w:left w:val="outset" w:sz="6" w:space="0" w:color="000000"/>
              <w:bottom w:val="outset" w:sz="6" w:space="0" w:color="000000"/>
              <w:right w:val="outset" w:sz="6" w:space="0" w:color="000000"/>
            </w:tcBorders>
          </w:tcPr>
          <w:p w:rsidR="000F2846" w:rsidRDefault="00FD2BF8">
            <w:pPr>
              <w:jc w:val="both"/>
            </w:pPr>
            <w:r>
              <w:t xml:space="preserve">Ministru kabineta (turpmāk – MK) noteikumu projektu „Grozījumi Ministru kabineta 2009.gada 15.decembra noteikumos Nr.1465 „Noteikumi par darbības programmas „Infrastruktūra un pakalpojumi” papildinājuma 3.4.1.3.aktivitāti „Bioloģiskās daudzveidības saglabāšanas </w:t>
            </w:r>
            <w:proofErr w:type="spellStart"/>
            <w:r>
              <w:rPr>
                <w:i/>
              </w:rPr>
              <w:t>ex</w:t>
            </w:r>
            <w:proofErr w:type="spellEnd"/>
            <w:r>
              <w:rPr>
                <w:i/>
              </w:rPr>
              <w:t xml:space="preserve"> situ</w:t>
            </w:r>
            <w:r>
              <w:t xml:space="preserve"> infrastruktūras izveide”” (turpmāk – noteikumu projekts) Vides aizsardzības un reģionālās attīstības ministrija (turpmāk – VARAM) izstrādājusi saskaņā ar Eiropas Savienības struktūrfondu un Kohēzijas fonda vadības likuma 18. panta 10. punktu.  </w:t>
            </w:r>
          </w:p>
        </w:tc>
      </w:tr>
      <w:tr w:rsidR="000F2846">
        <w:trPr>
          <w:tblCellSpacing w:w="15" w:type="dxa"/>
        </w:trPr>
        <w:tc>
          <w:tcPr>
            <w:tcW w:w="150" w:type="pct"/>
            <w:tcBorders>
              <w:top w:val="outset" w:sz="6" w:space="0" w:color="000000"/>
              <w:left w:val="outset" w:sz="6" w:space="0" w:color="000000"/>
              <w:bottom w:val="outset" w:sz="6" w:space="0" w:color="000000"/>
              <w:right w:val="outset" w:sz="6" w:space="0" w:color="000000"/>
            </w:tcBorders>
          </w:tcPr>
          <w:p w:rsidR="000F2846" w:rsidRDefault="00FD2BF8">
            <w:r>
              <w:t>2.</w:t>
            </w:r>
          </w:p>
        </w:tc>
        <w:tc>
          <w:tcPr>
            <w:tcW w:w="1000" w:type="pct"/>
            <w:tcBorders>
              <w:top w:val="outset" w:sz="6" w:space="0" w:color="000000"/>
              <w:left w:val="outset" w:sz="6" w:space="0" w:color="000000"/>
              <w:bottom w:val="outset" w:sz="6" w:space="0" w:color="000000"/>
              <w:right w:val="outset" w:sz="6" w:space="0" w:color="000000"/>
            </w:tcBorders>
          </w:tcPr>
          <w:p w:rsidR="000F2846" w:rsidRDefault="00FD2BF8">
            <w:r>
              <w:t>Pašreizējā situācija un problēmas</w:t>
            </w:r>
          </w:p>
        </w:tc>
        <w:tc>
          <w:tcPr>
            <w:tcW w:w="3750" w:type="pct"/>
            <w:tcBorders>
              <w:top w:val="outset" w:sz="6" w:space="0" w:color="000000"/>
              <w:left w:val="outset" w:sz="6" w:space="0" w:color="000000"/>
              <w:bottom w:val="outset" w:sz="6" w:space="0" w:color="000000"/>
              <w:right w:val="outset" w:sz="6" w:space="0" w:color="000000"/>
            </w:tcBorders>
          </w:tcPr>
          <w:p w:rsidR="000F2846" w:rsidRDefault="00FD2BF8">
            <w:pPr>
              <w:jc w:val="both"/>
            </w:pPr>
            <w:r>
              <w:t>Projekta iesniedzēja – V/A „Nacionālais Botāniskais dārzs” (turpmāk – projekta iesniedzējs) institucionālā kapacitāte valsts budžeta taupīšanas laikā nav bijusi pietiekama, lai kvalitatīvi sagatavotu projekta iesniegumu. Programmas „</w:t>
            </w:r>
            <w:r>
              <w:rPr>
                <w:color w:val="000000"/>
              </w:rPr>
              <w:t xml:space="preserve">Tehniskā palīdzība </w:t>
            </w:r>
            <w:r>
              <w:t>Eiropas Reģionālās attīstības fonda</w:t>
            </w:r>
            <w:r>
              <w:rPr>
                <w:color w:val="000000"/>
              </w:rPr>
              <w:t xml:space="preserve">, </w:t>
            </w:r>
            <w:r>
              <w:t>Eiropas Sociālā fonda</w:t>
            </w:r>
            <w:r>
              <w:rPr>
                <w:color w:val="000000"/>
              </w:rPr>
              <w:t xml:space="preserve">, </w:t>
            </w:r>
            <w:r>
              <w:t>Kohēzijas fonda</w:t>
            </w:r>
            <w:r>
              <w:rPr>
                <w:color w:val="000000"/>
              </w:rPr>
              <w:t xml:space="preserve"> apgūšanai (2007 - 2013)”</w:t>
            </w:r>
            <w:r>
              <w:t xml:space="preserve"> ietvaros ir noslēgts </w:t>
            </w:r>
            <w:smartTag w:uri="schemas-tilde-lv/tildestengine" w:element="veidnes">
              <w:smartTagPr>
                <w:attr w:name="text" w:val="līgums"/>
                <w:attr w:name="baseform" w:val="līgums"/>
                <w:attr w:name="id" w:val="-1"/>
              </w:smartTagPr>
              <w:r>
                <w:t>līgums</w:t>
              </w:r>
            </w:smartTag>
            <w:r>
              <w:t xml:space="preserve"> „</w:t>
            </w:r>
            <w:r>
              <w:rPr>
                <w:rStyle w:val="colora"/>
              </w:rPr>
              <w:t xml:space="preserve">Tehniskā apsekošana, tehniskā projekta specifikāciju sagatavošana un tehniskā projekta un atbalsta dokumentācijas izstrādes nodrošināšana Nacionālajam botāniskajam dārzam tā iekļaušanai 2007. - 2013. gada finanšu plānošanas perioda aktivitātē „Bioloģiskās daudzveidības saglabāšanas </w:t>
            </w:r>
            <w:proofErr w:type="spellStart"/>
            <w:r>
              <w:rPr>
                <w:rStyle w:val="colora"/>
              </w:rPr>
              <w:t>ex</w:t>
            </w:r>
            <w:proofErr w:type="spellEnd"/>
            <w:r>
              <w:rPr>
                <w:rStyle w:val="colora"/>
              </w:rPr>
              <w:t xml:space="preserve"> situ un vides izglītības infrastruktūras izveide”” (turpmāk – </w:t>
            </w:r>
            <w:smartTag w:uri="schemas-tilde-lv/tildestengine" w:element="veidnes">
              <w:smartTagPr>
                <w:attr w:name="text" w:val="līgums"/>
                <w:attr w:name="baseform" w:val="līgums"/>
                <w:attr w:name="id" w:val="-1"/>
              </w:smartTagPr>
              <w:r>
                <w:rPr>
                  <w:rStyle w:val="colora"/>
                </w:rPr>
                <w:t>līgums</w:t>
              </w:r>
            </w:smartTag>
            <w:r>
              <w:rPr>
                <w:rStyle w:val="colora"/>
              </w:rPr>
              <w:t xml:space="preserve">), kura ietvaros veicamo pasākumu rezultāti ļaus </w:t>
            </w:r>
            <w:r>
              <w:t>kvalitatīvi un atbilstoši aktivitātes mērķim sagatavot projekta iesniegumu.</w:t>
            </w:r>
            <w:r>
              <w:rPr>
                <w:rFonts w:ascii="Arial" w:hAnsi="Arial" w:cs="Arial"/>
                <w:sz w:val="18"/>
                <w:szCs w:val="18"/>
              </w:rPr>
              <w:t xml:space="preserve"> </w:t>
            </w:r>
            <w:r>
              <w:t>Atbilstoši MK noteikumiem VARAM projekta iesniedzēju uzaicināja iesniegt projektu divas reizes – 22.02.2010.–18.06.2010. un 20.12.2010. –17.02.2011. Atbilstoši līguma nosacījumiem līguma izpildītājam līdz 2011.gada maija mēnesim jāiesniedz nepieciešamā dokumentācija, kurā sniegtā informācija ir pietiekama, lai projekta iesniedzējs varētu kvalitatīvi sagatavot projekta iesniegumu.</w:t>
            </w:r>
          </w:p>
        </w:tc>
      </w:tr>
      <w:tr w:rsidR="000F2846">
        <w:trPr>
          <w:tblCellSpacing w:w="15" w:type="dxa"/>
        </w:trPr>
        <w:tc>
          <w:tcPr>
            <w:tcW w:w="150" w:type="pct"/>
            <w:tcBorders>
              <w:top w:val="outset" w:sz="6" w:space="0" w:color="000000"/>
              <w:left w:val="outset" w:sz="6" w:space="0" w:color="000000"/>
              <w:bottom w:val="outset" w:sz="6" w:space="0" w:color="000000"/>
              <w:right w:val="outset" w:sz="6" w:space="0" w:color="000000"/>
            </w:tcBorders>
          </w:tcPr>
          <w:p w:rsidR="000F2846" w:rsidRDefault="00FD2BF8">
            <w:r>
              <w:t>3.</w:t>
            </w:r>
          </w:p>
        </w:tc>
        <w:tc>
          <w:tcPr>
            <w:tcW w:w="1000" w:type="pct"/>
            <w:tcBorders>
              <w:top w:val="outset" w:sz="6" w:space="0" w:color="000000"/>
              <w:left w:val="outset" w:sz="6" w:space="0" w:color="000000"/>
              <w:bottom w:val="outset" w:sz="6" w:space="0" w:color="000000"/>
              <w:right w:val="outset" w:sz="6" w:space="0" w:color="000000"/>
            </w:tcBorders>
          </w:tcPr>
          <w:p w:rsidR="000F2846" w:rsidRDefault="00FD2BF8">
            <w:r>
              <w:t>Saistītie politikas ietekmes novērtējumi un pētījumi</w:t>
            </w:r>
          </w:p>
        </w:tc>
        <w:tc>
          <w:tcPr>
            <w:tcW w:w="3750" w:type="pct"/>
            <w:tcBorders>
              <w:top w:val="outset" w:sz="6" w:space="0" w:color="000000"/>
              <w:left w:val="outset" w:sz="6" w:space="0" w:color="000000"/>
              <w:bottom w:val="outset" w:sz="6" w:space="0" w:color="000000"/>
              <w:right w:val="outset" w:sz="6" w:space="0" w:color="000000"/>
            </w:tcBorders>
          </w:tcPr>
          <w:p w:rsidR="000F2846" w:rsidRDefault="00FD2BF8">
            <w:r>
              <w:t>Nav attiecināms</w:t>
            </w:r>
          </w:p>
        </w:tc>
      </w:tr>
      <w:tr w:rsidR="000F2846">
        <w:trPr>
          <w:tblCellSpacing w:w="15" w:type="dxa"/>
        </w:trPr>
        <w:tc>
          <w:tcPr>
            <w:tcW w:w="150" w:type="pct"/>
            <w:tcBorders>
              <w:top w:val="outset" w:sz="6" w:space="0" w:color="000000"/>
              <w:left w:val="outset" w:sz="6" w:space="0" w:color="000000"/>
              <w:bottom w:val="outset" w:sz="6" w:space="0" w:color="000000"/>
              <w:right w:val="outset" w:sz="6" w:space="0" w:color="000000"/>
            </w:tcBorders>
          </w:tcPr>
          <w:p w:rsidR="000F2846" w:rsidRDefault="00FD2BF8">
            <w:r>
              <w:t>4.</w:t>
            </w:r>
          </w:p>
        </w:tc>
        <w:tc>
          <w:tcPr>
            <w:tcW w:w="1000" w:type="pct"/>
            <w:tcBorders>
              <w:top w:val="outset" w:sz="6" w:space="0" w:color="000000"/>
              <w:left w:val="outset" w:sz="6" w:space="0" w:color="000000"/>
              <w:bottom w:val="outset" w:sz="6" w:space="0" w:color="000000"/>
              <w:right w:val="outset" w:sz="6" w:space="0" w:color="000000"/>
            </w:tcBorders>
          </w:tcPr>
          <w:p w:rsidR="000F2846" w:rsidRDefault="00FD2BF8">
            <w:r>
              <w:t>Tiesiskā regulējuma mērķis un būtība</w:t>
            </w:r>
          </w:p>
        </w:tc>
        <w:tc>
          <w:tcPr>
            <w:tcW w:w="3750" w:type="pct"/>
            <w:tcBorders>
              <w:top w:val="outset" w:sz="6" w:space="0" w:color="000000"/>
              <w:left w:val="outset" w:sz="6" w:space="0" w:color="000000"/>
              <w:bottom w:val="outset" w:sz="6" w:space="0" w:color="000000"/>
              <w:right w:val="outset" w:sz="6" w:space="0" w:color="000000"/>
            </w:tcBorders>
          </w:tcPr>
          <w:p w:rsidR="000F2846" w:rsidRDefault="00FD2BF8">
            <w:pPr>
              <w:spacing w:before="120"/>
              <w:jc w:val="both"/>
              <w:rPr>
                <w:color w:val="000000"/>
              </w:rPr>
            </w:pPr>
            <w:r>
              <w:rPr>
                <w:lang w:eastAsia="lv-LV"/>
              </w:rPr>
              <w:t xml:space="preserve">Noteikumu projekts nodrošina </w:t>
            </w:r>
            <w:r>
              <w:rPr>
                <w:color w:val="000000"/>
              </w:rPr>
              <w:t xml:space="preserve">Ministru kabineta 2010. gada 22. novembra rīkojuma Nr.676 „Par Reģionālās attīstības un pašvaldību lietu ministrijas likvidācijas nodrošināšanu”, ar kuru Vides ministrijai tiek pievienota Reģionālās attīstības un pašvaldību lietu ministrija un tiek izveidota jauna iestāde </w:t>
            </w:r>
            <w:r>
              <w:rPr>
                <w:bCs/>
                <w:color w:val="000000"/>
              </w:rPr>
              <w:t>Vides aizsardzības un reģionālās attīstības ministrija,</w:t>
            </w:r>
            <w:r>
              <w:rPr>
                <w:b/>
                <w:bCs/>
                <w:color w:val="000000"/>
              </w:rPr>
              <w:t xml:space="preserve"> </w:t>
            </w:r>
            <w:r>
              <w:rPr>
                <w:color w:val="000000"/>
              </w:rPr>
              <w:t>izpildi (noteikumu projekta 1. punkts).</w:t>
            </w:r>
          </w:p>
          <w:p w:rsidR="00947270" w:rsidRPr="00115101" w:rsidRDefault="00FD2BF8">
            <w:pPr>
              <w:spacing w:before="120"/>
              <w:jc w:val="both"/>
              <w:rPr>
                <w:color w:val="000000"/>
              </w:rPr>
            </w:pPr>
            <w:r>
              <w:rPr>
                <w:color w:val="000000"/>
              </w:rPr>
              <w:t xml:space="preserve">Lai nodrošinātu Eiropas Reģionālās attīstības fonda apguvi, VARAM </w:t>
            </w:r>
            <w:r>
              <w:rPr>
                <w:color w:val="000000"/>
              </w:rPr>
              <w:lastRenderedPageBreak/>
              <w:t>pēc situācijas par projekta iesnieguma gatavības stadiju precizēšanas ierosina izmainīt projekta iesniegšanas termiņu, ja uzaicinātais projekta iesniedzējs neiesniedz projekta iesniegumu noteiktajā termiņā (noteikumu projekta 5. punkts).</w:t>
            </w:r>
            <w:r w:rsidR="007A09D3">
              <w:rPr>
                <w:color w:val="000000"/>
              </w:rPr>
              <w:t xml:space="preserve"> </w:t>
            </w:r>
            <w:r w:rsidR="00947270" w:rsidRPr="00115101">
              <w:rPr>
                <w:color w:val="000000"/>
              </w:rPr>
              <w:t xml:space="preserve">Šobrīd Ministru kabineta noteikumu 22.punkts paredz, </w:t>
            </w:r>
            <w:r w:rsidR="00947270" w:rsidRPr="00115101">
              <w:t>ka ja projekta iesniegums netiek iesniegts norādītajā termiņā, atbildīgā iestāde  atkārtotu uzaicinājumu iesniegt projekta iesniegumu nosūta pēc 6 mēnešiem.</w:t>
            </w:r>
            <w:r w:rsidR="00947270" w:rsidRPr="00115101">
              <w:rPr>
                <w:color w:val="000000"/>
              </w:rPr>
              <w:t xml:space="preserve"> </w:t>
            </w:r>
            <w:r w:rsidR="0027742B" w:rsidRPr="00115101">
              <w:rPr>
                <w:color w:val="000000"/>
              </w:rPr>
              <w:t>N</w:t>
            </w:r>
            <w:r w:rsidR="007A7C6E" w:rsidRPr="00115101">
              <w:rPr>
                <w:color w:val="000000"/>
              </w:rPr>
              <w:t xml:space="preserve">oteikumu </w:t>
            </w:r>
            <w:r w:rsidR="00947270" w:rsidRPr="00115101">
              <w:rPr>
                <w:color w:val="000000"/>
              </w:rPr>
              <w:t>projekta 5.punkts</w:t>
            </w:r>
            <w:r w:rsidR="007A7C6E" w:rsidRPr="00115101">
              <w:rPr>
                <w:color w:val="000000"/>
              </w:rPr>
              <w:t xml:space="preserve"> paredz</w:t>
            </w:r>
            <w:r w:rsidR="00947270" w:rsidRPr="00115101">
              <w:rPr>
                <w:color w:val="000000"/>
              </w:rPr>
              <w:t xml:space="preserve"> saīsināt atkārtotā uzaicinājuma iesniegt projekta iesniegumu nosūtīšanas termiņu līdz 6 mēnešiem.</w:t>
            </w:r>
          </w:p>
          <w:p w:rsidR="000F2846" w:rsidRDefault="00FD2BF8">
            <w:pPr>
              <w:spacing w:before="120"/>
              <w:jc w:val="both"/>
              <w:rPr>
                <w:color w:val="000000"/>
              </w:rPr>
            </w:pPr>
            <w:r>
              <w:rPr>
                <w:color w:val="000000"/>
              </w:rPr>
              <w:t>Veikti redakcionāli precizējumi, svītrojot atsauci uz Eiropas Komisijas tiesību aktiem, jo 30.07.2010. stājušies spēkā grozījumi 26.06.2007. MK noteikumos Nr. 441 „Eiropas Savienības publicitātes un vizuālās identitātes prasību nodrošināšanas kārtība” (noteikumu projekta 2.punkts).</w:t>
            </w:r>
          </w:p>
          <w:p w:rsidR="000F2846" w:rsidRDefault="00FD2BF8" w:rsidP="009D2DC6">
            <w:pPr>
              <w:spacing w:before="120"/>
              <w:jc w:val="both"/>
              <w:rPr>
                <w:color w:val="000000"/>
              </w:rPr>
            </w:pPr>
            <w:r>
              <w:t xml:space="preserve">Lai novērstu izmaksu </w:t>
            </w:r>
            <w:proofErr w:type="spellStart"/>
            <w:r>
              <w:t>neattiecināmības</w:t>
            </w:r>
            <w:proofErr w:type="spellEnd"/>
            <w:r>
              <w:t xml:space="preserve"> risku, </w:t>
            </w:r>
            <w:r>
              <w:rPr>
                <w:color w:val="000000"/>
              </w:rPr>
              <w:t>mazinātu potenciālu interešu konflikta risku, piemēram, būvuzraudzības procesā, atspoguļotu reālo pakalpojuma cenu, kā arī neradītu šaubas par faktiski patērēto laiku, precizēts MK noteikumu 7.</w:t>
            </w:r>
            <w:r>
              <w:rPr>
                <w:color w:val="000000"/>
                <w:position w:val="10"/>
                <w:vertAlign w:val="superscript"/>
              </w:rPr>
              <w:t>1</w:t>
            </w:r>
            <w:r>
              <w:rPr>
                <w:color w:val="000000"/>
              </w:rPr>
              <w:t>punkts, nosakot, ka izmaksas, kas radušās, pamatojoties uz darba līgumu, ir neattiecināmas (noteikumu projekta 3. punkts).</w:t>
            </w:r>
          </w:p>
          <w:p w:rsidR="000F2846" w:rsidRDefault="00FD2BF8">
            <w:pPr>
              <w:spacing w:before="120"/>
              <w:jc w:val="both"/>
            </w:pPr>
            <w:r>
              <w:t>Atbilstoši vadošās iestādes noteiktajai vienotajai pieejai no MK noteikumiem svītrotas projekta iesniegumā neiekļaujamās izmaksas, norādot kādas izmaksas iekļaujamas projekta iesniegumā (noteikumu projekta 4.punkts).</w:t>
            </w:r>
          </w:p>
          <w:p w:rsidR="002A311C" w:rsidRPr="002632F2" w:rsidRDefault="000A352C">
            <w:pPr>
              <w:spacing w:before="120"/>
              <w:jc w:val="both"/>
            </w:pPr>
            <w:r w:rsidRPr="002632F2">
              <w:t>Noteikumu projekta 2.un 4.punkts neietekmēs projekta iesniedzēju, tā kā šajā aktivitātē ir tikai viens projektu iesniedzējs, kas līdz šim nevienu projekta iesniegumu atbildīgajā iestādē nav iesniedzis.</w:t>
            </w:r>
          </w:p>
          <w:p w:rsidR="000F2846" w:rsidRDefault="00FD2BF8">
            <w:pPr>
              <w:spacing w:before="120"/>
              <w:jc w:val="both"/>
            </w:pPr>
            <w:r>
              <w:t>Lai nodrošinātu atbilstību MK noteikumu 7. punktam, precizēts MK noteikumu 2. pielikums (noteikumu projekta 7. punkts).</w:t>
            </w:r>
          </w:p>
          <w:p w:rsidR="000F2846" w:rsidRDefault="00FD2BF8">
            <w:pPr>
              <w:spacing w:before="120"/>
              <w:jc w:val="both"/>
            </w:pPr>
            <w:r>
              <w:t>Noteikumu projekts novērš MK noteikumu 30.4. apakšpunktā  identificēto tehnisko kļūdu – neprecīzo atsauci uz MK noteikumu punktiem (noteikumu projekta 6. punkts).</w:t>
            </w:r>
          </w:p>
          <w:p w:rsidR="000F2846" w:rsidRDefault="00FD2BF8">
            <w:pPr>
              <w:spacing w:before="120"/>
              <w:jc w:val="both"/>
            </w:pPr>
            <w:r>
              <w:t>Noteikumu projekts attiecas uz vides politikas jomu.</w:t>
            </w:r>
          </w:p>
        </w:tc>
      </w:tr>
      <w:tr w:rsidR="000F2846">
        <w:trPr>
          <w:tblCellSpacing w:w="15" w:type="dxa"/>
        </w:trPr>
        <w:tc>
          <w:tcPr>
            <w:tcW w:w="150" w:type="pct"/>
            <w:tcBorders>
              <w:top w:val="outset" w:sz="6" w:space="0" w:color="000000"/>
              <w:left w:val="outset" w:sz="6" w:space="0" w:color="000000"/>
              <w:bottom w:val="outset" w:sz="6" w:space="0" w:color="000000"/>
              <w:right w:val="outset" w:sz="6" w:space="0" w:color="000000"/>
            </w:tcBorders>
          </w:tcPr>
          <w:p w:rsidR="000F2846" w:rsidRDefault="00FD2BF8">
            <w:r>
              <w:lastRenderedPageBreak/>
              <w:t>5.</w:t>
            </w:r>
          </w:p>
        </w:tc>
        <w:tc>
          <w:tcPr>
            <w:tcW w:w="1000" w:type="pct"/>
            <w:tcBorders>
              <w:top w:val="outset" w:sz="6" w:space="0" w:color="000000"/>
              <w:left w:val="outset" w:sz="6" w:space="0" w:color="000000"/>
              <w:bottom w:val="outset" w:sz="6" w:space="0" w:color="000000"/>
              <w:right w:val="outset" w:sz="6" w:space="0" w:color="000000"/>
            </w:tcBorders>
          </w:tcPr>
          <w:p w:rsidR="000F2846" w:rsidRDefault="00FD2BF8">
            <w:r>
              <w:t>Projekta izstrādē iesaistītās institūcijas</w:t>
            </w:r>
          </w:p>
        </w:tc>
        <w:tc>
          <w:tcPr>
            <w:tcW w:w="3750" w:type="pct"/>
            <w:tcBorders>
              <w:top w:val="outset" w:sz="6" w:space="0" w:color="000000"/>
              <w:left w:val="outset" w:sz="6" w:space="0" w:color="000000"/>
              <w:bottom w:val="outset" w:sz="6" w:space="0" w:color="000000"/>
              <w:right w:val="outset" w:sz="6" w:space="0" w:color="000000"/>
            </w:tcBorders>
          </w:tcPr>
          <w:p w:rsidR="000F2846" w:rsidRDefault="00FD2BF8">
            <w:r>
              <w:t>Nav attiecināms</w:t>
            </w:r>
          </w:p>
        </w:tc>
      </w:tr>
      <w:tr w:rsidR="000F2846">
        <w:trPr>
          <w:tblCellSpacing w:w="15" w:type="dxa"/>
        </w:trPr>
        <w:tc>
          <w:tcPr>
            <w:tcW w:w="150" w:type="pct"/>
            <w:tcBorders>
              <w:top w:val="outset" w:sz="6" w:space="0" w:color="000000"/>
              <w:left w:val="outset" w:sz="6" w:space="0" w:color="000000"/>
              <w:bottom w:val="outset" w:sz="6" w:space="0" w:color="000000"/>
              <w:right w:val="outset" w:sz="6" w:space="0" w:color="000000"/>
            </w:tcBorders>
          </w:tcPr>
          <w:p w:rsidR="000F2846" w:rsidRDefault="00FD2BF8">
            <w:r>
              <w:t>6.</w:t>
            </w:r>
          </w:p>
        </w:tc>
        <w:tc>
          <w:tcPr>
            <w:tcW w:w="1000" w:type="pct"/>
            <w:tcBorders>
              <w:top w:val="outset" w:sz="6" w:space="0" w:color="000000"/>
              <w:left w:val="outset" w:sz="6" w:space="0" w:color="000000"/>
              <w:bottom w:val="outset" w:sz="6" w:space="0" w:color="000000"/>
              <w:right w:val="outset" w:sz="6" w:space="0" w:color="000000"/>
            </w:tcBorders>
          </w:tcPr>
          <w:p w:rsidR="000F2846" w:rsidRDefault="00FD2BF8">
            <w:r>
              <w:t>Iemesli, kādēļ netika nodrošināta sabiedrības līdzdalība</w:t>
            </w:r>
          </w:p>
        </w:tc>
        <w:tc>
          <w:tcPr>
            <w:tcW w:w="3750" w:type="pct"/>
            <w:tcBorders>
              <w:top w:val="outset" w:sz="6" w:space="0" w:color="000000"/>
              <w:left w:val="outset" w:sz="6" w:space="0" w:color="000000"/>
              <w:bottom w:val="outset" w:sz="6" w:space="0" w:color="000000"/>
              <w:right w:val="outset" w:sz="6" w:space="0" w:color="000000"/>
            </w:tcBorders>
          </w:tcPr>
          <w:p w:rsidR="000F2846" w:rsidRDefault="00FD2BF8">
            <w:pPr>
              <w:jc w:val="both"/>
            </w:pPr>
            <w:r>
              <w:t xml:space="preserve">Sabiedrības līdzdalība tika nodrošināta, 2006. gadā izstrādājot nacionālo programmu „Bioloģiskās daudzveidības saglabāšanas </w:t>
            </w:r>
            <w:proofErr w:type="spellStart"/>
            <w:r>
              <w:rPr>
                <w:i/>
              </w:rPr>
              <w:t>ex</w:t>
            </w:r>
            <w:proofErr w:type="spellEnd"/>
            <w:r>
              <w:rPr>
                <w:i/>
              </w:rPr>
              <w:t xml:space="preserve"> situ</w:t>
            </w:r>
            <w:r>
              <w:t xml:space="preserve"> un vides izglītības infrastruktūras izveide”, kas ir 2009.gada 15.decembra noteikumu Nr.1465 „Noteikumi par darbības programmas „Infrastruktūra un pakalpojumi” papildinājuma 3.4.1.3.aktivitāti „Bioloģiskās daudzveidības saglabāšanas </w:t>
            </w:r>
            <w:proofErr w:type="spellStart"/>
            <w:r>
              <w:rPr>
                <w:i/>
              </w:rPr>
              <w:t>ex</w:t>
            </w:r>
            <w:proofErr w:type="spellEnd"/>
            <w:r>
              <w:rPr>
                <w:i/>
              </w:rPr>
              <w:t xml:space="preserve"> situ</w:t>
            </w:r>
            <w:r>
              <w:t xml:space="preserve"> infrastruktūras izveide”” pamatā.</w:t>
            </w:r>
          </w:p>
        </w:tc>
      </w:tr>
      <w:tr w:rsidR="000F2846">
        <w:trPr>
          <w:tblCellSpacing w:w="15" w:type="dxa"/>
        </w:trPr>
        <w:tc>
          <w:tcPr>
            <w:tcW w:w="150" w:type="pct"/>
            <w:tcBorders>
              <w:top w:val="outset" w:sz="6" w:space="0" w:color="000000"/>
              <w:left w:val="outset" w:sz="6" w:space="0" w:color="000000"/>
              <w:bottom w:val="outset" w:sz="6" w:space="0" w:color="000000"/>
              <w:right w:val="outset" w:sz="6" w:space="0" w:color="000000"/>
            </w:tcBorders>
          </w:tcPr>
          <w:p w:rsidR="000F2846" w:rsidRDefault="00FD2BF8">
            <w:r>
              <w:t>7.</w:t>
            </w:r>
          </w:p>
        </w:tc>
        <w:tc>
          <w:tcPr>
            <w:tcW w:w="1000" w:type="pct"/>
            <w:tcBorders>
              <w:top w:val="outset" w:sz="6" w:space="0" w:color="000000"/>
              <w:left w:val="outset" w:sz="6" w:space="0" w:color="000000"/>
              <w:bottom w:val="outset" w:sz="6" w:space="0" w:color="000000"/>
              <w:right w:val="outset" w:sz="6" w:space="0" w:color="000000"/>
            </w:tcBorders>
          </w:tcPr>
          <w:p w:rsidR="000F2846" w:rsidRDefault="00FD2BF8">
            <w:r>
              <w:t>Cita informācija</w:t>
            </w:r>
          </w:p>
        </w:tc>
        <w:tc>
          <w:tcPr>
            <w:tcW w:w="3750" w:type="pct"/>
            <w:tcBorders>
              <w:top w:val="outset" w:sz="6" w:space="0" w:color="000000"/>
              <w:left w:val="outset" w:sz="6" w:space="0" w:color="000000"/>
              <w:bottom w:val="outset" w:sz="6" w:space="0" w:color="000000"/>
              <w:right w:val="outset" w:sz="6" w:space="0" w:color="000000"/>
            </w:tcBorders>
          </w:tcPr>
          <w:p w:rsidR="000F2846" w:rsidRDefault="00FD2BF8">
            <w:r>
              <w:t>Nav attiecināms</w:t>
            </w:r>
          </w:p>
        </w:tc>
      </w:tr>
    </w:tbl>
    <w:p w:rsidR="000F2846" w:rsidRDefault="000F2846">
      <w:pPr>
        <w:jc w:val="center"/>
        <w:rPr>
          <w:b/>
          <w:sz w:val="28"/>
          <w:szCs w:val="28"/>
        </w:rPr>
      </w:pPr>
    </w:p>
    <w:p w:rsidR="000F2846" w:rsidRDefault="00FD2BF8">
      <w:pPr>
        <w:ind w:firstLine="720"/>
        <w:jc w:val="both"/>
        <w:rPr>
          <w:sz w:val="28"/>
          <w:szCs w:val="28"/>
        </w:rPr>
      </w:pPr>
      <w:r>
        <w:rPr>
          <w:sz w:val="28"/>
          <w:szCs w:val="28"/>
        </w:rPr>
        <w:lastRenderedPageBreak/>
        <w:t xml:space="preserve">Anotācijas II. – VII. sadaļa </w:t>
      </w:r>
      <w:r>
        <w:t xml:space="preserve">– </w:t>
      </w:r>
      <w:r>
        <w:rPr>
          <w:sz w:val="28"/>
          <w:szCs w:val="28"/>
        </w:rPr>
        <w:t xml:space="preserve">nav attiecināms. </w:t>
      </w:r>
    </w:p>
    <w:p w:rsidR="000F2846" w:rsidRDefault="000F2846">
      <w:pPr>
        <w:ind w:firstLine="720"/>
        <w:jc w:val="both"/>
        <w:rPr>
          <w:sz w:val="28"/>
          <w:szCs w:val="28"/>
        </w:rPr>
      </w:pPr>
    </w:p>
    <w:p w:rsidR="000F2846" w:rsidRDefault="00FD2BF8">
      <w:pPr>
        <w:pStyle w:val="BodyTextIndent"/>
        <w:tabs>
          <w:tab w:val="num" w:pos="1090"/>
        </w:tabs>
        <w:rPr>
          <w:szCs w:val="28"/>
        </w:rPr>
      </w:pPr>
      <w:r>
        <w:rPr>
          <w:szCs w:val="28"/>
        </w:rPr>
        <w:t xml:space="preserve">Iesniedzējs: </w:t>
      </w:r>
    </w:p>
    <w:p w:rsidR="00847B48" w:rsidRDefault="00FD2BF8">
      <w:pPr>
        <w:tabs>
          <w:tab w:val="left" w:pos="6315"/>
        </w:tabs>
        <w:jc w:val="both"/>
        <w:rPr>
          <w:sz w:val="28"/>
          <w:szCs w:val="28"/>
        </w:rPr>
      </w:pPr>
      <w:r>
        <w:rPr>
          <w:sz w:val="28"/>
          <w:szCs w:val="28"/>
        </w:rPr>
        <w:t>Vides</w:t>
      </w:r>
      <w:r w:rsidR="00847B48">
        <w:rPr>
          <w:sz w:val="28"/>
          <w:szCs w:val="28"/>
        </w:rPr>
        <w:t xml:space="preserve"> aizsardzības un </w:t>
      </w:r>
    </w:p>
    <w:p w:rsidR="000F2846" w:rsidRDefault="00847B48">
      <w:pPr>
        <w:tabs>
          <w:tab w:val="left" w:pos="6315"/>
        </w:tabs>
        <w:jc w:val="both"/>
        <w:rPr>
          <w:sz w:val="28"/>
          <w:szCs w:val="28"/>
        </w:rPr>
      </w:pPr>
      <w:r>
        <w:rPr>
          <w:sz w:val="28"/>
          <w:szCs w:val="28"/>
        </w:rPr>
        <w:t>reģionālās attīstības</w:t>
      </w:r>
      <w:r w:rsidR="00FD2BF8">
        <w:rPr>
          <w:sz w:val="28"/>
          <w:szCs w:val="28"/>
        </w:rPr>
        <w:t xml:space="preserve"> ministrs</w:t>
      </w:r>
      <w:r w:rsidR="00FD2BF8">
        <w:rPr>
          <w:sz w:val="28"/>
          <w:szCs w:val="28"/>
        </w:rPr>
        <w:tab/>
      </w:r>
      <w:r w:rsidR="00FD2BF8">
        <w:rPr>
          <w:sz w:val="28"/>
          <w:szCs w:val="28"/>
        </w:rPr>
        <w:tab/>
      </w:r>
      <w:r w:rsidR="00FD2BF8">
        <w:rPr>
          <w:sz w:val="28"/>
          <w:szCs w:val="28"/>
        </w:rPr>
        <w:tab/>
      </w:r>
      <w:r w:rsidR="00FD2BF8">
        <w:rPr>
          <w:sz w:val="28"/>
          <w:szCs w:val="28"/>
        </w:rPr>
        <w:tab/>
      </w:r>
      <w:proofErr w:type="spellStart"/>
      <w:r w:rsidR="00FD2BF8">
        <w:rPr>
          <w:sz w:val="28"/>
          <w:szCs w:val="28"/>
        </w:rPr>
        <w:t>R.Vējonis</w:t>
      </w:r>
      <w:proofErr w:type="spellEnd"/>
    </w:p>
    <w:p w:rsidR="000F2846" w:rsidRDefault="000F2846">
      <w:pPr>
        <w:jc w:val="both"/>
        <w:rPr>
          <w:sz w:val="28"/>
          <w:szCs w:val="28"/>
        </w:rPr>
      </w:pPr>
    </w:p>
    <w:p w:rsidR="000F2846" w:rsidRDefault="000F2846">
      <w:pPr>
        <w:jc w:val="both"/>
        <w:rPr>
          <w:sz w:val="28"/>
          <w:szCs w:val="28"/>
        </w:rPr>
      </w:pPr>
    </w:p>
    <w:p w:rsidR="000F2846" w:rsidRDefault="00FD2BF8">
      <w:pPr>
        <w:jc w:val="both"/>
        <w:rPr>
          <w:sz w:val="28"/>
          <w:szCs w:val="28"/>
        </w:rPr>
      </w:pPr>
      <w:r>
        <w:rPr>
          <w:sz w:val="28"/>
          <w:szCs w:val="28"/>
        </w:rPr>
        <w:t xml:space="preserve">Vizē: </w:t>
      </w:r>
    </w:p>
    <w:p w:rsidR="000F2846" w:rsidRDefault="00FD2BF8">
      <w:pPr>
        <w:jc w:val="both"/>
        <w:rPr>
          <w:sz w:val="28"/>
          <w:szCs w:val="28"/>
        </w:rPr>
      </w:pPr>
      <w:r>
        <w:rPr>
          <w:sz w:val="28"/>
          <w:szCs w:val="28"/>
        </w:rPr>
        <w:t>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G.Puķītis</w:t>
      </w:r>
    </w:p>
    <w:p w:rsidR="000F2846" w:rsidRDefault="000F2846">
      <w:pPr>
        <w:rPr>
          <w:noProof/>
          <w:sz w:val="20"/>
          <w:szCs w:val="20"/>
        </w:rPr>
      </w:pPr>
    </w:p>
    <w:p w:rsidR="000F2846" w:rsidRDefault="000F2846">
      <w:pPr>
        <w:rPr>
          <w:noProof/>
          <w:sz w:val="20"/>
          <w:szCs w:val="20"/>
        </w:rPr>
      </w:pPr>
    </w:p>
    <w:p w:rsidR="000F2846" w:rsidRDefault="000F2846">
      <w:pPr>
        <w:rPr>
          <w:noProof/>
          <w:sz w:val="20"/>
          <w:szCs w:val="20"/>
        </w:rPr>
      </w:pPr>
    </w:p>
    <w:p w:rsidR="000F2846" w:rsidRDefault="000F2846">
      <w:pPr>
        <w:rPr>
          <w:sz w:val="22"/>
          <w:szCs w:val="22"/>
        </w:rPr>
      </w:pPr>
    </w:p>
    <w:p w:rsidR="000F2846" w:rsidRDefault="003E62B6">
      <w:pPr>
        <w:tabs>
          <w:tab w:val="left" w:pos="6315"/>
        </w:tabs>
        <w:jc w:val="both"/>
        <w:rPr>
          <w:sz w:val="20"/>
          <w:szCs w:val="20"/>
        </w:rPr>
      </w:pPr>
      <w:r>
        <w:rPr>
          <w:sz w:val="20"/>
          <w:szCs w:val="20"/>
        </w:rPr>
        <w:t>13</w:t>
      </w:r>
      <w:r w:rsidR="0071109E">
        <w:rPr>
          <w:sz w:val="20"/>
          <w:szCs w:val="20"/>
        </w:rPr>
        <w:t>.05.2011</w:t>
      </w:r>
      <w:r w:rsidR="00FD2BF8">
        <w:rPr>
          <w:sz w:val="20"/>
          <w:szCs w:val="20"/>
        </w:rPr>
        <w:t>. 9:</w:t>
      </w:r>
      <w:r w:rsidR="00F7369E">
        <w:rPr>
          <w:sz w:val="20"/>
          <w:szCs w:val="20"/>
        </w:rPr>
        <w:t>27</w:t>
      </w:r>
    </w:p>
    <w:p w:rsidR="000F2846" w:rsidRDefault="00B45AD9">
      <w:pPr>
        <w:jc w:val="both"/>
        <w:rPr>
          <w:sz w:val="20"/>
        </w:rPr>
      </w:pPr>
      <w:r>
        <w:rPr>
          <w:sz w:val="20"/>
        </w:rPr>
        <w:fldChar w:fldCharType="begin"/>
      </w:r>
      <w:r w:rsidR="00FD2BF8">
        <w:rPr>
          <w:sz w:val="20"/>
        </w:rPr>
        <w:instrText xml:space="preserve"> NUMWORDS  \# "0" \* Arabic  \* MERGEFORMAT </w:instrText>
      </w:r>
      <w:r>
        <w:rPr>
          <w:sz w:val="20"/>
        </w:rPr>
        <w:fldChar w:fldCharType="separate"/>
      </w:r>
      <w:r w:rsidR="00BB079D">
        <w:rPr>
          <w:noProof/>
          <w:sz w:val="20"/>
        </w:rPr>
        <w:t>645</w:t>
      </w:r>
      <w:r>
        <w:rPr>
          <w:sz w:val="20"/>
        </w:rPr>
        <w:fldChar w:fldCharType="end"/>
      </w:r>
    </w:p>
    <w:p w:rsidR="000F2846" w:rsidRDefault="00FD2BF8">
      <w:pPr>
        <w:jc w:val="both"/>
        <w:rPr>
          <w:sz w:val="20"/>
        </w:rPr>
      </w:pPr>
      <w:r>
        <w:rPr>
          <w:sz w:val="20"/>
        </w:rPr>
        <w:t>Sarmīte Kļaviņa</w:t>
      </w:r>
    </w:p>
    <w:p w:rsidR="000F2846" w:rsidRDefault="00FD2BF8">
      <w:pPr>
        <w:jc w:val="both"/>
        <w:rPr>
          <w:sz w:val="20"/>
        </w:rPr>
      </w:pPr>
      <w:r>
        <w:rPr>
          <w:sz w:val="20"/>
        </w:rPr>
        <w:t>Investīciju departamenta Investīciju stratēģijas nodaļas vecākā referente</w:t>
      </w:r>
    </w:p>
    <w:p w:rsidR="00FD2BF8" w:rsidRDefault="00FD2BF8">
      <w:r>
        <w:rPr>
          <w:sz w:val="20"/>
        </w:rPr>
        <w:t xml:space="preserve">66016758; </w:t>
      </w:r>
      <w:hyperlink r:id="rId7" w:history="1">
        <w:r>
          <w:rPr>
            <w:rStyle w:val="Hyperlink"/>
            <w:sz w:val="20"/>
          </w:rPr>
          <w:t>sarmite.klavina@vidm.gov.lv</w:t>
        </w:r>
      </w:hyperlink>
    </w:p>
    <w:p w:rsidR="0071109E" w:rsidRDefault="0071109E"/>
    <w:p w:rsidR="0071109E" w:rsidRDefault="0071109E" w:rsidP="0071109E">
      <w:pPr>
        <w:jc w:val="both"/>
        <w:rPr>
          <w:sz w:val="20"/>
        </w:rPr>
      </w:pPr>
      <w:r>
        <w:rPr>
          <w:sz w:val="20"/>
        </w:rPr>
        <w:t>Austra Auziņa</w:t>
      </w:r>
    </w:p>
    <w:p w:rsidR="0071109E" w:rsidRDefault="0071109E" w:rsidP="0071109E">
      <w:pPr>
        <w:jc w:val="both"/>
        <w:rPr>
          <w:sz w:val="20"/>
        </w:rPr>
      </w:pPr>
      <w:r>
        <w:rPr>
          <w:sz w:val="20"/>
        </w:rPr>
        <w:t>Investīciju departamenta Investīciju stratēģijas nodaļas vecākā referente</w:t>
      </w:r>
    </w:p>
    <w:p w:rsidR="0071109E" w:rsidRPr="0071109E" w:rsidRDefault="00B45AD9">
      <w:pPr>
        <w:rPr>
          <w:noProof/>
          <w:sz w:val="20"/>
          <w:szCs w:val="20"/>
        </w:rPr>
      </w:pPr>
      <w:hyperlink r:id="rId8" w:history="1">
        <w:r w:rsidR="0071109E" w:rsidRPr="0071109E">
          <w:rPr>
            <w:rStyle w:val="Hyperlink"/>
            <w:noProof/>
            <w:sz w:val="20"/>
            <w:szCs w:val="20"/>
          </w:rPr>
          <w:t>austra.auzina@vidm.gov.lv</w:t>
        </w:r>
      </w:hyperlink>
    </w:p>
    <w:p w:rsidR="0071109E" w:rsidRDefault="0071109E">
      <w:pPr>
        <w:rPr>
          <w:noProof/>
        </w:rPr>
      </w:pPr>
    </w:p>
    <w:sectPr w:rsidR="0071109E" w:rsidSect="000F2846">
      <w:headerReference w:type="even" r:id="rId9"/>
      <w:headerReference w:type="default" r:id="rId10"/>
      <w:footerReference w:type="default" r:id="rId11"/>
      <w:footerReference w:type="first" r:id="rId12"/>
      <w:pgSz w:w="11906" w:h="16838" w:code="9"/>
      <w:pgMar w:top="1418" w:right="1134" w:bottom="1134" w:left="1701"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A93" w:rsidRDefault="00317A93">
      <w:r>
        <w:separator/>
      </w:r>
    </w:p>
  </w:endnote>
  <w:endnote w:type="continuationSeparator" w:id="0">
    <w:p w:rsidR="00317A93" w:rsidRDefault="00317A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846" w:rsidRDefault="003E62B6">
    <w:pPr>
      <w:pStyle w:val="naisc"/>
      <w:tabs>
        <w:tab w:val="left" w:pos="8820"/>
      </w:tabs>
      <w:spacing w:before="0" w:beforeAutospacing="0" w:after="0" w:afterAutospacing="0"/>
      <w:jc w:val="both"/>
      <w:rPr>
        <w:sz w:val="20"/>
        <w:szCs w:val="20"/>
        <w:lang w:val="lv-LV"/>
      </w:rPr>
    </w:pPr>
    <w:r>
      <w:rPr>
        <w:sz w:val="20"/>
        <w:lang w:val="lv-LV"/>
      </w:rPr>
      <w:t>VARAM</w:t>
    </w:r>
    <w:r w:rsidR="00BB079D">
      <w:rPr>
        <w:sz w:val="20"/>
        <w:lang w:val="lv-LV"/>
      </w:rPr>
      <w:t>An</w:t>
    </w:r>
    <w:r>
      <w:rPr>
        <w:sz w:val="20"/>
        <w:lang w:val="lv-LV"/>
      </w:rPr>
      <w:t>ot_13</w:t>
    </w:r>
    <w:r w:rsidR="005E3665">
      <w:rPr>
        <w:sz w:val="20"/>
        <w:lang w:val="lv-LV"/>
      </w:rPr>
      <w:t>05</w:t>
    </w:r>
    <w:r w:rsidR="00FD2BF8">
      <w:rPr>
        <w:sz w:val="20"/>
        <w:lang w:val="lv-LV"/>
      </w:rPr>
      <w:t>11_groz1465; Grozījumi Ministru kabineta noteikumos Nr. 1465 „</w:t>
    </w:r>
    <w:r w:rsidR="00FD2BF8">
      <w:rPr>
        <w:bCs/>
        <w:sz w:val="20"/>
        <w:lang w:val="lv-LV"/>
      </w:rPr>
      <w:t xml:space="preserve">Noteikumi par darbības programmas „Infrastruktūra un pakalpojumi” papildinājuma 3.4.1.3. aktivitāti </w:t>
    </w:r>
    <w:r w:rsidR="00FD2BF8">
      <w:rPr>
        <w:sz w:val="20"/>
        <w:lang w:val="lv-LV"/>
      </w:rPr>
      <w:t xml:space="preserve">„Bioloģiskās daudzveidības saglabāšanas </w:t>
    </w:r>
    <w:proofErr w:type="spellStart"/>
    <w:r w:rsidR="00FD2BF8">
      <w:rPr>
        <w:sz w:val="20"/>
        <w:lang w:val="lv-LV"/>
      </w:rPr>
      <w:t>ex</w:t>
    </w:r>
    <w:proofErr w:type="spellEnd"/>
    <w:r w:rsidR="00FD2BF8">
      <w:rPr>
        <w:sz w:val="20"/>
        <w:lang w:val="lv-LV"/>
      </w:rPr>
      <w:t xml:space="preserve"> situ infrastruktūras izveide”” </w:t>
    </w:r>
    <w:r w:rsidR="00FD2BF8">
      <w:rPr>
        <w:sz w:val="20"/>
        <w:szCs w:val="20"/>
        <w:lang w:val="lv-LV"/>
      </w:rPr>
      <w:t>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846" w:rsidRDefault="005E3665">
    <w:pPr>
      <w:pStyle w:val="naisc"/>
      <w:tabs>
        <w:tab w:val="left" w:pos="8820"/>
      </w:tabs>
      <w:spacing w:before="0" w:beforeAutospacing="0" w:after="0" w:afterAutospacing="0"/>
      <w:jc w:val="both"/>
      <w:rPr>
        <w:sz w:val="20"/>
        <w:szCs w:val="20"/>
        <w:lang w:val="lv-LV"/>
      </w:rPr>
    </w:pPr>
    <w:r>
      <w:rPr>
        <w:sz w:val="20"/>
        <w:lang w:val="lv-LV"/>
      </w:rPr>
      <w:t>VARAM</w:t>
    </w:r>
    <w:r w:rsidR="00B767EE">
      <w:rPr>
        <w:sz w:val="20"/>
        <w:lang w:val="lv-LV"/>
      </w:rPr>
      <w:t>An</w:t>
    </w:r>
    <w:r>
      <w:rPr>
        <w:sz w:val="20"/>
        <w:lang w:val="lv-LV"/>
      </w:rPr>
      <w:t>ot_</w:t>
    </w:r>
    <w:r w:rsidR="003E62B6">
      <w:rPr>
        <w:sz w:val="20"/>
        <w:lang w:val="lv-LV"/>
      </w:rPr>
      <w:t>13</w:t>
    </w:r>
    <w:r>
      <w:rPr>
        <w:sz w:val="20"/>
        <w:lang w:val="lv-LV"/>
      </w:rPr>
      <w:t>0511</w:t>
    </w:r>
    <w:r w:rsidR="00FD2BF8">
      <w:rPr>
        <w:sz w:val="20"/>
        <w:lang w:val="lv-LV"/>
      </w:rPr>
      <w:t>_groz1465; Grozījumi Ministru kabineta noteikumos Nr. 1465 „</w:t>
    </w:r>
    <w:r w:rsidR="00FD2BF8">
      <w:rPr>
        <w:bCs/>
        <w:sz w:val="20"/>
        <w:lang w:val="lv-LV"/>
      </w:rPr>
      <w:t xml:space="preserve">Noteikumi par darbības programmas „Infrastruktūra un </w:t>
    </w:r>
    <w:r w:rsidR="00FD2BF8" w:rsidRPr="003E62B6">
      <w:rPr>
        <w:bCs/>
        <w:sz w:val="20"/>
        <w:lang w:val="lv-LV"/>
      </w:rPr>
      <w:t>pakalpojumi</w:t>
    </w:r>
    <w:r w:rsidR="00FD2BF8">
      <w:rPr>
        <w:bCs/>
        <w:sz w:val="20"/>
        <w:lang w:val="lv-LV"/>
      </w:rPr>
      <w:t xml:space="preserve">” papildinājuma 3.4.1.3. aktivitāti </w:t>
    </w:r>
    <w:r w:rsidR="00FD2BF8">
      <w:rPr>
        <w:sz w:val="20"/>
        <w:lang w:val="lv-LV"/>
      </w:rPr>
      <w:t xml:space="preserve">„Bioloģiskās daudzveidības saglabāšanas </w:t>
    </w:r>
    <w:proofErr w:type="spellStart"/>
    <w:r w:rsidR="00FD2BF8">
      <w:rPr>
        <w:sz w:val="20"/>
        <w:lang w:val="lv-LV"/>
      </w:rPr>
      <w:t>ex</w:t>
    </w:r>
    <w:proofErr w:type="spellEnd"/>
    <w:r w:rsidR="00FD2BF8">
      <w:rPr>
        <w:sz w:val="20"/>
        <w:lang w:val="lv-LV"/>
      </w:rPr>
      <w:t xml:space="preserve"> situ infrastruktūras izveide”” </w:t>
    </w:r>
    <w:r w:rsidR="00FD2BF8">
      <w:rPr>
        <w:sz w:val="20"/>
        <w:szCs w:val="20"/>
        <w:lang w:val="lv-LV"/>
      </w:rPr>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A93" w:rsidRDefault="00317A93">
      <w:r>
        <w:separator/>
      </w:r>
    </w:p>
  </w:footnote>
  <w:footnote w:type="continuationSeparator" w:id="0">
    <w:p w:rsidR="00317A93" w:rsidRDefault="00317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846" w:rsidRDefault="00B45AD9">
    <w:pPr>
      <w:pStyle w:val="Header"/>
      <w:framePr w:wrap="around" w:vAnchor="text" w:hAnchor="margin" w:xAlign="center" w:y="1"/>
      <w:rPr>
        <w:rStyle w:val="PageNumber"/>
      </w:rPr>
    </w:pPr>
    <w:r>
      <w:rPr>
        <w:rStyle w:val="PageNumber"/>
      </w:rPr>
      <w:fldChar w:fldCharType="begin"/>
    </w:r>
    <w:r w:rsidR="00FD2BF8">
      <w:rPr>
        <w:rStyle w:val="PageNumber"/>
      </w:rPr>
      <w:instrText xml:space="preserve">PAGE  </w:instrText>
    </w:r>
    <w:r>
      <w:rPr>
        <w:rStyle w:val="PageNumber"/>
      </w:rPr>
      <w:fldChar w:fldCharType="separate"/>
    </w:r>
    <w:r w:rsidR="00FD2BF8">
      <w:rPr>
        <w:rStyle w:val="PageNumber"/>
        <w:noProof/>
      </w:rPr>
      <w:t>5</w:t>
    </w:r>
    <w:r>
      <w:rPr>
        <w:rStyle w:val="PageNumber"/>
      </w:rPr>
      <w:fldChar w:fldCharType="end"/>
    </w:r>
  </w:p>
  <w:p w:rsidR="000F2846" w:rsidRDefault="000F28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846" w:rsidRDefault="00B45AD9">
    <w:pPr>
      <w:pStyle w:val="Header"/>
      <w:framePr w:wrap="around" w:vAnchor="text" w:hAnchor="margin" w:xAlign="center" w:y="1"/>
      <w:rPr>
        <w:rStyle w:val="PageNumber"/>
      </w:rPr>
    </w:pPr>
    <w:r>
      <w:rPr>
        <w:rStyle w:val="PageNumber"/>
      </w:rPr>
      <w:fldChar w:fldCharType="begin"/>
    </w:r>
    <w:r w:rsidR="00FD2BF8">
      <w:rPr>
        <w:rStyle w:val="PageNumber"/>
      </w:rPr>
      <w:instrText xml:space="preserve">PAGE  </w:instrText>
    </w:r>
    <w:r>
      <w:rPr>
        <w:rStyle w:val="PageNumber"/>
      </w:rPr>
      <w:fldChar w:fldCharType="separate"/>
    </w:r>
    <w:r w:rsidR="00F7369E">
      <w:rPr>
        <w:rStyle w:val="PageNumber"/>
        <w:noProof/>
      </w:rPr>
      <w:t>3</w:t>
    </w:r>
    <w:r>
      <w:rPr>
        <w:rStyle w:val="PageNumber"/>
      </w:rPr>
      <w:fldChar w:fldCharType="end"/>
    </w:r>
  </w:p>
  <w:p w:rsidR="000F2846" w:rsidRDefault="000F28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8E4"/>
    <w:multiLevelType w:val="hybridMultilevel"/>
    <w:tmpl w:val="1B281138"/>
    <w:lvl w:ilvl="0" w:tplc="0A442D8A">
      <w:start w:val="1"/>
      <w:numFmt w:val="bullet"/>
      <w:lvlText w:val=""/>
      <w:lvlJc w:val="left"/>
      <w:pPr>
        <w:tabs>
          <w:tab w:val="num" w:pos="1080"/>
        </w:tabs>
        <w:ind w:left="1080" w:hanging="360"/>
      </w:pPr>
      <w:rPr>
        <w:rFonts w:ascii="Wingdings" w:hAnsi="Wingdings" w:hint="default"/>
        <w:color w:val="333399"/>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nsid w:val="60CA6653"/>
    <w:multiLevelType w:val="hybridMultilevel"/>
    <w:tmpl w:val="75CEC788"/>
    <w:lvl w:ilvl="0" w:tplc="921E26C0">
      <w:start w:val="19"/>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79603CA4"/>
    <w:multiLevelType w:val="multilevel"/>
    <w:tmpl w:val="B4BAF81E"/>
    <w:lvl w:ilvl="0">
      <w:start w:val="1"/>
      <w:numFmt w:val="decimal"/>
      <w:lvlText w:val="%1."/>
      <w:lvlJc w:val="left"/>
      <w:pPr>
        <w:tabs>
          <w:tab w:val="num" w:pos="720"/>
        </w:tabs>
        <w:ind w:left="720" w:hanging="360"/>
      </w:pPr>
    </w:lvl>
    <w:lvl w:ilvl="1">
      <w:start w:val="2"/>
      <w:numFmt w:val="decimal"/>
      <w:isLgl/>
      <w:lvlText w:val="%1.%2."/>
      <w:lvlJc w:val="left"/>
      <w:pPr>
        <w:tabs>
          <w:tab w:val="num" w:pos="2010"/>
        </w:tabs>
        <w:ind w:left="2010" w:hanging="1290"/>
      </w:pPr>
      <w:rPr>
        <w:rFonts w:hint="default"/>
      </w:rPr>
    </w:lvl>
    <w:lvl w:ilvl="2">
      <w:start w:val="1"/>
      <w:numFmt w:val="decimal"/>
      <w:isLgl/>
      <w:lvlText w:val="%1.%2.%3."/>
      <w:lvlJc w:val="left"/>
      <w:pPr>
        <w:tabs>
          <w:tab w:val="num" w:pos="2370"/>
        </w:tabs>
        <w:ind w:left="2370" w:hanging="1290"/>
      </w:pPr>
      <w:rPr>
        <w:rFonts w:hint="default"/>
      </w:rPr>
    </w:lvl>
    <w:lvl w:ilvl="3">
      <w:start w:val="1"/>
      <w:numFmt w:val="decimal"/>
      <w:isLgl/>
      <w:lvlText w:val="%1.%2.%3.%4."/>
      <w:lvlJc w:val="left"/>
      <w:pPr>
        <w:tabs>
          <w:tab w:val="num" w:pos="2730"/>
        </w:tabs>
        <w:ind w:left="2730" w:hanging="1290"/>
      </w:pPr>
      <w:rPr>
        <w:rFonts w:hint="default"/>
      </w:rPr>
    </w:lvl>
    <w:lvl w:ilvl="4">
      <w:start w:val="1"/>
      <w:numFmt w:val="decimal"/>
      <w:isLgl/>
      <w:lvlText w:val="%1.%2.%3.%4.%5."/>
      <w:lvlJc w:val="left"/>
      <w:pPr>
        <w:tabs>
          <w:tab w:val="num" w:pos="3090"/>
        </w:tabs>
        <w:ind w:left="3090" w:hanging="1290"/>
      </w:pPr>
      <w:rPr>
        <w:rFonts w:hint="default"/>
      </w:rPr>
    </w:lvl>
    <w:lvl w:ilvl="5">
      <w:start w:val="1"/>
      <w:numFmt w:val="decimal"/>
      <w:isLgl/>
      <w:lvlText w:val="%1.%2.%3.%4.%5.%6."/>
      <w:lvlJc w:val="left"/>
      <w:pPr>
        <w:tabs>
          <w:tab w:val="num" w:pos="3450"/>
        </w:tabs>
        <w:ind w:left="3450" w:hanging="129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C56B9"/>
    <w:rsid w:val="000A352C"/>
    <w:rsid w:val="000F2846"/>
    <w:rsid w:val="001071F6"/>
    <w:rsid w:val="00115101"/>
    <w:rsid w:val="00140874"/>
    <w:rsid w:val="002632F2"/>
    <w:rsid w:val="0027742B"/>
    <w:rsid w:val="002949CB"/>
    <w:rsid w:val="002A311C"/>
    <w:rsid w:val="002C56B9"/>
    <w:rsid w:val="002D6954"/>
    <w:rsid w:val="002F171D"/>
    <w:rsid w:val="00314E38"/>
    <w:rsid w:val="00317A93"/>
    <w:rsid w:val="003350F5"/>
    <w:rsid w:val="003709AD"/>
    <w:rsid w:val="0038469D"/>
    <w:rsid w:val="003E62B6"/>
    <w:rsid w:val="004D7909"/>
    <w:rsid w:val="005E3665"/>
    <w:rsid w:val="006478D4"/>
    <w:rsid w:val="00675555"/>
    <w:rsid w:val="006E35C9"/>
    <w:rsid w:val="006F2FF6"/>
    <w:rsid w:val="0071109E"/>
    <w:rsid w:val="007A09D3"/>
    <w:rsid w:val="007A7C6E"/>
    <w:rsid w:val="00847B48"/>
    <w:rsid w:val="00947270"/>
    <w:rsid w:val="009D2DC6"/>
    <w:rsid w:val="00A3493D"/>
    <w:rsid w:val="00AE5F39"/>
    <w:rsid w:val="00B45AD9"/>
    <w:rsid w:val="00B65170"/>
    <w:rsid w:val="00B767EE"/>
    <w:rsid w:val="00B86378"/>
    <w:rsid w:val="00BB079D"/>
    <w:rsid w:val="00BC239E"/>
    <w:rsid w:val="00BF6F47"/>
    <w:rsid w:val="00C672F6"/>
    <w:rsid w:val="00CF7E0B"/>
    <w:rsid w:val="00D51714"/>
    <w:rsid w:val="00F7369E"/>
    <w:rsid w:val="00FD2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846"/>
    <w:rPr>
      <w:sz w:val="24"/>
      <w:szCs w:val="24"/>
      <w:lang w:val="lv-LV"/>
    </w:rPr>
  </w:style>
  <w:style w:type="paragraph" w:styleId="Heading1">
    <w:name w:val="heading 1"/>
    <w:basedOn w:val="Normal"/>
    <w:next w:val="Normal"/>
    <w:qFormat/>
    <w:rsid w:val="000F2846"/>
    <w:pPr>
      <w:keepNext/>
      <w:jc w:val="center"/>
      <w:outlineLvl w:val="0"/>
    </w:pPr>
    <w:rPr>
      <w:b/>
      <w:sz w:val="28"/>
      <w:szCs w:val="20"/>
    </w:rPr>
  </w:style>
  <w:style w:type="paragraph" w:styleId="Heading2">
    <w:name w:val="heading 2"/>
    <w:basedOn w:val="Normal"/>
    <w:next w:val="Normal"/>
    <w:qFormat/>
    <w:rsid w:val="000F2846"/>
    <w:pPr>
      <w:keepNext/>
      <w:jc w:val="center"/>
      <w:outlineLvl w:val="1"/>
    </w:pPr>
    <w:rPr>
      <w:sz w:val="28"/>
      <w:szCs w:val="20"/>
    </w:rPr>
  </w:style>
  <w:style w:type="paragraph" w:styleId="Heading4">
    <w:name w:val="heading 4"/>
    <w:basedOn w:val="Normal"/>
    <w:next w:val="Normal"/>
    <w:qFormat/>
    <w:rsid w:val="000F2846"/>
    <w:pPr>
      <w:keepNext/>
      <w:jc w:val="right"/>
      <w:outlineLvl w:val="3"/>
    </w:pPr>
    <w:rPr>
      <w:i/>
      <w:iCs/>
      <w:szCs w:val="20"/>
    </w:rPr>
  </w:style>
  <w:style w:type="paragraph" w:styleId="Heading5">
    <w:name w:val="heading 5"/>
    <w:basedOn w:val="Normal"/>
    <w:next w:val="Normal"/>
    <w:qFormat/>
    <w:rsid w:val="000F2846"/>
    <w:pPr>
      <w:keepNext/>
      <w:jc w:val="center"/>
      <w:outlineLvl w:val="4"/>
    </w:pPr>
    <w:rPr>
      <w:szCs w:val="20"/>
    </w:rPr>
  </w:style>
  <w:style w:type="paragraph" w:styleId="Heading7">
    <w:name w:val="heading 7"/>
    <w:basedOn w:val="Normal"/>
    <w:next w:val="Normal"/>
    <w:qFormat/>
    <w:rsid w:val="000F2846"/>
    <w:pPr>
      <w:keepNext/>
      <w:ind w:left="36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F2846"/>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rsid w:val="000F2846"/>
    <w:rPr>
      <w:rFonts w:ascii="Garamond" w:hAnsi="Garamond" w:cs="Arial"/>
      <w:b/>
    </w:rPr>
  </w:style>
  <w:style w:type="paragraph" w:styleId="BodyTextIndent">
    <w:name w:val="Body Text Indent"/>
    <w:basedOn w:val="Normal"/>
    <w:rsid w:val="000F2846"/>
    <w:pPr>
      <w:jc w:val="both"/>
    </w:pPr>
    <w:rPr>
      <w:sz w:val="28"/>
      <w:szCs w:val="20"/>
    </w:rPr>
  </w:style>
  <w:style w:type="paragraph" w:styleId="NormalWeb">
    <w:name w:val="Normal (Web)"/>
    <w:basedOn w:val="Normal"/>
    <w:rsid w:val="000F2846"/>
    <w:pPr>
      <w:spacing w:before="100" w:beforeAutospacing="1" w:after="100" w:afterAutospacing="1"/>
    </w:pPr>
    <w:rPr>
      <w:lang w:val="en-GB"/>
    </w:rPr>
  </w:style>
  <w:style w:type="paragraph" w:customStyle="1" w:styleId="naisc">
    <w:name w:val="naisc"/>
    <w:basedOn w:val="Normal"/>
    <w:rsid w:val="000F2846"/>
    <w:pPr>
      <w:spacing w:before="100" w:beforeAutospacing="1" w:after="100" w:afterAutospacing="1"/>
      <w:jc w:val="center"/>
    </w:pPr>
    <w:rPr>
      <w:lang w:val="en-GB"/>
    </w:rPr>
  </w:style>
  <w:style w:type="paragraph" w:styleId="Header">
    <w:name w:val="header"/>
    <w:basedOn w:val="Normal"/>
    <w:rsid w:val="000F2846"/>
    <w:pPr>
      <w:tabs>
        <w:tab w:val="center" w:pos="4153"/>
        <w:tab w:val="right" w:pos="8306"/>
      </w:tabs>
    </w:pPr>
  </w:style>
  <w:style w:type="paragraph" w:styleId="Footer">
    <w:name w:val="footer"/>
    <w:basedOn w:val="Normal"/>
    <w:rsid w:val="000F2846"/>
    <w:pPr>
      <w:tabs>
        <w:tab w:val="center" w:pos="4153"/>
        <w:tab w:val="right" w:pos="8306"/>
      </w:tabs>
    </w:pPr>
  </w:style>
  <w:style w:type="character" w:styleId="PageNumber">
    <w:name w:val="page number"/>
    <w:basedOn w:val="DefaultParagraphFont"/>
    <w:rsid w:val="000F2846"/>
    <w:rPr>
      <w:rFonts w:cs="Times New Roman"/>
    </w:rPr>
  </w:style>
  <w:style w:type="paragraph" w:styleId="BodyText">
    <w:name w:val="Body Text"/>
    <w:basedOn w:val="Normal"/>
    <w:rsid w:val="000F2846"/>
    <w:pPr>
      <w:jc w:val="both"/>
    </w:pPr>
  </w:style>
  <w:style w:type="character" w:styleId="Hyperlink">
    <w:name w:val="Hyperlink"/>
    <w:basedOn w:val="DefaultParagraphFont"/>
    <w:rsid w:val="000F2846"/>
    <w:rPr>
      <w:rFonts w:cs="Times New Roman"/>
      <w:color w:val="0000FF"/>
      <w:u w:val="single"/>
    </w:rPr>
  </w:style>
  <w:style w:type="paragraph" w:customStyle="1" w:styleId="naisf">
    <w:name w:val="naisf"/>
    <w:basedOn w:val="Normal"/>
    <w:rsid w:val="000F2846"/>
    <w:pPr>
      <w:spacing w:before="100" w:beforeAutospacing="1" w:after="100" w:afterAutospacing="1"/>
      <w:jc w:val="both"/>
    </w:pPr>
    <w:rPr>
      <w:lang w:val="en-GB"/>
    </w:rPr>
  </w:style>
  <w:style w:type="paragraph" w:customStyle="1" w:styleId="G4">
    <w:name w:val="G4"/>
    <w:basedOn w:val="Normal"/>
    <w:autoRedefine/>
    <w:rsid w:val="000F2846"/>
    <w:pPr>
      <w:jc w:val="both"/>
    </w:pPr>
  </w:style>
  <w:style w:type="paragraph" w:customStyle="1" w:styleId="xl24">
    <w:name w:val="xl24"/>
    <w:basedOn w:val="Normal"/>
    <w:rsid w:val="000F2846"/>
    <w:pPr>
      <w:pBdr>
        <w:bottom w:val="single" w:sz="4" w:space="0" w:color="auto"/>
        <w:right w:val="single" w:sz="4" w:space="0" w:color="auto"/>
      </w:pBdr>
      <w:spacing w:before="100" w:beforeAutospacing="1" w:after="100" w:afterAutospacing="1"/>
      <w:jc w:val="center"/>
      <w:textAlignment w:val="top"/>
    </w:pPr>
    <w:rPr>
      <w:sz w:val="28"/>
      <w:szCs w:val="28"/>
      <w:lang w:val="en-GB"/>
    </w:rPr>
  </w:style>
  <w:style w:type="character" w:styleId="FollowedHyperlink">
    <w:name w:val="FollowedHyperlink"/>
    <w:basedOn w:val="DefaultParagraphFont"/>
    <w:rsid w:val="000F2846"/>
    <w:rPr>
      <w:rFonts w:cs="Times New Roman"/>
      <w:color w:val="800080"/>
      <w:u w:val="single"/>
    </w:rPr>
  </w:style>
  <w:style w:type="character" w:styleId="Strong">
    <w:name w:val="Strong"/>
    <w:basedOn w:val="DefaultParagraphFont"/>
    <w:qFormat/>
    <w:rsid w:val="000F2846"/>
    <w:rPr>
      <w:rFonts w:cs="Times New Roman"/>
      <w:b/>
      <w:bCs/>
    </w:rPr>
  </w:style>
  <w:style w:type="paragraph" w:styleId="BalloonText">
    <w:name w:val="Balloon Text"/>
    <w:basedOn w:val="Normal"/>
    <w:link w:val="BalloonTextChar"/>
    <w:semiHidden/>
    <w:rsid w:val="000F2846"/>
    <w:rPr>
      <w:rFonts w:ascii="Tahoma" w:hAnsi="Tahoma" w:cs="Tahoma"/>
      <w:sz w:val="16"/>
      <w:szCs w:val="16"/>
    </w:rPr>
  </w:style>
  <w:style w:type="paragraph" w:customStyle="1" w:styleId="BodyTextIndent1">
    <w:name w:val="Body Text Indent1"/>
    <w:basedOn w:val="Normal"/>
    <w:rsid w:val="000F2846"/>
    <w:pPr>
      <w:spacing w:after="120"/>
      <w:ind w:left="283"/>
    </w:pPr>
  </w:style>
  <w:style w:type="paragraph" w:styleId="FootnoteText">
    <w:name w:val="footnote text"/>
    <w:basedOn w:val="Normal"/>
    <w:link w:val="FootnoteTextChar"/>
    <w:semiHidden/>
    <w:rsid w:val="000F2846"/>
    <w:rPr>
      <w:sz w:val="20"/>
      <w:szCs w:val="20"/>
      <w:lang w:eastAsia="lv-LV"/>
    </w:rPr>
  </w:style>
  <w:style w:type="character" w:styleId="FootnoteReference">
    <w:name w:val="footnote reference"/>
    <w:basedOn w:val="DefaultParagraphFont"/>
    <w:semiHidden/>
    <w:rsid w:val="000F2846"/>
    <w:rPr>
      <w:rFonts w:cs="Times New Roman"/>
      <w:vertAlign w:val="superscript"/>
    </w:rPr>
  </w:style>
  <w:style w:type="character" w:styleId="CommentReference">
    <w:name w:val="annotation reference"/>
    <w:basedOn w:val="DefaultParagraphFont"/>
    <w:semiHidden/>
    <w:rsid w:val="000F2846"/>
    <w:rPr>
      <w:rFonts w:cs="Times New Roman"/>
      <w:sz w:val="16"/>
      <w:szCs w:val="16"/>
    </w:rPr>
  </w:style>
  <w:style w:type="paragraph" w:styleId="CommentText">
    <w:name w:val="annotation text"/>
    <w:basedOn w:val="Normal"/>
    <w:semiHidden/>
    <w:rsid w:val="000F2846"/>
    <w:rPr>
      <w:sz w:val="20"/>
      <w:szCs w:val="20"/>
    </w:rPr>
  </w:style>
  <w:style w:type="paragraph" w:styleId="CommentSubject">
    <w:name w:val="annotation subject"/>
    <w:basedOn w:val="CommentText"/>
    <w:next w:val="CommentText"/>
    <w:semiHidden/>
    <w:rsid w:val="000F2846"/>
    <w:rPr>
      <w:b/>
      <w:bCs/>
    </w:rPr>
  </w:style>
  <w:style w:type="paragraph" w:customStyle="1" w:styleId="CharChar4Char">
    <w:name w:val="Char Char4 Char"/>
    <w:basedOn w:val="Normal"/>
    <w:next w:val="BlockText"/>
    <w:rsid w:val="000F2846"/>
    <w:pPr>
      <w:spacing w:before="120" w:after="160" w:line="240" w:lineRule="exact"/>
      <w:ind w:firstLine="720"/>
      <w:jc w:val="both"/>
    </w:pPr>
    <w:rPr>
      <w:rFonts w:ascii="Verdana" w:hAnsi="Verdana"/>
      <w:sz w:val="20"/>
      <w:szCs w:val="20"/>
      <w:lang w:val="en-US"/>
    </w:rPr>
  </w:style>
  <w:style w:type="paragraph" w:styleId="BlockText">
    <w:name w:val="Block Text"/>
    <w:basedOn w:val="Normal"/>
    <w:rsid w:val="000F2846"/>
    <w:pPr>
      <w:spacing w:after="120"/>
      <w:ind w:left="1440" w:right="1440"/>
    </w:pPr>
  </w:style>
  <w:style w:type="paragraph" w:customStyle="1" w:styleId="EE-H3">
    <w:name w:val="EE-H3"/>
    <w:basedOn w:val="Normal"/>
    <w:autoRedefine/>
    <w:rsid w:val="000F2846"/>
    <w:pPr>
      <w:ind w:right="6"/>
      <w:jc w:val="both"/>
    </w:pPr>
    <w:rPr>
      <w:lang w:eastAsia="lv-LV"/>
    </w:rPr>
  </w:style>
  <w:style w:type="character" w:customStyle="1" w:styleId="BalloonTextChar">
    <w:name w:val="Balloon Text Char"/>
    <w:basedOn w:val="DefaultParagraphFont"/>
    <w:link w:val="BalloonText"/>
    <w:semiHidden/>
    <w:rsid w:val="000F2846"/>
    <w:rPr>
      <w:rFonts w:ascii="Tahoma" w:hAnsi="Tahoma" w:cs="Tahoma"/>
      <w:sz w:val="16"/>
      <w:szCs w:val="16"/>
      <w:lang w:val="lv-LV" w:eastAsia="en-US" w:bidi="ar-SA"/>
    </w:rPr>
  </w:style>
  <w:style w:type="character" w:customStyle="1" w:styleId="FootnoteTextChar">
    <w:name w:val="Footnote Text Char"/>
    <w:basedOn w:val="DefaultParagraphFont"/>
    <w:link w:val="FootnoteText"/>
    <w:semiHidden/>
    <w:rsid w:val="000F2846"/>
    <w:rPr>
      <w:rFonts w:cs="Times New Roman"/>
      <w:lang w:val="lv-LV" w:eastAsia="lv-LV" w:bidi="ar-SA"/>
    </w:rPr>
  </w:style>
  <w:style w:type="paragraph" w:customStyle="1" w:styleId="naiskr">
    <w:name w:val="naiskr"/>
    <w:basedOn w:val="Normal"/>
    <w:rsid w:val="000F2846"/>
    <w:pPr>
      <w:spacing w:before="75" w:after="75"/>
    </w:pPr>
    <w:rPr>
      <w:lang w:eastAsia="lv-LV"/>
    </w:rPr>
  </w:style>
  <w:style w:type="paragraph" w:customStyle="1" w:styleId="Default">
    <w:name w:val="Default"/>
    <w:rsid w:val="000F2846"/>
    <w:pPr>
      <w:autoSpaceDE w:val="0"/>
      <w:autoSpaceDN w:val="0"/>
      <w:adjustRightInd w:val="0"/>
    </w:pPr>
    <w:rPr>
      <w:color w:val="000000"/>
      <w:sz w:val="24"/>
      <w:szCs w:val="24"/>
      <w:lang w:val="lv-LV" w:eastAsia="lv-LV"/>
    </w:rPr>
  </w:style>
  <w:style w:type="character" w:customStyle="1" w:styleId="colora">
    <w:name w:val="colora"/>
    <w:rsid w:val="000F2846"/>
  </w:style>
</w:styles>
</file>

<file path=word/webSettings.xml><?xml version="1.0" encoding="utf-8"?>
<w:webSettings xmlns:r="http://schemas.openxmlformats.org/officeDocument/2006/relationships" xmlns:w="http://schemas.openxmlformats.org/wordprocessingml/2006/main">
  <w:divs>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 w:id="140760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stra.auzina@vid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ja.geme@vid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15.decembra noteikumos Nr.1465 „Noteikumi par darbības programmas „Infrastruktūra un pakalpojumi” papildinājuma 3.4.1.3.aktivitāti „Bioloģiskās daudzveidības saglabāšanas ex situ </vt:lpstr>
    </vt:vector>
  </TitlesOfParts>
  <Company>LR Vides ministrija</Company>
  <LinksUpToDate>false</LinksUpToDate>
  <CharactersWithSpaces>5896</CharactersWithSpaces>
  <SharedDoc>false</SharedDoc>
  <HLinks>
    <vt:vector size="6" baseType="variant">
      <vt:variant>
        <vt:i4>5963889</vt:i4>
      </vt:variant>
      <vt:variant>
        <vt:i4>3</vt:i4>
      </vt:variant>
      <vt:variant>
        <vt:i4>0</vt:i4>
      </vt:variant>
      <vt:variant>
        <vt:i4>5</vt:i4>
      </vt:variant>
      <vt:variant>
        <vt:lpwstr>mailto:vija.geme@vidm.gov.lv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15.decembra noteikumos Nr.1465 „Noteikumi par darbības programmas „Infrastruktūra un pakalpojumi” papildinājuma 3.4.1.3.aktivitāti „Bioloģiskās daudzveidības saglabāšanas ex situ infrastruktūras izveide”” sākotnējās ietekmes novērtējuma ziņojums (anotācija)</dc:title>
  <dc:subject>sākotnējās ietekmes novērtējuma ziņojums (anotācija)</dc:subject>
  <dc:creator>Sarmīte Kļaviņa- Investīciju depart.Investīciju stratēģijas nodaļas vecākā referente</dc:creator>
  <dc:description>66016758, _x000d_
sarmite.klavina@vidm.gov.lv</dc:description>
  <cp:lastModifiedBy>austraa</cp:lastModifiedBy>
  <cp:revision>28</cp:revision>
  <cp:lastPrinted>2011-04-11T06:11:00Z</cp:lastPrinted>
  <dcterms:created xsi:type="dcterms:W3CDTF">2011-05-05T07:51:00Z</dcterms:created>
  <dcterms:modified xsi:type="dcterms:W3CDTF">2011-05-13T06:27:00Z</dcterms:modified>
</cp:coreProperties>
</file>