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F5" w:rsidRDefault="00BC08F5" w:rsidP="00BC08F5">
      <w:pPr>
        <w:pStyle w:val="naisc"/>
        <w:tabs>
          <w:tab w:val="left" w:pos="8820"/>
        </w:tabs>
        <w:spacing w:before="0" w:beforeAutospacing="0" w:after="0" w:afterAutospacing="0"/>
        <w:rPr>
          <w:b/>
          <w:sz w:val="28"/>
          <w:szCs w:val="28"/>
          <w:lang w:val="lv-LV"/>
        </w:rPr>
      </w:pPr>
      <w:r>
        <w:rPr>
          <w:b/>
          <w:sz w:val="28"/>
          <w:szCs w:val="28"/>
          <w:lang w:val="lv-LV"/>
        </w:rPr>
        <w:t>Ministru kabineta noteikumu projekta „Grozījumi Ministru kabineta 2007.gada 4.decembra noteikumos Nr.836 „</w:t>
      </w:r>
      <w:r>
        <w:rPr>
          <w:b/>
          <w:bCs/>
          <w:sz w:val="28"/>
          <w:szCs w:val="28"/>
          <w:lang w:val="lv-LV"/>
        </w:rPr>
        <w:t xml:space="preserve">Noteikumi par darbības programmas „Infrastruktūra un pakalpojumi” papildinājuma 3.5.1.1. aktivitāti „Ūdenssaimniecības infrastruktūras attīstība </w:t>
      </w:r>
      <w:proofErr w:type="spellStart"/>
      <w:r>
        <w:rPr>
          <w:b/>
          <w:bCs/>
          <w:sz w:val="28"/>
          <w:szCs w:val="28"/>
          <w:lang w:val="lv-LV"/>
        </w:rPr>
        <w:t>aglomerācijās</w:t>
      </w:r>
      <w:proofErr w:type="spellEnd"/>
      <w:r>
        <w:rPr>
          <w:b/>
          <w:bCs/>
          <w:sz w:val="28"/>
          <w:szCs w:val="28"/>
          <w:lang w:val="lv-LV"/>
        </w:rPr>
        <w:t xml:space="preserve"> ar cilvēku ekvivalentu, lielāku par 2000”””</w:t>
      </w:r>
    </w:p>
    <w:p w:rsidR="00BC08F5" w:rsidRDefault="00BC08F5" w:rsidP="00BC08F5">
      <w:pPr>
        <w:jc w:val="center"/>
        <w:rPr>
          <w:b/>
          <w:sz w:val="28"/>
          <w:szCs w:val="28"/>
        </w:rPr>
      </w:pPr>
      <w:r>
        <w:rPr>
          <w:b/>
          <w:sz w:val="28"/>
          <w:szCs w:val="28"/>
        </w:rPr>
        <w:t xml:space="preserve">sākotnējās ietekmes novērtējuma </w:t>
      </w:r>
      <w:smartTag w:uri="schemas-tilde-lv/tildestengine" w:element="veidnes">
        <w:smartTagPr>
          <w:attr w:name="text" w:val="ziņojums"/>
          <w:attr w:name="baseform" w:val="ziņojums"/>
          <w:attr w:name="id" w:val="-1"/>
        </w:smartTagPr>
        <w:smartTag w:uri="urn:schemas-microsoft-com:office:smarttags" w:element="PersonName">
          <w:smartTagPr>
            <w:attr w:name="text" w:val="ziņojums"/>
            <w:attr w:name="baseform" w:val="ziņojums"/>
            <w:attr w:name="id" w:val="-1"/>
          </w:smartTagPr>
          <w:r>
            <w:rPr>
              <w:b/>
              <w:sz w:val="28"/>
              <w:szCs w:val="28"/>
            </w:rPr>
            <w:t>ziņojums</w:t>
          </w:r>
        </w:smartTag>
      </w:smartTag>
      <w:r>
        <w:rPr>
          <w:b/>
          <w:sz w:val="28"/>
          <w:szCs w:val="28"/>
        </w:rPr>
        <w:t xml:space="preserve"> (anotācija)</w:t>
      </w:r>
    </w:p>
    <w:p w:rsidR="00BC08F5" w:rsidRDefault="00BC08F5" w:rsidP="00BC08F5">
      <w:pPr>
        <w:jc w:val="center"/>
        <w:rPr>
          <w:b/>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23"/>
        <w:gridCol w:w="1877"/>
        <w:gridCol w:w="6976"/>
      </w:tblGrid>
      <w:tr w:rsidR="00BC08F5" w:rsidTr="001764AF">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BC08F5" w:rsidRDefault="00BC08F5" w:rsidP="001764AF">
            <w:pPr>
              <w:jc w:val="center"/>
              <w:rPr>
                <w:b/>
                <w:bCs/>
              </w:rPr>
            </w:pPr>
            <w:r>
              <w:rPr>
                <w:b/>
                <w:bCs/>
              </w:rPr>
              <w:t>I. Tiesību akta projekta izstrādes nepieciešamība</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t>1.</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Pamatojums</w:t>
            </w:r>
          </w:p>
        </w:tc>
        <w:tc>
          <w:tcPr>
            <w:tcW w:w="3777" w:type="pct"/>
            <w:tcBorders>
              <w:top w:val="outset" w:sz="6" w:space="0" w:color="000000"/>
              <w:left w:val="outset" w:sz="6" w:space="0" w:color="000000"/>
              <w:bottom w:val="outset" w:sz="6" w:space="0" w:color="000000"/>
              <w:right w:val="outset" w:sz="6" w:space="0" w:color="000000"/>
            </w:tcBorders>
          </w:tcPr>
          <w:p w:rsidR="00BC08F5" w:rsidRDefault="00BC08F5" w:rsidP="001764AF">
            <w:pPr>
              <w:jc w:val="both"/>
            </w:pPr>
            <w:r>
              <w:t>Ministru kabineta (turpmāk – MK) noteikumu projektu „Grozījumi Ministru kabineta 2007.gada 4.decembra noteikumos Nr.836 „</w:t>
            </w:r>
            <w:r>
              <w:rPr>
                <w:bCs/>
              </w:rPr>
              <w:t xml:space="preserve">Noteikumi par darbības programmas „Infrastruktūra un pakalpojumi” papildinājuma 3.5.1.1. aktivitāti „Ūdenssaimniecības infrastruktūras attīstība </w:t>
            </w:r>
            <w:proofErr w:type="spellStart"/>
            <w:r>
              <w:rPr>
                <w:bCs/>
              </w:rPr>
              <w:t>aglomerācijās</w:t>
            </w:r>
            <w:proofErr w:type="spellEnd"/>
            <w:r>
              <w:rPr>
                <w:bCs/>
              </w:rPr>
              <w:t xml:space="preserve"> ar cilvēku ekvivalentu, lielāku par 2000”””</w:t>
            </w:r>
            <w:r>
              <w:t xml:space="preserve"> (turpmāk – noteikumu projekts) Vides aizsardzības un reģionālās attīstības ministrija (turpmāk </w:t>
            </w:r>
            <w:bookmarkStart w:id="0" w:name="OLE_LINK1"/>
            <w:bookmarkStart w:id="1" w:name="OLE_LINK2"/>
            <w:r>
              <w:t>–</w:t>
            </w:r>
            <w:bookmarkEnd w:id="0"/>
            <w:bookmarkEnd w:id="1"/>
            <w:r>
              <w:t xml:space="preserve"> VARAM) izstrādājusi saskaņā ar Eiropas Savienības struktūrfondu un Kohēzijas fonda vadības likuma 18. panta 10. punktu. </w:t>
            </w:r>
          </w:p>
          <w:p w:rsidR="00BC08F5" w:rsidRDefault="00BC08F5" w:rsidP="001764AF">
            <w:pPr>
              <w:jc w:val="both"/>
            </w:pPr>
            <w:r>
              <w:t xml:space="preserve">Saskaņā ar Ministru kabineta </w:t>
            </w:r>
            <w:r w:rsidRPr="00283880">
              <w:t>2012.</w:t>
            </w:r>
            <w:r>
              <w:t xml:space="preserve"> </w:t>
            </w:r>
            <w:r w:rsidRPr="00283880">
              <w:t xml:space="preserve">gada 8.maija </w:t>
            </w:r>
            <w:r>
              <w:t>sēdes protokola Nr.25 26.§ 2.punktu VARAM ir jānodrošina nepieciešamo grozījumu MK noteikumos par aktivitātes īstenošanu izstrāde un iesniegšana Ministru kabinetā.</w:t>
            </w:r>
          </w:p>
          <w:p w:rsidR="00C73C2B" w:rsidRPr="0081124D" w:rsidRDefault="00C73C2B" w:rsidP="001764AF">
            <w:pPr>
              <w:jc w:val="both"/>
            </w:pPr>
            <w:r w:rsidRPr="0081124D">
              <w:t xml:space="preserve">Uzraudzības komitejā apstiprināti grozījumi projektu iesniegumu vērtēšanas kritērijos (09.04.2013, lēmums </w:t>
            </w:r>
            <w:proofErr w:type="spellStart"/>
            <w:r w:rsidRPr="0081124D">
              <w:t>Nr.L-2013</w:t>
            </w:r>
            <w:proofErr w:type="spellEnd"/>
            <w:r w:rsidRPr="0081124D">
              <w:t>/05).</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t>2.</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Pašreizējā situācija un problēmas</w:t>
            </w:r>
          </w:p>
        </w:tc>
        <w:tc>
          <w:tcPr>
            <w:tcW w:w="3777" w:type="pct"/>
            <w:tcBorders>
              <w:top w:val="outset" w:sz="6" w:space="0" w:color="000000"/>
              <w:left w:val="outset" w:sz="6" w:space="0" w:color="000000"/>
              <w:bottom w:val="outset" w:sz="6" w:space="0" w:color="000000"/>
              <w:right w:val="outset" w:sz="6" w:space="0" w:color="000000"/>
            </w:tcBorders>
          </w:tcPr>
          <w:p w:rsidR="00BC08F5" w:rsidRDefault="00BC08F5" w:rsidP="001764AF">
            <w:pPr>
              <w:spacing w:after="120"/>
              <w:jc w:val="both"/>
              <w:rPr>
                <w:bCs/>
              </w:rPr>
            </w:pPr>
            <w:r>
              <w:rPr>
                <w:bCs/>
                <w:szCs w:val="28"/>
              </w:rPr>
              <w:t>Atbilstoši spēkā esošajiem Ministru kabineta 2007.gada 4.decembra noteikumiem Nr.836 „</w:t>
            </w:r>
            <w:r>
              <w:rPr>
                <w:bCs/>
              </w:rPr>
              <w:t xml:space="preserve">Noteikumi par darbības programmas „Infrastruktūra un pakalpojumi” papildinājuma 3.5.1.1. aktivitāti „Ūdenssaimniecības infrastruktūras attīstība </w:t>
            </w:r>
            <w:proofErr w:type="spellStart"/>
            <w:r>
              <w:rPr>
                <w:bCs/>
              </w:rPr>
              <w:t>aglomerācijās</w:t>
            </w:r>
            <w:proofErr w:type="spellEnd"/>
            <w:r>
              <w:rPr>
                <w:bCs/>
              </w:rPr>
              <w:t xml:space="preserve"> ar cilvēku ekvivalentu, lielāku par 2000”” (turpmāk – MK noteikumi) 3.5.1.1.aktivitātes „Ūdenssaimniecības infrastruktūras attīstība </w:t>
            </w:r>
            <w:proofErr w:type="spellStart"/>
            <w:r>
              <w:rPr>
                <w:bCs/>
              </w:rPr>
              <w:t>aglomerācijās</w:t>
            </w:r>
            <w:proofErr w:type="spellEnd"/>
            <w:r>
              <w:rPr>
                <w:bCs/>
              </w:rPr>
              <w:t xml:space="preserve"> ar cilvēku ekvivalentu, lielāku par 2000” (turpmāk – 3.5.1.1. aktivitāte) mērķu sasniegšanai ir pieejams 301,861 milj. latu liels Kohēzijas fonda līdzfinansējums, 13,751 milj. latu valsts budžeta finansējums un 17,549 milj. latu privātais finansējums. Šis finansējums nav pietiekams, lai nodrošinātu normatīvo aktu, t.sk. Eiropas Savienības direktīvu prasības attiecībā uz notekūdeņu savākšanu un attīrīšanu un dzeramā ūdens apgādi. No 23 </w:t>
            </w:r>
            <w:proofErr w:type="spellStart"/>
            <w:r>
              <w:rPr>
                <w:bCs/>
              </w:rPr>
              <w:t>aglomerācijām</w:t>
            </w:r>
            <w:proofErr w:type="spellEnd"/>
            <w:r>
              <w:rPr>
                <w:bCs/>
              </w:rPr>
              <w:t xml:space="preserve">, kurās normatīvo aktu prasības notekūdeņu apsaimniekošanas jomā jānodrošina līdz 2011. gadam (10 000&lt;CE&lt;100 000), 9 </w:t>
            </w:r>
            <w:proofErr w:type="spellStart"/>
            <w:r>
              <w:rPr>
                <w:bCs/>
              </w:rPr>
              <w:t>aglomerācijās</w:t>
            </w:r>
            <w:proofErr w:type="spellEnd"/>
            <w:r>
              <w:rPr>
                <w:bCs/>
              </w:rPr>
              <w:t xml:space="preserve"> būs būtiska neizpilde arī pēc apstiprināto projektu pabeigšanas. Savukārt 64 </w:t>
            </w:r>
            <w:proofErr w:type="spellStart"/>
            <w:r>
              <w:rPr>
                <w:bCs/>
              </w:rPr>
              <w:t>aglomerācijām</w:t>
            </w:r>
            <w:proofErr w:type="spellEnd"/>
            <w:r>
              <w:rPr>
                <w:bCs/>
              </w:rPr>
              <w:t xml:space="preserve">, kurās normatīvo aktu prasības notekūdeņu apsaimniekošanas jomā jānodrošina līdz 2015. gadam (2 000&lt;CE&lt;10 000), vairāk nekā 40 </w:t>
            </w:r>
            <w:proofErr w:type="spellStart"/>
            <w:r>
              <w:rPr>
                <w:bCs/>
              </w:rPr>
              <w:t>aglomerācijās</w:t>
            </w:r>
            <w:proofErr w:type="spellEnd"/>
            <w:r>
              <w:rPr>
                <w:bCs/>
              </w:rPr>
              <w:t xml:space="preserve"> būs būtiska neizpilde pēc apstiprināto projektu pabeigšanas. </w:t>
            </w:r>
          </w:p>
          <w:p w:rsidR="00BC08F5" w:rsidRDefault="00BC08F5" w:rsidP="001764AF">
            <w:pPr>
              <w:spacing w:after="120"/>
              <w:jc w:val="both"/>
            </w:pPr>
            <w:r w:rsidRPr="00283880">
              <w:rPr>
                <w:bCs/>
              </w:rPr>
              <w:t>Normatīvo aktu prasību ūdenssaimniecības jomā (2002. gada 22.</w:t>
            </w:r>
            <w:r>
              <w:rPr>
                <w:bCs/>
              </w:rPr>
              <w:t> </w:t>
            </w:r>
            <w:r w:rsidRPr="00283880">
              <w:rPr>
                <w:bCs/>
              </w:rPr>
              <w:t xml:space="preserve">janvāra </w:t>
            </w:r>
            <w:r w:rsidRPr="00283880">
              <w:t xml:space="preserve">MK noteikumi Nr. 34 „Noteikumi par piesārņojošo vielu emisiju ūdenī”, 2003. gada 29. aprīļa MK noteikumi Nr. 235 </w:t>
            </w:r>
            <w:r w:rsidRPr="00283880">
              <w:lastRenderedPageBreak/>
              <w:t>„Dzeramā ūdens obligātās nekaitīguma un kvalitātes prasības, monitoringa un kontroles kārtība”)</w:t>
            </w:r>
            <w:r>
              <w:t xml:space="preserve"> nodrošināšanai un</w:t>
            </w:r>
            <w:r>
              <w:rPr>
                <w:bCs/>
              </w:rPr>
              <w:t xml:space="preserve"> </w:t>
            </w:r>
            <w:r w:rsidRPr="00283880">
              <w:t xml:space="preserve">3.5.1.1. aktivitātes mērķu sasniegšanai atbilstoši MK 2012.gada 8.maija sēdes protokola Nr.25 26.§ aktivitātes īstenošanai </w:t>
            </w:r>
            <w:r>
              <w:t xml:space="preserve">atļauts uzņemties </w:t>
            </w:r>
            <w:r w:rsidRPr="00283880">
              <w:t>saistības</w:t>
            </w:r>
            <w:r>
              <w:t xml:space="preserve">, kas pārsniedz kopējo Eiropas Savienības fondu un nacionālā finansējuma apjomu (turpmāk – </w:t>
            </w:r>
            <w:proofErr w:type="spellStart"/>
            <w:r>
              <w:t>virssaistību</w:t>
            </w:r>
            <w:proofErr w:type="spellEnd"/>
            <w:r>
              <w:t xml:space="preserve"> finansējums), </w:t>
            </w:r>
            <w:r w:rsidRPr="00283880">
              <w:t xml:space="preserve">11 000 000 latu apmērā, kas nav iekļautas MK noteikumos par aktivitātes īstenošanu. </w:t>
            </w:r>
          </w:p>
          <w:p w:rsidR="00060AAF" w:rsidRDefault="00BC08F5" w:rsidP="001764AF">
            <w:pPr>
              <w:spacing w:after="120"/>
              <w:jc w:val="both"/>
            </w:pPr>
            <w:r w:rsidRPr="009E240C">
              <w:t xml:space="preserve">Lai nodrošinātu atbilstību </w:t>
            </w:r>
            <w:r w:rsidRPr="009E240C">
              <w:rPr>
                <w:color w:val="000000"/>
              </w:rPr>
              <w:t>Eiropas Komisijas 2011.gada 20.decembra Lēmumam par Līguma par Eiropas Savienības darbību 106.panta 2.punkta piemērošanu valsts atbalstam attiecībā uz kompensāciju par sabiedriskajiem pakalpojumiem dažiem uzņēmumiem, kuriem uzticēts sniegt pakalpojumus ar vispārēju tauts</w:t>
            </w:r>
            <w:r>
              <w:rPr>
                <w:color w:val="000000"/>
              </w:rPr>
              <w:t>aimniecības nozīmi (2012/21/ES)</w:t>
            </w:r>
            <w:r w:rsidRPr="009E240C">
              <w:rPr>
                <w:color w:val="000000"/>
              </w:rPr>
              <w:t xml:space="preserve"> un </w:t>
            </w:r>
            <w:r w:rsidRPr="009E240C">
              <w:t xml:space="preserve">atbilstību Publisko aģentūru likuma 17.panta ceturtajai daļai, kas nosaka, ka pašvaldības aģentūras kompetence pakalpojumu sniegšanas jomā tiek noteikta ar pašvaldības saistošajiem noteikumiem, </w:t>
            </w:r>
            <w:r w:rsidR="000306B5">
              <w:t xml:space="preserve">tika sagatavoti grozījumi </w:t>
            </w:r>
            <w:r w:rsidRPr="009E240C">
              <w:t>projektu iesniegumu vērtēšanas kritērij</w:t>
            </w:r>
            <w:r>
              <w:t>os</w:t>
            </w:r>
            <w:r w:rsidRPr="009E240C">
              <w:t xml:space="preserve">, </w:t>
            </w:r>
            <w:r w:rsidRPr="007C2387">
              <w:t xml:space="preserve">kas </w:t>
            </w:r>
            <w:r w:rsidR="000306B5">
              <w:t>apstiprināti</w:t>
            </w:r>
            <w:r>
              <w:t xml:space="preserve"> Uzraudzības komitejā.</w:t>
            </w:r>
          </w:p>
          <w:p w:rsidR="00BC08F5" w:rsidRPr="007C2387" w:rsidRDefault="0097645B" w:rsidP="001764AF">
            <w:pPr>
              <w:spacing w:after="120"/>
              <w:jc w:val="both"/>
            </w:pPr>
            <w:r>
              <w:rPr>
                <w:bCs/>
              </w:rPr>
              <w:t>Saskaņā ar MK 2013.gada 12.februāra noteikumiem Nr.86</w:t>
            </w:r>
            <w:r w:rsidR="00BC08F5">
              <w:rPr>
                <w:bCs/>
              </w:rPr>
              <w:t xml:space="preserve"> </w:t>
            </w:r>
            <w:r w:rsidR="00BC08F5">
              <w:t>„Par Ministru kabineta 2007.gada 18.decembra noteikumu Nr.912 „Ūdensapgādes, notekūdeņu savākšanas un attīrīšanas būvju būvniecības kārtība” atzīšanu par spēku zaudējušiem</w:t>
            </w:r>
            <w:r>
              <w:t xml:space="preserve">” darbību izbeidz </w:t>
            </w:r>
            <w:r w:rsidR="00BC08F5">
              <w:t xml:space="preserve"> Ūdenssaimniecības būvju būvniecības projektu vērtēšanas komisij</w:t>
            </w:r>
            <w:r>
              <w:t>a</w:t>
            </w:r>
            <w:r w:rsidR="00BC08F5">
              <w:t xml:space="preserve"> (turpmāk – komisija), kuras viens no uzdevumiem </w:t>
            </w:r>
            <w:r>
              <w:t>bija</w:t>
            </w:r>
            <w:r w:rsidR="00BC08F5">
              <w:t xml:space="preserve"> </w:t>
            </w:r>
            <w:r w:rsidR="00AE5E3A">
              <w:t>izvērtēt un sniegt</w:t>
            </w:r>
            <w:r w:rsidR="00BC08F5">
              <w:t xml:space="preserve"> akceptu tehniski ekonomiskajam pamatojumam (turpmāk – TEP). </w:t>
            </w:r>
            <w:r w:rsidR="00AE5E3A">
              <w:t xml:space="preserve">Tādējādi </w:t>
            </w:r>
            <w:r w:rsidR="00BC08F5">
              <w:t xml:space="preserve">jāveic izmaiņas MK noteikumos, lai nodrošinātu TEP vērtēšanu </w:t>
            </w:r>
            <w:r w:rsidR="00AE5E3A">
              <w:t xml:space="preserve">pēc komisijas darbības izbeigšanas. </w:t>
            </w:r>
            <w:r w:rsidR="00BC08F5">
              <w:t xml:space="preserve">Šādu iemeslu dēļ </w:t>
            </w:r>
            <w:r w:rsidR="00AE5E3A">
              <w:t xml:space="preserve">arī tika izstrādāts grozījumu projekts par izmaiņām projektu iesniegumu vērtēšanas kritērijos, jo bija </w:t>
            </w:r>
            <w:r w:rsidR="00BC08F5">
              <w:t>jāparedz vairāku neprecizējamu kritēriju vērtējuma maiņa uz „precizējams”, lai pēc šiem kritēri</w:t>
            </w:r>
            <w:r w:rsidR="00AE5E3A">
              <w:t>jiem varētu izvērtēt arī TEP. Šāda</w:t>
            </w:r>
            <w:r w:rsidR="00BC08F5">
              <w:t xml:space="preserve"> kārtība attieksies tikai uz nākamo, t.i. piekto projektu iesniegumu atlases kārtu.</w:t>
            </w:r>
          </w:p>
          <w:p w:rsidR="00BC08F5" w:rsidRDefault="00BC08F5" w:rsidP="002A3BBA">
            <w:pPr>
              <w:spacing w:after="120"/>
              <w:jc w:val="both"/>
            </w:pPr>
            <w:r>
              <w:t xml:space="preserve">3.5.1.1. aktivitātei pieejamais finansējums, ieskaitot </w:t>
            </w:r>
            <w:proofErr w:type="spellStart"/>
            <w:r>
              <w:t>virssaistību</w:t>
            </w:r>
            <w:proofErr w:type="spellEnd"/>
            <w:r>
              <w:t xml:space="preserve"> finansējumu, ko var novirzīt papildu – piektās – projektu iesniegumu atlases kārtas īstenošanai, un </w:t>
            </w:r>
            <w:r w:rsidR="002A3BBA">
              <w:t>Uzraudzības komitejā apstiprinātie</w:t>
            </w:r>
            <w:r>
              <w:t xml:space="preserve"> grozījumi projektu iesniegumu vērtēšanas kritērijos neatbilst spēkā esošajiem MK noteikumiem.</w:t>
            </w:r>
            <w:r w:rsidDel="00586DAB">
              <w:t xml:space="preserve"> </w:t>
            </w:r>
          </w:p>
          <w:p w:rsidR="002A3BBA" w:rsidRPr="0081124D" w:rsidRDefault="002A3BBA" w:rsidP="00740AFC">
            <w:pPr>
              <w:jc w:val="both"/>
            </w:pPr>
            <w:r w:rsidRPr="0081124D">
              <w:t>Uzraudzības komitejas 2012.gada 14.septembra sēdes laikā Eiropas Komisijas pārstāvis ierosināja papildināt kritēriju kopu ar prasību  piecu gadu laikā pēc projekta pabeigšanas ne tikai nodrošināt iespēju iedzīvotājiem pieslēgties pie centralizētajiem tīkliem, bet arī realizēt visus plānotos pieslēgumus.</w:t>
            </w:r>
            <w:r w:rsidR="00740AFC" w:rsidRPr="0081124D">
              <w:t xml:space="preserve"> Šis nosacījums iekļauts kritēriju kopā, tādēļ attiecīgi jāveic grozījumi projektu iesniegumu veidlapas apliecinājuma sadaļā.</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lastRenderedPageBreak/>
              <w:t>3.</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 xml:space="preserve">Saistītie politikas ietekmes novērtējumi un </w:t>
            </w:r>
            <w:r>
              <w:lastRenderedPageBreak/>
              <w:t>pētījumi</w:t>
            </w:r>
          </w:p>
        </w:tc>
        <w:tc>
          <w:tcPr>
            <w:tcW w:w="3777" w:type="pct"/>
            <w:tcBorders>
              <w:top w:val="outset" w:sz="6" w:space="0" w:color="000000"/>
              <w:left w:val="outset" w:sz="6" w:space="0" w:color="000000"/>
              <w:bottom w:val="outset" w:sz="6" w:space="0" w:color="000000"/>
              <w:right w:val="outset" w:sz="6" w:space="0" w:color="000000"/>
            </w:tcBorders>
          </w:tcPr>
          <w:p w:rsidR="00BC08F5" w:rsidRDefault="00BC08F5" w:rsidP="001764AF">
            <w:r>
              <w:lastRenderedPageBreak/>
              <w:t>Nav attiecināms</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lastRenderedPageBreak/>
              <w:t>4.</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Tiesiskā regulējuma mērķis un būtība</w:t>
            </w:r>
          </w:p>
        </w:tc>
        <w:tc>
          <w:tcPr>
            <w:tcW w:w="3777" w:type="pct"/>
            <w:tcBorders>
              <w:top w:val="outset" w:sz="6" w:space="0" w:color="000000"/>
              <w:left w:val="outset" w:sz="6" w:space="0" w:color="000000"/>
              <w:bottom w:val="outset" w:sz="6" w:space="0" w:color="000000"/>
              <w:right w:val="outset" w:sz="6" w:space="0" w:color="000000"/>
            </w:tcBorders>
          </w:tcPr>
          <w:p w:rsidR="00BC08F5" w:rsidRPr="00EE0BFF" w:rsidRDefault="00BC08F5" w:rsidP="001764AF">
            <w:pPr>
              <w:spacing w:after="120"/>
              <w:jc w:val="both"/>
            </w:pPr>
            <w:r>
              <w:t xml:space="preserve">Noteikumu projekts izstrādāts, lai, uzlabojot aktivitātei pieejamā Kohēzijas fonda līdzfinansējuma apguvi, nodrošinātu aktivitātes mērķa sasniegšanu, </w:t>
            </w:r>
            <w:r w:rsidRPr="00216282">
              <w:rPr>
                <w:bCs/>
              </w:rPr>
              <w:t xml:space="preserve">kā arī lai izpildītu </w:t>
            </w:r>
            <w:r w:rsidRPr="00216282">
              <w:t>MK 2012.gada 8.maija sēdes protokola Nr.25 26.§ 2.</w:t>
            </w:r>
            <w:r>
              <w:t xml:space="preserve">, </w:t>
            </w:r>
            <w:r w:rsidRPr="00B370A7">
              <w:t xml:space="preserve">6. un 7.punktā izvirzītos nosacījumus (noteikumu </w:t>
            </w:r>
            <w:r w:rsidRPr="00230F00">
              <w:t>projekta 2</w:t>
            </w:r>
            <w:r>
              <w:t xml:space="preserve">. un </w:t>
            </w:r>
            <w:r w:rsidR="00095087">
              <w:t>2</w:t>
            </w:r>
            <w:r w:rsidR="00DF01F4">
              <w:t>2</w:t>
            </w:r>
            <w:r>
              <w:t>.punkts</w:t>
            </w:r>
            <w:r w:rsidRPr="00230F00">
              <w:t>).</w:t>
            </w:r>
            <w:r w:rsidRPr="00216282">
              <w:t xml:space="preserve"> </w:t>
            </w:r>
            <w:r>
              <w:t xml:space="preserve">Veicot detalizētus aprēķinus un ņemot vērā piektās projektu iesnieguma atlases kārtas projektu iesniedzēju sniegto informāciju, tika noteikts precīzs projektu īstenošanai nepieciešamā finansējuma apjoms. Tādējādi noteikumu projektā norādītais </w:t>
            </w:r>
            <w:proofErr w:type="spellStart"/>
            <w:r>
              <w:t>virssaistību</w:t>
            </w:r>
            <w:proofErr w:type="spellEnd"/>
            <w:r>
              <w:t xml:space="preserve"> finansējuma apjoms ir mazāks, nekā atļauts uzņemties aktivitātes īstenošanai.</w:t>
            </w:r>
            <w:r w:rsidR="004A2402">
              <w:t xml:space="preserve"> </w:t>
            </w:r>
            <w:r w:rsidR="004A2402" w:rsidRPr="00EE0BFF">
              <w:t>Izveidojušos atlikumu nav plānots izmantot papildu projektu vai papildu kādā no projektiem paredzēto aktivitāšu īstenošanai.</w:t>
            </w:r>
          </w:p>
          <w:p w:rsidR="009D254E" w:rsidRDefault="00BC08F5" w:rsidP="001764AF">
            <w:pPr>
              <w:spacing w:after="120"/>
              <w:jc w:val="both"/>
            </w:pPr>
            <w:r>
              <w:t xml:space="preserve">Tā kā tiek rīkota piektā projektu iesniegumu atlases kārta, ir veikti redakcionāli grozījumi, paredzot atsauces MK noteikumu tekstā un projekta iesnieguma veidlapā par atlases kārtas organizēšanu (noteikumu projekta </w:t>
            </w:r>
            <w:r w:rsidR="009624F2">
              <w:t>5</w:t>
            </w:r>
            <w:r w:rsidRPr="00230F00">
              <w:t xml:space="preserve">., </w:t>
            </w:r>
            <w:r w:rsidR="009624F2">
              <w:t>6</w:t>
            </w:r>
            <w:r w:rsidRPr="00230F00">
              <w:t xml:space="preserve">., </w:t>
            </w:r>
            <w:r w:rsidR="00DF01F4">
              <w:t>9., 17</w:t>
            </w:r>
            <w:r w:rsidRPr="00230F00">
              <w:t>.</w:t>
            </w:r>
            <w:r>
              <w:t xml:space="preserve">, </w:t>
            </w:r>
            <w:r w:rsidR="009624F2">
              <w:t>2</w:t>
            </w:r>
            <w:r w:rsidR="00DF01F4">
              <w:t>3</w:t>
            </w:r>
            <w:r>
              <w:t xml:space="preserve">., </w:t>
            </w:r>
            <w:r w:rsidR="009624F2">
              <w:t>2</w:t>
            </w:r>
            <w:r w:rsidR="00DF01F4">
              <w:t>5</w:t>
            </w:r>
            <w:r>
              <w:t xml:space="preserve">. un </w:t>
            </w:r>
            <w:r w:rsidR="009624F2">
              <w:t>2</w:t>
            </w:r>
            <w:r w:rsidR="00DF01F4">
              <w:t>6</w:t>
            </w:r>
            <w:r>
              <w:t>.</w:t>
            </w:r>
            <w:r w:rsidRPr="00230F00">
              <w:t>punkts),</w:t>
            </w:r>
            <w:r>
              <w:t xml:space="preserve"> precizējot gan pirmo četru projektu iesniegumu atlases kārtu projektu finansējumu (noteikumu </w:t>
            </w:r>
            <w:r w:rsidRPr="00230F00">
              <w:t xml:space="preserve">projekta </w:t>
            </w:r>
            <w:r w:rsidR="00BC6829">
              <w:t>2</w:t>
            </w:r>
            <w:r w:rsidR="00DF01F4">
              <w:t>3</w:t>
            </w:r>
            <w:r w:rsidRPr="00230F00">
              <w:t>.punkts), gan</w:t>
            </w:r>
            <w:r>
              <w:t xml:space="preserve"> nosakot piektās projektu iesniegumu atlases kārtas finansējuma avotus un atbalsta likmes (noteikumu projekta </w:t>
            </w:r>
            <w:r w:rsidRPr="00230F00">
              <w:t xml:space="preserve">2., </w:t>
            </w:r>
            <w:r w:rsidR="009624F2">
              <w:t>5</w:t>
            </w:r>
            <w:r w:rsidRPr="00230F00">
              <w:t xml:space="preserve">. un </w:t>
            </w:r>
            <w:r w:rsidR="00DF01F4">
              <w:t>9</w:t>
            </w:r>
            <w:r w:rsidRPr="00230F00">
              <w:t xml:space="preserve">.punkts). </w:t>
            </w:r>
          </w:p>
          <w:p w:rsidR="009A0AC4" w:rsidRDefault="00BC08F5" w:rsidP="001764AF">
            <w:pPr>
              <w:spacing w:after="120"/>
              <w:jc w:val="both"/>
            </w:pPr>
            <w:r>
              <w:t>Atsevišķos gadījumos MK noteikumu 2.pielikumā</w:t>
            </w:r>
            <w:r w:rsidR="00426012">
              <w:t xml:space="preserve"> (noteikumu projekta </w:t>
            </w:r>
            <w:r w:rsidR="00BC6829">
              <w:t>2</w:t>
            </w:r>
            <w:r w:rsidR="00DF01F4">
              <w:t>3</w:t>
            </w:r>
            <w:r w:rsidR="00426012">
              <w:t>.punkts)</w:t>
            </w:r>
            <w:r>
              <w:t xml:space="preserve"> projektu sarakstā sniegtais Kohēzijas fonda līdzfinansējuma apmērs nesakrīt ar informāciju, kas uzrādīta Eiropas Savienības struktūrfondu un Kohēzijas fonda vadības informācijas sistēmā, jo finansējuma iesniedzējs ir apliecinājis, ka, pamatojoties uz MK noteikumu 60.punktu, veiks grozījumus vienošanās vai civiltiesiskajā līgumā un palielinās Kohēzijas fonda līdzfinansējumu līdz MK noteikumu 2.pielikumā attiecīgajam projektam noteiktajam maksimālajam līdzfinansējuma apmēram</w:t>
            </w:r>
            <w:r w:rsidR="00CC6494">
              <w:t xml:space="preserve"> </w:t>
            </w:r>
            <w:r w:rsidR="00CC6494" w:rsidRPr="00EE0BFF">
              <w:t>(VARAM rīcībā ir vēstules, kurās finansējuma saņēmējs apliecina grozījumu veikšanu vai tieši otrādi – norāda, ka MK noteikumu Nr.836 2.pielikumā norādītais maksimālais Kohēzijas fonda līdzfinansējums netiks izmantots un darbi tiks veikti esošā finansējuma ietvaros)</w:t>
            </w:r>
            <w:r w:rsidRPr="00EE0BFF">
              <w:t>.</w:t>
            </w:r>
          </w:p>
          <w:p w:rsidR="00BC08F5" w:rsidRPr="00BC4032" w:rsidRDefault="00BC08F5" w:rsidP="001764AF">
            <w:pPr>
              <w:spacing w:after="120"/>
              <w:jc w:val="both"/>
            </w:pPr>
            <w:r>
              <w:t xml:space="preserve">Papildu grozījums veikts MK noteikumu 24.punktā, precizējot valsts budžeta maksimālo atbalsta likmi, jo pirmajā projektu iesniegumu atlases kārtā tika apstiprināti projekti (lēmums pieņemts līdz 2009.gada 1.janvārim), kuros valsts budžeta atbalsta likme pārsniedz 10%, bet nav lielāka par 15% (noteikumu projekta </w:t>
            </w:r>
            <w:r w:rsidR="00DF01F4">
              <w:t>8</w:t>
            </w:r>
            <w:r>
              <w:t>.punkts).</w:t>
            </w:r>
            <w:r w:rsidR="009A0AC4">
              <w:t xml:space="preserve"> </w:t>
            </w:r>
            <w:r w:rsidR="009A0AC4" w:rsidRPr="00BC4032">
              <w:t>Pieņemot lēmumus par projektu apstiprināšanu līdz 2009.gada 1.janvārim, nebija ierobežojumu par maksimālo valsts budžeta atbalsta likmi. Šis punkts tika kļūdaini precizēts līdz ar grozījumiem 2011.gada 4.oktobrī.</w:t>
            </w:r>
          </w:p>
          <w:p w:rsidR="00BC08F5" w:rsidRDefault="00BC08F5" w:rsidP="001764AF">
            <w:pPr>
              <w:spacing w:after="120"/>
              <w:jc w:val="both"/>
            </w:pPr>
            <w:r>
              <w:t xml:space="preserve">Atbilstoši grozītajiem civiltiesiskajiem līgumiem un vienošanās par projektu īstenošanu ir </w:t>
            </w:r>
            <w:r w:rsidR="004F2C8D">
              <w:t xml:space="preserve">redakcionālo </w:t>
            </w:r>
            <w:r>
              <w:t xml:space="preserve">precizēts arī </w:t>
            </w:r>
            <w:r w:rsidR="004F2C8D">
              <w:t>MK noteikumu 3.punkts</w:t>
            </w:r>
            <w:r>
              <w:t xml:space="preserve"> (noteikumu projekta 1.punkts).</w:t>
            </w:r>
          </w:p>
          <w:p w:rsidR="004F2C8D" w:rsidRDefault="00BC08F5" w:rsidP="001764AF">
            <w:pPr>
              <w:spacing w:after="120"/>
              <w:jc w:val="both"/>
            </w:pPr>
            <w:r>
              <w:t xml:space="preserve">Noteikumos veikti redakcionāli grozījumi, lai nedublētu tiesību akta </w:t>
            </w:r>
            <w:r>
              <w:lastRenderedPageBreak/>
              <w:t xml:space="preserve">normas MK noteikumu tekstā un projektu iesniegumu vērtēšanas kritērijos (noteikumu projekta </w:t>
            </w:r>
            <w:r w:rsidR="004F2C8D">
              <w:t>3</w:t>
            </w:r>
            <w:r w:rsidRPr="00230F00">
              <w:t>.punkts)</w:t>
            </w:r>
            <w:r w:rsidR="004F2C8D">
              <w:t>.</w:t>
            </w:r>
          </w:p>
          <w:p w:rsidR="00BC08F5" w:rsidRDefault="00BC08F5" w:rsidP="001764AF">
            <w:pPr>
              <w:spacing w:after="120"/>
              <w:jc w:val="both"/>
            </w:pPr>
            <w:r>
              <w:t xml:space="preserve">No MK noteikumiem svītrots punkts par ceturtās projektu iesniegumu atlases kārtas organizēšanu un ūdenssaimniecības pakalpojumu sniedzēju uzaicināšanu iesniegt projektu iesniegumus, jo atlases kārta jau ir noslēgusies un šis punkts vairs nav aktuāls (noteikumu </w:t>
            </w:r>
            <w:r w:rsidRPr="00EB45DC">
              <w:t xml:space="preserve">projekta </w:t>
            </w:r>
            <w:r w:rsidR="00DF01F4">
              <w:t>7</w:t>
            </w:r>
            <w:r w:rsidRPr="00EB45DC">
              <w:t>.punkts).</w:t>
            </w:r>
            <w:r>
              <w:t xml:space="preserve">  </w:t>
            </w:r>
          </w:p>
          <w:p w:rsidR="00BC08F5" w:rsidRDefault="00BC08F5" w:rsidP="001764AF">
            <w:pPr>
              <w:spacing w:after="120"/>
              <w:jc w:val="both"/>
            </w:pPr>
            <w:r w:rsidRPr="002401E2">
              <w:t xml:space="preserve">Saskaņā ar </w:t>
            </w:r>
            <w:r w:rsidR="00EE0BFF" w:rsidRPr="002401E2">
              <w:t xml:space="preserve">Uzraudzības komitejā apstiprinātajiem grozījumiem (08.04.2013, lēmums </w:t>
            </w:r>
            <w:proofErr w:type="spellStart"/>
            <w:r w:rsidR="00EE0BFF" w:rsidRPr="002401E2">
              <w:t>Nr.L-2013</w:t>
            </w:r>
            <w:proofErr w:type="spellEnd"/>
            <w:r w:rsidR="00EE0BFF" w:rsidRPr="002401E2">
              <w:t>/05)</w:t>
            </w:r>
            <w:r w:rsidR="00EE0BFF">
              <w:t xml:space="preserve"> projektu iesniegumu vērtēšanas kritērijos</w:t>
            </w:r>
            <w:r>
              <w:t xml:space="preserve"> (noteikumu projekta </w:t>
            </w:r>
            <w:r w:rsidR="004F2C8D">
              <w:t>3</w:t>
            </w:r>
            <w:r w:rsidR="00DF01F4">
              <w:t>2</w:t>
            </w:r>
            <w:r w:rsidRPr="00EB45DC">
              <w:t>.punkts), precizētas</w:t>
            </w:r>
            <w:r>
              <w:t xml:space="preserve"> kritēriju</w:t>
            </w:r>
            <w:r w:rsidR="00EE0BFF">
              <w:t xml:space="preserve"> punktu</w:t>
            </w:r>
            <w:r>
              <w:t xml:space="preserve"> redakcijas, lai nodrošinātu atbilstību Eiropas Komisijas 2011.gada 20.decembra Lēmumam Nr.2012/21/ES par Līguma par Eiropas Savienības darbību 106.panta 2.punkta piemērošanu valsts atbalstam attiecībā uz kompensāciju par sabiedriskajiem pakalpojumiem dažiem uzņēmumiem, kuriem uzticēts sniegt pakalpojumus ar vispārēju tautsaimniecības nozīmi, kā arī, lai nodrošinātu ūdenssaimniecības attīstības projektu TEP vērtēšanu. Ņemot vērā, ka līdz ar 2007.gada 18.decembra MK noteikumu Nr.912 „Ūdensapgādes, notekūdeņu savākšanas un attīrīšanas būvju būvniecības kār</w:t>
            </w:r>
            <w:r w:rsidR="004F2C8D">
              <w:t>tība” atzīšanu par spēku zaudēju</w:t>
            </w:r>
            <w:r>
              <w:t xml:space="preserve">šiem, līdz ar to arī Ūdenssaimniecības būvju būvniecības projektu vērtēšanas komisijas darbības izbeigšanu, veikti grozījumi ne tikai vērtēšanas kritērijos, bet arī MK noteikumos, lai nodrošinātu TEP vērtēšanu un precizēšanu, un noteiktu prasības TEP izstrādei (noteikumu projekta </w:t>
            </w:r>
            <w:r w:rsidR="00A4258A">
              <w:t>1</w:t>
            </w:r>
            <w:r w:rsidR="00DF01F4">
              <w:t>0</w:t>
            </w:r>
            <w:r w:rsidRPr="00EB45DC">
              <w:t xml:space="preserve">., </w:t>
            </w:r>
            <w:r w:rsidR="004F2C8D">
              <w:t>1</w:t>
            </w:r>
            <w:r w:rsidR="00DF01F4">
              <w:t>1</w:t>
            </w:r>
            <w:r w:rsidRPr="00EB45DC">
              <w:t xml:space="preserve">., </w:t>
            </w:r>
            <w:r w:rsidR="004F2C8D">
              <w:t>1</w:t>
            </w:r>
            <w:r w:rsidR="00DF01F4">
              <w:t>5</w:t>
            </w:r>
            <w:r w:rsidR="00A4258A">
              <w:t>.</w:t>
            </w:r>
            <w:r w:rsidR="004F2C8D">
              <w:t>, 1</w:t>
            </w:r>
            <w:r w:rsidR="00DF01F4">
              <w:t>6</w:t>
            </w:r>
            <w:r w:rsidRPr="00EB45DC">
              <w:t xml:space="preserve">. un </w:t>
            </w:r>
            <w:r w:rsidR="004F2C8D">
              <w:t>3</w:t>
            </w:r>
            <w:r w:rsidR="00DF01F4">
              <w:t>4</w:t>
            </w:r>
            <w:r w:rsidRPr="00EB45DC">
              <w:t xml:space="preserve">.punkts). </w:t>
            </w:r>
          </w:p>
          <w:p w:rsidR="00BC08F5" w:rsidRDefault="00BC08F5" w:rsidP="001764AF">
            <w:pPr>
              <w:spacing w:after="120"/>
              <w:jc w:val="both"/>
            </w:pPr>
            <w:r>
              <w:t xml:space="preserve">Veicot grozījumus projektu iesniegumu vērtēšanas kritērijos, tiek mainīta kritēriju numerācija, tādēļ veikti arī tehniski grozījumi, nodrošinot atbilstošu kritēriju numerāciju (noteikumu projekta </w:t>
            </w:r>
            <w:r w:rsidR="00866321">
              <w:t>1</w:t>
            </w:r>
            <w:r w:rsidR="00DF01F4">
              <w:t>2</w:t>
            </w:r>
            <w:r>
              <w:t>., 1</w:t>
            </w:r>
            <w:r w:rsidR="00DF01F4">
              <w:t>3</w:t>
            </w:r>
            <w:r>
              <w:t xml:space="preserve">., </w:t>
            </w:r>
            <w:r w:rsidR="00866321">
              <w:t>1</w:t>
            </w:r>
            <w:r w:rsidR="00DF01F4">
              <w:t>4</w:t>
            </w:r>
            <w:r>
              <w:t>., 1</w:t>
            </w:r>
            <w:r w:rsidR="00DF01F4">
              <w:t>5</w:t>
            </w:r>
            <w:r>
              <w:t>. un 1</w:t>
            </w:r>
            <w:r w:rsidR="00DF01F4">
              <w:t>6</w:t>
            </w:r>
            <w:r w:rsidRPr="00EB45DC">
              <w:t>.punkts).</w:t>
            </w:r>
          </w:p>
          <w:p w:rsidR="00BC08F5" w:rsidRDefault="00BC08F5" w:rsidP="001764AF">
            <w:pPr>
              <w:spacing w:after="120"/>
              <w:jc w:val="both"/>
            </w:pPr>
            <w:r>
              <w:t xml:space="preserve">Veiktas izmaiņas MK noteikumu 63.punktā, kas izvirza prasības finansējuma saņēmējam sniegt informāciju par projektā izvirzīto mērķu sasniegšanu – redakcionāli precizēts 63.3.apakšpunkts, savukārt grozījumi 63.4.apakšpunktā paredz papildu norādīt iedzīvotāju skaitu, kam izveidoti pieslēgumi inženiertīkliem, lai uzraudzītu jaunizveidoto pakalpojumu izmantošanu (noteikumu projekta </w:t>
            </w:r>
            <w:r w:rsidR="00DF01F4">
              <w:t>19</w:t>
            </w:r>
            <w:r>
              <w:t xml:space="preserve">. un </w:t>
            </w:r>
            <w:r w:rsidR="00DF01F4">
              <w:t>20</w:t>
            </w:r>
            <w:r>
              <w:t xml:space="preserve">.punkts). Attiecīgi veiktas izmaiņas arī projekta </w:t>
            </w:r>
            <w:proofErr w:type="spellStart"/>
            <w:r>
              <w:t>pēcieviešanas</w:t>
            </w:r>
            <w:proofErr w:type="spellEnd"/>
            <w:r>
              <w:t xml:space="preserve"> uzraudzības veidlapā, papildu veicot redakcionālus precizējumus (noteikumu projekta </w:t>
            </w:r>
            <w:r w:rsidR="00F9524B">
              <w:t>3</w:t>
            </w:r>
            <w:r w:rsidR="00DF01F4">
              <w:t>3</w:t>
            </w:r>
            <w:r>
              <w:t>.punkts).</w:t>
            </w:r>
          </w:p>
          <w:p w:rsidR="009726BD" w:rsidRPr="00BD6669" w:rsidRDefault="00562535" w:rsidP="001764AF">
            <w:pPr>
              <w:spacing w:after="120"/>
              <w:jc w:val="both"/>
            </w:pPr>
            <w:r w:rsidRPr="00BD6669">
              <w:t>Jaunā redakcijā izteikts noteikumu punkts</w:t>
            </w:r>
            <w:r w:rsidR="009726BD" w:rsidRPr="00BD6669">
              <w:t>, kas nosaka, kādos gadījumos</w:t>
            </w:r>
            <w:r w:rsidRPr="00BD6669">
              <w:t xml:space="preserve"> nevar pretendēt uz Kohēzijas fonda finansējumu (noteikumu projekta 4.punkts). Izmaiņas veiktas, jo līdz šim spēkā esošais nosacījums, ka uz finansējumu nevar pretendēt, ja iesniedzējam ir nodokļu parādi, neatbilst projektu iesniegumu vērtēšanas kritērijam, kas ir precizējams (tātad ir pieļaujams iesniegt projektu, ja iesniedzējam ir nodokļu parāds iesnieguma iesniegšanas mēneša pirmajā darbdienā). Papildu iekļauti </w:t>
            </w:r>
            <w:r w:rsidR="0094112E" w:rsidRPr="00BD6669">
              <w:t xml:space="preserve">ierobežojoši nosacījumi, ja projekta iesniedzējs ir sodīts par ārzemnieku nelegālu nodarbināšanu, tam nav tiesību veikt būvdarbus zemesgabalos, kurs </w:t>
            </w:r>
            <w:r w:rsidR="0094112E" w:rsidRPr="00BD6669">
              <w:lastRenderedPageBreak/>
              <w:t>paredzēti būvdarbi, kā arī attiecībā uz infrastruktūras, kas nepieciešama</w:t>
            </w:r>
            <w:r w:rsidR="00415695" w:rsidRPr="00BD6669">
              <w:t xml:space="preserve"> ūdenssaimniecības sabiedrisko pakalpojumu sniegšana, piederību. Papildu noteikta prasība, ka uz finansējumu nedrīkst pretendēt, ja projektu finansē vai plānots finansēt vai līdzfinansēt no citiem Eiropas Savienības finanšu avotiem, kā arī valsts un pašvaldību budžeta līdzekļiem, kā arī projekta ietvaros plānotās darbības pārklājas ar darbībām, kas tiek finansētas citu Eiropas Savienības fondu aktivitāšu un citu finanšu instrumentu ietvaros. Nosacījumi izvirzīti, pamatojoties uz neprecizējamajiem projekta iesniedzēja atbilstības kritērijiem.</w:t>
            </w:r>
          </w:p>
          <w:p w:rsidR="00BC08F5" w:rsidRDefault="00BC08F5" w:rsidP="001764AF">
            <w:pPr>
              <w:spacing w:after="120"/>
              <w:jc w:val="both"/>
            </w:pPr>
            <w:r>
              <w:t xml:space="preserve">Lai nodrošinātu projektu iesniegumu vērtēšanu atbilstoši </w:t>
            </w:r>
            <w:r w:rsidR="00160812">
              <w:t xml:space="preserve">apstiprinātajiem </w:t>
            </w:r>
            <w:r>
              <w:t>grozījumiem projektu i</w:t>
            </w:r>
            <w:r w:rsidR="00160812">
              <w:t>esniegumu vērtēšanas kritērijos</w:t>
            </w:r>
            <w:r>
              <w:t xml:space="preserve">, noteikumu projekts paredz papildināt projektu iesniegumu veidlapas apliecinājuma sadaļu ar papildu punktiem, kā arī veikt redakcionālus grozījumus vairākos no tiem (noteikumu projekta </w:t>
            </w:r>
            <w:r w:rsidR="00F9524B">
              <w:t>2</w:t>
            </w:r>
            <w:r w:rsidR="00DF01F4">
              <w:t>7</w:t>
            </w:r>
            <w:r w:rsidRPr="00EB45DC">
              <w:t xml:space="preserve">., </w:t>
            </w:r>
            <w:r w:rsidR="00DF01F4">
              <w:t>28</w:t>
            </w:r>
            <w:r w:rsidRPr="00EB45DC">
              <w:t>.</w:t>
            </w:r>
            <w:r>
              <w:t xml:space="preserve">, </w:t>
            </w:r>
            <w:r w:rsidR="00DF01F4">
              <w:t>29</w:t>
            </w:r>
            <w:r>
              <w:t xml:space="preserve">., </w:t>
            </w:r>
            <w:r w:rsidR="00F9524B">
              <w:t>3</w:t>
            </w:r>
            <w:r w:rsidR="00DF01F4">
              <w:t>0</w:t>
            </w:r>
            <w:r>
              <w:t>.</w:t>
            </w:r>
            <w:r w:rsidRPr="00EB45DC">
              <w:t xml:space="preserve"> un </w:t>
            </w:r>
            <w:r w:rsidR="004F2C8D">
              <w:t>3</w:t>
            </w:r>
            <w:r w:rsidR="00DF01F4">
              <w:t>1</w:t>
            </w:r>
            <w:r w:rsidRPr="00EB45DC">
              <w:t>.punkts).</w:t>
            </w:r>
            <w:r>
              <w:t xml:space="preserve"> </w:t>
            </w:r>
          </w:p>
          <w:p w:rsidR="00BC08F5" w:rsidRDefault="00BC08F5" w:rsidP="001764AF">
            <w:pPr>
              <w:spacing w:after="120"/>
              <w:jc w:val="both"/>
            </w:pPr>
            <w:r w:rsidRPr="00155016">
              <w:t xml:space="preserve">Ņemot vērā Ministru kabineta 2007.gada 26.jūnija noteikumu Nr.419 „Kārtība, kādā Eiropas Savienības struktūrfondu un Kohēzijas fonda vadībā iesaistītās institūcijas nodrošina plānošanas dokumentu sagatavošanu un šo fondu ieviešanu” nosacījumus par iespējām pagarināt projekta īstenošanas termiņu, svītrots nosacījums par aizliegumu pagarināt projekta īstenošanas termiņu gadījumos, kad vienošanās vai civiltiesiskā līguma grozījumu gadījumos paredzēta papildu pasākumu īstenošana (noteikumu projekta </w:t>
            </w:r>
            <w:r w:rsidR="00DF01F4">
              <w:t>18</w:t>
            </w:r>
            <w:r w:rsidRPr="00155016">
              <w:t>.punkts).</w:t>
            </w:r>
            <w:r>
              <w:t xml:space="preserve"> </w:t>
            </w:r>
          </w:p>
          <w:p w:rsidR="00BC08F5" w:rsidRDefault="00BC08F5" w:rsidP="001764AF">
            <w:pPr>
              <w:spacing w:after="120"/>
              <w:jc w:val="both"/>
            </w:pPr>
            <w:r>
              <w:t xml:space="preserve">Veikts arī tehnisks labojums, MK noteikumos svītrojot 68.punktu, jo līdz ar pēdējo grozījumu veikšanu (18.09.2012 MK noteikumi Nr.635), kas stājās spēkā 2012.gada 22.septembrī, 41.punkts izteikts jaunā redakcijā un tam nav apakšpunktu (noteikumu </w:t>
            </w:r>
            <w:r w:rsidRPr="00EB45DC">
              <w:t xml:space="preserve">projekta </w:t>
            </w:r>
            <w:r w:rsidR="00F9524B">
              <w:t>2</w:t>
            </w:r>
            <w:r w:rsidR="00DF01F4">
              <w:t>1</w:t>
            </w:r>
            <w:r w:rsidRPr="00EB45DC">
              <w:t>.punkts).</w:t>
            </w:r>
            <w:r>
              <w:t xml:space="preserve"> </w:t>
            </w:r>
          </w:p>
          <w:p w:rsidR="00BC08F5" w:rsidRPr="00AB4FC6" w:rsidRDefault="00BC08F5" w:rsidP="00DF01F4">
            <w:pPr>
              <w:spacing w:after="120"/>
              <w:jc w:val="both"/>
            </w:pPr>
            <w:r>
              <w:t xml:space="preserve">Noteikumu projektā iekļauts redakcionāls grozījums, aizstājot MK noteikumu 3.pielikumā vārdu „rajons” ar vārdu „novads”, lai nodrošinātu atbilstību Administratīvo teritoriju un apdzīvoto vietu likumam (noteikumu projekta </w:t>
            </w:r>
            <w:r w:rsidR="00F9524B">
              <w:t>2</w:t>
            </w:r>
            <w:r w:rsidR="00DF01F4">
              <w:t>4</w:t>
            </w:r>
            <w:r>
              <w:t>.punkts).</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lastRenderedPageBreak/>
              <w:t>5.</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Projekta izstrādē iesaistītās institūcijas</w:t>
            </w:r>
          </w:p>
        </w:tc>
        <w:tc>
          <w:tcPr>
            <w:tcW w:w="3777" w:type="pct"/>
            <w:tcBorders>
              <w:top w:val="outset" w:sz="6" w:space="0" w:color="000000"/>
              <w:left w:val="outset" w:sz="6" w:space="0" w:color="000000"/>
              <w:bottom w:val="outset" w:sz="6" w:space="0" w:color="000000"/>
              <w:right w:val="outset" w:sz="6" w:space="0" w:color="000000"/>
            </w:tcBorders>
          </w:tcPr>
          <w:p w:rsidR="00BC08F5" w:rsidRDefault="00BC08F5" w:rsidP="001764AF">
            <w:r>
              <w:t>Nav attiecināms</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t>6.</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Iemesli, kādēļ netika nodrošināta sabiedrības līdzdalība</w:t>
            </w:r>
          </w:p>
        </w:tc>
        <w:tc>
          <w:tcPr>
            <w:tcW w:w="3777" w:type="pct"/>
            <w:tcBorders>
              <w:top w:val="outset" w:sz="6" w:space="0" w:color="000000"/>
              <w:left w:val="outset" w:sz="6" w:space="0" w:color="000000"/>
              <w:bottom w:val="outset" w:sz="6" w:space="0" w:color="000000"/>
              <w:right w:val="outset" w:sz="6" w:space="0" w:color="000000"/>
            </w:tcBorders>
          </w:tcPr>
          <w:p w:rsidR="00BC08F5" w:rsidRDefault="00BC08F5" w:rsidP="001764AF">
            <w:pPr>
              <w:jc w:val="both"/>
            </w:pPr>
            <w:r>
              <w:t xml:space="preserve">Sabiedrības līdzdalība tika nodrošināta 2006. gadā, izstrādājot nacionālo programmu „Ūdenssaimniecības infrastruktūras attīstība </w:t>
            </w:r>
            <w:proofErr w:type="spellStart"/>
            <w:r>
              <w:t>aglomerācijās</w:t>
            </w:r>
            <w:proofErr w:type="spellEnd"/>
            <w:r>
              <w:t xml:space="preserve"> ar cilvēku ekvivalentu lielāku par 2000”, kas ir 2007.gada 4.decembra MK noteikumu Nr.836 „Noteikumi par darbības programmas „Infrastruktūra un pakalpojumi” papildinājuma 3.5.1.1.aktivitāti „Ūdenssaimniecības infrastruktūras attīstība </w:t>
            </w:r>
            <w:proofErr w:type="spellStart"/>
            <w:r>
              <w:t>aglomerācijās</w:t>
            </w:r>
            <w:proofErr w:type="spellEnd"/>
            <w:r>
              <w:t xml:space="preserve"> ar cilvēku ekvivalentu, lielāku par 2000””” pamatā.</w:t>
            </w:r>
          </w:p>
        </w:tc>
      </w:tr>
      <w:tr w:rsidR="00BC08F5" w:rsidTr="001764AF">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BC08F5" w:rsidRDefault="00BC08F5" w:rsidP="001764AF">
            <w:r>
              <w:t>7.</w:t>
            </w:r>
          </w:p>
        </w:tc>
        <w:tc>
          <w:tcPr>
            <w:tcW w:w="1007" w:type="pct"/>
            <w:tcBorders>
              <w:top w:val="outset" w:sz="6" w:space="0" w:color="000000"/>
              <w:left w:val="outset" w:sz="6" w:space="0" w:color="000000"/>
              <w:bottom w:val="outset" w:sz="6" w:space="0" w:color="000000"/>
              <w:right w:val="outset" w:sz="6" w:space="0" w:color="000000"/>
            </w:tcBorders>
          </w:tcPr>
          <w:p w:rsidR="00BC08F5" w:rsidRDefault="00BC08F5" w:rsidP="001764AF">
            <w:r>
              <w:t>Cita informācija</w:t>
            </w:r>
          </w:p>
        </w:tc>
        <w:tc>
          <w:tcPr>
            <w:tcW w:w="3777" w:type="pct"/>
            <w:tcBorders>
              <w:top w:val="outset" w:sz="6" w:space="0" w:color="000000"/>
              <w:left w:val="outset" w:sz="6" w:space="0" w:color="000000"/>
              <w:bottom w:val="outset" w:sz="6" w:space="0" w:color="000000"/>
              <w:right w:val="outset" w:sz="6" w:space="0" w:color="000000"/>
            </w:tcBorders>
          </w:tcPr>
          <w:p w:rsidR="007E54F6" w:rsidRPr="007E54F6" w:rsidRDefault="007E54F6" w:rsidP="007E54F6">
            <w:pPr>
              <w:jc w:val="both"/>
            </w:pPr>
            <w:r w:rsidRPr="007E54F6">
              <w:t>Nosakot piektās projektu iesniegumu atlases kārtas sarakstu,  tika izmantoti šādi kritēriji:</w:t>
            </w:r>
          </w:p>
          <w:p w:rsidR="007E54F6" w:rsidRPr="007E54F6" w:rsidRDefault="007E54F6" w:rsidP="007E54F6">
            <w:pPr>
              <w:numPr>
                <w:ilvl w:val="0"/>
                <w:numId w:val="1"/>
              </w:numPr>
              <w:ind w:left="0" w:firstLine="0"/>
              <w:jc w:val="both"/>
            </w:pPr>
            <w:r w:rsidRPr="007E54F6">
              <w:t xml:space="preserve">direktīvas prasības – projekta īstenošana jāveic teritorijās, kur </w:t>
            </w:r>
            <w:r w:rsidRPr="007E54F6">
              <w:lastRenderedPageBreak/>
              <w:t>aglomerācija ir ar cilvēku ekvivalentu (CE) no 10 000 līdz 100 000, jo saskaņā ar EK direktīvu 91/271/EEC tajās prasību ieviešanu termiņš ir 31.12.2011;</w:t>
            </w:r>
          </w:p>
          <w:p w:rsidR="007E54F6" w:rsidRPr="007E54F6" w:rsidRDefault="007E54F6" w:rsidP="007E54F6">
            <w:pPr>
              <w:pStyle w:val="ListParagraph"/>
              <w:numPr>
                <w:ilvl w:val="0"/>
                <w:numId w:val="1"/>
              </w:numPr>
              <w:spacing w:after="0" w:line="240" w:lineRule="auto"/>
              <w:ind w:left="0" w:firstLine="0"/>
              <w:contextualSpacing w:val="0"/>
              <w:jc w:val="both"/>
              <w:rPr>
                <w:szCs w:val="24"/>
              </w:rPr>
            </w:pPr>
            <w:r w:rsidRPr="007E54F6">
              <w:rPr>
                <w:szCs w:val="24"/>
              </w:rPr>
              <w:t xml:space="preserve">tā kā direktīvas prasības skar notekūdeņus, tiek atbalstītas komponentes atbilst šādām prioritātēm (prioritātes tika definētas darba grupas, kas izveidota ar Vides aizsardzības un reģionālās attīstības ministrijas 19.01.2011. rīkojumu Nr.33 „Par 4. projektu iesniegumu atlases kārtas organizēšanu 3.5.1.1.aktivitātes „Ūdenssaimniecības infrastruktūras attīstība </w:t>
            </w:r>
            <w:proofErr w:type="spellStart"/>
            <w:r w:rsidRPr="007E54F6">
              <w:rPr>
                <w:szCs w:val="24"/>
              </w:rPr>
              <w:t>aglomerācijās</w:t>
            </w:r>
            <w:proofErr w:type="spellEnd"/>
            <w:r w:rsidRPr="007E54F6">
              <w:rPr>
                <w:szCs w:val="24"/>
              </w:rPr>
              <w:t xml:space="preserve"> ar cilvēku ekvivalentu lielāku par 2000” ietvaros”, 20.01.2011. sēdes protokolā): </w:t>
            </w:r>
          </w:p>
          <w:p w:rsidR="007E54F6" w:rsidRPr="007E54F6" w:rsidRDefault="007E54F6" w:rsidP="007E54F6">
            <w:pPr>
              <w:pStyle w:val="ListParagraph"/>
              <w:spacing w:after="0" w:line="240" w:lineRule="auto"/>
              <w:ind w:left="0"/>
              <w:contextualSpacing w:val="0"/>
              <w:jc w:val="both"/>
              <w:rPr>
                <w:iCs/>
                <w:szCs w:val="24"/>
              </w:rPr>
            </w:pPr>
            <w:r w:rsidRPr="007E54F6">
              <w:rPr>
                <w:iCs/>
                <w:szCs w:val="24"/>
              </w:rPr>
              <w:t>1.prioritāte – Notekūdeņu attīrīšanas kvalitātes nodrošināšana atbilstoši normatīvu prasībām.</w:t>
            </w:r>
          </w:p>
          <w:p w:rsidR="007E54F6" w:rsidRPr="007E54F6" w:rsidRDefault="007E54F6" w:rsidP="007E54F6">
            <w:pPr>
              <w:pStyle w:val="ListParagraph"/>
              <w:spacing w:after="0" w:line="240" w:lineRule="auto"/>
              <w:ind w:left="0"/>
              <w:contextualSpacing w:val="0"/>
              <w:jc w:val="both"/>
              <w:rPr>
                <w:iCs/>
                <w:szCs w:val="24"/>
              </w:rPr>
            </w:pPr>
            <w:r w:rsidRPr="007E54F6">
              <w:rPr>
                <w:iCs/>
                <w:szCs w:val="24"/>
              </w:rPr>
              <w:t>2.prioritāte – Lokālu kanalizācijas sistēmu apvienošana, nodrošinot atbilstošu attīrīšanu sistēmās, kur pašlaik netiek nodrošināta atbilstoša attīrīšana.</w:t>
            </w:r>
          </w:p>
          <w:p w:rsidR="007E54F6" w:rsidRPr="007E54F6" w:rsidRDefault="007E54F6" w:rsidP="007E54F6">
            <w:pPr>
              <w:jc w:val="both"/>
              <w:rPr>
                <w:iCs/>
              </w:rPr>
            </w:pPr>
            <w:r w:rsidRPr="007E54F6">
              <w:rPr>
                <w:iCs/>
              </w:rPr>
              <w:t>3.prioritāte – Kanalizācijas tīklu paplašināšana un pakalpojuma pieejamības palielināšana (prioritātes ietvaros var tikt atbalstīta arī kompleksa infrastruktūras izbūve – attiecīgi ūdensapgādes tīklu izbūve teritorijās, kur tiek izbūvēti jauni kanalizācijas pieslēgumi);</w:t>
            </w:r>
          </w:p>
          <w:p w:rsidR="007E54F6" w:rsidRPr="007E54F6" w:rsidRDefault="007E54F6" w:rsidP="007E54F6">
            <w:pPr>
              <w:pStyle w:val="ListParagraph"/>
              <w:numPr>
                <w:ilvl w:val="0"/>
                <w:numId w:val="2"/>
              </w:numPr>
              <w:shd w:val="clear" w:color="auto" w:fill="FFFFFF"/>
              <w:spacing w:after="0" w:line="240" w:lineRule="auto"/>
              <w:ind w:left="0" w:firstLine="0"/>
              <w:contextualSpacing w:val="0"/>
              <w:jc w:val="both"/>
              <w:outlineLvl w:val="2"/>
              <w:rPr>
                <w:szCs w:val="24"/>
              </w:rPr>
            </w:pPr>
            <w:r>
              <w:rPr>
                <w:szCs w:val="24"/>
              </w:rPr>
              <w:t>a</w:t>
            </w:r>
            <w:r w:rsidRPr="007E54F6">
              <w:rPr>
                <w:szCs w:val="24"/>
              </w:rPr>
              <w:t>tbalsts pašvaldībām, kurās potenciālie projekti atbrīvotā finansējuma apgūšanai noteikti Ministru kabineta 04.10.2011. grozījumu Nr.770 „</w:t>
            </w:r>
            <w:r w:rsidRPr="007E54F6">
              <w:rPr>
                <w:rFonts w:eastAsia="Times New Roman"/>
                <w:bCs/>
                <w:szCs w:val="24"/>
                <w:lang w:eastAsia="lv-LV"/>
              </w:rPr>
              <w:t>Grozījumi Ministru kabineta 2007.gada 4.decembra noteikumos Nr.836 „</w:t>
            </w:r>
            <w:hyperlink r:id="rId7" w:tgtFrame="_blank" w:history="1">
              <w:r w:rsidRPr="007E54F6">
                <w:rPr>
                  <w:rFonts w:eastAsia="Times New Roman"/>
                  <w:bCs/>
                  <w:szCs w:val="24"/>
                  <w:lang w:eastAsia="lv-LV"/>
                </w:rPr>
                <w:t xml:space="preserve">Noteikumi par darbības programmas „Infrastruktūra un pakalpojumi” papildinājuma 3.5.1.1.aktivitāti „Ūdenssaimniecības infrastruktūras attīstība </w:t>
              </w:r>
              <w:proofErr w:type="spellStart"/>
              <w:r w:rsidRPr="007E54F6">
                <w:rPr>
                  <w:rFonts w:eastAsia="Times New Roman"/>
                  <w:bCs/>
                  <w:szCs w:val="24"/>
                  <w:lang w:eastAsia="lv-LV"/>
                </w:rPr>
                <w:t>aglomerācijās</w:t>
              </w:r>
              <w:proofErr w:type="spellEnd"/>
              <w:r w:rsidRPr="007E54F6">
                <w:rPr>
                  <w:rFonts w:eastAsia="Times New Roman"/>
                  <w:bCs/>
                  <w:szCs w:val="24"/>
                  <w:lang w:eastAsia="lv-LV"/>
                </w:rPr>
                <w:t xml:space="preserve"> ar cilvēku ekvivalentu, lielāku par 2000</w:t>
              </w:r>
            </w:hyperlink>
            <w:r w:rsidRPr="007E54F6">
              <w:rPr>
                <w:rFonts w:eastAsia="Times New Roman"/>
                <w:bCs/>
                <w:szCs w:val="24"/>
                <w:lang w:eastAsia="lv-LV"/>
              </w:rPr>
              <w:t>”””</w:t>
            </w:r>
            <w:r w:rsidRPr="007E54F6">
              <w:rPr>
                <w:szCs w:val="24"/>
              </w:rPr>
              <w:t xml:space="preserve"> anotācijā un 4.grupas izveides darba grupas protokolos – Jūrmala,</w:t>
            </w:r>
            <w:r>
              <w:rPr>
                <w:szCs w:val="24"/>
              </w:rPr>
              <w:t xml:space="preserve"> Saldus, Sigulda, Ventspils;</w:t>
            </w:r>
          </w:p>
          <w:p w:rsidR="007E54F6" w:rsidRPr="007E54F6" w:rsidRDefault="007E54F6" w:rsidP="007E54F6">
            <w:pPr>
              <w:pStyle w:val="ListParagraph"/>
              <w:numPr>
                <w:ilvl w:val="0"/>
                <w:numId w:val="2"/>
              </w:numPr>
              <w:shd w:val="clear" w:color="auto" w:fill="FFFFFF"/>
              <w:spacing w:after="0" w:line="240" w:lineRule="auto"/>
              <w:ind w:left="0" w:firstLine="0"/>
              <w:contextualSpacing w:val="0"/>
              <w:jc w:val="both"/>
              <w:outlineLvl w:val="2"/>
              <w:rPr>
                <w:szCs w:val="24"/>
              </w:rPr>
            </w:pPr>
            <w:r>
              <w:rPr>
                <w:szCs w:val="24"/>
              </w:rPr>
              <w:t>a</w:t>
            </w:r>
            <w:r w:rsidRPr="007E54F6">
              <w:rPr>
                <w:szCs w:val="24"/>
              </w:rPr>
              <w:t>tbalsts pašvaldībām, kuras pēc potenciālā projekta īstenošanas paredz, ka aglomerācijas kanalizācijas tīklu pieejamības līmenis sasniegs 100 %, (un pašvaldībām, kas pēc potenciālā projekta īstenošanas paredz, ka aglomerācijas kanalizācijas tīklu pieejamības līmenis sasniegs maksimāli tuvu 100 %);</w:t>
            </w:r>
          </w:p>
          <w:p w:rsidR="007E54F6" w:rsidRDefault="007E54F6" w:rsidP="007E54F6">
            <w:pPr>
              <w:pStyle w:val="ListParagraph"/>
              <w:numPr>
                <w:ilvl w:val="0"/>
                <w:numId w:val="2"/>
              </w:numPr>
              <w:shd w:val="clear" w:color="auto" w:fill="FFFFFF"/>
              <w:spacing w:after="0" w:line="240" w:lineRule="auto"/>
              <w:ind w:left="0" w:firstLine="0"/>
              <w:contextualSpacing w:val="0"/>
              <w:jc w:val="both"/>
              <w:outlineLvl w:val="2"/>
              <w:rPr>
                <w:szCs w:val="24"/>
              </w:rPr>
            </w:pPr>
            <w:r>
              <w:rPr>
                <w:szCs w:val="24"/>
              </w:rPr>
              <w:t>a</w:t>
            </w:r>
            <w:r w:rsidRPr="007E54F6">
              <w:rPr>
                <w:szCs w:val="24"/>
              </w:rPr>
              <w:t xml:space="preserve">tbalsts pašvaldībām, kurās pēc šobrīd aktuālajiem datiem tehniski ekonomiskajos pamatojumos tarifs % no mājsaimniecību ieņēmumiem nepārsniedz, </w:t>
            </w:r>
            <w:r>
              <w:rPr>
                <w:szCs w:val="24"/>
              </w:rPr>
              <w:t>nesasniedz 4 %;</w:t>
            </w:r>
          </w:p>
          <w:p w:rsidR="004A2402" w:rsidRPr="004A2402" w:rsidRDefault="007E54F6" w:rsidP="004A2402">
            <w:pPr>
              <w:pStyle w:val="ListParagraph"/>
              <w:numPr>
                <w:ilvl w:val="0"/>
                <w:numId w:val="2"/>
              </w:numPr>
              <w:shd w:val="clear" w:color="auto" w:fill="FFFFFF"/>
              <w:spacing w:after="0" w:line="240" w:lineRule="auto"/>
              <w:ind w:left="0" w:firstLine="0"/>
              <w:contextualSpacing w:val="0"/>
              <w:jc w:val="both"/>
              <w:outlineLvl w:val="2"/>
              <w:rPr>
                <w:szCs w:val="24"/>
              </w:rPr>
            </w:pPr>
            <w:r>
              <w:rPr>
                <w:szCs w:val="24"/>
              </w:rPr>
              <w:t>p</w:t>
            </w:r>
            <w:r w:rsidRPr="007E54F6">
              <w:rPr>
                <w:szCs w:val="24"/>
              </w:rPr>
              <w:t>ašvaldības/finansējuma saņēmēja sniegtā informācija liecina, ka projekta ieviešana ir iespējama līdz 01.06.2015., kas ir aktivitātes projektu īstenošanas maksimālais termiņš.</w:t>
            </w:r>
          </w:p>
        </w:tc>
      </w:tr>
    </w:tbl>
    <w:p w:rsidR="006E2B48" w:rsidRDefault="006E2B48" w:rsidP="006E2B48">
      <w:pPr>
        <w:ind w:firstLine="720"/>
        <w:jc w:val="both"/>
      </w:pPr>
      <w:r>
        <w:lastRenderedPageBreak/>
        <w:t xml:space="preserve">Anotācijas II. – </w:t>
      </w:r>
      <w:proofErr w:type="spellStart"/>
      <w:r>
        <w:t>IV.sadaļa</w:t>
      </w:r>
      <w:proofErr w:type="spellEnd"/>
      <w:r>
        <w:t xml:space="preserve"> – projekts šīs jomas neskar. </w:t>
      </w:r>
    </w:p>
    <w:tbl>
      <w:tblPr>
        <w:tblW w:w="497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1"/>
        <w:gridCol w:w="518"/>
        <w:gridCol w:w="1292"/>
        <w:gridCol w:w="613"/>
        <w:gridCol w:w="1741"/>
        <w:gridCol w:w="2088"/>
        <w:gridCol w:w="2822"/>
      </w:tblGrid>
      <w:tr w:rsidR="006E2B48" w:rsidTr="000A05A1">
        <w:trPr>
          <w:tblCellSpacing w:w="15" w:type="dxa"/>
        </w:trPr>
        <w:tc>
          <w:tcPr>
            <w:tcW w:w="0" w:type="auto"/>
            <w:gridSpan w:val="7"/>
            <w:tcBorders>
              <w:top w:val="single" w:sz="6" w:space="0" w:color="auto"/>
              <w:left w:val="single" w:sz="6" w:space="0" w:color="auto"/>
              <w:bottom w:val="outset" w:sz="6" w:space="0" w:color="000000"/>
              <w:right w:val="single" w:sz="6" w:space="0" w:color="auto"/>
            </w:tcBorders>
            <w:vAlign w:val="center"/>
          </w:tcPr>
          <w:p w:rsidR="006E2B48" w:rsidRDefault="00BC08F5" w:rsidP="000A05A1">
            <w:pPr>
              <w:jc w:val="center"/>
              <w:rPr>
                <w:b/>
                <w:bCs/>
              </w:rPr>
            </w:pPr>
            <w:r>
              <w:t> </w:t>
            </w:r>
            <w:r w:rsidR="006E2B48">
              <w:rPr>
                <w:b/>
                <w:bCs/>
              </w:rPr>
              <w:t xml:space="preserve">V. </w:t>
            </w:r>
            <w:r w:rsidR="006E2B48" w:rsidRPr="00E2725B">
              <w:rPr>
                <w:b/>
                <w:bCs/>
              </w:rPr>
              <w:t>Tiesību akta projekta atbilstība Latvijas Republikas starptautiskajām saistībām</w:t>
            </w:r>
          </w:p>
        </w:tc>
      </w:tr>
      <w:tr w:rsidR="006E2B48" w:rsidRPr="00082642" w:rsidTr="000919CC">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tcPr>
          <w:p w:rsidR="006E2B48" w:rsidRDefault="006E2B48" w:rsidP="000A05A1">
            <w:r>
              <w:t>1.</w:t>
            </w:r>
          </w:p>
        </w:tc>
        <w:tc>
          <w:tcPr>
            <w:tcW w:w="1029" w:type="pct"/>
            <w:gridSpan w:val="2"/>
            <w:tcBorders>
              <w:top w:val="outset" w:sz="6" w:space="0" w:color="000000"/>
              <w:left w:val="outset" w:sz="6" w:space="0" w:color="000000"/>
              <w:bottom w:val="outset" w:sz="6" w:space="0" w:color="000000"/>
              <w:right w:val="outset" w:sz="6" w:space="0" w:color="000000"/>
            </w:tcBorders>
          </w:tcPr>
          <w:p w:rsidR="006E2B48" w:rsidRPr="00E2725B" w:rsidRDefault="006E2B48" w:rsidP="000A05A1">
            <w:r w:rsidRPr="00E2725B">
              <w:t>Saistības pret Eiropas Savienību</w:t>
            </w:r>
          </w:p>
        </w:tc>
        <w:tc>
          <w:tcPr>
            <w:tcW w:w="3631" w:type="pct"/>
            <w:gridSpan w:val="3"/>
            <w:tcBorders>
              <w:top w:val="outset" w:sz="6" w:space="0" w:color="000000"/>
              <w:left w:val="outset" w:sz="6" w:space="0" w:color="000000"/>
              <w:bottom w:val="outset" w:sz="6" w:space="0" w:color="000000"/>
              <w:right w:val="outset" w:sz="6" w:space="0" w:color="000000"/>
            </w:tcBorders>
          </w:tcPr>
          <w:p w:rsidR="006E2B48" w:rsidRPr="00082642" w:rsidRDefault="006E2B48" w:rsidP="00EC5094">
            <w:pPr>
              <w:autoSpaceDE w:val="0"/>
              <w:autoSpaceDN w:val="0"/>
              <w:adjustRightInd w:val="0"/>
              <w:jc w:val="both"/>
              <w:rPr>
                <w:bCs/>
              </w:rPr>
            </w:pPr>
            <w:r w:rsidRPr="00FF56AC">
              <w:t xml:space="preserve">Noteikumu projekts paredz </w:t>
            </w:r>
            <w:r>
              <w:t xml:space="preserve">piemērot sabiedrisko pakalpojumu sniedzējiem ūdenssaimniecības jomā piešķirtajiem atlīdzības maksājumiem-ieguldījumiem infrastruktūrā nosacījumus atbilstoši Eiropas Komisijas 2011.gada 20.decembra lēmumam par Līguma par Eiropas Savienības darbību 106.panta 2.punkta piemērošanu valsts atbalstam attiecībā uz kompensāciju par sabiedriskajiem pakalpojumiem dažiem uzņēmumiem, kuriem uzticēts sniegt </w:t>
            </w:r>
            <w:r>
              <w:lastRenderedPageBreak/>
              <w:t>pakalpojumus ar vispārēju tautsaimniecisku nozīmi (2012/21/</w:t>
            </w:r>
            <w:r w:rsidR="00EC5094">
              <w:t>ES</w:t>
            </w:r>
            <w:r>
              <w:t>).</w:t>
            </w:r>
          </w:p>
        </w:tc>
      </w:tr>
      <w:tr w:rsidR="006E2B48" w:rsidRPr="00926BAF" w:rsidTr="000919CC">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tcPr>
          <w:p w:rsidR="006E2B48" w:rsidRDefault="006E2B48" w:rsidP="000A05A1">
            <w:r>
              <w:lastRenderedPageBreak/>
              <w:t>2.</w:t>
            </w:r>
          </w:p>
        </w:tc>
        <w:tc>
          <w:tcPr>
            <w:tcW w:w="1029" w:type="pct"/>
            <w:gridSpan w:val="2"/>
            <w:tcBorders>
              <w:top w:val="outset" w:sz="6" w:space="0" w:color="000000"/>
              <w:left w:val="outset" w:sz="6" w:space="0" w:color="000000"/>
              <w:bottom w:val="outset" w:sz="6" w:space="0" w:color="000000"/>
              <w:right w:val="outset" w:sz="6" w:space="0" w:color="000000"/>
            </w:tcBorders>
          </w:tcPr>
          <w:p w:rsidR="006E2B48" w:rsidRPr="00E2725B" w:rsidRDefault="006E2B48" w:rsidP="000A05A1">
            <w:r w:rsidRPr="00E2725B">
              <w:t>Citas starptautiskās saistības</w:t>
            </w:r>
          </w:p>
        </w:tc>
        <w:tc>
          <w:tcPr>
            <w:tcW w:w="3631" w:type="pct"/>
            <w:gridSpan w:val="3"/>
            <w:tcBorders>
              <w:top w:val="outset" w:sz="6" w:space="0" w:color="000000"/>
              <w:left w:val="outset" w:sz="6" w:space="0" w:color="000000"/>
              <w:bottom w:val="outset" w:sz="6" w:space="0" w:color="000000"/>
              <w:right w:val="outset" w:sz="6" w:space="0" w:color="000000"/>
            </w:tcBorders>
          </w:tcPr>
          <w:p w:rsidR="006E2B48" w:rsidRPr="006E2DD9" w:rsidRDefault="006E2B48" w:rsidP="000A05A1">
            <w:pPr>
              <w:pStyle w:val="naisf"/>
              <w:spacing w:before="0" w:beforeAutospacing="0" w:after="0" w:afterAutospacing="0"/>
              <w:rPr>
                <w:highlight w:val="yellow"/>
                <w:lang w:val="lv-LV"/>
              </w:rPr>
            </w:pPr>
            <w:r w:rsidRPr="006E2DD9">
              <w:rPr>
                <w:lang w:val="lv-LV"/>
              </w:rPr>
              <w:t>Nav attiecināms</w:t>
            </w:r>
          </w:p>
        </w:tc>
      </w:tr>
      <w:tr w:rsidR="006E2B48" w:rsidTr="000919CC">
        <w:trPr>
          <w:tblCellSpacing w:w="15" w:type="dxa"/>
        </w:trPr>
        <w:tc>
          <w:tcPr>
            <w:tcW w:w="275" w:type="pct"/>
            <w:gridSpan w:val="2"/>
            <w:tcBorders>
              <w:top w:val="outset" w:sz="6" w:space="0" w:color="000000"/>
              <w:left w:val="outset" w:sz="6" w:space="0" w:color="000000"/>
              <w:bottom w:val="outset" w:sz="6" w:space="0" w:color="000000"/>
              <w:right w:val="outset" w:sz="6" w:space="0" w:color="000000"/>
            </w:tcBorders>
          </w:tcPr>
          <w:p w:rsidR="006E2B48" w:rsidRDefault="006E2B48" w:rsidP="000A05A1">
            <w:r>
              <w:t>3.</w:t>
            </w:r>
          </w:p>
        </w:tc>
        <w:tc>
          <w:tcPr>
            <w:tcW w:w="1029" w:type="pct"/>
            <w:gridSpan w:val="2"/>
            <w:tcBorders>
              <w:top w:val="outset" w:sz="6" w:space="0" w:color="000000"/>
              <w:left w:val="outset" w:sz="6" w:space="0" w:color="000000"/>
              <w:bottom w:val="outset" w:sz="6" w:space="0" w:color="000000"/>
              <w:right w:val="outset" w:sz="6" w:space="0" w:color="000000"/>
            </w:tcBorders>
          </w:tcPr>
          <w:p w:rsidR="006E2B48" w:rsidRPr="00E2725B" w:rsidRDefault="006E2B48" w:rsidP="000A05A1">
            <w:r w:rsidRPr="00E2725B">
              <w:t>Cita informācija</w:t>
            </w:r>
          </w:p>
        </w:tc>
        <w:tc>
          <w:tcPr>
            <w:tcW w:w="3631" w:type="pct"/>
            <w:gridSpan w:val="3"/>
            <w:tcBorders>
              <w:top w:val="outset" w:sz="6" w:space="0" w:color="000000"/>
              <w:left w:val="outset" w:sz="6" w:space="0" w:color="000000"/>
              <w:bottom w:val="outset" w:sz="6" w:space="0" w:color="auto"/>
              <w:right w:val="outset" w:sz="6" w:space="0" w:color="000000"/>
            </w:tcBorders>
          </w:tcPr>
          <w:p w:rsidR="006E2B48" w:rsidRDefault="006E2B48" w:rsidP="000A05A1">
            <w:r>
              <w:t>Nav attiecināms</w:t>
            </w:r>
          </w:p>
        </w:tc>
      </w:tr>
      <w:tr w:rsidR="006E2B48" w:rsidTr="000919CC">
        <w:tblPrEx>
          <w:tblCellSpacing w:w="0" w:type="nil"/>
          <w:tblBorders>
            <w:top w:val="outset" w:sz="6" w:space="0" w:color="auto"/>
            <w:left w:val="outset" w:sz="6" w:space="0" w:color="auto"/>
            <w:bottom w:val="outset" w:sz="6" w:space="0" w:color="auto"/>
            <w:right w:val="outset" w:sz="6" w:space="0" w:color="auto"/>
          </w:tblBorders>
          <w:tblLook w:val="04A0"/>
        </w:tblPrEx>
        <w:trPr>
          <w:gridBefore w:val="1"/>
          <w:wBefore w:w="3" w:type="pct"/>
          <w:trHeight w:val="510"/>
        </w:trPr>
        <w:tc>
          <w:tcPr>
            <w:tcW w:w="4947" w:type="pct"/>
            <w:gridSpan w:val="6"/>
            <w:tcBorders>
              <w:top w:val="double" w:sz="6" w:space="0" w:color="auto"/>
              <w:left w:val="double" w:sz="6" w:space="0" w:color="auto"/>
              <w:bottom w:val="double" w:sz="6" w:space="0" w:color="auto"/>
              <w:right w:val="double" w:sz="6" w:space="0" w:color="auto"/>
            </w:tcBorders>
            <w:vAlign w:val="center"/>
            <w:hideMark/>
          </w:tcPr>
          <w:p w:rsidR="006E2B48" w:rsidRDefault="006E2B48" w:rsidP="000A05A1">
            <w:pPr>
              <w:jc w:val="center"/>
            </w:pPr>
            <w:r>
              <w:rPr>
                <w:b/>
                <w:bCs/>
              </w:rPr>
              <w:t>1.tabula</w:t>
            </w:r>
            <w:r>
              <w:rPr>
                <w:b/>
                <w:bCs/>
              </w:rPr>
              <w:br/>
              <w:t>Tiesību akta projekta atbilstība ES tiesību aktiem</w:t>
            </w:r>
          </w:p>
        </w:tc>
      </w:tr>
      <w:tr w:rsidR="006E2B48" w:rsidRPr="000B5669" w:rsidTr="000919CC">
        <w:tblPrEx>
          <w:tblCellSpacing w:w="0" w:type="nil"/>
          <w:tblBorders>
            <w:top w:val="outset" w:sz="6" w:space="0" w:color="auto"/>
            <w:left w:val="outset" w:sz="6" w:space="0" w:color="auto"/>
            <w:bottom w:val="outset" w:sz="6" w:space="0" w:color="auto"/>
            <w:right w:val="outset" w:sz="6" w:space="0" w:color="auto"/>
          </w:tblBorders>
          <w:tblLook w:val="04A0"/>
        </w:tblPrEx>
        <w:trPr>
          <w:gridBefore w:val="1"/>
          <w:wBefore w:w="3" w:type="pct"/>
        </w:trPr>
        <w:tc>
          <w:tcPr>
            <w:tcW w:w="976" w:type="pct"/>
            <w:gridSpan w:val="2"/>
            <w:tcBorders>
              <w:top w:val="double" w:sz="6" w:space="0" w:color="auto"/>
              <w:left w:val="double" w:sz="6" w:space="0" w:color="auto"/>
              <w:bottom w:val="double" w:sz="6" w:space="0" w:color="auto"/>
              <w:right w:val="double" w:sz="6" w:space="0" w:color="auto"/>
            </w:tcBorders>
            <w:hideMark/>
          </w:tcPr>
          <w:p w:rsidR="006E2B48" w:rsidRDefault="006E2B48" w:rsidP="000A05A1">
            <w:r>
              <w:t>Attiecīgā ES tiesību akta datums, numurs un nosaukums</w:t>
            </w:r>
          </w:p>
        </w:tc>
        <w:tc>
          <w:tcPr>
            <w:tcW w:w="3955" w:type="pct"/>
            <w:gridSpan w:val="4"/>
            <w:tcBorders>
              <w:top w:val="double" w:sz="6" w:space="0" w:color="auto"/>
              <w:left w:val="double" w:sz="6" w:space="0" w:color="auto"/>
              <w:bottom w:val="double" w:sz="6" w:space="0" w:color="auto"/>
              <w:right w:val="double" w:sz="6" w:space="0" w:color="auto"/>
            </w:tcBorders>
            <w:hideMark/>
          </w:tcPr>
          <w:p w:rsidR="006E2B48" w:rsidRPr="000B5669" w:rsidRDefault="006E2B48" w:rsidP="00EC5094">
            <w:pPr>
              <w:jc w:val="both"/>
            </w:pPr>
            <w: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(publicēts Oficiālajā Vēstnesī L 7, 11.01.2012, 3.-10.lpp.)</w:t>
            </w:r>
          </w:p>
        </w:tc>
      </w:tr>
      <w:tr w:rsidR="006E2B48" w:rsidTr="000919CC">
        <w:tblPrEx>
          <w:tblCellSpacing w:w="0" w:type="nil"/>
          <w:tblBorders>
            <w:top w:val="outset" w:sz="6" w:space="0" w:color="auto"/>
            <w:left w:val="outset" w:sz="6" w:space="0" w:color="auto"/>
            <w:bottom w:val="outset" w:sz="6" w:space="0" w:color="auto"/>
            <w:right w:val="outset" w:sz="6" w:space="0" w:color="auto"/>
          </w:tblBorders>
          <w:tblLook w:val="04A0"/>
        </w:tblPrEx>
        <w:trPr>
          <w:gridBefore w:val="1"/>
          <w:wBefore w:w="3" w:type="pct"/>
        </w:trPr>
        <w:tc>
          <w:tcPr>
            <w:tcW w:w="976" w:type="pct"/>
            <w:gridSpan w:val="2"/>
            <w:tcBorders>
              <w:top w:val="double" w:sz="6" w:space="0" w:color="auto"/>
              <w:left w:val="double" w:sz="6" w:space="0" w:color="auto"/>
              <w:bottom w:val="double" w:sz="6" w:space="0" w:color="auto"/>
              <w:right w:val="double" w:sz="6" w:space="0" w:color="auto"/>
            </w:tcBorders>
            <w:vAlign w:val="center"/>
            <w:hideMark/>
          </w:tcPr>
          <w:p w:rsidR="006E2B48" w:rsidRDefault="006E2B48" w:rsidP="000A05A1">
            <w:pPr>
              <w:jc w:val="center"/>
            </w:pPr>
            <w:r>
              <w:t>A</w:t>
            </w:r>
          </w:p>
        </w:tc>
        <w:tc>
          <w:tcPr>
            <w:tcW w:w="1278" w:type="pct"/>
            <w:gridSpan w:val="2"/>
            <w:tcBorders>
              <w:top w:val="double" w:sz="6" w:space="0" w:color="auto"/>
              <w:left w:val="double" w:sz="6" w:space="0" w:color="auto"/>
              <w:bottom w:val="double" w:sz="6" w:space="0" w:color="auto"/>
              <w:right w:val="double" w:sz="6" w:space="0" w:color="auto"/>
            </w:tcBorders>
            <w:vAlign w:val="center"/>
            <w:hideMark/>
          </w:tcPr>
          <w:p w:rsidR="006E2B48" w:rsidRDefault="006E2B48" w:rsidP="000A05A1">
            <w:pPr>
              <w:jc w:val="center"/>
            </w:pPr>
            <w:r>
              <w:t>B</w:t>
            </w:r>
          </w:p>
        </w:tc>
        <w:tc>
          <w:tcPr>
            <w:tcW w:w="1146" w:type="pct"/>
            <w:tcBorders>
              <w:top w:val="double" w:sz="6" w:space="0" w:color="auto"/>
              <w:left w:val="double" w:sz="6" w:space="0" w:color="auto"/>
              <w:bottom w:val="double" w:sz="6" w:space="0" w:color="auto"/>
              <w:right w:val="double" w:sz="6" w:space="0" w:color="auto"/>
            </w:tcBorders>
            <w:vAlign w:val="center"/>
            <w:hideMark/>
          </w:tcPr>
          <w:p w:rsidR="006E2B48" w:rsidRDefault="006E2B48" w:rsidP="000A05A1">
            <w:pPr>
              <w:jc w:val="center"/>
            </w:pPr>
            <w:r>
              <w:t>C</w:t>
            </w:r>
          </w:p>
        </w:tc>
        <w:tc>
          <w:tcPr>
            <w:tcW w:w="1498" w:type="pct"/>
            <w:tcBorders>
              <w:top w:val="double" w:sz="6" w:space="0" w:color="auto"/>
              <w:left w:val="double" w:sz="6" w:space="0" w:color="auto"/>
              <w:bottom w:val="double" w:sz="6" w:space="0" w:color="auto"/>
              <w:right w:val="double" w:sz="6" w:space="0" w:color="auto"/>
            </w:tcBorders>
            <w:vAlign w:val="center"/>
            <w:hideMark/>
          </w:tcPr>
          <w:p w:rsidR="006E2B48" w:rsidRDefault="006E2B48" w:rsidP="000A05A1">
            <w:pPr>
              <w:jc w:val="center"/>
            </w:pPr>
            <w:r>
              <w:t>D</w:t>
            </w:r>
          </w:p>
        </w:tc>
      </w:tr>
      <w:tr w:rsidR="006E2B48" w:rsidTr="000919CC">
        <w:tblPrEx>
          <w:tblCellSpacing w:w="0" w:type="nil"/>
          <w:tblBorders>
            <w:top w:val="outset" w:sz="6" w:space="0" w:color="auto"/>
            <w:left w:val="outset" w:sz="6" w:space="0" w:color="auto"/>
            <w:bottom w:val="outset" w:sz="6" w:space="0" w:color="auto"/>
            <w:right w:val="outset" w:sz="6" w:space="0" w:color="auto"/>
          </w:tblBorders>
          <w:tblLook w:val="04A0"/>
        </w:tblPrEx>
        <w:trPr>
          <w:gridBefore w:val="1"/>
          <w:wBefore w:w="3" w:type="pct"/>
        </w:trPr>
        <w:tc>
          <w:tcPr>
            <w:tcW w:w="976" w:type="pct"/>
            <w:gridSpan w:val="2"/>
            <w:tcBorders>
              <w:top w:val="double" w:sz="6" w:space="0" w:color="auto"/>
              <w:left w:val="double" w:sz="6" w:space="0" w:color="auto"/>
              <w:bottom w:val="double" w:sz="6" w:space="0" w:color="auto"/>
              <w:right w:val="double" w:sz="6" w:space="0" w:color="auto"/>
            </w:tcBorders>
          </w:tcPr>
          <w:p w:rsidR="006E2B48" w:rsidRDefault="006E2B48" w:rsidP="000A05A1">
            <w: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xml:space="preserve">) 2.panta 1.punkta a)apakšpunkts </w:t>
            </w:r>
          </w:p>
          <w:p w:rsidR="00DD7C22" w:rsidRDefault="006E2B48" w:rsidP="000A05A1">
            <w:r>
              <w:t xml:space="preserve">        </w:t>
            </w:r>
          </w:p>
          <w:p w:rsidR="006E2B48" w:rsidRDefault="006E2B48" w:rsidP="000A05A1">
            <w:r>
              <w:t xml:space="preserve">Eiropas Komisijas 2011.gada 20.decembra </w:t>
            </w:r>
            <w:r>
              <w:lastRenderedPageBreak/>
              <w:t>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xml:space="preserve">)                 </w:t>
            </w:r>
          </w:p>
          <w:p w:rsidR="006E2B48" w:rsidRDefault="006E2B48" w:rsidP="000A05A1">
            <w:r>
              <w:t>2.panta 2.punkts</w:t>
            </w:r>
          </w:p>
          <w:p w:rsidR="00684A87" w:rsidRDefault="00684A87" w:rsidP="000A05A1"/>
          <w:p w:rsidR="00684A87" w:rsidRDefault="00684A87" w:rsidP="00684A87">
            <w: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xml:space="preserve">)          </w:t>
            </w:r>
          </w:p>
          <w:p w:rsidR="00684A87" w:rsidRDefault="00684A87" w:rsidP="00684A87">
            <w:r>
              <w:t xml:space="preserve">4.panta </w:t>
            </w:r>
            <w:r>
              <w:lastRenderedPageBreak/>
              <w:t>a)apakšpunkts</w:t>
            </w:r>
          </w:p>
          <w:p w:rsidR="00684A87" w:rsidRDefault="00684A87" w:rsidP="00684A87"/>
          <w:p w:rsidR="00684A87" w:rsidRDefault="00684A87" w:rsidP="00684A87">
            <w: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xml:space="preserve">)  </w:t>
            </w:r>
          </w:p>
          <w:p w:rsidR="00684A87" w:rsidRDefault="00684A87" w:rsidP="00684A87">
            <w:r>
              <w:t xml:space="preserve">4.panta b) apakšpunkts </w:t>
            </w:r>
          </w:p>
          <w:p w:rsidR="00684A87" w:rsidRDefault="00684A87" w:rsidP="00684A87"/>
          <w:p w:rsidR="00684A87" w:rsidRDefault="00684A87" w:rsidP="00684A87">
            <w:r>
              <w:t xml:space="preserve">Eiropas Komisijas 2011.gada 20.decembra lēmums par Līguma par Eiropas Savienības darbību 106.panta 2.punkta piemērošanu valsts atbalstam attiecībā uz kompensāciju par sabiedriskajiem pakalpojumiem dažiem uzņēmumiem, kuriem uzticēts </w:t>
            </w:r>
            <w:r>
              <w:lastRenderedPageBreak/>
              <w:t>sniegt pakalpojumus ar vispārēju tautsaimniecisku nozīmi (2012/21/</w:t>
            </w:r>
            <w:r w:rsidR="00EC5094">
              <w:t>ES</w:t>
            </w:r>
            <w:r>
              <w:t xml:space="preserve">)  </w:t>
            </w:r>
          </w:p>
          <w:p w:rsidR="00684A87" w:rsidRDefault="00684A87" w:rsidP="00684A87">
            <w:r>
              <w:t xml:space="preserve">4.panta c)apakšpunkts       </w:t>
            </w:r>
          </w:p>
          <w:p w:rsidR="00684A87" w:rsidRDefault="00684A87" w:rsidP="00684A87"/>
          <w:p w:rsidR="00684A87" w:rsidRDefault="00684A87" w:rsidP="00684A87">
            <w: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xml:space="preserve">)  </w:t>
            </w:r>
          </w:p>
          <w:p w:rsidR="00684A87" w:rsidRDefault="00684A87" w:rsidP="00684A87">
            <w:r>
              <w:t>4.panta d)apakšpunkts</w:t>
            </w:r>
          </w:p>
          <w:p w:rsidR="00684A87" w:rsidRDefault="00684A87" w:rsidP="00684A87"/>
          <w:p w:rsidR="00684A87" w:rsidRDefault="00684A87" w:rsidP="00684A87">
            <w:r>
              <w:t xml:space="preserve">Eiropas Komisijas 2011.gada 20.decembra lēmums par Līguma par Eiropas Savienības darbību 106.panta 2.punkta piemērošanu valsts atbalstam </w:t>
            </w:r>
            <w:r>
              <w:lastRenderedPageBreak/>
              <w:t>attiecībā uz kompensāciju par sabiedriskajiem pakalpojumiem dažiem uzņēmumiem, kuriem uzticēts sniegt pakalpojumus ar vispārēju tautsaimniecisku nozīmi (2012/21/</w:t>
            </w:r>
            <w:r w:rsidR="00EC5094">
              <w:t>ES</w:t>
            </w:r>
            <w:r>
              <w:t xml:space="preserve">)  </w:t>
            </w:r>
          </w:p>
          <w:p w:rsidR="00684A87" w:rsidRDefault="00684A87" w:rsidP="00684A87">
            <w:r>
              <w:t>4.panta e)apakšpunkts</w:t>
            </w:r>
          </w:p>
          <w:p w:rsidR="00684A87" w:rsidRDefault="00684A87" w:rsidP="00684A87">
            <w:pPr>
              <w:rPr>
                <w:highlight w:val="yellow"/>
              </w:rPr>
            </w:pPr>
          </w:p>
          <w:p w:rsidR="00684A87" w:rsidRDefault="00684A87" w:rsidP="00684A87">
            <w: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(2012/21/</w:t>
            </w:r>
            <w:r w:rsidR="00EC5094">
              <w:t>ES</w:t>
            </w:r>
            <w:r>
              <w:t xml:space="preserve">)  </w:t>
            </w:r>
          </w:p>
          <w:p w:rsidR="00684A87" w:rsidRPr="000A05A1" w:rsidRDefault="00684A87" w:rsidP="00684A87">
            <w:r>
              <w:t>4.panta f)apakšpunkts</w:t>
            </w:r>
          </w:p>
        </w:tc>
        <w:tc>
          <w:tcPr>
            <w:tcW w:w="1278" w:type="pct"/>
            <w:gridSpan w:val="2"/>
            <w:tcBorders>
              <w:top w:val="double" w:sz="6" w:space="0" w:color="auto"/>
              <w:left w:val="double" w:sz="6" w:space="0" w:color="auto"/>
              <w:bottom w:val="double" w:sz="6" w:space="0" w:color="auto"/>
              <w:right w:val="double" w:sz="6" w:space="0" w:color="auto"/>
            </w:tcBorders>
          </w:tcPr>
          <w:p w:rsidR="006E2B48" w:rsidRDefault="006E2B48" w:rsidP="000A05A1">
            <w:r w:rsidRPr="00146417">
              <w:lastRenderedPageBreak/>
              <w:t>Minist</w:t>
            </w:r>
            <w:r w:rsidR="000A05A1">
              <w:t>ru kabineta noteikumu projekta „</w:t>
            </w:r>
            <w:r w:rsidRPr="00DE2689">
              <w:t xml:space="preserve">Grozījumi Ministru kabineta </w:t>
            </w:r>
            <w:r w:rsidR="000A05A1">
              <w:t>2007</w:t>
            </w:r>
            <w:r w:rsidRPr="00DE2689">
              <w:t xml:space="preserve">.gada </w:t>
            </w:r>
            <w:r w:rsidR="000A05A1">
              <w:t>4</w:t>
            </w:r>
            <w:r w:rsidRPr="00DE2689">
              <w:t>.</w:t>
            </w:r>
            <w:r w:rsidR="000A05A1">
              <w:t>decembra</w:t>
            </w:r>
            <w:r w:rsidRPr="00DE2689">
              <w:t xml:space="preserve"> noteikumos Nr.</w:t>
            </w:r>
            <w:r w:rsidR="000A05A1">
              <w:t>836 „</w:t>
            </w:r>
            <w:r w:rsidRPr="00DE2689">
              <w:t>Not</w:t>
            </w:r>
            <w:r w:rsidR="000A05A1">
              <w:t>eikumi par darbības programmas „</w:t>
            </w:r>
            <w:r w:rsidRPr="00DE2689">
              <w:t>Infrastruktūra un pakalpojumi” papildinājuma</w:t>
            </w:r>
            <w:r>
              <w:t xml:space="preserve"> 3.</w:t>
            </w:r>
            <w:r w:rsidR="000A05A1">
              <w:t>5.1.1.aktivitāti „</w:t>
            </w:r>
            <w:r w:rsidRPr="00DE2689">
              <w:t xml:space="preserve">Ūdenssaimniecības infrastruktūras attīstība </w:t>
            </w:r>
            <w:proofErr w:type="spellStart"/>
            <w:r w:rsidR="000A05A1">
              <w:t>aglomerācijās</w:t>
            </w:r>
            <w:proofErr w:type="spellEnd"/>
            <w:r w:rsidR="000A05A1">
              <w:t xml:space="preserve"> ar cilvēku ekvivalentu, lielāku par 2000</w:t>
            </w:r>
            <w:r w:rsidRPr="00DE2689">
              <w:t>””</w:t>
            </w:r>
            <w:r w:rsidR="000A05A1">
              <w:t xml:space="preserve"> 31.punkts, 32.punkts (4.pielikuma 16.</w:t>
            </w:r>
            <w:r w:rsidR="000A05A1" w:rsidRPr="000A05A1">
              <w:rPr>
                <w:vertAlign w:val="superscript"/>
              </w:rPr>
              <w:t>1</w:t>
            </w:r>
            <w:r w:rsidR="000A05A1">
              <w:t xml:space="preserve"> </w:t>
            </w:r>
            <w:r w:rsidR="00684A87">
              <w:t>punkts</w:t>
            </w:r>
            <w:r w:rsidR="000A05A1">
              <w:t>)</w:t>
            </w:r>
          </w:p>
          <w:p w:rsidR="006E2B48" w:rsidRDefault="006E2B48" w:rsidP="000A05A1"/>
          <w:p w:rsidR="00E3414A" w:rsidRDefault="00E3414A" w:rsidP="000A05A1"/>
          <w:p w:rsidR="00E3414A" w:rsidRDefault="00E3414A" w:rsidP="000A05A1"/>
          <w:p w:rsidR="00E3414A" w:rsidRDefault="00E3414A" w:rsidP="000A05A1"/>
          <w:p w:rsidR="00E3414A" w:rsidRDefault="00E3414A" w:rsidP="000A05A1"/>
          <w:p w:rsidR="00E3414A" w:rsidRDefault="00E3414A" w:rsidP="000A05A1"/>
          <w:p w:rsidR="00E3414A" w:rsidRDefault="00E3414A" w:rsidP="000A05A1"/>
          <w:p w:rsidR="00E3414A" w:rsidRDefault="00E3414A" w:rsidP="000A05A1"/>
          <w:p w:rsidR="00E3414A" w:rsidRDefault="00E3414A" w:rsidP="000A05A1"/>
          <w:p w:rsidR="006E2B48" w:rsidRDefault="00684A87" w:rsidP="000A05A1">
            <w:r w:rsidRPr="00146417">
              <w:t>Minist</w:t>
            </w:r>
            <w:r>
              <w:t>ru kabineta noteikumu projekta „</w:t>
            </w:r>
            <w:r w:rsidRPr="00DE2689">
              <w:t xml:space="preserve">Grozījumi Ministru kabineta </w:t>
            </w:r>
            <w:r>
              <w:t>2007</w:t>
            </w:r>
            <w:r w:rsidRPr="00DE2689">
              <w:t xml:space="preserve">.gada </w:t>
            </w:r>
            <w:r>
              <w:lastRenderedPageBreak/>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infrastruktūras attīstība </w:t>
            </w:r>
            <w:proofErr w:type="spellStart"/>
            <w:r>
              <w:t>aglomerācijās</w:t>
            </w:r>
            <w:proofErr w:type="spellEnd"/>
            <w:r>
              <w:t xml:space="preserve"> ar cilvēku ekvivalentu, lielāku par 2000</w:t>
            </w:r>
            <w:r w:rsidRPr="00DE2689">
              <w:t>””</w:t>
            </w:r>
            <w:r>
              <w:t xml:space="preserve"> 3.punkts,</w:t>
            </w:r>
          </w:p>
          <w:p w:rsidR="006E2B48" w:rsidRPr="000E768E" w:rsidRDefault="00684A87" w:rsidP="000A05A1">
            <w:r>
              <w:t>32.punkts (</w:t>
            </w:r>
            <w:r w:rsidR="006E2B48" w:rsidRPr="000E768E">
              <w:t xml:space="preserve">4.pielikuma </w:t>
            </w:r>
            <w:r>
              <w:t>10.3</w:t>
            </w:r>
            <w:r w:rsidR="006E2B48">
              <w:t xml:space="preserve">.apakšpunkts, </w:t>
            </w:r>
            <w:r>
              <w:t>11</w:t>
            </w:r>
            <w:r w:rsidR="006E2B48">
              <w:t xml:space="preserve">.punkta ievaddaļa, </w:t>
            </w:r>
            <w:r>
              <w:t>12.5</w:t>
            </w:r>
            <w:r w:rsidR="006E2B48">
              <w:t>.</w:t>
            </w:r>
            <w:r>
              <w:t>apakšpunkts)</w:t>
            </w:r>
          </w:p>
          <w:p w:rsidR="006E2B48" w:rsidRDefault="006E2B48" w:rsidP="000A05A1">
            <w:pPr>
              <w:rPr>
                <w:highlight w:val="yellow"/>
              </w:rPr>
            </w:pPr>
          </w:p>
          <w:p w:rsidR="006E2B48" w:rsidRDefault="006E2B48" w:rsidP="000A05A1">
            <w:pPr>
              <w:rPr>
                <w:highlight w:val="yellow"/>
              </w:rPr>
            </w:pPr>
          </w:p>
          <w:p w:rsidR="006E2B48" w:rsidRDefault="006E2B48" w:rsidP="000A05A1">
            <w:pPr>
              <w:rPr>
                <w:highlight w:val="yellow"/>
              </w:rPr>
            </w:pPr>
          </w:p>
          <w:p w:rsidR="006E2B48" w:rsidRDefault="006E2B48" w:rsidP="000A05A1">
            <w:pPr>
              <w:rPr>
                <w:highlight w:val="yellow"/>
              </w:rPr>
            </w:pPr>
          </w:p>
          <w:p w:rsidR="006E2B48" w:rsidRDefault="006E2B48" w:rsidP="000A05A1"/>
          <w:p w:rsidR="006E2B48" w:rsidRDefault="006E2B48" w:rsidP="000A05A1">
            <w:pPr>
              <w:rPr>
                <w:highlight w:val="yellow"/>
              </w:rPr>
            </w:pPr>
          </w:p>
          <w:p w:rsidR="00DD7C22" w:rsidRDefault="00DD7C22" w:rsidP="00DD7C22">
            <w:r w:rsidRPr="00146417">
              <w:t>Minist</w:t>
            </w:r>
            <w:r>
              <w:t>ru kabineta noteikumu projekta „</w:t>
            </w:r>
            <w:r w:rsidRPr="00DE2689">
              <w:t xml:space="preserve">Grozījumi Ministru kabineta </w:t>
            </w:r>
            <w:r>
              <w:t>2007</w:t>
            </w:r>
            <w:r w:rsidRPr="00DE2689">
              <w:t xml:space="preserve">.gada </w:t>
            </w:r>
            <w:r>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infrastruktūras attīstība </w:t>
            </w:r>
            <w:proofErr w:type="spellStart"/>
            <w:r>
              <w:t>aglomerācijās</w:t>
            </w:r>
            <w:proofErr w:type="spellEnd"/>
            <w:r>
              <w:t xml:space="preserve"> ar cilvēku ekvivalentu, lielāku par 2000</w:t>
            </w:r>
            <w:r w:rsidRPr="00DE2689">
              <w:t>””</w:t>
            </w:r>
            <w:r>
              <w:t xml:space="preserve"> 3.punkts,</w:t>
            </w:r>
          </w:p>
          <w:p w:rsidR="00DD7C22" w:rsidRDefault="00DD7C22" w:rsidP="001C451A">
            <w:r>
              <w:t>32.punkts (</w:t>
            </w:r>
            <w:r w:rsidRPr="000E768E">
              <w:t xml:space="preserve">4.pielikuma </w:t>
            </w:r>
            <w:r w:rsidR="001C451A">
              <w:t xml:space="preserve">10.1. un </w:t>
            </w:r>
            <w:r>
              <w:t>10.3.apakšpunkts, 11.punkta ievaddaļa</w:t>
            </w:r>
            <w:r w:rsidR="001C451A">
              <w:t xml:space="preserve"> un 11.1.apakšpunkts</w:t>
            </w:r>
            <w:r>
              <w:t>, 12.</w:t>
            </w:r>
            <w:r w:rsidR="001C451A">
              <w:t>1</w:t>
            </w:r>
            <w:r>
              <w:t>.</w:t>
            </w:r>
            <w:r w:rsidR="001C451A">
              <w:t xml:space="preserve"> un 12.5.</w:t>
            </w:r>
            <w:r>
              <w:t>apakšpunkts)</w:t>
            </w:r>
          </w:p>
          <w:p w:rsidR="001C451A" w:rsidRDefault="001C451A" w:rsidP="001C451A"/>
          <w:p w:rsidR="001C451A" w:rsidRDefault="001C451A" w:rsidP="001C451A"/>
          <w:p w:rsidR="001C451A" w:rsidRDefault="001C451A" w:rsidP="001C451A"/>
          <w:p w:rsidR="001C451A" w:rsidRDefault="001C451A" w:rsidP="001C451A"/>
          <w:p w:rsidR="001C451A" w:rsidRDefault="001C451A" w:rsidP="001C451A"/>
          <w:p w:rsidR="001C451A" w:rsidRDefault="001C451A" w:rsidP="001C451A">
            <w:r w:rsidRPr="00146417">
              <w:t>Minist</w:t>
            </w:r>
            <w:r>
              <w:t>ru kabineta noteikumu projekta „</w:t>
            </w:r>
            <w:r w:rsidRPr="00DE2689">
              <w:t xml:space="preserve">Grozījumi Ministru kabineta </w:t>
            </w:r>
            <w:r>
              <w:t>2007</w:t>
            </w:r>
            <w:r w:rsidRPr="00DE2689">
              <w:t xml:space="preserve">.gada </w:t>
            </w:r>
            <w:r>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infrastruktūras attīstība </w:t>
            </w:r>
            <w:proofErr w:type="spellStart"/>
            <w:r>
              <w:t>aglomerācijās</w:t>
            </w:r>
            <w:proofErr w:type="spellEnd"/>
            <w:r>
              <w:t xml:space="preserve"> ar cilvēku ekvivalentu, lielāku par 2000</w:t>
            </w:r>
            <w:r w:rsidRPr="00DE2689">
              <w:t>””</w:t>
            </w:r>
          </w:p>
          <w:p w:rsidR="001C451A" w:rsidRDefault="001C451A" w:rsidP="001C451A">
            <w:r>
              <w:t>32.punkts (</w:t>
            </w:r>
            <w:r w:rsidRPr="000E768E">
              <w:t xml:space="preserve">4.pielikuma </w:t>
            </w:r>
            <w:r>
              <w:t>10.4.apakšpunkts, 11.2.apakšpunkts, 12.2.apakšpunkts)</w:t>
            </w:r>
          </w:p>
          <w:p w:rsidR="001C451A" w:rsidRDefault="001C451A" w:rsidP="001C451A"/>
          <w:p w:rsidR="001C451A" w:rsidRDefault="001C451A" w:rsidP="001C451A"/>
          <w:p w:rsidR="001C451A" w:rsidRDefault="001C451A" w:rsidP="001C451A"/>
          <w:p w:rsidR="001C451A" w:rsidRDefault="001C451A" w:rsidP="001C451A"/>
          <w:p w:rsidR="001C451A" w:rsidRDefault="001C451A" w:rsidP="001C451A"/>
          <w:p w:rsidR="001C451A" w:rsidRDefault="001C451A" w:rsidP="001C451A"/>
          <w:p w:rsidR="001C451A" w:rsidRDefault="001C451A" w:rsidP="001C451A"/>
          <w:p w:rsidR="001C451A" w:rsidRDefault="001C451A" w:rsidP="001C451A"/>
          <w:p w:rsidR="001C451A" w:rsidRDefault="001C451A" w:rsidP="001C451A">
            <w:r w:rsidRPr="00146417">
              <w:t>Minist</w:t>
            </w:r>
            <w:r>
              <w:t>ru kabineta noteikumu projekta „</w:t>
            </w:r>
            <w:r w:rsidRPr="00DE2689">
              <w:t xml:space="preserve">Grozījumi Ministru kabineta </w:t>
            </w:r>
            <w:r>
              <w:t>2007</w:t>
            </w:r>
            <w:r w:rsidRPr="00DE2689">
              <w:t xml:space="preserve">.gada </w:t>
            </w:r>
            <w:r>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infrastruktūras attīstība </w:t>
            </w:r>
            <w:proofErr w:type="spellStart"/>
            <w:r>
              <w:t>aglomerācijās</w:t>
            </w:r>
            <w:proofErr w:type="spellEnd"/>
            <w:r>
              <w:t xml:space="preserve"> ar cilvēku ekvivalentu, lielāku par 2000</w:t>
            </w:r>
            <w:r w:rsidRPr="00DE2689">
              <w:t>””</w:t>
            </w:r>
          </w:p>
          <w:p w:rsidR="001C451A" w:rsidRDefault="001C451A" w:rsidP="001C451A">
            <w:r>
              <w:t>32.punkts (</w:t>
            </w:r>
            <w:r w:rsidRPr="000E768E">
              <w:t xml:space="preserve">4.pielikuma </w:t>
            </w:r>
            <w:r>
              <w:t>10.5.apakšpunkts, 12.6.apakšpunkts)</w:t>
            </w:r>
          </w:p>
          <w:p w:rsidR="00445A73" w:rsidRDefault="00445A73" w:rsidP="001C451A"/>
          <w:p w:rsidR="00445A73" w:rsidRDefault="00445A73" w:rsidP="001C451A"/>
          <w:p w:rsidR="00445A73" w:rsidRDefault="00445A73" w:rsidP="001C451A"/>
          <w:p w:rsidR="00445A73" w:rsidRDefault="00445A73" w:rsidP="001C451A"/>
          <w:p w:rsidR="00445A73" w:rsidRDefault="00445A73" w:rsidP="001C451A"/>
          <w:p w:rsidR="00445A73" w:rsidRDefault="00445A73" w:rsidP="001C451A"/>
          <w:p w:rsidR="00445A73" w:rsidRDefault="00445A73" w:rsidP="001C451A"/>
          <w:p w:rsidR="00445A73" w:rsidRDefault="00445A73" w:rsidP="001C451A"/>
          <w:p w:rsidR="00445A73" w:rsidRDefault="00445A73" w:rsidP="001C451A"/>
          <w:p w:rsidR="00445A73" w:rsidRDefault="00445A73" w:rsidP="00445A73">
            <w:r w:rsidRPr="00146417">
              <w:t>Minist</w:t>
            </w:r>
            <w:r>
              <w:t>ru kabineta noteikumu projekta „</w:t>
            </w:r>
            <w:r w:rsidRPr="00DE2689">
              <w:t xml:space="preserve">Grozījumi Ministru kabineta </w:t>
            </w:r>
            <w:r>
              <w:t>2007</w:t>
            </w:r>
            <w:r w:rsidRPr="00DE2689">
              <w:t xml:space="preserve">.gada </w:t>
            </w:r>
            <w:r>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infrastruktūras attīstība </w:t>
            </w:r>
            <w:proofErr w:type="spellStart"/>
            <w:r>
              <w:t>aglomerācijās</w:t>
            </w:r>
            <w:proofErr w:type="spellEnd"/>
            <w:r>
              <w:t xml:space="preserve"> ar cilvēku ekvivalentu, lielāku par 2000</w:t>
            </w:r>
            <w:r w:rsidRPr="00DE2689">
              <w:t>””</w:t>
            </w:r>
          </w:p>
          <w:p w:rsidR="00445A73" w:rsidRDefault="00445A73" w:rsidP="00445A73">
            <w:r>
              <w:t>32.punkts (</w:t>
            </w:r>
            <w:r w:rsidRPr="000E768E">
              <w:t xml:space="preserve">4.pielikuma </w:t>
            </w:r>
            <w:r>
              <w:t>10.6.apakšpunkts, 12.7.apakšpunkts)</w:t>
            </w:r>
          </w:p>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r w:rsidRPr="00146417">
              <w:t>Minist</w:t>
            </w:r>
            <w:r>
              <w:t>ru kabineta noteikumu projekta „</w:t>
            </w:r>
            <w:r w:rsidRPr="00DE2689">
              <w:t xml:space="preserve">Grozījumi Ministru kabineta </w:t>
            </w:r>
            <w:r>
              <w:t>2007</w:t>
            </w:r>
            <w:r w:rsidRPr="00DE2689">
              <w:t xml:space="preserve">.gada </w:t>
            </w:r>
            <w:r>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w:t>
            </w:r>
            <w:r w:rsidRPr="00DE2689">
              <w:lastRenderedPageBreak/>
              <w:t xml:space="preserve">infrastruktūras attīstība </w:t>
            </w:r>
            <w:proofErr w:type="spellStart"/>
            <w:r>
              <w:t>aglomerācijās</w:t>
            </w:r>
            <w:proofErr w:type="spellEnd"/>
            <w:r>
              <w:t xml:space="preserve"> ar cilvēku ekvivalentu, lielāku par 2000</w:t>
            </w:r>
            <w:r w:rsidRPr="00DE2689">
              <w:t>””</w:t>
            </w:r>
          </w:p>
          <w:p w:rsidR="00445A73" w:rsidRDefault="00445A73" w:rsidP="00445A73">
            <w:r>
              <w:t>32.punkts (</w:t>
            </w:r>
            <w:r w:rsidRPr="000E768E">
              <w:t xml:space="preserve">4.pielikuma </w:t>
            </w:r>
            <w:r>
              <w:t>10.6.apakšpunkts, 12.7.apakšpunkts)</w:t>
            </w:r>
          </w:p>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p w:rsidR="00445A73" w:rsidRDefault="00445A73" w:rsidP="00445A73">
            <w:r w:rsidRPr="00146417">
              <w:t>Minist</w:t>
            </w:r>
            <w:r>
              <w:t>ru kabineta noteikumu projekta „</w:t>
            </w:r>
            <w:r w:rsidRPr="00DE2689">
              <w:t xml:space="preserve">Grozījumi Ministru kabineta </w:t>
            </w:r>
            <w:r>
              <w:t>2007</w:t>
            </w:r>
            <w:r w:rsidRPr="00DE2689">
              <w:t xml:space="preserve">.gada </w:t>
            </w:r>
            <w:r>
              <w:t>4</w:t>
            </w:r>
            <w:r w:rsidRPr="00DE2689">
              <w:t>.</w:t>
            </w:r>
            <w:r>
              <w:t>decembra</w:t>
            </w:r>
            <w:r w:rsidRPr="00DE2689">
              <w:t xml:space="preserve"> noteikumos Nr.</w:t>
            </w:r>
            <w:r>
              <w:t>836 „</w:t>
            </w:r>
            <w:r w:rsidRPr="00DE2689">
              <w:t>Not</w:t>
            </w:r>
            <w:r>
              <w:t>eikumi par darbības programmas „</w:t>
            </w:r>
            <w:r w:rsidRPr="00DE2689">
              <w:t>Infrastruktūra un pakalpojumi” papildinājuma</w:t>
            </w:r>
            <w:r>
              <w:t xml:space="preserve"> 3.5.1.1.aktivitāti „</w:t>
            </w:r>
            <w:r w:rsidRPr="00DE2689">
              <w:t xml:space="preserve">Ūdenssaimniecības infrastruktūras attīstība </w:t>
            </w:r>
            <w:proofErr w:type="spellStart"/>
            <w:r>
              <w:t>aglomerācijās</w:t>
            </w:r>
            <w:proofErr w:type="spellEnd"/>
            <w:r>
              <w:t xml:space="preserve"> ar cilvēku ekvivalentu, lielāku par 2000</w:t>
            </w:r>
            <w:r w:rsidRPr="00DE2689">
              <w:t>””</w:t>
            </w:r>
          </w:p>
          <w:p w:rsidR="00445A73" w:rsidRPr="001D4DCF" w:rsidRDefault="00445A73" w:rsidP="00445A73">
            <w:pPr>
              <w:rPr>
                <w:highlight w:val="yellow"/>
              </w:rPr>
            </w:pPr>
            <w:r>
              <w:t>32.punkts (</w:t>
            </w:r>
            <w:r w:rsidRPr="000E768E">
              <w:t xml:space="preserve">4.pielikuma </w:t>
            </w:r>
            <w:r>
              <w:t>10.7.apakšpunkts, 11.4.apakšpunkts, 12.8.apakšpunkts)</w:t>
            </w:r>
          </w:p>
        </w:tc>
        <w:tc>
          <w:tcPr>
            <w:tcW w:w="1146" w:type="pct"/>
            <w:tcBorders>
              <w:top w:val="double" w:sz="6" w:space="0" w:color="auto"/>
              <w:left w:val="double" w:sz="6" w:space="0" w:color="auto"/>
              <w:bottom w:val="double" w:sz="6" w:space="0" w:color="auto"/>
              <w:right w:val="double" w:sz="6" w:space="0" w:color="auto"/>
            </w:tcBorders>
          </w:tcPr>
          <w:p w:rsidR="006E2B48" w:rsidRDefault="006E2B48" w:rsidP="000A05A1">
            <w:r w:rsidRPr="00DE2689">
              <w:lastRenderedPageBreak/>
              <w:t>ES tiesību akta vienības tiek ieviestas pilnībā</w:t>
            </w:r>
          </w:p>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r w:rsidRPr="00DE2689">
              <w:t>ES tiesību akta vienības tiek ieviestas pilnībā</w:t>
            </w:r>
          </w:p>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1C451A">
            <w:r w:rsidRPr="00DE2689">
              <w:t>ES tiesību akta vienības tiek ieviestas pilnībā</w:t>
            </w:r>
          </w:p>
          <w:p w:rsidR="001C451A" w:rsidRDefault="001C451A"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r w:rsidRPr="00DE2689">
              <w:t>ES tiesību akta vienības tiek ieviestas pilnībā</w:t>
            </w:r>
          </w:p>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r w:rsidRPr="00DE2689">
              <w:t>ES tiesību akta vienības tiek ieviestas pilnībā</w:t>
            </w:r>
          </w:p>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r w:rsidRPr="00DE2689">
              <w:t>ES tiesību akta vienības tiek ieviestas pilnībā</w:t>
            </w:r>
          </w:p>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r w:rsidRPr="00DE2689">
              <w:t>ES tiesību akta vienības tiek ieviestas pilnībā</w:t>
            </w:r>
          </w:p>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Pr="001D4DCF" w:rsidRDefault="00445A73" w:rsidP="000A05A1">
            <w:pPr>
              <w:rPr>
                <w:highlight w:val="yellow"/>
              </w:rPr>
            </w:pPr>
            <w:r w:rsidRPr="00DE2689">
              <w:t>ES tiesību akta vienības tiek ieviestas pilnībā</w:t>
            </w:r>
          </w:p>
        </w:tc>
        <w:tc>
          <w:tcPr>
            <w:tcW w:w="1498" w:type="pct"/>
            <w:tcBorders>
              <w:top w:val="double" w:sz="6" w:space="0" w:color="auto"/>
              <w:left w:val="double" w:sz="6" w:space="0" w:color="auto"/>
              <w:bottom w:val="double" w:sz="6" w:space="0" w:color="auto"/>
              <w:right w:val="double" w:sz="6" w:space="0" w:color="auto"/>
            </w:tcBorders>
          </w:tcPr>
          <w:p w:rsidR="006E2B48" w:rsidRDefault="006E2B48" w:rsidP="000A05A1">
            <w:r w:rsidRPr="00DE2689">
              <w:lastRenderedPageBreak/>
              <w:t>Minētās projekta vienības neparedz stingrākas prasības nekā ES tiesību akta vienības</w:t>
            </w:r>
          </w:p>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r w:rsidRPr="00DE2689">
              <w:t>Minētās projekta vienības neparedz stingrākas prasības nekā ES tiesību akta vienības</w:t>
            </w:r>
          </w:p>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r w:rsidRPr="00DE2689">
              <w:t>Minētās projekta vienības neparedz stingrākas prasības nekā ES tiesību akta vienības</w:t>
            </w:r>
          </w:p>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 w:rsidR="006E2B48" w:rsidRDefault="006E2B48"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r w:rsidRPr="00DE2689">
              <w:t>Minētās projekta vienības neparedz stingrākas prasības nekā ES tiesību akta vienības</w:t>
            </w:r>
          </w:p>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pPr>
              <w:rPr>
                <w:highlight w:val="yellow"/>
              </w:rPr>
            </w:pPr>
          </w:p>
          <w:p w:rsidR="001C451A" w:rsidRDefault="001C451A" w:rsidP="000A05A1">
            <w:r w:rsidRPr="00DE2689">
              <w:t>Minētās projekta vienības neparedz stingrākas prasības nekā ES tiesību akta vienības</w:t>
            </w:r>
          </w:p>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r w:rsidRPr="00DE2689">
              <w:t>Minētās projekta vienības neparedz stingrākas prasības nekā ES tiesību akta vienības</w:t>
            </w:r>
          </w:p>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r w:rsidRPr="00DE2689">
              <w:t>Minētās projekta vienības neparedz stingrākas prasības nekā ES tiesību akta vienības</w:t>
            </w:r>
          </w:p>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Default="00445A73" w:rsidP="000A05A1"/>
          <w:p w:rsidR="00445A73" w:rsidRPr="001D4DCF" w:rsidRDefault="00445A73" w:rsidP="000A05A1">
            <w:pPr>
              <w:rPr>
                <w:highlight w:val="yellow"/>
              </w:rPr>
            </w:pPr>
            <w:r w:rsidRPr="00DE2689">
              <w:t>Minētās projekta vienības neparedz stingrākas prasības nekā ES tiesību akta vienības</w:t>
            </w:r>
          </w:p>
        </w:tc>
      </w:tr>
      <w:tr w:rsidR="006E2B48" w:rsidRPr="00E26B0C" w:rsidTr="000919CC">
        <w:tblPrEx>
          <w:tblCellSpacing w:w="0" w:type="nil"/>
          <w:tblBorders>
            <w:top w:val="outset" w:sz="6" w:space="0" w:color="auto"/>
            <w:left w:val="outset" w:sz="6" w:space="0" w:color="auto"/>
            <w:bottom w:val="outset" w:sz="6" w:space="0" w:color="auto"/>
            <w:right w:val="outset" w:sz="6" w:space="0" w:color="auto"/>
          </w:tblBorders>
          <w:tblLook w:val="04A0"/>
        </w:tblPrEx>
        <w:trPr>
          <w:gridBefore w:val="1"/>
          <w:wBefore w:w="3" w:type="pct"/>
        </w:trPr>
        <w:tc>
          <w:tcPr>
            <w:tcW w:w="976" w:type="pct"/>
            <w:gridSpan w:val="2"/>
            <w:tcBorders>
              <w:top w:val="double" w:sz="6" w:space="0" w:color="auto"/>
              <w:left w:val="double" w:sz="6" w:space="0" w:color="auto"/>
              <w:bottom w:val="double" w:sz="6" w:space="0" w:color="auto"/>
              <w:right w:val="double" w:sz="6" w:space="0" w:color="auto"/>
            </w:tcBorders>
          </w:tcPr>
          <w:p w:rsidR="006E2B48" w:rsidRPr="00F65DAE" w:rsidRDefault="006E2B48" w:rsidP="000A05A1">
            <w:pPr>
              <w:rPr>
                <w:highlight w:val="yellow"/>
              </w:rPr>
            </w:pPr>
            <w:r w:rsidRPr="00F65DAE">
              <w:lastRenderedPageBreak/>
              <w:t xml:space="preserve">Saistības sniegt paziņojumu ES institūcijām un ES dalībvalstīm </w:t>
            </w:r>
            <w:r w:rsidRPr="00F65DAE">
              <w:lastRenderedPageBreak/>
              <w:t>atbilstoši normatīvajiem aktiem, kas regulē informācijas sniegšanu par tehnisko noteikumu, valsts atbalsta piešķiršanas un finanšu noteikumu (attiecībā uz monetāro politiku) projektiem</w:t>
            </w:r>
          </w:p>
        </w:tc>
        <w:tc>
          <w:tcPr>
            <w:tcW w:w="3955" w:type="pct"/>
            <w:gridSpan w:val="4"/>
            <w:tcBorders>
              <w:top w:val="double" w:sz="6" w:space="0" w:color="auto"/>
              <w:left w:val="double" w:sz="6" w:space="0" w:color="auto"/>
              <w:bottom w:val="double" w:sz="6" w:space="0" w:color="auto"/>
              <w:right w:val="double" w:sz="6" w:space="0" w:color="auto"/>
            </w:tcBorders>
          </w:tcPr>
          <w:p w:rsidR="006E2B48" w:rsidRPr="001D4DCF" w:rsidRDefault="006E2B48" w:rsidP="000A05A1">
            <w:pPr>
              <w:jc w:val="both"/>
              <w:rPr>
                <w:highlight w:val="yellow"/>
              </w:rPr>
            </w:pPr>
            <w:r w:rsidRPr="00E26781">
              <w:lastRenderedPageBreak/>
              <w:t>Nav attiecināms</w:t>
            </w:r>
          </w:p>
        </w:tc>
      </w:tr>
      <w:tr w:rsidR="006E2B48" w:rsidRPr="00E26B0C" w:rsidTr="000919CC">
        <w:tblPrEx>
          <w:tblCellSpacing w:w="0" w:type="nil"/>
          <w:tblBorders>
            <w:top w:val="outset" w:sz="6" w:space="0" w:color="auto"/>
            <w:left w:val="outset" w:sz="6" w:space="0" w:color="auto"/>
            <w:bottom w:val="outset" w:sz="6" w:space="0" w:color="auto"/>
            <w:right w:val="outset" w:sz="6" w:space="0" w:color="auto"/>
          </w:tblBorders>
          <w:tblLook w:val="04A0"/>
        </w:tblPrEx>
        <w:trPr>
          <w:gridBefore w:val="1"/>
          <w:wBefore w:w="3" w:type="pct"/>
        </w:trPr>
        <w:tc>
          <w:tcPr>
            <w:tcW w:w="976" w:type="pct"/>
            <w:gridSpan w:val="2"/>
            <w:tcBorders>
              <w:top w:val="double" w:sz="6" w:space="0" w:color="auto"/>
              <w:left w:val="double" w:sz="6" w:space="0" w:color="auto"/>
              <w:bottom w:val="double" w:sz="6" w:space="0" w:color="auto"/>
              <w:right w:val="double" w:sz="6" w:space="0" w:color="auto"/>
            </w:tcBorders>
          </w:tcPr>
          <w:p w:rsidR="006E2B48" w:rsidRPr="005249BC" w:rsidRDefault="006E2B48" w:rsidP="000A05A1">
            <w:r w:rsidRPr="005249BC">
              <w:lastRenderedPageBreak/>
              <w:t>Cita informācija</w:t>
            </w:r>
          </w:p>
        </w:tc>
        <w:tc>
          <w:tcPr>
            <w:tcW w:w="3955" w:type="pct"/>
            <w:gridSpan w:val="4"/>
            <w:tcBorders>
              <w:top w:val="double" w:sz="6" w:space="0" w:color="auto"/>
              <w:left w:val="double" w:sz="6" w:space="0" w:color="auto"/>
              <w:bottom w:val="double" w:sz="6" w:space="0" w:color="auto"/>
              <w:right w:val="double" w:sz="6" w:space="0" w:color="auto"/>
            </w:tcBorders>
          </w:tcPr>
          <w:p w:rsidR="006E2B48" w:rsidRPr="001D4DCF" w:rsidRDefault="006E2B48" w:rsidP="000A05A1">
            <w:pPr>
              <w:jc w:val="both"/>
              <w:rPr>
                <w:highlight w:val="yellow"/>
              </w:rPr>
            </w:pPr>
            <w:r w:rsidRPr="0090463C">
              <w:t>Nav</w:t>
            </w:r>
            <w:r>
              <w:t xml:space="preserve"> attiecināms</w:t>
            </w:r>
          </w:p>
        </w:tc>
      </w:tr>
    </w:tbl>
    <w:p w:rsidR="00BC08F5" w:rsidRDefault="00BC08F5" w:rsidP="00BC08F5"/>
    <w:p w:rsidR="00BC08F5" w:rsidRDefault="006E2B48" w:rsidP="006E2B48">
      <w:pPr>
        <w:ind w:firstLine="720"/>
      </w:pPr>
      <w:r w:rsidRPr="00434F7D">
        <w:t xml:space="preserve">Anotācijas </w:t>
      </w:r>
      <w:r>
        <w:t>VI. , VII. sadaļa</w:t>
      </w:r>
      <w:r w:rsidRPr="00434F7D">
        <w:t xml:space="preserve"> – </w:t>
      </w:r>
      <w:r>
        <w:t>projekts šīs jomas neskar</w:t>
      </w:r>
      <w:r w:rsidRPr="00434F7D">
        <w:t>.</w:t>
      </w:r>
    </w:p>
    <w:p w:rsidR="00BC08F5" w:rsidRDefault="00BC08F5" w:rsidP="00BC08F5"/>
    <w:p w:rsidR="00BC08F5" w:rsidRDefault="00BC08F5" w:rsidP="00BC08F5">
      <w:pPr>
        <w:pStyle w:val="BodyTextIndent"/>
        <w:tabs>
          <w:tab w:val="num" w:pos="1090"/>
        </w:tabs>
        <w:rPr>
          <w:szCs w:val="28"/>
        </w:rPr>
      </w:pPr>
      <w:r>
        <w:rPr>
          <w:szCs w:val="28"/>
        </w:rPr>
        <w:t xml:space="preserve">Iesniedzējs: </w:t>
      </w:r>
    </w:p>
    <w:p w:rsidR="00BC08F5" w:rsidRDefault="00BC08F5" w:rsidP="00BC08F5">
      <w:pPr>
        <w:tabs>
          <w:tab w:val="left" w:pos="6315"/>
        </w:tabs>
        <w:jc w:val="both"/>
        <w:rPr>
          <w:sz w:val="28"/>
          <w:szCs w:val="28"/>
        </w:rPr>
      </w:pPr>
      <w:r>
        <w:rPr>
          <w:sz w:val="28"/>
          <w:szCs w:val="28"/>
        </w:rPr>
        <w:t xml:space="preserve">vides aizsardzības un </w:t>
      </w:r>
    </w:p>
    <w:p w:rsidR="00976F00" w:rsidRDefault="00976F00" w:rsidP="00BC08F5">
      <w:pPr>
        <w:tabs>
          <w:tab w:val="left" w:pos="6315"/>
        </w:tabs>
        <w:jc w:val="both"/>
        <w:rPr>
          <w:sz w:val="28"/>
          <w:szCs w:val="28"/>
        </w:rPr>
      </w:pPr>
      <w:r>
        <w:rPr>
          <w:sz w:val="28"/>
          <w:szCs w:val="28"/>
        </w:rPr>
        <w:t xml:space="preserve">reģionālās attīstības ministra </w:t>
      </w:r>
      <w:proofErr w:type="spellStart"/>
      <w:r>
        <w:rPr>
          <w:sz w:val="28"/>
          <w:szCs w:val="28"/>
        </w:rPr>
        <w:t>p.i</w:t>
      </w:r>
      <w:proofErr w:type="spellEnd"/>
      <w:r>
        <w:rPr>
          <w:sz w:val="28"/>
          <w:szCs w:val="28"/>
        </w:rPr>
        <w:t>.,</w:t>
      </w:r>
    </w:p>
    <w:p w:rsidR="00BC08F5" w:rsidRDefault="00976F00" w:rsidP="00BC08F5">
      <w:pPr>
        <w:tabs>
          <w:tab w:val="left" w:pos="6315"/>
        </w:tabs>
        <w:jc w:val="both"/>
        <w:rPr>
          <w:sz w:val="28"/>
          <w:szCs w:val="28"/>
        </w:rPr>
      </w:pPr>
      <w:r>
        <w:rPr>
          <w:sz w:val="28"/>
          <w:szCs w:val="28"/>
        </w:rPr>
        <w:t>izglītības un zinātnes ministrs</w:t>
      </w:r>
      <w:r>
        <w:rPr>
          <w:sz w:val="28"/>
          <w:szCs w:val="28"/>
        </w:rPr>
        <w:tab/>
      </w:r>
      <w:r>
        <w:rPr>
          <w:sz w:val="28"/>
          <w:szCs w:val="28"/>
        </w:rPr>
        <w:tab/>
      </w:r>
      <w:r>
        <w:rPr>
          <w:sz w:val="28"/>
          <w:szCs w:val="28"/>
        </w:rPr>
        <w:tab/>
      </w:r>
      <w:proofErr w:type="spellStart"/>
      <w:r>
        <w:rPr>
          <w:sz w:val="28"/>
          <w:szCs w:val="28"/>
        </w:rPr>
        <w:t>V.Dombrovskis</w:t>
      </w:r>
      <w:proofErr w:type="spellEnd"/>
    </w:p>
    <w:p w:rsidR="00BC08F5" w:rsidRDefault="00BC08F5" w:rsidP="00BC08F5">
      <w:pPr>
        <w:jc w:val="both"/>
        <w:rPr>
          <w:sz w:val="28"/>
          <w:szCs w:val="28"/>
        </w:rPr>
      </w:pPr>
    </w:p>
    <w:p w:rsidR="00EB5F6B" w:rsidRDefault="00EB5F6B" w:rsidP="00BC08F5">
      <w:pPr>
        <w:jc w:val="both"/>
        <w:rPr>
          <w:sz w:val="28"/>
          <w:szCs w:val="28"/>
        </w:rPr>
      </w:pPr>
    </w:p>
    <w:p w:rsidR="00BC08F5" w:rsidRDefault="00BC08F5" w:rsidP="00BC08F5">
      <w:pPr>
        <w:jc w:val="both"/>
        <w:rPr>
          <w:sz w:val="28"/>
          <w:szCs w:val="28"/>
        </w:rPr>
      </w:pPr>
      <w:r>
        <w:rPr>
          <w:sz w:val="28"/>
          <w:szCs w:val="28"/>
        </w:rPr>
        <w:t xml:space="preserve">Vizē: </w:t>
      </w:r>
    </w:p>
    <w:p w:rsidR="00976F00" w:rsidRDefault="00976F00" w:rsidP="00BC08F5">
      <w:pPr>
        <w:jc w:val="both"/>
        <w:rPr>
          <w:sz w:val="28"/>
          <w:szCs w:val="28"/>
        </w:rPr>
      </w:pPr>
      <w:r>
        <w:rPr>
          <w:sz w:val="28"/>
          <w:szCs w:val="28"/>
        </w:rPr>
        <w:t xml:space="preserve">valsts sekretāra </w:t>
      </w:r>
      <w:proofErr w:type="spellStart"/>
      <w:r>
        <w:rPr>
          <w:sz w:val="28"/>
          <w:szCs w:val="28"/>
        </w:rPr>
        <w:t>p.i</w:t>
      </w:r>
      <w:proofErr w:type="spellEnd"/>
      <w:r>
        <w:rPr>
          <w:sz w:val="28"/>
          <w:szCs w:val="28"/>
        </w:rPr>
        <w:t>.,</w:t>
      </w:r>
    </w:p>
    <w:p w:rsidR="00BC08F5" w:rsidRDefault="00976F00" w:rsidP="00BC08F5">
      <w:pPr>
        <w:jc w:val="both"/>
        <w:rPr>
          <w:sz w:val="28"/>
          <w:szCs w:val="28"/>
        </w:rPr>
      </w:pPr>
      <w:r>
        <w:rPr>
          <w:sz w:val="28"/>
          <w:szCs w:val="28"/>
        </w:rPr>
        <w:t>Administrācijas vadītājs</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G.Kauliņš</w:t>
      </w:r>
    </w:p>
    <w:p w:rsidR="00BC08F5" w:rsidRDefault="00BC08F5" w:rsidP="00BC08F5">
      <w:pPr>
        <w:tabs>
          <w:tab w:val="left" w:pos="6315"/>
        </w:tabs>
        <w:jc w:val="both"/>
        <w:rPr>
          <w:sz w:val="20"/>
          <w:szCs w:val="20"/>
        </w:rPr>
      </w:pPr>
    </w:p>
    <w:p w:rsidR="000919CC" w:rsidRDefault="000919CC" w:rsidP="00BC08F5">
      <w:pPr>
        <w:tabs>
          <w:tab w:val="left" w:pos="6315"/>
        </w:tabs>
        <w:jc w:val="both"/>
        <w:rPr>
          <w:sz w:val="20"/>
          <w:szCs w:val="20"/>
        </w:rPr>
      </w:pPr>
    </w:p>
    <w:p w:rsidR="00976F00" w:rsidRDefault="00976F00" w:rsidP="00BC08F5">
      <w:pPr>
        <w:tabs>
          <w:tab w:val="left" w:pos="6315"/>
        </w:tabs>
        <w:jc w:val="both"/>
        <w:rPr>
          <w:sz w:val="20"/>
          <w:szCs w:val="20"/>
        </w:rPr>
      </w:pPr>
    </w:p>
    <w:p w:rsidR="00976F00" w:rsidRDefault="00976F00" w:rsidP="00BC08F5">
      <w:pPr>
        <w:tabs>
          <w:tab w:val="left" w:pos="6315"/>
        </w:tabs>
        <w:jc w:val="both"/>
        <w:rPr>
          <w:sz w:val="20"/>
          <w:szCs w:val="20"/>
        </w:rPr>
      </w:pPr>
    </w:p>
    <w:p w:rsidR="00BC08F5" w:rsidRDefault="00AB66B6" w:rsidP="00BC08F5">
      <w:pPr>
        <w:tabs>
          <w:tab w:val="left" w:pos="6315"/>
        </w:tabs>
        <w:jc w:val="both"/>
        <w:rPr>
          <w:sz w:val="20"/>
          <w:szCs w:val="20"/>
        </w:rPr>
      </w:pPr>
      <w:r>
        <w:rPr>
          <w:sz w:val="20"/>
          <w:szCs w:val="20"/>
        </w:rPr>
        <w:t>19.06.2013 14:48</w:t>
      </w:r>
    </w:p>
    <w:p w:rsidR="00BC08F5" w:rsidRDefault="00534935" w:rsidP="00BC08F5">
      <w:pPr>
        <w:jc w:val="both"/>
        <w:rPr>
          <w:sz w:val="20"/>
        </w:rPr>
      </w:pPr>
      <w:r>
        <w:rPr>
          <w:sz w:val="20"/>
        </w:rPr>
        <w:fldChar w:fldCharType="begin"/>
      </w:r>
      <w:r w:rsidR="00BC08F5">
        <w:rPr>
          <w:sz w:val="20"/>
        </w:rPr>
        <w:instrText xml:space="preserve"> NUMWORDS  \# "0" \* Arabic  \* MERGEFORMAT </w:instrText>
      </w:r>
      <w:r>
        <w:rPr>
          <w:sz w:val="20"/>
        </w:rPr>
        <w:fldChar w:fldCharType="separate"/>
      </w:r>
      <w:r w:rsidR="00F10DD3">
        <w:rPr>
          <w:noProof/>
          <w:sz w:val="20"/>
        </w:rPr>
        <w:t>2832</w:t>
      </w:r>
      <w:r>
        <w:rPr>
          <w:sz w:val="20"/>
        </w:rPr>
        <w:fldChar w:fldCharType="end"/>
      </w:r>
    </w:p>
    <w:p w:rsidR="00BC08F5" w:rsidRDefault="00BC08F5" w:rsidP="00BC08F5">
      <w:pPr>
        <w:jc w:val="both"/>
        <w:rPr>
          <w:sz w:val="20"/>
        </w:rPr>
      </w:pPr>
      <w:r>
        <w:rPr>
          <w:sz w:val="20"/>
        </w:rPr>
        <w:t>Austra Auziņa</w:t>
      </w:r>
    </w:p>
    <w:p w:rsidR="00BC08F5" w:rsidRDefault="00BC08F5" w:rsidP="00BC08F5">
      <w:pPr>
        <w:jc w:val="both"/>
        <w:rPr>
          <w:sz w:val="20"/>
        </w:rPr>
      </w:pPr>
      <w:r>
        <w:rPr>
          <w:sz w:val="20"/>
        </w:rPr>
        <w:t xml:space="preserve">Investīciju politikas departamenta </w:t>
      </w:r>
    </w:p>
    <w:p w:rsidR="00BC08F5" w:rsidRDefault="00BC08F5" w:rsidP="00BC08F5">
      <w:pPr>
        <w:jc w:val="both"/>
        <w:rPr>
          <w:sz w:val="20"/>
        </w:rPr>
      </w:pPr>
      <w:r>
        <w:rPr>
          <w:sz w:val="20"/>
        </w:rPr>
        <w:t>Programmu vadības nodaļas vecākā eksperte</w:t>
      </w:r>
    </w:p>
    <w:p w:rsidR="00BC08F5" w:rsidRDefault="00534935" w:rsidP="00BC08F5">
      <w:pPr>
        <w:jc w:val="both"/>
        <w:rPr>
          <w:sz w:val="20"/>
        </w:rPr>
      </w:pPr>
      <w:hyperlink r:id="rId8" w:history="1">
        <w:r w:rsidR="00BC08F5" w:rsidRPr="00A1316D">
          <w:rPr>
            <w:rStyle w:val="Hyperlink"/>
            <w:sz w:val="20"/>
          </w:rPr>
          <w:t>austra.auzina@varam.gov.lv</w:t>
        </w:r>
      </w:hyperlink>
    </w:p>
    <w:p w:rsidR="00BC08F5" w:rsidRPr="002D2AA2" w:rsidRDefault="00BC08F5" w:rsidP="00BC08F5">
      <w:pPr>
        <w:jc w:val="both"/>
        <w:rPr>
          <w:sz w:val="20"/>
          <w:szCs w:val="20"/>
        </w:rPr>
      </w:pPr>
      <w:r>
        <w:rPr>
          <w:sz w:val="20"/>
          <w:szCs w:val="20"/>
        </w:rPr>
        <w:t>66016701</w:t>
      </w:r>
    </w:p>
    <w:p w:rsidR="00F4188D" w:rsidRDefault="00F4188D"/>
    <w:sectPr w:rsidR="00F4188D" w:rsidSect="00C209B6">
      <w:headerReference w:type="default" r:id="rId9"/>
      <w:footerReference w:type="default" r:id="rId10"/>
      <w:pgSz w:w="11906" w:h="16838"/>
      <w:pgMar w:top="1440" w:right="1440" w:bottom="1440" w:left="1440" w:header="708" w:footer="4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66" w:rsidRDefault="00645066" w:rsidP="00BC08F5">
      <w:r>
        <w:separator/>
      </w:r>
    </w:p>
  </w:endnote>
  <w:endnote w:type="continuationSeparator" w:id="0">
    <w:p w:rsidR="00645066" w:rsidRDefault="00645066" w:rsidP="00BC0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E2" w:rsidRDefault="00AB66B6" w:rsidP="00BC08F5">
    <w:pPr>
      <w:pStyle w:val="naisc"/>
      <w:tabs>
        <w:tab w:val="left" w:pos="8820"/>
      </w:tabs>
      <w:spacing w:before="0" w:beforeAutospacing="0" w:after="0" w:afterAutospacing="0"/>
      <w:jc w:val="both"/>
      <w:rPr>
        <w:sz w:val="20"/>
        <w:szCs w:val="20"/>
        <w:lang w:val="lv-LV"/>
      </w:rPr>
    </w:pPr>
    <w:r>
      <w:rPr>
        <w:bCs/>
        <w:sz w:val="20"/>
        <w:szCs w:val="20"/>
        <w:lang w:val="lv-LV"/>
      </w:rPr>
      <w:t>VARAMAnot_1906</w:t>
    </w:r>
    <w:r w:rsidR="002401E2">
      <w:rPr>
        <w:bCs/>
        <w:sz w:val="20"/>
        <w:szCs w:val="20"/>
        <w:lang w:val="lv-LV"/>
      </w:rPr>
      <w:t>13</w:t>
    </w:r>
    <w:r w:rsidR="002401E2">
      <w:rPr>
        <w:sz w:val="20"/>
        <w:lang w:val="lv-LV"/>
      </w:rPr>
      <w:t>_groz836; Ministru kabineta noteikumu projekta „</w:t>
    </w:r>
    <w:r w:rsidR="002401E2">
      <w:rPr>
        <w:sz w:val="20"/>
        <w:szCs w:val="20"/>
        <w:lang w:val="lv-LV"/>
      </w:rPr>
      <w:t>Grozījumi Ministru kabineta 2007.gada 4.decembra noteikumos Nr.836 „</w:t>
    </w:r>
    <w:r w:rsidR="002401E2">
      <w:rPr>
        <w:bCs/>
        <w:sz w:val="20"/>
        <w:szCs w:val="20"/>
        <w:lang w:val="lv-LV"/>
      </w:rPr>
      <w:t>Noteikumi par darbības programmas „Infrastruktūra un pakalpojumi” papildinājuma 3.5.1.1. aktivitāti „Ūdenssaimniecības infrastruktūras attīstība aglomerācijas ar cilvēku ekvivalentu, lielāku par 2000””</w:t>
    </w:r>
    <w:r w:rsidR="002401E2">
      <w:rPr>
        <w:bCs/>
        <w:sz w:val="20"/>
        <w:lang w:val="lv-LV"/>
      </w:rPr>
      <w:t>” anotācija</w:t>
    </w:r>
  </w:p>
  <w:p w:rsidR="002401E2" w:rsidRDefault="00240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66" w:rsidRDefault="00645066" w:rsidP="00BC08F5">
      <w:r>
        <w:separator/>
      </w:r>
    </w:p>
  </w:footnote>
  <w:footnote w:type="continuationSeparator" w:id="0">
    <w:p w:rsidR="00645066" w:rsidRDefault="00645066" w:rsidP="00BC0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099"/>
      <w:docPartObj>
        <w:docPartGallery w:val="Page Numbers (Top of Page)"/>
        <w:docPartUnique/>
      </w:docPartObj>
    </w:sdtPr>
    <w:sdtContent>
      <w:p w:rsidR="00F10DD3" w:rsidRDefault="00534935">
        <w:pPr>
          <w:pStyle w:val="Header"/>
          <w:jc w:val="center"/>
        </w:pPr>
        <w:fldSimple w:instr=" PAGE   \* MERGEFORMAT ">
          <w:r w:rsidR="00C209B6">
            <w:rPr>
              <w:noProof/>
            </w:rPr>
            <w:t>3</w:t>
          </w:r>
        </w:fldSimple>
      </w:p>
    </w:sdtContent>
  </w:sdt>
  <w:p w:rsidR="00F10DD3" w:rsidRDefault="00F10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555D"/>
    <w:multiLevelType w:val="hybridMultilevel"/>
    <w:tmpl w:val="4D3085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72212760"/>
    <w:multiLevelType w:val="hybridMultilevel"/>
    <w:tmpl w:val="9F9CB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C08F5"/>
    <w:rsid w:val="000306B5"/>
    <w:rsid w:val="00060AAF"/>
    <w:rsid w:val="000919CC"/>
    <w:rsid w:val="00095087"/>
    <w:rsid w:val="000A05A1"/>
    <w:rsid w:val="000B33BF"/>
    <w:rsid w:val="0013015F"/>
    <w:rsid w:val="00160812"/>
    <w:rsid w:val="001764AF"/>
    <w:rsid w:val="001C451A"/>
    <w:rsid w:val="002048D9"/>
    <w:rsid w:val="002401E2"/>
    <w:rsid w:val="002811CD"/>
    <w:rsid w:val="002A3BBA"/>
    <w:rsid w:val="003A6BD4"/>
    <w:rsid w:val="00415695"/>
    <w:rsid w:val="00426012"/>
    <w:rsid w:val="00445A73"/>
    <w:rsid w:val="004A2402"/>
    <w:rsid w:val="004F2C8D"/>
    <w:rsid w:val="00534935"/>
    <w:rsid w:val="00562535"/>
    <w:rsid w:val="00565C99"/>
    <w:rsid w:val="00613309"/>
    <w:rsid w:val="00640A5F"/>
    <w:rsid w:val="00645066"/>
    <w:rsid w:val="00684A87"/>
    <w:rsid w:val="006C69EF"/>
    <w:rsid w:val="006E2B48"/>
    <w:rsid w:val="00724113"/>
    <w:rsid w:val="00740AFC"/>
    <w:rsid w:val="007B3D2F"/>
    <w:rsid w:val="007D6EF1"/>
    <w:rsid w:val="007E54F6"/>
    <w:rsid w:val="0081124D"/>
    <w:rsid w:val="00866321"/>
    <w:rsid w:val="0087301D"/>
    <w:rsid w:val="00886329"/>
    <w:rsid w:val="008C2430"/>
    <w:rsid w:val="0094112E"/>
    <w:rsid w:val="009624F2"/>
    <w:rsid w:val="009648BB"/>
    <w:rsid w:val="009726BD"/>
    <w:rsid w:val="0097645B"/>
    <w:rsid w:val="00976F00"/>
    <w:rsid w:val="009A0AC4"/>
    <w:rsid w:val="009D0B3F"/>
    <w:rsid w:val="009D254E"/>
    <w:rsid w:val="00A4258A"/>
    <w:rsid w:val="00A82F69"/>
    <w:rsid w:val="00AA4523"/>
    <w:rsid w:val="00AB66B6"/>
    <w:rsid w:val="00AD5FF2"/>
    <w:rsid w:val="00AE5E3A"/>
    <w:rsid w:val="00B67BE7"/>
    <w:rsid w:val="00B83693"/>
    <w:rsid w:val="00BA5F00"/>
    <w:rsid w:val="00BC08F5"/>
    <w:rsid w:val="00BC4032"/>
    <w:rsid w:val="00BC6829"/>
    <w:rsid w:val="00BD6669"/>
    <w:rsid w:val="00BF187F"/>
    <w:rsid w:val="00C209B6"/>
    <w:rsid w:val="00C33776"/>
    <w:rsid w:val="00C73C2B"/>
    <w:rsid w:val="00C85B61"/>
    <w:rsid w:val="00CA4D3E"/>
    <w:rsid w:val="00CC4457"/>
    <w:rsid w:val="00CC6494"/>
    <w:rsid w:val="00CE0FBA"/>
    <w:rsid w:val="00D33AE6"/>
    <w:rsid w:val="00D96AD8"/>
    <w:rsid w:val="00DC24E5"/>
    <w:rsid w:val="00DD7C22"/>
    <w:rsid w:val="00DF01F4"/>
    <w:rsid w:val="00E31F9B"/>
    <w:rsid w:val="00E3414A"/>
    <w:rsid w:val="00E45051"/>
    <w:rsid w:val="00EB5F6B"/>
    <w:rsid w:val="00EC5094"/>
    <w:rsid w:val="00EE0BFF"/>
    <w:rsid w:val="00F10DD3"/>
    <w:rsid w:val="00F4188D"/>
    <w:rsid w:val="00F952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08F5"/>
    <w:pPr>
      <w:jc w:val="both"/>
    </w:pPr>
    <w:rPr>
      <w:sz w:val="28"/>
      <w:szCs w:val="20"/>
    </w:rPr>
  </w:style>
  <w:style w:type="character" w:customStyle="1" w:styleId="BodyTextIndentChar">
    <w:name w:val="Body Text Indent Char"/>
    <w:basedOn w:val="DefaultParagraphFont"/>
    <w:link w:val="BodyTextIndent"/>
    <w:rsid w:val="00BC08F5"/>
    <w:rPr>
      <w:rFonts w:ascii="Times New Roman" w:eastAsia="Times New Roman" w:hAnsi="Times New Roman" w:cs="Times New Roman"/>
      <w:sz w:val="28"/>
      <w:szCs w:val="20"/>
    </w:rPr>
  </w:style>
  <w:style w:type="paragraph" w:customStyle="1" w:styleId="naisc">
    <w:name w:val="naisc"/>
    <w:basedOn w:val="Normal"/>
    <w:rsid w:val="00BC08F5"/>
    <w:pPr>
      <w:spacing w:before="100" w:beforeAutospacing="1" w:after="100" w:afterAutospacing="1"/>
      <w:jc w:val="center"/>
    </w:pPr>
    <w:rPr>
      <w:lang w:val="en-GB"/>
    </w:rPr>
  </w:style>
  <w:style w:type="character" w:styleId="Hyperlink">
    <w:name w:val="Hyperlink"/>
    <w:basedOn w:val="DefaultParagraphFont"/>
    <w:rsid w:val="00BC08F5"/>
    <w:rPr>
      <w:rFonts w:cs="Times New Roman"/>
      <w:color w:val="0000FF"/>
      <w:u w:val="single"/>
    </w:rPr>
  </w:style>
  <w:style w:type="paragraph" w:styleId="BalloonText">
    <w:name w:val="Balloon Text"/>
    <w:basedOn w:val="Normal"/>
    <w:link w:val="BalloonTextChar"/>
    <w:uiPriority w:val="99"/>
    <w:semiHidden/>
    <w:unhideWhenUsed/>
    <w:rsid w:val="00BC08F5"/>
    <w:rPr>
      <w:rFonts w:ascii="Tahoma" w:hAnsi="Tahoma" w:cs="Tahoma"/>
      <w:sz w:val="16"/>
      <w:szCs w:val="16"/>
    </w:rPr>
  </w:style>
  <w:style w:type="character" w:customStyle="1" w:styleId="BalloonTextChar">
    <w:name w:val="Balloon Text Char"/>
    <w:basedOn w:val="DefaultParagraphFont"/>
    <w:link w:val="BalloonText"/>
    <w:uiPriority w:val="99"/>
    <w:semiHidden/>
    <w:rsid w:val="00BC08F5"/>
    <w:rPr>
      <w:rFonts w:ascii="Tahoma" w:eastAsia="Times New Roman" w:hAnsi="Tahoma" w:cs="Tahoma"/>
      <w:sz w:val="16"/>
      <w:szCs w:val="16"/>
    </w:rPr>
  </w:style>
  <w:style w:type="paragraph" w:styleId="Header">
    <w:name w:val="header"/>
    <w:basedOn w:val="Normal"/>
    <w:link w:val="HeaderChar"/>
    <w:uiPriority w:val="99"/>
    <w:unhideWhenUsed/>
    <w:rsid w:val="00BC08F5"/>
    <w:pPr>
      <w:tabs>
        <w:tab w:val="center" w:pos="4513"/>
        <w:tab w:val="right" w:pos="9026"/>
      </w:tabs>
    </w:pPr>
  </w:style>
  <w:style w:type="character" w:customStyle="1" w:styleId="HeaderChar">
    <w:name w:val="Header Char"/>
    <w:basedOn w:val="DefaultParagraphFont"/>
    <w:link w:val="Header"/>
    <w:uiPriority w:val="99"/>
    <w:rsid w:val="00BC08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C08F5"/>
    <w:pPr>
      <w:tabs>
        <w:tab w:val="center" w:pos="4513"/>
        <w:tab w:val="right" w:pos="9026"/>
      </w:tabs>
    </w:pPr>
  </w:style>
  <w:style w:type="character" w:customStyle="1" w:styleId="FooterChar">
    <w:name w:val="Footer Char"/>
    <w:basedOn w:val="DefaultParagraphFont"/>
    <w:link w:val="Footer"/>
    <w:uiPriority w:val="99"/>
    <w:semiHidden/>
    <w:rsid w:val="00BC08F5"/>
    <w:rPr>
      <w:rFonts w:ascii="Times New Roman" w:eastAsia="Times New Roman" w:hAnsi="Times New Roman" w:cs="Times New Roman"/>
      <w:sz w:val="24"/>
      <w:szCs w:val="24"/>
    </w:rPr>
  </w:style>
  <w:style w:type="paragraph" w:styleId="ListParagraph">
    <w:name w:val="List Paragraph"/>
    <w:basedOn w:val="Normal"/>
    <w:uiPriority w:val="34"/>
    <w:qFormat/>
    <w:rsid w:val="007E54F6"/>
    <w:pPr>
      <w:spacing w:after="200" w:line="276" w:lineRule="auto"/>
      <w:ind w:left="720"/>
      <w:contextualSpacing/>
    </w:pPr>
    <w:rPr>
      <w:rFonts w:eastAsia="Calibri"/>
      <w:szCs w:val="22"/>
    </w:rPr>
  </w:style>
  <w:style w:type="paragraph" w:customStyle="1" w:styleId="naisf">
    <w:name w:val="naisf"/>
    <w:basedOn w:val="Normal"/>
    <w:rsid w:val="006E2B48"/>
    <w:pPr>
      <w:spacing w:before="100" w:beforeAutospacing="1" w:after="100" w:afterAutospacing="1"/>
      <w:jc w:val="both"/>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auzina@varam.gov.lv" TargetMode="External"/><Relationship Id="rId3" Type="http://schemas.openxmlformats.org/officeDocument/2006/relationships/settings" Target="settings.xml"/><Relationship Id="rId7" Type="http://schemas.openxmlformats.org/officeDocument/2006/relationships/hyperlink" Target="http://www.likumi.lv/doc.php?id=1683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2911</Words>
  <Characters>22769</Characters>
  <Application>Microsoft Office Word</Application>
  <DocSecurity>0</DocSecurity>
  <Lines>1264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austraa</dc:creator>
  <cp:keywords/>
  <dc:description/>
  <cp:lastModifiedBy>austraa</cp:lastModifiedBy>
  <cp:revision>8</cp:revision>
  <cp:lastPrinted>2013-06-19T12:18:00Z</cp:lastPrinted>
  <dcterms:created xsi:type="dcterms:W3CDTF">2013-04-02T07:37:00Z</dcterms:created>
  <dcterms:modified xsi:type="dcterms:W3CDTF">2013-06-19T12:20:00Z</dcterms:modified>
</cp:coreProperties>
</file>