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49" w:rsidRPr="006D30AE" w:rsidRDefault="00353590" w:rsidP="00353590">
      <w:pPr>
        <w:jc w:val="center"/>
        <w:rPr>
          <w:b/>
        </w:rPr>
      </w:pPr>
      <w:r w:rsidRPr="006D30AE">
        <w:rPr>
          <w:b/>
        </w:rPr>
        <w:t xml:space="preserve">Ministru kabineta sēdes protokollēmuma projekta </w:t>
      </w:r>
      <w:r w:rsidR="00D10CAF" w:rsidRPr="006D30AE">
        <w:rPr>
          <w:b/>
        </w:rPr>
        <w:t>„</w:t>
      </w:r>
      <w:bookmarkStart w:id="0" w:name="OLE_LINK1"/>
      <w:bookmarkStart w:id="1" w:name="OLE_LINK2"/>
      <w:r w:rsidRPr="006D30AE">
        <w:rPr>
          <w:b/>
        </w:rPr>
        <w:t xml:space="preserve">Par Ministru kabineta 2010.gada 10.augusta sēdes protokollēmuma (prot. Nr.41 71.§) </w:t>
      </w:r>
      <w:r w:rsidRPr="006D30AE">
        <w:rPr>
          <w:b/>
        </w:rPr>
        <w:sym w:font="Symbol" w:char="F0B2"/>
      </w:r>
      <w:r w:rsidRPr="006D30AE">
        <w:rPr>
          <w:b/>
        </w:rPr>
        <w:t xml:space="preserve">Noteikumu projekts "Noteikumi par darbības programmas "Infrastruktūra un pakalpojumi" papildinājuma 3.2.2.1.1.apakšaktivitātes "Informācijas sistēmu un elektronisko pakalpojumu attīstība" projektu iesniegumu atlases otro kārtu”” </w:t>
      </w:r>
      <w:r w:rsidR="00375713" w:rsidRPr="006D30AE">
        <w:rPr>
          <w:b/>
        </w:rPr>
        <w:t xml:space="preserve">3. un 4.punktā doto uzdevumu </w:t>
      </w:r>
      <w:r w:rsidRPr="006D30AE">
        <w:rPr>
          <w:b/>
        </w:rPr>
        <w:t>izpildi</w:t>
      </w:r>
      <w:bookmarkEnd w:id="0"/>
      <w:bookmarkEnd w:id="1"/>
      <w:r w:rsidRPr="006D30AE">
        <w:rPr>
          <w:b/>
        </w:rPr>
        <w:t xml:space="preserve">” </w:t>
      </w:r>
      <w:r w:rsidR="00B36A15" w:rsidRPr="006D30AE">
        <w:rPr>
          <w:b/>
        </w:rPr>
        <w:t>sākotnējās ietekmes</w:t>
      </w:r>
      <w:r w:rsidR="00825D3F" w:rsidRPr="006D30AE">
        <w:rPr>
          <w:b/>
        </w:rPr>
        <w:t xml:space="preserve"> </w:t>
      </w:r>
      <w:r w:rsidR="00852042" w:rsidRPr="006D30AE">
        <w:rPr>
          <w:b/>
        </w:rPr>
        <w:t xml:space="preserve">novērtējuma </w:t>
      </w:r>
      <w:smartTag w:uri="schemas-tilde-lv/tildestengine" w:element="veidnes">
        <w:smartTagPr>
          <w:attr w:name="id" w:val="-1"/>
          <w:attr w:name="baseform" w:val="ziņojums"/>
          <w:attr w:name="text" w:val="ziņojums"/>
        </w:smartTagPr>
        <w:r w:rsidR="00852042" w:rsidRPr="006D30AE">
          <w:rPr>
            <w:b/>
          </w:rPr>
          <w:t>ziņojums</w:t>
        </w:r>
      </w:smartTag>
      <w:r w:rsidR="00852042" w:rsidRPr="006D30AE">
        <w:rPr>
          <w:b/>
        </w:rPr>
        <w:t xml:space="preserve"> (anotācija)</w:t>
      </w:r>
    </w:p>
    <w:p w:rsidR="00EB09BA" w:rsidRPr="00A37390" w:rsidRDefault="00EB09BA" w:rsidP="008B4EFF">
      <w:pPr>
        <w:pStyle w:val="naislab"/>
        <w:spacing w:before="0" w:after="0"/>
        <w:jc w:val="left"/>
        <w:outlineLvl w:val="0"/>
        <w:rPr>
          <w:b/>
        </w:rPr>
      </w:pPr>
    </w:p>
    <w:tbl>
      <w:tblPr>
        <w:tblpPr w:leftFromText="180" w:rightFromText="180" w:vertAnchor="text" w:horzAnchor="margin" w:tblpXSpec="center" w:tblpY="149"/>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87"/>
        <w:gridCol w:w="4315"/>
        <w:gridCol w:w="4860"/>
      </w:tblGrid>
      <w:tr w:rsidR="00852042" w:rsidRPr="006D30AE" w:rsidTr="00F31F98">
        <w:tc>
          <w:tcPr>
            <w:tcW w:w="9862" w:type="dxa"/>
            <w:gridSpan w:val="3"/>
            <w:vAlign w:val="center"/>
          </w:tcPr>
          <w:p w:rsidR="00852042" w:rsidRPr="006D30AE" w:rsidRDefault="00852042" w:rsidP="006F5B66">
            <w:pPr>
              <w:pStyle w:val="naisnod"/>
              <w:numPr>
                <w:ilvl w:val="0"/>
                <w:numId w:val="19"/>
              </w:numPr>
              <w:spacing w:before="0" w:after="0"/>
            </w:pPr>
            <w:r w:rsidRPr="006D30AE">
              <w:t xml:space="preserve">Tiesību akta </w:t>
            </w:r>
            <w:r w:rsidR="002E3FF4" w:rsidRPr="006D30AE">
              <w:t xml:space="preserve">projekta </w:t>
            </w:r>
            <w:r w:rsidRPr="006D30AE">
              <w:t>izstrādes nepieciešamība</w:t>
            </w:r>
          </w:p>
          <w:p w:rsidR="006F5B66" w:rsidRPr="006D30AE" w:rsidRDefault="006F5B66" w:rsidP="006D30AE">
            <w:pPr>
              <w:pStyle w:val="naisnod"/>
              <w:spacing w:before="0" w:after="0"/>
              <w:ind w:left="360"/>
              <w:jc w:val="left"/>
            </w:pPr>
          </w:p>
        </w:tc>
      </w:tr>
      <w:tr w:rsidR="00262E2B" w:rsidRPr="006D30AE" w:rsidTr="00F31F98">
        <w:trPr>
          <w:trHeight w:val="630"/>
        </w:trPr>
        <w:tc>
          <w:tcPr>
            <w:tcW w:w="687" w:type="dxa"/>
          </w:tcPr>
          <w:p w:rsidR="00262E2B" w:rsidRPr="006D30AE" w:rsidRDefault="00262E2B" w:rsidP="006C4607">
            <w:pPr>
              <w:pStyle w:val="naiskr"/>
              <w:spacing w:before="0" w:after="0"/>
            </w:pPr>
            <w:r w:rsidRPr="006D30AE">
              <w:t>1.</w:t>
            </w:r>
          </w:p>
        </w:tc>
        <w:tc>
          <w:tcPr>
            <w:tcW w:w="4315" w:type="dxa"/>
          </w:tcPr>
          <w:p w:rsidR="00262E2B" w:rsidRPr="006D30AE" w:rsidRDefault="002D7F54" w:rsidP="00DA5914">
            <w:pPr>
              <w:pStyle w:val="naiskr"/>
              <w:spacing w:before="0" w:after="0"/>
              <w:ind w:left="22"/>
            </w:pPr>
            <w:r w:rsidRPr="006D30AE">
              <w:t>Pamatojums</w:t>
            </w:r>
          </w:p>
        </w:tc>
        <w:tc>
          <w:tcPr>
            <w:tcW w:w="4860" w:type="dxa"/>
          </w:tcPr>
          <w:p w:rsidR="00262E2B" w:rsidRPr="006D30AE" w:rsidRDefault="00353590" w:rsidP="00EB09BA">
            <w:pPr>
              <w:pStyle w:val="naiskr"/>
              <w:spacing w:before="120" w:after="120"/>
              <w:ind w:left="102" w:right="142" w:hanging="6"/>
              <w:jc w:val="both"/>
            </w:pPr>
            <w:r w:rsidRPr="006D30AE">
              <w:t>Ministru kabineta 20</w:t>
            </w:r>
            <w:r w:rsidR="00BD5915" w:rsidRPr="006D30AE">
              <w:t>10</w:t>
            </w:r>
            <w:r w:rsidRPr="006D30AE">
              <w:t xml:space="preserve">.gada </w:t>
            </w:r>
            <w:r w:rsidR="00BD5915" w:rsidRPr="006D30AE">
              <w:t>10.augusta</w:t>
            </w:r>
            <w:r w:rsidRPr="006D30AE">
              <w:t xml:space="preserve"> sēdes protokollēmum</w:t>
            </w:r>
            <w:r w:rsidR="0029140C" w:rsidRPr="006D30AE">
              <w:t>a</w:t>
            </w:r>
            <w:r w:rsidRPr="006D30AE">
              <w:t xml:space="preserve"> (prot. Nr.</w:t>
            </w:r>
            <w:r w:rsidR="00BD5915" w:rsidRPr="006D30AE">
              <w:t>41</w:t>
            </w:r>
            <w:r w:rsidRPr="006D30AE">
              <w:t xml:space="preserve">, </w:t>
            </w:r>
            <w:r w:rsidR="00BD5915" w:rsidRPr="006D30AE">
              <w:t>71</w:t>
            </w:r>
            <w:r w:rsidRPr="006D30AE">
              <w:t>.§) „</w:t>
            </w:r>
            <w:r w:rsidR="00BD5915" w:rsidRPr="006D30AE">
              <w:t>Noteikumu</w:t>
            </w:r>
            <w:r w:rsidR="00664C52" w:rsidRPr="006D30AE">
              <w:t xml:space="preserve"> projekts „</w:t>
            </w:r>
            <w:r w:rsidR="00BD5915" w:rsidRPr="006D30AE">
              <w:t>Noteikumi par darbības programmas "Infrastruktūra un pakalpojumi" papildinājuma 3.2.2.1.1.apakšaktivitātes "Informācijas sistēmu un elektronisko pakalpojumu attīstība</w:t>
            </w:r>
            <w:r w:rsidR="00664C52" w:rsidRPr="006D30AE">
              <w:t>”</w:t>
            </w:r>
            <w:r w:rsidR="00BD5915" w:rsidRPr="006D30AE">
              <w:t xml:space="preserve"> projektu iesniegumu atlases otro kārtu</w:t>
            </w:r>
            <w:r w:rsidRPr="006D30AE">
              <w:t xml:space="preserve">”” </w:t>
            </w:r>
            <w:r w:rsidR="0029140C" w:rsidRPr="006D30AE">
              <w:t>3.</w:t>
            </w:r>
            <w:r w:rsidR="00863707" w:rsidRPr="006D30AE">
              <w:t xml:space="preserve"> un 4.</w:t>
            </w:r>
            <w:r w:rsidR="0029140C" w:rsidRPr="006D30AE">
              <w:t>punkt</w:t>
            </w:r>
            <w:r w:rsidR="00375713" w:rsidRPr="006D30AE">
              <w:t>s.</w:t>
            </w:r>
          </w:p>
        </w:tc>
      </w:tr>
      <w:tr w:rsidR="00262E2B" w:rsidRPr="006D30AE" w:rsidTr="00C425E0">
        <w:trPr>
          <w:trHeight w:val="2542"/>
        </w:trPr>
        <w:tc>
          <w:tcPr>
            <w:tcW w:w="687" w:type="dxa"/>
          </w:tcPr>
          <w:p w:rsidR="00262E2B" w:rsidRPr="006D30AE" w:rsidRDefault="00262E2B" w:rsidP="006C4607">
            <w:pPr>
              <w:pStyle w:val="naiskr"/>
              <w:spacing w:before="0" w:after="0"/>
            </w:pPr>
            <w:r w:rsidRPr="006D30AE">
              <w:t>2.</w:t>
            </w:r>
          </w:p>
        </w:tc>
        <w:tc>
          <w:tcPr>
            <w:tcW w:w="4315" w:type="dxa"/>
          </w:tcPr>
          <w:p w:rsidR="00262E2B" w:rsidRPr="006D30AE" w:rsidRDefault="00262E2B" w:rsidP="00DA5914">
            <w:pPr>
              <w:pStyle w:val="naiskr"/>
              <w:tabs>
                <w:tab w:val="left" w:pos="170"/>
              </w:tabs>
              <w:spacing w:before="0" w:after="0"/>
              <w:ind w:left="22"/>
            </w:pPr>
            <w:r w:rsidRPr="006D30AE">
              <w:t>Pašreizējā situācija</w:t>
            </w:r>
            <w:r w:rsidR="001F5CD6" w:rsidRPr="006D30AE">
              <w:t xml:space="preserve"> un problēmas</w:t>
            </w:r>
          </w:p>
        </w:tc>
        <w:tc>
          <w:tcPr>
            <w:tcW w:w="4860" w:type="dxa"/>
          </w:tcPr>
          <w:p w:rsidR="00183C5B" w:rsidRPr="006D30AE" w:rsidRDefault="00BD5915" w:rsidP="00183C5B">
            <w:pPr>
              <w:pStyle w:val="naiskr"/>
              <w:spacing w:before="120" w:after="120"/>
              <w:ind w:left="102" w:right="142" w:hanging="6"/>
              <w:jc w:val="both"/>
            </w:pPr>
            <w:r w:rsidRPr="006D30AE">
              <w:t>Saskaņā ar Ministru kabineta 2010.gada 10.augusta sēdes protokollēmuma (prot. Nr.41 71</w:t>
            </w:r>
            <w:r w:rsidR="0034713C" w:rsidRPr="006D30AE">
              <w:t>.</w:t>
            </w:r>
            <w:r w:rsidRPr="006D30AE">
              <w:t>§)</w:t>
            </w:r>
            <w:r w:rsidR="00664C52" w:rsidRPr="006D30AE">
              <w:t xml:space="preserve"> „Noteikumu projekts „</w:t>
            </w:r>
            <w:r w:rsidRPr="006D30AE">
              <w:t>Not</w:t>
            </w:r>
            <w:r w:rsidR="00664C52" w:rsidRPr="006D30AE">
              <w:t>eikumi par darbības programmas „</w:t>
            </w:r>
            <w:r w:rsidRPr="006D30AE">
              <w:t>Infrastruktūra un pakalpojumi" papildinājuma 3.2.2.1.1.apakšaktivitātes „Informācijas sistēmu un elektronisko pakalpojumu attīstība" projektu iesniegumu atlases otro kārtu”” 3.</w:t>
            </w:r>
            <w:r w:rsidR="00183C5B" w:rsidRPr="006D30AE">
              <w:t xml:space="preserve"> un 4.</w:t>
            </w:r>
            <w:r w:rsidRPr="006D30AE">
              <w:t xml:space="preserve">punktā noteikto reģionālās attīstības un pašvaldību lietu ministram līdz 2010.gada 31.oktobrim Ministru kabinetā </w:t>
            </w:r>
            <w:r w:rsidR="00664C52" w:rsidRPr="006D30AE">
              <w:t>bija</w:t>
            </w:r>
            <w:r w:rsidRPr="006D30AE">
              <w:t xml:space="preserve"> jāiesniedz grozījumi Ministru kabineta 2010.gada 15.marta rīkojumā Nr.147 „Par elektroniskās pārvaldes un informācijas sabiedrības attīstības prioritāro </w:t>
            </w:r>
            <w:r w:rsidR="006E08ED" w:rsidRPr="006D30AE">
              <w:t>projektu sarakstu” (turpmāk – Ministru kabineta</w:t>
            </w:r>
            <w:r w:rsidRPr="006D30AE">
              <w:t xml:space="preserve"> rīkojums Nr.147) atbilstoši Ministru kabineta </w:t>
            </w:r>
            <w:r w:rsidR="00183C5B" w:rsidRPr="006D30AE">
              <w:t xml:space="preserve">2010.gada </w:t>
            </w:r>
            <w:r w:rsidRPr="006D30AE">
              <w:t>10.augusta noteikumu Nr.766 „Noteikumi par darbības programmas "Infrastruktūra un pakalpojumi" papildinājuma 3.2.2.1.1.apakšaktivitātes „Informācijas sistēmu un elektronisko pakalpojumu attīstība" projektu iesniegumu atlases otro kārtu” (turpmāk – M</w:t>
            </w:r>
            <w:r w:rsidR="006E08ED" w:rsidRPr="006D30AE">
              <w:t>inistru kabineta</w:t>
            </w:r>
            <w:r w:rsidRPr="006D30AE">
              <w:t xml:space="preserve"> noteikumi Nr.766) 1.pielikumam, kas nosaka 3.2.2.1.1.apakšaktivitātes „Informācijas sistēmu un elektronisko pakalpojumu attīstība” (turpmāk - 3.2.2.1.1.apakšaktivitāte) ietvaros plānoto</w:t>
            </w:r>
            <w:r w:rsidR="00DC5211" w:rsidRPr="006D30AE">
              <w:t>s</w:t>
            </w:r>
            <w:r w:rsidRPr="006D30AE">
              <w:t xml:space="preserve"> projektus un to kopējās attiecināmās izmaksas</w:t>
            </w:r>
            <w:r w:rsidR="00183C5B" w:rsidRPr="006D30AE">
              <w:t xml:space="preserve">, un līdz 2010.gada 31.decembrim bija jāveic finansējuma atlikuma 3.2.2.1.1.apakšaktivitātes  ietvaros 2 920 736 </w:t>
            </w:r>
            <w:r w:rsidR="00183C5B" w:rsidRPr="006D30AE">
              <w:lastRenderedPageBreak/>
              <w:t>LVL apmērā sadalījum</w:t>
            </w:r>
            <w:r w:rsidR="00EB09BA" w:rsidRPr="006D30AE">
              <w:t>s</w:t>
            </w:r>
            <w:r w:rsidR="00183C5B" w:rsidRPr="006D30AE">
              <w:t xml:space="preserve"> pa 3.2.2.1.1.apakšaktivitātes trešās kārtas projektiem, sagatavojot un iesniedzot Ministru kabinetā attiecīgus grozījumus Ministru kabineta rīkojumā Nr.147, kā arī jāizstrādā Ministru kabineta noteikumu projekts par 3.2.2.1.1.apakšaktivitātes projektu iesniegumu trešās atlases kārtas īstenošanu, vai jāsagatavo nepieciešam</w:t>
            </w:r>
            <w:r w:rsidR="003367CC" w:rsidRPr="006D30AE">
              <w:t>ie</w:t>
            </w:r>
            <w:r w:rsidR="00183C5B" w:rsidRPr="006D30AE">
              <w:t xml:space="preserve"> grozījum</w:t>
            </w:r>
            <w:r w:rsidR="003367CC" w:rsidRPr="006D30AE">
              <w:t>i</w:t>
            </w:r>
            <w:r w:rsidR="00183C5B" w:rsidRPr="006D30AE">
              <w:t xml:space="preserve"> Ministru kabineta noteikumos Nr.766, paredzot arī trešās atlases kārtas īstenošanu.</w:t>
            </w:r>
          </w:p>
          <w:p w:rsidR="00BD5915" w:rsidRPr="006D30AE" w:rsidRDefault="00BD5915" w:rsidP="00BD5915">
            <w:pPr>
              <w:pStyle w:val="naiskr"/>
              <w:spacing w:before="120" w:after="120"/>
              <w:ind w:left="102" w:right="142" w:hanging="6"/>
              <w:jc w:val="both"/>
            </w:pPr>
            <w:r w:rsidRPr="006D30AE">
              <w:t>Šobrīd vairākos 3.2.2.1.1.apakšaktivitātes projektos ir uzsāktas būtiska apjoma iepirkumu procedūras, kuru rezultātā tuvāko mēnešu laikā būs iespējams apkopot precīzus datus par šo projektu ietvaros nepieciešamajiem finansējuma līdzekļiem, un līdz ar to būs iespējams precīzāk noteikt 3.2.2.1.1.apakšaktivitātes projektu ietvaros</w:t>
            </w:r>
            <w:r w:rsidR="003B1FD7" w:rsidRPr="006D30AE">
              <w:t xml:space="preserve"> iegūto </w:t>
            </w:r>
            <w:r w:rsidRPr="006D30AE">
              <w:t xml:space="preserve">papildus </w:t>
            </w:r>
            <w:r w:rsidR="00183C5B" w:rsidRPr="006D30AE">
              <w:t>ietaupījumu</w:t>
            </w:r>
            <w:r w:rsidRPr="006D30AE">
              <w:t xml:space="preserve"> un novirzīt tos papildus projektu finansēšanai, sekmējot elektroniskās pārvaldes attīstību.</w:t>
            </w:r>
          </w:p>
          <w:p w:rsidR="00BA6058" w:rsidRPr="006D30AE" w:rsidRDefault="00BD5915" w:rsidP="009A2D74">
            <w:pPr>
              <w:pStyle w:val="naiskr"/>
              <w:spacing w:before="120" w:after="120"/>
              <w:ind w:left="102" w:right="142" w:hanging="6"/>
              <w:jc w:val="both"/>
            </w:pPr>
            <w:r w:rsidRPr="006D30AE">
              <w:t>Ņemot vērā augstāk minēto un to, ka saskaņā ar Ministru kabineta 2010.gada 2.marta sēdes protokollēmuma (Nr.11 53.§)</w:t>
            </w:r>
            <w:r w:rsidR="00375713" w:rsidRPr="006D30AE">
              <w:t xml:space="preserve"> „Rīkojuma projekts "Par elektroniskās pārvaldes un informācijas sabiedrības attīstības prioritāro projektu sarakstu””</w:t>
            </w:r>
            <w:r w:rsidRPr="006D30AE">
              <w:t xml:space="preserve"> 5.punktu RAPLM vismaz reizi gadā ir jāapkopo informācija par projektos radušos ietaupījumu, kas nozīmētu atkārtotu grozījumu veikšanu M</w:t>
            </w:r>
            <w:r w:rsidR="006E08ED" w:rsidRPr="006D30AE">
              <w:t>inistru kabi</w:t>
            </w:r>
            <w:r w:rsidR="003B1FD7" w:rsidRPr="006D30AE">
              <w:t>ne</w:t>
            </w:r>
            <w:r w:rsidR="006E08ED" w:rsidRPr="006D30AE">
              <w:t>ta</w:t>
            </w:r>
            <w:r w:rsidRPr="006D30AE">
              <w:t xml:space="preserve"> rīkojumā Nr.147, </w:t>
            </w:r>
            <w:r w:rsidR="009A2D74" w:rsidRPr="006D30AE">
              <w:t xml:space="preserve">un to, ka precīzāks 3.2.2.1.1.apakšaktivitātes projektu ietvaros papildus iegūtais ietaupījums, kā arī nesadalītā finansējuma apjoms būs zināms līdz 2011.gada martam, </w:t>
            </w:r>
            <w:r w:rsidR="00517D2B" w:rsidRPr="006D30AE">
              <w:t>Ministru kabineta 2010.gada 10.augusta sēdes protokollēmuma (prot. Nr.41 71</w:t>
            </w:r>
            <w:r w:rsidR="00D27A8A" w:rsidRPr="006D30AE">
              <w:t>.</w:t>
            </w:r>
            <w:r w:rsidR="00517D2B" w:rsidRPr="006D30AE">
              <w:t xml:space="preserve">§) </w:t>
            </w:r>
            <w:r w:rsidR="00C425E0" w:rsidRPr="006D30AE">
              <w:t xml:space="preserve">„Noteikumu projekts „Noteikumi par darbības programmas „Infrastruktūra un pakalpojumi" papildinājuma 3.2.2.1.1.apakšaktivitātes „Informācijas sistēmu un elektronisko pakalpojumu attīstība" projektu iesniegumu atlases otro kārtu”” </w:t>
            </w:r>
            <w:r w:rsidR="00DC5211" w:rsidRPr="006D30AE">
              <w:t>3.</w:t>
            </w:r>
            <w:r w:rsidR="00183C5B" w:rsidRPr="006D30AE">
              <w:t xml:space="preserve"> un 4.</w:t>
            </w:r>
            <w:r w:rsidR="00DC5211" w:rsidRPr="006D30AE">
              <w:t xml:space="preserve">punktā </w:t>
            </w:r>
            <w:r w:rsidR="00183C5B" w:rsidRPr="006D30AE">
              <w:t>noteikto uzdevumu</w:t>
            </w:r>
            <w:r w:rsidR="00517D2B" w:rsidRPr="006D30AE">
              <w:t xml:space="preserve"> </w:t>
            </w:r>
            <w:r w:rsidRPr="006D30AE">
              <w:t xml:space="preserve">izpildes termiņu </w:t>
            </w:r>
            <w:r w:rsidR="00517D2B" w:rsidRPr="006D30AE">
              <w:t xml:space="preserve">ir nepieciešams pagarināt </w:t>
            </w:r>
            <w:r w:rsidRPr="006D30AE">
              <w:t xml:space="preserve">līdz 2011.gada </w:t>
            </w:r>
            <w:r w:rsidR="00357EBD" w:rsidRPr="006D30AE">
              <w:t>15</w:t>
            </w:r>
            <w:r w:rsidRPr="006D30AE">
              <w:t>.</w:t>
            </w:r>
            <w:r w:rsidR="00357EBD" w:rsidRPr="006D30AE">
              <w:t>martam</w:t>
            </w:r>
            <w:r w:rsidRPr="006D30AE">
              <w:t>.</w:t>
            </w:r>
          </w:p>
        </w:tc>
      </w:tr>
      <w:tr w:rsidR="00262E2B" w:rsidRPr="006D30AE" w:rsidTr="00F46A7B">
        <w:trPr>
          <w:trHeight w:val="754"/>
        </w:trPr>
        <w:tc>
          <w:tcPr>
            <w:tcW w:w="687" w:type="dxa"/>
          </w:tcPr>
          <w:p w:rsidR="00262E2B" w:rsidRPr="006D30AE" w:rsidRDefault="00262E2B" w:rsidP="006C4607">
            <w:pPr>
              <w:pStyle w:val="naiskr"/>
              <w:spacing w:before="0" w:after="0"/>
            </w:pPr>
            <w:r w:rsidRPr="006D30AE">
              <w:lastRenderedPageBreak/>
              <w:t>3.</w:t>
            </w:r>
          </w:p>
        </w:tc>
        <w:tc>
          <w:tcPr>
            <w:tcW w:w="4315" w:type="dxa"/>
          </w:tcPr>
          <w:p w:rsidR="006F5B66" w:rsidRPr="006D30AE" w:rsidRDefault="00420870" w:rsidP="00F46A7B">
            <w:pPr>
              <w:pStyle w:val="naiskr"/>
              <w:spacing w:before="0" w:after="0"/>
              <w:ind w:left="22"/>
            </w:pPr>
            <w:r w:rsidRPr="006D30AE">
              <w:t>S</w:t>
            </w:r>
            <w:r w:rsidR="000B69CF" w:rsidRPr="006D30AE">
              <w:t xml:space="preserve">aistītie </w:t>
            </w:r>
            <w:r w:rsidR="001A6AE4" w:rsidRPr="006D30AE">
              <w:t>politikas ietekmes novērtējumi</w:t>
            </w:r>
            <w:r w:rsidR="00CB0247" w:rsidRPr="006D30AE">
              <w:t xml:space="preserve"> un</w:t>
            </w:r>
            <w:r w:rsidR="001A6AE4" w:rsidRPr="006D30AE">
              <w:t xml:space="preserve"> </w:t>
            </w:r>
            <w:r w:rsidR="000B69CF" w:rsidRPr="006D30AE">
              <w:t>pētījumi</w:t>
            </w:r>
          </w:p>
        </w:tc>
        <w:tc>
          <w:tcPr>
            <w:tcW w:w="4860" w:type="dxa"/>
          </w:tcPr>
          <w:p w:rsidR="00D20FF4" w:rsidRPr="006D30AE" w:rsidRDefault="0013250C" w:rsidP="0025465D">
            <w:pPr>
              <w:pStyle w:val="FootnoteText"/>
              <w:spacing w:before="120" w:after="120"/>
              <w:ind w:left="102" w:right="142"/>
              <w:rPr>
                <w:sz w:val="24"/>
                <w:szCs w:val="24"/>
              </w:rPr>
            </w:pPr>
            <w:r w:rsidRPr="006D30AE">
              <w:rPr>
                <w:sz w:val="24"/>
                <w:szCs w:val="24"/>
              </w:rPr>
              <w:t>Nav attiecināms</w:t>
            </w:r>
            <w:r w:rsidR="00C425E0" w:rsidRPr="006D30AE">
              <w:rPr>
                <w:sz w:val="24"/>
                <w:szCs w:val="24"/>
              </w:rPr>
              <w:t>.</w:t>
            </w:r>
          </w:p>
        </w:tc>
      </w:tr>
      <w:tr w:rsidR="00262E2B" w:rsidRPr="006D30AE" w:rsidTr="00F31F98">
        <w:trPr>
          <w:trHeight w:val="384"/>
        </w:trPr>
        <w:tc>
          <w:tcPr>
            <w:tcW w:w="687" w:type="dxa"/>
          </w:tcPr>
          <w:p w:rsidR="00262E2B" w:rsidRPr="006D30AE" w:rsidRDefault="00262E2B" w:rsidP="006C4607">
            <w:pPr>
              <w:pStyle w:val="naiskr"/>
              <w:spacing w:before="0" w:after="0"/>
            </w:pPr>
            <w:r w:rsidRPr="006D30AE">
              <w:lastRenderedPageBreak/>
              <w:t>4.</w:t>
            </w:r>
          </w:p>
        </w:tc>
        <w:tc>
          <w:tcPr>
            <w:tcW w:w="4315" w:type="dxa"/>
          </w:tcPr>
          <w:p w:rsidR="00262E2B" w:rsidRPr="006D30AE" w:rsidRDefault="000C790C" w:rsidP="00DA5914">
            <w:pPr>
              <w:pStyle w:val="naiskr"/>
              <w:spacing w:before="0" w:after="0"/>
              <w:ind w:left="22"/>
            </w:pPr>
            <w:r w:rsidRPr="006D30AE">
              <w:t>Tiesiskā r</w:t>
            </w:r>
            <w:r w:rsidR="00400032" w:rsidRPr="006D30AE">
              <w:t xml:space="preserve">egulējuma </w:t>
            </w:r>
            <w:r w:rsidR="00262E2B" w:rsidRPr="006D30AE">
              <w:t>mērķis un būtība</w:t>
            </w:r>
          </w:p>
        </w:tc>
        <w:tc>
          <w:tcPr>
            <w:tcW w:w="4860" w:type="dxa"/>
          </w:tcPr>
          <w:p w:rsidR="00A84D81" w:rsidRPr="006D30AE" w:rsidRDefault="00517D2B" w:rsidP="00D27A8A">
            <w:pPr>
              <w:spacing w:after="120"/>
              <w:ind w:left="102" w:right="142"/>
              <w:jc w:val="both"/>
            </w:pPr>
            <w:r w:rsidRPr="006D30AE">
              <w:t xml:space="preserve">Ministru kabineta sēdes protokollēmuma projekts </w:t>
            </w:r>
            <w:r w:rsidR="003B1FD7" w:rsidRPr="006D30AE">
              <w:t xml:space="preserve">„Par Ministru kabineta 2010.gada 10.augusta sēdes protokollēmuma (prot. Nr.41 71.§) </w:t>
            </w:r>
            <w:r w:rsidR="003B1FD7" w:rsidRPr="006D30AE">
              <w:sym w:font="Symbol" w:char="F0B2"/>
            </w:r>
            <w:r w:rsidR="003B1FD7" w:rsidRPr="006D30AE">
              <w:t>Noteikumu projekts "Noteikumi par darbības programmas "Infrastruktūra un pakalpojumi" papildinājuma 3.2.2.1.1.apakšaktivitātes "Informācijas sistēmu un elektronisko pakalpojumu attīstība" projektu iesniegumu atlases otro kārtu”” 3. un 4.punktā doto uzdevumu izpildi”</w:t>
            </w:r>
            <w:r w:rsidR="003B1FD7" w:rsidRPr="006D30AE">
              <w:rPr>
                <w:b/>
              </w:rPr>
              <w:t xml:space="preserve"> </w:t>
            </w:r>
            <w:r w:rsidRPr="006D30AE">
              <w:t>paredz pagarināt Ministru kabineta 2010.gada 10.augusta sēdes protokollēmum</w:t>
            </w:r>
            <w:r w:rsidR="00D27A8A" w:rsidRPr="006D30AE">
              <w:t>a</w:t>
            </w:r>
            <w:r w:rsidRPr="006D30AE">
              <w:t xml:space="preserve"> (prot. Nr.41, 71.§) „Noteikumu projekts „Noteikumi par darbības programmas „Infrastruktūra un pakalpojumi" papildinājuma 3.2.2.1.1.apakšaktivitātes „Informācijas sistēmu un elektronisko pakalpojumu attīstība" projektu iesniegumu atlases otro kārtu”” 3.</w:t>
            </w:r>
            <w:r w:rsidR="00BB7903" w:rsidRPr="006D30AE">
              <w:t xml:space="preserve"> un 4.</w:t>
            </w:r>
            <w:r w:rsidRPr="006D30AE">
              <w:t>punktā dot</w:t>
            </w:r>
            <w:r w:rsidR="00BB7903" w:rsidRPr="006D30AE">
              <w:t>o</w:t>
            </w:r>
            <w:r w:rsidRPr="006D30AE">
              <w:t xml:space="preserve"> uzdevum</w:t>
            </w:r>
            <w:r w:rsidR="00BB7903" w:rsidRPr="006D30AE">
              <w:t>u</w:t>
            </w:r>
            <w:r w:rsidRPr="006D30AE">
              <w:t xml:space="preserve"> izpildi </w:t>
            </w:r>
            <w:r w:rsidR="00F46A7B" w:rsidRPr="006D30AE">
              <w:t xml:space="preserve">līdz </w:t>
            </w:r>
            <w:r w:rsidRPr="006D30AE">
              <w:t xml:space="preserve">2011.gada </w:t>
            </w:r>
            <w:r w:rsidR="00357EBD" w:rsidRPr="006D30AE">
              <w:t>15</w:t>
            </w:r>
            <w:r w:rsidRPr="006D30AE">
              <w:t>.</w:t>
            </w:r>
            <w:r w:rsidR="00357EBD" w:rsidRPr="006D30AE">
              <w:t>martam</w:t>
            </w:r>
            <w:r w:rsidRPr="006D30AE">
              <w:t>.</w:t>
            </w:r>
          </w:p>
        </w:tc>
      </w:tr>
      <w:tr w:rsidR="00262E2B" w:rsidRPr="006D30AE" w:rsidTr="00F31F98">
        <w:trPr>
          <w:trHeight w:val="476"/>
        </w:trPr>
        <w:tc>
          <w:tcPr>
            <w:tcW w:w="687" w:type="dxa"/>
          </w:tcPr>
          <w:p w:rsidR="00262E2B" w:rsidRPr="006D30AE" w:rsidRDefault="00262E2B" w:rsidP="006C4607">
            <w:pPr>
              <w:pStyle w:val="naiskr"/>
              <w:spacing w:before="0" w:after="0"/>
            </w:pPr>
            <w:r w:rsidRPr="006D30AE">
              <w:t>5.</w:t>
            </w:r>
          </w:p>
        </w:tc>
        <w:tc>
          <w:tcPr>
            <w:tcW w:w="4315" w:type="dxa"/>
          </w:tcPr>
          <w:p w:rsidR="006F5B66" w:rsidRPr="006D30AE" w:rsidRDefault="001A4066" w:rsidP="00EB09BA">
            <w:pPr>
              <w:pStyle w:val="naiskr"/>
              <w:spacing w:before="0" w:after="0"/>
              <w:ind w:left="22"/>
            </w:pPr>
            <w:r w:rsidRPr="006D30AE">
              <w:t>Projekta i</w:t>
            </w:r>
            <w:r w:rsidR="00262E2B" w:rsidRPr="006D30AE">
              <w:t>zstrād</w:t>
            </w:r>
            <w:r w:rsidR="00420870" w:rsidRPr="006D30AE">
              <w:t xml:space="preserve">ē </w:t>
            </w:r>
            <w:r w:rsidR="00262E2B" w:rsidRPr="006D30AE">
              <w:t>iesaistītās institūcijas</w:t>
            </w:r>
          </w:p>
        </w:tc>
        <w:tc>
          <w:tcPr>
            <w:tcW w:w="4860" w:type="dxa"/>
          </w:tcPr>
          <w:p w:rsidR="00262E2B" w:rsidRPr="006D30AE" w:rsidRDefault="00F25801" w:rsidP="0025465D">
            <w:pPr>
              <w:pStyle w:val="naiskr"/>
              <w:spacing w:before="120" w:after="120"/>
              <w:ind w:left="102" w:right="142"/>
              <w:jc w:val="both"/>
            </w:pPr>
            <w:r w:rsidRPr="006D30AE">
              <w:rPr>
                <w:iCs/>
              </w:rPr>
              <w:t>Nav</w:t>
            </w:r>
            <w:r w:rsidR="006F5B66" w:rsidRPr="006D30AE">
              <w:rPr>
                <w:iCs/>
              </w:rPr>
              <w:t xml:space="preserve"> attiecināms</w:t>
            </w:r>
            <w:r w:rsidR="00C425E0" w:rsidRPr="006D30AE">
              <w:rPr>
                <w:iCs/>
              </w:rPr>
              <w:t>.</w:t>
            </w:r>
          </w:p>
        </w:tc>
      </w:tr>
      <w:tr w:rsidR="00262E2B" w:rsidRPr="006D30AE" w:rsidTr="00F31F98">
        <w:trPr>
          <w:trHeight w:val="415"/>
        </w:trPr>
        <w:tc>
          <w:tcPr>
            <w:tcW w:w="687" w:type="dxa"/>
          </w:tcPr>
          <w:p w:rsidR="00262E2B" w:rsidRPr="006D30AE" w:rsidRDefault="00262E2B" w:rsidP="006C4607">
            <w:pPr>
              <w:pStyle w:val="naiskr"/>
              <w:spacing w:before="0" w:after="0"/>
            </w:pPr>
            <w:r w:rsidRPr="006D30AE">
              <w:t>6.</w:t>
            </w:r>
          </w:p>
        </w:tc>
        <w:tc>
          <w:tcPr>
            <w:tcW w:w="4315" w:type="dxa"/>
          </w:tcPr>
          <w:p w:rsidR="00262E2B" w:rsidRPr="006D30AE" w:rsidRDefault="00BB7C94" w:rsidP="00DA5914">
            <w:pPr>
              <w:pStyle w:val="naiskr"/>
              <w:spacing w:before="0" w:after="0"/>
              <w:ind w:left="22"/>
              <w:rPr>
                <w:i/>
              </w:rPr>
            </w:pPr>
            <w:r w:rsidRPr="006D30AE">
              <w:t xml:space="preserve">Iemesli, kādēļ netika nodrošināta </w:t>
            </w:r>
            <w:r w:rsidR="00262E2B" w:rsidRPr="006D30AE">
              <w:t xml:space="preserve">sabiedrības </w:t>
            </w:r>
            <w:r w:rsidRPr="006D30AE">
              <w:t>līdzdalība</w:t>
            </w:r>
          </w:p>
        </w:tc>
        <w:tc>
          <w:tcPr>
            <w:tcW w:w="4860" w:type="dxa"/>
          </w:tcPr>
          <w:p w:rsidR="00C458C0" w:rsidRPr="006D30AE" w:rsidRDefault="00EB09BA" w:rsidP="00EB09BA">
            <w:pPr>
              <w:pStyle w:val="naiskr"/>
              <w:spacing w:before="120" w:after="120"/>
              <w:ind w:left="102" w:right="142"/>
              <w:jc w:val="both"/>
            </w:pPr>
            <w:r w:rsidRPr="006D30AE">
              <w:t xml:space="preserve">Sabiedrības līdzdalība Ministru kabineta sēdes protokollēmuma projekta „Par Ministru kabineta 2010.gada 10.augusta sēdes protokollēmuma (prot. Nr.41 71.§) </w:t>
            </w:r>
            <w:r w:rsidRPr="006D30AE">
              <w:sym w:font="Symbol" w:char="F0B2"/>
            </w:r>
            <w:r w:rsidRPr="006D30AE">
              <w:t>Noteikumu projekts "Noteikumi par darbības programmas "Infrastruktūra un pakalpojumi" papildinājuma 3.2.2.1.1.apakšaktivitātes "Informācijas sistēmu un elektronisko pakalpojumu attīstība" projektu iesniegumu atlases otro kārtu”” 3. un 4.punktā doto uzdevumu izpildi”</w:t>
            </w:r>
            <w:r w:rsidR="0034713C" w:rsidRPr="006D30AE">
              <w:t xml:space="preserve"> projekta izstrādē nebija nepieciešama, jo sabiedrības līdzdalība šo uzdevumu izpildes termiņu neietekmē.</w:t>
            </w:r>
          </w:p>
        </w:tc>
      </w:tr>
      <w:tr w:rsidR="00262E2B" w:rsidRPr="006D30AE" w:rsidTr="00F31F98">
        <w:tc>
          <w:tcPr>
            <w:tcW w:w="687" w:type="dxa"/>
          </w:tcPr>
          <w:p w:rsidR="00262E2B" w:rsidRPr="006D30AE" w:rsidRDefault="00262E2B" w:rsidP="006C4607">
            <w:pPr>
              <w:pStyle w:val="naiskr"/>
              <w:spacing w:before="0" w:after="0"/>
            </w:pPr>
            <w:r w:rsidRPr="006D30AE">
              <w:t>7.</w:t>
            </w:r>
          </w:p>
        </w:tc>
        <w:tc>
          <w:tcPr>
            <w:tcW w:w="4315" w:type="dxa"/>
          </w:tcPr>
          <w:p w:rsidR="006F5B66" w:rsidRPr="006D30AE" w:rsidRDefault="00262E2B" w:rsidP="00EB09BA">
            <w:pPr>
              <w:pStyle w:val="naiskr"/>
              <w:spacing w:before="0" w:after="0"/>
              <w:ind w:left="22"/>
            </w:pPr>
            <w:r w:rsidRPr="006D30AE">
              <w:t>Cita informācij</w:t>
            </w:r>
            <w:r w:rsidR="00EB09BA" w:rsidRPr="006D30AE">
              <w:t>a</w:t>
            </w:r>
          </w:p>
        </w:tc>
        <w:tc>
          <w:tcPr>
            <w:tcW w:w="4860" w:type="dxa"/>
          </w:tcPr>
          <w:p w:rsidR="00262E2B" w:rsidRPr="006D30AE" w:rsidRDefault="006F5B66" w:rsidP="00EB09BA">
            <w:pPr>
              <w:pStyle w:val="naiskr"/>
              <w:spacing w:before="120" w:after="120"/>
              <w:ind w:left="102" w:right="142"/>
              <w:jc w:val="both"/>
            </w:pPr>
            <w:r w:rsidRPr="006D30AE">
              <w:rPr>
                <w:iCs/>
              </w:rPr>
              <w:t>Nav</w:t>
            </w:r>
            <w:r w:rsidR="00C425E0" w:rsidRPr="006D30AE">
              <w:rPr>
                <w:iCs/>
              </w:rPr>
              <w:t>.</w:t>
            </w:r>
          </w:p>
        </w:tc>
      </w:tr>
    </w:tbl>
    <w:p w:rsidR="00EB09BA" w:rsidRPr="006D30AE" w:rsidRDefault="00EB09BA" w:rsidP="00A411F4">
      <w:pPr>
        <w:pStyle w:val="naisf"/>
        <w:spacing w:before="0" w:after="0"/>
        <w:ind w:firstLine="0"/>
        <w:rPr>
          <w:color w:val="FF0000"/>
        </w:rPr>
      </w:pPr>
    </w:p>
    <w:tbl>
      <w:tblPr>
        <w:tblpPr w:leftFromText="180" w:rightFromText="180" w:vertAnchor="text" w:horzAnchor="margin" w:tblpXSpec="center" w:tblpY="149"/>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11"/>
      </w:tblGrid>
      <w:tr w:rsidR="00A411F4" w:rsidRPr="006D30AE" w:rsidTr="00150C6D">
        <w:tc>
          <w:tcPr>
            <w:tcW w:w="9911" w:type="dxa"/>
          </w:tcPr>
          <w:p w:rsidR="00A411F4" w:rsidRPr="006D30AE" w:rsidRDefault="00A411F4" w:rsidP="0034713C">
            <w:pPr>
              <w:pStyle w:val="naisf"/>
              <w:spacing w:before="0" w:after="0"/>
              <w:jc w:val="left"/>
            </w:pPr>
            <w:r w:rsidRPr="006D30AE">
              <w:t xml:space="preserve">Anotācijas </w:t>
            </w:r>
            <w:r w:rsidR="0034713C" w:rsidRPr="006D30AE">
              <w:t>II,</w:t>
            </w:r>
            <w:r w:rsidR="00517D2B" w:rsidRPr="006D30AE">
              <w:t xml:space="preserve"> </w:t>
            </w:r>
            <w:r w:rsidR="00150C6D" w:rsidRPr="006D30AE">
              <w:t>III</w:t>
            </w:r>
            <w:r w:rsidR="0034713C" w:rsidRPr="006D30AE">
              <w:t xml:space="preserve">, IV, V, VI un VII sadaļas </w:t>
            </w:r>
            <w:r w:rsidRPr="006D30AE">
              <w:t>– nav attiecināmas.</w:t>
            </w:r>
          </w:p>
        </w:tc>
      </w:tr>
    </w:tbl>
    <w:p w:rsidR="00A411F4" w:rsidRPr="006D30AE" w:rsidRDefault="00A411F4" w:rsidP="006C4607">
      <w:pPr>
        <w:pStyle w:val="naiskr"/>
        <w:tabs>
          <w:tab w:val="left" w:pos="2628"/>
        </w:tabs>
        <w:spacing w:before="0" w:after="0"/>
      </w:pPr>
    </w:p>
    <w:p w:rsidR="00995D40" w:rsidRPr="006D30AE" w:rsidRDefault="00995D40" w:rsidP="00995D40"/>
    <w:p w:rsidR="006F7C7C" w:rsidRPr="006D30AE" w:rsidRDefault="006F7C7C" w:rsidP="006F7C7C">
      <w:pPr>
        <w:ind w:firstLine="405"/>
        <w:jc w:val="both"/>
      </w:pPr>
      <w:r w:rsidRPr="006D30AE">
        <w:t xml:space="preserve">Vides aizsardzības un reģionālās attīstības </w:t>
      </w:r>
      <w:r w:rsidRPr="006D30AE">
        <w:tab/>
      </w:r>
      <w:r w:rsidRPr="006D30AE">
        <w:tab/>
      </w:r>
      <w:r w:rsidRPr="006D30AE">
        <w:tab/>
      </w:r>
      <w:r w:rsidRPr="006D30AE">
        <w:tab/>
        <w:t>R.Vējonis</w:t>
      </w:r>
    </w:p>
    <w:p w:rsidR="006F7C7C" w:rsidRPr="006D30AE" w:rsidRDefault="006F7C7C" w:rsidP="006F7C7C">
      <w:pPr>
        <w:ind w:firstLine="426"/>
        <w:jc w:val="both"/>
      </w:pPr>
      <w:r w:rsidRPr="006D30AE">
        <w:t>ministrs</w:t>
      </w:r>
    </w:p>
    <w:p w:rsidR="00F46A7B" w:rsidRPr="006D30AE" w:rsidRDefault="00F46A7B" w:rsidP="00F46A7B">
      <w:pPr>
        <w:ind w:firstLine="720"/>
        <w:jc w:val="both"/>
      </w:pPr>
    </w:p>
    <w:p w:rsidR="00F46A7B" w:rsidRPr="006D30AE" w:rsidRDefault="00F46A7B" w:rsidP="00F46A7B">
      <w:pPr>
        <w:ind w:firstLine="720"/>
        <w:jc w:val="both"/>
      </w:pPr>
    </w:p>
    <w:p w:rsidR="006F7C7C" w:rsidRPr="006D30AE" w:rsidRDefault="006F7C7C" w:rsidP="006F7C7C">
      <w:pPr>
        <w:ind w:firstLine="426"/>
        <w:jc w:val="both"/>
      </w:pPr>
      <w:r w:rsidRPr="006D30AE">
        <w:t>Vīza: Valsts sekretārs</w:t>
      </w:r>
      <w:r w:rsidRPr="006D30AE">
        <w:tab/>
      </w:r>
      <w:r w:rsidRPr="006D30AE">
        <w:tab/>
      </w:r>
      <w:r w:rsidRPr="006D30AE">
        <w:tab/>
      </w:r>
      <w:r w:rsidRPr="006D30AE">
        <w:tab/>
      </w:r>
      <w:r w:rsidRPr="006D30AE">
        <w:tab/>
      </w:r>
      <w:r w:rsidRPr="006D30AE">
        <w:tab/>
      </w:r>
      <w:r w:rsidRPr="006D30AE">
        <w:tab/>
        <w:t>G.Puķītis</w:t>
      </w:r>
    </w:p>
    <w:p w:rsidR="006F7C7C" w:rsidRPr="006D30AE" w:rsidRDefault="006F7C7C" w:rsidP="00593A9A">
      <w:pPr>
        <w:rPr>
          <w:sz w:val="16"/>
          <w:szCs w:val="16"/>
        </w:rPr>
      </w:pPr>
    </w:p>
    <w:p w:rsidR="006F7C7C" w:rsidRPr="006D30AE" w:rsidRDefault="00183C5B" w:rsidP="006F7C7C">
      <w:pPr>
        <w:jc w:val="both"/>
        <w:rPr>
          <w:sz w:val="16"/>
          <w:szCs w:val="16"/>
        </w:rPr>
      </w:pPr>
      <w:r w:rsidRPr="006D30AE">
        <w:rPr>
          <w:sz w:val="16"/>
          <w:szCs w:val="16"/>
        </w:rPr>
        <w:t>20</w:t>
      </w:r>
      <w:r w:rsidR="006F7C7C" w:rsidRPr="006D30AE">
        <w:rPr>
          <w:sz w:val="16"/>
          <w:szCs w:val="16"/>
        </w:rPr>
        <w:t xml:space="preserve">.01.2011. 09:50 </w:t>
      </w:r>
    </w:p>
    <w:p w:rsidR="006F7C7C" w:rsidRPr="006D30AE" w:rsidRDefault="00BB07F6" w:rsidP="006F7C7C">
      <w:pPr>
        <w:jc w:val="both"/>
        <w:rPr>
          <w:sz w:val="16"/>
          <w:szCs w:val="16"/>
        </w:rPr>
      </w:pPr>
      <w:r>
        <w:rPr>
          <w:sz w:val="16"/>
          <w:szCs w:val="16"/>
        </w:rPr>
        <w:t>649</w:t>
      </w:r>
    </w:p>
    <w:p w:rsidR="006F7C7C" w:rsidRPr="006D30AE" w:rsidRDefault="00183C5B" w:rsidP="006F7C7C">
      <w:pPr>
        <w:jc w:val="both"/>
        <w:rPr>
          <w:sz w:val="16"/>
          <w:szCs w:val="16"/>
        </w:rPr>
      </w:pPr>
      <w:r w:rsidRPr="006D30AE">
        <w:rPr>
          <w:sz w:val="16"/>
          <w:szCs w:val="16"/>
        </w:rPr>
        <w:t>I.Briņķe</w:t>
      </w:r>
    </w:p>
    <w:p w:rsidR="006F7C7C" w:rsidRPr="006D30AE" w:rsidRDefault="006F7C7C" w:rsidP="006F7C7C">
      <w:pPr>
        <w:jc w:val="both"/>
        <w:rPr>
          <w:sz w:val="16"/>
          <w:szCs w:val="16"/>
        </w:rPr>
      </w:pPr>
      <w:r w:rsidRPr="006D30AE">
        <w:rPr>
          <w:sz w:val="16"/>
          <w:szCs w:val="16"/>
        </w:rPr>
        <w:t>6777032</w:t>
      </w:r>
      <w:r w:rsidR="00183C5B" w:rsidRPr="006D30AE">
        <w:rPr>
          <w:sz w:val="16"/>
          <w:szCs w:val="16"/>
        </w:rPr>
        <w:t>6</w:t>
      </w:r>
      <w:r w:rsidRPr="006D30AE">
        <w:rPr>
          <w:sz w:val="16"/>
          <w:szCs w:val="16"/>
        </w:rPr>
        <w:t xml:space="preserve"> </w:t>
      </w:r>
    </w:p>
    <w:p w:rsidR="00A37390" w:rsidRPr="006D30AE" w:rsidRDefault="00906848" w:rsidP="006F7C7C">
      <w:pPr>
        <w:jc w:val="both"/>
        <w:rPr>
          <w:sz w:val="16"/>
          <w:szCs w:val="16"/>
        </w:rPr>
      </w:pPr>
      <w:hyperlink r:id="rId7" w:history="1">
        <w:r w:rsidR="00183C5B" w:rsidRPr="006D30AE">
          <w:rPr>
            <w:rStyle w:val="Hyperlink"/>
            <w:sz w:val="16"/>
            <w:szCs w:val="16"/>
          </w:rPr>
          <w:t>Ieva.Brinke@varam.gov.lv</w:t>
        </w:r>
      </w:hyperlink>
    </w:p>
    <w:sectPr w:rsidR="00A37390" w:rsidRPr="006D30AE" w:rsidSect="00593A9A">
      <w:headerReference w:type="even" r:id="rId8"/>
      <w:headerReference w:type="default" r:id="rId9"/>
      <w:footerReference w:type="default" r:id="rId10"/>
      <w:footerReference w:type="first" r:id="rId11"/>
      <w:pgSz w:w="11906" w:h="16838" w:code="9"/>
      <w:pgMar w:top="993" w:right="1134"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2C0" w:rsidRDefault="00D412C0">
      <w:r>
        <w:separator/>
      </w:r>
    </w:p>
  </w:endnote>
  <w:endnote w:type="continuationSeparator" w:id="0">
    <w:p w:rsidR="00D412C0" w:rsidRDefault="00D41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AFF" w:usb1="C000605B" w:usb2="00000029"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51" w:rsidRPr="00F46A7B" w:rsidRDefault="00E57A45" w:rsidP="00051D30">
    <w:pPr>
      <w:jc w:val="both"/>
      <w:rPr>
        <w:b/>
        <w:sz w:val="20"/>
        <w:szCs w:val="20"/>
      </w:rPr>
    </w:pPr>
    <w:r>
      <w:rPr>
        <w:sz w:val="20"/>
        <w:szCs w:val="20"/>
      </w:rPr>
      <w:t>VARAM</w:t>
    </w:r>
    <w:r w:rsidR="00453D51" w:rsidRPr="00F46A7B">
      <w:rPr>
        <w:sz w:val="20"/>
        <w:szCs w:val="20"/>
      </w:rPr>
      <w:t>Anot_</w:t>
    </w:r>
    <w:r w:rsidR="00183C5B">
      <w:rPr>
        <w:sz w:val="20"/>
        <w:szCs w:val="20"/>
      </w:rPr>
      <w:t>20</w:t>
    </w:r>
    <w:r w:rsidR="006F7C7C">
      <w:rPr>
        <w:sz w:val="20"/>
        <w:szCs w:val="20"/>
      </w:rPr>
      <w:t>01</w:t>
    </w:r>
    <w:r w:rsidR="0043266C" w:rsidRPr="00F46A7B">
      <w:rPr>
        <w:sz w:val="20"/>
        <w:szCs w:val="20"/>
      </w:rPr>
      <w:t>1</w:t>
    </w:r>
    <w:r w:rsidR="006F7C7C">
      <w:rPr>
        <w:sz w:val="20"/>
        <w:szCs w:val="20"/>
      </w:rPr>
      <w:t>1</w:t>
    </w:r>
    <w:r w:rsidR="00453D51" w:rsidRPr="00F46A7B">
      <w:rPr>
        <w:sz w:val="20"/>
        <w:szCs w:val="20"/>
      </w:rPr>
      <w:t>_</w:t>
    </w:r>
    <w:r w:rsidR="00F46A7B" w:rsidRPr="00F46A7B">
      <w:rPr>
        <w:sz w:val="20"/>
        <w:szCs w:val="20"/>
      </w:rPr>
      <w:t>MKpl</w:t>
    </w:r>
    <w:r w:rsidR="00453D51" w:rsidRPr="00F46A7B">
      <w:rPr>
        <w:sz w:val="20"/>
        <w:szCs w:val="20"/>
      </w:rPr>
      <w:t xml:space="preserve">; </w:t>
    </w:r>
    <w:r w:rsidR="00F46A7B" w:rsidRPr="00F46A7B">
      <w:rPr>
        <w:sz w:val="20"/>
        <w:szCs w:val="20"/>
      </w:rPr>
      <w:t xml:space="preserve">Ministru kabineta sēdes protokollēmuma projekta „Par Ministru kabineta 2010.gada 10.augusta sēdes protokollēmuma (prot. Nr.41 71.§) </w:t>
    </w:r>
    <w:r w:rsidR="00F46A7B" w:rsidRPr="00F46A7B">
      <w:rPr>
        <w:sz w:val="20"/>
        <w:szCs w:val="20"/>
      </w:rPr>
      <w:sym w:font="Symbol" w:char="F0B2"/>
    </w:r>
    <w:r w:rsidR="00F46A7B" w:rsidRPr="00F46A7B">
      <w:rPr>
        <w:sz w:val="20"/>
        <w:szCs w:val="20"/>
      </w:rPr>
      <w:t>Noteikumu projekts "Noteikumi par darbības programmas "Infrastruktūra un pakalpojumi" papildinājuma 3.2.2.1.1.apakšaktivitātes "Informācijas sistēmu un elektronisko pakalpojumu attīstība" projektu iesniegumu atlases otro kārtu””</w:t>
    </w:r>
    <w:r w:rsidR="00375713">
      <w:rPr>
        <w:sz w:val="20"/>
        <w:szCs w:val="20"/>
      </w:rPr>
      <w:t xml:space="preserve"> 3. un 4.punktā doto uzdevumu</w:t>
    </w:r>
    <w:r w:rsidR="00F46A7B" w:rsidRPr="00F46A7B">
      <w:rPr>
        <w:sz w:val="20"/>
        <w:szCs w:val="20"/>
      </w:rPr>
      <w:t xml:space="preserve"> izpildi” sākotnējās ietekmes novērtējuma </w:t>
    </w:r>
    <w:smartTag w:uri="schemas-tilde-lv/tildestengine" w:element="veidnes">
      <w:smartTagPr>
        <w:attr w:name="id" w:val="-1"/>
        <w:attr w:name="baseform" w:val="ziņojums"/>
        <w:attr w:name="text" w:val="ziņojums"/>
      </w:smartTagPr>
      <w:r w:rsidR="00F46A7B" w:rsidRPr="00F46A7B">
        <w:rPr>
          <w:sz w:val="20"/>
          <w:szCs w:val="20"/>
        </w:rPr>
        <w:t>ziņojums</w:t>
      </w:r>
    </w:smartTag>
    <w:r w:rsidR="00F46A7B" w:rsidRPr="00F46A7B">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51" w:rsidRPr="00F46A7B" w:rsidRDefault="005527E7" w:rsidP="00F46A7B">
    <w:pPr>
      <w:jc w:val="both"/>
      <w:rPr>
        <w:b/>
        <w:szCs w:val="28"/>
      </w:rPr>
    </w:pPr>
    <w:r>
      <w:rPr>
        <w:sz w:val="20"/>
        <w:szCs w:val="20"/>
      </w:rPr>
      <w:t>VARAM</w:t>
    </w:r>
    <w:r w:rsidR="00F46A7B" w:rsidRPr="00051D30">
      <w:rPr>
        <w:sz w:val="20"/>
        <w:szCs w:val="20"/>
      </w:rPr>
      <w:t>Anot_</w:t>
    </w:r>
    <w:r w:rsidR="00183C5B">
      <w:rPr>
        <w:sz w:val="20"/>
        <w:szCs w:val="20"/>
      </w:rPr>
      <w:t>20</w:t>
    </w:r>
    <w:r w:rsidR="006F7C7C">
      <w:rPr>
        <w:sz w:val="20"/>
        <w:szCs w:val="20"/>
      </w:rPr>
      <w:t>01</w:t>
    </w:r>
    <w:r w:rsidR="00F46A7B" w:rsidRPr="00051D30">
      <w:rPr>
        <w:sz w:val="20"/>
        <w:szCs w:val="20"/>
      </w:rPr>
      <w:t>1</w:t>
    </w:r>
    <w:r w:rsidR="006F7C7C">
      <w:rPr>
        <w:sz w:val="20"/>
        <w:szCs w:val="20"/>
      </w:rPr>
      <w:t>1</w:t>
    </w:r>
    <w:r w:rsidR="00F46A7B" w:rsidRPr="00051D30">
      <w:rPr>
        <w:sz w:val="20"/>
        <w:szCs w:val="20"/>
      </w:rPr>
      <w:t>_</w:t>
    </w:r>
    <w:r w:rsidR="00F46A7B">
      <w:rPr>
        <w:sz w:val="20"/>
        <w:szCs w:val="20"/>
      </w:rPr>
      <w:t>MKpl</w:t>
    </w:r>
    <w:r w:rsidR="00F46A7B" w:rsidRPr="00051D30">
      <w:rPr>
        <w:sz w:val="20"/>
        <w:szCs w:val="20"/>
      </w:rPr>
      <w:t xml:space="preserve">; </w:t>
    </w:r>
    <w:r w:rsidR="00F46A7B" w:rsidRPr="00F46A7B">
      <w:rPr>
        <w:sz w:val="20"/>
        <w:szCs w:val="20"/>
      </w:rPr>
      <w:t xml:space="preserve">Ministru kabineta sēdes protokollēmuma projekta „Par Ministru kabineta 2010.gada 10.augusta sēdes protokollēmuma (prot. Nr.41 71.§) </w:t>
    </w:r>
    <w:r w:rsidR="00F46A7B" w:rsidRPr="00F46A7B">
      <w:rPr>
        <w:sz w:val="20"/>
        <w:szCs w:val="20"/>
      </w:rPr>
      <w:sym w:font="Symbol" w:char="F0B2"/>
    </w:r>
    <w:r w:rsidR="00F46A7B" w:rsidRPr="00F46A7B">
      <w:rPr>
        <w:sz w:val="20"/>
        <w:szCs w:val="20"/>
      </w:rPr>
      <w:t xml:space="preserve">Noteikumu projekts "Noteikumi par darbības </w:t>
    </w:r>
    <w:r w:rsidR="00F46A7B" w:rsidRPr="005527E7">
      <w:rPr>
        <w:sz w:val="20"/>
        <w:szCs w:val="20"/>
      </w:rPr>
      <w:t>programmas</w:t>
    </w:r>
    <w:r w:rsidR="00F46A7B" w:rsidRPr="00F46A7B">
      <w:rPr>
        <w:sz w:val="20"/>
        <w:szCs w:val="20"/>
      </w:rPr>
      <w:t xml:space="preserve"> "Infrastruktūra un pakalpojumi" papildinājuma 3.2.2.1.1.apakšaktivitātes "Informācijas sistēmu un elektronisko pakalpojumu attīstība" projektu iesniegumu atlases otro kārtu””</w:t>
    </w:r>
    <w:r w:rsidR="00375713">
      <w:rPr>
        <w:sz w:val="20"/>
        <w:szCs w:val="20"/>
      </w:rPr>
      <w:t xml:space="preserve"> 3. un 4.punktā doto uzdevumu</w:t>
    </w:r>
    <w:r w:rsidR="00F46A7B" w:rsidRPr="00F46A7B">
      <w:rPr>
        <w:sz w:val="20"/>
        <w:szCs w:val="20"/>
      </w:rPr>
      <w:t xml:space="preserve"> izpildi” sākotnējās ietekmes novērtējuma </w:t>
    </w:r>
    <w:smartTag w:uri="schemas-tilde-lv/tildestengine" w:element="veidnes">
      <w:smartTagPr>
        <w:attr w:name="id" w:val="-1"/>
        <w:attr w:name="baseform" w:val="ziņojums"/>
        <w:attr w:name="text" w:val="ziņojums"/>
      </w:smartTagPr>
      <w:r w:rsidR="00F46A7B" w:rsidRPr="00F46A7B">
        <w:rPr>
          <w:sz w:val="20"/>
          <w:szCs w:val="20"/>
        </w:rPr>
        <w:t>ziņojums</w:t>
      </w:r>
    </w:smartTag>
    <w:r w:rsidR="00F46A7B" w:rsidRPr="00F46A7B">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2C0" w:rsidRDefault="00D412C0">
      <w:r>
        <w:separator/>
      </w:r>
    </w:p>
  </w:footnote>
  <w:footnote w:type="continuationSeparator" w:id="0">
    <w:p w:rsidR="00D412C0" w:rsidRDefault="00D41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51" w:rsidRDefault="00906848" w:rsidP="003C449B">
    <w:pPr>
      <w:pStyle w:val="Header"/>
      <w:framePr w:wrap="around" w:vAnchor="text" w:hAnchor="margin" w:xAlign="center" w:y="1"/>
      <w:rPr>
        <w:rStyle w:val="PageNumber"/>
      </w:rPr>
    </w:pPr>
    <w:r>
      <w:rPr>
        <w:rStyle w:val="PageNumber"/>
      </w:rPr>
      <w:fldChar w:fldCharType="begin"/>
    </w:r>
    <w:r w:rsidR="00453D51">
      <w:rPr>
        <w:rStyle w:val="PageNumber"/>
      </w:rPr>
      <w:instrText xml:space="preserve">PAGE  </w:instrText>
    </w:r>
    <w:r>
      <w:rPr>
        <w:rStyle w:val="PageNumber"/>
      </w:rPr>
      <w:fldChar w:fldCharType="end"/>
    </w:r>
  </w:p>
  <w:p w:rsidR="00453D51" w:rsidRDefault="00453D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51" w:rsidRDefault="00906848" w:rsidP="003C449B">
    <w:pPr>
      <w:pStyle w:val="Header"/>
      <w:framePr w:wrap="around" w:vAnchor="text" w:hAnchor="margin" w:xAlign="center" w:y="1"/>
      <w:rPr>
        <w:rStyle w:val="PageNumber"/>
      </w:rPr>
    </w:pPr>
    <w:r>
      <w:rPr>
        <w:rStyle w:val="PageNumber"/>
      </w:rPr>
      <w:fldChar w:fldCharType="begin"/>
    </w:r>
    <w:r w:rsidR="00453D51">
      <w:rPr>
        <w:rStyle w:val="PageNumber"/>
      </w:rPr>
      <w:instrText xml:space="preserve">PAGE  </w:instrText>
    </w:r>
    <w:r>
      <w:rPr>
        <w:rStyle w:val="PageNumber"/>
      </w:rPr>
      <w:fldChar w:fldCharType="separate"/>
    </w:r>
    <w:r w:rsidR="00BB07F6">
      <w:rPr>
        <w:rStyle w:val="PageNumber"/>
        <w:noProof/>
      </w:rPr>
      <w:t>3</w:t>
    </w:r>
    <w:r>
      <w:rPr>
        <w:rStyle w:val="PageNumber"/>
      </w:rPr>
      <w:fldChar w:fldCharType="end"/>
    </w:r>
  </w:p>
  <w:p w:rsidR="00453D51" w:rsidRDefault="00453D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BFB"/>
    <w:multiLevelType w:val="multilevel"/>
    <w:tmpl w:val="5B2C2C2C"/>
    <w:lvl w:ilvl="0">
      <w:start w:val="1"/>
      <w:numFmt w:val="decimal"/>
      <w:lvlText w:val="%1."/>
      <w:lvlJc w:val="left"/>
      <w:pPr>
        <w:ind w:left="360" w:hanging="360"/>
      </w:pPr>
      <w:rPr>
        <w:rFonts w:cs="Times New Roman"/>
        <w:b w:val="0"/>
      </w:rPr>
    </w:lvl>
    <w:lvl w:ilvl="1">
      <w:start w:val="1"/>
      <w:numFmt w:val="decimal"/>
      <w:lvlText w:val="%1.%2."/>
      <w:lvlJc w:val="left"/>
      <w:pPr>
        <w:ind w:left="432" w:hanging="432"/>
      </w:pPr>
      <w:rPr>
        <w:rFonts w:cs="Times New Roman"/>
        <w:b w:val="0"/>
      </w:rPr>
    </w:lvl>
    <w:lvl w:ilvl="2">
      <w:start w:val="1"/>
      <w:numFmt w:val="decimal"/>
      <w:lvlText w:val="%1.%2.%3."/>
      <w:lvlJc w:val="left"/>
      <w:pPr>
        <w:ind w:left="50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91645"/>
    <w:multiLevelType w:val="hybridMultilevel"/>
    <w:tmpl w:val="14AA3EB8"/>
    <w:lvl w:ilvl="0" w:tplc="88A22E10">
      <w:start w:val="1"/>
      <w:numFmt w:val="decimal"/>
      <w:lvlText w:val="%1."/>
      <w:lvlJc w:val="left"/>
      <w:pPr>
        <w:ind w:left="487" w:hanging="360"/>
      </w:pPr>
      <w:rPr>
        <w:rFonts w:ascii="Times New Roman" w:eastAsia="Times New Roman" w:hAnsi="Times New Roman" w:cs="Times New Roman"/>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A6B3669"/>
    <w:multiLevelType w:val="hybridMultilevel"/>
    <w:tmpl w:val="18EA1B32"/>
    <w:lvl w:ilvl="0" w:tplc="F4282B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3DE238C5"/>
    <w:multiLevelType w:val="multilevel"/>
    <w:tmpl w:val="06CCFDDE"/>
    <w:lvl w:ilvl="0">
      <w:start w:val="12"/>
      <w:numFmt w:val="none"/>
      <w:lvlText w:val="55."/>
      <w:lvlJc w:val="left"/>
      <w:pPr>
        <w:tabs>
          <w:tab w:val="num" w:pos="540"/>
        </w:tabs>
        <w:ind w:left="540" w:hanging="360"/>
      </w:pPr>
      <w:rPr>
        <w:rFonts w:hint="default"/>
        <w:b w:val="0"/>
        <w:i w:val="0"/>
        <w:color w:val="auto"/>
      </w:rPr>
    </w:lvl>
    <w:lvl w:ilvl="1">
      <w:start w:val="1"/>
      <w:numFmt w:val="decimal"/>
      <w:pStyle w:val="Noteikumuapakpunkti"/>
      <w:lvlText w:val="54.%2."/>
      <w:lvlJc w:val="left"/>
      <w:pPr>
        <w:tabs>
          <w:tab w:val="num" w:pos="1220"/>
        </w:tabs>
        <w:ind w:left="54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4A2E1CA8"/>
    <w:multiLevelType w:val="hybridMultilevel"/>
    <w:tmpl w:val="21507A3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3">
    <w:nsid w:val="52A67E06"/>
    <w:multiLevelType w:val="hybridMultilevel"/>
    <w:tmpl w:val="4210BCD0"/>
    <w:lvl w:ilvl="0" w:tplc="1A50EDB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596678DC"/>
    <w:multiLevelType w:val="hybridMultilevel"/>
    <w:tmpl w:val="BE88221C"/>
    <w:lvl w:ilvl="0" w:tplc="DEA04220">
      <w:start w:val="1"/>
      <w:numFmt w:val="decimal"/>
      <w:pStyle w:val="EE-paragrCharChar"/>
      <w:lvlText w:val="%1."/>
      <w:lvlJc w:val="left"/>
      <w:pPr>
        <w:ind w:left="360" w:hanging="360"/>
      </w:pPr>
      <w:rPr>
        <w:b w:val="0"/>
        <w:i w:val="0"/>
        <w:sz w:val="24"/>
        <w:szCs w:val="24"/>
      </w:r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1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nsid w:val="5ED9687A"/>
    <w:multiLevelType w:val="multilevel"/>
    <w:tmpl w:val="1EEA5EB8"/>
    <w:lvl w:ilvl="0">
      <w:start w:val="1"/>
      <w:numFmt w:val="decimal"/>
      <w:lvlText w:val="%1."/>
      <w:lvlJc w:val="left"/>
      <w:pPr>
        <w:ind w:left="502" w:hanging="360"/>
      </w:pPr>
      <w:rPr>
        <w:b w:val="0"/>
        <w:i w:val="0"/>
      </w:rPr>
    </w:lvl>
    <w:lvl w:ilvl="1">
      <w:start w:val="1"/>
      <w:numFmt w:val="decimal"/>
      <w:isLgl/>
      <w:lvlText w:val="%1.%2."/>
      <w:lvlJc w:val="left"/>
      <w:pPr>
        <w:ind w:left="1529" w:hanging="1245"/>
      </w:pPr>
      <w:rPr>
        <w:rFonts w:hint="default"/>
        <w:i w:val="0"/>
      </w:rPr>
    </w:lvl>
    <w:lvl w:ilvl="2">
      <w:start w:val="1"/>
      <w:numFmt w:val="decimal"/>
      <w:isLgl/>
      <w:lvlText w:val="%1.%2.%3."/>
      <w:lvlJc w:val="left"/>
      <w:pPr>
        <w:ind w:left="2685" w:hanging="1245"/>
      </w:pPr>
      <w:rPr>
        <w:rFonts w:hint="default"/>
      </w:rPr>
    </w:lvl>
    <w:lvl w:ilvl="3">
      <w:start w:val="1"/>
      <w:numFmt w:val="decimal"/>
      <w:isLgl/>
      <w:lvlText w:val="%1.%2.%3.%4."/>
      <w:lvlJc w:val="left"/>
      <w:pPr>
        <w:ind w:left="3045" w:hanging="1245"/>
      </w:pPr>
      <w:rPr>
        <w:rFonts w:hint="default"/>
      </w:rPr>
    </w:lvl>
    <w:lvl w:ilvl="4">
      <w:start w:val="1"/>
      <w:numFmt w:val="decimal"/>
      <w:isLgl/>
      <w:lvlText w:val="%1.%2.%3.%4.%5."/>
      <w:lvlJc w:val="left"/>
      <w:pPr>
        <w:ind w:left="3405" w:hanging="1245"/>
      </w:pPr>
      <w:rPr>
        <w:rFonts w:hint="default"/>
      </w:rPr>
    </w:lvl>
    <w:lvl w:ilvl="5">
      <w:start w:val="1"/>
      <w:numFmt w:val="decimal"/>
      <w:isLgl/>
      <w:lvlText w:val="%1.%2.%3.%4.%5.%6."/>
      <w:lvlJc w:val="left"/>
      <w:pPr>
        <w:ind w:left="3765" w:hanging="1245"/>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9"/>
  </w:num>
  <w:num w:numId="3">
    <w:abstractNumId w:val="6"/>
  </w:num>
  <w:num w:numId="4">
    <w:abstractNumId w:val="3"/>
  </w:num>
  <w:num w:numId="5">
    <w:abstractNumId w:val="1"/>
  </w:num>
  <w:num w:numId="6">
    <w:abstractNumId w:val="14"/>
  </w:num>
  <w:num w:numId="7">
    <w:abstractNumId w:val="20"/>
  </w:num>
  <w:num w:numId="8">
    <w:abstractNumId w:val="9"/>
  </w:num>
  <w:num w:numId="9">
    <w:abstractNumId w:val="5"/>
  </w:num>
  <w:num w:numId="10">
    <w:abstractNumId w:val="10"/>
  </w:num>
  <w:num w:numId="11">
    <w:abstractNumId w:val="11"/>
  </w:num>
  <w:num w:numId="12">
    <w:abstractNumId w:val="15"/>
  </w:num>
  <w:num w:numId="13">
    <w:abstractNumId w:val="17"/>
  </w:num>
  <w:num w:numId="14">
    <w:abstractNumId w:val="2"/>
  </w:num>
  <w:num w:numId="15">
    <w:abstractNumId w:val="16"/>
  </w:num>
  <w:num w:numId="16">
    <w:abstractNumId w:val="0"/>
  </w:num>
  <w:num w:numId="17">
    <w:abstractNumId w:val="16"/>
  </w:num>
  <w:num w:numId="18">
    <w:abstractNumId w:val="18"/>
  </w:num>
  <w:num w:numId="19">
    <w:abstractNumId w:val="13"/>
  </w:num>
  <w:num w:numId="20">
    <w:abstractNumId w:val="8"/>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5649"/>
    <w:rsid w:val="00004BF0"/>
    <w:rsid w:val="00004EFF"/>
    <w:rsid w:val="0000795C"/>
    <w:rsid w:val="00011D24"/>
    <w:rsid w:val="000125B7"/>
    <w:rsid w:val="00013FF4"/>
    <w:rsid w:val="00015BC8"/>
    <w:rsid w:val="00020A5E"/>
    <w:rsid w:val="00020FE1"/>
    <w:rsid w:val="00022E13"/>
    <w:rsid w:val="000269C4"/>
    <w:rsid w:val="000276C8"/>
    <w:rsid w:val="00032388"/>
    <w:rsid w:val="00035CE2"/>
    <w:rsid w:val="00036246"/>
    <w:rsid w:val="000449B1"/>
    <w:rsid w:val="00051D30"/>
    <w:rsid w:val="00052BAC"/>
    <w:rsid w:val="0005553B"/>
    <w:rsid w:val="00060028"/>
    <w:rsid w:val="000604D2"/>
    <w:rsid w:val="000622D8"/>
    <w:rsid w:val="00064699"/>
    <w:rsid w:val="0009005E"/>
    <w:rsid w:val="000941C5"/>
    <w:rsid w:val="000A554C"/>
    <w:rsid w:val="000A6451"/>
    <w:rsid w:val="000A6996"/>
    <w:rsid w:val="000B064E"/>
    <w:rsid w:val="000B0CA7"/>
    <w:rsid w:val="000B69CF"/>
    <w:rsid w:val="000C47FC"/>
    <w:rsid w:val="000C50F0"/>
    <w:rsid w:val="000C790C"/>
    <w:rsid w:val="000D14E0"/>
    <w:rsid w:val="000D45BE"/>
    <w:rsid w:val="000D6E0A"/>
    <w:rsid w:val="000E0E26"/>
    <w:rsid w:val="000E55EE"/>
    <w:rsid w:val="000E6695"/>
    <w:rsid w:val="000E6D78"/>
    <w:rsid w:val="000F061D"/>
    <w:rsid w:val="000F21F8"/>
    <w:rsid w:val="000F449A"/>
    <w:rsid w:val="000F4794"/>
    <w:rsid w:val="0012040B"/>
    <w:rsid w:val="00121C6C"/>
    <w:rsid w:val="00124F12"/>
    <w:rsid w:val="0013250C"/>
    <w:rsid w:val="001336F9"/>
    <w:rsid w:val="001431E7"/>
    <w:rsid w:val="00144E3A"/>
    <w:rsid w:val="0014720C"/>
    <w:rsid w:val="0015060C"/>
    <w:rsid w:val="00150C6D"/>
    <w:rsid w:val="00152FF7"/>
    <w:rsid w:val="00160058"/>
    <w:rsid w:val="0016018A"/>
    <w:rsid w:val="00161F0E"/>
    <w:rsid w:val="001655B3"/>
    <w:rsid w:val="00170E2A"/>
    <w:rsid w:val="001749C8"/>
    <w:rsid w:val="00177394"/>
    <w:rsid w:val="00182C18"/>
    <w:rsid w:val="00183C5B"/>
    <w:rsid w:val="00183CC2"/>
    <w:rsid w:val="001900E4"/>
    <w:rsid w:val="00190F88"/>
    <w:rsid w:val="00197F51"/>
    <w:rsid w:val="001A4066"/>
    <w:rsid w:val="001A6AE4"/>
    <w:rsid w:val="001A7632"/>
    <w:rsid w:val="001B01FD"/>
    <w:rsid w:val="001B4A71"/>
    <w:rsid w:val="001C1881"/>
    <w:rsid w:val="001C32CC"/>
    <w:rsid w:val="001D4791"/>
    <w:rsid w:val="001D5B54"/>
    <w:rsid w:val="001D6C70"/>
    <w:rsid w:val="001E1DBF"/>
    <w:rsid w:val="001E4639"/>
    <w:rsid w:val="001E4A7D"/>
    <w:rsid w:val="001E51AC"/>
    <w:rsid w:val="001F307D"/>
    <w:rsid w:val="001F43A8"/>
    <w:rsid w:val="001F5552"/>
    <w:rsid w:val="001F5CD6"/>
    <w:rsid w:val="00201797"/>
    <w:rsid w:val="002037E7"/>
    <w:rsid w:val="0020642E"/>
    <w:rsid w:val="0021263D"/>
    <w:rsid w:val="00213F0C"/>
    <w:rsid w:val="00214094"/>
    <w:rsid w:val="002154AA"/>
    <w:rsid w:val="0021592D"/>
    <w:rsid w:val="00222D76"/>
    <w:rsid w:val="00223EB1"/>
    <w:rsid w:val="00231344"/>
    <w:rsid w:val="0023231F"/>
    <w:rsid w:val="0023436E"/>
    <w:rsid w:val="002347C0"/>
    <w:rsid w:val="002405A9"/>
    <w:rsid w:val="00241A6C"/>
    <w:rsid w:val="00242D2B"/>
    <w:rsid w:val="00244F4E"/>
    <w:rsid w:val="00245391"/>
    <w:rsid w:val="00253AA8"/>
    <w:rsid w:val="0025465D"/>
    <w:rsid w:val="00262E2B"/>
    <w:rsid w:val="00270429"/>
    <w:rsid w:val="002717CB"/>
    <w:rsid w:val="002723E9"/>
    <w:rsid w:val="00277929"/>
    <w:rsid w:val="0028105E"/>
    <w:rsid w:val="002837FE"/>
    <w:rsid w:val="00283B82"/>
    <w:rsid w:val="002846E9"/>
    <w:rsid w:val="00284C34"/>
    <w:rsid w:val="0029066C"/>
    <w:rsid w:val="0029140C"/>
    <w:rsid w:val="00292037"/>
    <w:rsid w:val="002B0382"/>
    <w:rsid w:val="002B34A5"/>
    <w:rsid w:val="002B50DB"/>
    <w:rsid w:val="002C12AB"/>
    <w:rsid w:val="002C1FBA"/>
    <w:rsid w:val="002C279F"/>
    <w:rsid w:val="002C7390"/>
    <w:rsid w:val="002C7CAC"/>
    <w:rsid w:val="002D3306"/>
    <w:rsid w:val="002D48AA"/>
    <w:rsid w:val="002D593A"/>
    <w:rsid w:val="002D712B"/>
    <w:rsid w:val="002D7BAA"/>
    <w:rsid w:val="002D7F54"/>
    <w:rsid w:val="002E27AF"/>
    <w:rsid w:val="002E3FF4"/>
    <w:rsid w:val="002E5530"/>
    <w:rsid w:val="002F30B9"/>
    <w:rsid w:val="002F3770"/>
    <w:rsid w:val="002F6A5E"/>
    <w:rsid w:val="002F78C8"/>
    <w:rsid w:val="003003FC"/>
    <w:rsid w:val="00300F4E"/>
    <w:rsid w:val="00301CF3"/>
    <w:rsid w:val="003132E6"/>
    <w:rsid w:val="0032715C"/>
    <w:rsid w:val="00327620"/>
    <w:rsid w:val="00331DD6"/>
    <w:rsid w:val="003367CC"/>
    <w:rsid w:val="00337CA5"/>
    <w:rsid w:val="0034713C"/>
    <w:rsid w:val="00353590"/>
    <w:rsid w:val="00357EBD"/>
    <w:rsid w:val="00362478"/>
    <w:rsid w:val="00362D93"/>
    <w:rsid w:val="003657E9"/>
    <w:rsid w:val="0036668D"/>
    <w:rsid w:val="00372D58"/>
    <w:rsid w:val="00375713"/>
    <w:rsid w:val="00375B25"/>
    <w:rsid w:val="0038031C"/>
    <w:rsid w:val="00385409"/>
    <w:rsid w:val="00396542"/>
    <w:rsid w:val="0039685B"/>
    <w:rsid w:val="003A31A6"/>
    <w:rsid w:val="003A7F0C"/>
    <w:rsid w:val="003A7F79"/>
    <w:rsid w:val="003B1398"/>
    <w:rsid w:val="003B1FD7"/>
    <w:rsid w:val="003B6404"/>
    <w:rsid w:val="003C4115"/>
    <w:rsid w:val="003C449B"/>
    <w:rsid w:val="003D21FF"/>
    <w:rsid w:val="003D4320"/>
    <w:rsid w:val="003D48CD"/>
    <w:rsid w:val="003E05EB"/>
    <w:rsid w:val="003F0112"/>
    <w:rsid w:val="003F071A"/>
    <w:rsid w:val="003F160B"/>
    <w:rsid w:val="00400032"/>
    <w:rsid w:val="00400B5B"/>
    <w:rsid w:val="00402719"/>
    <w:rsid w:val="0040407E"/>
    <w:rsid w:val="00405A00"/>
    <w:rsid w:val="00411C4F"/>
    <w:rsid w:val="00420870"/>
    <w:rsid w:val="00426372"/>
    <w:rsid w:val="0043266C"/>
    <w:rsid w:val="0043791B"/>
    <w:rsid w:val="00441483"/>
    <w:rsid w:val="00441BCB"/>
    <w:rsid w:val="00446EAA"/>
    <w:rsid w:val="00447566"/>
    <w:rsid w:val="0044780C"/>
    <w:rsid w:val="00451071"/>
    <w:rsid w:val="0045176A"/>
    <w:rsid w:val="00453D51"/>
    <w:rsid w:val="00456332"/>
    <w:rsid w:val="00461826"/>
    <w:rsid w:val="0046394F"/>
    <w:rsid w:val="00466671"/>
    <w:rsid w:val="00467028"/>
    <w:rsid w:val="0047174B"/>
    <w:rsid w:val="004729CE"/>
    <w:rsid w:val="00472BD8"/>
    <w:rsid w:val="004800F9"/>
    <w:rsid w:val="004804E8"/>
    <w:rsid w:val="00483836"/>
    <w:rsid w:val="004844DB"/>
    <w:rsid w:val="0049134A"/>
    <w:rsid w:val="00492798"/>
    <w:rsid w:val="004A24E2"/>
    <w:rsid w:val="004A532A"/>
    <w:rsid w:val="004A58CB"/>
    <w:rsid w:val="004B1795"/>
    <w:rsid w:val="004B505F"/>
    <w:rsid w:val="004B56DD"/>
    <w:rsid w:val="004C020F"/>
    <w:rsid w:val="004C1AFD"/>
    <w:rsid w:val="004C3B9E"/>
    <w:rsid w:val="004C558B"/>
    <w:rsid w:val="004C5862"/>
    <w:rsid w:val="004C707D"/>
    <w:rsid w:val="004D6F8F"/>
    <w:rsid w:val="004F1F88"/>
    <w:rsid w:val="004F5F1B"/>
    <w:rsid w:val="004F68B8"/>
    <w:rsid w:val="00502374"/>
    <w:rsid w:val="005060A1"/>
    <w:rsid w:val="00510720"/>
    <w:rsid w:val="00516072"/>
    <w:rsid w:val="00517D2B"/>
    <w:rsid w:val="005204A6"/>
    <w:rsid w:val="0052416C"/>
    <w:rsid w:val="005332EC"/>
    <w:rsid w:val="00534418"/>
    <w:rsid w:val="0053493E"/>
    <w:rsid w:val="005353AB"/>
    <w:rsid w:val="00544CF9"/>
    <w:rsid w:val="00552222"/>
    <w:rsid w:val="005527E7"/>
    <w:rsid w:val="005560BC"/>
    <w:rsid w:val="005573BE"/>
    <w:rsid w:val="00566F09"/>
    <w:rsid w:val="00572700"/>
    <w:rsid w:val="00580468"/>
    <w:rsid w:val="00585888"/>
    <w:rsid w:val="0058603B"/>
    <w:rsid w:val="00590F49"/>
    <w:rsid w:val="00591254"/>
    <w:rsid w:val="00592DEA"/>
    <w:rsid w:val="00593A9A"/>
    <w:rsid w:val="0059431B"/>
    <w:rsid w:val="00597655"/>
    <w:rsid w:val="005A22AF"/>
    <w:rsid w:val="005A39CC"/>
    <w:rsid w:val="005A3DC5"/>
    <w:rsid w:val="005A5578"/>
    <w:rsid w:val="005B4730"/>
    <w:rsid w:val="005C1B2D"/>
    <w:rsid w:val="005C70CE"/>
    <w:rsid w:val="005D0571"/>
    <w:rsid w:val="005D2A00"/>
    <w:rsid w:val="005E05D7"/>
    <w:rsid w:val="005E41E7"/>
    <w:rsid w:val="005E450F"/>
    <w:rsid w:val="005F4882"/>
    <w:rsid w:val="00602451"/>
    <w:rsid w:val="00605E4A"/>
    <w:rsid w:val="00607B71"/>
    <w:rsid w:val="00614E2F"/>
    <w:rsid w:val="0062298A"/>
    <w:rsid w:val="00626514"/>
    <w:rsid w:val="00626589"/>
    <w:rsid w:val="00627203"/>
    <w:rsid w:val="006339A0"/>
    <w:rsid w:val="006413A8"/>
    <w:rsid w:val="00642E56"/>
    <w:rsid w:val="006465FB"/>
    <w:rsid w:val="00651E00"/>
    <w:rsid w:val="00657BAF"/>
    <w:rsid w:val="006622F0"/>
    <w:rsid w:val="00662C29"/>
    <w:rsid w:val="006630D6"/>
    <w:rsid w:val="00664C52"/>
    <w:rsid w:val="00671301"/>
    <w:rsid w:val="00674572"/>
    <w:rsid w:val="00687763"/>
    <w:rsid w:val="00692B0D"/>
    <w:rsid w:val="00693E0E"/>
    <w:rsid w:val="006A1AE3"/>
    <w:rsid w:val="006B49FA"/>
    <w:rsid w:val="006C30E1"/>
    <w:rsid w:val="006C4607"/>
    <w:rsid w:val="006C576E"/>
    <w:rsid w:val="006D1A9F"/>
    <w:rsid w:val="006D30AE"/>
    <w:rsid w:val="006D4451"/>
    <w:rsid w:val="006D48F1"/>
    <w:rsid w:val="006E08ED"/>
    <w:rsid w:val="006E1CC0"/>
    <w:rsid w:val="006E2B6E"/>
    <w:rsid w:val="006E4FA3"/>
    <w:rsid w:val="006F45BE"/>
    <w:rsid w:val="006F5B66"/>
    <w:rsid w:val="006F7C7C"/>
    <w:rsid w:val="007004FC"/>
    <w:rsid w:val="00706670"/>
    <w:rsid w:val="00707D33"/>
    <w:rsid w:val="00720621"/>
    <w:rsid w:val="00723367"/>
    <w:rsid w:val="0072417C"/>
    <w:rsid w:val="00724F78"/>
    <w:rsid w:val="00734450"/>
    <w:rsid w:val="00737F83"/>
    <w:rsid w:val="00741775"/>
    <w:rsid w:val="00741E5F"/>
    <w:rsid w:val="00743F69"/>
    <w:rsid w:val="00745F67"/>
    <w:rsid w:val="00746DCE"/>
    <w:rsid w:val="0075039E"/>
    <w:rsid w:val="00752D9D"/>
    <w:rsid w:val="00754784"/>
    <w:rsid w:val="00755749"/>
    <w:rsid w:val="00757C6E"/>
    <w:rsid w:val="007618FD"/>
    <w:rsid w:val="00762BDA"/>
    <w:rsid w:val="00764FF0"/>
    <w:rsid w:val="00765D0C"/>
    <w:rsid w:val="007805FD"/>
    <w:rsid w:val="007826E6"/>
    <w:rsid w:val="00784422"/>
    <w:rsid w:val="00784742"/>
    <w:rsid w:val="00785B5F"/>
    <w:rsid w:val="007B3B54"/>
    <w:rsid w:val="007B3FA0"/>
    <w:rsid w:val="007B4E10"/>
    <w:rsid w:val="007B7C93"/>
    <w:rsid w:val="007C0F2C"/>
    <w:rsid w:val="007C2BCC"/>
    <w:rsid w:val="007C4EF0"/>
    <w:rsid w:val="007D099D"/>
    <w:rsid w:val="007D7890"/>
    <w:rsid w:val="007E0816"/>
    <w:rsid w:val="007E2664"/>
    <w:rsid w:val="007E3ABF"/>
    <w:rsid w:val="007E5BFA"/>
    <w:rsid w:val="007E6689"/>
    <w:rsid w:val="007E6C46"/>
    <w:rsid w:val="007E731C"/>
    <w:rsid w:val="007F0A03"/>
    <w:rsid w:val="007F1A02"/>
    <w:rsid w:val="00803E80"/>
    <w:rsid w:val="008068B1"/>
    <w:rsid w:val="00810040"/>
    <w:rsid w:val="00812BB5"/>
    <w:rsid w:val="0082023A"/>
    <w:rsid w:val="00821A7A"/>
    <w:rsid w:val="008253F8"/>
    <w:rsid w:val="0082592C"/>
    <w:rsid w:val="00825D3F"/>
    <w:rsid w:val="008325E4"/>
    <w:rsid w:val="00832A2B"/>
    <w:rsid w:val="00837937"/>
    <w:rsid w:val="00845811"/>
    <w:rsid w:val="00846994"/>
    <w:rsid w:val="00847EEB"/>
    <w:rsid w:val="00850451"/>
    <w:rsid w:val="00852042"/>
    <w:rsid w:val="008534C9"/>
    <w:rsid w:val="008556E2"/>
    <w:rsid w:val="0085599D"/>
    <w:rsid w:val="008611A1"/>
    <w:rsid w:val="00863707"/>
    <w:rsid w:val="00865BEE"/>
    <w:rsid w:val="0087510C"/>
    <w:rsid w:val="0087622D"/>
    <w:rsid w:val="00896CA3"/>
    <w:rsid w:val="0089738E"/>
    <w:rsid w:val="008A6DCD"/>
    <w:rsid w:val="008B4EFF"/>
    <w:rsid w:val="008B5FDB"/>
    <w:rsid w:val="008C50F4"/>
    <w:rsid w:val="008C5649"/>
    <w:rsid w:val="008C76F2"/>
    <w:rsid w:val="008D2367"/>
    <w:rsid w:val="008D3B4A"/>
    <w:rsid w:val="008D601E"/>
    <w:rsid w:val="008E2298"/>
    <w:rsid w:val="008E25F0"/>
    <w:rsid w:val="008E44A2"/>
    <w:rsid w:val="008E697D"/>
    <w:rsid w:val="008F3932"/>
    <w:rsid w:val="00903263"/>
    <w:rsid w:val="00906848"/>
    <w:rsid w:val="00906A21"/>
    <w:rsid w:val="009079C3"/>
    <w:rsid w:val="00910462"/>
    <w:rsid w:val="0091083F"/>
    <w:rsid w:val="00914E42"/>
    <w:rsid w:val="00915AB1"/>
    <w:rsid w:val="00917532"/>
    <w:rsid w:val="009235BA"/>
    <w:rsid w:val="00924023"/>
    <w:rsid w:val="00924CE2"/>
    <w:rsid w:val="00925B9F"/>
    <w:rsid w:val="00931AED"/>
    <w:rsid w:val="00936E65"/>
    <w:rsid w:val="00940F47"/>
    <w:rsid w:val="00943D7A"/>
    <w:rsid w:val="009476A3"/>
    <w:rsid w:val="00947735"/>
    <w:rsid w:val="0095334F"/>
    <w:rsid w:val="00954369"/>
    <w:rsid w:val="00965897"/>
    <w:rsid w:val="0096765C"/>
    <w:rsid w:val="009702EB"/>
    <w:rsid w:val="00971196"/>
    <w:rsid w:val="009727E4"/>
    <w:rsid w:val="0098131A"/>
    <w:rsid w:val="0098474D"/>
    <w:rsid w:val="009856F7"/>
    <w:rsid w:val="009934C5"/>
    <w:rsid w:val="00994C0F"/>
    <w:rsid w:val="00995D40"/>
    <w:rsid w:val="009A2D74"/>
    <w:rsid w:val="009A3201"/>
    <w:rsid w:val="009A4042"/>
    <w:rsid w:val="009B22D7"/>
    <w:rsid w:val="009B37B3"/>
    <w:rsid w:val="009B72ED"/>
    <w:rsid w:val="009B7CD8"/>
    <w:rsid w:val="009C6DEB"/>
    <w:rsid w:val="009C7AD2"/>
    <w:rsid w:val="009D02FE"/>
    <w:rsid w:val="009D3557"/>
    <w:rsid w:val="009D6504"/>
    <w:rsid w:val="009D7ED5"/>
    <w:rsid w:val="009E12D7"/>
    <w:rsid w:val="009E15E0"/>
    <w:rsid w:val="009E2ABB"/>
    <w:rsid w:val="009E661A"/>
    <w:rsid w:val="00A02DA4"/>
    <w:rsid w:val="00A06781"/>
    <w:rsid w:val="00A074C3"/>
    <w:rsid w:val="00A1036E"/>
    <w:rsid w:val="00A1509C"/>
    <w:rsid w:val="00A17F74"/>
    <w:rsid w:val="00A209E3"/>
    <w:rsid w:val="00A34260"/>
    <w:rsid w:val="00A37390"/>
    <w:rsid w:val="00A411F4"/>
    <w:rsid w:val="00A6264D"/>
    <w:rsid w:val="00A65ED4"/>
    <w:rsid w:val="00A66C93"/>
    <w:rsid w:val="00A70CFD"/>
    <w:rsid w:val="00A715D3"/>
    <w:rsid w:val="00A72A0B"/>
    <w:rsid w:val="00A77BB0"/>
    <w:rsid w:val="00A81E42"/>
    <w:rsid w:val="00A84D81"/>
    <w:rsid w:val="00A864FE"/>
    <w:rsid w:val="00A86F41"/>
    <w:rsid w:val="00A87D04"/>
    <w:rsid w:val="00A921BC"/>
    <w:rsid w:val="00A948FB"/>
    <w:rsid w:val="00A950C5"/>
    <w:rsid w:val="00A9550E"/>
    <w:rsid w:val="00AA1061"/>
    <w:rsid w:val="00AA1D25"/>
    <w:rsid w:val="00AA30D6"/>
    <w:rsid w:val="00AB2B1A"/>
    <w:rsid w:val="00AB350B"/>
    <w:rsid w:val="00AB397F"/>
    <w:rsid w:val="00AB5832"/>
    <w:rsid w:val="00AC3331"/>
    <w:rsid w:val="00AC4436"/>
    <w:rsid w:val="00AC4A18"/>
    <w:rsid w:val="00AC51F2"/>
    <w:rsid w:val="00AD0F83"/>
    <w:rsid w:val="00AD2852"/>
    <w:rsid w:val="00AD2D20"/>
    <w:rsid w:val="00AE5066"/>
    <w:rsid w:val="00AE5E24"/>
    <w:rsid w:val="00AE61B7"/>
    <w:rsid w:val="00AE6CBA"/>
    <w:rsid w:val="00AE79AD"/>
    <w:rsid w:val="00AF091A"/>
    <w:rsid w:val="00AF35E4"/>
    <w:rsid w:val="00AF552F"/>
    <w:rsid w:val="00AF5CDE"/>
    <w:rsid w:val="00B0625D"/>
    <w:rsid w:val="00B10CEB"/>
    <w:rsid w:val="00B11A57"/>
    <w:rsid w:val="00B11A91"/>
    <w:rsid w:val="00B15EF9"/>
    <w:rsid w:val="00B17B75"/>
    <w:rsid w:val="00B211C3"/>
    <w:rsid w:val="00B24952"/>
    <w:rsid w:val="00B25597"/>
    <w:rsid w:val="00B267B9"/>
    <w:rsid w:val="00B33E09"/>
    <w:rsid w:val="00B34E40"/>
    <w:rsid w:val="00B36A15"/>
    <w:rsid w:val="00B431CD"/>
    <w:rsid w:val="00B50708"/>
    <w:rsid w:val="00B50C68"/>
    <w:rsid w:val="00B51293"/>
    <w:rsid w:val="00B52B1E"/>
    <w:rsid w:val="00B52C38"/>
    <w:rsid w:val="00B53100"/>
    <w:rsid w:val="00B5445A"/>
    <w:rsid w:val="00B55481"/>
    <w:rsid w:val="00B56C2A"/>
    <w:rsid w:val="00B56C32"/>
    <w:rsid w:val="00B57ACF"/>
    <w:rsid w:val="00B61425"/>
    <w:rsid w:val="00B64BB1"/>
    <w:rsid w:val="00B6635F"/>
    <w:rsid w:val="00B6699B"/>
    <w:rsid w:val="00B6785E"/>
    <w:rsid w:val="00B71A79"/>
    <w:rsid w:val="00B73166"/>
    <w:rsid w:val="00B73D47"/>
    <w:rsid w:val="00B764A4"/>
    <w:rsid w:val="00B8426C"/>
    <w:rsid w:val="00B84321"/>
    <w:rsid w:val="00B91B8D"/>
    <w:rsid w:val="00B9210A"/>
    <w:rsid w:val="00B948ED"/>
    <w:rsid w:val="00B94E90"/>
    <w:rsid w:val="00BA12AF"/>
    <w:rsid w:val="00BA6058"/>
    <w:rsid w:val="00BB0599"/>
    <w:rsid w:val="00BB07F6"/>
    <w:rsid w:val="00BB0A82"/>
    <w:rsid w:val="00BB4F65"/>
    <w:rsid w:val="00BB7903"/>
    <w:rsid w:val="00BB7C94"/>
    <w:rsid w:val="00BC0A9D"/>
    <w:rsid w:val="00BC31FA"/>
    <w:rsid w:val="00BC4532"/>
    <w:rsid w:val="00BD05D4"/>
    <w:rsid w:val="00BD4B6E"/>
    <w:rsid w:val="00BD5915"/>
    <w:rsid w:val="00BF40ED"/>
    <w:rsid w:val="00BF5BC2"/>
    <w:rsid w:val="00BF6DE5"/>
    <w:rsid w:val="00C0112E"/>
    <w:rsid w:val="00C0769F"/>
    <w:rsid w:val="00C1133D"/>
    <w:rsid w:val="00C175BB"/>
    <w:rsid w:val="00C21589"/>
    <w:rsid w:val="00C22A0F"/>
    <w:rsid w:val="00C253E8"/>
    <w:rsid w:val="00C27A08"/>
    <w:rsid w:val="00C31312"/>
    <w:rsid w:val="00C31A67"/>
    <w:rsid w:val="00C326C6"/>
    <w:rsid w:val="00C32722"/>
    <w:rsid w:val="00C35295"/>
    <w:rsid w:val="00C36ADD"/>
    <w:rsid w:val="00C36E74"/>
    <w:rsid w:val="00C40595"/>
    <w:rsid w:val="00C41621"/>
    <w:rsid w:val="00C425E0"/>
    <w:rsid w:val="00C43A3A"/>
    <w:rsid w:val="00C449FA"/>
    <w:rsid w:val="00C458C0"/>
    <w:rsid w:val="00C5384F"/>
    <w:rsid w:val="00C56964"/>
    <w:rsid w:val="00C62FD3"/>
    <w:rsid w:val="00C64182"/>
    <w:rsid w:val="00C656D5"/>
    <w:rsid w:val="00C66798"/>
    <w:rsid w:val="00C67103"/>
    <w:rsid w:val="00C71BB9"/>
    <w:rsid w:val="00C76E61"/>
    <w:rsid w:val="00C8548E"/>
    <w:rsid w:val="00C91F2F"/>
    <w:rsid w:val="00C94C28"/>
    <w:rsid w:val="00CA19EF"/>
    <w:rsid w:val="00CB0247"/>
    <w:rsid w:val="00CB3440"/>
    <w:rsid w:val="00CC1692"/>
    <w:rsid w:val="00CC2408"/>
    <w:rsid w:val="00CD138B"/>
    <w:rsid w:val="00CD17BB"/>
    <w:rsid w:val="00CD3742"/>
    <w:rsid w:val="00CD3783"/>
    <w:rsid w:val="00CD3E31"/>
    <w:rsid w:val="00CD74A3"/>
    <w:rsid w:val="00CE0527"/>
    <w:rsid w:val="00CE1627"/>
    <w:rsid w:val="00CE2214"/>
    <w:rsid w:val="00CE37E3"/>
    <w:rsid w:val="00CE5B23"/>
    <w:rsid w:val="00CE648E"/>
    <w:rsid w:val="00CF4BCE"/>
    <w:rsid w:val="00CF70AD"/>
    <w:rsid w:val="00CF7729"/>
    <w:rsid w:val="00D00059"/>
    <w:rsid w:val="00D107FA"/>
    <w:rsid w:val="00D10CAF"/>
    <w:rsid w:val="00D12275"/>
    <w:rsid w:val="00D12766"/>
    <w:rsid w:val="00D20FF4"/>
    <w:rsid w:val="00D24D2C"/>
    <w:rsid w:val="00D27A8A"/>
    <w:rsid w:val="00D31BF6"/>
    <w:rsid w:val="00D35881"/>
    <w:rsid w:val="00D412C0"/>
    <w:rsid w:val="00D6553E"/>
    <w:rsid w:val="00DA1498"/>
    <w:rsid w:val="00DA285B"/>
    <w:rsid w:val="00DA5914"/>
    <w:rsid w:val="00DA7DA5"/>
    <w:rsid w:val="00DB073B"/>
    <w:rsid w:val="00DB2351"/>
    <w:rsid w:val="00DB58C3"/>
    <w:rsid w:val="00DB78F0"/>
    <w:rsid w:val="00DC2E43"/>
    <w:rsid w:val="00DC5211"/>
    <w:rsid w:val="00DD01EC"/>
    <w:rsid w:val="00DD095C"/>
    <w:rsid w:val="00DD1020"/>
    <w:rsid w:val="00DD1330"/>
    <w:rsid w:val="00DD1794"/>
    <w:rsid w:val="00DE0B83"/>
    <w:rsid w:val="00DE1A81"/>
    <w:rsid w:val="00DE1C13"/>
    <w:rsid w:val="00DE4E10"/>
    <w:rsid w:val="00E02ABF"/>
    <w:rsid w:val="00E06186"/>
    <w:rsid w:val="00E102AF"/>
    <w:rsid w:val="00E118AC"/>
    <w:rsid w:val="00E14995"/>
    <w:rsid w:val="00E158BE"/>
    <w:rsid w:val="00E16B17"/>
    <w:rsid w:val="00E179CD"/>
    <w:rsid w:val="00E2377D"/>
    <w:rsid w:val="00E23E8D"/>
    <w:rsid w:val="00E37F98"/>
    <w:rsid w:val="00E41710"/>
    <w:rsid w:val="00E41849"/>
    <w:rsid w:val="00E427B0"/>
    <w:rsid w:val="00E45497"/>
    <w:rsid w:val="00E46559"/>
    <w:rsid w:val="00E526A4"/>
    <w:rsid w:val="00E529A0"/>
    <w:rsid w:val="00E53695"/>
    <w:rsid w:val="00E54807"/>
    <w:rsid w:val="00E57A45"/>
    <w:rsid w:val="00E63486"/>
    <w:rsid w:val="00E6670C"/>
    <w:rsid w:val="00E66F6B"/>
    <w:rsid w:val="00E776E8"/>
    <w:rsid w:val="00E8340C"/>
    <w:rsid w:val="00E927AC"/>
    <w:rsid w:val="00E92C1F"/>
    <w:rsid w:val="00E95D4B"/>
    <w:rsid w:val="00EB09BA"/>
    <w:rsid w:val="00EB199F"/>
    <w:rsid w:val="00EB5ABE"/>
    <w:rsid w:val="00EB5C34"/>
    <w:rsid w:val="00EC23F7"/>
    <w:rsid w:val="00EC42FB"/>
    <w:rsid w:val="00EC4BD8"/>
    <w:rsid w:val="00EC63EB"/>
    <w:rsid w:val="00EC64F6"/>
    <w:rsid w:val="00ED3CD8"/>
    <w:rsid w:val="00ED412F"/>
    <w:rsid w:val="00EF36B2"/>
    <w:rsid w:val="00EF3C7E"/>
    <w:rsid w:val="00F201EC"/>
    <w:rsid w:val="00F2075B"/>
    <w:rsid w:val="00F208A9"/>
    <w:rsid w:val="00F25801"/>
    <w:rsid w:val="00F31F98"/>
    <w:rsid w:val="00F35AAF"/>
    <w:rsid w:val="00F37979"/>
    <w:rsid w:val="00F41D75"/>
    <w:rsid w:val="00F44254"/>
    <w:rsid w:val="00F46A7B"/>
    <w:rsid w:val="00F5139D"/>
    <w:rsid w:val="00F532A7"/>
    <w:rsid w:val="00F631B6"/>
    <w:rsid w:val="00F63CF9"/>
    <w:rsid w:val="00F63DAC"/>
    <w:rsid w:val="00F70D92"/>
    <w:rsid w:val="00F7454F"/>
    <w:rsid w:val="00F77988"/>
    <w:rsid w:val="00F77F48"/>
    <w:rsid w:val="00F939F9"/>
    <w:rsid w:val="00F94337"/>
    <w:rsid w:val="00FA3288"/>
    <w:rsid w:val="00FB0D67"/>
    <w:rsid w:val="00FB199F"/>
    <w:rsid w:val="00FB30F1"/>
    <w:rsid w:val="00FB53E7"/>
    <w:rsid w:val="00FC2225"/>
    <w:rsid w:val="00FE2AF2"/>
    <w:rsid w:val="00FE392F"/>
    <w:rsid w:val="00FE4524"/>
    <w:rsid w:val="00FF2780"/>
    <w:rsid w:val="00FF3FFD"/>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basedOn w:val="Normal"/>
    <w:uiPriority w:val="99"/>
    <w:unhideWhenUsed/>
    <w:rsid w:val="0013250C"/>
    <w:pPr>
      <w:spacing w:before="100" w:beforeAutospacing="1" w:after="100" w:afterAutospacing="1"/>
    </w:pPr>
  </w:style>
  <w:style w:type="paragraph" w:styleId="Signature">
    <w:name w:val="Signature"/>
    <w:basedOn w:val="Normal"/>
    <w:next w:val="EnvelopeReturn"/>
    <w:link w:val="SignatureChar"/>
    <w:rsid w:val="00724F78"/>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724F78"/>
    <w:rPr>
      <w:sz w:val="26"/>
      <w:lang w:val="en-AU" w:eastAsia="en-US"/>
    </w:rPr>
  </w:style>
  <w:style w:type="paragraph" w:styleId="EnvelopeReturn">
    <w:name w:val="envelope return"/>
    <w:basedOn w:val="Normal"/>
    <w:rsid w:val="00724F78"/>
    <w:pPr>
      <w:keepLines/>
      <w:widowControl w:val="0"/>
      <w:spacing w:before="600"/>
    </w:pPr>
    <w:rPr>
      <w:sz w:val="26"/>
      <w:szCs w:val="20"/>
      <w:lang w:val="en-AU" w:eastAsia="en-US"/>
    </w:rPr>
  </w:style>
  <w:style w:type="character" w:customStyle="1" w:styleId="EE-paragrCharCharChar1">
    <w:name w:val="EE-paragr Char Char Char1"/>
    <w:basedOn w:val="DefaultParagraphFont"/>
    <w:link w:val="EE-paragrCharChar"/>
    <w:locked/>
    <w:rsid w:val="007618FD"/>
    <w:rPr>
      <w:bCs/>
      <w:sz w:val="24"/>
      <w:szCs w:val="24"/>
    </w:rPr>
  </w:style>
  <w:style w:type="paragraph" w:customStyle="1" w:styleId="EE-paragrCharChar">
    <w:name w:val="EE-paragr Char Char"/>
    <w:basedOn w:val="Normal"/>
    <w:link w:val="EE-paragrCharCharChar1"/>
    <w:autoRedefine/>
    <w:rsid w:val="007618FD"/>
    <w:pPr>
      <w:numPr>
        <w:numId w:val="15"/>
      </w:numPr>
      <w:tabs>
        <w:tab w:val="left" w:pos="284"/>
      </w:tabs>
      <w:spacing w:before="120" w:after="120"/>
      <w:jc w:val="both"/>
    </w:pPr>
    <w:rPr>
      <w:bCs/>
    </w:rPr>
  </w:style>
  <w:style w:type="character" w:customStyle="1" w:styleId="HeaderChar">
    <w:name w:val="Header Char"/>
    <w:basedOn w:val="DefaultParagraphFont"/>
    <w:link w:val="Header"/>
    <w:uiPriority w:val="99"/>
    <w:rsid w:val="00CE37E3"/>
    <w:rPr>
      <w:sz w:val="24"/>
      <w:szCs w:val="24"/>
    </w:rPr>
  </w:style>
  <w:style w:type="paragraph" w:styleId="ListParagraph">
    <w:name w:val="List Paragraph"/>
    <w:basedOn w:val="Normal"/>
    <w:uiPriority w:val="34"/>
    <w:qFormat/>
    <w:rsid w:val="006630D6"/>
    <w:pPr>
      <w:spacing w:after="200" w:line="276" w:lineRule="auto"/>
      <w:ind w:left="720"/>
      <w:contextualSpacing/>
    </w:pPr>
    <w:rPr>
      <w:rFonts w:ascii="Calibri" w:hAnsi="Calibri"/>
      <w:sz w:val="22"/>
      <w:szCs w:val="22"/>
    </w:rPr>
  </w:style>
  <w:style w:type="paragraph" w:styleId="BodyText">
    <w:name w:val="Body Text"/>
    <w:basedOn w:val="Normal"/>
    <w:link w:val="BodyTextChar"/>
    <w:unhideWhenUsed/>
    <w:rsid w:val="004A24E2"/>
    <w:pPr>
      <w:jc w:val="both"/>
    </w:pPr>
    <w:rPr>
      <w:sz w:val="28"/>
      <w:szCs w:val="20"/>
    </w:rPr>
  </w:style>
  <w:style w:type="character" w:customStyle="1" w:styleId="BodyTextChar">
    <w:name w:val="Body Text Char"/>
    <w:basedOn w:val="DefaultParagraphFont"/>
    <w:link w:val="BodyText"/>
    <w:rsid w:val="004A24E2"/>
    <w:rPr>
      <w:sz w:val="28"/>
    </w:rPr>
  </w:style>
  <w:style w:type="paragraph" w:customStyle="1" w:styleId="Noteikumutekstam">
    <w:name w:val="Noteikumu tekstam"/>
    <w:basedOn w:val="Normal"/>
    <w:link w:val="NoteikumutekstamRakstz"/>
    <w:autoRedefine/>
    <w:rsid w:val="004A24E2"/>
    <w:pPr>
      <w:ind w:left="165" w:right="71"/>
      <w:jc w:val="both"/>
    </w:pPr>
    <w:rPr>
      <w:sz w:val="28"/>
      <w:szCs w:val="28"/>
    </w:rPr>
  </w:style>
  <w:style w:type="character" w:customStyle="1" w:styleId="NoteikumutekstamRakstz">
    <w:name w:val="Noteikumu tekstam Rakstz."/>
    <w:basedOn w:val="DefaultParagraphFont"/>
    <w:link w:val="Noteikumutekstam"/>
    <w:locked/>
    <w:rsid w:val="004A24E2"/>
    <w:rPr>
      <w:sz w:val="28"/>
      <w:szCs w:val="28"/>
    </w:rPr>
  </w:style>
  <w:style w:type="character" w:styleId="Strong">
    <w:name w:val="Strong"/>
    <w:basedOn w:val="DefaultParagraphFont"/>
    <w:qFormat/>
    <w:rsid w:val="00825D3F"/>
    <w:rPr>
      <w:b/>
      <w:bCs/>
    </w:rPr>
  </w:style>
  <w:style w:type="paragraph" w:customStyle="1" w:styleId="Noteikumuapakpunkti">
    <w:name w:val="Noteikumu apakšpunkti"/>
    <w:basedOn w:val="Noteikumutekstam"/>
    <w:rsid w:val="00FB0D67"/>
    <w:pPr>
      <w:numPr>
        <w:ilvl w:val="1"/>
        <w:numId w:val="20"/>
      </w:numPr>
      <w:spacing w:after="120"/>
      <w:ind w:right="0"/>
    </w:pPr>
    <w:rPr>
      <w:b/>
      <w:color w:val="000000"/>
      <w:sz w:val="24"/>
      <w:szCs w:val="24"/>
    </w:rPr>
  </w:style>
  <w:style w:type="paragraph" w:customStyle="1" w:styleId="Noteikumuapakpunkti2">
    <w:name w:val="Noteikumu apakšpunkti_2"/>
    <w:basedOn w:val="Noteikumuapakpunkti"/>
    <w:rsid w:val="00FB0D67"/>
    <w:pPr>
      <w:numPr>
        <w:ilvl w:val="2"/>
      </w:numPr>
    </w:pPr>
  </w:style>
  <w:style w:type="paragraph" w:customStyle="1" w:styleId="Noteikumuapakpunkt3">
    <w:name w:val="Noteikumu apakšpunkt_3"/>
    <w:basedOn w:val="Noteikumuapakpunkti2"/>
    <w:rsid w:val="00FB0D67"/>
    <w:pPr>
      <w:numPr>
        <w:ilvl w:val="3"/>
      </w:numPr>
    </w:pPr>
  </w:style>
  <w:style w:type="character" w:customStyle="1" w:styleId="spelle">
    <w:name w:val="spelle"/>
    <w:basedOn w:val="DefaultParagraphFont"/>
    <w:rsid w:val="00BD5915"/>
  </w:style>
</w:styles>
</file>

<file path=word/webSettings.xml><?xml version="1.0" encoding="utf-8"?>
<w:webSettings xmlns:r="http://schemas.openxmlformats.org/officeDocument/2006/relationships" xmlns:w="http://schemas.openxmlformats.org/wordprocessingml/2006/main">
  <w:divs>
    <w:div w:id="350884759">
      <w:bodyDiv w:val="1"/>
      <w:marLeft w:val="0"/>
      <w:marRight w:val="0"/>
      <w:marTop w:val="0"/>
      <w:marBottom w:val="0"/>
      <w:divBdr>
        <w:top w:val="none" w:sz="0" w:space="0" w:color="auto"/>
        <w:left w:val="none" w:sz="0" w:space="0" w:color="auto"/>
        <w:bottom w:val="none" w:sz="0" w:space="0" w:color="auto"/>
        <w:right w:val="none" w:sz="0" w:space="0" w:color="auto"/>
      </w:divBdr>
    </w:div>
    <w:div w:id="722363428">
      <w:bodyDiv w:val="1"/>
      <w:marLeft w:val="0"/>
      <w:marRight w:val="0"/>
      <w:marTop w:val="0"/>
      <w:marBottom w:val="0"/>
      <w:divBdr>
        <w:top w:val="none" w:sz="0" w:space="0" w:color="auto"/>
        <w:left w:val="none" w:sz="0" w:space="0" w:color="auto"/>
        <w:bottom w:val="none" w:sz="0" w:space="0" w:color="auto"/>
        <w:right w:val="none" w:sz="0" w:space="0" w:color="auto"/>
      </w:divBdr>
    </w:div>
    <w:div w:id="801727171">
      <w:bodyDiv w:val="1"/>
      <w:marLeft w:val="41"/>
      <w:marRight w:val="41"/>
      <w:marTop w:val="82"/>
      <w:marBottom w:val="82"/>
      <w:divBdr>
        <w:top w:val="none" w:sz="0" w:space="0" w:color="auto"/>
        <w:left w:val="none" w:sz="0" w:space="0" w:color="auto"/>
        <w:bottom w:val="none" w:sz="0" w:space="0" w:color="auto"/>
        <w:right w:val="none" w:sz="0" w:space="0" w:color="auto"/>
      </w:divBdr>
      <w:divsChild>
        <w:div w:id="1117871602">
          <w:marLeft w:val="0"/>
          <w:marRight w:val="0"/>
          <w:marTop w:val="0"/>
          <w:marBottom w:val="567"/>
          <w:divBdr>
            <w:top w:val="none" w:sz="0" w:space="0" w:color="auto"/>
            <w:left w:val="none" w:sz="0" w:space="0" w:color="auto"/>
            <w:bottom w:val="none" w:sz="0" w:space="0" w:color="auto"/>
            <w:right w:val="none" w:sz="0" w:space="0" w:color="auto"/>
          </w:divBdr>
        </w:div>
      </w:divsChild>
    </w:div>
    <w:div w:id="1189835163">
      <w:bodyDiv w:val="1"/>
      <w:marLeft w:val="0"/>
      <w:marRight w:val="0"/>
      <w:marTop w:val="0"/>
      <w:marBottom w:val="0"/>
      <w:divBdr>
        <w:top w:val="none" w:sz="0" w:space="0" w:color="auto"/>
        <w:left w:val="none" w:sz="0" w:space="0" w:color="auto"/>
        <w:bottom w:val="none" w:sz="0" w:space="0" w:color="auto"/>
        <w:right w:val="none" w:sz="0" w:space="0" w:color="auto"/>
      </w:divBdr>
    </w:div>
    <w:div w:id="163552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eva.Brinke@var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3786</Words>
  <Characters>2159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instrukcijas projekts “Tiesību akta projekta sākotnējās ietekmes izvērtēšanas kārtība”</vt:lpstr>
    </vt:vector>
  </TitlesOfParts>
  <Company>Valsts kanceleja, Politikas koordinācijas departaments</Company>
  <LinksUpToDate>false</LinksUpToDate>
  <CharactersWithSpaces>5934</CharactersWithSpaces>
  <SharedDoc>false</SharedDoc>
  <HLinks>
    <vt:vector size="12" baseType="variant">
      <vt:variant>
        <vt:i4>1835071</vt:i4>
      </vt:variant>
      <vt:variant>
        <vt:i4>3</vt:i4>
      </vt:variant>
      <vt:variant>
        <vt:i4>0</vt:i4>
      </vt:variant>
      <vt:variant>
        <vt:i4>5</vt:i4>
      </vt:variant>
      <vt:variant>
        <vt:lpwstr>mailto:Dana.Skerstena@varam.gov.lv</vt:lpwstr>
      </vt:variant>
      <vt:variant>
        <vt:lpwstr/>
      </vt:variant>
      <vt:variant>
        <vt:i4>7929892</vt:i4>
      </vt:variant>
      <vt:variant>
        <vt:i4>0</vt:i4>
      </vt:variant>
      <vt:variant>
        <vt:i4>0</vt:i4>
      </vt:variant>
      <vt:variant>
        <vt:i4>5</vt:i4>
      </vt:variant>
      <vt:variant>
        <vt:lpwstr>http://www.likumi.lv/doc.php?id=179682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projekts “Tiesību akta projekta sākotnējās ietekmes izvērtēšanas kārtība”</dc:title>
  <dc:subject>Instrukcijas pielikums</dc:subject>
  <dc:creator>Ieva Brinke</dc:creator>
  <dc:description>67082972_x000d_
Ieva.Bloma@mk.gov.lv</dc:description>
  <cp:lastModifiedBy>IevaBrinke</cp:lastModifiedBy>
  <cp:revision>5</cp:revision>
  <cp:lastPrinted>2011-01-04T09:34:00Z</cp:lastPrinted>
  <dcterms:created xsi:type="dcterms:W3CDTF">2011-01-20T07:49:00Z</dcterms:created>
  <dcterms:modified xsi:type="dcterms:W3CDTF">2011-01-20T11:55:00Z</dcterms:modified>
</cp:coreProperties>
</file>