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4D" w:rsidRPr="00155A4D" w:rsidRDefault="00155A4D" w:rsidP="00155A4D">
      <w:pPr>
        <w:pStyle w:val="BodyText"/>
        <w:rPr>
          <w:bCs/>
          <w:szCs w:val="28"/>
        </w:rPr>
      </w:pPr>
      <w:bookmarkStart w:id="0" w:name="OLE_LINK6"/>
      <w:bookmarkStart w:id="1" w:name="OLE_LINK7"/>
      <w:r w:rsidRPr="00155A4D">
        <w:rPr>
          <w:bCs/>
          <w:szCs w:val="28"/>
        </w:rPr>
        <w:t xml:space="preserve">Ministru kabineta noteikumu projekta </w:t>
      </w:r>
    </w:p>
    <w:p w:rsidR="00155A4D" w:rsidRPr="00155A4D" w:rsidRDefault="006D4783" w:rsidP="006D4783">
      <w:pPr>
        <w:pStyle w:val="HTMLPreformatted"/>
        <w:jc w:val="center"/>
        <w:rPr>
          <w:bCs/>
          <w:sz w:val="28"/>
          <w:szCs w:val="28"/>
        </w:rPr>
      </w:pPr>
      <w:r>
        <w:rPr>
          <w:rFonts w:ascii="Times New Roman" w:hAnsi="Times New Roman" w:cs="Times New Roman"/>
          <w:b/>
          <w:sz w:val="28"/>
          <w:szCs w:val="28"/>
        </w:rPr>
        <w:t>„</w:t>
      </w:r>
      <w:r w:rsidRPr="000D50E5">
        <w:rPr>
          <w:rFonts w:ascii="Times New Roman" w:hAnsi="Times New Roman" w:cs="Times New Roman"/>
          <w:b/>
          <w:sz w:val="28"/>
          <w:szCs w:val="28"/>
        </w:rPr>
        <w:t>Noteikumi par ģeoloģiskās informācijas sistēmu</w:t>
      </w:r>
      <w:r>
        <w:rPr>
          <w:rFonts w:ascii="Times New Roman" w:hAnsi="Times New Roman" w:cs="Times New Roman"/>
          <w:b/>
          <w:sz w:val="28"/>
          <w:szCs w:val="28"/>
        </w:rPr>
        <w:t>”</w:t>
      </w:r>
      <w:r w:rsidR="00155A4D" w:rsidRPr="00155A4D">
        <w:rPr>
          <w:bCs/>
          <w:sz w:val="28"/>
          <w:szCs w:val="28"/>
        </w:rPr>
        <w:t xml:space="preserve"> </w:t>
      </w:r>
      <w:bookmarkStart w:id="2" w:name="OLE_LINK4"/>
      <w:bookmarkStart w:id="3" w:name="OLE_LINK5"/>
    </w:p>
    <w:p w:rsidR="00155A4D" w:rsidRPr="00155A4D" w:rsidRDefault="00155A4D" w:rsidP="00155A4D">
      <w:pPr>
        <w:pStyle w:val="BodyText"/>
        <w:rPr>
          <w:szCs w:val="28"/>
        </w:rPr>
      </w:pPr>
      <w:r w:rsidRPr="00155A4D">
        <w:rPr>
          <w:bCs/>
          <w:szCs w:val="28"/>
        </w:rPr>
        <w:t>sākotnējās ietekmes novērtējuma ziņojums (anotācija)</w:t>
      </w:r>
      <w:bookmarkEnd w:id="0"/>
      <w:bookmarkEnd w:id="1"/>
      <w:bookmarkEnd w:id="2"/>
      <w:bookmarkEnd w:id="3"/>
    </w:p>
    <w:p w:rsidR="00155A4D" w:rsidRPr="00155A4D" w:rsidRDefault="00155A4D" w:rsidP="00155A4D">
      <w:pPr>
        <w:rPr>
          <w:b/>
          <w:color w:val="C00000"/>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26"/>
        <w:gridCol w:w="6520"/>
      </w:tblGrid>
      <w:tr w:rsidR="00155A4D" w:rsidRPr="00380A54" w:rsidTr="00E116C7">
        <w:tc>
          <w:tcPr>
            <w:tcW w:w="9356" w:type="dxa"/>
            <w:gridSpan w:val="3"/>
          </w:tcPr>
          <w:p w:rsidR="00155A4D" w:rsidRPr="00380A54" w:rsidRDefault="00155A4D" w:rsidP="00155A4D">
            <w:pPr>
              <w:spacing w:after="120"/>
              <w:jc w:val="center"/>
              <w:rPr>
                <w:b/>
              </w:rPr>
            </w:pPr>
            <w:r w:rsidRPr="00380A54">
              <w:rPr>
                <w:b/>
              </w:rPr>
              <w:t xml:space="preserve">I. Kādēļ normatīvais </w:t>
            </w:r>
            <w:smartTag w:uri="schemas-tilde-lv/tildestengine" w:element="veidnes">
              <w:smartTagPr>
                <w:attr w:name="baseform" w:val="akt|s"/>
                <w:attr w:name="id" w:val="-1"/>
                <w:attr w:name="text" w:val="akts"/>
              </w:smartTagPr>
              <w:r w:rsidRPr="00380A54">
                <w:rPr>
                  <w:b/>
                </w:rPr>
                <w:t>akts</w:t>
              </w:r>
            </w:smartTag>
            <w:r w:rsidRPr="00380A54">
              <w:rPr>
                <w:b/>
              </w:rPr>
              <w:t xml:space="preserve"> ir vajadzīgs</w:t>
            </w:r>
          </w:p>
        </w:tc>
      </w:tr>
      <w:tr w:rsidR="00155A4D" w:rsidRPr="00380A54" w:rsidTr="00E116C7">
        <w:tc>
          <w:tcPr>
            <w:tcW w:w="2410" w:type="dxa"/>
          </w:tcPr>
          <w:p w:rsidR="00155A4D" w:rsidRPr="00380A54" w:rsidRDefault="00155A4D" w:rsidP="00155A4D">
            <w:pPr>
              <w:pStyle w:val="Footer"/>
              <w:tabs>
                <w:tab w:val="clear" w:pos="4153"/>
                <w:tab w:val="clear" w:pos="8306"/>
              </w:tabs>
              <w:jc w:val="both"/>
              <w:rPr>
                <w:rFonts w:ascii="Times New Roman" w:hAnsi="Times New Roman"/>
                <w:sz w:val="24"/>
                <w:szCs w:val="24"/>
              </w:rPr>
            </w:pPr>
            <w:r w:rsidRPr="00380A54">
              <w:rPr>
                <w:rFonts w:ascii="Times New Roman" w:hAnsi="Times New Roman"/>
                <w:sz w:val="24"/>
                <w:szCs w:val="24"/>
              </w:rPr>
              <w:t>1. Pamatojums</w:t>
            </w:r>
          </w:p>
        </w:tc>
        <w:tc>
          <w:tcPr>
            <w:tcW w:w="6946" w:type="dxa"/>
            <w:gridSpan w:val="2"/>
          </w:tcPr>
          <w:p w:rsidR="00155A4D" w:rsidRPr="00380A54" w:rsidRDefault="00155A4D" w:rsidP="00064611">
            <w:pPr>
              <w:pStyle w:val="naisnod"/>
              <w:spacing w:before="0" w:after="120"/>
              <w:jc w:val="both"/>
            </w:pPr>
            <w:r w:rsidRPr="00064611">
              <w:rPr>
                <w:b w:val="0"/>
              </w:rPr>
              <w:t>Ministru kabineta noteikumu projekts</w:t>
            </w:r>
            <w:r w:rsidR="009154B2">
              <w:rPr>
                <w:b w:val="0"/>
              </w:rPr>
              <w:t xml:space="preserve"> (turpmāk – noteikumu projekts)</w:t>
            </w:r>
            <w:r w:rsidRPr="00064611">
              <w:rPr>
                <w:b w:val="0"/>
              </w:rPr>
              <w:t xml:space="preserve"> sagatavots, pamatojoties uz likuma „Par zemes dzīlēm</w:t>
            </w:r>
            <w:r w:rsidR="00064611">
              <w:rPr>
                <w:b w:val="0"/>
              </w:rPr>
              <w:t>”</w:t>
            </w:r>
            <w:r w:rsidRPr="00064611">
              <w:rPr>
                <w:b w:val="0"/>
              </w:rPr>
              <w:t xml:space="preserve"> </w:t>
            </w:r>
            <w:r w:rsidR="00064611" w:rsidRPr="00064611">
              <w:rPr>
                <w:b w:val="0"/>
              </w:rPr>
              <w:t>23.panta ceturto daļu, kas nosaka, ka ģeoloģiskās informācijas sistēmas saturu un izmantošanas noteikumus reglamentē Ministru kabinets.</w:t>
            </w:r>
            <w:r w:rsidR="00064611" w:rsidRPr="00064611">
              <w:rPr>
                <w:b w:val="0"/>
                <w:color w:val="0000FF"/>
              </w:rPr>
              <w:t xml:space="preserve"> </w:t>
            </w:r>
          </w:p>
        </w:tc>
      </w:tr>
      <w:tr w:rsidR="00155A4D" w:rsidRPr="00380A54" w:rsidTr="00E116C7">
        <w:tc>
          <w:tcPr>
            <w:tcW w:w="2410" w:type="dxa"/>
          </w:tcPr>
          <w:p w:rsidR="00155A4D" w:rsidRPr="00380A54" w:rsidRDefault="00155A4D" w:rsidP="00155A4D">
            <w:pPr>
              <w:pStyle w:val="BodyText"/>
              <w:jc w:val="left"/>
              <w:rPr>
                <w:b w:val="0"/>
                <w:sz w:val="24"/>
                <w:szCs w:val="24"/>
              </w:rPr>
            </w:pPr>
            <w:r w:rsidRPr="00380A54">
              <w:rPr>
                <w:b w:val="0"/>
                <w:sz w:val="24"/>
                <w:szCs w:val="24"/>
              </w:rPr>
              <w:t>2. Pašreizējā situācija un problēmas</w:t>
            </w:r>
          </w:p>
        </w:tc>
        <w:tc>
          <w:tcPr>
            <w:tcW w:w="6946" w:type="dxa"/>
            <w:gridSpan w:val="2"/>
          </w:tcPr>
          <w:p w:rsidR="00064611" w:rsidRPr="00064611" w:rsidRDefault="00064611" w:rsidP="00064611">
            <w:pPr>
              <w:autoSpaceDE w:val="0"/>
              <w:autoSpaceDN w:val="0"/>
              <w:adjustRightInd w:val="0"/>
              <w:spacing w:after="120"/>
              <w:jc w:val="both"/>
            </w:pPr>
            <w:r w:rsidRPr="00064611">
              <w:t xml:space="preserve">Līdz 2011.gada 29.septembrim, kad stājās spēkā </w:t>
            </w:r>
            <w:r w:rsidRPr="00064611">
              <w:rPr>
                <w:rFonts w:ascii="TimesNewRomanPS-BoldMT" w:hAnsi="TimesNewRomanPS-BoldMT" w:cs="TimesNewRomanPS-BoldMT"/>
                <w:bCs/>
              </w:rPr>
              <w:t xml:space="preserve">Ministru kabineta </w:t>
            </w:r>
            <w:r w:rsidRPr="00064611">
              <w:rPr>
                <w:rFonts w:ascii="TimesNewRomanPSMT" w:hAnsi="TimesNewRomanPSMT" w:cs="TimesNewRomanPSMT"/>
              </w:rPr>
              <w:t xml:space="preserve">2011.gada 6.septembra </w:t>
            </w:r>
            <w:r w:rsidRPr="00064611">
              <w:rPr>
                <w:rFonts w:ascii="TimesNewRomanPS-BoldMT" w:hAnsi="TimesNewRomanPS-BoldMT" w:cs="TimesNewRomanPS-BoldMT"/>
                <w:bCs/>
              </w:rPr>
              <w:t xml:space="preserve">noteikumi Nr.696 “Zemes dzīļu izmantošanas licenču un bieži sastopamo derīgo izrakteņu ieguves atļauju izsniegšanas kārtība”, </w:t>
            </w:r>
            <w:r w:rsidR="004B560C">
              <w:rPr>
                <w:rFonts w:ascii="TimesNewRomanPS-BoldMT" w:hAnsi="TimesNewRomanPS-BoldMT" w:cs="TimesNewRomanPS-BoldMT"/>
                <w:bCs/>
              </w:rPr>
              <w:t>noteikumu p</w:t>
            </w:r>
            <w:r w:rsidRPr="00064611">
              <w:rPr>
                <w:rFonts w:ascii="TimesNewRomanPS-BoldMT" w:hAnsi="TimesNewRomanPS-BoldMT" w:cs="TimesNewRomanPS-BoldMT"/>
                <w:bCs/>
              </w:rPr>
              <w:t xml:space="preserve">rojektā </w:t>
            </w:r>
            <w:r w:rsidRPr="00064611">
              <w:t>ietvertos jautājumus regulēja Ministru kabineta 2007.gada 24.aprīļa noteikumi Nr. 280 „Zemes dzīļu izmantošanas licenču un bieži sastopamo derīgo izrakteņu ieguves atļauju izsniegšanas un ģeoloģiskās informācijas izmantošanas vispārīgā kārtība”.</w:t>
            </w:r>
            <w:r w:rsidR="0060565D">
              <w:t xml:space="preserve"> MK noteikumos Nr.280</w:t>
            </w:r>
            <w:r w:rsidR="007937F8">
              <w:t xml:space="preserve"> bija atsevišķa nodaļa </w:t>
            </w:r>
            <w:bookmarkStart w:id="4" w:name="84553"/>
            <w:r w:rsidR="007937F8">
              <w:t>„</w:t>
            </w:r>
            <w:r w:rsidR="007937F8" w:rsidRPr="007937F8">
              <w:rPr>
                <w:bCs/>
              </w:rPr>
              <w:t>Ģeoloģiskās informācijas izmantošanas vispārīgā kārtība</w:t>
            </w:r>
            <w:bookmarkEnd w:id="4"/>
            <w:r w:rsidR="007937F8">
              <w:rPr>
                <w:bCs/>
              </w:rPr>
              <w:t>”.</w:t>
            </w:r>
          </w:p>
          <w:p w:rsidR="00B314CA" w:rsidRDefault="002665BC" w:rsidP="002665BC">
            <w:pPr>
              <w:autoSpaceDE w:val="0"/>
              <w:autoSpaceDN w:val="0"/>
              <w:adjustRightInd w:val="0"/>
              <w:spacing w:after="120"/>
              <w:jc w:val="both"/>
            </w:pPr>
            <w:r w:rsidRPr="002665BC">
              <w:t>Attiecībā uz ģeoloģisko informāciju l</w:t>
            </w:r>
            <w:r w:rsidR="004B560C" w:rsidRPr="002665BC">
              <w:t xml:space="preserve">ikuma „Par zemes dzīlēm” </w:t>
            </w:r>
            <w:r w:rsidRPr="002665BC">
              <w:t xml:space="preserve">5.panta pirmā daļa nosaka, ka </w:t>
            </w:r>
            <w:r w:rsidR="004B560C" w:rsidRPr="002665BC">
              <w:t>Valsts sabiedrība ar ierobežotu atbildību “Latvijas Vides, ģeoloģijas un meteoroloģijas centrs”</w:t>
            </w:r>
            <w:r w:rsidRPr="002665BC">
              <w:t xml:space="preserve"> (turpmāk – centrs)</w:t>
            </w:r>
            <w:r w:rsidR="004B560C" w:rsidRPr="002665BC">
              <w:t xml:space="preserve"> šajā likumā un citos normatī</w:t>
            </w:r>
            <w:r w:rsidRPr="002665BC">
              <w:t>vajos aktos noteiktajā</w:t>
            </w:r>
            <w:r w:rsidR="009154B2">
              <w:t xml:space="preserve"> kārtībā</w:t>
            </w:r>
            <w:r w:rsidRPr="002665BC">
              <w:t xml:space="preserve"> </w:t>
            </w:r>
            <w:r w:rsidR="004B560C" w:rsidRPr="002665BC">
              <w:t>iegūst, apkopo ģeoloģisko informāciju un to u</w:t>
            </w:r>
            <w:r w:rsidRPr="002665BC">
              <w:t xml:space="preserve">zglabā </w:t>
            </w:r>
            <w:r w:rsidR="00216B25">
              <w:t>v</w:t>
            </w:r>
            <w:r w:rsidRPr="002665BC">
              <w:t xml:space="preserve">alsts ģeoloģijas fondā. </w:t>
            </w:r>
          </w:p>
          <w:p w:rsidR="002665BC" w:rsidRDefault="002665BC" w:rsidP="002665BC">
            <w:pPr>
              <w:autoSpaceDE w:val="0"/>
              <w:autoSpaceDN w:val="0"/>
              <w:adjustRightInd w:val="0"/>
              <w:spacing w:after="120"/>
              <w:jc w:val="both"/>
            </w:pPr>
            <w:r w:rsidRPr="002665BC">
              <w:t xml:space="preserve">Likuma </w:t>
            </w:r>
            <w:r w:rsidRPr="002665BC">
              <w:rPr>
                <w:bCs/>
              </w:rPr>
              <w:t>22.panta</w:t>
            </w:r>
            <w:r w:rsidR="004B560C" w:rsidRPr="002665BC">
              <w:t xml:space="preserve"> </w:t>
            </w:r>
            <w:r w:rsidRPr="002665BC">
              <w:t>pirmā daļa nosaka, ka ģ</w:t>
            </w:r>
            <w:r w:rsidR="004B560C" w:rsidRPr="002665BC">
              <w:t xml:space="preserve">eoloģiskā informācija tiek apkopota un uzglabāta Ģeoloģiskās informācijas sistēmā. Tajā tiek ietverti ģeoloģiskās izpētes, zinātniskās pētniecības darbu, zemes dzīļu monitoringa rezultāti, kā arī derīgo izrakteņu ieguves un cita veida zemes dzīļu izmantošanas rezultātā iegūtie dati. </w:t>
            </w:r>
            <w:r w:rsidR="00216B25">
              <w:t>Ģ</w:t>
            </w:r>
            <w:r w:rsidR="004B560C" w:rsidRPr="002665BC">
              <w:t xml:space="preserve">eoloģiskās informācijas sistēma pieder valstij, to pārvalda centrs. </w:t>
            </w:r>
            <w:r w:rsidRPr="002665BC">
              <w:t xml:space="preserve">Savukārt, 23.panta otrā daļa nosaka, ka </w:t>
            </w:r>
            <w:r w:rsidR="004B560C" w:rsidRPr="002665BC">
              <w:t xml:space="preserve">ikvienai juridiskajai vai fiziskajai personai neatkarīgi no darbu finansēšanas veida zemes dzīļu izmantošanas rezultātā iegūtā ģeoloģiskā informācija jānodod valstij </w:t>
            </w:r>
            <w:r w:rsidRPr="002665BC">
              <w:t>c</w:t>
            </w:r>
            <w:r w:rsidR="004B560C" w:rsidRPr="002665BC">
              <w:t>entr</w:t>
            </w:r>
            <w:r w:rsidRPr="002665BC">
              <w:t>a</w:t>
            </w:r>
            <w:r w:rsidR="004B560C" w:rsidRPr="002665BC">
              <w:t xml:space="preserve"> personā bez maksas, noslēdzot līgumu par tās izmantošanu.</w:t>
            </w:r>
            <w:r w:rsidR="00216B25">
              <w:t xml:space="preserve"> C</w:t>
            </w:r>
            <w:r w:rsidR="004B560C" w:rsidRPr="002665BC">
              <w:t>entrs informāciju apkopo, apstrādā un uzglabā, kā arī nodrošina tās pieejamību.</w:t>
            </w:r>
            <w:r w:rsidR="00D9390D">
              <w:t xml:space="preserve"> </w:t>
            </w:r>
          </w:p>
          <w:p w:rsidR="00D9390D" w:rsidRPr="004B3A6F" w:rsidRDefault="00D9390D" w:rsidP="00D9390D">
            <w:pPr>
              <w:pStyle w:val="BodyText"/>
              <w:spacing w:after="120"/>
              <w:jc w:val="both"/>
              <w:rPr>
                <w:b w:val="0"/>
                <w:bCs/>
                <w:sz w:val="24"/>
                <w:szCs w:val="24"/>
              </w:rPr>
            </w:pPr>
            <w:r w:rsidRPr="004B3A6F">
              <w:rPr>
                <w:b w:val="0"/>
                <w:sz w:val="24"/>
                <w:szCs w:val="24"/>
              </w:rPr>
              <w:t>Jāņem vērā, ka ģeoloģisko izpēti pasūta un par to maksā zemes īpašnieks</w:t>
            </w:r>
            <w:r w:rsidR="00CE5CD5">
              <w:rPr>
                <w:b w:val="0"/>
                <w:sz w:val="24"/>
                <w:szCs w:val="24"/>
              </w:rPr>
              <w:t>,</w:t>
            </w:r>
            <w:r w:rsidRPr="004B3A6F">
              <w:rPr>
                <w:b w:val="0"/>
                <w:sz w:val="24"/>
                <w:szCs w:val="24"/>
              </w:rPr>
              <w:t xml:space="preserve"> nomnieks</w:t>
            </w:r>
            <w:r w:rsidR="00CE5CD5">
              <w:rPr>
                <w:b w:val="0"/>
                <w:sz w:val="24"/>
                <w:szCs w:val="24"/>
              </w:rPr>
              <w:t xml:space="preserve"> vai zemes dzīļu izmantošanas licences īpašnieks.</w:t>
            </w:r>
            <w:r w:rsidR="0001682E">
              <w:rPr>
                <w:b w:val="0"/>
                <w:sz w:val="24"/>
                <w:szCs w:val="24"/>
              </w:rPr>
              <w:t xml:space="preserve"> Ģeoloģiskā informācija ir darbu finansētāja īpašums, tajā pat laikā, ņemot vērā šīs informācijas nozīmi tautsaimniecībā, </w:t>
            </w:r>
            <w:r w:rsidR="0060565D">
              <w:rPr>
                <w:b w:val="0"/>
                <w:sz w:val="24"/>
                <w:szCs w:val="24"/>
              </w:rPr>
              <w:t>tā</w:t>
            </w:r>
            <w:r w:rsidR="0001682E">
              <w:rPr>
                <w:b w:val="0"/>
                <w:sz w:val="24"/>
                <w:szCs w:val="24"/>
              </w:rPr>
              <w:t xml:space="preserve"> </w:t>
            </w:r>
            <w:r w:rsidR="0060565D">
              <w:rPr>
                <w:b w:val="0"/>
                <w:sz w:val="24"/>
                <w:szCs w:val="24"/>
              </w:rPr>
              <w:t>jā</w:t>
            </w:r>
            <w:r w:rsidR="0001682E">
              <w:rPr>
                <w:b w:val="0"/>
                <w:sz w:val="24"/>
                <w:szCs w:val="24"/>
              </w:rPr>
              <w:t>nodo</w:t>
            </w:r>
            <w:r w:rsidR="0060565D">
              <w:rPr>
                <w:b w:val="0"/>
                <w:sz w:val="24"/>
                <w:szCs w:val="24"/>
              </w:rPr>
              <w:t>d</w:t>
            </w:r>
            <w:r w:rsidR="0001682E">
              <w:rPr>
                <w:b w:val="0"/>
                <w:sz w:val="24"/>
                <w:szCs w:val="24"/>
              </w:rPr>
              <w:t xml:space="preserve"> glabāšanai valstij.</w:t>
            </w:r>
          </w:p>
          <w:p w:rsidR="00B314CA" w:rsidRPr="00B314CA" w:rsidRDefault="004646F4" w:rsidP="00B314CA">
            <w:pPr>
              <w:spacing w:after="120"/>
              <w:jc w:val="both"/>
            </w:pPr>
            <w:r>
              <w:t>Ģeoloģiskās informācijas sistēm</w:t>
            </w:r>
            <w:r w:rsidR="00B314CA">
              <w:t xml:space="preserve">a </w:t>
            </w:r>
            <w:r>
              <w:t xml:space="preserve">(ko sarunvalodā speciālisti bieži </w:t>
            </w:r>
            <w:r w:rsidRPr="00B314CA">
              <w:t xml:space="preserve">sauc vienkārši par </w:t>
            </w:r>
            <w:r w:rsidR="00B314CA" w:rsidRPr="00B314CA">
              <w:t xml:space="preserve">valsts ģeoloģijas fondu) sastāv no: </w:t>
            </w:r>
          </w:p>
          <w:p w:rsidR="00B314CA" w:rsidRPr="00B314CA" w:rsidRDefault="00B314CA" w:rsidP="00B314CA">
            <w:pPr>
              <w:spacing w:after="120"/>
              <w:jc w:val="both"/>
              <w:rPr>
                <w:i/>
                <w:color w:val="FF0000"/>
              </w:rPr>
            </w:pPr>
            <w:r w:rsidRPr="00B314CA">
              <w:lastRenderedPageBreak/>
              <w:t>-valsts ģeoloģijas fonda, kurā atrodas pārskati par ģeoloģisko izpēti, tematiskiem pētījumiem,</w:t>
            </w:r>
            <w:r w:rsidR="00946AF0">
              <w:t xml:space="preserve"> zemes dzīļu monitoringu</w:t>
            </w:r>
            <w:r w:rsidRPr="00B314CA">
              <w:t xml:space="preserve">, inženierģeoloģisko un ģeoekoloģisko izpēti un citiem darbiem papīra vai elektroniskā formā; </w:t>
            </w:r>
          </w:p>
          <w:p w:rsidR="00B314CA" w:rsidRPr="00B314CA" w:rsidRDefault="00B314CA" w:rsidP="00B314CA">
            <w:pPr>
              <w:spacing w:after="120"/>
              <w:jc w:val="both"/>
              <w:rPr>
                <w:i/>
                <w:color w:val="FF0000"/>
              </w:rPr>
            </w:pPr>
            <w:r w:rsidRPr="00B314CA">
              <w:t>-valsts ģeoloģijas arhīv</w:t>
            </w:r>
            <w:r>
              <w:t>a</w:t>
            </w:r>
            <w:r w:rsidRPr="00B314CA">
              <w:t>, kurā atrodas ģeoloģiskās izpētes darbu pirmmateriāli (piemēram, lauku darbu žurnāli);</w:t>
            </w:r>
            <w:r w:rsidRPr="00B314CA">
              <w:rPr>
                <w:i/>
                <w:color w:val="FF0000"/>
              </w:rPr>
              <w:t xml:space="preserve"> </w:t>
            </w:r>
          </w:p>
          <w:p w:rsidR="00B314CA" w:rsidRPr="00B314CA" w:rsidRDefault="00946AF0" w:rsidP="00B314CA">
            <w:pPr>
              <w:spacing w:after="120"/>
              <w:jc w:val="both"/>
              <w:rPr>
                <w:i/>
                <w:color w:val="FF0000"/>
              </w:rPr>
            </w:pPr>
            <w:r>
              <w:t>-</w:t>
            </w:r>
            <w:r w:rsidR="00B314CA" w:rsidRPr="00B314CA">
              <w:t>zinātniski tehniskās literatūras bibliotēka</w:t>
            </w:r>
            <w:r w:rsidR="00B314CA">
              <w:t>s</w:t>
            </w:r>
            <w:r w:rsidR="00B314CA" w:rsidRPr="00B314CA">
              <w:t>;</w:t>
            </w:r>
          </w:p>
          <w:p w:rsidR="004646F4" w:rsidRDefault="00B314CA" w:rsidP="00B314CA">
            <w:pPr>
              <w:spacing w:after="120"/>
              <w:jc w:val="both"/>
            </w:pPr>
            <w:r w:rsidRPr="00B314CA">
              <w:t>-urbumu seržu glabātuve</w:t>
            </w:r>
            <w:r>
              <w:t>s</w:t>
            </w:r>
            <w:r w:rsidRPr="00B314CA">
              <w:t>, kurā atrodas u</w:t>
            </w:r>
            <w:r w:rsidRPr="00B314CA">
              <w:rPr>
                <w:color w:val="000000"/>
              </w:rPr>
              <w:t xml:space="preserve">rbumu serdes, </w:t>
            </w:r>
            <w:r w:rsidRPr="00B314CA">
              <w:t>i</w:t>
            </w:r>
            <w:r w:rsidRPr="00B314CA">
              <w:rPr>
                <w:color w:val="000000"/>
              </w:rPr>
              <w:t>ežu etalonparaugu kol</w:t>
            </w:r>
            <w:r w:rsidR="00946AF0">
              <w:rPr>
                <w:color w:val="000000"/>
              </w:rPr>
              <w:t>ekcija, plānslīpējumu kolekcija</w:t>
            </w:r>
            <w:r w:rsidRPr="00B314CA">
              <w:rPr>
                <w:color w:val="000000"/>
              </w:rPr>
              <w:t xml:space="preserve"> un iežu </w:t>
            </w:r>
            <w:r w:rsidRPr="00B314CA">
              <w:t>paraugi</w:t>
            </w:r>
            <w:r>
              <w:t>;</w:t>
            </w:r>
          </w:p>
          <w:p w:rsidR="00B314CA" w:rsidRPr="00B314CA" w:rsidRDefault="00B314CA" w:rsidP="00B314CA">
            <w:pPr>
              <w:spacing w:after="120"/>
              <w:jc w:val="both"/>
              <w:rPr>
                <w:bCs/>
                <w:iCs/>
              </w:rPr>
            </w:pPr>
            <w:r w:rsidRPr="00B314CA">
              <w:rPr>
                <w:bCs/>
                <w:iCs/>
              </w:rPr>
              <w:t xml:space="preserve">-ģeoloģiskās informācijas, kas tiek nodota vai ir apkopota </w:t>
            </w:r>
            <w:r>
              <w:rPr>
                <w:bCs/>
                <w:iCs/>
              </w:rPr>
              <w:t xml:space="preserve">elektroniskā formā, piemēram, </w:t>
            </w:r>
            <w:r w:rsidRPr="00B314CA">
              <w:rPr>
                <w:bCs/>
                <w:iCs/>
              </w:rPr>
              <w:t>derīgo izrakteņu atradņu reģistrs; informācija par urbumiem,</w:t>
            </w:r>
            <w:r w:rsidRPr="00B314CA">
              <w:t xml:space="preserve"> katalogi par ģeoloģiskās informācijas sistēmā esošo informāciju un kolekcijām;</w:t>
            </w:r>
            <w:r>
              <w:t xml:space="preserve"> </w:t>
            </w:r>
            <w:r w:rsidRPr="00B314CA">
              <w:rPr>
                <w:bCs/>
                <w:iCs/>
              </w:rPr>
              <w:t>zemes dzīļu uzbūvi un īpašības raksturojošie matemātiskie modeļi</w:t>
            </w:r>
            <w:r>
              <w:rPr>
                <w:bCs/>
                <w:iCs/>
              </w:rPr>
              <w:t>.</w:t>
            </w:r>
          </w:p>
          <w:p w:rsidR="005E1A76" w:rsidRDefault="00B314CA" w:rsidP="005E1A76">
            <w:pPr>
              <w:spacing w:after="120"/>
              <w:jc w:val="both"/>
              <w:rPr>
                <w:bCs/>
                <w:iCs/>
              </w:rPr>
            </w:pPr>
            <w:r>
              <w:rPr>
                <w:bCs/>
                <w:iCs/>
              </w:rPr>
              <w:t>Ģeoloģiskās informācijas sistēmā ietilpst gan agrāk, t.sk. pagājušajā gadsimtā</w:t>
            </w:r>
            <w:r w:rsidR="005E1A76">
              <w:rPr>
                <w:bCs/>
                <w:iCs/>
              </w:rPr>
              <w:t>,</w:t>
            </w:r>
            <w:r>
              <w:rPr>
                <w:bCs/>
                <w:iCs/>
              </w:rPr>
              <w:t xml:space="preserve"> radīta ģeoloģiskā informācija, gan tagad iegūstamā.</w:t>
            </w:r>
            <w:r w:rsidR="005E1A76">
              <w:rPr>
                <w:bCs/>
                <w:iCs/>
              </w:rPr>
              <w:t xml:space="preserve"> Daļa informācijas pieejama tīmekļa vietnē </w:t>
            </w:r>
            <w:hyperlink r:id="rId8" w:history="1">
              <w:r w:rsidR="005E1A76" w:rsidRPr="000371C7">
                <w:rPr>
                  <w:rStyle w:val="Hyperlink"/>
                  <w:bCs/>
                  <w:iCs/>
                </w:rPr>
                <w:t>www.lvgmc.lv</w:t>
              </w:r>
            </w:hyperlink>
            <w:r w:rsidR="005E1A76">
              <w:rPr>
                <w:bCs/>
                <w:iCs/>
              </w:rPr>
              <w:t xml:space="preserve"> .</w:t>
            </w:r>
            <w:r w:rsidR="00946AF0">
              <w:rPr>
                <w:bCs/>
                <w:iCs/>
              </w:rPr>
              <w:t xml:space="preserve"> </w:t>
            </w:r>
          </w:p>
          <w:p w:rsidR="00946AF0" w:rsidRPr="005E1A76" w:rsidRDefault="007A0D53" w:rsidP="007A0D53">
            <w:pPr>
              <w:autoSpaceDE w:val="0"/>
              <w:autoSpaceDN w:val="0"/>
              <w:adjustRightInd w:val="0"/>
              <w:spacing w:after="120"/>
              <w:jc w:val="both"/>
              <w:rPr>
                <w:bCs/>
                <w:iCs/>
              </w:rPr>
            </w:pPr>
            <w:r>
              <w:t>Pašlaik n</w:t>
            </w:r>
            <w:r w:rsidR="00946AF0">
              <w:t xml:space="preserve">av izpildīts </w:t>
            </w:r>
            <w:r w:rsidR="00946AF0" w:rsidRPr="00C13450">
              <w:t>likuma „Par zemes dzīlēm” 23.panta ceturt</w:t>
            </w:r>
            <w:r w:rsidR="00946AF0">
              <w:t xml:space="preserve">ajā daļā dotais deleģējums Ministru kabineta noteikumiem un nav </w:t>
            </w:r>
            <w:r w:rsidR="00946AF0" w:rsidRPr="00C13450">
              <w:t>noteikts ģeoloģiskās informācijas sistēmas saturs un izmantošanas noteikumi.</w:t>
            </w:r>
            <w:r w:rsidR="00946AF0">
              <w:t xml:space="preserve"> </w:t>
            </w:r>
          </w:p>
        </w:tc>
      </w:tr>
      <w:tr w:rsidR="00155A4D" w:rsidRPr="00380A54" w:rsidTr="00E116C7">
        <w:tc>
          <w:tcPr>
            <w:tcW w:w="2410" w:type="dxa"/>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3. Saistītie politikas ietekmes novērtējumi un pētījumi</w:t>
            </w:r>
          </w:p>
        </w:tc>
        <w:tc>
          <w:tcPr>
            <w:tcW w:w="6946" w:type="dxa"/>
            <w:gridSpan w:val="2"/>
          </w:tcPr>
          <w:p w:rsidR="00155A4D" w:rsidRDefault="00155A4D" w:rsidP="00155A4D">
            <w:pPr>
              <w:pStyle w:val="naiskr"/>
              <w:spacing w:before="0" w:after="120"/>
              <w:ind w:left="104" w:right="57"/>
              <w:jc w:val="both"/>
            </w:pPr>
            <w:r>
              <w:t>Projekts šo jomu neskar.</w:t>
            </w:r>
          </w:p>
          <w:p w:rsidR="00155A4D" w:rsidRPr="00380A54" w:rsidRDefault="00155A4D" w:rsidP="00155A4D">
            <w:pPr>
              <w:pStyle w:val="naiskr"/>
              <w:spacing w:before="0" w:after="120"/>
              <w:ind w:left="104" w:right="57"/>
              <w:jc w:val="both"/>
            </w:pPr>
          </w:p>
        </w:tc>
      </w:tr>
      <w:tr w:rsidR="00155A4D" w:rsidRPr="00380A54" w:rsidTr="00E116C7">
        <w:tc>
          <w:tcPr>
            <w:tcW w:w="2410" w:type="dxa"/>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4. Tiesiskā regulējuma mērķis un būtība</w:t>
            </w:r>
          </w:p>
        </w:tc>
        <w:tc>
          <w:tcPr>
            <w:tcW w:w="6946" w:type="dxa"/>
            <w:gridSpan w:val="2"/>
          </w:tcPr>
          <w:p w:rsidR="00064611" w:rsidRPr="00E84D06" w:rsidRDefault="00155A4D" w:rsidP="00E84D06">
            <w:pPr>
              <w:pStyle w:val="BodyText"/>
              <w:spacing w:after="120"/>
              <w:jc w:val="both"/>
              <w:rPr>
                <w:b w:val="0"/>
                <w:sz w:val="24"/>
                <w:szCs w:val="24"/>
              </w:rPr>
            </w:pPr>
            <w:r w:rsidRPr="00064611">
              <w:rPr>
                <w:rStyle w:val="Strong"/>
                <w:sz w:val="24"/>
                <w:szCs w:val="24"/>
              </w:rPr>
              <w:t xml:space="preserve">Noteikumu projekts izstrādāts, lai īstenotu likumā „Par zemes dzīlēm” noteiktos uzdevumus. </w:t>
            </w:r>
            <w:r w:rsidRPr="00064611">
              <w:rPr>
                <w:b w:val="0"/>
                <w:sz w:val="24"/>
                <w:szCs w:val="24"/>
              </w:rPr>
              <w:t xml:space="preserve">Noteikumu projekta mērķis ir noteikt </w:t>
            </w:r>
            <w:r w:rsidR="00064611" w:rsidRPr="00064611">
              <w:rPr>
                <w:b w:val="0"/>
                <w:sz w:val="24"/>
                <w:szCs w:val="24"/>
              </w:rPr>
              <w:t xml:space="preserve">ģeoloģiskās informācijas sistēmas saturu un izmantošanas </w:t>
            </w:r>
            <w:r w:rsidR="00064611" w:rsidRPr="00E84D06">
              <w:rPr>
                <w:b w:val="0"/>
                <w:sz w:val="24"/>
                <w:szCs w:val="24"/>
              </w:rPr>
              <w:t>noteikumus.</w:t>
            </w:r>
            <w:r w:rsidR="00E84D06" w:rsidRPr="00E84D06">
              <w:rPr>
                <w:b w:val="0"/>
                <w:sz w:val="24"/>
                <w:szCs w:val="24"/>
              </w:rPr>
              <w:t xml:space="preserve"> </w:t>
            </w:r>
          </w:p>
          <w:p w:rsidR="00E84D06" w:rsidRPr="00946AF0" w:rsidRDefault="00E84D06" w:rsidP="00946AF0">
            <w:pPr>
              <w:spacing w:after="120"/>
              <w:jc w:val="both"/>
            </w:pPr>
            <w:r w:rsidRPr="00946AF0">
              <w:t>Noteikumu projekts nosaka, ka ģeoloģiskās informācijas sistēmu veido valsts ģeoloģijas fonds</w:t>
            </w:r>
            <w:r w:rsidR="00E558C4">
              <w:t>,</w:t>
            </w:r>
            <w:r w:rsidRPr="00946AF0">
              <w:t xml:space="preserve"> valsts ģeoloģijas arhīvs</w:t>
            </w:r>
            <w:r w:rsidR="002665BC" w:rsidRPr="00946AF0">
              <w:t>,</w:t>
            </w:r>
            <w:r w:rsidRPr="00946AF0">
              <w:t xml:space="preserve"> ģeoloģiski tehniskās literatūras bibliotēka</w:t>
            </w:r>
            <w:r w:rsidR="002665BC" w:rsidRPr="00946AF0">
              <w:t>,</w:t>
            </w:r>
            <w:r w:rsidRPr="00946AF0">
              <w:t xml:space="preserve"> urbumu seržu glabātava un paraugu kolekcijas</w:t>
            </w:r>
            <w:r w:rsidR="002665BC" w:rsidRPr="00946AF0">
              <w:t>,</w:t>
            </w:r>
            <w:r w:rsidRPr="00946AF0">
              <w:t xml:space="preserve"> </w:t>
            </w:r>
            <w:r w:rsidR="007A0D53">
              <w:t>kā arī ģeoloģiskā informācija, kas izmantojama elektroniskā veidā.</w:t>
            </w:r>
          </w:p>
          <w:p w:rsidR="007D4733" w:rsidRDefault="00880064" w:rsidP="00E84D06">
            <w:pPr>
              <w:pStyle w:val="BodyText"/>
              <w:spacing w:after="120"/>
              <w:jc w:val="both"/>
              <w:rPr>
                <w:b w:val="0"/>
                <w:sz w:val="24"/>
                <w:szCs w:val="24"/>
              </w:rPr>
            </w:pPr>
            <w:r>
              <w:rPr>
                <w:b w:val="0"/>
                <w:sz w:val="24"/>
                <w:szCs w:val="24"/>
              </w:rPr>
              <w:t>Ņemot vērā, ka ģeoloģiskās informācijas ieguvē tiek ieguldīti lieli finanšu un citi resursi, īpaši darbos jūrā, un šīs informācijas</w:t>
            </w:r>
            <w:r>
              <w:rPr>
                <w:rFonts w:ascii="Verdana" w:hAnsi="Verdana"/>
                <w:sz w:val="18"/>
                <w:szCs w:val="18"/>
              </w:rPr>
              <w:t xml:space="preserve"> </w:t>
            </w:r>
            <w:r w:rsidRPr="00880064">
              <w:rPr>
                <w:b w:val="0"/>
                <w:sz w:val="24"/>
                <w:szCs w:val="24"/>
              </w:rPr>
              <w:t>nonākšana citu personu rīcībā var radīt zaudējumus komersantam</w:t>
            </w:r>
            <w:r>
              <w:rPr>
                <w:b w:val="0"/>
                <w:sz w:val="24"/>
                <w:szCs w:val="24"/>
              </w:rPr>
              <w:t>, projektā ir noteikts, ka, nododot informāciju ģeoloģiskās informācijas sistēmā</w:t>
            </w:r>
            <w:r w:rsidR="005D6372">
              <w:rPr>
                <w:b w:val="0"/>
                <w:sz w:val="24"/>
                <w:szCs w:val="24"/>
              </w:rPr>
              <w:t>,</w:t>
            </w:r>
            <w:r>
              <w:rPr>
                <w:b w:val="0"/>
                <w:sz w:val="24"/>
                <w:szCs w:val="24"/>
              </w:rPr>
              <w:t xml:space="preserve"> tai var noteikt komercinformācijas statusu. </w:t>
            </w:r>
          </w:p>
          <w:p w:rsidR="00155A4D" w:rsidRDefault="006433DC" w:rsidP="006433DC">
            <w:pPr>
              <w:pStyle w:val="BodyText"/>
              <w:spacing w:after="120"/>
              <w:jc w:val="both"/>
              <w:rPr>
                <w:b w:val="0"/>
                <w:sz w:val="24"/>
                <w:szCs w:val="24"/>
              </w:rPr>
            </w:pPr>
            <w:r w:rsidRPr="006433DC">
              <w:rPr>
                <w:b w:val="0"/>
                <w:sz w:val="24"/>
                <w:szCs w:val="24"/>
              </w:rPr>
              <w:t>Noteikumu</w:t>
            </w:r>
            <w:r>
              <w:rPr>
                <w:b w:val="0"/>
                <w:sz w:val="24"/>
                <w:szCs w:val="24"/>
              </w:rPr>
              <w:t xml:space="preserve"> projekts juridiski nostiprinās jau izveidojušos ģeoloģiskās informācijas uzturēšanas praksi.</w:t>
            </w:r>
          </w:p>
          <w:p w:rsidR="0001682E" w:rsidRPr="006433DC" w:rsidRDefault="0001682E" w:rsidP="0001682E">
            <w:pPr>
              <w:pStyle w:val="naisf"/>
              <w:ind w:firstLine="0"/>
              <w:rPr>
                <w:b/>
              </w:rPr>
            </w:pPr>
            <w:r>
              <w:t>Papildus minētajam noteikumu projektā noteikts, ka arī ģ</w:t>
            </w:r>
            <w:r w:rsidRPr="0001682E">
              <w:t xml:space="preserve">eoloģisko informāciju, kas iegūta valsts pētījumu programmas rezultātā, Eiropas struktūrfondu finansētu pētījumu rezultātā vai valsts finansētu zinātnisku pētījumu ietvaros, nodod centram uzglabāšanai </w:t>
            </w:r>
            <w:r w:rsidRPr="0001682E">
              <w:lastRenderedPageBreak/>
              <w:t xml:space="preserve">ģeoloģiskās informācijas sistēmā. </w:t>
            </w:r>
          </w:p>
        </w:tc>
      </w:tr>
      <w:tr w:rsidR="00155A4D" w:rsidRPr="00380A54" w:rsidTr="00E116C7">
        <w:tc>
          <w:tcPr>
            <w:tcW w:w="2410" w:type="dxa"/>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5. Projekta izstrādē iesaistītās institūcijas</w:t>
            </w:r>
          </w:p>
        </w:tc>
        <w:tc>
          <w:tcPr>
            <w:tcW w:w="6946" w:type="dxa"/>
            <w:gridSpan w:val="2"/>
          </w:tcPr>
          <w:p w:rsidR="00155A4D" w:rsidRPr="00380A54" w:rsidRDefault="00155A4D" w:rsidP="00E84D06">
            <w:pPr>
              <w:pStyle w:val="Footer"/>
              <w:tabs>
                <w:tab w:val="clear" w:pos="4153"/>
                <w:tab w:val="clear" w:pos="8306"/>
              </w:tabs>
              <w:jc w:val="both"/>
            </w:pPr>
            <w:r>
              <w:rPr>
                <w:rFonts w:ascii="Times New Roman" w:hAnsi="Times New Roman"/>
                <w:sz w:val="24"/>
                <w:szCs w:val="24"/>
              </w:rPr>
              <w:t>Vides aizsardzības un r</w:t>
            </w:r>
            <w:r w:rsidR="00064611">
              <w:rPr>
                <w:rFonts w:ascii="Times New Roman" w:hAnsi="Times New Roman"/>
                <w:sz w:val="24"/>
                <w:szCs w:val="24"/>
              </w:rPr>
              <w:t xml:space="preserve">eģionālās attīstības ministrija, </w:t>
            </w:r>
            <w:r w:rsidR="00E84D06">
              <w:rPr>
                <w:rFonts w:ascii="Times New Roman" w:hAnsi="Times New Roman"/>
                <w:sz w:val="24"/>
                <w:szCs w:val="24"/>
              </w:rPr>
              <w:t>v</w:t>
            </w:r>
            <w:r w:rsidR="00064611">
              <w:rPr>
                <w:rFonts w:ascii="Times New Roman" w:hAnsi="Times New Roman"/>
                <w:sz w:val="24"/>
                <w:szCs w:val="24"/>
              </w:rPr>
              <w:t xml:space="preserve">alsts sabiedrība ar ierobežotu </w:t>
            </w:r>
            <w:r w:rsidR="00064611" w:rsidRPr="00064611">
              <w:rPr>
                <w:rFonts w:ascii="Times New Roman" w:hAnsi="Times New Roman"/>
                <w:sz w:val="24"/>
                <w:szCs w:val="24"/>
              </w:rPr>
              <w:t xml:space="preserve">atbildību </w:t>
            </w:r>
            <w:r w:rsidR="00E84D06">
              <w:rPr>
                <w:rFonts w:ascii="Times New Roman" w:hAnsi="Times New Roman"/>
                <w:sz w:val="24"/>
                <w:szCs w:val="24"/>
              </w:rPr>
              <w:t>„</w:t>
            </w:r>
            <w:r w:rsidR="00064611" w:rsidRPr="00064611">
              <w:rPr>
                <w:rFonts w:ascii="Times New Roman" w:hAnsi="Times New Roman"/>
                <w:sz w:val="24"/>
                <w:szCs w:val="24"/>
              </w:rPr>
              <w:t>Latvijas Vides, ģeoloģijas un meteoroloģijas centrs”</w:t>
            </w:r>
            <w:r w:rsidR="00064611">
              <w:rPr>
                <w:rFonts w:ascii="Times New Roman" w:hAnsi="Times New Roman"/>
                <w:sz w:val="24"/>
                <w:szCs w:val="24"/>
              </w:rPr>
              <w:t xml:space="preserve">. </w:t>
            </w:r>
          </w:p>
        </w:tc>
      </w:tr>
      <w:tr w:rsidR="00155A4D" w:rsidRPr="00380A54" w:rsidTr="00E116C7">
        <w:tc>
          <w:tcPr>
            <w:tcW w:w="2410" w:type="dxa"/>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6. Iemesli, kādēļ netika nodrošināta sabiedrības līdzdalība</w:t>
            </w:r>
          </w:p>
        </w:tc>
        <w:tc>
          <w:tcPr>
            <w:tcW w:w="6946" w:type="dxa"/>
            <w:gridSpan w:val="2"/>
          </w:tcPr>
          <w:p w:rsidR="00155A4D" w:rsidRPr="00306248" w:rsidRDefault="00306248" w:rsidP="00C13450">
            <w:pPr>
              <w:pStyle w:val="Footer"/>
              <w:tabs>
                <w:tab w:val="clear" w:pos="4153"/>
                <w:tab w:val="clear" w:pos="8306"/>
              </w:tabs>
              <w:jc w:val="both"/>
              <w:rPr>
                <w:sz w:val="24"/>
                <w:szCs w:val="24"/>
              </w:rPr>
            </w:pPr>
            <w:r w:rsidRPr="00306248">
              <w:rPr>
                <w:sz w:val="24"/>
                <w:szCs w:val="24"/>
              </w:rPr>
              <w:t>N</w:t>
            </w:r>
            <w:r>
              <w:rPr>
                <w:sz w:val="24"/>
                <w:szCs w:val="24"/>
              </w:rPr>
              <w:t>av</w:t>
            </w:r>
            <w:r w:rsidR="00F555A2">
              <w:rPr>
                <w:sz w:val="24"/>
                <w:szCs w:val="24"/>
              </w:rPr>
              <w:t xml:space="preserve"> attiecināms.</w:t>
            </w:r>
          </w:p>
        </w:tc>
      </w:tr>
      <w:tr w:rsidR="00155A4D" w:rsidRPr="00380A54" w:rsidTr="00E116C7">
        <w:tc>
          <w:tcPr>
            <w:tcW w:w="2410" w:type="dxa"/>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7. Cita informācija</w:t>
            </w:r>
          </w:p>
        </w:tc>
        <w:tc>
          <w:tcPr>
            <w:tcW w:w="6946" w:type="dxa"/>
            <w:gridSpan w:val="2"/>
          </w:tcPr>
          <w:p w:rsidR="00155A4D" w:rsidRPr="00380A54" w:rsidRDefault="00155A4D" w:rsidP="00155A4D">
            <w:r>
              <w:t xml:space="preserve"> N</w:t>
            </w:r>
            <w:r w:rsidR="00306248">
              <w:t>av</w:t>
            </w:r>
          </w:p>
        </w:tc>
      </w:tr>
      <w:tr w:rsidR="00155A4D" w:rsidRPr="00380A54" w:rsidTr="00E116C7">
        <w:tc>
          <w:tcPr>
            <w:tcW w:w="9356" w:type="dxa"/>
            <w:gridSpan w:val="3"/>
            <w:tcBorders>
              <w:bottom w:val="nil"/>
            </w:tcBorders>
          </w:tcPr>
          <w:p w:rsidR="00155A4D" w:rsidRPr="00380A54" w:rsidRDefault="00155A4D" w:rsidP="00E116C7">
            <w:pPr>
              <w:jc w:val="center"/>
              <w:rPr>
                <w:b/>
              </w:rPr>
            </w:pPr>
            <w:r w:rsidRPr="00380A54">
              <w:br w:type="page"/>
            </w:r>
            <w:r w:rsidRPr="00380A54">
              <w:br w:type="page"/>
            </w:r>
            <w:r w:rsidRPr="00380A54">
              <w:rPr>
                <w:b/>
              </w:rPr>
              <w:t xml:space="preserve">II. </w:t>
            </w:r>
            <w:r w:rsidRPr="00380A54">
              <w:rPr>
                <w:b/>
                <w:bCs/>
              </w:rPr>
              <w:t>Tiesību akta projekta ietekme uz sabiedrību</w:t>
            </w:r>
            <w:r w:rsidR="00E116C7">
              <w:rPr>
                <w:b/>
                <w:bCs/>
              </w:rPr>
              <w:t xml:space="preserve"> </w:t>
            </w:r>
          </w:p>
        </w:tc>
      </w:tr>
      <w:tr w:rsidR="00155A4D" w:rsidRPr="00380A54" w:rsidTr="00E116C7">
        <w:tc>
          <w:tcPr>
            <w:tcW w:w="2836" w:type="dxa"/>
            <w:gridSpan w:val="2"/>
            <w:tcBorders>
              <w:right w:val="single" w:sz="4" w:space="0" w:color="auto"/>
            </w:tcBorders>
          </w:tcPr>
          <w:p w:rsidR="00155A4D" w:rsidRPr="00380A54" w:rsidRDefault="00155A4D" w:rsidP="00155A4D">
            <w:pPr>
              <w:ind w:left="284" w:hanging="284"/>
              <w:jc w:val="both"/>
            </w:pPr>
            <w:r w:rsidRPr="00380A54">
              <w:t xml:space="preserve">1. Sabiedrības mērķgrupa </w:t>
            </w:r>
          </w:p>
        </w:tc>
        <w:tc>
          <w:tcPr>
            <w:tcW w:w="6520" w:type="dxa"/>
            <w:tcBorders>
              <w:left w:val="single" w:sz="4" w:space="0" w:color="auto"/>
            </w:tcBorders>
          </w:tcPr>
          <w:p w:rsidR="00155A4D" w:rsidRPr="007F0AA6" w:rsidRDefault="00DF350B" w:rsidP="007A0D53">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I</w:t>
            </w:r>
            <w:r w:rsidR="007F0AA6" w:rsidRPr="007F0AA6">
              <w:rPr>
                <w:rFonts w:ascii="Times New Roman" w:hAnsi="Times New Roman"/>
                <w:sz w:val="24"/>
                <w:szCs w:val="24"/>
              </w:rPr>
              <w:t>estādes, komersanti un privātpersonas,</w:t>
            </w:r>
            <w:r w:rsidR="007F0AA6">
              <w:rPr>
                <w:rFonts w:ascii="Times New Roman" w:hAnsi="Times New Roman"/>
                <w:sz w:val="24"/>
                <w:szCs w:val="24"/>
              </w:rPr>
              <w:t xml:space="preserve"> kam nepieciešam</w:t>
            </w:r>
            <w:r w:rsidR="00E116C7">
              <w:rPr>
                <w:rFonts w:ascii="Times New Roman" w:hAnsi="Times New Roman"/>
                <w:sz w:val="24"/>
                <w:szCs w:val="24"/>
              </w:rPr>
              <w:t>a</w:t>
            </w:r>
            <w:r w:rsidR="007F0AA6">
              <w:rPr>
                <w:rFonts w:ascii="Times New Roman" w:hAnsi="Times New Roman"/>
                <w:sz w:val="24"/>
                <w:szCs w:val="24"/>
              </w:rPr>
              <w:t xml:space="preserve"> informācija par zemes dzīlēm, vai</w:t>
            </w:r>
            <w:r w:rsidR="007F0AA6" w:rsidRPr="007F0AA6">
              <w:rPr>
                <w:rFonts w:ascii="Times New Roman" w:hAnsi="Times New Roman"/>
                <w:sz w:val="24"/>
                <w:szCs w:val="24"/>
              </w:rPr>
              <w:t xml:space="preserve"> kas pasūta </w:t>
            </w:r>
            <w:r w:rsidR="007F0AA6">
              <w:rPr>
                <w:rFonts w:ascii="Times New Roman" w:hAnsi="Times New Roman"/>
                <w:sz w:val="24"/>
                <w:szCs w:val="24"/>
              </w:rPr>
              <w:t xml:space="preserve">vai veic ar </w:t>
            </w:r>
            <w:r w:rsidR="007F0AA6" w:rsidRPr="007F0AA6">
              <w:rPr>
                <w:rFonts w:ascii="Times New Roman" w:hAnsi="Times New Roman"/>
                <w:sz w:val="24"/>
                <w:szCs w:val="24"/>
              </w:rPr>
              <w:t>zemes dzīļu izm</w:t>
            </w:r>
            <w:r w:rsidR="007F0AA6">
              <w:rPr>
                <w:rFonts w:ascii="Times New Roman" w:hAnsi="Times New Roman"/>
                <w:sz w:val="24"/>
                <w:szCs w:val="24"/>
              </w:rPr>
              <w:t>antošanu saistītus</w:t>
            </w:r>
            <w:r w:rsidR="007F0AA6" w:rsidRPr="007F0AA6">
              <w:rPr>
                <w:rFonts w:ascii="Times New Roman" w:hAnsi="Times New Roman"/>
                <w:sz w:val="24"/>
                <w:szCs w:val="24"/>
              </w:rPr>
              <w:t xml:space="preserve"> </w:t>
            </w:r>
            <w:r w:rsidR="007F0AA6">
              <w:rPr>
                <w:rFonts w:ascii="Times New Roman" w:hAnsi="Times New Roman"/>
                <w:sz w:val="24"/>
                <w:szCs w:val="24"/>
              </w:rPr>
              <w:t>darbus</w:t>
            </w:r>
            <w:r w:rsidR="006433DC">
              <w:rPr>
                <w:rFonts w:ascii="Times New Roman" w:hAnsi="Times New Roman"/>
                <w:sz w:val="24"/>
                <w:szCs w:val="24"/>
              </w:rPr>
              <w:t>, ģeoloģiskā</w:t>
            </w:r>
            <w:r w:rsidR="007A0D53">
              <w:rPr>
                <w:rFonts w:ascii="Times New Roman" w:hAnsi="Times New Roman"/>
                <w:sz w:val="24"/>
                <w:szCs w:val="24"/>
              </w:rPr>
              <w:t>s</w:t>
            </w:r>
            <w:r w:rsidR="006433DC">
              <w:rPr>
                <w:rFonts w:ascii="Times New Roman" w:hAnsi="Times New Roman"/>
                <w:sz w:val="24"/>
                <w:szCs w:val="24"/>
              </w:rPr>
              <w:t xml:space="preserve"> informācijas īpašnieki. </w:t>
            </w:r>
            <w:r w:rsidR="007F0AA6" w:rsidRPr="007F0AA6">
              <w:rPr>
                <w:rFonts w:ascii="Times New Roman" w:hAnsi="Times New Roman"/>
                <w:sz w:val="24"/>
                <w:szCs w:val="24"/>
              </w:rPr>
              <w:t xml:space="preserve">Personas, kas ir zemes īpašnieki vai iznomā zemi zemes dzīļu izmantošanai. </w:t>
            </w:r>
          </w:p>
        </w:tc>
      </w:tr>
      <w:tr w:rsidR="00155A4D" w:rsidRPr="00380A54" w:rsidTr="00E116C7">
        <w:tc>
          <w:tcPr>
            <w:tcW w:w="2836" w:type="dxa"/>
            <w:gridSpan w:val="2"/>
            <w:tcBorders>
              <w:right w:val="single" w:sz="4" w:space="0" w:color="auto"/>
            </w:tcBorders>
          </w:tcPr>
          <w:p w:rsidR="00155A4D" w:rsidRPr="00380A54" w:rsidRDefault="00155A4D" w:rsidP="00155A4D">
            <w:pPr>
              <w:jc w:val="both"/>
            </w:pPr>
            <w:r w:rsidRPr="00380A54">
              <w:t>2. Citas sabiedrības grupas (bez mērķgrupas), kuras tiesiskais regulējums arī ietekmē vai varētu ietekmēt</w:t>
            </w:r>
          </w:p>
        </w:tc>
        <w:tc>
          <w:tcPr>
            <w:tcW w:w="6520" w:type="dxa"/>
            <w:tcBorders>
              <w:left w:val="single" w:sz="4" w:space="0" w:color="auto"/>
            </w:tcBorders>
          </w:tcPr>
          <w:p w:rsidR="00155A4D" w:rsidRPr="00380A54" w:rsidRDefault="00E116C7" w:rsidP="00E116C7">
            <w:pPr>
              <w:jc w:val="both"/>
            </w:pPr>
            <w:r>
              <w:t>Zinātniskās un i</w:t>
            </w:r>
            <w:r w:rsidR="007F0AA6">
              <w:t>zglītības</w:t>
            </w:r>
            <w:r>
              <w:t xml:space="preserve"> iestādes;</w:t>
            </w:r>
            <w:r w:rsidR="007F0AA6">
              <w:t xml:space="preserve"> </w:t>
            </w:r>
            <w:r w:rsidR="007F0AA6" w:rsidRPr="00380A54">
              <w:t>ģeoloģijas</w:t>
            </w:r>
            <w:r w:rsidR="007F0AA6">
              <w:t>, d</w:t>
            </w:r>
            <w:r w:rsidR="00155A4D" w:rsidRPr="00380A54">
              <w:t>abas aizsardzības</w:t>
            </w:r>
            <w:r>
              <w:t xml:space="preserve"> un citu</w:t>
            </w:r>
            <w:r w:rsidR="00155A4D" w:rsidRPr="00380A54">
              <w:t xml:space="preserve"> nozar</w:t>
            </w:r>
            <w:r>
              <w:t>u</w:t>
            </w:r>
            <w:r w:rsidR="00155A4D" w:rsidRPr="00380A54">
              <w:t xml:space="preserve"> pārstāvji – gan sabiedriskās organizācijas, gan valsts</w:t>
            </w:r>
            <w:r w:rsidR="007F0AA6">
              <w:t xml:space="preserve"> un pašvaldību</w:t>
            </w:r>
            <w:r w:rsidR="00155A4D">
              <w:t xml:space="preserve"> </w:t>
            </w:r>
            <w:r w:rsidR="007F0AA6" w:rsidRPr="00380A54">
              <w:t>iestādes</w:t>
            </w:r>
            <w:r w:rsidR="007F0AA6">
              <w:t xml:space="preserve">. </w:t>
            </w:r>
          </w:p>
        </w:tc>
      </w:tr>
      <w:tr w:rsidR="00155A4D" w:rsidRPr="00380A54" w:rsidTr="00E116C7">
        <w:tc>
          <w:tcPr>
            <w:tcW w:w="2836" w:type="dxa"/>
            <w:gridSpan w:val="2"/>
          </w:tcPr>
          <w:p w:rsidR="00155A4D" w:rsidRPr="00380A54" w:rsidRDefault="00155A4D" w:rsidP="00155A4D">
            <w:pPr>
              <w:pStyle w:val="naiskr"/>
              <w:spacing w:before="0" w:after="0"/>
              <w:jc w:val="both"/>
            </w:pPr>
            <w:r w:rsidRPr="00380A54">
              <w:t>3. Tiesiskā regulējuma finansiālā ietekme</w:t>
            </w:r>
          </w:p>
        </w:tc>
        <w:tc>
          <w:tcPr>
            <w:tcW w:w="6520" w:type="dxa"/>
          </w:tcPr>
          <w:p w:rsidR="00155A4D" w:rsidRPr="00F57A5D" w:rsidRDefault="007F0AA6" w:rsidP="007F0AA6">
            <w:pPr>
              <w:pStyle w:val="naiskr"/>
              <w:spacing w:before="0" w:after="120"/>
              <w:ind w:left="104" w:right="57"/>
              <w:jc w:val="both"/>
            </w:pPr>
            <w:r>
              <w:t xml:space="preserve">Projekts šo jomu neskar. </w:t>
            </w:r>
          </w:p>
        </w:tc>
      </w:tr>
      <w:tr w:rsidR="00155A4D" w:rsidRPr="00380A54" w:rsidTr="00E116C7">
        <w:trPr>
          <w:trHeight w:val="174"/>
        </w:trPr>
        <w:tc>
          <w:tcPr>
            <w:tcW w:w="2836" w:type="dxa"/>
            <w:gridSpan w:val="2"/>
          </w:tcPr>
          <w:p w:rsidR="00155A4D" w:rsidRPr="00AA6F1F" w:rsidRDefault="00155A4D" w:rsidP="00155A4D">
            <w:pPr>
              <w:pStyle w:val="Footer"/>
              <w:tabs>
                <w:tab w:val="clear" w:pos="4153"/>
                <w:tab w:val="clear" w:pos="8306"/>
              </w:tabs>
              <w:rPr>
                <w:rFonts w:ascii="Times New Roman" w:hAnsi="Times New Roman"/>
                <w:sz w:val="24"/>
                <w:szCs w:val="24"/>
              </w:rPr>
            </w:pPr>
            <w:r w:rsidRPr="00AA6F1F">
              <w:rPr>
                <w:rFonts w:ascii="Times New Roman" w:hAnsi="Times New Roman"/>
                <w:sz w:val="24"/>
                <w:szCs w:val="24"/>
              </w:rPr>
              <w:t>4. Tiesiskā regulējuma nefinansiālā ietekme</w:t>
            </w:r>
          </w:p>
        </w:tc>
        <w:tc>
          <w:tcPr>
            <w:tcW w:w="6520" w:type="dxa"/>
          </w:tcPr>
          <w:p w:rsidR="00155A4D" w:rsidRPr="007D57CD" w:rsidRDefault="00155A4D" w:rsidP="009B7192">
            <w:pPr>
              <w:pStyle w:val="Footer"/>
              <w:tabs>
                <w:tab w:val="clear" w:pos="4153"/>
                <w:tab w:val="clear" w:pos="8306"/>
              </w:tabs>
              <w:jc w:val="both"/>
              <w:rPr>
                <w:rFonts w:ascii="Times New Roman" w:hAnsi="Times New Roman"/>
                <w:sz w:val="24"/>
                <w:szCs w:val="24"/>
              </w:rPr>
            </w:pPr>
            <w:r w:rsidRPr="007D57CD">
              <w:rPr>
                <w:rFonts w:ascii="Times New Roman" w:hAnsi="Times New Roman"/>
                <w:sz w:val="24"/>
                <w:szCs w:val="24"/>
              </w:rPr>
              <w:t>Notei</w:t>
            </w:r>
            <w:r w:rsidR="007D57CD" w:rsidRPr="007D57CD">
              <w:rPr>
                <w:rFonts w:ascii="Times New Roman" w:hAnsi="Times New Roman"/>
                <w:sz w:val="24"/>
                <w:szCs w:val="24"/>
              </w:rPr>
              <w:t>kts ģeoloģiskās informācijas sistēmas s</w:t>
            </w:r>
            <w:r w:rsidR="009B7192">
              <w:rPr>
                <w:rFonts w:ascii="Times New Roman" w:hAnsi="Times New Roman"/>
                <w:sz w:val="24"/>
                <w:szCs w:val="24"/>
              </w:rPr>
              <w:t>aturs un izmantošanas noteikumi</w:t>
            </w:r>
            <w:r w:rsidR="007D57CD">
              <w:rPr>
                <w:rFonts w:ascii="Times New Roman" w:hAnsi="Times New Roman"/>
                <w:sz w:val="24"/>
                <w:szCs w:val="24"/>
              </w:rPr>
              <w:t>.</w:t>
            </w:r>
            <w:r w:rsidR="00AA6F1F">
              <w:rPr>
                <w:rFonts w:ascii="Times New Roman" w:hAnsi="Times New Roman"/>
                <w:sz w:val="24"/>
                <w:szCs w:val="24"/>
              </w:rPr>
              <w:t xml:space="preserve"> </w:t>
            </w:r>
            <w:r w:rsidR="008372ED">
              <w:rPr>
                <w:rFonts w:ascii="Times New Roman" w:hAnsi="Times New Roman"/>
                <w:sz w:val="24"/>
                <w:szCs w:val="24"/>
              </w:rPr>
              <w:t>Noteikumi sabiedrību neietekmē.</w:t>
            </w:r>
          </w:p>
        </w:tc>
      </w:tr>
      <w:tr w:rsidR="00155A4D" w:rsidRPr="00380A54" w:rsidTr="00E116C7">
        <w:tc>
          <w:tcPr>
            <w:tcW w:w="2836" w:type="dxa"/>
            <w:gridSpan w:val="2"/>
          </w:tcPr>
          <w:p w:rsidR="00155A4D" w:rsidRPr="00380A54" w:rsidRDefault="00155A4D" w:rsidP="00155A4D">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5. Administratīvās procedūras raksturojums</w:t>
            </w:r>
          </w:p>
        </w:tc>
        <w:tc>
          <w:tcPr>
            <w:tcW w:w="6520" w:type="dxa"/>
          </w:tcPr>
          <w:p w:rsidR="00064717" w:rsidRDefault="00064717" w:rsidP="00064717">
            <w:pPr>
              <w:spacing w:after="120"/>
              <w:jc w:val="both"/>
              <w:rPr>
                <w:szCs w:val="28"/>
              </w:rPr>
            </w:pPr>
            <w:r>
              <w:t>Zemes dzīļu izmantotāji, tajā skaitā zinātnisko pētījumu veicēji</w:t>
            </w:r>
            <w:r w:rsidR="00216B25">
              <w:t>,</w:t>
            </w:r>
            <w:r>
              <w:t xml:space="preserve"> ģeoloģisko informāciju nodod valst</w:t>
            </w:r>
            <w:r w:rsidR="00E116C7">
              <w:t>ij</w:t>
            </w:r>
            <w:r>
              <w:t xml:space="preserve"> centr</w:t>
            </w:r>
            <w:r w:rsidR="00216B25">
              <w:t>a personā</w:t>
            </w:r>
            <w:r>
              <w:rPr>
                <w:szCs w:val="28"/>
              </w:rPr>
              <w:t>, kur</w:t>
            </w:r>
            <w:r w:rsidR="00216B25">
              <w:rPr>
                <w:szCs w:val="28"/>
              </w:rPr>
              <w:t>š</w:t>
            </w:r>
            <w:r>
              <w:rPr>
                <w:szCs w:val="28"/>
              </w:rPr>
              <w:t xml:space="preserve"> to uzglabā ģeoloģiskās informācijas sistēmā</w:t>
            </w:r>
            <w:r w:rsidR="00306248">
              <w:rPr>
                <w:szCs w:val="28"/>
              </w:rPr>
              <w:t xml:space="preserve"> un nodrošina tās pieejamību</w:t>
            </w:r>
            <w:r w:rsidR="00E558C4">
              <w:rPr>
                <w:szCs w:val="28"/>
              </w:rPr>
              <w:t xml:space="preserve"> vai arī ierobežotas pieejamības statusa ievērošanu.</w:t>
            </w:r>
            <w:r>
              <w:rPr>
                <w:szCs w:val="28"/>
              </w:rPr>
              <w:t xml:space="preserve"> </w:t>
            </w:r>
            <w:r w:rsidR="00E20E04">
              <w:rPr>
                <w:szCs w:val="28"/>
              </w:rPr>
              <w:t>Lai izmantotu ģeoloģisko informāciju, persona vēršas centrā un saņem informāciju saskaņā ar klientu apkalpošanas kārtību.</w:t>
            </w:r>
          </w:p>
          <w:p w:rsidR="00306248" w:rsidRPr="00306248" w:rsidRDefault="00E20E04" w:rsidP="00E20E04">
            <w:pPr>
              <w:pStyle w:val="BodyText"/>
              <w:spacing w:after="120"/>
              <w:jc w:val="both"/>
              <w:rPr>
                <w:color w:val="FFC000"/>
                <w:szCs w:val="28"/>
              </w:rPr>
            </w:pPr>
            <w:r>
              <w:rPr>
                <w:b w:val="0"/>
                <w:sz w:val="24"/>
                <w:szCs w:val="24"/>
              </w:rPr>
              <w:t>Noteikumu projektam pievienots līguma par ģeoloģiskās informācijas izmantošanu paraugs. Nododot ģeoloģisko informāciju ģeoloģiskā informācijas sistēmā, persona un centrs var noslēgt līgumu par informācijas izmantošanu, tajā paredzot</w:t>
            </w:r>
            <w:r w:rsidR="0001682E">
              <w:rPr>
                <w:b w:val="0"/>
                <w:sz w:val="24"/>
                <w:szCs w:val="24"/>
              </w:rPr>
              <w:t xml:space="preserve"> pusēm</w:t>
            </w:r>
            <w:r>
              <w:rPr>
                <w:b w:val="0"/>
                <w:sz w:val="24"/>
                <w:szCs w:val="24"/>
              </w:rPr>
              <w:t xml:space="preserve"> nepieciešamos nosacījumus. </w:t>
            </w:r>
          </w:p>
        </w:tc>
      </w:tr>
      <w:tr w:rsidR="00155A4D" w:rsidRPr="00380A54" w:rsidTr="00E116C7">
        <w:tc>
          <w:tcPr>
            <w:tcW w:w="2836" w:type="dxa"/>
            <w:gridSpan w:val="2"/>
          </w:tcPr>
          <w:p w:rsidR="00155A4D" w:rsidRPr="00380A54" w:rsidRDefault="00155A4D" w:rsidP="00155A4D">
            <w:pPr>
              <w:pStyle w:val="naiskr"/>
              <w:spacing w:before="0" w:after="0"/>
            </w:pPr>
            <w:r w:rsidRPr="00380A54">
              <w:t>6. Administratīvo izmaksu monetārs novērtējums</w:t>
            </w:r>
          </w:p>
        </w:tc>
        <w:tc>
          <w:tcPr>
            <w:tcW w:w="6520" w:type="dxa"/>
          </w:tcPr>
          <w:p w:rsidR="00155A4D" w:rsidRPr="00380A54" w:rsidRDefault="00155A4D" w:rsidP="00155A4D">
            <w:pPr>
              <w:rPr>
                <w:szCs w:val="28"/>
              </w:rPr>
            </w:pPr>
            <w:r>
              <w:t>Projekts šo jomu neskar.</w:t>
            </w:r>
          </w:p>
        </w:tc>
      </w:tr>
      <w:tr w:rsidR="00155A4D" w:rsidRPr="00380A54" w:rsidTr="00E116C7">
        <w:tc>
          <w:tcPr>
            <w:tcW w:w="2836" w:type="dxa"/>
            <w:gridSpan w:val="2"/>
            <w:tcBorders>
              <w:bottom w:val="single" w:sz="6" w:space="0" w:color="auto"/>
            </w:tcBorders>
          </w:tcPr>
          <w:p w:rsidR="00155A4D" w:rsidRPr="00380A54" w:rsidRDefault="00155A4D" w:rsidP="00155A4D">
            <w:pPr>
              <w:pStyle w:val="naiskr"/>
              <w:spacing w:before="0" w:after="0"/>
            </w:pPr>
            <w:r w:rsidRPr="00380A54">
              <w:t>7. Cita informācija</w:t>
            </w:r>
          </w:p>
        </w:tc>
        <w:tc>
          <w:tcPr>
            <w:tcW w:w="6520" w:type="dxa"/>
            <w:tcBorders>
              <w:bottom w:val="single" w:sz="6" w:space="0" w:color="auto"/>
            </w:tcBorders>
          </w:tcPr>
          <w:p w:rsidR="00155A4D" w:rsidRPr="00380A54" w:rsidRDefault="00155A4D" w:rsidP="00155A4D">
            <w:pPr>
              <w:rPr>
                <w:szCs w:val="28"/>
              </w:rPr>
            </w:pPr>
            <w:r w:rsidRPr="00380A54">
              <w:rPr>
                <w:szCs w:val="28"/>
              </w:rPr>
              <w:t xml:space="preserve">Nav </w:t>
            </w:r>
          </w:p>
        </w:tc>
      </w:tr>
    </w:tbl>
    <w:p w:rsidR="00306248" w:rsidRDefault="00155A4D" w:rsidP="001E2D23">
      <w:pPr>
        <w:pStyle w:val="naiskr"/>
        <w:spacing w:before="0" w:after="120"/>
        <w:ind w:left="104" w:right="57"/>
        <w:jc w:val="center"/>
      </w:pPr>
      <w:r>
        <w:rPr>
          <w:b/>
          <w:bCs/>
        </w:rPr>
        <w:t xml:space="preserve">Anotācijas </w:t>
      </w:r>
      <w:r w:rsidR="000D3EAF">
        <w:rPr>
          <w:b/>
          <w:bCs/>
        </w:rPr>
        <w:t>III</w:t>
      </w:r>
      <w:r w:rsidR="00273347">
        <w:rPr>
          <w:b/>
          <w:bCs/>
        </w:rPr>
        <w:t>.</w:t>
      </w:r>
      <w:r w:rsidR="000D3EAF">
        <w:rPr>
          <w:b/>
          <w:bCs/>
        </w:rPr>
        <w:t xml:space="preserve"> </w:t>
      </w:r>
      <w:r w:rsidRPr="00EC3D80">
        <w:rPr>
          <w:b/>
          <w:bCs/>
        </w:rPr>
        <w:t xml:space="preserve">sadaļa - </w:t>
      </w:r>
      <w:r>
        <w:t>P</w:t>
      </w:r>
      <w:r w:rsidRPr="00EC3D80">
        <w:t>rojekts šo jomu neskar.</w:t>
      </w: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2"/>
        <w:gridCol w:w="1962"/>
        <w:gridCol w:w="6919"/>
      </w:tblGrid>
      <w:tr w:rsidR="001E2D23" w:rsidRPr="00095FEE" w:rsidTr="00946AF0">
        <w:tc>
          <w:tcPr>
            <w:tcW w:w="5000" w:type="pct"/>
            <w:gridSpan w:val="3"/>
            <w:tcBorders>
              <w:top w:val="single" w:sz="4" w:space="0" w:color="auto"/>
              <w:left w:val="single" w:sz="4" w:space="0" w:color="auto"/>
              <w:bottom w:val="single" w:sz="4" w:space="0" w:color="auto"/>
              <w:right w:val="single" w:sz="4" w:space="0" w:color="auto"/>
            </w:tcBorders>
          </w:tcPr>
          <w:p w:rsidR="001E2D23" w:rsidRPr="00B00A0E" w:rsidRDefault="001E2D23" w:rsidP="00946AF0">
            <w:pPr>
              <w:spacing w:before="100" w:beforeAutospacing="1" w:after="100" w:afterAutospacing="1"/>
              <w:jc w:val="center"/>
              <w:rPr>
                <w:b/>
                <w:bCs/>
              </w:rPr>
            </w:pPr>
            <w:r w:rsidRPr="00B00A0E">
              <w:rPr>
                <w:b/>
                <w:bCs/>
              </w:rPr>
              <w:t>IV. Tiesību akta projekta ietekme uz spēkā esošo tiesību normu sistēmu</w:t>
            </w:r>
          </w:p>
        </w:tc>
      </w:tr>
      <w:tr w:rsidR="001E2D23" w:rsidRPr="00095FEE" w:rsidTr="00946AF0">
        <w:tc>
          <w:tcPr>
            <w:tcW w:w="180" w:type="pct"/>
            <w:tcBorders>
              <w:top w:val="single" w:sz="4" w:space="0" w:color="auto"/>
              <w:left w:val="outset" w:sz="6" w:space="0" w:color="000000"/>
              <w:bottom w:val="outset" w:sz="6" w:space="0" w:color="000000"/>
              <w:right w:val="outset" w:sz="6" w:space="0" w:color="000000"/>
            </w:tcBorders>
          </w:tcPr>
          <w:p w:rsidR="001E2D23" w:rsidRPr="00095FEE" w:rsidRDefault="001E2D23" w:rsidP="00946AF0">
            <w:pPr>
              <w:spacing w:before="100" w:beforeAutospacing="1" w:after="100" w:afterAutospacing="1"/>
              <w:rPr>
                <w:sz w:val="28"/>
                <w:szCs w:val="28"/>
              </w:rPr>
            </w:pPr>
            <w:r w:rsidRPr="00095FEE">
              <w:rPr>
                <w:sz w:val="28"/>
                <w:szCs w:val="28"/>
              </w:rPr>
              <w:t>1.</w:t>
            </w:r>
          </w:p>
        </w:tc>
        <w:tc>
          <w:tcPr>
            <w:tcW w:w="1065" w:type="pct"/>
            <w:tcBorders>
              <w:top w:val="single" w:sz="4" w:space="0" w:color="auto"/>
              <w:left w:val="outset" w:sz="6" w:space="0" w:color="000000"/>
              <w:bottom w:val="outset" w:sz="6" w:space="0" w:color="000000"/>
              <w:right w:val="outset" w:sz="6" w:space="0" w:color="000000"/>
            </w:tcBorders>
          </w:tcPr>
          <w:p w:rsidR="001E2D23" w:rsidRPr="00B00A0E" w:rsidRDefault="001E2D23" w:rsidP="00946AF0">
            <w:pPr>
              <w:spacing w:before="100" w:beforeAutospacing="1" w:after="100" w:afterAutospacing="1"/>
            </w:pPr>
            <w:r w:rsidRPr="00B00A0E">
              <w:t>Nepieciešamie saistītie tiesību aktu projekti</w:t>
            </w:r>
          </w:p>
        </w:tc>
        <w:tc>
          <w:tcPr>
            <w:tcW w:w="3755" w:type="pct"/>
            <w:tcBorders>
              <w:top w:val="single" w:sz="4" w:space="0" w:color="auto"/>
              <w:left w:val="outset" w:sz="6" w:space="0" w:color="000000"/>
              <w:bottom w:val="outset" w:sz="6" w:space="0" w:color="000000"/>
              <w:right w:val="outset" w:sz="6" w:space="0" w:color="000000"/>
            </w:tcBorders>
          </w:tcPr>
          <w:p w:rsidR="00F555A2" w:rsidRDefault="00071957" w:rsidP="00F555A2">
            <w:pPr>
              <w:pStyle w:val="NormalWeb"/>
              <w:spacing w:before="0" w:beforeAutospacing="0" w:after="120" w:afterAutospacing="0"/>
              <w:ind w:left="40" w:right="119" w:firstLine="284"/>
              <w:jc w:val="both"/>
              <w:rPr>
                <w:bCs/>
              </w:rPr>
            </w:pPr>
            <w:r w:rsidRPr="007443E3">
              <w:rPr>
                <w:bCs/>
              </w:rPr>
              <w:t>Lai nodrošinātu, ka trešajām personām netiek nodota informācija, kuras nodošana atklātībā var nodarīt kaitējumu informācijas īpašniekam, jāizdara grozījumi likumā „Par zemes dzīlēm”, paredzot, ka ģeoloģiskajai informācijai var noteikt ierobežotas pieejamības statusu uz l</w:t>
            </w:r>
            <w:r w:rsidR="006A3596">
              <w:rPr>
                <w:bCs/>
              </w:rPr>
              <w:t>a</w:t>
            </w:r>
            <w:r w:rsidRPr="007443E3">
              <w:rPr>
                <w:bCs/>
              </w:rPr>
              <w:t>iku, kas ilgā</w:t>
            </w:r>
            <w:r w:rsidR="002E4EA5">
              <w:rPr>
                <w:bCs/>
              </w:rPr>
              <w:t>k</w:t>
            </w:r>
            <w:r w:rsidR="00F555A2">
              <w:rPr>
                <w:bCs/>
              </w:rPr>
              <w:t>s par vienu gadu.</w:t>
            </w:r>
          </w:p>
          <w:p w:rsidR="001E2D23" w:rsidRPr="00B00A0E" w:rsidRDefault="00071957" w:rsidP="00F555A2">
            <w:pPr>
              <w:pStyle w:val="NormalWeb"/>
              <w:spacing w:before="0" w:beforeAutospacing="0" w:after="120" w:afterAutospacing="0"/>
              <w:ind w:left="40" w:right="119" w:firstLine="284"/>
              <w:jc w:val="both"/>
              <w:rPr>
                <w:b/>
                <w:bCs/>
              </w:rPr>
            </w:pPr>
            <w:r w:rsidRPr="007443E3">
              <w:rPr>
                <w:bCs/>
              </w:rPr>
              <w:t xml:space="preserve">Par likuma „Par zemes dzīlēm” grozījumu </w:t>
            </w:r>
            <w:r w:rsidR="001E2D23" w:rsidRPr="007443E3">
              <w:rPr>
                <w:bCs/>
              </w:rPr>
              <w:t>izst</w:t>
            </w:r>
            <w:r w:rsidRPr="007443E3">
              <w:rPr>
                <w:bCs/>
              </w:rPr>
              <w:t xml:space="preserve">rādi un tālāko </w:t>
            </w:r>
            <w:r w:rsidRPr="007443E3">
              <w:rPr>
                <w:bCs/>
              </w:rPr>
              <w:lastRenderedPageBreak/>
              <w:t>virzību atbildīga</w:t>
            </w:r>
            <w:r w:rsidR="001E2D23" w:rsidRPr="007443E3">
              <w:rPr>
                <w:bCs/>
              </w:rPr>
              <w:t xml:space="preserve"> ir Vides aizsardzības un reģionālās attīstības ministrija.</w:t>
            </w:r>
            <w:r w:rsidR="001E2D23" w:rsidRPr="00B00A0E">
              <w:rPr>
                <w:bCs/>
              </w:rPr>
              <w:t xml:space="preserve"> </w:t>
            </w:r>
            <w:r w:rsidR="00F555A2">
              <w:rPr>
                <w:bCs/>
              </w:rPr>
              <w:t>L</w:t>
            </w:r>
            <w:r w:rsidR="00F555A2">
              <w:rPr>
                <w:rStyle w:val="spelle"/>
              </w:rPr>
              <w:t xml:space="preserve">ikumprojekts </w:t>
            </w:r>
            <w:r w:rsidR="00F555A2" w:rsidRPr="00371001">
              <w:rPr>
                <w:rStyle w:val="spelle"/>
              </w:rPr>
              <w:t>„Grozījumi likumā „Par zemes dzīlēm””</w:t>
            </w:r>
            <w:r w:rsidR="00F555A2">
              <w:rPr>
                <w:bCs/>
              </w:rPr>
              <w:t xml:space="preserve"> </w:t>
            </w:r>
            <w:r w:rsidR="00F555A2">
              <w:rPr>
                <w:rStyle w:val="spelle"/>
              </w:rPr>
              <w:t>izsludināts</w:t>
            </w:r>
            <w:r w:rsidR="00F555A2" w:rsidRPr="00364232">
              <w:rPr>
                <w:bCs/>
              </w:rPr>
              <w:t xml:space="preserve"> 2012.gada 14.j</w:t>
            </w:r>
            <w:r w:rsidR="00F555A2">
              <w:rPr>
                <w:bCs/>
              </w:rPr>
              <w:t xml:space="preserve">ūnija Valsts sekretāru sanāksmē (VSS-598). </w:t>
            </w:r>
          </w:p>
        </w:tc>
      </w:tr>
      <w:tr w:rsidR="001E2D23" w:rsidRPr="00095FEE" w:rsidTr="00946AF0">
        <w:tc>
          <w:tcPr>
            <w:tcW w:w="180" w:type="pct"/>
            <w:tcBorders>
              <w:top w:val="outset" w:sz="6" w:space="0" w:color="000000"/>
              <w:left w:val="outset" w:sz="6" w:space="0" w:color="000000"/>
              <w:bottom w:val="outset" w:sz="6" w:space="0" w:color="000000"/>
              <w:right w:val="outset" w:sz="6" w:space="0" w:color="000000"/>
            </w:tcBorders>
          </w:tcPr>
          <w:p w:rsidR="001E2D23" w:rsidRPr="00095FEE" w:rsidRDefault="001E2D23" w:rsidP="00946AF0">
            <w:pPr>
              <w:spacing w:before="100" w:beforeAutospacing="1" w:after="100" w:afterAutospacing="1"/>
              <w:rPr>
                <w:sz w:val="28"/>
                <w:szCs w:val="28"/>
              </w:rPr>
            </w:pPr>
            <w:r w:rsidRPr="00095FEE">
              <w:rPr>
                <w:sz w:val="28"/>
                <w:szCs w:val="28"/>
              </w:rPr>
              <w:lastRenderedPageBreak/>
              <w:t>2.</w:t>
            </w:r>
          </w:p>
        </w:tc>
        <w:tc>
          <w:tcPr>
            <w:tcW w:w="1065" w:type="pct"/>
            <w:tcBorders>
              <w:top w:val="outset" w:sz="6" w:space="0" w:color="000000"/>
              <w:left w:val="outset" w:sz="6" w:space="0" w:color="000000"/>
              <w:bottom w:val="outset" w:sz="6" w:space="0" w:color="000000"/>
              <w:right w:val="outset" w:sz="6" w:space="0" w:color="000000"/>
            </w:tcBorders>
          </w:tcPr>
          <w:p w:rsidR="001E2D23" w:rsidRPr="00B00A0E" w:rsidRDefault="001E2D23" w:rsidP="00946AF0">
            <w:pPr>
              <w:spacing w:before="100" w:beforeAutospacing="1" w:after="100" w:afterAutospacing="1"/>
            </w:pPr>
            <w:r w:rsidRPr="00B00A0E">
              <w:t>Cita informācija</w:t>
            </w:r>
          </w:p>
        </w:tc>
        <w:tc>
          <w:tcPr>
            <w:tcW w:w="3755" w:type="pct"/>
            <w:tcBorders>
              <w:top w:val="outset" w:sz="6" w:space="0" w:color="000000"/>
              <w:left w:val="outset" w:sz="6" w:space="0" w:color="000000"/>
              <w:bottom w:val="outset" w:sz="6" w:space="0" w:color="000000"/>
              <w:right w:val="outset" w:sz="6" w:space="0" w:color="000000"/>
            </w:tcBorders>
          </w:tcPr>
          <w:p w:rsidR="001E2D23" w:rsidRPr="00B00A0E" w:rsidRDefault="001E2D23" w:rsidP="00946AF0">
            <w:pPr>
              <w:spacing w:before="100" w:beforeAutospacing="1" w:after="100" w:afterAutospacing="1"/>
              <w:ind w:left="150"/>
            </w:pPr>
            <w:r w:rsidRPr="00B00A0E">
              <w:t>Nav.</w:t>
            </w:r>
          </w:p>
        </w:tc>
      </w:tr>
    </w:tbl>
    <w:p w:rsidR="001E2D23" w:rsidRDefault="001E2D23" w:rsidP="001E2D23">
      <w:pPr>
        <w:pStyle w:val="naiskr"/>
        <w:spacing w:before="0" w:after="120"/>
        <w:ind w:left="104" w:right="57"/>
        <w:jc w:val="center"/>
      </w:pPr>
      <w:r>
        <w:rPr>
          <w:b/>
          <w:bCs/>
        </w:rPr>
        <w:t xml:space="preserve">Anotācijas V. </w:t>
      </w:r>
      <w:r w:rsidRPr="00EC3D80">
        <w:rPr>
          <w:b/>
          <w:bCs/>
        </w:rPr>
        <w:t xml:space="preserve">sadaļa - </w:t>
      </w:r>
      <w:r>
        <w:t>P</w:t>
      </w:r>
      <w:r w:rsidRPr="00EC3D80">
        <w:t>rojekts šo jomu neskar.</w:t>
      </w:r>
    </w:p>
    <w:tbl>
      <w:tblPr>
        <w:tblW w:w="934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0"/>
        <w:gridCol w:w="6552"/>
      </w:tblGrid>
      <w:tr w:rsidR="00273347" w:rsidRPr="007C0F2C" w:rsidTr="00306248">
        <w:trPr>
          <w:trHeight w:val="553"/>
          <w:jc w:val="center"/>
        </w:trPr>
        <w:tc>
          <w:tcPr>
            <w:tcW w:w="9342" w:type="dxa"/>
            <w:gridSpan w:val="2"/>
          </w:tcPr>
          <w:p w:rsidR="00273347" w:rsidRPr="00273347" w:rsidRDefault="00273347" w:rsidP="00273347">
            <w:pPr>
              <w:pStyle w:val="naiskr"/>
              <w:spacing w:before="0" w:after="0"/>
              <w:ind w:left="57" w:right="57"/>
              <w:jc w:val="center"/>
            </w:pPr>
            <w:r>
              <w:rPr>
                <w:b/>
              </w:rPr>
              <w:t>VI.</w:t>
            </w:r>
            <w:r w:rsidRPr="00273347">
              <w:rPr>
                <w:b/>
              </w:rPr>
              <w:t xml:space="preserve"> Sabiedrības līdzdalība un šīs līdzdalības rezultāti</w:t>
            </w:r>
          </w:p>
        </w:tc>
      </w:tr>
      <w:tr w:rsidR="00241C3A" w:rsidRPr="007C0F2C" w:rsidTr="00241C3A">
        <w:trPr>
          <w:trHeight w:val="553"/>
          <w:jc w:val="center"/>
        </w:trPr>
        <w:tc>
          <w:tcPr>
            <w:tcW w:w="2790" w:type="dxa"/>
          </w:tcPr>
          <w:p w:rsidR="00241C3A" w:rsidRPr="007C0F2C" w:rsidRDefault="00241C3A" w:rsidP="00306248">
            <w:pPr>
              <w:pStyle w:val="naiskr"/>
              <w:tabs>
                <w:tab w:val="left" w:pos="170"/>
              </w:tabs>
              <w:spacing w:before="0" w:after="0"/>
              <w:ind w:left="57" w:right="57"/>
              <w:rPr>
                <w:sz w:val="22"/>
                <w:szCs w:val="22"/>
              </w:rPr>
            </w:pPr>
            <w:r>
              <w:rPr>
                <w:sz w:val="22"/>
                <w:szCs w:val="22"/>
              </w:rPr>
              <w:t>1.</w:t>
            </w:r>
            <w:r w:rsidRPr="007C0F2C">
              <w:rPr>
                <w:sz w:val="22"/>
                <w:szCs w:val="22"/>
              </w:rPr>
              <w:t>Sabiedrības informēšana par projekta izstrādes uzsākšanu</w:t>
            </w:r>
          </w:p>
        </w:tc>
        <w:tc>
          <w:tcPr>
            <w:tcW w:w="6552" w:type="dxa"/>
          </w:tcPr>
          <w:p w:rsidR="009B2008" w:rsidRPr="00444C8D" w:rsidRDefault="009B2008" w:rsidP="00DF350B">
            <w:pPr>
              <w:pStyle w:val="naiskr"/>
              <w:spacing w:before="0" w:after="0"/>
              <w:ind w:left="57" w:right="57"/>
              <w:jc w:val="both"/>
              <w:rPr>
                <w:i/>
                <w:sz w:val="22"/>
                <w:szCs w:val="22"/>
              </w:rPr>
            </w:pPr>
            <w:r w:rsidRPr="009B2008">
              <w:t xml:space="preserve">Noteikumu projekts izsludināts </w:t>
            </w:r>
            <w:r w:rsidR="00DF350B">
              <w:t>2012.gada 2.</w:t>
            </w:r>
            <w:r w:rsidR="00DF350B" w:rsidRPr="00DF350B">
              <w:t>februāra</w:t>
            </w:r>
            <w:r w:rsidRPr="00DF350B">
              <w:t xml:space="preserve"> valsts sekretāru</w:t>
            </w:r>
            <w:r w:rsidR="00DF350B">
              <w:t xml:space="preserve"> sanāksmē. N</w:t>
            </w:r>
            <w:r w:rsidRPr="009B2008">
              <w:t>oteikumu proj</w:t>
            </w:r>
            <w:r>
              <w:t>e</w:t>
            </w:r>
            <w:r w:rsidRPr="009B2008">
              <w:t xml:space="preserve">kta </w:t>
            </w:r>
            <w:r w:rsidR="00DF350B">
              <w:t xml:space="preserve">izsludināšanas dienā </w:t>
            </w:r>
            <w:r w:rsidRPr="009B2008">
              <w:t>sabiedri</w:t>
            </w:r>
            <w:r>
              <w:t>s</w:t>
            </w:r>
            <w:r w:rsidRPr="009B2008">
              <w:t>kās organizācijas</w:t>
            </w:r>
            <w:r>
              <w:t>, kuras parasti iesaistās ar zemes dzīļ</w:t>
            </w:r>
            <w:r w:rsidR="00DF350B">
              <w:t>u izmantošanu saistīto normatīvo</w:t>
            </w:r>
            <w:r>
              <w:t xml:space="preserve"> aktu izstrādē</w:t>
            </w:r>
            <w:r w:rsidRPr="009B2008">
              <w:t xml:space="preserve"> (Latvijas Ģeologu savienība</w:t>
            </w:r>
            <w:r>
              <w:t>,</w:t>
            </w:r>
            <w:r w:rsidRPr="009B2008">
              <w:t xml:space="preserve"> biedr</w:t>
            </w:r>
            <w:r>
              <w:t>ība</w:t>
            </w:r>
            <w:r w:rsidRPr="009B2008">
              <w:t xml:space="preserve"> „Latvijas Ceļu būvētājs”</w:t>
            </w:r>
            <w:r>
              <w:t>, Latvijas Būvmateriālu ražotāju asociācija</w:t>
            </w:r>
            <w:r w:rsidRPr="009B2008">
              <w:t>,</w:t>
            </w:r>
            <w:r>
              <w:t xml:space="preserve"> Latvijas Kūdras ražotāju asociācija)</w:t>
            </w:r>
            <w:r w:rsidR="00DF350B">
              <w:t>,</w:t>
            </w:r>
            <w:r>
              <w:t xml:space="preserve"> </w:t>
            </w:r>
            <w:r w:rsidRPr="00DF350B">
              <w:t>ar elektroniskā pasta vēstuli tika informētas par noteikumu projektu.</w:t>
            </w:r>
            <w:r w:rsidR="00444C8D">
              <w:rPr>
                <w:color w:val="FF0000"/>
              </w:rPr>
              <w:t xml:space="preserve"> </w:t>
            </w:r>
          </w:p>
        </w:tc>
      </w:tr>
      <w:tr w:rsidR="00241C3A" w:rsidRPr="007C0F2C" w:rsidTr="00241C3A">
        <w:trPr>
          <w:trHeight w:val="339"/>
          <w:jc w:val="center"/>
        </w:trPr>
        <w:tc>
          <w:tcPr>
            <w:tcW w:w="2790" w:type="dxa"/>
          </w:tcPr>
          <w:p w:rsidR="00241C3A" w:rsidRPr="007C0F2C" w:rsidRDefault="00241C3A" w:rsidP="00306248">
            <w:pPr>
              <w:pStyle w:val="naiskr"/>
              <w:spacing w:before="0" w:after="0"/>
              <w:ind w:left="57" w:right="57"/>
              <w:rPr>
                <w:sz w:val="22"/>
                <w:szCs w:val="22"/>
              </w:rPr>
            </w:pPr>
            <w:r>
              <w:rPr>
                <w:sz w:val="22"/>
                <w:szCs w:val="22"/>
              </w:rPr>
              <w:t>2.</w:t>
            </w:r>
            <w:r w:rsidRPr="007C0F2C">
              <w:rPr>
                <w:sz w:val="22"/>
                <w:szCs w:val="22"/>
              </w:rPr>
              <w:t xml:space="preserve">Sabiedrības līdzdalība projekta izstrādē </w:t>
            </w:r>
          </w:p>
        </w:tc>
        <w:tc>
          <w:tcPr>
            <w:tcW w:w="6552" w:type="dxa"/>
          </w:tcPr>
          <w:p w:rsidR="00241C3A" w:rsidRPr="009B2008" w:rsidRDefault="00241C3A" w:rsidP="00444C8D">
            <w:pPr>
              <w:pStyle w:val="naiskr"/>
              <w:spacing w:before="0" w:after="0"/>
              <w:ind w:left="57" w:right="57"/>
              <w:jc w:val="both"/>
            </w:pPr>
            <w:r w:rsidRPr="009B2008">
              <w:t>Noteikumu projekta saskaņošanas gaitā saņemti atzinumi no Latvijas Ģeologu savienības, Latvijas Vēja enerģijas asociācijas, biedrības „Latvijas Ceļu būvētājs”, kā arī no komersantiem, kuriem izsniegtas licences ogļūdeņražu izpētei un ieguvei</w:t>
            </w:r>
            <w:r w:rsidR="00444C8D">
              <w:t xml:space="preserve"> -</w:t>
            </w:r>
            <w:r w:rsidRPr="009B2008">
              <w:t xml:space="preserve"> SIA „Balin Energy” un SIA „Odin Energi Latvija”. </w:t>
            </w:r>
          </w:p>
        </w:tc>
      </w:tr>
      <w:tr w:rsidR="00241C3A" w:rsidRPr="007C0F2C" w:rsidTr="00241C3A">
        <w:trPr>
          <w:trHeight w:val="375"/>
          <w:jc w:val="center"/>
        </w:trPr>
        <w:tc>
          <w:tcPr>
            <w:tcW w:w="2790" w:type="dxa"/>
          </w:tcPr>
          <w:p w:rsidR="00241C3A" w:rsidRPr="007C0F2C" w:rsidRDefault="00241C3A" w:rsidP="00306248">
            <w:pPr>
              <w:pStyle w:val="naiskr"/>
              <w:spacing w:before="0" w:after="0"/>
              <w:ind w:left="57" w:right="57"/>
              <w:rPr>
                <w:sz w:val="22"/>
                <w:szCs w:val="22"/>
              </w:rPr>
            </w:pPr>
            <w:r>
              <w:rPr>
                <w:sz w:val="22"/>
                <w:szCs w:val="22"/>
              </w:rPr>
              <w:t>3.</w:t>
            </w:r>
            <w:r w:rsidRPr="007C0F2C">
              <w:rPr>
                <w:sz w:val="22"/>
                <w:szCs w:val="22"/>
              </w:rPr>
              <w:t xml:space="preserve">Sabiedrības līdzdalības rezultāti </w:t>
            </w:r>
          </w:p>
        </w:tc>
        <w:tc>
          <w:tcPr>
            <w:tcW w:w="6552" w:type="dxa"/>
          </w:tcPr>
          <w:p w:rsidR="002E4EA5" w:rsidRDefault="002E4EA5" w:rsidP="00B65E88">
            <w:pPr>
              <w:pStyle w:val="naiskr"/>
              <w:spacing w:before="0" w:after="120"/>
              <w:ind w:left="57" w:right="57"/>
              <w:jc w:val="both"/>
            </w:pPr>
            <w:r>
              <w:t>Pēc b</w:t>
            </w:r>
            <w:r w:rsidRPr="009B2008">
              <w:t>iedrības „Latvijas Ceļu būvētājs”</w:t>
            </w:r>
            <w:r w:rsidR="00371001">
              <w:t xml:space="preserve"> ieteikuma</w:t>
            </w:r>
            <w:r w:rsidR="004B4B7A">
              <w:t xml:space="preserve"> noteikumu projekts</w:t>
            </w:r>
            <w:r>
              <w:t xml:space="preserve"> </w:t>
            </w:r>
            <w:r w:rsidR="004B4B7A">
              <w:t>papildināts ar</w:t>
            </w:r>
            <w:r>
              <w:t xml:space="preserve"> pielikums</w:t>
            </w:r>
            <w:r w:rsidR="004B4B7A">
              <w:t xml:space="preserve">, kurā dots </w:t>
            </w:r>
            <w:r>
              <w:t>līguma par ģeoloģiskās informācijas izmantošanu paraug</w:t>
            </w:r>
            <w:r w:rsidR="004B4B7A">
              <w:t>s</w:t>
            </w:r>
            <w:r>
              <w:t xml:space="preserve">. </w:t>
            </w:r>
          </w:p>
          <w:p w:rsidR="00B65E88" w:rsidRDefault="00B65E88" w:rsidP="00B65E88">
            <w:pPr>
              <w:spacing w:after="120"/>
              <w:jc w:val="both"/>
            </w:pPr>
            <w:r w:rsidRPr="009B2008">
              <w:t>Latvijas Ģeologu savien</w:t>
            </w:r>
            <w:r>
              <w:t>īb</w:t>
            </w:r>
            <w:r w:rsidR="00371001">
              <w:t>a</w:t>
            </w:r>
            <w:r>
              <w:t xml:space="preserve"> (LĢS), </w:t>
            </w:r>
            <w:r w:rsidR="002E4EA5">
              <w:t>pauda viedokli, ka</w:t>
            </w:r>
            <w:r>
              <w:t xml:space="preserve"> </w:t>
            </w:r>
            <w:r w:rsidRPr="009B2008">
              <w:t xml:space="preserve">noteikumu </w:t>
            </w:r>
            <w:r w:rsidRPr="00B65E88">
              <w:t>projekts ir saturiski un</w:t>
            </w:r>
            <w:r w:rsidR="002E4EA5">
              <w:t xml:space="preserve"> konceptuāli nepieņemams</w:t>
            </w:r>
            <w:r>
              <w:t>, ka jāveic</w:t>
            </w:r>
            <w:r w:rsidRPr="00B65E88">
              <w:rPr>
                <w:color w:val="76923C"/>
              </w:rPr>
              <w:t xml:space="preserve"> </w:t>
            </w:r>
            <w:r w:rsidRPr="00B65E88">
              <w:t>valstij piederošās ģeoloģiskās informācijas un tās stāvokļa inventarizācij</w:t>
            </w:r>
            <w:r>
              <w:t>a</w:t>
            </w:r>
            <w:r w:rsidRPr="00B65E88">
              <w:t>, kas netika veikta, nododot lielu daļu informācijas viena komersanta pārraudzībā, savukārt tā daļa, kas nav nodota komersanta</w:t>
            </w:r>
            <w:r w:rsidR="00F555A2">
              <w:t xml:space="preserve"> -</w:t>
            </w:r>
            <w:r w:rsidRPr="00B65E88">
              <w:t xml:space="preserve"> </w:t>
            </w:r>
            <w:r w:rsidRPr="00F555A2">
              <w:t>Centr</w:t>
            </w:r>
            <w:r w:rsidR="00F555A2">
              <w:t xml:space="preserve">a - </w:t>
            </w:r>
            <w:r w:rsidRPr="00B65E88">
              <w:t xml:space="preserve"> pārvaldībā, praktiski nav apzināta un izvērtēta. Tāpat LĢS vēl</w:t>
            </w:r>
            <w:r w:rsidR="00364232">
              <w:t>ējās</w:t>
            </w:r>
            <w:r w:rsidRPr="00B65E88">
              <w:t xml:space="preserve">  detālu datu, informācijas, kā arī datu bāzu un citu par valsts budžeta līdzekļiem izveidoto informatīvo ma</w:t>
            </w:r>
            <w:r w:rsidR="002E4EA5">
              <w:t>teriālu pieejamības regulējumu, tajā skaitā attiecībā uz samaksu.</w:t>
            </w:r>
          </w:p>
          <w:p w:rsidR="008678E1" w:rsidRDefault="008678E1" w:rsidP="002E4EA5">
            <w:pPr>
              <w:spacing w:after="120"/>
              <w:jc w:val="both"/>
            </w:pPr>
            <w:r>
              <w:t xml:space="preserve">Vides aizsardzības un reģionālās attīstības ministrija ir precizējusi noteikumu projektu, </w:t>
            </w:r>
            <w:r w:rsidR="00BD4081">
              <w:t>sī</w:t>
            </w:r>
            <w:r>
              <w:t>kāk uzskaitot ģeoloģiskās informācijas sistēmas sastāvdaļas, tomēr uzskata, ka pārāk liela detalizācija nav lietderīga.</w:t>
            </w:r>
            <w:r w:rsidR="00BD4081">
              <w:t xml:space="preserve"> Ģeoloģijas fondā, bibliotēkā un arhīvā esošo informāciju var izmantot bez</w:t>
            </w:r>
            <w:r w:rsidR="00B07D1D">
              <w:t xml:space="preserve"> </w:t>
            </w:r>
            <w:r w:rsidR="00BD4081">
              <w:t>maksas. Par kopē</w:t>
            </w:r>
            <w:r w:rsidR="004646F4">
              <w:t>šanu</w:t>
            </w:r>
            <w:r w:rsidR="00BD4081">
              <w:t xml:space="preserve"> un </w:t>
            </w:r>
            <w:r w:rsidR="004646F4">
              <w:t>apstrādātu informāciju jāmaksā atbilstoši centra pakalpojumu katalogam.</w:t>
            </w:r>
            <w:r w:rsidR="002E4EA5">
              <w:t xml:space="preserve"> </w:t>
            </w:r>
          </w:p>
          <w:p w:rsidR="002E4EA5" w:rsidRDefault="002E4EA5" w:rsidP="002E4EA5">
            <w:pPr>
              <w:spacing w:after="120"/>
              <w:jc w:val="both"/>
            </w:pPr>
            <w:r>
              <w:t xml:space="preserve">Ņemot vērā LĢS priekšlikumu, noteikumu projekts papildināts </w:t>
            </w:r>
            <w:r w:rsidR="00546C37">
              <w:t>ar pielikumu, kurā noteiktas prasības paraugu pieņemšanai glabāšanai seržu glabātuvē.</w:t>
            </w:r>
            <w:r w:rsidR="004B4B7A">
              <w:t xml:space="preserve"> </w:t>
            </w:r>
          </w:p>
          <w:p w:rsidR="008A7A0C" w:rsidRDefault="002E4EA5" w:rsidP="008A7A0C">
            <w:pPr>
              <w:pStyle w:val="naisf"/>
              <w:ind w:firstLine="720"/>
              <w:rPr>
                <w:bCs/>
              </w:rPr>
            </w:pPr>
            <w:r w:rsidRPr="00371001">
              <w:t xml:space="preserve">Latvijas Vēja enerģijas asociācija, SIA „Balin Energy” un SIA „Odin Energi Latvija” </w:t>
            </w:r>
            <w:r w:rsidR="0083340D">
              <w:t xml:space="preserve">(turpmāk – komersanti) </w:t>
            </w:r>
            <w:r w:rsidRPr="00371001">
              <w:t xml:space="preserve">pauda bažas attiecībā uz ierobežotas pieejamības statusa noteikšanu </w:t>
            </w:r>
            <w:r w:rsidRPr="00371001">
              <w:lastRenderedPageBreak/>
              <w:t>ģeoloģiskajai informācijai</w:t>
            </w:r>
            <w:r w:rsidR="00546C37">
              <w:t xml:space="preserve"> un vēlējās, lai noteikumos noteiktu ierobežotas pieejamības statusu </w:t>
            </w:r>
            <w:r w:rsidR="00546C37" w:rsidRPr="00546C37">
              <w:t>ogļūdeņražu meklēšanas, izpētes un ieguves uz sauszemes rezultātā iegūtajai informācijai un paraugiem līdz desmit gadiem</w:t>
            </w:r>
            <w:r w:rsidR="00546C37">
              <w:t>, bet jūrā iegūtajai informācijai – uz zemes dzīļu izmantošanas licences</w:t>
            </w:r>
            <w:r w:rsidR="00546C37" w:rsidRPr="00546C37">
              <w:t xml:space="preserve"> </w:t>
            </w:r>
            <w:r w:rsidR="00546C37">
              <w:t>darbības laiku.</w:t>
            </w:r>
            <w:r w:rsidR="009154B2">
              <w:t xml:space="preserve"> Savukārt Tieslietu ministrija uzturēja spēkā iebildumu, ka informācijai ierobežotas pieejamības statusu, kas ilgāks par gadu, var noteikt tikai ar likumu. </w:t>
            </w:r>
            <w:r w:rsidR="00921B8D" w:rsidRPr="00371001">
              <w:t>SIA „Balin Energy”</w:t>
            </w:r>
            <w:r w:rsidR="00921B8D">
              <w:t>, atsaucoties uz Satversmes tiesu un Augstākās tiesas Senātu vērš uzmanību, ka Tieslietu ministrija pārāk šauri skaidro</w:t>
            </w:r>
            <w:r w:rsidR="00921B8D" w:rsidRPr="00371001">
              <w:t xml:space="preserve"> </w:t>
            </w:r>
            <w:r w:rsidR="00921B8D">
              <w:t xml:space="preserve">jēdzienu „likums”, kā arī min virkni piemēru, kad ierobežotas pieejamības statuss informācijai ir noteikts ar Ministru kabineta noteikumiem. </w:t>
            </w:r>
            <w:r w:rsidR="0083340D">
              <w:t xml:space="preserve">Komersanti norādīja, ka ģeoloģiskās informācijas iegūšana prasa lielus finansiālos ieguldījumus. </w:t>
            </w:r>
            <w:r w:rsidR="00371001">
              <w:t>Lai novērstu komersantu bažas, noteikumu projekts papildināts ar prasību centram nodrošināt komercnoslēpuma aizsardzību</w:t>
            </w:r>
            <w:r w:rsidR="009763FF">
              <w:t xml:space="preserve"> un</w:t>
            </w:r>
            <w:r w:rsidR="00B07D1D">
              <w:rPr>
                <w:rStyle w:val="spelle"/>
              </w:rPr>
              <w:t xml:space="preserve"> </w:t>
            </w:r>
            <w:r w:rsidR="00B07D1D" w:rsidRPr="00364232">
              <w:rPr>
                <w:bCs/>
              </w:rPr>
              <w:t>2012.gada 14.j</w:t>
            </w:r>
            <w:r w:rsidR="00B07D1D">
              <w:rPr>
                <w:bCs/>
              </w:rPr>
              <w:t xml:space="preserve">ūnija Valsts sekretāru sanāksmē </w:t>
            </w:r>
            <w:r w:rsidR="00B07D1D">
              <w:rPr>
                <w:rStyle w:val="spelle"/>
              </w:rPr>
              <w:t xml:space="preserve">izsludināts likumprojekts </w:t>
            </w:r>
            <w:r w:rsidR="00B07D1D" w:rsidRPr="00371001">
              <w:rPr>
                <w:rStyle w:val="spelle"/>
              </w:rPr>
              <w:t>„Grozījumi likumā „Par zemes dzīlēm””</w:t>
            </w:r>
            <w:r w:rsidR="00B07D1D">
              <w:rPr>
                <w:bCs/>
              </w:rPr>
              <w:t xml:space="preserve"> (VSS-598).</w:t>
            </w:r>
            <w:r w:rsidR="003C7246">
              <w:rPr>
                <w:bCs/>
              </w:rPr>
              <w:t xml:space="preserve"> </w:t>
            </w:r>
            <w:r w:rsidR="0070549B">
              <w:rPr>
                <w:bCs/>
              </w:rPr>
              <w:t xml:space="preserve">Likumprojektā </w:t>
            </w:r>
            <w:r w:rsidR="0070549B">
              <w:rPr>
                <w:rStyle w:val="spelle"/>
              </w:rPr>
              <w:t xml:space="preserve">iekļauts komersantu ieteiktais </w:t>
            </w:r>
            <w:r w:rsidR="0070549B" w:rsidRPr="00371001">
              <w:rPr>
                <w:rStyle w:val="spelle"/>
              </w:rPr>
              <w:t>termiņ</w:t>
            </w:r>
            <w:r w:rsidR="0070549B">
              <w:rPr>
                <w:rStyle w:val="spelle"/>
              </w:rPr>
              <w:t>š</w:t>
            </w:r>
            <w:r w:rsidR="0070549B" w:rsidRPr="00371001">
              <w:rPr>
                <w:rStyle w:val="spelle"/>
              </w:rPr>
              <w:t>, uz kādu ģeoloģiskajai informācijai nosakāms ierobežotas informācijas statuss</w:t>
            </w:r>
            <w:r w:rsidR="0070549B">
              <w:rPr>
                <w:rStyle w:val="spelle"/>
              </w:rPr>
              <w:t xml:space="preserve"> (</w:t>
            </w:r>
            <w:r w:rsidR="0070549B" w:rsidRPr="00546C37">
              <w:t>uz sauszemes iegūtajai informācijai un paraugiem līdz desmit gadiem</w:t>
            </w:r>
            <w:r w:rsidR="0070549B">
              <w:t>, bet jūrā iegūtajai informācijai – uz zemes dzīļu izmantošanas licences</w:t>
            </w:r>
            <w:r w:rsidR="0070549B" w:rsidRPr="00546C37">
              <w:t xml:space="preserve"> </w:t>
            </w:r>
            <w:r w:rsidR="0070549B">
              <w:t>darbības laiku</w:t>
            </w:r>
            <w:r w:rsidR="0070549B">
              <w:rPr>
                <w:rStyle w:val="spelle"/>
              </w:rPr>
              <w:t>).</w:t>
            </w:r>
          </w:p>
          <w:p w:rsidR="0070549B" w:rsidRDefault="009154B2" w:rsidP="0070549B">
            <w:pPr>
              <w:pStyle w:val="naisf"/>
              <w:ind w:firstLine="720"/>
            </w:pPr>
            <w:r w:rsidRPr="00371001">
              <w:t xml:space="preserve">SIA „Balin Energy” </w:t>
            </w:r>
            <w:r>
              <w:t xml:space="preserve">ierosina </w:t>
            </w:r>
            <w:r w:rsidRPr="00364232">
              <w:t xml:space="preserve">papildināt noteikumus ar pārejas noteikumu, ka līdz </w:t>
            </w:r>
            <w:r w:rsidR="0070549B">
              <w:t xml:space="preserve">minēto </w:t>
            </w:r>
            <w:r w:rsidRPr="00364232">
              <w:t>grozījumu pieņemšanai likumā</w:t>
            </w:r>
            <w:r>
              <w:t xml:space="preserve"> „Par zemes dzīlēm”</w:t>
            </w:r>
            <w:r w:rsidRPr="00364232">
              <w:t xml:space="preserve"> ģeoloģisko informāciju valstij var nenodot.</w:t>
            </w:r>
            <w:r w:rsidRPr="00371001">
              <w:t xml:space="preserve"> Lat</w:t>
            </w:r>
            <w:r>
              <w:t>vijas Vēja enerģijas asociācija</w:t>
            </w:r>
            <w:r w:rsidRPr="00371001">
              <w:t xml:space="preserve"> un SIA „Odin Energi Latvija”</w:t>
            </w:r>
            <w:r>
              <w:t xml:space="preserve"> uzskata, ka vispirms jāveic attiecīgie grozījumi </w:t>
            </w:r>
            <w:r w:rsidRPr="00371001">
              <w:rPr>
                <w:rStyle w:val="spelle"/>
              </w:rPr>
              <w:t>likumā „Par zemes dzīlēm”</w:t>
            </w:r>
            <w:r>
              <w:rPr>
                <w:rStyle w:val="spelle"/>
              </w:rPr>
              <w:t xml:space="preserve"> un </w:t>
            </w:r>
            <w:r w:rsidR="0070549B">
              <w:rPr>
                <w:rStyle w:val="spelle"/>
              </w:rPr>
              <w:t xml:space="preserve">tikai </w:t>
            </w:r>
            <w:r>
              <w:rPr>
                <w:rStyle w:val="spelle"/>
              </w:rPr>
              <w:t xml:space="preserve">pēc tam </w:t>
            </w:r>
            <w:r w:rsidR="0070549B">
              <w:rPr>
                <w:rStyle w:val="spelle"/>
              </w:rPr>
              <w:t xml:space="preserve">ir lietderīgi </w:t>
            </w:r>
            <w:r>
              <w:rPr>
                <w:rStyle w:val="spelle"/>
              </w:rPr>
              <w:t>izstrādāt un pieņemt</w:t>
            </w:r>
            <w:r>
              <w:t xml:space="preserve"> noteikumu projektu. </w:t>
            </w:r>
          </w:p>
          <w:p w:rsidR="002E4EA5" w:rsidRPr="00444C8D" w:rsidRDefault="00364232" w:rsidP="0070549B">
            <w:pPr>
              <w:pStyle w:val="naisf"/>
              <w:ind w:firstLine="720"/>
            </w:pPr>
            <w:r>
              <w:t>M</w:t>
            </w:r>
            <w:r w:rsidR="00371001">
              <w:t xml:space="preserve">inistrija </w:t>
            </w:r>
            <w:r w:rsidR="0070549B">
              <w:t xml:space="preserve">uzskata, ka </w:t>
            </w:r>
            <w:r w:rsidR="009154B2">
              <w:rPr>
                <w:bCs/>
              </w:rPr>
              <w:t>noteikumu pieņemšanu atlikt nevar, jo likumā ir deleģējums šādus noteikumus izstrādāt un noteikts to izstrādes termiņš.</w:t>
            </w:r>
            <w:r w:rsidR="00B07D1D">
              <w:rPr>
                <w:bCs/>
              </w:rPr>
              <w:t xml:space="preserve"> Turklāt, par</w:t>
            </w:r>
            <w:r w:rsidR="0070549B">
              <w:rPr>
                <w:bCs/>
              </w:rPr>
              <w:t xml:space="preserve"> izsludinātajā</w:t>
            </w:r>
            <w:r w:rsidR="00B07D1D">
              <w:rPr>
                <w:bCs/>
              </w:rPr>
              <w:t xml:space="preserve"> likumprojektā noteiktajiem informācijas ierobežotas pieejamības statusa termiņiem vēl jālemj Saeimai.</w:t>
            </w:r>
          </w:p>
        </w:tc>
      </w:tr>
      <w:tr w:rsidR="00241C3A" w:rsidRPr="00B65E88" w:rsidTr="00241C3A">
        <w:trPr>
          <w:trHeight w:val="397"/>
          <w:jc w:val="center"/>
        </w:trPr>
        <w:tc>
          <w:tcPr>
            <w:tcW w:w="2790" w:type="dxa"/>
          </w:tcPr>
          <w:p w:rsidR="00241C3A" w:rsidRPr="00B65E88" w:rsidRDefault="00241C3A" w:rsidP="00306248">
            <w:pPr>
              <w:pStyle w:val="naiskr"/>
              <w:spacing w:before="0" w:after="0"/>
              <w:ind w:left="57" w:right="57"/>
            </w:pPr>
            <w:r w:rsidRPr="00B65E88">
              <w:lastRenderedPageBreak/>
              <w:t>4.Saeimas un ekspertu līdzdalība</w:t>
            </w:r>
          </w:p>
        </w:tc>
        <w:tc>
          <w:tcPr>
            <w:tcW w:w="6552" w:type="dxa"/>
          </w:tcPr>
          <w:p w:rsidR="004646F4" w:rsidRPr="00B00A0E" w:rsidRDefault="004646F4" w:rsidP="004646F4">
            <w:pPr>
              <w:pStyle w:val="Footer"/>
              <w:tabs>
                <w:tab w:val="clear" w:pos="4153"/>
                <w:tab w:val="clear" w:pos="8306"/>
              </w:tabs>
              <w:spacing w:after="120"/>
              <w:ind w:firstLine="34"/>
              <w:jc w:val="both"/>
              <w:rPr>
                <w:rFonts w:ascii="Times New Roman" w:hAnsi="Times New Roman"/>
                <w:sz w:val="24"/>
                <w:szCs w:val="24"/>
              </w:rPr>
            </w:pPr>
            <w:r w:rsidRPr="00B00A0E">
              <w:rPr>
                <w:rFonts w:ascii="Times New Roman" w:hAnsi="Times New Roman"/>
                <w:sz w:val="24"/>
                <w:szCs w:val="24"/>
              </w:rPr>
              <w:t>Projekts šo jomu neskar.</w:t>
            </w:r>
          </w:p>
          <w:p w:rsidR="00241C3A" w:rsidRPr="00B65E88" w:rsidRDefault="00241C3A" w:rsidP="00306248">
            <w:pPr>
              <w:pStyle w:val="naiskr"/>
              <w:spacing w:before="0" w:after="0"/>
              <w:ind w:left="57" w:right="57"/>
              <w:jc w:val="both"/>
            </w:pPr>
          </w:p>
        </w:tc>
      </w:tr>
      <w:tr w:rsidR="00241C3A" w:rsidRPr="00B65E88" w:rsidTr="00241C3A">
        <w:trPr>
          <w:trHeight w:val="476"/>
          <w:jc w:val="center"/>
        </w:trPr>
        <w:tc>
          <w:tcPr>
            <w:tcW w:w="2790" w:type="dxa"/>
          </w:tcPr>
          <w:p w:rsidR="00241C3A" w:rsidRPr="00B65E88" w:rsidRDefault="00241C3A" w:rsidP="00306248">
            <w:pPr>
              <w:pStyle w:val="naiskr"/>
              <w:spacing w:before="0" w:after="0"/>
              <w:ind w:left="57" w:right="57"/>
            </w:pPr>
            <w:r w:rsidRPr="00B65E88">
              <w:t>5.Cita informācija</w:t>
            </w:r>
          </w:p>
          <w:p w:rsidR="00241C3A" w:rsidRPr="00B65E88" w:rsidRDefault="00241C3A" w:rsidP="00306248">
            <w:pPr>
              <w:pStyle w:val="naiskr"/>
              <w:spacing w:before="0" w:after="0"/>
              <w:ind w:left="57" w:right="57"/>
            </w:pPr>
          </w:p>
        </w:tc>
        <w:tc>
          <w:tcPr>
            <w:tcW w:w="6552" w:type="dxa"/>
          </w:tcPr>
          <w:p w:rsidR="00241C3A" w:rsidRPr="00B65E88" w:rsidRDefault="00241C3A" w:rsidP="00306248">
            <w:pPr>
              <w:pStyle w:val="naiskr"/>
              <w:spacing w:before="0" w:after="0"/>
              <w:ind w:left="57" w:right="57"/>
              <w:jc w:val="both"/>
            </w:pPr>
            <w:r w:rsidRPr="00B65E88">
              <w:t>Nav</w:t>
            </w:r>
          </w:p>
        </w:tc>
      </w:tr>
    </w:tbl>
    <w:p w:rsidR="00241C3A" w:rsidRDefault="00241C3A" w:rsidP="00E116C7">
      <w:pPr>
        <w:pStyle w:val="naiskr"/>
        <w:spacing w:before="0" w:after="120"/>
        <w:ind w:left="104" w:right="57"/>
        <w:jc w:val="cente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4677"/>
      </w:tblGrid>
      <w:tr w:rsidR="00155A4D" w:rsidRPr="00380A54" w:rsidTr="00305019">
        <w:tc>
          <w:tcPr>
            <w:tcW w:w="9214" w:type="dxa"/>
            <w:gridSpan w:val="2"/>
          </w:tcPr>
          <w:p w:rsidR="00155A4D" w:rsidRPr="00380A54" w:rsidRDefault="00155A4D" w:rsidP="00155A4D">
            <w:pPr>
              <w:jc w:val="center"/>
              <w:rPr>
                <w:b/>
              </w:rPr>
            </w:pPr>
            <w:r w:rsidRPr="00380A54">
              <w:br w:type="page"/>
            </w:r>
            <w:r w:rsidRPr="00380A54">
              <w:rPr>
                <w:b/>
              </w:rPr>
              <w:t xml:space="preserve">VII. </w:t>
            </w:r>
            <w:r w:rsidRPr="00380A54">
              <w:rPr>
                <w:b/>
                <w:bCs/>
              </w:rPr>
              <w:t>Tiesību akta projekta izpildes nodrošināšana un tās ietekme uz institūcijām</w:t>
            </w:r>
          </w:p>
        </w:tc>
      </w:tr>
      <w:tr w:rsidR="00155A4D" w:rsidRPr="00380A54" w:rsidTr="00305019">
        <w:trPr>
          <w:trHeight w:val="607"/>
        </w:trPr>
        <w:tc>
          <w:tcPr>
            <w:tcW w:w="4537" w:type="dxa"/>
          </w:tcPr>
          <w:p w:rsidR="00155A4D" w:rsidRPr="00380A54" w:rsidRDefault="00155A4D" w:rsidP="00155A4D">
            <w:pPr>
              <w:ind w:right="-57"/>
              <w:jc w:val="both"/>
            </w:pPr>
            <w:r w:rsidRPr="00380A54">
              <w:t xml:space="preserve">1. Projekta izpildē iesaistītās institūcijas </w:t>
            </w:r>
          </w:p>
        </w:tc>
        <w:tc>
          <w:tcPr>
            <w:tcW w:w="4677" w:type="dxa"/>
          </w:tcPr>
          <w:p w:rsidR="00155A4D" w:rsidRPr="00380A54" w:rsidRDefault="00305019" w:rsidP="00305019">
            <w:pPr>
              <w:pStyle w:val="Footer"/>
              <w:tabs>
                <w:tab w:val="clear" w:pos="4153"/>
                <w:tab w:val="clear" w:pos="8306"/>
              </w:tabs>
              <w:spacing w:after="120"/>
              <w:ind w:firstLine="34"/>
              <w:jc w:val="both"/>
              <w:rPr>
                <w:rFonts w:ascii="Times New Roman" w:hAnsi="Times New Roman"/>
                <w:color w:val="7030A0"/>
                <w:sz w:val="24"/>
                <w:szCs w:val="24"/>
              </w:rPr>
            </w:pPr>
            <w:r>
              <w:rPr>
                <w:rFonts w:ascii="Times New Roman" w:hAnsi="Times New Roman"/>
                <w:sz w:val="24"/>
                <w:szCs w:val="24"/>
              </w:rPr>
              <w:t>V</w:t>
            </w:r>
            <w:r w:rsidRPr="00305019">
              <w:rPr>
                <w:rFonts w:ascii="Times New Roman" w:hAnsi="Times New Roman"/>
                <w:sz w:val="24"/>
                <w:szCs w:val="24"/>
              </w:rPr>
              <w:t>alsts SIA „Latvijas vides ģeoloģijas un meteoroloģijas centrs”</w:t>
            </w:r>
            <w:r>
              <w:rPr>
                <w:rFonts w:ascii="Times New Roman" w:hAnsi="Times New Roman"/>
                <w:sz w:val="24"/>
                <w:szCs w:val="24"/>
              </w:rPr>
              <w:t xml:space="preserve">, </w:t>
            </w:r>
            <w:r w:rsidR="00155A4D" w:rsidRPr="00380A54">
              <w:rPr>
                <w:rFonts w:ascii="Times New Roman" w:hAnsi="Times New Roman"/>
                <w:sz w:val="24"/>
                <w:szCs w:val="24"/>
              </w:rPr>
              <w:t>Valsts vides dienests</w:t>
            </w:r>
            <w:r>
              <w:rPr>
                <w:rFonts w:ascii="Times New Roman" w:hAnsi="Times New Roman"/>
                <w:sz w:val="24"/>
                <w:szCs w:val="24"/>
              </w:rPr>
              <w:t>.</w:t>
            </w:r>
            <w:r w:rsidR="00155A4D" w:rsidRPr="00380A54">
              <w:rPr>
                <w:rFonts w:ascii="Times New Roman" w:hAnsi="Times New Roman"/>
                <w:sz w:val="24"/>
                <w:szCs w:val="24"/>
              </w:rPr>
              <w:t xml:space="preserve"> </w:t>
            </w:r>
          </w:p>
        </w:tc>
      </w:tr>
      <w:tr w:rsidR="00155A4D" w:rsidRPr="00380A54" w:rsidTr="00305019">
        <w:trPr>
          <w:trHeight w:val="607"/>
        </w:trPr>
        <w:tc>
          <w:tcPr>
            <w:tcW w:w="4537" w:type="dxa"/>
          </w:tcPr>
          <w:p w:rsidR="00155A4D" w:rsidRPr="00380A54" w:rsidRDefault="00155A4D" w:rsidP="00155A4D">
            <w:pPr>
              <w:ind w:right="-57"/>
              <w:jc w:val="both"/>
              <w:rPr>
                <w:szCs w:val="28"/>
              </w:rPr>
            </w:pPr>
            <w:r w:rsidRPr="00380A54">
              <w:t>2. Projekta izpildes ietekme uz pārvaldes funkcijām</w:t>
            </w:r>
          </w:p>
        </w:tc>
        <w:tc>
          <w:tcPr>
            <w:tcW w:w="4677" w:type="dxa"/>
          </w:tcPr>
          <w:p w:rsidR="00155A4D" w:rsidRPr="00B00A0E" w:rsidRDefault="00155A4D" w:rsidP="00155A4D">
            <w:pPr>
              <w:pStyle w:val="Footer"/>
              <w:tabs>
                <w:tab w:val="clear" w:pos="4153"/>
                <w:tab w:val="clear" w:pos="8306"/>
              </w:tabs>
              <w:spacing w:after="120"/>
              <w:ind w:firstLine="34"/>
              <w:jc w:val="both"/>
              <w:rPr>
                <w:rFonts w:ascii="Times New Roman" w:hAnsi="Times New Roman"/>
                <w:sz w:val="24"/>
                <w:szCs w:val="24"/>
              </w:rPr>
            </w:pPr>
            <w:r w:rsidRPr="00B00A0E">
              <w:rPr>
                <w:rFonts w:ascii="Times New Roman" w:hAnsi="Times New Roman"/>
                <w:sz w:val="24"/>
                <w:szCs w:val="24"/>
              </w:rPr>
              <w:t>Projekts šo jomu neskar.</w:t>
            </w:r>
          </w:p>
          <w:p w:rsidR="00155A4D" w:rsidRPr="00380A54" w:rsidRDefault="00155A4D" w:rsidP="00155A4D">
            <w:pPr>
              <w:pStyle w:val="Footer"/>
              <w:tabs>
                <w:tab w:val="clear" w:pos="4153"/>
                <w:tab w:val="clear" w:pos="8306"/>
              </w:tabs>
              <w:spacing w:after="120"/>
              <w:ind w:firstLine="34"/>
              <w:jc w:val="both"/>
              <w:rPr>
                <w:rFonts w:ascii="Times New Roman" w:hAnsi="Times New Roman"/>
                <w:sz w:val="24"/>
                <w:szCs w:val="24"/>
              </w:rPr>
            </w:pPr>
          </w:p>
        </w:tc>
      </w:tr>
      <w:tr w:rsidR="00155A4D" w:rsidRPr="00380A54" w:rsidTr="00305019">
        <w:trPr>
          <w:trHeight w:val="607"/>
        </w:trPr>
        <w:tc>
          <w:tcPr>
            <w:tcW w:w="4537" w:type="dxa"/>
          </w:tcPr>
          <w:p w:rsidR="00155A4D" w:rsidRPr="00380A54" w:rsidRDefault="00155A4D" w:rsidP="00155A4D">
            <w:r w:rsidRPr="00380A54">
              <w:lastRenderedPageBreak/>
              <w:t>3. Projekta izpildes ietekme uz pārvaldes institucionālo struktūru.</w:t>
            </w:r>
          </w:p>
          <w:p w:rsidR="00155A4D" w:rsidRPr="00380A54" w:rsidRDefault="00155A4D" w:rsidP="00155A4D">
            <w:r w:rsidRPr="00380A54">
              <w:t>Jaunu institūciju izveide</w:t>
            </w:r>
          </w:p>
        </w:tc>
        <w:tc>
          <w:tcPr>
            <w:tcW w:w="4677" w:type="dxa"/>
          </w:tcPr>
          <w:p w:rsidR="00155A4D" w:rsidRDefault="00155A4D" w:rsidP="009909A2">
            <w:pPr>
              <w:pStyle w:val="naisf"/>
              <w:spacing w:before="0" w:after="120"/>
              <w:ind w:firstLine="0"/>
            </w:pPr>
            <w:r>
              <w:t>Projekts šo jomu neskar.</w:t>
            </w:r>
          </w:p>
          <w:p w:rsidR="00155A4D" w:rsidRPr="00380A54" w:rsidRDefault="00155A4D" w:rsidP="009909A2">
            <w:pPr>
              <w:pStyle w:val="naisf"/>
              <w:spacing w:before="0" w:after="120"/>
              <w:ind w:firstLine="0"/>
              <w:rPr>
                <w:szCs w:val="28"/>
              </w:rPr>
            </w:pPr>
            <w:r w:rsidRPr="00514A7B">
              <w:t>Jaun</w:t>
            </w:r>
            <w:r>
              <w:t>u</w:t>
            </w:r>
            <w:r w:rsidRPr="00514A7B">
              <w:t xml:space="preserve"> institūcij</w:t>
            </w:r>
            <w:r>
              <w:t xml:space="preserve">u izveide </w:t>
            </w:r>
            <w:r w:rsidRPr="00514A7B">
              <w:t>netiek paredzēta.</w:t>
            </w:r>
            <w:r>
              <w:t xml:space="preserve"> </w:t>
            </w:r>
          </w:p>
        </w:tc>
      </w:tr>
      <w:tr w:rsidR="00155A4D" w:rsidRPr="00380A54" w:rsidTr="00305019">
        <w:trPr>
          <w:trHeight w:val="607"/>
        </w:trPr>
        <w:tc>
          <w:tcPr>
            <w:tcW w:w="4537" w:type="dxa"/>
          </w:tcPr>
          <w:p w:rsidR="00155A4D" w:rsidRPr="00380A54" w:rsidRDefault="00155A4D" w:rsidP="00155A4D">
            <w:r w:rsidRPr="00380A54">
              <w:t>4. Projekta izpildes ietekme uz pārvaldes institucionālo struktūru.</w:t>
            </w:r>
          </w:p>
          <w:p w:rsidR="00155A4D" w:rsidRPr="00380A54" w:rsidRDefault="00155A4D" w:rsidP="00155A4D">
            <w:r w:rsidRPr="00380A54">
              <w:t>Esošu institūciju likvidācija</w:t>
            </w:r>
            <w:r>
              <w:t xml:space="preserve"> </w:t>
            </w:r>
          </w:p>
        </w:tc>
        <w:tc>
          <w:tcPr>
            <w:tcW w:w="4677" w:type="dxa"/>
          </w:tcPr>
          <w:p w:rsidR="00155A4D" w:rsidRDefault="00155A4D" w:rsidP="009909A2">
            <w:pPr>
              <w:pStyle w:val="naisf"/>
              <w:spacing w:before="0" w:after="120"/>
              <w:ind w:firstLine="34"/>
            </w:pPr>
            <w:r>
              <w:t>Projekts šo jomu neskar.</w:t>
            </w:r>
          </w:p>
          <w:p w:rsidR="00155A4D" w:rsidRPr="00380A54" w:rsidRDefault="00155A4D" w:rsidP="009909A2">
            <w:pPr>
              <w:pStyle w:val="naisf"/>
              <w:spacing w:before="0" w:after="120"/>
              <w:ind w:firstLine="34"/>
              <w:rPr>
                <w:szCs w:val="28"/>
              </w:rPr>
            </w:pPr>
            <w:r w:rsidRPr="009640EB">
              <w:t>Esošu institūciju likvidācija</w:t>
            </w:r>
            <w:r>
              <w:t xml:space="preserve"> netiek paredzēta. </w:t>
            </w:r>
          </w:p>
        </w:tc>
      </w:tr>
      <w:tr w:rsidR="00155A4D" w:rsidRPr="00380A54" w:rsidTr="00305019">
        <w:trPr>
          <w:trHeight w:val="607"/>
        </w:trPr>
        <w:tc>
          <w:tcPr>
            <w:tcW w:w="4537" w:type="dxa"/>
          </w:tcPr>
          <w:p w:rsidR="00155A4D" w:rsidRPr="00380A54" w:rsidRDefault="00155A4D" w:rsidP="00155A4D">
            <w:r w:rsidRPr="00380A54">
              <w:t>5. Projekta izpildes ietekme uz pārvaldes institucionālo struktūru.</w:t>
            </w:r>
          </w:p>
          <w:p w:rsidR="00155A4D" w:rsidRPr="00380A54" w:rsidRDefault="00155A4D" w:rsidP="00155A4D">
            <w:r w:rsidRPr="00380A54">
              <w:t>Esošu institūciju reorganizācija</w:t>
            </w:r>
            <w:r>
              <w:t xml:space="preserve"> </w:t>
            </w:r>
          </w:p>
        </w:tc>
        <w:tc>
          <w:tcPr>
            <w:tcW w:w="4677" w:type="dxa"/>
          </w:tcPr>
          <w:p w:rsidR="00155A4D" w:rsidRDefault="00155A4D" w:rsidP="009909A2">
            <w:pPr>
              <w:pStyle w:val="naisf"/>
              <w:spacing w:before="0" w:after="120"/>
              <w:ind w:firstLine="34"/>
            </w:pPr>
            <w:r>
              <w:t>Projekts šo jomu neskar.</w:t>
            </w:r>
          </w:p>
          <w:p w:rsidR="00155A4D" w:rsidRPr="00380A54" w:rsidRDefault="00155A4D" w:rsidP="009909A2">
            <w:pPr>
              <w:pStyle w:val="naisf"/>
              <w:spacing w:before="0" w:after="120"/>
              <w:ind w:firstLine="34"/>
            </w:pPr>
            <w:r w:rsidRPr="009640EB">
              <w:t>Esošu institūciju reorganizācija</w:t>
            </w:r>
            <w:r>
              <w:t xml:space="preserve"> netiek paredzēta. </w:t>
            </w:r>
          </w:p>
        </w:tc>
      </w:tr>
      <w:tr w:rsidR="00155A4D" w:rsidRPr="00380A54" w:rsidTr="00305019">
        <w:tc>
          <w:tcPr>
            <w:tcW w:w="4537" w:type="dxa"/>
          </w:tcPr>
          <w:p w:rsidR="00155A4D" w:rsidRPr="00380A54" w:rsidRDefault="00155A4D" w:rsidP="00155A4D">
            <w:pPr>
              <w:ind w:left="284" w:hanging="284"/>
              <w:rPr>
                <w:szCs w:val="28"/>
              </w:rPr>
            </w:pPr>
            <w:r w:rsidRPr="00380A54">
              <w:rPr>
                <w:szCs w:val="28"/>
              </w:rPr>
              <w:t>6. Cita informācija</w:t>
            </w:r>
          </w:p>
        </w:tc>
        <w:tc>
          <w:tcPr>
            <w:tcW w:w="4677" w:type="dxa"/>
          </w:tcPr>
          <w:p w:rsidR="00155A4D" w:rsidRPr="00380A54" w:rsidRDefault="00155A4D" w:rsidP="00155A4D">
            <w:pPr>
              <w:rPr>
                <w:szCs w:val="28"/>
              </w:rPr>
            </w:pPr>
            <w:r w:rsidRPr="00380A54">
              <w:rPr>
                <w:szCs w:val="28"/>
              </w:rPr>
              <w:t xml:space="preserve">Nav </w:t>
            </w:r>
          </w:p>
        </w:tc>
      </w:tr>
    </w:tbl>
    <w:p w:rsidR="00155A4D" w:rsidRPr="00380A54" w:rsidRDefault="00155A4D" w:rsidP="00155A4D">
      <w:pPr>
        <w:pStyle w:val="Header"/>
        <w:rPr>
          <w:szCs w:val="28"/>
        </w:rPr>
      </w:pPr>
      <w:r w:rsidRPr="00380A54">
        <w:rPr>
          <w:szCs w:val="28"/>
        </w:rPr>
        <w:t xml:space="preserve">                 </w:t>
      </w:r>
    </w:p>
    <w:p w:rsidR="006D4783" w:rsidRDefault="006D4783" w:rsidP="00155A4D">
      <w:pPr>
        <w:tabs>
          <w:tab w:val="left" w:pos="0"/>
        </w:tabs>
        <w:jc w:val="both"/>
      </w:pPr>
    </w:p>
    <w:p w:rsidR="00155A4D" w:rsidRPr="00380A54" w:rsidRDefault="00155A4D" w:rsidP="00155A4D">
      <w:pPr>
        <w:tabs>
          <w:tab w:val="left" w:pos="0"/>
        </w:tabs>
        <w:jc w:val="both"/>
      </w:pPr>
      <w:r w:rsidRPr="00380A54">
        <w:t>Vides aizsardzības un</w:t>
      </w:r>
    </w:p>
    <w:p w:rsidR="00155A4D" w:rsidRPr="00380A54" w:rsidRDefault="00155A4D" w:rsidP="00155A4D">
      <w:pPr>
        <w:tabs>
          <w:tab w:val="left" w:pos="0"/>
        </w:tabs>
        <w:jc w:val="both"/>
        <w:rPr>
          <w:szCs w:val="28"/>
        </w:rPr>
      </w:pPr>
      <w:r w:rsidRPr="00380A54">
        <w:t xml:space="preserve"> reģionālās attīstības ministrs</w:t>
      </w:r>
      <w:r w:rsidRPr="00380A54">
        <w:rPr>
          <w:szCs w:val="28"/>
        </w:rPr>
        <w:t xml:space="preserve">                                                                          E.Sprūdžs  </w:t>
      </w:r>
    </w:p>
    <w:p w:rsidR="00155A4D" w:rsidRPr="00380A54" w:rsidRDefault="00155A4D" w:rsidP="00155A4D">
      <w:pPr>
        <w:tabs>
          <w:tab w:val="left" w:pos="0"/>
        </w:tabs>
        <w:jc w:val="both"/>
        <w:rPr>
          <w:szCs w:val="28"/>
        </w:rPr>
      </w:pPr>
    </w:p>
    <w:p w:rsidR="00155A4D" w:rsidRPr="00524306" w:rsidRDefault="00155A4D" w:rsidP="00155A4D">
      <w:pPr>
        <w:tabs>
          <w:tab w:val="left" w:pos="0"/>
        </w:tabs>
        <w:jc w:val="both"/>
        <w:rPr>
          <w:b/>
          <w:szCs w:val="28"/>
        </w:rPr>
      </w:pPr>
      <w:r w:rsidRPr="00524306">
        <w:rPr>
          <w:b/>
          <w:szCs w:val="28"/>
        </w:rPr>
        <w:t>Vīza:</w:t>
      </w:r>
    </w:p>
    <w:p w:rsidR="00E116C7" w:rsidRDefault="00155A4D" w:rsidP="00E116C7">
      <w:pPr>
        <w:tabs>
          <w:tab w:val="left" w:pos="0"/>
        </w:tabs>
        <w:jc w:val="both"/>
        <w:rPr>
          <w:szCs w:val="28"/>
        </w:rPr>
      </w:pPr>
      <w:r w:rsidRPr="00380A54">
        <w:rPr>
          <w:szCs w:val="28"/>
        </w:rPr>
        <w:t>Valsts sekretārs</w:t>
      </w:r>
      <w:r w:rsidRPr="00380A54">
        <w:rPr>
          <w:szCs w:val="28"/>
        </w:rPr>
        <w:tab/>
      </w:r>
      <w:r w:rsidRPr="00380A54">
        <w:rPr>
          <w:szCs w:val="28"/>
        </w:rPr>
        <w:tab/>
      </w:r>
      <w:r w:rsidRPr="00380A54">
        <w:rPr>
          <w:szCs w:val="28"/>
        </w:rPr>
        <w:tab/>
      </w:r>
      <w:r w:rsidRPr="00380A54">
        <w:rPr>
          <w:szCs w:val="28"/>
        </w:rPr>
        <w:tab/>
      </w:r>
      <w:r>
        <w:rPr>
          <w:szCs w:val="28"/>
        </w:rPr>
        <w:t xml:space="preserve">               </w:t>
      </w:r>
      <w:r w:rsidRPr="00380A54">
        <w:rPr>
          <w:szCs w:val="28"/>
        </w:rPr>
        <w:tab/>
      </w:r>
      <w:r>
        <w:rPr>
          <w:szCs w:val="28"/>
        </w:rPr>
        <w:t xml:space="preserve">                         </w:t>
      </w:r>
      <w:r w:rsidR="00273347">
        <w:rPr>
          <w:szCs w:val="28"/>
        </w:rPr>
        <w:t>A.Antonovs</w:t>
      </w:r>
    </w:p>
    <w:p w:rsidR="00E116C7" w:rsidRDefault="00E116C7" w:rsidP="00E116C7">
      <w:pPr>
        <w:tabs>
          <w:tab w:val="left" w:pos="0"/>
        </w:tabs>
        <w:jc w:val="both"/>
        <w:rPr>
          <w:szCs w:val="28"/>
        </w:rPr>
      </w:pPr>
    </w:p>
    <w:p w:rsidR="00155A4D" w:rsidRPr="00E116C7" w:rsidRDefault="00CE5CD5" w:rsidP="00E116C7">
      <w:pPr>
        <w:tabs>
          <w:tab w:val="left" w:pos="0"/>
        </w:tabs>
        <w:jc w:val="both"/>
        <w:rPr>
          <w:sz w:val="22"/>
          <w:szCs w:val="22"/>
        </w:rPr>
      </w:pPr>
      <w:r>
        <w:rPr>
          <w:sz w:val="22"/>
          <w:szCs w:val="22"/>
        </w:rPr>
        <w:t>20</w:t>
      </w:r>
      <w:r w:rsidR="0083340D">
        <w:rPr>
          <w:sz w:val="22"/>
          <w:szCs w:val="22"/>
        </w:rPr>
        <w:t>.06</w:t>
      </w:r>
      <w:r w:rsidR="00155A4D" w:rsidRPr="00E116C7">
        <w:rPr>
          <w:sz w:val="22"/>
          <w:szCs w:val="22"/>
        </w:rPr>
        <w:t>.2012. 13.00</w:t>
      </w:r>
    </w:p>
    <w:p w:rsidR="00273347" w:rsidRDefault="000132BF" w:rsidP="00155A4D">
      <w:pPr>
        <w:pStyle w:val="Header"/>
        <w:rPr>
          <w:sz w:val="22"/>
          <w:szCs w:val="22"/>
        </w:rPr>
      </w:pPr>
      <w:r>
        <w:rPr>
          <w:sz w:val="22"/>
          <w:szCs w:val="22"/>
        </w:rPr>
        <w:t>1</w:t>
      </w:r>
      <w:r w:rsidR="008372ED">
        <w:rPr>
          <w:sz w:val="22"/>
          <w:szCs w:val="22"/>
        </w:rPr>
        <w:t>607</w:t>
      </w:r>
      <w:bookmarkStart w:id="5" w:name="_GoBack"/>
      <w:bookmarkEnd w:id="5"/>
    </w:p>
    <w:p w:rsidR="00155A4D" w:rsidRPr="00E116C7" w:rsidRDefault="00155A4D" w:rsidP="00155A4D">
      <w:pPr>
        <w:pStyle w:val="Header"/>
        <w:rPr>
          <w:sz w:val="22"/>
          <w:szCs w:val="22"/>
        </w:rPr>
      </w:pPr>
      <w:r w:rsidRPr="00E116C7">
        <w:rPr>
          <w:sz w:val="22"/>
          <w:szCs w:val="22"/>
        </w:rPr>
        <w:t>D.Ozola</w:t>
      </w:r>
    </w:p>
    <w:p w:rsidR="00DC3E97" w:rsidRPr="00155A4D" w:rsidRDefault="00155A4D" w:rsidP="00E116C7">
      <w:pPr>
        <w:pStyle w:val="Header"/>
      </w:pPr>
      <w:smartTag w:uri="schemas-tilde-lv/tildestengine" w:element="phone">
        <w:smartTagPr>
          <w:attr w:name="phone_number" w:val="7026518"/>
          <w:attr w:name="phone_prefix" w:val="6"/>
        </w:smartTagPr>
        <w:r w:rsidRPr="00E116C7">
          <w:rPr>
            <w:sz w:val="22"/>
            <w:szCs w:val="22"/>
          </w:rPr>
          <w:t>67026518</w:t>
        </w:r>
      </w:smartTag>
      <w:r w:rsidRPr="00E116C7">
        <w:rPr>
          <w:sz w:val="22"/>
          <w:szCs w:val="22"/>
        </w:rPr>
        <w:t xml:space="preserve">; </w:t>
      </w:r>
      <w:hyperlink r:id="rId9" w:history="1">
        <w:r w:rsidR="00273347" w:rsidRPr="000371C7">
          <w:rPr>
            <w:rStyle w:val="Hyperlink"/>
            <w:sz w:val="22"/>
            <w:szCs w:val="22"/>
          </w:rPr>
          <w:t>dace.ozola@varam.gov.lv</w:t>
        </w:r>
      </w:hyperlink>
      <w:r w:rsidRPr="00524306">
        <w:rPr>
          <w:sz w:val="24"/>
          <w:szCs w:val="24"/>
        </w:rPr>
        <w:t xml:space="preserve"> </w:t>
      </w:r>
      <w:r w:rsidR="00E116C7">
        <w:rPr>
          <w:sz w:val="24"/>
          <w:szCs w:val="24"/>
        </w:rPr>
        <w:t xml:space="preserve"> </w:t>
      </w:r>
      <w:r w:rsidR="00DC3E97" w:rsidRPr="00155A4D">
        <w:t xml:space="preserve"> </w:t>
      </w:r>
      <w:r w:rsidR="00AF64CB">
        <w:t xml:space="preserve">   </w:t>
      </w:r>
    </w:p>
    <w:sectPr w:rsidR="00DC3E97" w:rsidRPr="00155A4D" w:rsidSect="003D77D3">
      <w:headerReference w:type="even" r:id="rId10"/>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46" w:rsidRDefault="003C7246">
      <w:r>
        <w:separator/>
      </w:r>
    </w:p>
  </w:endnote>
  <w:endnote w:type="continuationSeparator" w:id="0">
    <w:p w:rsidR="003C7246" w:rsidRDefault="003C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46" w:rsidRPr="006D4783" w:rsidRDefault="003C7246" w:rsidP="006D4783">
    <w:pPr>
      <w:pStyle w:val="HTMLPreformatted"/>
      <w:rPr>
        <w:rFonts w:ascii="Times New Roman" w:hAnsi="Times New Roman" w:cs="Times New Roman"/>
        <w:bCs/>
        <w:sz w:val="24"/>
        <w:szCs w:val="24"/>
      </w:rPr>
    </w:pPr>
    <w:r w:rsidRPr="006D4783">
      <w:rPr>
        <w:rFonts w:ascii="Times New Roman" w:hAnsi="Times New Roman" w:cs="Times New Roman"/>
        <w:sz w:val="24"/>
        <w:szCs w:val="24"/>
      </w:rPr>
      <w:t>VARAMAnot_</w:t>
    </w:r>
    <w:r>
      <w:rPr>
        <w:rFonts w:ascii="Times New Roman" w:hAnsi="Times New Roman" w:cs="Times New Roman"/>
        <w:sz w:val="24"/>
        <w:szCs w:val="24"/>
      </w:rPr>
      <w:t>2006</w:t>
    </w:r>
    <w:r w:rsidRPr="006D4783">
      <w:rPr>
        <w:rFonts w:ascii="Times New Roman" w:hAnsi="Times New Roman" w:cs="Times New Roman"/>
        <w:sz w:val="24"/>
        <w:szCs w:val="24"/>
      </w:rPr>
      <w:t>12_ginfo</w:t>
    </w:r>
    <w:r>
      <w:rPr>
        <w:rFonts w:ascii="Times New Roman" w:hAnsi="Times New Roman" w:cs="Times New Roman"/>
        <w:sz w:val="24"/>
        <w:szCs w:val="24"/>
      </w:rPr>
      <w:t>MK</w:t>
    </w:r>
    <w:r w:rsidRPr="006D4783">
      <w:rPr>
        <w:rFonts w:ascii="Times New Roman" w:hAnsi="Times New Roman" w:cs="Times New Roman"/>
        <w:sz w:val="24"/>
        <w:szCs w:val="24"/>
      </w:rPr>
      <w:t>; Ministru kabineta noteikumu „Noteikumi par ģeoloģiskās informācijas sistēmu ”</w:t>
    </w:r>
    <w:r w:rsidRPr="006D4783">
      <w:rPr>
        <w:rFonts w:ascii="Times New Roman" w:hAnsi="Times New Roman" w:cs="Times New Roman"/>
        <w:bCs/>
        <w:sz w:val="24"/>
        <w:szCs w:val="24"/>
      </w:rPr>
      <w:t xml:space="preserve"> sākotnējās ietekmes novērtējuma </w:t>
    </w:r>
    <w:smartTag w:uri="schemas-tilde-lv/tildestengine" w:element="veidnes">
      <w:smartTagPr>
        <w:attr w:name="id" w:val="-1"/>
        <w:attr w:name="baseform" w:val="ziņojums"/>
        <w:attr w:name="text" w:val="ziņojums"/>
      </w:smartTagPr>
      <w:r w:rsidRPr="006D4783">
        <w:rPr>
          <w:rFonts w:ascii="Times New Roman" w:hAnsi="Times New Roman" w:cs="Times New Roman"/>
          <w:bCs/>
          <w:sz w:val="24"/>
          <w:szCs w:val="24"/>
        </w:rPr>
        <w:t>ziņojums</w:t>
      </w:r>
    </w:smartTag>
    <w:r w:rsidRPr="006D4783">
      <w:rPr>
        <w:rFonts w:ascii="Times New Roman" w:hAnsi="Times New Roman" w:cs="Times New Roman"/>
        <w:bCs/>
        <w:sz w:val="24"/>
        <w:szCs w:val="24"/>
      </w:rPr>
      <w:t xml:space="preserve"> (anotācija)</w:t>
    </w:r>
  </w:p>
  <w:p w:rsidR="003C7246" w:rsidRDefault="003C7246">
    <w:pPr>
      <w:pStyle w:val="Footer"/>
    </w:pPr>
  </w:p>
  <w:p w:rsidR="003C7246" w:rsidRPr="00D929FC" w:rsidRDefault="003C7246" w:rsidP="003D77D3">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46" w:rsidRDefault="003C7246">
      <w:r>
        <w:separator/>
      </w:r>
    </w:p>
  </w:footnote>
  <w:footnote w:type="continuationSeparator" w:id="0">
    <w:p w:rsidR="003C7246" w:rsidRDefault="003C7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46" w:rsidRDefault="003C7246" w:rsidP="003D7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7246" w:rsidRDefault="003C7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46" w:rsidRPr="009C5013" w:rsidRDefault="003C7246" w:rsidP="003D77D3">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sidR="008372ED">
      <w:rPr>
        <w:rStyle w:val="PageNumber"/>
        <w:noProof/>
        <w:sz w:val="24"/>
        <w:szCs w:val="24"/>
      </w:rPr>
      <w:t>6</w:t>
    </w:r>
    <w:r w:rsidRPr="009C5013">
      <w:rPr>
        <w:rStyle w:val="PageNumber"/>
        <w:sz w:val="24"/>
        <w:szCs w:val="24"/>
      </w:rPr>
      <w:fldChar w:fldCharType="end"/>
    </w:r>
  </w:p>
  <w:p w:rsidR="003C7246" w:rsidRDefault="003C7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4891AD5"/>
    <w:multiLevelType w:val="hybridMultilevel"/>
    <w:tmpl w:val="32F8A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C1520"/>
    <w:multiLevelType w:val="hybridMultilevel"/>
    <w:tmpl w:val="4198D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2106A"/>
    <w:multiLevelType w:val="hybridMultilevel"/>
    <w:tmpl w:val="AF40D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E9"/>
    <w:rsid w:val="00004D96"/>
    <w:rsid w:val="00011F49"/>
    <w:rsid w:val="000132BF"/>
    <w:rsid w:val="00013694"/>
    <w:rsid w:val="0001682E"/>
    <w:rsid w:val="00016A1B"/>
    <w:rsid w:val="00041946"/>
    <w:rsid w:val="00061C6C"/>
    <w:rsid w:val="00064611"/>
    <w:rsid w:val="00064717"/>
    <w:rsid w:val="00071957"/>
    <w:rsid w:val="00093A52"/>
    <w:rsid w:val="000A7EB7"/>
    <w:rsid w:val="000C329F"/>
    <w:rsid w:val="000D0085"/>
    <w:rsid w:val="000D057F"/>
    <w:rsid w:val="000D3AEE"/>
    <w:rsid w:val="000D3EAF"/>
    <w:rsid w:val="000D5F4D"/>
    <w:rsid w:val="000F2E2F"/>
    <w:rsid w:val="000F32B0"/>
    <w:rsid w:val="000F3D91"/>
    <w:rsid w:val="00134E83"/>
    <w:rsid w:val="00155A4D"/>
    <w:rsid w:val="001B0876"/>
    <w:rsid w:val="001C76B6"/>
    <w:rsid w:val="001D35C7"/>
    <w:rsid w:val="001E1750"/>
    <w:rsid w:val="001E2D23"/>
    <w:rsid w:val="0021500A"/>
    <w:rsid w:val="00216B25"/>
    <w:rsid w:val="00241C3A"/>
    <w:rsid w:val="002665BC"/>
    <w:rsid w:val="00273347"/>
    <w:rsid w:val="00275DD8"/>
    <w:rsid w:val="002920FC"/>
    <w:rsid w:val="002C0B12"/>
    <w:rsid w:val="002C1B5E"/>
    <w:rsid w:val="002C6EE0"/>
    <w:rsid w:val="002E4EA5"/>
    <w:rsid w:val="002F5CE9"/>
    <w:rsid w:val="00305019"/>
    <w:rsid w:val="00306248"/>
    <w:rsid w:val="003640F3"/>
    <w:rsid w:val="00364232"/>
    <w:rsid w:val="00371001"/>
    <w:rsid w:val="003805DC"/>
    <w:rsid w:val="00394EE0"/>
    <w:rsid w:val="003C7246"/>
    <w:rsid w:val="003D77D3"/>
    <w:rsid w:val="0041775D"/>
    <w:rsid w:val="00436390"/>
    <w:rsid w:val="00444289"/>
    <w:rsid w:val="00444C8D"/>
    <w:rsid w:val="00452F9B"/>
    <w:rsid w:val="004646F4"/>
    <w:rsid w:val="00471417"/>
    <w:rsid w:val="0048187F"/>
    <w:rsid w:val="004862ED"/>
    <w:rsid w:val="0048767B"/>
    <w:rsid w:val="004A5EAD"/>
    <w:rsid w:val="004B3A6F"/>
    <w:rsid w:val="004B4B7A"/>
    <w:rsid w:val="004B560C"/>
    <w:rsid w:val="004C541C"/>
    <w:rsid w:val="004E769D"/>
    <w:rsid w:val="004F4BA3"/>
    <w:rsid w:val="00514A7B"/>
    <w:rsid w:val="0054591C"/>
    <w:rsid w:val="00545B9A"/>
    <w:rsid w:val="00546C37"/>
    <w:rsid w:val="00547598"/>
    <w:rsid w:val="005602CD"/>
    <w:rsid w:val="005A0226"/>
    <w:rsid w:val="005D2A92"/>
    <w:rsid w:val="005D6372"/>
    <w:rsid w:val="005E1A76"/>
    <w:rsid w:val="0060565D"/>
    <w:rsid w:val="006060C8"/>
    <w:rsid w:val="0061450F"/>
    <w:rsid w:val="006433DC"/>
    <w:rsid w:val="00643F59"/>
    <w:rsid w:val="0064499B"/>
    <w:rsid w:val="00671646"/>
    <w:rsid w:val="0068144E"/>
    <w:rsid w:val="0068726C"/>
    <w:rsid w:val="006A3596"/>
    <w:rsid w:val="006D0EAC"/>
    <w:rsid w:val="006D4783"/>
    <w:rsid w:val="006E14B3"/>
    <w:rsid w:val="0070549B"/>
    <w:rsid w:val="00721F47"/>
    <w:rsid w:val="00722826"/>
    <w:rsid w:val="00726C4E"/>
    <w:rsid w:val="00741C6A"/>
    <w:rsid w:val="007443E3"/>
    <w:rsid w:val="0076469E"/>
    <w:rsid w:val="00781511"/>
    <w:rsid w:val="007841E4"/>
    <w:rsid w:val="00784E5E"/>
    <w:rsid w:val="0078531F"/>
    <w:rsid w:val="007937F8"/>
    <w:rsid w:val="007A0D53"/>
    <w:rsid w:val="007B6A48"/>
    <w:rsid w:val="007D4733"/>
    <w:rsid w:val="007D57CD"/>
    <w:rsid w:val="007F0AA6"/>
    <w:rsid w:val="007F2024"/>
    <w:rsid w:val="00801802"/>
    <w:rsid w:val="0083340D"/>
    <w:rsid w:val="008372ED"/>
    <w:rsid w:val="008427A9"/>
    <w:rsid w:val="0085178A"/>
    <w:rsid w:val="008678E1"/>
    <w:rsid w:val="00873F7A"/>
    <w:rsid w:val="00880064"/>
    <w:rsid w:val="008947D2"/>
    <w:rsid w:val="008A7A0C"/>
    <w:rsid w:val="008D7F36"/>
    <w:rsid w:val="008F1C86"/>
    <w:rsid w:val="00906302"/>
    <w:rsid w:val="00913D30"/>
    <w:rsid w:val="009154B2"/>
    <w:rsid w:val="00921B8D"/>
    <w:rsid w:val="00931684"/>
    <w:rsid w:val="00936AFE"/>
    <w:rsid w:val="00946AF0"/>
    <w:rsid w:val="00950B80"/>
    <w:rsid w:val="009640EB"/>
    <w:rsid w:val="00967B5D"/>
    <w:rsid w:val="009763FF"/>
    <w:rsid w:val="009909A2"/>
    <w:rsid w:val="009A64EF"/>
    <w:rsid w:val="009B2008"/>
    <w:rsid w:val="009B7192"/>
    <w:rsid w:val="009C0B14"/>
    <w:rsid w:val="009C0CCF"/>
    <w:rsid w:val="009C2B53"/>
    <w:rsid w:val="009C48A1"/>
    <w:rsid w:val="009C5013"/>
    <w:rsid w:val="009D5508"/>
    <w:rsid w:val="00A115E9"/>
    <w:rsid w:val="00A473EA"/>
    <w:rsid w:val="00A629A3"/>
    <w:rsid w:val="00AA6F1F"/>
    <w:rsid w:val="00AD4438"/>
    <w:rsid w:val="00AD443F"/>
    <w:rsid w:val="00AF64CB"/>
    <w:rsid w:val="00B0014C"/>
    <w:rsid w:val="00B07D1D"/>
    <w:rsid w:val="00B1360D"/>
    <w:rsid w:val="00B14B0F"/>
    <w:rsid w:val="00B16EB3"/>
    <w:rsid w:val="00B314CA"/>
    <w:rsid w:val="00B576E2"/>
    <w:rsid w:val="00B65E88"/>
    <w:rsid w:val="00B725E7"/>
    <w:rsid w:val="00B81169"/>
    <w:rsid w:val="00B86AD3"/>
    <w:rsid w:val="00BA750E"/>
    <w:rsid w:val="00BB5769"/>
    <w:rsid w:val="00BD4081"/>
    <w:rsid w:val="00BD783F"/>
    <w:rsid w:val="00BF09A0"/>
    <w:rsid w:val="00C05C7E"/>
    <w:rsid w:val="00C11272"/>
    <w:rsid w:val="00C13450"/>
    <w:rsid w:val="00C144ED"/>
    <w:rsid w:val="00C34A0E"/>
    <w:rsid w:val="00C47FBE"/>
    <w:rsid w:val="00C908D9"/>
    <w:rsid w:val="00CE5CD5"/>
    <w:rsid w:val="00D105F7"/>
    <w:rsid w:val="00D1708E"/>
    <w:rsid w:val="00D65C37"/>
    <w:rsid w:val="00D65E13"/>
    <w:rsid w:val="00D86956"/>
    <w:rsid w:val="00D929FC"/>
    <w:rsid w:val="00D9390D"/>
    <w:rsid w:val="00D94CC7"/>
    <w:rsid w:val="00DB3753"/>
    <w:rsid w:val="00DC3E97"/>
    <w:rsid w:val="00DE311B"/>
    <w:rsid w:val="00DF28D3"/>
    <w:rsid w:val="00DF350B"/>
    <w:rsid w:val="00E116C7"/>
    <w:rsid w:val="00E12039"/>
    <w:rsid w:val="00E20E04"/>
    <w:rsid w:val="00E40E11"/>
    <w:rsid w:val="00E558C4"/>
    <w:rsid w:val="00E736F3"/>
    <w:rsid w:val="00E84D06"/>
    <w:rsid w:val="00E97BC7"/>
    <w:rsid w:val="00EE2492"/>
    <w:rsid w:val="00F058B1"/>
    <w:rsid w:val="00F45531"/>
    <w:rsid w:val="00F555A2"/>
    <w:rsid w:val="00F56707"/>
    <w:rsid w:val="00F60C6D"/>
    <w:rsid w:val="00F74CD4"/>
    <w:rsid w:val="00FF31D6"/>
    <w:rsid w:val="00FF7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D3"/>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7D3"/>
    <w:pPr>
      <w:jc w:val="center"/>
    </w:pPr>
    <w:rPr>
      <w:b/>
      <w:sz w:val="28"/>
      <w:szCs w:val="32"/>
    </w:rPr>
  </w:style>
  <w:style w:type="character" w:customStyle="1" w:styleId="BodyTextChar">
    <w:name w:val="Body Text Char"/>
    <w:link w:val="BodyText"/>
    <w:locked/>
    <w:rsid w:val="003D77D3"/>
    <w:rPr>
      <w:rFonts w:ascii="Times New Roman" w:hAnsi="Times New Roman" w:cs="Times New Roman"/>
      <w:b/>
      <w:sz w:val="32"/>
      <w:szCs w:val="32"/>
      <w:lang w:val="lv-LV" w:eastAsia="lv-LV"/>
    </w:rPr>
  </w:style>
  <w:style w:type="paragraph" w:styleId="Footer">
    <w:name w:val="footer"/>
    <w:basedOn w:val="Normal"/>
    <w:link w:val="FooterChar"/>
    <w:rsid w:val="003D77D3"/>
    <w:pPr>
      <w:tabs>
        <w:tab w:val="center" w:pos="4153"/>
        <w:tab w:val="right" w:pos="8306"/>
      </w:tabs>
    </w:pPr>
    <w:rPr>
      <w:rFonts w:ascii="RimTimes" w:hAnsi="RimTimes"/>
      <w:sz w:val="28"/>
      <w:szCs w:val="20"/>
      <w:lang w:eastAsia="en-US"/>
    </w:rPr>
  </w:style>
  <w:style w:type="character" w:customStyle="1" w:styleId="FooterChar">
    <w:name w:val="Footer Char"/>
    <w:link w:val="Footer"/>
    <w:locked/>
    <w:rsid w:val="003D77D3"/>
    <w:rPr>
      <w:rFonts w:ascii="RimTimes" w:hAnsi="RimTimes" w:cs="Times New Roman"/>
      <w:snapToGrid w:val="0"/>
      <w:sz w:val="20"/>
      <w:szCs w:val="20"/>
      <w:lang w:val="lv-LV"/>
    </w:rPr>
  </w:style>
  <w:style w:type="paragraph" w:styleId="Header">
    <w:name w:val="header"/>
    <w:basedOn w:val="Normal"/>
    <w:link w:val="HeaderChar"/>
    <w:rsid w:val="003D77D3"/>
    <w:pPr>
      <w:tabs>
        <w:tab w:val="center" w:pos="4153"/>
        <w:tab w:val="right" w:pos="8306"/>
      </w:tabs>
    </w:pPr>
    <w:rPr>
      <w:sz w:val="28"/>
      <w:szCs w:val="20"/>
      <w:lang w:eastAsia="en-US"/>
    </w:rPr>
  </w:style>
  <w:style w:type="character" w:customStyle="1" w:styleId="HeaderChar">
    <w:name w:val="Header Char"/>
    <w:link w:val="Header"/>
    <w:locked/>
    <w:rsid w:val="003D77D3"/>
    <w:rPr>
      <w:rFonts w:ascii="Times New Roman" w:hAnsi="Times New Roman" w:cs="Times New Roman"/>
      <w:sz w:val="20"/>
      <w:szCs w:val="20"/>
      <w:lang w:val="lv-LV"/>
    </w:rPr>
  </w:style>
  <w:style w:type="character" w:styleId="Hyperlink">
    <w:name w:val="Hyperlink"/>
    <w:uiPriority w:val="99"/>
    <w:rsid w:val="003D77D3"/>
    <w:rPr>
      <w:rFonts w:ascii="Times New Roman" w:hAnsi="Times New Roman" w:cs="Times New Roman"/>
      <w:color w:val="0000FF"/>
      <w:u w:val="single"/>
      <w:lang w:val="lv-LV"/>
    </w:rPr>
  </w:style>
  <w:style w:type="paragraph" w:customStyle="1" w:styleId="naisf">
    <w:name w:val="naisf"/>
    <w:basedOn w:val="Normal"/>
    <w:rsid w:val="003D77D3"/>
    <w:pPr>
      <w:spacing w:before="75" w:after="75"/>
      <w:ind w:firstLine="375"/>
      <w:jc w:val="both"/>
    </w:pPr>
  </w:style>
  <w:style w:type="paragraph" w:customStyle="1" w:styleId="naiskr">
    <w:name w:val="naiskr"/>
    <w:basedOn w:val="Normal"/>
    <w:rsid w:val="003D77D3"/>
    <w:pPr>
      <w:spacing w:before="75" w:after="75"/>
    </w:pPr>
  </w:style>
  <w:style w:type="paragraph" w:styleId="NormalWeb">
    <w:name w:val="Normal (Web)"/>
    <w:basedOn w:val="Normal"/>
    <w:link w:val="NormalWebChar"/>
    <w:uiPriority w:val="99"/>
    <w:rsid w:val="003D77D3"/>
    <w:pPr>
      <w:spacing w:before="100" w:beforeAutospacing="1" w:after="100" w:afterAutospacing="1"/>
    </w:pPr>
  </w:style>
  <w:style w:type="character" w:styleId="Strong">
    <w:name w:val="Strong"/>
    <w:uiPriority w:val="99"/>
    <w:qFormat/>
    <w:rsid w:val="003D77D3"/>
    <w:rPr>
      <w:rFonts w:cs="Times New Roman"/>
      <w:b/>
      <w:bCs/>
    </w:rPr>
  </w:style>
  <w:style w:type="paragraph" w:customStyle="1" w:styleId="naislab">
    <w:name w:val="naislab"/>
    <w:basedOn w:val="Normal"/>
    <w:uiPriority w:val="99"/>
    <w:rsid w:val="003D77D3"/>
    <w:pPr>
      <w:spacing w:before="75" w:after="75"/>
      <w:jc w:val="right"/>
    </w:pPr>
    <w:rPr>
      <w:rFonts w:eastAsia="Calibri"/>
    </w:rPr>
  </w:style>
  <w:style w:type="character" w:styleId="PageNumber">
    <w:name w:val="page number"/>
    <w:uiPriority w:val="99"/>
    <w:rsid w:val="003D77D3"/>
    <w:rPr>
      <w:rFonts w:cs="Times New Roman"/>
    </w:rPr>
  </w:style>
  <w:style w:type="paragraph" w:customStyle="1" w:styleId="naisnod">
    <w:name w:val="naisnod"/>
    <w:basedOn w:val="Normal"/>
    <w:rsid w:val="003D77D3"/>
    <w:pPr>
      <w:spacing w:before="150" w:after="150"/>
      <w:jc w:val="center"/>
    </w:pPr>
    <w:rPr>
      <w:b/>
      <w:bCs/>
    </w:rPr>
  </w:style>
  <w:style w:type="paragraph" w:styleId="ListParagraph">
    <w:name w:val="List Paragraph"/>
    <w:basedOn w:val="Normal"/>
    <w:uiPriority w:val="34"/>
    <w:qFormat/>
    <w:rsid w:val="00C05C7E"/>
    <w:pPr>
      <w:ind w:left="720"/>
      <w:contextualSpacing/>
    </w:pPr>
  </w:style>
  <w:style w:type="paragraph" w:styleId="BalloonText">
    <w:name w:val="Balloon Text"/>
    <w:basedOn w:val="Normal"/>
    <w:link w:val="BalloonTextChar"/>
    <w:uiPriority w:val="99"/>
    <w:semiHidden/>
    <w:rsid w:val="0076469E"/>
    <w:rPr>
      <w:rFonts w:ascii="Tahoma" w:hAnsi="Tahoma" w:cs="Tahoma"/>
      <w:sz w:val="16"/>
      <w:szCs w:val="16"/>
    </w:rPr>
  </w:style>
  <w:style w:type="character" w:customStyle="1" w:styleId="BalloonTextChar">
    <w:name w:val="Balloon Text Char"/>
    <w:link w:val="BalloonText"/>
    <w:uiPriority w:val="99"/>
    <w:semiHidden/>
    <w:locked/>
    <w:rsid w:val="0076469E"/>
    <w:rPr>
      <w:rFonts w:ascii="Tahoma" w:hAnsi="Tahoma" w:cs="Tahoma"/>
      <w:sz w:val="16"/>
      <w:szCs w:val="16"/>
      <w:lang w:val="lv-LV" w:eastAsia="lv-LV"/>
    </w:rPr>
  </w:style>
  <w:style w:type="paragraph" w:styleId="BodyText3">
    <w:name w:val="Body Text 3"/>
    <w:basedOn w:val="Normal"/>
    <w:link w:val="BodyText3Char"/>
    <w:uiPriority w:val="99"/>
    <w:unhideWhenUsed/>
    <w:rsid w:val="00155A4D"/>
    <w:pPr>
      <w:spacing w:after="120"/>
    </w:pPr>
    <w:rPr>
      <w:sz w:val="16"/>
      <w:szCs w:val="16"/>
    </w:rPr>
  </w:style>
  <w:style w:type="character" w:customStyle="1" w:styleId="BodyText3Char">
    <w:name w:val="Body Text 3 Char"/>
    <w:link w:val="BodyText3"/>
    <w:uiPriority w:val="99"/>
    <w:rsid w:val="00155A4D"/>
    <w:rPr>
      <w:rFonts w:ascii="Times New Roman" w:eastAsia="Times New Roman" w:hAnsi="Times New Roman"/>
      <w:sz w:val="16"/>
      <w:szCs w:val="16"/>
    </w:rPr>
  </w:style>
  <w:style w:type="character" w:customStyle="1" w:styleId="NormalWebChar">
    <w:name w:val="Normal (Web) Char"/>
    <w:link w:val="NormalWeb"/>
    <w:uiPriority w:val="99"/>
    <w:rsid w:val="00155A4D"/>
    <w:rPr>
      <w:rFonts w:ascii="Times New Roman" w:eastAsia="Times New Roman" w:hAnsi="Times New Roman"/>
      <w:sz w:val="24"/>
      <w:szCs w:val="24"/>
    </w:rPr>
  </w:style>
  <w:style w:type="paragraph" w:styleId="HTMLPreformatted">
    <w:name w:val="HTML Preformatted"/>
    <w:basedOn w:val="Normal"/>
    <w:link w:val="HTMLPreformattedChar"/>
    <w:rsid w:val="006D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D4783"/>
    <w:rPr>
      <w:rFonts w:ascii="Courier New" w:eastAsia="Times New Roman" w:hAnsi="Courier New" w:cs="Courier New"/>
      <w:sz w:val="20"/>
      <w:szCs w:val="20"/>
    </w:rPr>
  </w:style>
  <w:style w:type="character" w:customStyle="1" w:styleId="spelle">
    <w:name w:val="spelle"/>
    <w:rsid w:val="00371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2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gmc.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ozola@vara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MK noteikumu anotācija</vt:lpstr>
    </vt:vector>
  </TitlesOfParts>
  <Company>VARAM</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anotācija</dc:title>
  <dc:subject/>
  <dc:creator>Dace Ozola</dc:creator>
  <cp:keywords/>
  <dc:description/>
  <cp:lastModifiedBy>Dace Ozola</cp:lastModifiedBy>
  <cp:revision>4</cp:revision>
  <cp:lastPrinted>2012-06-20T13:19:00Z</cp:lastPrinted>
  <dcterms:created xsi:type="dcterms:W3CDTF">2011-05-30T13:58:00Z</dcterms:created>
  <dcterms:modified xsi:type="dcterms:W3CDTF">2012-06-22T07:59:00Z</dcterms:modified>
</cp:coreProperties>
</file>