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80" w:rsidRPr="00137C80" w:rsidRDefault="00137C80" w:rsidP="00137C80">
      <w:pPr>
        <w:rPr>
          <w:rFonts w:ascii="Times New Roman" w:hAnsi="Times New Roman" w:cs="Times New Roman"/>
          <w:sz w:val="24"/>
          <w:szCs w:val="24"/>
        </w:rPr>
      </w:pPr>
      <w:r w:rsidRPr="00137C80">
        <w:rPr>
          <w:rFonts w:ascii="Times New Roman" w:hAnsi="Times New Roman" w:cs="Times New Roman"/>
          <w:sz w:val="24"/>
          <w:szCs w:val="24"/>
        </w:rPr>
        <w:tab/>
      </w:r>
      <w:r w:rsidRPr="00137C80">
        <w:rPr>
          <w:rFonts w:ascii="Times New Roman" w:hAnsi="Times New Roman" w:cs="Times New Roman"/>
          <w:sz w:val="24"/>
          <w:szCs w:val="24"/>
        </w:rPr>
        <w:tab/>
      </w:r>
      <w:r w:rsidRPr="00137C80">
        <w:rPr>
          <w:rFonts w:ascii="Times New Roman" w:hAnsi="Times New Roman" w:cs="Times New Roman"/>
          <w:sz w:val="24"/>
          <w:szCs w:val="24"/>
        </w:rPr>
        <w:tab/>
      </w:r>
      <w:r w:rsidRPr="00137C80">
        <w:rPr>
          <w:rFonts w:ascii="Times New Roman" w:hAnsi="Times New Roman" w:cs="Times New Roman"/>
          <w:sz w:val="24"/>
          <w:szCs w:val="24"/>
        </w:rPr>
        <w:tab/>
      </w:r>
      <w:r w:rsidRPr="00137C80">
        <w:rPr>
          <w:rFonts w:ascii="Times New Roman" w:hAnsi="Times New Roman" w:cs="Times New Roman"/>
          <w:sz w:val="24"/>
          <w:szCs w:val="24"/>
        </w:rPr>
        <w:tab/>
      </w:r>
      <w:r w:rsidRPr="00137C80">
        <w:rPr>
          <w:rFonts w:ascii="Times New Roman" w:hAnsi="Times New Roman" w:cs="Times New Roman"/>
          <w:sz w:val="24"/>
          <w:szCs w:val="24"/>
        </w:rPr>
        <w:tab/>
      </w:r>
      <w:r w:rsidRPr="00137C80">
        <w:rPr>
          <w:rFonts w:ascii="Times New Roman" w:hAnsi="Times New Roman" w:cs="Times New Roman"/>
          <w:sz w:val="24"/>
          <w:szCs w:val="24"/>
        </w:rPr>
        <w:tab/>
      </w:r>
      <w:r w:rsidRPr="00137C80">
        <w:rPr>
          <w:rFonts w:ascii="Times New Roman" w:hAnsi="Times New Roman" w:cs="Times New Roman"/>
          <w:sz w:val="24"/>
          <w:szCs w:val="24"/>
        </w:rPr>
        <w:tab/>
      </w:r>
      <w:r w:rsidRPr="00137C80">
        <w:rPr>
          <w:rFonts w:ascii="Times New Roman" w:hAnsi="Times New Roman" w:cs="Times New Roman"/>
          <w:sz w:val="24"/>
          <w:szCs w:val="24"/>
        </w:rPr>
        <w:tab/>
      </w:r>
      <w:r w:rsidRPr="00137C80">
        <w:rPr>
          <w:rFonts w:ascii="Times New Roman" w:hAnsi="Times New Roman" w:cs="Times New Roman"/>
          <w:sz w:val="24"/>
          <w:szCs w:val="24"/>
        </w:rPr>
        <w:tab/>
      </w:r>
    </w:p>
    <w:p w:rsidR="007634EE" w:rsidRDefault="00137C80" w:rsidP="007634E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137C80">
        <w:rPr>
          <w:rFonts w:ascii="Times New Roman" w:hAnsi="Times New Roman" w:cs="Times New Roman"/>
          <w:sz w:val="28"/>
          <w:szCs w:val="28"/>
        </w:rPr>
        <w:t xml:space="preserve">Likumprojekta „Grozījumi likumā „Par </w:t>
      </w:r>
      <w:r w:rsidR="00361F15">
        <w:rPr>
          <w:rFonts w:ascii="Times New Roman" w:hAnsi="Times New Roman" w:cs="Times New Roman"/>
          <w:sz w:val="28"/>
          <w:szCs w:val="28"/>
        </w:rPr>
        <w:t>ietekmes</w:t>
      </w:r>
      <w:r w:rsidR="00B43869">
        <w:rPr>
          <w:rFonts w:ascii="Times New Roman" w:hAnsi="Times New Roman" w:cs="Times New Roman"/>
          <w:sz w:val="28"/>
          <w:szCs w:val="28"/>
        </w:rPr>
        <w:t xml:space="preserve"> uz vidi novērtējumu</w:t>
      </w:r>
      <w:r w:rsidRPr="00137C80">
        <w:rPr>
          <w:rFonts w:ascii="Times New Roman" w:hAnsi="Times New Roman" w:cs="Times New Roman"/>
          <w:sz w:val="28"/>
          <w:szCs w:val="28"/>
        </w:rPr>
        <w:t>”</w:t>
      </w:r>
      <w:r w:rsidR="00DA5FC5">
        <w:rPr>
          <w:rFonts w:ascii="Times New Roman" w:hAnsi="Times New Roman" w:cs="Times New Roman"/>
          <w:sz w:val="28"/>
          <w:szCs w:val="28"/>
        </w:rPr>
        <w:t>”</w:t>
      </w:r>
      <w:r w:rsidRPr="00137C80">
        <w:rPr>
          <w:rFonts w:ascii="Times New Roman" w:hAnsi="Times New Roman" w:cs="Times New Roman"/>
          <w:sz w:val="28"/>
          <w:szCs w:val="28"/>
        </w:rPr>
        <w:t xml:space="preserve"> sākotnējās ietekmes novērtējuma ziņojums</w:t>
      </w:r>
    </w:p>
    <w:p w:rsidR="00137C80" w:rsidRPr="007634EE" w:rsidRDefault="00137C80" w:rsidP="007634E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sz w:val="28"/>
          <w:szCs w:val="28"/>
        </w:rPr>
        <w:t>(anotācija)</w:t>
      </w:r>
    </w:p>
    <w:bookmarkEnd w:id="0"/>
    <w:bookmarkEnd w:id="1"/>
    <w:p w:rsidR="00137C80" w:rsidRPr="00137C80" w:rsidRDefault="00137C80" w:rsidP="00137C80">
      <w:pPr>
        <w:pStyle w:val="ListParagraph"/>
      </w:pPr>
    </w:p>
    <w:p w:rsidR="00137C80" w:rsidRPr="00137C80" w:rsidRDefault="00137C80" w:rsidP="00137C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254"/>
        <w:gridCol w:w="7037"/>
      </w:tblGrid>
      <w:tr w:rsidR="00137C80" w:rsidRPr="00137C80" w:rsidTr="007567C7">
        <w:trPr>
          <w:jc w:val="center"/>
        </w:trPr>
        <w:tc>
          <w:tcPr>
            <w:tcW w:w="10079" w:type="dxa"/>
            <w:gridSpan w:val="3"/>
          </w:tcPr>
          <w:p w:rsidR="00137C80" w:rsidRPr="00137C80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b/>
                <w:color w:val="000000"/>
              </w:rPr>
            </w:pPr>
            <w:r w:rsidRPr="00137C80">
              <w:rPr>
                <w:b/>
                <w:color w:val="000000"/>
              </w:rPr>
              <w:t>I. Tiesību akta projekta izstrādes nepieciešamība</w:t>
            </w:r>
          </w:p>
        </w:tc>
      </w:tr>
      <w:tr w:rsidR="00137C80" w:rsidRPr="00137C80" w:rsidTr="007567C7">
        <w:trPr>
          <w:jc w:val="center"/>
        </w:trPr>
        <w:tc>
          <w:tcPr>
            <w:tcW w:w="788" w:type="dxa"/>
          </w:tcPr>
          <w:p w:rsidR="00137C80" w:rsidRPr="00975D7D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75D7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54" w:type="dxa"/>
          </w:tcPr>
          <w:p w:rsidR="00137C80" w:rsidRPr="00975D7D" w:rsidRDefault="00137C80" w:rsidP="007567C7">
            <w:pPr>
              <w:pStyle w:val="naiskr"/>
              <w:spacing w:before="0" w:after="0"/>
              <w:ind w:hanging="10"/>
              <w:rPr>
                <w:sz w:val="22"/>
                <w:szCs w:val="22"/>
              </w:rPr>
            </w:pPr>
            <w:r w:rsidRPr="00975D7D">
              <w:rPr>
                <w:sz w:val="22"/>
                <w:szCs w:val="22"/>
              </w:rPr>
              <w:t>Pamatojums</w:t>
            </w:r>
          </w:p>
        </w:tc>
        <w:tc>
          <w:tcPr>
            <w:tcW w:w="7037" w:type="dxa"/>
            <w:vAlign w:val="center"/>
          </w:tcPr>
          <w:p w:rsidR="00D77C36" w:rsidRPr="00AB5D38" w:rsidRDefault="00137C80" w:rsidP="00AB5D3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eastAsia="Times New Roman"/>
                <w:sz w:val="22"/>
                <w:szCs w:val="22"/>
                <w:lang w:val="lv-LV"/>
              </w:rPr>
            </w:pPr>
            <w:r w:rsidRPr="00AB5D38">
              <w:rPr>
                <w:rFonts w:eastAsia="Times New Roman"/>
                <w:sz w:val="22"/>
                <w:szCs w:val="22"/>
                <w:lang w:val="lv-LV"/>
              </w:rPr>
              <w:t xml:space="preserve">Likumprojekts “Grozījumi likumā “Par </w:t>
            </w:r>
            <w:r w:rsidR="00361F15">
              <w:rPr>
                <w:rFonts w:eastAsia="Times New Roman"/>
                <w:sz w:val="22"/>
                <w:szCs w:val="22"/>
                <w:lang w:val="lv-LV"/>
              </w:rPr>
              <w:t>ietekmes</w:t>
            </w:r>
            <w:r w:rsidR="006066D3" w:rsidRPr="00AB5D38">
              <w:rPr>
                <w:rFonts w:eastAsia="Times New Roman"/>
                <w:sz w:val="22"/>
                <w:szCs w:val="22"/>
                <w:lang w:val="lv-LV"/>
              </w:rPr>
              <w:t xml:space="preserve"> uz vidi novērtējumu</w:t>
            </w:r>
            <w:r w:rsidRPr="00AB5D38">
              <w:rPr>
                <w:rFonts w:eastAsia="Times New Roman"/>
                <w:sz w:val="22"/>
                <w:szCs w:val="22"/>
                <w:lang w:val="lv-LV"/>
              </w:rPr>
              <w:t xml:space="preserve">”” (turpmāk – </w:t>
            </w:r>
            <w:r w:rsidR="00B43869" w:rsidRPr="00AB5D38">
              <w:rPr>
                <w:rFonts w:eastAsia="Times New Roman"/>
                <w:sz w:val="22"/>
                <w:szCs w:val="22"/>
                <w:lang w:val="lv-LV"/>
              </w:rPr>
              <w:t>L</w:t>
            </w:r>
            <w:r w:rsidRPr="00AB5D38">
              <w:rPr>
                <w:rFonts w:eastAsia="Times New Roman"/>
                <w:sz w:val="22"/>
                <w:szCs w:val="22"/>
                <w:lang w:val="lv-LV"/>
              </w:rPr>
              <w:t xml:space="preserve">ikumprojekts) </w:t>
            </w:r>
            <w:r w:rsidR="00D77C36" w:rsidRPr="00AB5D38">
              <w:rPr>
                <w:rFonts w:eastAsia="Times New Roman"/>
                <w:sz w:val="22"/>
                <w:szCs w:val="22"/>
                <w:lang w:val="lv-LV"/>
              </w:rPr>
              <w:t xml:space="preserve">sagatavots atbilstoši Deklarācijas par Valda Dombrovska vadītā Ministru kabineta iecerēto darbību 15.9.apakšpunktam. </w:t>
            </w:r>
          </w:p>
          <w:p w:rsidR="000245F3" w:rsidRPr="00F55312" w:rsidRDefault="00F55312" w:rsidP="00F5531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eastAsia="Times New Roman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Likumprojekts izstrādāts, lai pārņemtu </w:t>
            </w:r>
            <w:r w:rsidR="00337245" w:rsidRPr="00AB5D38">
              <w:rPr>
                <w:sz w:val="22"/>
                <w:szCs w:val="22"/>
                <w:lang w:val="lv-LV"/>
              </w:rPr>
              <w:t xml:space="preserve">Eiropas Parlamenta un Padomes 2009.gada 23.aprīļa direktīvas </w:t>
            </w:r>
            <w:r w:rsidR="00337245" w:rsidRPr="00AB5D38">
              <w:rPr>
                <w:sz w:val="22"/>
                <w:szCs w:val="22"/>
                <w:u w:val="single"/>
                <w:lang w:val="lv-LV"/>
              </w:rPr>
              <w:t>2009/31/EK</w:t>
            </w:r>
            <w:r w:rsidR="00337245" w:rsidRPr="00AB5D38">
              <w:rPr>
                <w:sz w:val="22"/>
                <w:szCs w:val="22"/>
                <w:lang w:val="lv-LV"/>
              </w:rPr>
              <w:t xml:space="preserve"> par oglekļa dioksīda ģeoloģisko uzglabāšanu un grozījumiem Padomes Direktīvā 85/337/EEK, Eiropas Parlamenta un Padomes Direktīvās 2000/60/EK, 2001/80/EK, 2004/35/EK, 2006/12/EK, 2008/1/EK un Regulā (EK) Nr.1013/2006</w:t>
            </w:r>
            <w:r w:rsidR="00CE120E" w:rsidRPr="00AB5D38">
              <w:rPr>
                <w:sz w:val="22"/>
                <w:szCs w:val="22"/>
                <w:lang w:val="lv-LV"/>
              </w:rPr>
              <w:t xml:space="preserve"> </w:t>
            </w:r>
            <w:r w:rsidR="001E67C1" w:rsidRPr="00AB5D38">
              <w:rPr>
                <w:sz w:val="22"/>
                <w:szCs w:val="22"/>
                <w:lang w:val="lv-LV"/>
              </w:rPr>
              <w:t xml:space="preserve">(turpmāk – </w:t>
            </w:r>
            <w:r w:rsidR="00DB7904" w:rsidRPr="00AB5D38">
              <w:rPr>
                <w:sz w:val="22"/>
                <w:szCs w:val="22"/>
                <w:lang w:val="lv-LV"/>
              </w:rPr>
              <w:t>D</w:t>
            </w:r>
            <w:r w:rsidR="001E67C1" w:rsidRPr="00AB5D38">
              <w:rPr>
                <w:sz w:val="22"/>
                <w:szCs w:val="22"/>
                <w:lang w:val="lv-LV"/>
              </w:rPr>
              <w:t>irektīva 2009/31/EK)</w:t>
            </w:r>
            <w:r>
              <w:rPr>
                <w:sz w:val="22"/>
                <w:szCs w:val="22"/>
                <w:lang w:val="lv-LV"/>
              </w:rPr>
              <w:t xml:space="preserve"> 31.panta prasības</w:t>
            </w:r>
            <w:r>
              <w:rPr>
                <w:rFonts w:eastAsia="Times New Roman"/>
                <w:sz w:val="22"/>
                <w:szCs w:val="22"/>
                <w:lang w:val="lv-LV"/>
              </w:rPr>
              <w:t xml:space="preserve"> un</w:t>
            </w:r>
            <w:r w:rsidR="00CE120E" w:rsidRPr="00F55312">
              <w:rPr>
                <w:lang w:val="lv-LV"/>
              </w:rPr>
              <w:t xml:space="preserve"> </w:t>
            </w:r>
            <w:r w:rsidR="00CE120E" w:rsidRPr="00F55312">
              <w:rPr>
                <w:sz w:val="22"/>
                <w:szCs w:val="22"/>
                <w:lang w:val="lv-LV"/>
              </w:rPr>
              <w:t>izpildot</w:t>
            </w:r>
            <w:r w:rsidR="000245F3" w:rsidRPr="00F55312">
              <w:rPr>
                <w:rFonts w:eastAsia="Times New Roman"/>
                <w:sz w:val="22"/>
                <w:szCs w:val="22"/>
                <w:lang w:val="lv-LV"/>
              </w:rPr>
              <w:t xml:space="preserve"> Latvijas Republikas Ministru kabineta 30.augusta sēdes </w:t>
            </w:r>
            <w:proofErr w:type="spellStart"/>
            <w:r w:rsidR="000245F3" w:rsidRPr="00F55312">
              <w:rPr>
                <w:rFonts w:eastAsia="Times New Roman"/>
                <w:sz w:val="22"/>
                <w:szCs w:val="22"/>
                <w:lang w:val="lv-LV"/>
              </w:rPr>
              <w:t>protokollēmum</w:t>
            </w:r>
            <w:r w:rsidR="00CE120E" w:rsidRPr="00F55312">
              <w:rPr>
                <w:sz w:val="22"/>
                <w:szCs w:val="22"/>
                <w:lang w:val="lv-LV"/>
              </w:rPr>
              <w:t>u</w:t>
            </w:r>
            <w:proofErr w:type="spellEnd"/>
            <w:r w:rsidR="000245F3" w:rsidRPr="00F55312">
              <w:rPr>
                <w:rFonts w:eastAsia="Times New Roman"/>
                <w:sz w:val="22"/>
                <w:szCs w:val="22"/>
                <w:lang w:val="lv-LV"/>
              </w:rPr>
              <w:t xml:space="preserve"> (</w:t>
            </w:r>
            <w:r w:rsidR="000245F3" w:rsidRPr="00F55312">
              <w:rPr>
                <w:sz w:val="22"/>
                <w:szCs w:val="22"/>
                <w:lang w:val="lv-LV"/>
              </w:rPr>
              <w:t>69.§)</w:t>
            </w:r>
            <w:r w:rsidR="00CE120E" w:rsidRPr="00F55312">
              <w:rPr>
                <w:sz w:val="22"/>
                <w:szCs w:val="22"/>
                <w:lang w:val="de-DE"/>
              </w:rPr>
              <w:t xml:space="preserve"> „Par Latvijas Republikas nostāju uz</w:t>
            </w:r>
            <w:r w:rsidR="00CE120E" w:rsidRPr="00F55312">
              <w:rPr>
                <w:bCs/>
                <w:sz w:val="22"/>
                <w:szCs w:val="22"/>
                <w:lang w:val="de-DE"/>
              </w:rPr>
              <w:t xml:space="preserve"> Eiropas Komisijas 2011.gada 15.jūlija formālo paziņojumu </w:t>
            </w:r>
            <w:r w:rsidR="00CE120E" w:rsidRPr="00F55312">
              <w:rPr>
                <w:sz w:val="22"/>
                <w:szCs w:val="22"/>
                <w:lang w:val="de-DE"/>
              </w:rPr>
              <w:t>pārkāpuma procedūras lietā Nr.2011/0881“, kas nosaka, ka Vides aizsardzības un reģionālās attīstības ministrijai likumprojekts</w:t>
            </w:r>
            <w:proofErr w:type="gramStart"/>
            <w:r w:rsidR="00CE120E" w:rsidRPr="00F55312">
              <w:rPr>
                <w:sz w:val="22"/>
                <w:szCs w:val="22"/>
                <w:lang w:val="de-DE"/>
              </w:rPr>
              <w:t xml:space="preserve"> ,,</w:t>
            </w:r>
            <w:proofErr w:type="gramEnd"/>
            <w:r w:rsidR="00CE120E" w:rsidRPr="00F55312">
              <w:rPr>
                <w:sz w:val="22"/>
                <w:szCs w:val="22"/>
                <w:lang w:val="de-DE"/>
              </w:rPr>
              <w:t>Grozījumi likumā „Par ietekmes uz vidi novērtējumu”” jāiesniedz izskatīšanai Ministru kabinetā līdz 2011.gada 1.oktobrim.</w:t>
            </w:r>
          </w:p>
        </w:tc>
      </w:tr>
      <w:tr w:rsidR="00137C80" w:rsidRPr="00137C80" w:rsidTr="007567C7">
        <w:trPr>
          <w:jc w:val="center"/>
        </w:trPr>
        <w:tc>
          <w:tcPr>
            <w:tcW w:w="788" w:type="dxa"/>
          </w:tcPr>
          <w:p w:rsidR="00137C80" w:rsidRPr="00975D7D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75D7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54" w:type="dxa"/>
          </w:tcPr>
          <w:p w:rsidR="00137C80" w:rsidRPr="00202F48" w:rsidRDefault="00137C80" w:rsidP="007567C7">
            <w:pPr>
              <w:pStyle w:val="naiskr"/>
              <w:tabs>
                <w:tab w:val="left" w:pos="170"/>
              </w:tabs>
              <w:spacing w:before="0" w:after="0"/>
              <w:rPr>
                <w:sz w:val="22"/>
                <w:szCs w:val="22"/>
              </w:rPr>
            </w:pPr>
            <w:r w:rsidRPr="00202F48">
              <w:rPr>
                <w:sz w:val="22"/>
                <w:szCs w:val="22"/>
              </w:rPr>
              <w:t>Pašreizējā situācija un problēmas</w:t>
            </w:r>
          </w:p>
        </w:tc>
        <w:tc>
          <w:tcPr>
            <w:tcW w:w="7037" w:type="dxa"/>
            <w:vAlign w:val="center"/>
          </w:tcPr>
          <w:p w:rsidR="00DB7904" w:rsidRPr="00AB5D38" w:rsidRDefault="00D77C36" w:rsidP="00314AFD">
            <w:pPr>
              <w:pStyle w:val="naisf"/>
              <w:spacing w:before="80" w:after="80"/>
              <w:ind w:firstLine="0"/>
              <w:rPr>
                <w:sz w:val="22"/>
                <w:szCs w:val="22"/>
                <w:lang w:eastAsia="en-US"/>
              </w:rPr>
            </w:pPr>
            <w:r w:rsidRPr="00AB5D38">
              <w:rPr>
                <w:sz w:val="22"/>
                <w:szCs w:val="22"/>
                <w:lang w:eastAsia="en-US"/>
              </w:rPr>
              <w:t>Likumā „</w:t>
            </w:r>
            <w:r w:rsidR="00361F15">
              <w:rPr>
                <w:sz w:val="22"/>
                <w:szCs w:val="22"/>
                <w:lang w:eastAsia="en-US"/>
              </w:rPr>
              <w:t>Par ietekmes</w:t>
            </w:r>
            <w:r w:rsidR="00532367" w:rsidRPr="00AB5D38">
              <w:rPr>
                <w:sz w:val="22"/>
                <w:szCs w:val="22"/>
                <w:lang w:eastAsia="en-US"/>
              </w:rPr>
              <w:t xml:space="preserve"> uz vidi novērtējumu</w:t>
            </w:r>
            <w:r w:rsidRPr="00AB5D38">
              <w:rPr>
                <w:sz w:val="22"/>
                <w:szCs w:val="22"/>
                <w:lang w:eastAsia="en-US"/>
              </w:rPr>
              <w:t xml:space="preserve">” 1. </w:t>
            </w:r>
            <w:r w:rsidR="00532367" w:rsidRPr="00AB5D38">
              <w:rPr>
                <w:sz w:val="22"/>
                <w:szCs w:val="22"/>
                <w:lang w:eastAsia="en-US"/>
              </w:rPr>
              <w:t>u</w:t>
            </w:r>
            <w:r w:rsidRPr="00AB5D38">
              <w:rPr>
                <w:sz w:val="22"/>
                <w:szCs w:val="22"/>
                <w:lang w:eastAsia="en-US"/>
              </w:rPr>
              <w:t xml:space="preserve">n 2. </w:t>
            </w:r>
            <w:r w:rsidR="00532367" w:rsidRPr="00AB5D38">
              <w:rPr>
                <w:sz w:val="22"/>
                <w:szCs w:val="22"/>
                <w:lang w:eastAsia="en-US"/>
              </w:rPr>
              <w:t>p</w:t>
            </w:r>
            <w:r w:rsidRPr="00AB5D38">
              <w:rPr>
                <w:sz w:val="22"/>
                <w:szCs w:val="22"/>
                <w:lang w:eastAsia="en-US"/>
              </w:rPr>
              <w:t xml:space="preserve">ielikumā </w:t>
            </w:r>
            <w:r w:rsidR="007605CD" w:rsidRPr="00AB5D38">
              <w:rPr>
                <w:sz w:val="22"/>
                <w:szCs w:val="22"/>
                <w:lang w:eastAsia="en-US"/>
              </w:rPr>
              <w:t xml:space="preserve">pašlaik </w:t>
            </w:r>
            <w:r w:rsidR="0009091F" w:rsidRPr="00AB5D38">
              <w:rPr>
                <w:sz w:val="22"/>
                <w:szCs w:val="22"/>
                <w:lang w:eastAsia="en-US"/>
              </w:rPr>
              <w:t xml:space="preserve">nav iekļauti objekti un darbības, kas saistītas ar oglekļa dioksīda uztveršanu un transportēšanu uz ģeoloģiskās struktūrās ierīkotām uzglabāšanas vietām. </w:t>
            </w:r>
          </w:p>
          <w:p w:rsidR="00B57E3F" w:rsidRPr="00AB5D38" w:rsidRDefault="00DB7904" w:rsidP="00DB7904">
            <w:pPr>
              <w:pStyle w:val="naisf"/>
              <w:spacing w:before="80" w:after="80"/>
              <w:ind w:firstLine="0"/>
              <w:rPr>
                <w:sz w:val="22"/>
                <w:szCs w:val="22"/>
                <w:lang w:eastAsia="en-US"/>
              </w:rPr>
            </w:pPr>
            <w:r w:rsidRPr="00AB5D38">
              <w:rPr>
                <w:sz w:val="22"/>
                <w:szCs w:val="22"/>
                <w:lang w:eastAsia="en-US"/>
              </w:rPr>
              <w:t xml:space="preserve"> Ar</w:t>
            </w:r>
            <w:r w:rsidR="00D77C36" w:rsidRPr="00AB5D38">
              <w:rPr>
                <w:sz w:val="22"/>
                <w:szCs w:val="22"/>
                <w:lang w:eastAsia="en-US"/>
              </w:rPr>
              <w:t xml:space="preserve"> </w:t>
            </w:r>
            <w:r w:rsidRPr="00AB5D38">
              <w:rPr>
                <w:sz w:val="22"/>
                <w:szCs w:val="22"/>
                <w:lang w:eastAsia="en-US"/>
              </w:rPr>
              <w:t>Direktīv</w:t>
            </w:r>
            <w:r w:rsidR="0009091F" w:rsidRPr="00AB5D38">
              <w:rPr>
                <w:sz w:val="22"/>
                <w:szCs w:val="22"/>
                <w:lang w:eastAsia="en-US"/>
              </w:rPr>
              <w:t>as</w:t>
            </w:r>
            <w:r w:rsidRPr="00AB5D38">
              <w:rPr>
                <w:sz w:val="22"/>
                <w:szCs w:val="22"/>
                <w:lang w:eastAsia="en-US"/>
              </w:rPr>
              <w:t xml:space="preserve"> 2009/31/EK </w:t>
            </w:r>
            <w:r w:rsidR="0009091F" w:rsidRPr="00AB5D38">
              <w:rPr>
                <w:sz w:val="22"/>
                <w:szCs w:val="22"/>
                <w:lang w:eastAsia="en-US"/>
              </w:rPr>
              <w:t xml:space="preserve">31.pantu </w:t>
            </w:r>
            <w:r w:rsidRPr="00AB5D38">
              <w:rPr>
                <w:sz w:val="22"/>
                <w:szCs w:val="22"/>
                <w:lang w:eastAsia="en-US"/>
              </w:rPr>
              <w:t>ir izdarīti grozījumi Eiropas Padomes 1985.gada direktīvā 85/337/EEK</w:t>
            </w:r>
            <w:r w:rsidR="0009091F" w:rsidRPr="00AB5D38">
              <w:rPr>
                <w:sz w:val="22"/>
                <w:szCs w:val="22"/>
                <w:lang w:eastAsia="en-US"/>
              </w:rPr>
              <w:t xml:space="preserve"> par dažu valstu un privāto projektu ietekmes uz vidi novērtējumu</w:t>
            </w:r>
            <w:r w:rsidRPr="00AB5D38">
              <w:rPr>
                <w:sz w:val="22"/>
                <w:szCs w:val="22"/>
                <w:lang w:eastAsia="en-US"/>
              </w:rPr>
              <w:t xml:space="preserve">. </w:t>
            </w:r>
            <w:r w:rsidR="0009091F" w:rsidRPr="00AB5D38">
              <w:rPr>
                <w:sz w:val="22"/>
                <w:szCs w:val="22"/>
                <w:lang w:eastAsia="en-US"/>
              </w:rPr>
              <w:t>Ar minētajiem</w:t>
            </w:r>
            <w:r w:rsidR="00823982" w:rsidRPr="00AB5D38">
              <w:rPr>
                <w:sz w:val="22"/>
                <w:szCs w:val="22"/>
                <w:lang w:eastAsia="en-US"/>
              </w:rPr>
              <w:t xml:space="preserve"> grozījumi</w:t>
            </w:r>
            <w:r w:rsidR="0009091F" w:rsidRPr="00AB5D38">
              <w:rPr>
                <w:sz w:val="22"/>
                <w:szCs w:val="22"/>
                <w:lang w:eastAsia="en-US"/>
              </w:rPr>
              <w:t xml:space="preserve">em </w:t>
            </w:r>
            <w:r w:rsidR="00823982" w:rsidRPr="00AB5D38">
              <w:rPr>
                <w:sz w:val="22"/>
                <w:szCs w:val="22"/>
                <w:lang w:eastAsia="en-US"/>
              </w:rPr>
              <w:t>Eiropas Padomes 1985.gada direktīv</w:t>
            </w:r>
            <w:r w:rsidR="0009091F" w:rsidRPr="00AB5D38">
              <w:rPr>
                <w:sz w:val="22"/>
                <w:szCs w:val="22"/>
                <w:lang w:eastAsia="en-US"/>
              </w:rPr>
              <w:t>ā</w:t>
            </w:r>
            <w:r w:rsidR="00823982" w:rsidRPr="00AB5D38">
              <w:rPr>
                <w:sz w:val="22"/>
                <w:szCs w:val="22"/>
                <w:lang w:eastAsia="en-US"/>
              </w:rPr>
              <w:t xml:space="preserve"> 85/337/EEK</w:t>
            </w:r>
            <w:r w:rsidR="0009091F" w:rsidRPr="00AB5D38">
              <w:rPr>
                <w:sz w:val="22"/>
                <w:szCs w:val="22"/>
                <w:lang w:eastAsia="en-US"/>
              </w:rPr>
              <w:t xml:space="preserve"> </w:t>
            </w:r>
            <w:r w:rsidR="00823982" w:rsidRPr="00AB5D38">
              <w:rPr>
                <w:sz w:val="22"/>
                <w:szCs w:val="22"/>
                <w:lang w:eastAsia="en-US"/>
              </w:rPr>
              <w:t>1.pielikuma 16.</w:t>
            </w:r>
            <w:r w:rsidR="00A864BB" w:rsidRPr="00AB5D38">
              <w:rPr>
                <w:sz w:val="22"/>
                <w:szCs w:val="22"/>
                <w:lang w:eastAsia="en-US"/>
              </w:rPr>
              <w:t xml:space="preserve"> punkt</w:t>
            </w:r>
            <w:r w:rsidR="0009091F" w:rsidRPr="00AB5D38">
              <w:rPr>
                <w:sz w:val="22"/>
                <w:szCs w:val="22"/>
                <w:lang w:eastAsia="en-US"/>
              </w:rPr>
              <w:t>am</w:t>
            </w:r>
            <w:r w:rsidR="00A864BB" w:rsidRPr="00AB5D38">
              <w:rPr>
                <w:sz w:val="22"/>
                <w:szCs w:val="22"/>
                <w:lang w:eastAsia="en-US"/>
              </w:rPr>
              <w:t xml:space="preserve"> pievienot</w:t>
            </w:r>
            <w:r w:rsidR="0009091F" w:rsidRPr="00AB5D38">
              <w:rPr>
                <w:sz w:val="22"/>
                <w:szCs w:val="22"/>
                <w:lang w:eastAsia="en-US"/>
              </w:rPr>
              <w:t>s</w:t>
            </w:r>
            <w:r w:rsidR="00A864BB" w:rsidRPr="00AB5D38">
              <w:rPr>
                <w:sz w:val="22"/>
                <w:szCs w:val="22"/>
                <w:lang w:eastAsia="en-US"/>
              </w:rPr>
              <w:t xml:space="preserve"> 23., 24. punkt</w:t>
            </w:r>
            <w:r w:rsidR="0009091F" w:rsidRPr="00AB5D38">
              <w:rPr>
                <w:sz w:val="22"/>
                <w:szCs w:val="22"/>
                <w:lang w:eastAsia="en-US"/>
              </w:rPr>
              <w:t>s</w:t>
            </w:r>
            <w:r w:rsidR="00823982" w:rsidRPr="00AB5D38">
              <w:rPr>
                <w:sz w:val="22"/>
                <w:szCs w:val="22"/>
                <w:lang w:eastAsia="en-US"/>
              </w:rPr>
              <w:t xml:space="preserve">, kā arī veikti grozījumi 2. </w:t>
            </w:r>
            <w:r w:rsidR="00A864BB" w:rsidRPr="00AB5D38">
              <w:rPr>
                <w:sz w:val="22"/>
                <w:szCs w:val="22"/>
                <w:lang w:eastAsia="en-US"/>
              </w:rPr>
              <w:t>p</w:t>
            </w:r>
            <w:r w:rsidR="00823982" w:rsidRPr="00AB5D38">
              <w:rPr>
                <w:sz w:val="22"/>
                <w:szCs w:val="22"/>
                <w:lang w:eastAsia="en-US"/>
              </w:rPr>
              <w:t xml:space="preserve">ielikuma 3. </w:t>
            </w:r>
            <w:r w:rsidR="00A864BB" w:rsidRPr="00AB5D38">
              <w:rPr>
                <w:sz w:val="22"/>
                <w:szCs w:val="22"/>
                <w:lang w:eastAsia="en-US"/>
              </w:rPr>
              <w:t>p</w:t>
            </w:r>
            <w:r w:rsidR="00823982" w:rsidRPr="00AB5D38">
              <w:rPr>
                <w:sz w:val="22"/>
                <w:szCs w:val="22"/>
                <w:lang w:eastAsia="en-US"/>
              </w:rPr>
              <w:t>unktā, pievienojot apakšpunktu</w:t>
            </w:r>
            <w:r w:rsidR="0009091F" w:rsidRPr="00AB5D38">
              <w:rPr>
                <w:sz w:val="22"/>
                <w:szCs w:val="22"/>
                <w:lang w:eastAsia="en-US"/>
              </w:rPr>
              <w:t>, kā arī</w:t>
            </w:r>
            <w:r w:rsidR="00823982" w:rsidRPr="00AB5D38">
              <w:rPr>
                <w:sz w:val="22"/>
                <w:szCs w:val="22"/>
                <w:lang w:eastAsia="en-US"/>
              </w:rPr>
              <w:t xml:space="preserve"> aizstājot 10.</w:t>
            </w:r>
            <w:r w:rsidR="00A864BB" w:rsidRPr="00AB5D38">
              <w:rPr>
                <w:sz w:val="22"/>
                <w:szCs w:val="22"/>
                <w:lang w:eastAsia="en-US"/>
              </w:rPr>
              <w:t xml:space="preserve"> p</w:t>
            </w:r>
            <w:r w:rsidR="00823982" w:rsidRPr="00AB5D38">
              <w:rPr>
                <w:sz w:val="22"/>
                <w:szCs w:val="22"/>
                <w:lang w:eastAsia="en-US"/>
              </w:rPr>
              <w:t>unkta i) apakšpunktu jaunā redakcijā.</w:t>
            </w:r>
            <w:r w:rsidR="0009091F" w:rsidRPr="00AB5D38">
              <w:rPr>
                <w:sz w:val="22"/>
                <w:szCs w:val="22"/>
                <w:lang w:eastAsia="en-US"/>
              </w:rPr>
              <w:t xml:space="preserve"> Ar </w:t>
            </w:r>
            <w:r w:rsidR="00B57E3F" w:rsidRPr="00AB5D38">
              <w:rPr>
                <w:sz w:val="22"/>
                <w:szCs w:val="22"/>
                <w:lang w:eastAsia="en-US"/>
              </w:rPr>
              <w:t xml:space="preserve">Eiropas Padomes 1985.gada direktīvas 85/337/EEK </w:t>
            </w:r>
            <w:r w:rsidR="0009091F" w:rsidRPr="00AB5D38">
              <w:rPr>
                <w:sz w:val="22"/>
                <w:szCs w:val="22"/>
                <w:lang w:eastAsia="en-US"/>
              </w:rPr>
              <w:t xml:space="preserve">grozījumiem ietekmes uz vidi </w:t>
            </w:r>
            <w:r w:rsidR="00B57E3F" w:rsidRPr="00AB5D38">
              <w:rPr>
                <w:sz w:val="22"/>
                <w:szCs w:val="22"/>
                <w:lang w:eastAsia="en-US"/>
              </w:rPr>
              <w:t xml:space="preserve">novērtējuma un sākotnējā izvērtējuma </w:t>
            </w:r>
            <w:r w:rsidR="0009091F" w:rsidRPr="00AB5D38">
              <w:rPr>
                <w:sz w:val="22"/>
                <w:szCs w:val="22"/>
                <w:lang w:eastAsia="en-US"/>
              </w:rPr>
              <w:t>procedūr</w:t>
            </w:r>
            <w:r w:rsidR="00B57E3F" w:rsidRPr="00AB5D38">
              <w:rPr>
                <w:sz w:val="22"/>
                <w:szCs w:val="22"/>
                <w:lang w:eastAsia="en-US"/>
              </w:rPr>
              <w:t>ai pakļauto objektu uzskaitījums ir papildināts ar:</w:t>
            </w:r>
          </w:p>
          <w:p w:rsidR="00B57E3F" w:rsidRPr="00AB5D38" w:rsidRDefault="0009091F" w:rsidP="00B57E3F">
            <w:pPr>
              <w:pStyle w:val="naisf"/>
              <w:numPr>
                <w:ilvl w:val="0"/>
                <w:numId w:val="4"/>
              </w:numPr>
              <w:spacing w:before="80" w:after="80"/>
              <w:rPr>
                <w:sz w:val="22"/>
                <w:szCs w:val="22"/>
                <w:lang w:eastAsia="en-US"/>
              </w:rPr>
            </w:pPr>
            <w:r w:rsidRPr="00AB5D38">
              <w:rPr>
                <w:sz w:val="22"/>
                <w:szCs w:val="22"/>
                <w:lang w:eastAsia="en-US"/>
              </w:rPr>
              <w:t>oglekļa dioksīda uztveršanas iekārtu ieviešan</w:t>
            </w:r>
            <w:r w:rsidR="00B57E3F" w:rsidRPr="00AB5D38">
              <w:rPr>
                <w:sz w:val="22"/>
                <w:szCs w:val="22"/>
                <w:lang w:eastAsia="en-US"/>
              </w:rPr>
              <w:t>u</w:t>
            </w:r>
            <w:r w:rsidRPr="00AB5D38">
              <w:rPr>
                <w:sz w:val="22"/>
                <w:szCs w:val="22"/>
                <w:lang w:eastAsia="en-US"/>
              </w:rPr>
              <w:t xml:space="preserve">, </w:t>
            </w:r>
          </w:p>
          <w:p w:rsidR="00B57E3F" w:rsidRPr="00AB5D38" w:rsidRDefault="0009091F" w:rsidP="00B57E3F">
            <w:pPr>
              <w:pStyle w:val="naisf"/>
              <w:numPr>
                <w:ilvl w:val="0"/>
                <w:numId w:val="4"/>
              </w:numPr>
              <w:spacing w:before="80" w:after="80"/>
              <w:rPr>
                <w:sz w:val="22"/>
                <w:szCs w:val="22"/>
                <w:lang w:eastAsia="en-US"/>
              </w:rPr>
            </w:pPr>
            <w:r w:rsidRPr="00AB5D38">
              <w:rPr>
                <w:sz w:val="22"/>
                <w:szCs w:val="22"/>
                <w:lang w:eastAsia="en-US"/>
              </w:rPr>
              <w:t>uztvertā oglekļa dioksīda plūsmas transportēšanas cauruļvadu ierīkošan</w:t>
            </w:r>
            <w:r w:rsidR="00B57E3F" w:rsidRPr="00AB5D38">
              <w:rPr>
                <w:sz w:val="22"/>
                <w:szCs w:val="22"/>
                <w:lang w:eastAsia="en-US"/>
              </w:rPr>
              <w:t>u</w:t>
            </w:r>
            <w:r w:rsidRPr="00AB5D38">
              <w:rPr>
                <w:sz w:val="22"/>
                <w:szCs w:val="22"/>
                <w:lang w:eastAsia="en-US"/>
              </w:rPr>
              <w:t xml:space="preserve">, </w:t>
            </w:r>
          </w:p>
          <w:p w:rsidR="00A864BB" w:rsidRPr="00AB5D38" w:rsidRDefault="0009091F" w:rsidP="00B57E3F">
            <w:pPr>
              <w:pStyle w:val="naisf"/>
              <w:numPr>
                <w:ilvl w:val="0"/>
                <w:numId w:val="4"/>
              </w:numPr>
              <w:spacing w:before="80" w:after="80"/>
              <w:rPr>
                <w:sz w:val="22"/>
                <w:szCs w:val="22"/>
                <w:lang w:eastAsia="en-US"/>
              </w:rPr>
            </w:pPr>
            <w:r w:rsidRPr="00AB5D38">
              <w:rPr>
                <w:sz w:val="22"/>
                <w:szCs w:val="22"/>
                <w:lang w:eastAsia="en-US"/>
              </w:rPr>
              <w:t>oglekļa dioksīda uzglabāšanas vietu ierīkošan</w:t>
            </w:r>
            <w:r w:rsidR="00B57E3F" w:rsidRPr="00AB5D38">
              <w:rPr>
                <w:sz w:val="22"/>
                <w:szCs w:val="22"/>
                <w:lang w:eastAsia="en-US"/>
              </w:rPr>
              <w:t>u</w:t>
            </w:r>
            <w:r w:rsidRPr="00AB5D38">
              <w:rPr>
                <w:sz w:val="22"/>
                <w:szCs w:val="22"/>
                <w:lang w:eastAsia="en-US"/>
              </w:rPr>
              <w:t xml:space="preserve"> ģeoloģiskās struktūrās. </w:t>
            </w:r>
          </w:p>
          <w:p w:rsidR="004D16B1" w:rsidRPr="00AB5D38" w:rsidRDefault="00A864BB" w:rsidP="00C914C4">
            <w:pPr>
              <w:pStyle w:val="naisf"/>
              <w:spacing w:before="0" w:after="0"/>
              <w:ind w:firstLine="0"/>
              <w:rPr>
                <w:sz w:val="22"/>
                <w:szCs w:val="22"/>
                <w:lang w:eastAsia="en-US"/>
              </w:rPr>
            </w:pPr>
            <w:r w:rsidRPr="00AB5D38">
              <w:rPr>
                <w:sz w:val="22"/>
                <w:szCs w:val="22"/>
                <w:lang w:eastAsia="en-US"/>
              </w:rPr>
              <w:t>Ņemot vērā iepriekš minēto, nepieciešams veikt grozījumus</w:t>
            </w:r>
            <w:proofErr w:type="gramStart"/>
            <w:r w:rsidRPr="00AB5D38">
              <w:rPr>
                <w:sz w:val="22"/>
                <w:szCs w:val="22"/>
                <w:lang w:eastAsia="en-US"/>
              </w:rPr>
              <w:t xml:space="preserve">  </w:t>
            </w:r>
            <w:proofErr w:type="gramEnd"/>
            <w:r w:rsidR="00C82D69" w:rsidRPr="00AB5D38">
              <w:rPr>
                <w:sz w:val="22"/>
                <w:szCs w:val="22"/>
                <w:lang w:eastAsia="en-US"/>
              </w:rPr>
              <w:t>li</w:t>
            </w:r>
            <w:r w:rsidR="00361F15">
              <w:rPr>
                <w:sz w:val="22"/>
                <w:szCs w:val="22"/>
                <w:lang w:eastAsia="en-US"/>
              </w:rPr>
              <w:t>kuma „Par ietekmes</w:t>
            </w:r>
            <w:r w:rsidR="00C82D69" w:rsidRPr="00AB5D38">
              <w:rPr>
                <w:sz w:val="22"/>
                <w:szCs w:val="22"/>
                <w:lang w:eastAsia="en-US"/>
              </w:rPr>
              <w:t xml:space="preserve"> uz vidi novērtējumu” 1 un 2. pielikumā, precizējot </w:t>
            </w:r>
            <w:r w:rsidR="00B57E3F" w:rsidRPr="00AB5D38">
              <w:rPr>
                <w:sz w:val="22"/>
                <w:szCs w:val="22"/>
                <w:lang w:eastAsia="en-US"/>
              </w:rPr>
              <w:t xml:space="preserve">to </w:t>
            </w:r>
            <w:r w:rsidR="00C82D69" w:rsidRPr="00AB5D38">
              <w:rPr>
                <w:sz w:val="22"/>
                <w:szCs w:val="22"/>
                <w:lang w:eastAsia="en-US"/>
              </w:rPr>
              <w:t>objektus</w:t>
            </w:r>
            <w:r w:rsidR="00202F48" w:rsidRPr="00AB5D38">
              <w:rPr>
                <w:sz w:val="22"/>
                <w:szCs w:val="22"/>
                <w:lang w:eastAsia="en-US"/>
              </w:rPr>
              <w:t>, kuriem nepieciešams ietekmes novērtējums</w:t>
            </w:r>
            <w:r w:rsidR="00B57E3F" w:rsidRPr="00AB5D38">
              <w:rPr>
                <w:sz w:val="22"/>
                <w:szCs w:val="22"/>
                <w:lang w:eastAsia="en-US"/>
              </w:rPr>
              <w:t>,</w:t>
            </w:r>
            <w:r w:rsidR="00202F48" w:rsidRPr="00AB5D38">
              <w:rPr>
                <w:sz w:val="22"/>
                <w:szCs w:val="22"/>
                <w:lang w:eastAsia="en-US"/>
              </w:rPr>
              <w:t xml:space="preserve"> un darbības, kurām nepieciešams sākotnējais izvērtējums.</w:t>
            </w:r>
          </w:p>
        </w:tc>
      </w:tr>
      <w:tr w:rsidR="00137C80" w:rsidRPr="00137C80" w:rsidTr="007567C7">
        <w:trPr>
          <w:jc w:val="center"/>
        </w:trPr>
        <w:tc>
          <w:tcPr>
            <w:tcW w:w="788" w:type="dxa"/>
          </w:tcPr>
          <w:p w:rsidR="00137C80" w:rsidRPr="00975D7D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75D7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54" w:type="dxa"/>
          </w:tcPr>
          <w:p w:rsidR="00137C80" w:rsidRPr="00975D7D" w:rsidRDefault="00137C80" w:rsidP="00A577EF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  <w:lang w:eastAsia="en-US"/>
              </w:rPr>
            </w:pPr>
            <w:r w:rsidRPr="00975D7D">
              <w:rPr>
                <w:sz w:val="22"/>
                <w:szCs w:val="22"/>
                <w:lang w:eastAsia="en-US"/>
              </w:rPr>
              <w:t>Saistītie politikas ietekmes novērtējumi un pētījumi</w:t>
            </w:r>
          </w:p>
        </w:tc>
        <w:tc>
          <w:tcPr>
            <w:tcW w:w="7037" w:type="dxa"/>
            <w:vAlign w:val="center"/>
          </w:tcPr>
          <w:p w:rsidR="00137C80" w:rsidRPr="00975D7D" w:rsidRDefault="00202F48" w:rsidP="007567C7">
            <w:pPr>
              <w:spacing w:before="80" w:after="8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Projekts šo jomu neskar.</w:t>
            </w:r>
          </w:p>
        </w:tc>
      </w:tr>
      <w:tr w:rsidR="00137C80" w:rsidRPr="00137C80" w:rsidTr="007567C7">
        <w:trPr>
          <w:jc w:val="center"/>
        </w:trPr>
        <w:tc>
          <w:tcPr>
            <w:tcW w:w="788" w:type="dxa"/>
          </w:tcPr>
          <w:p w:rsidR="00137C80" w:rsidRPr="00975D7D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75D7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54" w:type="dxa"/>
          </w:tcPr>
          <w:p w:rsidR="00137C80" w:rsidRPr="009A216A" w:rsidRDefault="00137C80" w:rsidP="007567C7">
            <w:pPr>
              <w:pStyle w:val="naislab"/>
              <w:spacing w:before="0" w:after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9A216A">
              <w:rPr>
                <w:sz w:val="22"/>
                <w:szCs w:val="22"/>
                <w:lang w:eastAsia="en-US"/>
              </w:rPr>
              <w:t>Tiesiskā regulējuma mērķis un būtība</w:t>
            </w:r>
          </w:p>
        </w:tc>
        <w:tc>
          <w:tcPr>
            <w:tcW w:w="7037" w:type="dxa"/>
            <w:vAlign w:val="center"/>
          </w:tcPr>
          <w:p w:rsidR="004F73FA" w:rsidRDefault="007D2105" w:rsidP="00A76FCB">
            <w:pPr>
              <w:pStyle w:val="naisf"/>
              <w:spacing w:before="80" w:after="8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Likumprojekts papildina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un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precizē</w:t>
            </w:r>
            <w:r w:rsidR="00361F15">
              <w:rPr>
                <w:sz w:val="22"/>
                <w:szCs w:val="22"/>
                <w:lang w:eastAsia="en-US"/>
              </w:rPr>
              <w:t xml:space="preserve"> spēkā esošā likuma „Par ietekmes</w:t>
            </w:r>
            <w:r>
              <w:rPr>
                <w:sz w:val="22"/>
                <w:szCs w:val="22"/>
                <w:lang w:eastAsia="en-US"/>
              </w:rPr>
              <w:t xml:space="preserve"> uz vidi novērtējumu” normas atbilstoši Direktīvā 2009/31/EK iekļautajām prasībām.</w:t>
            </w:r>
          </w:p>
          <w:p w:rsidR="007D2105" w:rsidRPr="004F73FA" w:rsidRDefault="007D2105" w:rsidP="007D2105">
            <w:pPr>
              <w:pStyle w:val="naisf"/>
              <w:spacing w:before="80" w:after="8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Likumpro</w:t>
            </w:r>
            <w:r w:rsidR="00361F15">
              <w:rPr>
                <w:sz w:val="22"/>
                <w:szCs w:val="22"/>
                <w:lang w:eastAsia="en-US"/>
              </w:rPr>
              <w:t>jekts paredz likuma „Par ietekmes</w:t>
            </w:r>
            <w:r>
              <w:rPr>
                <w:sz w:val="22"/>
                <w:szCs w:val="22"/>
                <w:lang w:eastAsia="en-US"/>
              </w:rPr>
              <w:t xml:space="preserve"> uz vidi novērtējumu” 1. pielikumā papildināt un precizēt objektus, kuriem nepieciešams ietekmes </w:t>
            </w:r>
            <w:r>
              <w:rPr>
                <w:sz w:val="22"/>
                <w:szCs w:val="22"/>
                <w:lang w:eastAsia="en-US"/>
              </w:rPr>
              <w:lastRenderedPageBreak/>
              <w:t>novērtējums, kā arī 2. pielikumā papildināt un precizēt darbības, kurām nepieciešams sākotnējais izvērtējums.</w:t>
            </w:r>
          </w:p>
        </w:tc>
      </w:tr>
      <w:tr w:rsidR="00137C80" w:rsidRPr="00137C80" w:rsidTr="007567C7">
        <w:trPr>
          <w:jc w:val="center"/>
        </w:trPr>
        <w:tc>
          <w:tcPr>
            <w:tcW w:w="788" w:type="dxa"/>
          </w:tcPr>
          <w:p w:rsidR="00137C80" w:rsidRPr="00331220" w:rsidRDefault="00137C80" w:rsidP="007567C7">
            <w:pPr>
              <w:pStyle w:val="Header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254" w:type="dxa"/>
          </w:tcPr>
          <w:p w:rsidR="00137C80" w:rsidRPr="00331220" w:rsidRDefault="00137C80" w:rsidP="00A577EF">
            <w:pPr>
              <w:pStyle w:val="Header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Projekta izstrādē iesaistītās institūcijas</w:t>
            </w:r>
          </w:p>
        </w:tc>
        <w:tc>
          <w:tcPr>
            <w:tcW w:w="7037" w:type="dxa"/>
            <w:vAlign w:val="center"/>
          </w:tcPr>
          <w:p w:rsidR="00137C80" w:rsidRPr="00331220" w:rsidRDefault="00137C80" w:rsidP="007D2105">
            <w:pPr>
              <w:pStyle w:val="naiskr"/>
              <w:spacing w:before="80" w:after="80"/>
              <w:contextualSpacing/>
              <w:rPr>
                <w:sz w:val="22"/>
                <w:szCs w:val="22"/>
              </w:rPr>
            </w:pPr>
            <w:r w:rsidRPr="00331220">
              <w:rPr>
                <w:sz w:val="22"/>
                <w:szCs w:val="22"/>
              </w:rPr>
              <w:t xml:space="preserve"> </w:t>
            </w:r>
            <w:r w:rsidR="007D2105">
              <w:rPr>
                <w:sz w:val="22"/>
                <w:szCs w:val="22"/>
              </w:rPr>
              <w:t>Vides aizsardzības un reģionālās attīstības ministrija.</w:t>
            </w:r>
          </w:p>
        </w:tc>
      </w:tr>
      <w:tr w:rsidR="00137C80" w:rsidRPr="00137C80" w:rsidTr="007567C7">
        <w:trPr>
          <w:jc w:val="center"/>
        </w:trPr>
        <w:tc>
          <w:tcPr>
            <w:tcW w:w="788" w:type="dxa"/>
          </w:tcPr>
          <w:p w:rsidR="00137C80" w:rsidRPr="00331220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54" w:type="dxa"/>
          </w:tcPr>
          <w:p w:rsidR="00137C80" w:rsidRPr="00331220" w:rsidRDefault="00137C80" w:rsidP="00A577EF">
            <w:pPr>
              <w:pStyle w:val="naislab"/>
              <w:spacing w:before="0" w:after="0"/>
              <w:jc w:val="left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Iemesli, kādēļ netika nodrošināta sabiedrības līdzdalība</w:t>
            </w:r>
          </w:p>
        </w:tc>
        <w:tc>
          <w:tcPr>
            <w:tcW w:w="7037" w:type="dxa"/>
            <w:vAlign w:val="center"/>
          </w:tcPr>
          <w:p w:rsidR="00137C80" w:rsidRPr="00331220" w:rsidRDefault="007D2105" w:rsidP="007567C7">
            <w:pPr>
              <w:spacing w:before="80" w:after="8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Projekts šo jomu neskar</w:t>
            </w:r>
            <w:r w:rsidR="00137C80" w:rsidRPr="00331220">
              <w:rPr>
                <w:rFonts w:ascii="Times New Roman" w:hAnsi="Times New Roman" w:cs="Times New Roman"/>
              </w:rPr>
              <w:t>.</w:t>
            </w:r>
          </w:p>
        </w:tc>
      </w:tr>
      <w:tr w:rsidR="00137C80" w:rsidRPr="00137C80" w:rsidTr="007567C7">
        <w:trPr>
          <w:jc w:val="center"/>
        </w:trPr>
        <w:tc>
          <w:tcPr>
            <w:tcW w:w="788" w:type="dxa"/>
          </w:tcPr>
          <w:p w:rsidR="00137C80" w:rsidRPr="00331220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54" w:type="dxa"/>
          </w:tcPr>
          <w:p w:rsidR="00137C80" w:rsidRPr="00331220" w:rsidRDefault="00137C80" w:rsidP="00A577EF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 w:rsidRPr="00331220">
              <w:rPr>
                <w:sz w:val="22"/>
                <w:szCs w:val="22"/>
              </w:rPr>
              <w:t>Cita informācija</w:t>
            </w:r>
          </w:p>
        </w:tc>
        <w:tc>
          <w:tcPr>
            <w:tcW w:w="7037" w:type="dxa"/>
            <w:vAlign w:val="center"/>
          </w:tcPr>
          <w:p w:rsidR="00137C80" w:rsidRPr="00331220" w:rsidRDefault="00137C80" w:rsidP="007567C7">
            <w:pPr>
              <w:spacing w:before="80" w:after="80"/>
              <w:contextualSpacing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Nav.</w:t>
            </w:r>
          </w:p>
        </w:tc>
      </w:tr>
    </w:tbl>
    <w:p w:rsidR="00137C80" w:rsidRPr="00137C80" w:rsidRDefault="00137C80" w:rsidP="00137C80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22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693"/>
        <w:gridCol w:w="6619"/>
      </w:tblGrid>
      <w:tr w:rsidR="00137C80" w:rsidRPr="00137C80" w:rsidTr="007567C7">
        <w:trPr>
          <w:jc w:val="center"/>
        </w:trPr>
        <w:tc>
          <w:tcPr>
            <w:tcW w:w="10122" w:type="dxa"/>
            <w:gridSpan w:val="3"/>
          </w:tcPr>
          <w:p w:rsidR="00137C80" w:rsidRPr="00137C80" w:rsidRDefault="00137C80" w:rsidP="007567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II. Tiesību akta projekta ietekme uz sabiedrību</w:t>
            </w:r>
          </w:p>
        </w:tc>
      </w:tr>
      <w:tr w:rsidR="00137C80" w:rsidRPr="00137C80" w:rsidTr="00461B27">
        <w:trPr>
          <w:jc w:val="center"/>
        </w:trPr>
        <w:tc>
          <w:tcPr>
            <w:tcW w:w="810" w:type="dxa"/>
          </w:tcPr>
          <w:p w:rsidR="00137C80" w:rsidRPr="00331220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137C80" w:rsidRPr="00331220" w:rsidRDefault="00137C80" w:rsidP="00461B2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 w:rsidRPr="00331220">
              <w:rPr>
                <w:sz w:val="22"/>
                <w:szCs w:val="22"/>
              </w:rPr>
              <w:t>Sabiedrības mērķgrupa</w:t>
            </w:r>
          </w:p>
        </w:tc>
        <w:tc>
          <w:tcPr>
            <w:tcW w:w="6619" w:type="dxa"/>
          </w:tcPr>
          <w:p w:rsidR="00137C80" w:rsidRPr="003902C7" w:rsidRDefault="00461B27" w:rsidP="007605CD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3902C7">
              <w:rPr>
                <w:rFonts w:ascii="Times New Roman" w:hAnsi="Times New Roman" w:cs="Times New Roman"/>
              </w:rPr>
              <w:t xml:space="preserve">ES ETS stacionāro iekārtu </w:t>
            </w:r>
            <w:r w:rsidR="00137C80" w:rsidRPr="003902C7">
              <w:rPr>
                <w:rFonts w:ascii="Times New Roman" w:hAnsi="Times New Roman" w:cs="Times New Roman"/>
              </w:rPr>
              <w:t>operator</w:t>
            </w:r>
            <w:r w:rsidRPr="003902C7">
              <w:rPr>
                <w:rFonts w:ascii="Times New Roman" w:hAnsi="Times New Roman" w:cs="Times New Roman"/>
              </w:rPr>
              <w:t>i</w:t>
            </w:r>
            <w:r w:rsidR="007605CD" w:rsidRPr="003902C7">
              <w:rPr>
                <w:rFonts w:ascii="Times New Roman" w:hAnsi="Times New Roman" w:cs="Times New Roman"/>
              </w:rPr>
              <w:t xml:space="preserve"> – oglekļa dioksīda plūsmas transporta tīklu potenciālie lietotāji</w:t>
            </w:r>
            <w:r w:rsidR="00B24D61" w:rsidRPr="003902C7">
              <w:rPr>
                <w:rFonts w:ascii="Times New Roman" w:hAnsi="Times New Roman" w:cs="Times New Roman"/>
              </w:rPr>
              <w:t xml:space="preserve">, </w:t>
            </w:r>
            <w:r w:rsidR="007605CD" w:rsidRPr="003902C7">
              <w:rPr>
                <w:rFonts w:ascii="Times New Roman" w:hAnsi="Times New Roman" w:cs="Times New Roman"/>
              </w:rPr>
              <w:t xml:space="preserve">šo </w:t>
            </w:r>
            <w:r w:rsidR="00B24D61" w:rsidRPr="003902C7">
              <w:rPr>
                <w:rFonts w:ascii="Times New Roman" w:hAnsi="Times New Roman" w:cs="Times New Roman"/>
              </w:rPr>
              <w:t>transporta tīklu īpašnieki</w:t>
            </w:r>
            <w:r w:rsidR="003902C7">
              <w:rPr>
                <w:rFonts w:ascii="Times New Roman" w:hAnsi="Times New Roman" w:cs="Times New Roman"/>
              </w:rPr>
              <w:t xml:space="preserve"> </w:t>
            </w:r>
            <w:r w:rsidR="007605CD" w:rsidRPr="003902C7">
              <w:rPr>
                <w:rFonts w:ascii="Times New Roman" w:hAnsi="Times New Roman" w:cs="Times New Roman"/>
              </w:rPr>
              <w:t>un</w:t>
            </w:r>
            <w:r w:rsidR="00B24D61" w:rsidRPr="003902C7">
              <w:rPr>
                <w:rFonts w:ascii="Times New Roman" w:hAnsi="Times New Roman" w:cs="Times New Roman"/>
              </w:rPr>
              <w:t xml:space="preserve"> operatori</w:t>
            </w:r>
            <w:proofErr w:type="gramStart"/>
            <w:r w:rsidR="007605CD" w:rsidRPr="003902C7">
              <w:rPr>
                <w:rFonts w:ascii="Times New Roman" w:hAnsi="Times New Roman" w:cs="Times New Roman"/>
              </w:rPr>
              <w:t xml:space="preserve"> </w:t>
            </w:r>
            <w:r w:rsidR="00B24D61" w:rsidRPr="003902C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137C80" w:rsidRPr="00137C80" w:rsidTr="00461B27">
        <w:trPr>
          <w:trHeight w:val="1046"/>
          <w:jc w:val="center"/>
        </w:trPr>
        <w:tc>
          <w:tcPr>
            <w:tcW w:w="810" w:type="dxa"/>
          </w:tcPr>
          <w:p w:rsidR="00137C80" w:rsidRPr="00331220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137C80" w:rsidRPr="00331220" w:rsidRDefault="00137C80" w:rsidP="00461B27">
            <w:pPr>
              <w:pStyle w:val="naislab"/>
              <w:spacing w:before="0" w:after="0"/>
              <w:jc w:val="left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Citas sabiedrības grupas (bez mērķgrupas), kuras tiesiskais regulējums arī ietekmē vai varētu ietekmēt</w:t>
            </w:r>
          </w:p>
        </w:tc>
        <w:tc>
          <w:tcPr>
            <w:tcW w:w="6619" w:type="dxa"/>
          </w:tcPr>
          <w:p w:rsidR="00137C80" w:rsidRPr="00331220" w:rsidRDefault="00AE330C" w:rsidP="004D16B1">
            <w:pPr>
              <w:pStyle w:val="Default"/>
              <w:spacing w:before="80"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Projekts šo jomu neskar.</w:t>
            </w:r>
          </w:p>
        </w:tc>
      </w:tr>
      <w:tr w:rsidR="00137C80" w:rsidRPr="00137C80" w:rsidTr="00461B27">
        <w:trPr>
          <w:jc w:val="center"/>
        </w:trPr>
        <w:tc>
          <w:tcPr>
            <w:tcW w:w="810" w:type="dxa"/>
          </w:tcPr>
          <w:p w:rsidR="00137C80" w:rsidRPr="00331220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137C80" w:rsidRPr="00331220" w:rsidRDefault="00137C80" w:rsidP="00461B2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 w:rsidRPr="00331220">
              <w:rPr>
                <w:sz w:val="22"/>
                <w:szCs w:val="22"/>
              </w:rPr>
              <w:t>Tiesiskā regulējuma finansiālā ietekme</w:t>
            </w:r>
          </w:p>
        </w:tc>
        <w:tc>
          <w:tcPr>
            <w:tcW w:w="6619" w:type="dxa"/>
          </w:tcPr>
          <w:p w:rsidR="00137C80" w:rsidRPr="00331220" w:rsidRDefault="00AE330C" w:rsidP="007567C7">
            <w:pPr>
              <w:spacing w:before="75" w:after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Projekts šo jomu neskar.</w:t>
            </w:r>
          </w:p>
        </w:tc>
      </w:tr>
      <w:tr w:rsidR="00137C80" w:rsidRPr="00137C80" w:rsidTr="00461B27">
        <w:trPr>
          <w:jc w:val="center"/>
        </w:trPr>
        <w:tc>
          <w:tcPr>
            <w:tcW w:w="810" w:type="dxa"/>
          </w:tcPr>
          <w:p w:rsidR="00137C80" w:rsidRPr="00331220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137C80" w:rsidRPr="00331220" w:rsidRDefault="00137C80" w:rsidP="00461B27">
            <w:pPr>
              <w:pStyle w:val="naislab"/>
              <w:spacing w:before="0" w:after="0"/>
              <w:jc w:val="left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Tiesiskā regulējuma nefinansiālā ietekme</w:t>
            </w:r>
          </w:p>
        </w:tc>
        <w:tc>
          <w:tcPr>
            <w:tcW w:w="6619" w:type="dxa"/>
          </w:tcPr>
          <w:p w:rsidR="00137C80" w:rsidRPr="00331220" w:rsidRDefault="00AE330C" w:rsidP="00EA4418">
            <w:pPr>
              <w:spacing w:before="75" w:after="75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Likumprojekt</w:t>
            </w:r>
            <w:r w:rsidR="00361F15">
              <w:rPr>
                <w:rFonts w:ascii="Times New Roman" w:hAnsi="Times New Roman" w:cs="Times New Roman"/>
              </w:rPr>
              <w:t>s nodrošinās likumā „Par ietekmes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6F89">
              <w:rPr>
                <w:rFonts w:ascii="Times New Roman" w:hAnsi="Times New Roman" w:cs="Times New Roman"/>
              </w:rPr>
              <w:t>uz vidi novērtējumu” noteikto</w:t>
            </w:r>
            <w:r w:rsidR="00C77477">
              <w:rPr>
                <w:rFonts w:ascii="Times New Roman" w:hAnsi="Times New Roman" w:cs="Times New Roman"/>
              </w:rPr>
              <w:t xml:space="preserve"> objekt</w:t>
            </w:r>
            <w:r w:rsidR="00B96F89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, kuriem nepieciešams </w:t>
            </w:r>
            <w:r w:rsidR="00C77477">
              <w:rPr>
                <w:rFonts w:ascii="Times New Roman" w:hAnsi="Times New Roman" w:cs="Times New Roman"/>
              </w:rPr>
              <w:t xml:space="preserve">ietekmes izvērtējums un </w:t>
            </w:r>
            <w:r w:rsidR="00B96F89">
              <w:rPr>
                <w:rFonts w:ascii="Times New Roman" w:hAnsi="Times New Roman" w:cs="Times New Roman"/>
              </w:rPr>
              <w:t>noteikto darbību</w:t>
            </w:r>
            <w:r>
              <w:rPr>
                <w:rFonts w:ascii="Times New Roman" w:hAnsi="Times New Roman" w:cs="Times New Roman"/>
              </w:rPr>
              <w:t>, kurām nepieciešams sākotnējs izvērtējums</w:t>
            </w:r>
            <w:r w:rsidR="00B96F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atbilstību Eiropas Savienības tiesību aktu prasībām.</w:t>
            </w:r>
          </w:p>
        </w:tc>
      </w:tr>
      <w:tr w:rsidR="00137C80" w:rsidRPr="00137C80" w:rsidTr="00461B27">
        <w:trPr>
          <w:jc w:val="center"/>
        </w:trPr>
        <w:tc>
          <w:tcPr>
            <w:tcW w:w="810" w:type="dxa"/>
          </w:tcPr>
          <w:p w:rsidR="00137C80" w:rsidRPr="00331220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:rsidR="00137C80" w:rsidRPr="00331220" w:rsidRDefault="00137C80" w:rsidP="00461B27">
            <w:pPr>
              <w:pStyle w:val="naislab"/>
              <w:spacing w:before="0" w:after="0"/>
              <w:jc w:val="left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Administratīvās procedūras raksturojums</w:t>
            </w:r>
          </w:p>
        </w:tc>
        <w:tc>
          <w:tcPr>
            <w:tcW w:w="6619" w:type="dxa"/>
          </w:tcPr>
          <w:p w:rsidR="00137C80" w:rsidRPr="00331220" w:rsidRDefault="00AE330C" w:rsidP="007567C7">
            <w:pPr>
              <w:spacing w:before="75" w:after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Projekts šo jomu neskar.</w:t>
            </w:r>
          </w:p>
        </w:tc>
      </w:tr>
      <w:tr w:rsidR="00137C80" w:rsidRPr="00137C80" w:rsidTr="00461B27">
        <w:trPr>
          <w:jc w:val="center"/>
        </w:trPr>
        <w:tc>
          <w:tcPr>
            <w:tcW w:w="810" w:type="dxa"/>
          </w:tcPr>
          <w:p w:rsidR="00137C80" w:rsidRPr="00331220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93" w:type="dxa"/>
          </w:tcPr>
          <w:p w:rsidR="00137C80" w:rsidRPr="00331220" w:rsidRDefault="00137C80" w:rsidP="00461B27">
            <w:pPr>
              <w:pStyle w:val="naislab"/>
              <w:spacing w:before="0" w:after="0"/>
              <w:jc w:val="left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Administratīvo izmaksu monetārs novērtējums</w:t>
            </w:r>
          </w:p>
        </w:tc>
        <w:tc>
          <w:tcPr>
            <w:tcW w:w="6619" w:type="dxa"/>
          </w:tcPr>
          <w:p w:rsidR="00137C80" w:rsidRPr="00331220" w:rsidRDefault="00AE330C" w:rsidP="007567C7">
            <w:pPr>
              <w:spacing w:before="75" w:after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Projekts šo jomu neskar.</w:t>
            </w:r>
          </w:p>
        </w:tc>
      </w:tr>
      <w:tr w:rsidR="00137C80" w:rsidRPr="00137C80" w:rsidTr="00461B27">
        <w:trPr>
          <w:jc w:val="center"/>
        </w:trPr>
        <w:tc>
          <w:tcPr>
            <w:tcW w:w="810" w:type="dxa"/>
          </w:tcPr>
          <w:p w:rsidR="00137C80" w:rsidRPr="00331220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693" w:type="dxa"/>
          </w:tcPr>
          <w:p w:rsidR="00137C80" w:rsidRPr="00331220" w:rsidRDefault="00137C80" w:rsidP="00461B27">
            <w:pPr>
              <w:pStyle w:val="naislab"/>
              <w:spacing w:before="0" w:after="0"/>
              <w:jc w:val="left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Cita informācija</w:t>
            </w:r>
          </w:p>
        </w:tc>
        <w:tc>
          <w:tcPr>
            <w:tcW w:w="6619" w:type="dxa"/>
          </w:tcPr>
          <w:p w:rsidR="00137C80" w:rsidRPr="00461B27" w:rsidRDefault="00AE330C" w:rsidP="002663D7">
            <w:pPr>
              <w:pStyle w:val="BodyTextIndent2"/>
              <w:spacing w:line="240" w:lineRule="auto"/>
              <w:ind w:left="0"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Nav.</w:t>
            </w:r>
          </w:p>
        </w:tc>
      </w:tr>
    </w:tbl>
    <w:p w:rsidR="00137C80" w:rsidRPr="00137C80" w:rsidRDefault="00137C80" w:rsidP="00137C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7087"/>
      </w:tblGrid>
      <w:tr w:rsidR="00137C80" w:rsidRPr="00137C80" w:rsidTr="007567C7">
        <w:trPr>
          <w:trHeight w:val="279"/>
        </w:trPr>
        <w:tc>
          <w:tcPr>
            <w:tcW w:w="10206" w:type="dxa"/>
            <w:gridSpan w:val="3"/>
          </w:tcPr>
          <w:p w:rsidR="00137C80" w:rsidRPr="00137C80" w:rsidRDefault="00137C80" w:rsidP="007567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137C80" w:rsidRPr="00137C80" w:rsidTr="007567C7">
        <w:trPr>
          <w:trHeight w:val="279"/>
        </w:trPr>
        <w:tc>
          <w:tcPr>
            <w:tcW w:w="851" w:type="dxa"/>
          </w:tcPr>
          <w:p w:rsidR="00137C80" w:rsidRPr="00331220" w:rsidRDefault="00137C80" w:rsidP="007567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122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68" w:type="dxa"/>
          </w:tcPr>
          <w:p w:rsidR="00137C80" w:rsidRPr="00331220" w:rsidRDefault="00137C80" w:rsidP="007567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1220">
              <w:rPr>
                <w:rFonts w:ascii="Times New Roman" w:hAnsi="Times New Roman" w:cs="Times New Roman"/>
                <w:color w:val="000000"/>
              </w:rPr>
              <w:t>Nepieciešamie saistītie tiesību aktu projekti</w:t>
            </w:r>
          </w:p>
        </w:tc>
        <w:tc>
          <w:tcPr>
            <w:tcW w:w="7087" w:type="dxa"/>
          </w:tcPr>
          <w:p w:rsidR="00137C80" w:rsidRPr="00331220" w:rsidRDefault="001A37C1" w:rsidP="001A37C1">
            <w:pPr>
              <w:pStyle w:val="BodyTextIndent2"/>
              <w:spacing w:line="240" w:lineRule="auto"/>
              <w:ind w:left="0"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</w:t>
            </w:r>
          </w:p>
        </w:tc>
      </w:tr>
      <w:tr w:rsidR="00137C80" w:rsidRPr="00137C80" w:rsidTr="007567C7">
        <w:trPr>
          <w:trHeight w:val="279"/>
        </w:trPr>
        <w:tc>
          <w:tcPr>
            <w:tcW w:w="851" w:type="dxa"/>
          </w:tcPr>
          <w:p w:rsidR="00137C80" w:rsidRPr="00331220" w:rsidRDefault="00137C80" w:rsidP="007567C7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3122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68" w:type="dxa"/>
          </w:tcPr>
          <w:p w:rsidR="00137C80" w:rsidRPr="00331220" w:rsidRDefault="00137C80" w:rsidP="007567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1220">
              <w:rPr>
                <w:rFonts w:ascii="Times New Roman" w:hAnsi="Times New Roman" w:cs="Times New Roman"/>
                <w:color w:val="000000"/>
              </w:rPr>
              <w:t>Cita informācija</w:t>
            </w:r>
          </w:p>
        </w:tc>
        <w:tc>
          <w:tcPr>
            <w:tcW w:w="7087" w:type="dxa"/>
          </w:tcPr>
          <w:p w:rsidR="00137C80" w:rsidRPr="00331220" w:rsidRDefault="00B43869" w:rsidP="00461B27">
            <w:pPr>
              <w:pStyle w:val="BodyTextIndent2"/>
              <w:tabs>
                <w:tab w:val="left" w:pos="312"/>
              </w:tabs>
              <w:spacing w:line="240" w:lineRule="auto"/>
              <w:ind w:left="0"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</w:t>
            </w:r>
          </w:p>
        </w:tc>
      </w:tr>
    </w:tbl>
    <w:p w:rsidR="00137C80" w:rsidRPr="00137C80" w:rsidRDefault="00137C80" w:rsidP="00137C80">
      <w:pPr>
        <w:pStyle w:val="naiskr"/>
        <w:spacing w:before="0" w:after="0"/>
        <w:jc w:val="both"/>
        <w:rPr>
          <w:i/>
        </w:rPr>
      </w:pPr>
    </w:p>
    <w:tbl>
      <w:tblPr>
        <w:tblW w:w="10206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4"/>
        <w:gridCol w:w="2244"/>
        <w:gridCol w:w="428"/>
        <w:gridCol w:w="142"/>
        <w:gridCol w:w="1189"/>
        <w:gridCol w:w="1677"/>
        <w:gridCol w:w="3672"/>
      </w:tblGrid>
      <w:tr w:rsidR="00137C80" w:rsidRPr="00137C80" w:rsidTr="009A6404">
        <w:tc>
          <w:tcPr>
            <w:tcW w:w="102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C80" w:rsidRPr="00137C80" w:rsidRDefault="00137C80" w:rsidP="00A57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80">
              <w:rPr>
                <w:rFonts w:ascii="Times New Roman" w:hAnsi="Times New Roman" w:cs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137C80" w:rsidRPr="00137C80" w:rsidTr="009A6404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C80" w:rsidRPr="00331220" w:rsidRDefault="00137C80" w:rsidP="00A577E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C80" w:rsidRPr="00331220" w:rsidRDefault="00137C80" w:rsidP="00A577E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Saistības pret Eiropas Savienību</w:t>
            </w:r>
          </w:p>
        </w:tc>
        <w:tc>
          <w:tcPr>
            <w:tcW w:w="6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C80" w:rsidRDefault="00B43869" w:rsidP="00C25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869">
              <w:rPr>
                <w:rFonts w:ascii="Times New Roman" w:hAnsi="Times New Roman" w:cs="Times New Roman"/>
              </w:rPr>
              <w:t xml:space="preserve">Ar Likumprojektu tiks ieviestas Direktīvas 2009/31/EK 31. </w:t>
            </w:r>
            <w:r>
              <w:rPr>
                <w:rFonts w:ascii="Times New Roman" w:hAnsi="Times New Roman" w:cs="Times New Roman"/>
              </w:rPr>
              <w:t>p</w:t>
            </w:r>
            <w:r w:rsidRPr="00B43869">
              <w:rPr>
                <w:rFonts w:ascii="Times New Roman" w:hAnsi="Times New Roman" w:cs="Times New Roman"/>
              </w:rPr>
              <w:t>antā no</w:t>
            </w:r>
            <w:r w:rsidR="00B96F89">
              <w:rPr>
                <w:rFonts w:ascii="Times New Roman" w:hAnsi="Times New Roman" w:cs="Times New Roman"/>
              </w:rPr>
              <w:t>teiktās prasības, papildinot</w:t>
            </w:r>
            <w:r w:rsidRPr="00B43869">
              <w:rPr>
                <w:rFonts w:ascii="Times New Roman" w:hAnsi="Times New Roman" w:cs="Times New Roman"/>
              </w:rPr>
              <w:t xml:space="preserve"> </w:t>
            </w:r>
            <w:r w:rsidR="00EA4418">
              <w:rPr>
                <w:rFonts w:ascii="Times New Roman" w:hAnsi="Times New Roman" w:cs="Times New Roman"/>
              </w:rPr>
              <w:t xml:space="preserve">un precizējot </w:t>
            </w:r>
            <w:r w:rsidRPr="00B43869">
              <w:rPr>
                <w:rFonts w:ascii="Times New Roman" w:hAnsi="Times New Roman" w:cs="Times New Roman"/>
              </w:rPr>
              <w:t>likumā „</w:t>
            </w:r>
            <w:r>
              <w:rPr>
                <w:rFonts w:ascii="Times New Roman" w:hAnsi="Times New Roman" w:cs="Times New Roman"/>
              </w:rPr>
              <w:t>P</w:t>
            </w:r>
            <w:r w:rsidR="00361F15">
              <w:rPr>
                <w:rFonts w:ascii="Times New Roman" w:hAnsi="Times New Roman" w:cs="Times New Roman"/>
              </w:rPr>
              <w:t>ar ietekmes</w:t>
            </w:r>
            <w:r w:rsidRPr="00B43869">
              <w:rPr>
                <w:rFonts w:ascii="Times New Roman" w:hAnsi="Times New Roman" w:cs="Times New Roman"/>
              </w:rPr>
              <w:t xml:space="preserve"> uz vidi novērtējumu” </w:t>
            </w:r>
            <w:r w:rsidR="00B96F89">
              <w:rPr>
                <w:rFonts w:ascii="Times New Roman" w:hAnsi="Times New Roman" w:cs="Times New Roman"/>
              </w:rPr>
              <w:t>noteiktos objektus</w:t>
            </w:r>
            <w:r w:rsidRPr="00B43869">
              <w:rPr>
                <w:rFonts w:ascii="Times New Roman" w:hAnsi="Times New Roman" w:cs="Times New Roman"/>
              </w:rPr>
              <w:t>, kuriem nepieciešams ietekmes izvērtējums</w:t>
            </w:r>
            <w:r w:rsidR="00EA4418">
              <w:rPr>
                <w:rFonts w:ascii="Times New Roman" w:hAnsi="Times New Roman" w:cs="Times New Roman"/>
              </w:rPr>
              <w:t>,</w:t>
            </w:r>
            <w:r w:rsidRPr="00B43869">
              <w:rPr>
                <w:rFonts w:ascii="Times New Roman" w:hAnsi="Times New Roman" w:cs="Times New Roman"/>
              </w:rPr>
              <w:t xml:space="preserve"> un </w:t>
            </w:r>
            <w:r w:rsidR="00B96F89">
              <w:rPr>
                <w:rFonts w:ascii="Times New Roman" w:hAnsi="Times New Roman" w:cs="Times New Roman"/>
              </w:rPr>
              <w:t>noteiktās darbības</w:t>
            </w:r>
            <w:r w:rsidRPr="00B43869">
              <w:rPr>
                <w:rFonts w:ascii="Times New Roman" w:hAnsi="Times New Roman" w:cs="Times New Roman"/>
              </w:rPr>
              <w:t>, kurām nepieciešams sākotnējs izvērtējums atbilstību Eiropas Savienības tiesību aktu prasībām</w:t>
            </w:r>
            <w:r w:rsidR="00137C80" w:rsidRPr="00B43869">
              <w:rPr>
                <w:rFonts w:ascii="Times New Roman" w:hAnsi="Times New Roman" w:cs="Times New Roman"/>
              </w:rPr>
              <w:t>.</w:t>
            </w:r>
            <w:r w:rsidR="00BB7DAF" w:rsidRPr="00B43869">
              <w:rPr>
                <w:rFonts w:ascii="Times New Roman" w:hAnsi="Times New Roman" w:cs="Times New Roman"/>
              </w:rPr>
              <w:t xml:space="preserve"> </w:t>
            </w:r>
            <w:r w:rsidR="00B608A2">
              <w:rPr>
                <w:rFonts w:ascii="Times New Roman" w:hAnsi="Times New Roman" w:cs="Times New Roman"/>
              </w:rPr>
              <w:t>Direktīvas pārņem</w:t>
            </w:r>
            <w:r w:rsidR="00552E77">
              <w:rPr>
                <w:rFonts w:ascii="Times New Roman" w:hAnsi="Times New Roman" w:cs="Times New Roman"/>
              </w:rPr>
              <w:t xml:space="preserve">šanas termiņš – 2011. gada 25. </w:t>
            </w:r>
            <w:r w:rsidR="005C514D">
              <w:rPr>
                <w:rFonts w:ascii="Times New Roman" w:hAnsi="Times New Roman" w:cs="Times New Roman"/>
              </w:rPr>
              <w:t>j</w:t>
            </w:r>
            <w:r w:rsidR="00B608A2">
              <w:rPr>
                <w:rFonts w:ascii="Times New Roman" w:hAnsi="Times New Roman" w:cs="Times New Roman"/>
              </w:rPr>
              <w:t>ūnijs</w:t>
            </w:r>
            <w:r w:rsidR="005C514D">
              <w:rPr>
                <w:rFonts w:ascii="Times New Roman" w:hAnsi="Times New Roman" w:cs="Times New Roman"/>
              </w:rPr>
              <w:t>.</w:t>
            </w:r>
          </w:p>
          <w:p w:rsidR="00C25CA0" w:rsidRPr="00B608A2" w:rsidRDefault="00C25CA0" w:rsidP="00C25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Ar likumprojektu tiks ieviestas normas, kas ir nepieciešamas </w:t>
            </w:r>
            <w:r w:rsidRPr="00CE120E">
              <w:rPr>
                <w:rFonts w:ascii="Times New Roman" w:hAnsi="Times New Roman" w:cs="Times New Roman"/>
                <w:bCs/>
                <w:lang w:val="de-DE"/>
              </w:rPr>
              <w:t>Eiropas Komisijas 2011.gada 15.jūlija formāl</w:t>
            </w:r>
            <w:r>
              <w:rPr>
                <w:rFonts w:ascii="Times New Roman" w:hAnsi="Times New Roman" w:cs="Times New Roman"/>
                <w:bCs/>
                <w:lang w:val="de-DE"/>
              </w:rPr>
              <w:t>ajā</w:t>
            </w:r>
            <w:r w:rsidRPr="00CE120E">
              <w:rPr>
                <w:rFonts w:ascii="Times New Roman" w:hAnsi="Times New Roman" w:cs="Times New Roman"/>
                <w:bCs/>
                <w:lang w:val="de-DE"/>
              </w:rPr>
              <w:t xml:space="preserve"> paziņojum</w:t>
            </w:r>
            <w:r>
              <w:rPr>
                <w:rFonts w:ascii="Times New Roman" w:hAnsi="Times New Roman" w:cs="Times New Roman"/>
                <w:bCs/>
                <w:lang w:val="de-DE"/>
              </w:rPr>
              <w:t>ā</w:t>
            </w:r>
            <w:r w:rsidRPr="00CE120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CE120E">
              <w:rPr>
                <w:rFonts w:ascii="Times New Roman" w:hAnsi="Times New Roman" w:cs="Times New Roman"/>
                <w:lang w:val="de-DE"/>
              </w:rPr>
              <w:t>pārkāpuma procedūras lietā Nr.2011/0881</w:t>
            </w:r>
            <w:r w:rsidR="00045778">
              <w:rPr>
                <w:rFonts w:ascii="Times New Roman" w:hAnsi="Times New Roman" w:cs="Times New Roman"/>
                <w:lang w:val="de-DE"/>
              </w:rPr>
              <w:t xml:space="preserve"> minēto neatbilstību daļējai novēršanai.</w:t>
            </w:r>
          </w:p>
        </w:tc>
      </w:tr>
      <w:tr w:rsidR="00137C80" w:rsidRPr="00137C80" w:rsidTr="009A6404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C80" w:rsidRPr="00331220" w:rsidRDefault="00137C80" w:rsidP="00A577E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C80" w:rsidRPr="00331220" w:rsidRDefault="00137C80" w:rsidP="00A577E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Citas starptautiskās saistības</w:t>
            </w:r>
          </w:p>
        </w:tc>
        <w:tc>
          <w:tcPr>
            <w:tcW w:w="6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C80" w:rsidRPr="00331220" w:rsidRDefault="00137C80" w:rsidP="00A577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Nav.</w:t>
            </w:r>
          </w:p>
        </w:tc>
      </w:tr>
      <w:tr w:rsidR="00137C80" w:rsidRPr="00137C80" w:rsidTr="009A6404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C80" w:rsidRPr="00331220" w:rsidRDefault="00137C80" w:rsidP="00A577E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C80" w:rsidRPr="00331220" w:rsidRDefault="00137C80" w:rsidP="00A577E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Cita informācija</w:t>
            </w:r>
          </w:p>
        </w:tc>
        <w:tc>
          <w:tcPr>
            <w:tcW w:w="6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C80" w:rsidRPr="00331220" w:rsidRDefault="00137C80" w:rsidP="00A577E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Nav.</w:t>
            </w:r>
          </w:p>
        </w:tc>
      </w:tr>
      <w:tr w:rsidR="009A6404" w:rsidRPr="00137C80" w:rsidTr="009A6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206" w:type="dxa"/>
            <w:gridSpan w:val="7"/>
          </w:tcPr>
          <w:p w:rsidR="009A6404" w:rsidRDefault="009A6404" w:rsidP="00510C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556">
              <w:rPr>
                <w:rFonts w:ascii="Times New Roman" w:hAnsi="Times New Roman"/>
                <w:b/>
                <w:sz w:val="24"/>
                <w:szCs w:val="24"/>
              </w:rPr>
              <w:t>1.tabula</w:t>
            </w:r>
          </w:p>
          <w:p w:rsidR="009A6404" w:rsidRPr="00331220" w:rsidRDefault="009A6404" w:rsidP="00510CAE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862556">
              <w:rPr>
                <w:rFonts w:ascii="Times New Roman" w:hAnsi="Times New Roman"/>
                <w:b/>
                <w:sz w:val="24"/>
                <w:szCs w:val="24"/>
              </w:rPr>
              <w:t>Tiesību akta projekta atbilstība ES tiesību aktiem</w:t>
            </w:r>
          </w:p>
        </w:tc>
      </w:tr>
      <w:tr w:rsidR="009A6404" w:rsidRPr="00137C80" w:rsidTr="009A6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098" w:type="dxa"/>
            <w:gridSpan w:val="2"/>
          </w:tcPr>
          <w:p w:rsidR="009A6404" w:rsidRPr="00331220" w:rsidRDefault="009A6404" w:rsidP="00510CAE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Attiecīgā</w:t>
            </w:r>
            <w:r w:rsidRPr="00331220">
              <w:rPr>
                <w:rFonts w:ascii="Times New Roman" w:hAnsi="Times New Roman" w:cs="Times New Roman"/>
              </w:rPr>
              <w:t xml:space="preserve"> Eiropas Savienības </w:t>
            </w:r>
            <w:r>
              <w:rPr>
                <w:rFonts w:ascii="Times New Roman" w:hAnsi="Times New Roman" w:cs="Times New Roman"/>
              </w:rPr>
              <w:t>tiesību akta datums, numurs un nosaukums</w:t>
            </w:r>
          </w:p>
        </w:tc>
        <w:tc>
          <w:tcPr>
            <w:tcW w:w="7108" w:type="dxa"/>
            <w:gridSpan w:val="5"/>
          </w:tcPr>
          <w:p w:rsidR="009A6404" w:rsidRPr="00BB7DAF" w:rsidRDefault="009A6404" w:rsidP="00510C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08A2">
              <w:rPr>
                <w:rFonts w:ascii="Times New Roman" w:hAnsi="Times New Roman" w:cs="Times New Roman"/>
              </w:rPr>
              <w:t xml:space="preserve"> Eiropas Parlamenta un Padome</w:t>
            </w:r>
            <w:r>
              <w:rPr>
                <w:rFonts w:ascii="Times New Roman" w:hAnsi="Times New Roman" w:cs="Times New Roman"/>
              </w:rPr>
              <w:t>s 2009.gada 23.aprīļa direktīva</w:t>
            </w:r>
            <w:r w:rsidRPr="00B608A2">
              <w:rPr>
                <w:rFonts w:ascii="Times New Roman" w:hAnsi="Times New Roman" w:cs="Times New Roman"/>
              </w:rPr>
              <w:t xml:space="preserve"> </w:t>
            </w:r>
            <w:r w:rsidRPr="00B608A2">
              <w:rPr>
                <w:rFonts w:ascii="Times New Roman" w:hAnsi="Times New Roman" w:cs="Times New Roman"/>
                <w:color w:val="40407C"/>
                <w:u w:val="single"/>
              </w:rPr>
              <w:t>2009/31/EK</w:t>
            </w:r>
            <w:r w:rsidRPr="00B608A2">
              <w:rPr>
                <w:rFonts w:ascii="Times New Roman" w:hAnsi="Times New Roman" w:cs="Times New Roman"/>
              </w:rPr>
              <w:t xml:space="preserve"> par oglekļa dioksīda ģeoloģisko uzglabāšanu un grozījumiem Padomes Direktīvā 85/337/EEK, Eiropas Parlamenta un Padomes Direktīvās 2000/60/EK, 2001/80/EK, 2004/35/EK, 2006/12/EK, 2008/1/EK un Regulā (EK) Nr.1013/2006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B7DAF">
              <w:rPr>
                <w:rFonts w:ascii="Times New Roman" w:hAnsi="Times New Roman" w:cs="Times New Roman"/>
              </w:rPr>
              <w:t>Official</w:t>
            </w:r>
            <w:proofErr w:type="spellEnd"/>
            <w:r w:rsidRPr="00BB7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Journal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European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Union</w:t>
            </w:r>
            <w:proofErr w:type="spellEnd"/>
            <w:r>
              <w:rPr>
                <w:rFonts w:ascii="Times New Roman" w:hAnsi="Times New Roman" w:cs="Times New Roman"/>
              </w:rPr>
              <w:t>, 05</w:t>
            </w:r>
            <w:r w:rsidRPr="00BB7D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BB7DA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09</w:t>
            </w:r>
            <w:r w:rsidRPr="00BB7DAF">
              <w:rPr>
                <w:rFonts w:ascii="Times New Roman" w:hAnsi="Times New Roman" w:cs="Times New Roman"/>
              </w:rPr>
              <w:t>. L</w:t>
            </w:r>
            <w:r>
              <w:rPr>
                <w:rFonts w:ascii="Times New Roman" w:hAnsi="Times New Roman" w:cs="Times New Roman"/>
              </w:rPr>
              <w:t>140)</w:t>
            </w:r>
          </w:p>
        </w:tc>
      </w:tr>
      <w:tr w:rsidR="009A6404" w:rsidRPr="00137C80" w:rsidTr="009A6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3098" w:type="dxa"/>
            <w:gridSpan w:val="2"/>
          </w:tcPr>
          <w:p w:rsidR="009A6404" w:rsidRPr="00331220" w:rsidRDefault="009A6404" w:rsidP="00510CAE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59" w:type="dxa"/>
            <w:gridSpan w:val="3"/>
          </w:tcPr>
          <w:p w:rsidR="009A6404" w:rsidRPr="00331220" w:rsidRDefault="009A6404" w:rsidP="00510CAE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77" w:type="dxa"/>
          </w:tcPr>
          <w:p w:rsidR="009A6404" w:rsidRPr="00331220" w:rsidRDefault="009A6404" w:rsidP="00510CAE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672" w:type="dxa"/>
          </w:tcPr>
          <w:p w:rsidR="009A6404" w:rsidRPr="00331220" w:rsidRDefault="009A6404" w:rsidP="00510CAE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9A6404" w:rsidRPr="00137C80" w:rsidTr="009A6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3098" w:type="dxa"/>
            <w:gridSpan w:val="2"/>
          </w:tcPr>
          <w:p w:rsidR="009A6404" w:rsidRPr="00B608A2" w:rsidRDefault="009A6404" w:rsidP="00510CAE">
            <w:pPr>
              <w:spacing w:line="240" w:lineRule="auto"/>
              <w:ind w:left="57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31. panta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>pirmā punkta  a) apakšpunkts</w:t>
            </w:r>
          </w:p>
        </w:tc>
        <w:tc>
          <w:tcPr>
            <w:tcW w:w="1759" w:type="dxa"/>
            <w:gridSpan w:val="3"/>
          </w:tcPr>
          <w:p w:rsidR="009A6404" w:rsidRPr="00B608A2" w:rsidRDefault="009A6404" w:rsidP="00510CAE">
            <w:pPr>
              <w:spacing w:line="240" w:lineRule="auto"/>
              <w:ind w:left="57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1.pielikuma 22. punkts</w:t>
            </w:r>
          </w:p>
        </w:tc>
        <w:tc>
          <w:tcPr>
            <w:tcW w:w="1677" w:type="dxa"/>
          </w:tcPr>
          <w:p w:rsidR="009A6404" w:rsidRPr="00B96F89" w:rsidRDefault="009A6404" w:rsidP="00510CAE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B96F89">
              <w:rPr>
                <w:rFonts w:ascii="Times New Roman" w:hAnsi="Times New Roman" w:cs="Times New Roman"/>
              </w:rPr>
              <w:t>Atbilst pilnībā</w:t>
            </w:r>
          </w:p>
        </w:tc>
        <w:tc>
          <w:tcPr>
            <w:tcW w:w="3672" w:type="dxa"/>
          </w:tcPr>
          <w:p w:rsidR="009A6404" w:rsidRPr="00B96F89" w:rsidRDefault="009A6404" w:rsidP="00510CAE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B96F89">
              <w:rPr>
                <w:rFonts w:ascii="Times New Roman" w:hAnsi="Times New Roman" w:cs="Times New Roman"/>
              </w:rPr>
              <w:t>Nesatur stingrākas prasības</w:t>
            </w:r>
          </w:p>
        </w:tc>
      </w:tr>
      <w:tr w:rsidR="009A6404" w:rsidRPr="00137C80" w:rsidTr="009A6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3098" w:type="dxa"/>
            <w:gridSpan w:val="2"/>
          </w:tcPr>
          <w:p w:rsidR="009A6404" w:rsidRDefault="009A6404" w:rsidP="00510CAE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31.panta pirmā punkta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>b) apakšpunkts</w:t>
            </w:r>
            <w:r w:rsidR="00C914C4">
              <w:rPr>
                <w:rFonts w:ascii="Times New Roman" w:hAnsi="Times New Roman" w:cs="Times New Roman"/>
              </w:rPr>
              <w:t xml:space="preserve">, 2.panta otrais apakšpunkts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A6404" w:rsidRPr="008802E7" w:rsidRDefault="009A6404" w:rsidP="00510CAE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pielikuma 31. un 32. punkts</w:t>
            </w:r>
          </w:p>
        </w:tc>
        <w:tc>
          <w:tcPr>
            <w:tcW w:w="1677" w:type="dxa"/>
          </w:tcPr>
          <w:p w:rsidR="009A6404" w:rsidRPr="00B96F89" w:rsidRDefault="009A6404" w:rsidP="00510CAE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B96F89">
              <w:rPr>
                <w:rFonts w:ascii="Times New Roman" w:hAnsi="Times New Roman" w:cs="Times New Roman"/>
              </w:rPr>
              <w:t>Atbilst pilnībā</w:t>
            </w:r>
          </w:p>
        </w:tc>
        <w:tc>
          <w:tcPr>
            <w:tcW w:w="3672" w:type="dxa"/>
          </w:tcPr>
          <w:p w:rsidR="009A6404" w:rsidRPr="00B96F89" w:rsidRDefault="009A6404" w:rsidP="00510CAE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B96F89">
              <w:rPr>
                <w:rFonts w:ascii="Times New Roman" w:hAnsi="Times New Roman" w:cs="Times New Roman"/>
              </w:rPr>
              <w:t>Nesatur stingrākas prasības</w:t>
            </w:r>
          </w:p>
        </w:tc>
      </w:tr>
      <w:tr w:rsidR="009A6404" w:rsidRPr="00137C80" w:rsidTr="009A6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3098" w:type="dxa"/>
            <w:gridSpan w:val="2"/>
          </w:tcPr>
          <w:p w:rsidR="009A6404" w:rsidRDefault="009A6404" w:rsidP="009A6404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31.panta otrā punkta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>a) apakšpunkts</w:t>
            </w:r>
          </w:p>
        </w:tc>
        <w:tc>
          <w:tcPr>
            <w:tcW w:w="1759" w:type="dxa"/>
            <w:gridSpan w:val="3"/>
          </w:tcPr>
          <w:p w:rsidR="009A6404" w:rsidRDefault="009A6404" w:rsidP="00510CAE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pielikuma 3. punkta 10) apakšpunkts</w:t>
            </w:r>
          </w:p>
        </w:tc>
        <w:tc>
          <w:tcPr>
            <w:tcW w:w="1677" w:type="dxa"/>
          </w:tcPr>
          <w:p w:rsidR="009A6404" w:rsidRPr="00EA4418" w:rsidRDefault="009A6404" w:rsidP="00510CAE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EA4418">
              <w:rPr>
                <w:rFonts w:ascii="Times New Roman" w:hAnsi="Times New Roman" w:cs="Times New Roman"/>
              </w:rPr>
              <w:t>Atbilst pilnībā</w:t>
            </w:r>
          </w:p>
        </w:tc>
        <w:tc>
          <w:tcPr>
            <w:tcW w:w="3672" w:type="dxa"/>
          </w:tcPr>
          <w:p w:rsidR="009A6404" w:rsidRPr="00EA4418" w:rsidRDefault="009A6404" w:rsidP="00510CAE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EA4418">
              <w:rPr>
                <w:rFonts w:ascii="Times New Roman" w:hAnsi="Times New Roman" w:cs="Times New Roman"/>
              </w:rPr>
              <w:t>Nesatur stingrākas prasības</w:t>
            </w:r>
          </w:p>
        </w:tc>
      </w:tr>
      <w:tr w:rsidR="009A6404" w:rsidRPr="00137C80" w:rsidTr="009A6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3098" w:type="dxa"/>
            <w:gridSpan w:val="2"/>
          </w:tcPr>
          <w:p w:rsidR="009A6404" w:rsidRDefault="009A6404" w:rsidP="00510CAE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panta otrā punkta b) apakšpunkts</w:t>
            </w:r>
          </w:p>
        </w:tc>
        <w:tc>
          <w:tcPr>
            <w:tcW w:w="1759" w:type="dxa"/>
            <w:gridSpan w:val="3"/>
          </w:tcPr>
          <w:p w:rsidR="009A6404" w:rsidRDefault="007E47A1" w:rsidP="00510CAE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pielikuma 10. p</w:t>
            </w:r>
            <w:r w:rsidR="00C914C4">
              <w:rPr>
                <w:rFonts w:ascii="Times New Roman" w:hAnsi="Times New Roman" w:cs="Times New Roman"/>
              </w:rPr>
              <w:t>unkta 18</w:t>
            </w:r>
            <w:r w:rsidR="009A6404">
              <w:rPr>
                <w:rFonts w:ascii="Times New Roman" w:hAnsi="Times New Roman" w:cs="Times New Roman"/>
              </w:rPr>
              <w:t>) apakšpunkts</w:t>
            </w:r>
          </w:p>
        </w:tc>
        <w:tc>
          <w:tcPr>
            <w:tcW w:w="1677" w:type="dxa"/>
          </w:tcPr>
          <w:p w:rsidR="009A6404" w:rsidRPr="00EA4418" w:rsidRDefault="009A6404" w:rsidP="00510CAE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EA4418">
              <w:rPr>
                <w:rFonts w:ascii="Times New Roman" w:hAnsi="Times New Roman" w:cs="Times New Roman"/>
              </w:rPr>
              <w:t>Atbilst pilnībā</w:t>
            </w:r>
          </w:p>
        </w:tc>
        <w:tc>
          <w:tcPr>
            <w:tcW w:w="3672" w:type="dxa"/>
          </w:tcPr>
          <w:p w:rsidR="009A6404" w:rsidRPr="00EA4418" w:rsidRDefault="009A6404" w:rsidP="00510CAE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EA4418">
              <w:rPr>
                <w:rFonts w:ascii="Times New Roman" w:hAnsi="Times New Roman" w:cs="Times New Roman"/>
              </w:rPr>
              <w:t>Nesatur stingrākas p</w:t>
            </w:r>
            <w:r w:rsidR="00EA4418">
              <w:rPr>
                <w:rFonts w:ascii="Times New Roman" w:hAnsi="Times New Roman" w:cs="Times New Roman"/>
              </w:rPr>
              <w:t>r</w:t>
            </w:r>
            <w:r w:rsidRPr="00EA4418">
              <w:rPr>
                <w:rFonts w:ascii="Times New Roman" w:hAnsi="Times New Roman" w:cs="Times New Roman"/>
              </w:rPr>
              <w:t>asības</w:t>
            </w:r>
          </w:p>
        </w:tc>
      </w:tr>
      <w:tr w:rsidR="009A6404" w:rsidRPr="00137C80" w:rsidTr="009A6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206" w:type="dxa"/>
            <w:gridSpan w:val="7"/>
          </w:tcPr>
          <w:p w:rsidR="009A6404" w:rsidRPr="00331220" w:rsidRDefault="009A6404" w:rsidP="00510CAE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9A6404" w:rsidRPr="00137C80" w:rsidTr="009A6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26" w:type="dxa"/>
            <w:gridSpan w:val="3"/>
          </w:tcPr>
          <w:p w:rsidR="009A6404" w:rsidRPr="00FA3CF6" w:rsidRDefault="009A6404" w:rsidP="00510CAE">
            <w:pPr>
              <w:pStyle w:val="nais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FA3CF6">
              <w:rPr>
                <w:sz w:val="22"/>
                <w:szCs w:val="22"/>
              </w:rPr>
              <w:t>Kā</w:t>
            </w:r>
            <w:proofErr w:type="gramEnd"/>
            <w:r w:rsidRPr="00FA3CF6">
              <w:rPr>
                <w:sz w:val="22"/>
                <w:szCs w:val="22"/>
              </w:rPr>
              <w:t xml:space="preserve"> ir izmantota ES tiesību aktā paredzētā rīcības brīvība dalībvalstij pārņemt vai ieviest noteiktas ES tiesību akta normas.</w:t>
            </w:r>
          </w:p>
          <w:p w:rsidR="009A6404" w:rsidRPr="00FA3CF6" w:rsidRDefault="009A6404" w:rsidP="00510CAE">
            <w:pPr>
              <w:tabs>
                <w:tab w:val="left" w:pos="393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3CF6">
              <w:rPr>
                <w:rFonts w:ascii="Times New Roman" w:hAnsi="Times New Roman" w:cs="Times New Roman"/>
              </w:rPr>
              <w:t>Kādēļ?</w:t>
            </w:r>
            <w:r w:rsidRPr="00FA3C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680" w:type="dxa"/>
            <w:gridSpan w:val="4"/>
          </w:tcPr>
          <w:p w:rsidR="009A6404" w:rsidRPr="00FA3CF6" w:rsidRDefault="009A6404" w:rsidP="00510CAE">
            <w:pPr>
              <w:pStyle w:val="nais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6275">
              <w:rPr>
                <w:iCs/>
                <w:sz w:val="22"/>
                <w:szCs w:val="22"/>
                <w:lang w:val="de-DE"/>
              </w:rPr>
              <w:t>Noteikumu projekts šo jomu neskar</w:t>
            </w:r>
            <w:r w:rsidRPr="008D6275">
              <w:rPr>
                <w:bCs/>
                <w:iCs/>
                <w:sz w:val="22"/>
                <w:szCs w:val="22"/>
                <w:lang w:val="de-DE"/>
              </w:rPr>
              <w:t>.</w:t>
            </w:r>
          </w:p>
        </w:tc>
      </w:tr>
      <w:tr w:rsidR="009A6404" w:rsidRPr="00137C80" w:rsidTr="009A6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26" w:type="dxa"/>
            <w:gridSpan w:val="3"/>
          </w:tcPr>
          <w:p w:rsidR="009A6404" w:rsidRPr="00FA3CF6" w:rsidRDefault="009A6404" w:rsidP="00510CAE">
            <w:pPr>
              <w:pStyle w:val="nais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3CF6">
              <w:rPr>
                <w:sz w:val="22"/>
                <w:szCs w:val="22"/>
              </w:rPr>
              <w:t>Saistības sniegt paziņojumu ES institūcijām un ES dalībvalstīm atbilstoši normatīvajiem aktiem, kas regulē informācijas sniegšanu par tehnisko noteikumu, valsts atbalsts piešķiršanas un finanšu noteikumus (attiecībā un monetāro politiku)</w:t>
            </w:r>
          </w:p>
        </w:tc>
        <w:tc>
          <w:tcPr>
            <w:tcW w:w="6680" w:type="dxa"/>
            <w:gridSpan w:val="4"/>
          </w:tcPr>
          <w:p w:rsidR="009A6404" w:rsidRPr="008D6275" w:rsidRDefault="009A6404" w:rsidP="00510CAE">
            <w:pPr>
              <w:pStyle w:val="naisc"/>
              <w:spacing w:before="0" w:beforeAutospacing="0" w:after="0" w:afterAutospacing="0"/>
              <w:jc w:val="both"/>
              <w:rPr>
                <w:iCs/>
                <w:sz w:val="22"/>
                <w:szCs w:val="22"/>
                <w:lang w:val="de-DE"/>
              </w:rPr>
            </w:pPr>
            <w:r w:rsidRPr="008D6275">
              <w:rPr>
                <w:iCs/>
                <w:sz w:val="22"/>
                <w:szCs w:val="22"/>
                <w:lang w:val="de-DE"/>
              </w:rPr>
              <w:t>Noteikumu projekts šo jomu neskar.</w:t>
            </w:r>
          </w:p>
        </w:tc>
      </w:tr>
      <w:tr w:rsidR="009A6404" w:rsidRPr="00137C80" w:rsidTr="009A6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26" w:type="dxa"/>
            <w:gridSpan w:val="3"/>
          </w:tcPr>
          <w:p w:rsidR="009A6404" w:rsidRPr="00FA3CF6" w:rsidRDefault="009A6404" w:rsidP="00510CAE">
            <w:pPr>
              <w:pStyle w:val="nais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Cita informācija</w:t>
            </w:r>
          </w:p>
        </w:tc>
        <w:tc>
          <w:tcPr>
            <w:tcW w:w="6680" w:type="dxa"/>
            <w:gridSpan w:val="4"/>
          </w:tcPr>
          <w:p w:rsidR="009A6404" w:rsidRDefault="00307EDF" w:rsidP="00307EDF">
            <w:pPr>
              <w:pStyle w:val="naisc"/>
              <w:spacing w:before="0" w:beforeAutospacing="0" w:after="0" w:afterAutospacing="0"/>
              <w:jc w:val="both"/>
              <w:rPr>
                <w:iCs/>
              </w:rPr>
            </w:pPr>
            <w:r w:rsidRPr="00307EDF">
              <w:rPr>
                <w:iCs/>
                <w:lang w:val="de-DE"/>
              </w:rPr>
              <w:t xml:space="preserve">Lai nodrošinātu Direktīvas 2009/31/EK normu pārņemšanu, tika izstrādāts </w:t>
            </w:r>
            <w:r w:rsidR="00C914C4">
              <w:rPr>
                <w:iCs/>
                <w:lang w:val="de-DE"/>
              </w:rPr>
              <w:t xml:space="preserve">gan </w:t>
            </w:r>
            <w:r w:rsidRPr="00307EDF">
              <w:rPr>
                <w:iCs/>
                <w:lang w:val="de-DE"/>
              </w:rPr>
              <w:t xml:space="preserve">likumprojekts „Grozījumi likumā Par piesārņojumu““, kas  </w:t>
            </w:r>
            <w:r w:rsidR="00480DC2">
              <w:rPr>
                <w:iCs/>
                <w:lang w:val="de-DE"/>
              </w:rPr>
              <w:t>Seimā tika pieņemts 2011.gada 14.jūlijā</w:t>
            </w:r>
            <w:r w:rsidR="00C914C4">
              <w:rPr>
                <w:iCs/>
                <w:lang w:val="de-DE"/>
              </w:rPr>
              <w:t>,</w:t>
            </w:r>
            <w:r w:rsidR="00480DC2">
              <w:rPr>
                <w:iCs/>
                <w:lang w:val="de-DE"/>
              </w:rPr>
              <w:t xml:space="preserve"> un </w:t>
            </w:r>
            <w:r w:rsidR="00480DC2" w:rsidRPr="00307EDF">
              <w:rPr>
                <w:iCs/>
              </w:rPr>
              <w:t xml:space="preserve">stājās spēkā </w:t>
            </w:r>
            <w:r w:rsidRPr="00307EDF">
              <w:rPr>
                <w:iCs/>
              </w:rPr>
              <w:t xml:space="preserve">2011. gada 4. augustā </w:t>
            </w:r>
            <w:r w:rsidR="00C914C4">
              <w:rPr>
                <w:iCs/>
              </w:rPr>
              <w:t>gan</w:t>
            </w:r>
            <w:r>
              <w:rPr>
                <w:iCs/>
              </w:rPr>
              <w:t xml:space="preserve"> noteikumu projekts „Oglekļa dioksīda plūsmas transportēšanas kārtība”, kas nosūtīts uz Valsts kanceleju izskatīšanai Ministru kabineta sēdē.</w:t>
            </w:r>
          </w:p>
          <w:p w:rsidR="00307EDF" w:rsidRPr="00307EDF" w:rsidRDefault="00307EDF" w:rsidP="00480DC2">
            <w:pPr>
              <w:pStyle w:val="naisc"/>
              <w:spacing w:before="0" w:beforeAutospacing="0" w:after="0" w:afterAutospacing="0"/>
              <w:jc w:val="both"/>
              <w:rPr>
                <w:iCs/>
                <w:highlight w:val="yellow"/>
                <w:lang w:val="de-DE"/>
              </w:rPr>
            </w:pPr>
            <w:r>
              <w:rPr>
                <w:iCs/>
              </w:rPr>
              <w:t>Ar 2011.</w:t>
            </w:r>
            <w:r w:rsidR="00480DC2">
              <w:rPr>
                <w:iCs/>
              </w:rPr>
              <w:t>g</w:t>
            </w:r>
            <w:r>
              <w:rPr>
                <w:iCs/>
              </w:rPr>
              <w:t>ada 14.</w:t>
            </w:r>
            <w:r w:rsidR="00480DC2">
              <w:rPr>
                <w:iCs/>
              </w:rPr>
              <w:t>j</w:t>
            </w:r>
            <w:r>
              <w:rPr>
                <w:iCs/>
              </w:rPr>
              <w:t xml:space="preserve">ūlija </w:t>
            </w:r>
            <w:r w:rsidR="00480DC2">
              <w:rPr>
                <w:iCs/>
              </w:rPr>
              <w:t>likuma</w:t>
            </w:r>
            <w:r>
              <w:rPr>
                <w:iCs/>
              </w:rPr>
              <w:t xml:space="preserve"> „Grozījumi likumā „Par piesārņojumu”” </w:t>
            </w:r>
            <w:r w:rsidR="00480DC2">
              <w:rPr>
                <w:iCs/>
              </w:rPr>
              <w:t>8</w:t>
            </w:r>
            <w:r w:rsidR="00480DC2" w:rsidRPr="00480DC2">
              <w:rPr>
                <w:iCs/>
                <w:vertAlign w:val="superscript"/>
              </w:rPr>
              <w:t>1</w:t>
            </w:r>
            <w:r w:rsidR="00480DC2">
              <w:rPr>
                <w:iCs/>
              </w:rPr>
              <w:t xml:space="preserve">.pantu </w:t>
            </w:r>
            <w:r>
              <w:rPr>
                <w:iCs/>
              </w:rPr>
              <w:t>tika noteikts</w:t>
            </w:r>
            <w:r w:rsidR="00480DC2">
              <w:rPr>
                <w:iCs/>
              </w:rPr>
              <w:t>, ka</w:t>
            </w:r>
            <w:r>
              <w:rPr>
                <w:iCs/>
              </w:rPr>
              <w:t xml:space="preserve"> </w:t>
            </w:r>
            <w:r>
              <w:t>Latvijas teritorijā, tās ekskluzīvajā ekonomiskajā zonā un kontinentālajā šelfā ir aizliegta oglekļa dioksīda uzglabāšana ģeoloģiskās struktūrās, kā arī vertikālajā ūdens slānī</w:t>
            </w:r>
            <w:r w:rsidR="00480DC2">
              <w:t xml:space="preserve"> (atbilstoši Direktīvā 2009/31/EK 4.panta pirmajā punktā noteiktajām Dalībvalstu tiesībām). Saskaņā ar likuma </w:t>
            </w:r>
            <w:r w:rsidR="00480DC2">
              <w:rPr>
                <w:iCs/>
              </w:rPr>
              <w:t>„Grozījumi likumā „Par piesārņojumu”” pārejas noteikumu 32.</w:t>
            </w:r>
            <w:r w:rsidR="00480DC2">
              <w:t xml:space="preserve">punktu, </w:t>
            </w:r>
            <w:r w:rsidR="00480DC2">
              <w:rPr>
                <w:iCs/>
              </w:rPr>
              <w:t>8</w:t>
            </w:r>
            <w:r w:rsidR="00480DC2" w:rsidRPr="00480DC2">
              <w:rPr>
                <w:iCs/>
                <w:vertAlign w:val="superscript"/>
              </w:rPr>
              <w:t>1</w:t>
            </w:r>
            <w:r w:rsidR="00480DC2">
              <w:rPr>
                <w:iCs/>
              </w:rPr>
              <w:t xml:space="preserve">.pants </w:t>
            </w:r>
            <w:r w:rsidR="00480DC2">
              <w:t>ir spēkā līdz 2012.gada 31.decembrim.</w:t>
            </w:r>
            <w:r>
              <w:rPr>
                <w:iCs/>
              </w:rPr>
              <w:t xml:space="preserve"> </w:t>
            </w:r>
          </w:p>
        </w:tc>
      </w:tr>
      <w:tr w:rsidR="003321B9" w:rsidRPr="00137C80" w:rsidTr="009A6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206" w:type="dxa"/>
            <w:gridSpan w:val="7"/>
          </w:tcPr>
          <w:p w:rsidR="003321B9" w:rsidRPr="00FA3CF6" w:rsidRDefault="003321B9" w:rsidP="003321B9">
            <w:pPr>
              <w:pStyle w:val="naisc"/>
              <w:spacing w:before="0" w:beforeAutospacing="0" w:after="0" w:afterAutospacing="0"/>
              <w:rPr>
                <w:iCs/>
                <w:sz w:val="22"/>
                <w:szCs w:val="22"/>
                <w:lang w:val="de-DE"/>
              </w:rPr>
            </w:pPr>
          </w:p>
        </w:tc>
      </w:tr>
    </w:tbl>
    <w:p w:rsidR="009A6404" w:rsidRPr="00137C80" w:rsidRDefault="009A6404" w:rsidP="009A6404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31" w:type="dxa"/>
        <w:jc w:val="center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3574"/>
        <w:gridCol w:w="5923"/>
      </w:tblGrid>
      <w:tr w:rsidR="009A6404" w:rsidRPr="00137C80" w:rsidTr="00510CAE">
        <w:trPr>
          <w:trHeight w:val="279"/>
          <w:jc w:val="center"/>
        </w:trPr>
        <w:tc>
          <w:tcPr>
            <w:tcW w:w="10431" w:type="dxa"/>
            <w:gridSpan w:val="3"/>
          </w:tcPr>
          <w:p w:rsidR="009A6404" w:rsidRPr="00137C80" w:rsidRDefault="009A6404" w:rsidP="00510C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9A6404" w:rsidRPr="00137C80" w:rsidTr="00510CAE">
        <w:trPr>
          <w:trHeight w:val="279"/>
          <w:jc w:val="center"/>
        </w:trPr>
        <w:tc>
          <w:tcPr>
            <w:tcW w:w="934" w:type="dxa"/>
          </w:tcPr>
          <w:p w:rsidR="009A6404" w:rsidRPr="00331220" w:rsidRDefault="009A6404" w:rsidP="00510C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4" w:type="dxa"/>
          </w:tcPr>
          <w:p w:rsidR="009A6404" w:rsidRPr="00331220" w:rsidRDefault="009A6404" w:rsidP="00510C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Projekta izpildē iesaistītās institūcijas</w:t>
            </w:r>
          </w:p>
        </w:tc>
        <w:tc>
          <w:tcPr>
            <w:tcW w:w="5923" w:type="dxa"/>
          </w:tcPr>
          <w:p w:rsidR="009A6404" w:rsidRPr="00331220" w:rsidRDefault="009A6404" w:rsidP="00510CAE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31220">
              <w:rPr>
                <w:b w:val="0"/>
                <w:sz w:val="22"/>
                <w:szCs w:val="22"/>
              </w:rPr>
              <w:t>Vides aizsardzības un reģionālās attīstības ministrija</w:t>
            </w:r>
          </w:p>
        </w:tc>
      </w:tr>
      <w:tr w:rsidR="009A6404" w:rsidRPr="00137C80" w:rsidTr="00510CAE">
        <w:trPr>
          <w:trHeight w:val="279"/>
          <w:jc w:val="center"/>
        </w:trPr>
        <w:tc>
          <w:tcPr>
            <w:tcW w:w="934" w:type="dxa"/>
          </w:tcPr>
          <w:p w:rsidR="009A6404" w:rsidRPr="00331220" w:rsidRDefault="009A6404" w:rsidP="00510C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4" w:type="dxa"/>
          </w:tcPr>
          <w:p w:rsidR="009A6404" w:rsidRPr="00331220" w:rsidRDefault="009A6404" w:rsidP="00510C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Projekta izpildes ietekme uz pārvaldes funkcijām</w:t>
            </w:r>
          </w:p>
        </w:tc>
        <w:tc>
          <w:tcPr>
            <w:tcW w:w="5923" w:type="dxa"/>
          </w:tcPr>
          <w:p w:rsidR="009A6404" w:rsidRPr="00331220" w:rsidRDefault="009A6404" w:rsidP="00510CAE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31220">
              <w:rPr>
                <w:b w:val="0"/>
                <w:sz w:val="22"/>
                <w:szCs w:val="22"/>
              </w:rPr>
              <w:t>Nav būtiskas ietekmes uz pārvaldes funkciju nodrošināšanu.</w:t>
            </w:r>
          </w:p>
        </w:tc>
      </w:tr>
      <w:tr w:rsidR="009A6404" w:rsidRPr="00137C80" w:rsidTr="00510CAE">
        <w:trPr>
          <w:trHeight w:val="279"/>
          <w:jc w:val="center"/>
        </w:trPr>
        <w:tc>
          <w:tcPr>
            <w:tcW w:w="934" w:type="dxa"/>
          </w:tcPr>
          <w:p w:rsidR="009A6404" w:rsidRPr="00331220" w:rsidRDefault="009A6404" w:rsidP="00510C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74" w:type="dxa"/>
          </w:tcPr>
          <w:p w:rsidR="009A6404" w:rsidRPr="00331220" w:rsidRDefault="009A6404" w:rsidP="00510CAE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Projekta izpildes ietekme uz pārvaldes institucionālo struktūru.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1220">
              <w:rPr>
                <w:rFonts w:ascii="Times New Roman" w:hAnsi="Times New Roman" w:cs="Times New Roman"/>
              </w:rPr>
              <w:t>Jaunu institūciju izveide</w:t>
            </w:r>
          </w:p>
        </w:tc>
        <w:tc>
          <w:tcPr>
            <w:tcW w:w="5923" w:type="dxa"/>
          </w:tcPr>
          <w:p w:rsidR="009A6404" w:rsidRPr="00331220" w:rsidRDefault="009A6404" w:rsidP="00AD7D4A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31220">
              <w:rPr>
                <w:b w:val="0"/>
                <w:sz w:val="22"/>
                <w:szCs w:val="22"/>
              </w:rPr>
              <w:t>Nav jāveido jauna institucionālā struktūra</w:t>
            </w:r>
            <w:r w:rsidR="00B96F89">
              <w:rPr>
                <w:b w:val="0"/>
                <w:sz w:val="22"/>
                <w:szCs w:val="22"/>
              </w:rPr>
              <w:t xml:space="preserve"> vai atsevišķa institū</w:t>
            </w:r>
            <w:r w:rsidR="00AD7D4A">
              <w:rPr>
                <w:b w:val="0"/>
                <w:sz w:val="22"/>
                <w:szCs w:val="22"/>
              </w:rPr>
              <w:t>cija</w:t>
            </w:r>
            <w:r w:rsidRPr="00331220">
              <w:rPr>
                <w:b w:val="0"/>
                <w:sz w:val="22"/>
                <w:szCs w:val="22"/>
              </w:rPr>
              <w:t>, pārvaldes institucionālā struktūra ir ar pietiek</w:t>
            </w:r>
            <w:r>
              <w:rPr>
                <w:b w:val="0"/>
                <w:sz w:val="22"/>
                <w:szCs w:val="22"/>
              </w:rPr>
              <w:t xml:space="preserve">ošu kapacitāti, lai </w:t>
            </w:r>
            <w:r w:rsidR="00AD7D4A">
              <w:rPr>
                <w:b w:val="0"/>
                <w:sz w:val="22"/>
                <w:szCs w:val="22"/>
              </w:rPr>
              <w:t>nodrošinātu</w:t>
            </w:r>
            <w:r>
              <w:rPr>
                <w:b w:val="0"/>
                <w:sz w:val="22"/>
                <w:szCs w:val="22"/>
              </w:rPr>
              <w:t xml:space="preserve"> noteikumu </w:t>
            </w:r>
            <w:r w:rsidRPr="00331220">
              <w:rPr>
                <w:b w:val="0"/>
                <w:sz w:val="22"/>
                <w:szCs w:val="22"/>
              </w:rPr>
              <w:t>projektā iestrādātās normas.</w:t>
            </w:r>
          </w:p>
        </w:tc>
      </w:tr>
      <w:tr w:rsidR="009A6404" w:rsidRPr="00137C80" w:rsidTr="00510CAE">
        <w:trPr>
          <w:trHeight w:val="279"/>
          <w:jc w:val="center"/>
        </w:trPr>
        <w:tc>
          <w:tcPr>
            <w:tcW w:w="934" w:type="dxa"/>
          </w:tcPr>
          <w:p w:rsidR="009A6404" w:rsidRPr="00331220" w:rsidRDefault="009A6404" w:rsidP="00510C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74" w:type="dxa"/>
          </w:tcPr>
          <w:p w:rsidR="009A6404" w:rsidRPr="00331220" w:rsidRDefault="009A6404" w:rsidP="00510CAE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Projekta izpildes ietekme uz pārvaldes institucionālo struktūru.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1220">
              <w:rPr>
                <w:rFonts w:ascii="Times New Roman" w:hAnsi="Times New Roman" w:cs="Times New Roman"/>
              </w:rPr>
              <w:t>Esošu institūciju likvidācija</w:t>
            </w:r>
          </w:p>
        </w:tc>
        <w:tc>
          <w:tcPr>
            <w:tcW w:w="5923" w:type="dxa"/>
          </w:tcPr>
          <w:p w:rsidR="009A6404" w:rsidRPr="00331220" w:rsidRDefault="009A6404" w:rsidP="00AD7D4A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31220">
              <w:rPr>
                <w:b w:val="0"/>
                <w:sz w:val="22"/>
                <w:szCs w:val="22"/>
              </w:rPr>
              <w:t xml:space="preserve">Nav jālikvidē neviena </w:t>
            </w:r>
            <w:r w:rsidR="00AD7D4A">
              <w:rPr>
                <w:b w:val="0"/>
                <w:sz w:val="22"/>
                <w:szCs w:val="22"/>
              </w:rPr>
              <w:t>institūcija</w:t>
            </w:r>
            <w:r>
              <w:rPr>
                <w:b w:val="0"/>
                <w:sz w:val="22"/>
                <w:szCs w:val="22"/>
              </w:rPr>
              <w:t>, noteikumu projektā</w:t>
            </w:r>
            <w:r w:rsidRPr="00331220">
              <w:rPr>
                <w:b w:val="0"/>
                <w:sz w:val="22"/>
                <w:szCs w:val="22"/>
              </w:rPr>
              <w:t xml:space="preserve"> paredzētās normas jārealizē esošās pārvaldes institucionālās struktūras ietvaros.</w:t>
            </w:r>
          </w:p>
        </w:tc>
      </w:tr>
      <w:tr w:rsidR="009A6404" w:rsidRPr="00137C80" w:rsidTr="00510CAE">
        <w:trPr>
          <w:trHeight w:val="279"/>
          <w:jc w:val="center"/>
        </w:trPr>
        <w:tc>
          <w:tcPr>
            <w:tcW w:w="934" w:type="dxa"/>
          </w:tcPr>
          <w:p w:rsidR="009A6404" w:rsidRPr="00331220" w:rsidRDefault="009A6404" w:rsidP="00510C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74" w:type="dxa"/>
          </w:tcPr>
          <w:p w:rsidR="009A6404" w:rsidRPr="00696D54" w:rsidRDefault="009A6404" w:rsidP="00510CAE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96D54">
              <w:rPr>
                <w:rFonts w:ascii="Times New Roman" w:hAnsi="Times New Roman" w:cs="Times New Roman"/>
              </w:rPr>
              <w:t>Projekta izpildes ietekme uz pārvaldes institucionālo struktūru.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6D54">
              <w:rPr>
                <w:rFonts w:ascii="Times New Roman" w:hAnsi="Times New Roman" w:cs="Times New Roman"/>
              </w:rPr>
              <w:t>Esošu institūciju reorganizācija</w:t>
            </w:r>
          </w:p>
        </w:tc>
        <w:tc>
          <w:tcPr>
            <w:tcW w:w="5923" w:type="dxa"/>
          </w:tcPr>
          <w:p w:rsidR="009A6404" w:rsidRPr="00696D54" w:rsidRDefault="009A6404" w:rsidP="00510CAE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696D54">
              <w:rPr>
                <w:b w:val="0"/>
                <w:sz w:val="22"/>
                <w:szCs w:val="22"/>
              </w:rPr>
              <w:t xml:space="preserve">Nav nepieciešama esošo institūciju reorganizācija. Pašreizējā pārvaldes institucionālā struktūra ir pietiekoša, lai veiktu </w:t>
            </w:r>
            <w:r>
              <w:rPr>
                <w:b w:val="0"/>
                <w:sz w:val="22"/>
                <w:szCs w:val="22"/>
              </w:rPr>
              <w:t xml:space="preserve">noteikumu </w:t>
            </w:r>
            <w:r w:rsidRPr="00696D54">
              <w:rPr>
                <w:b w:val="0"/>
                <w:sz w:val="22"/>
                <w:szCs w:val="22"/>
              </w:rPr>
              <w:t>projektā paredzēto.</w:t>
            </w:r>
          </w:p>
        </w:tc>
      </w:tr>
      <w:tr w:rsidR="009A6404" w:rsidRPr="00137C80" w:rsidTr="00510CAE">
        <w:trPr>
          <w:trHeight w:val="279"/>
          <w:jc w:val="center"/>
        </w:trPr>
        <w:tc>
          <w:tcPr>
            <w:tcW w:w="934" w:type="dxa"/>
          </w:tcPr>
          <w:p w:rsidR="009A6404" w:rsidRPr="00137C80" w:rsidRDefault="009A6404" w:rsidP="00510C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4" w:type="dxa"/>
          </w:tcPr>
          <w:p w:rsidR="009A6404" w:rsidRPr="00696D54" w:rsidRDefault="009A6404" w:rsidP="00510C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6D54">
              <w:rPr>
                <w:rFonts w:ascii="Times New Roman" w:hAnsi="Times New Roman" w:cs="Times New Roman"/>
              </w:rPr>
              <w:t>Cita informācija</w:t>
            </w:r>
          </w:p>
        </w:tc>
        <w:tc>
          <w:tcPr>
            <w:tcW w:w="5923" w:type="dxa"/>
          </w:tcPr>
          <w:p w:rsidR="009A6404" w:rsidRPr="00696D54" w:rsidRDefault="009A6404" w:rsidP="00510CAE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696D54">
              <w:rPr>
                <w:sz w:val="22"/>
                <w:szCs w:val="22"/>
              </w:rPr>
              <w:t>Nav.</w:t>
            </w:r>
          </w:p>
        </w:tc>
      </w:tr>
    </w:tbl>
    <w:p w:rsidR="003902C7" w:rsidRDefault="009A216A" w:rsidP="001C3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6A">
        <w:rPr>
          <w:rFonts w:ascii="Times New Roman" w:hAnsi="Times New Roman" w:cs="Times New Roman"/>
          <w:sz w:val="24"/>
          <w:szCs w:val="24"/>
        </w:rPr>
        <w:t>Anotācijas</w:t>
      </w:r>
      <w:proofErr w:type="gramStart"/>
      <w:r w:rsidRPr="009A216A">
        <w:rPr>
          <w:rFonts w:ascii="Times New Roman" w:hAnsi="Times New Roman" w:cs="Times New Roman"/>
          <w:sz w:val="24"/>
          <w:szCs w:val="24"/>
        </w:rPr>
        <w:t xml:space="preserve"> </w:t>
      </w:r>
      <w:r w:rsidR="00332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321B9">
        <w:rPr>
          <w:rFonts w:ascii="Times New Roman" w:hAnsi="Times New Roman" w:cs="Times New Roman"/>
          <w:sz w:val="24"/>
          <w:szCs w:val="24"/>
        </w:rPr>
        <w:t>III, V sadaļas 2</w:t>
      </w:r>
      <w:r w:rsidRPr="009A216A">
        <w:rPr>
          <w:rFonts w:ascii="Times New Roman" w:hAnsi="Times New Roman" w:cs="Times New Roman"/>
          <w:sz w:val="24"/>
          <w:szCs w:val="24"/>
        </w:rPr>
        <w:t>. tabula un VI sadaļa - tiesību akta projekts šīs jomas neskar.</w:t>
      </w:r>
    </w:p>
    <w:p w:rsidR="001C38F1" w:rsidRDefault="001C38F1" w:rsidP="001C3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404" w:rsidRPr="00137C80" w:rsidRDefault="009A6404" w:rsidP="001C38F1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37C80">
        <w:rPr>
          <w:rFonts w:ascii="Times New Roman" w:hAnsi="Times New Roman" w:cs="Times New Roman"/>
          <w:sz w:val="24"/>
          <w:szCs w:val="24"/>
        </w:rPr>
        <w:t xml:space="preserve">Vides aizsardzības un </w:t>
      </w:r>
    </w:p>
    <w:p w:rsidR="009A6404" w:rsidRPr="00137C80" w:rsidRDefault="009A6404" w:rsidP="001C38F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80">
        <w:rPr>
          <w:rFonts w:ascii="Times New Roman" w:hAnsi="Times New Roman" w:cs="Times New Roman"/>
          <w:sz w:val="24"/>
          <w:szCs w:val="24"/>
        </w:rPr>
        <w:t>reģionālās attīstības ministrs</w:t>
      </w:r>
      <w:r w:rsidRPr="00137C8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37C80">
        <w:rPr>
          <w:rFonts w:ascii="Times New Roman" w:hAnsi="Times New Roman" w:cs="Times New Roman"/>
          <w:sz w:val="24"/>
          <w:szCs w:val="24"/>
        </w:rPr>
        <w:t>R.Vējonis</w:t>
      </w:r>
    </w:p>
    <w:p w:rsidR="009A6404" w:rsidRPr="00137C80" w:rsidRDefault="009A6404" w:rsidP="009A640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A6404" w:rsidRPr="00137C80" w:rsidRDefault="009A6404" w:rsidP="001C38F1">
      <w:pPr>
        <w:tabs>
          <w:tab w:val="left" w:pos="680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80">
        <w:rPr>
          <w:rFonts w:ascii="Times New Roman" w:hAnsi="Times New Roman" w:cs="Times New Roman"/>
          <w:sz w:val="24"/>
          <w:szCs w:val="24"/>
        </w:rPr>
        <w:t>Vīza:</w:t>
      </w:r>
    </w:p>
    <w:p w:rsidR="009A6404" w:rsidRPr="00137C80" w:rsidRDefault="009A6404" w:rsidP="001C38F1">
      <w:pPr>
        <w:tabs>
          <w:tab w:val="left" w:pos="6804"/>
        </w:tabs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7C80">
        <w:rPr>
          <w:rFonts w:ascii="Times New Roman" w:hAnsi="Times New Roman" w:cs="Times New Roman"/>
          <w:sz w:val="24"/>
          <w:szCs w:val="24"/>
        </w:rPr>
        <w:t>Valsts sekretār</w:t>
      </w:r>
      <w:r>
        <w:rPr>
          <w:rFonts w:ascii="Times New Roman" w:hAnsi="Times New Roman" w:cs="Times New Roman"/>
          <w:sz w:val="24"/>
          <w:szCs w:val="24"/>
        </w:rPr>
        <w:t>s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G.Puķītis</w:t>
      </w:r>
      <w:r w:rsidRPr="00137C80">
        <w:rPr>
          <w:rFonts w:ascii="Times New Roman" w:hAnsi="Times New Roman" w:cs="Times New Roman"/>
          <w:sz w:val="24"/>
          <w:szCs w:val="24"/>
        </w:rPr>
        <w:tab/>
      </w:r>
    </w:p>
    <w:p w:rsidR="001C38F1" w:rsidRDefault="001C38F1" w:rsidP="009A6404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9A6404" w:rsidRPr="001C38F1" w:rsidRDefault="001C38F1" w:rsidP="009A6404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3321B9" w:rsidRPr="001C38F1">
        <w:rPr>
          <w:rFonts w:ascii="Times New Roman" w:hAnsi="Times New Roman" w:cs="Times New Roman"/>
          <w:sz w:val="20"/>
          <w:szCs w:val="20"/>
        </w:rPr>
        <w:t>.09</w:t>
      </w:r>
      <w:r w:rsidR="009A6404" w:rsidRPr="001C38F1">
        <w:rPr>
          <w:rFonts w:ascii="Times New Roman" w:hAnsi="Times New Roman" w:cs="Times New Roman"/>
          <w:sz w:val="20"/>
          <w:szCs w:val="20"/>
        </w:rPr>
        <w:t>.2011. 13:44</w:t>
      </w:r>
    </w:p>
    <w:p w:rsidR="009A6404" w:rsidRPr="001C38F1" w:rsidRDefault="00F55312" w:rsidP="009A6404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C38F1">
        <w:rPr>
          <w:rFonts w:ascii="Times New Roman" w:hAnsi="Times New Roman" w:cs="Times New Roman"/>
          <w:sz w:val="20"/>
          <w:szCs w:val="20"/>
        </w:rPr>
        <w:t>950</w:t>
      </w:r>
    </w:p>
    <w:p w:rsidR="009A6404" w:rsidRPr="001C38F1" w:rsidRDefault="009A6404" w:rsidP="009A640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38F1">
        <w:rPr>
          <w:rFonts w:ascii="Times New Roman" w:eastAsia="Times New Roman" w:hAnsi="Times New Roman" w:cs="Times New Roman"/>
          <w:sz w:val="20"/>
          <w:szCs w:val="20"/>
        </w:rPr>
        <w:t>A.Pētersone</w:t>
      </w:r>
    </w:p>
    <w:p w:rsidR="009A6404" w:rsidRPr="001C38F1" w:rsidRDefault="009A6404" w:rsidP="009A640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38F1">
        <w:rPr>
          <w:rFonts w:ascii="Times New Roman" w:eastAsia="Times New Roman" w:hAnsi="Times New Roman" w:cs="Times New Roman"/>
          <w:sz w:val="20"/>
          <w:szCs w:val="20"/>
        </w:rPr>
        <w:t xml:space="preserve">67026512, </w:t>
      </w:r>
      <w:hyperlink r:id="rId9" w:history="1">
        <w:r w:rsidRPr="001C38F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andzela.petersone@varam.gov.lv</w:t>
        </w:r>
      </w:hyperlink>
    </w:p>
    <w:p w:rsidR="009A6404" w:rsidRPr="001C38F1" w:rsidRDefault="009A6404" w:rsidP="009A640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38F1">
        <w:rPr>
          <w:rFonts w:ascii="Times New Roman" w:eastAsia="Times New Roman" w:hAnsi="Times New Roman" w:cs="Times New Roman"/>
          <w:sz w:val="20"/>
          <w:szCs w:val="20"/>
        </w:rPr>
        <w:t>E.Švampāne</w:t>
      </w:r>
    </w:p>
    <w:p w:rsidR="003143FB" w:rsidRDefault="009A6404" w:rsidP="001C38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8F1">
        <w:rPr>
          <w:rFonts w:ascii="Times New Roman" w:eastAsia="Times New Roman" w:hAnsi="Times New Roman" w:cs="Times New Roman"/>
          <w:sz w:val="20"/>
          <w:szCs w:val="20"/>
        </w:rPr>
        <w:t xml:space="preserve">66016737, </w:t>
      </w:r>
      <w:hyperlink r:id="rId10" w:history="1">
        <w:r w:rsidRPr="001C38F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evita.svampane@varam.gov.lv</w:t>
        </w:r>
      </w:hyperlink>
    </w:p>
    <w:sectPr w:rsidR="003143FB" w:rsidSect="007567C7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19" w:rsidRDefault="00B07919" w:rsidP="003143FB">
      <w:pPr>
        <w:spacing w:after="0" w:line="240" w:lineRule="auto"/>
      </w:pPr>
      <w:r>
        <w:separator/>
      </w:r>
    </w:p>
  </w:endnote>
  <w:endnote w:type="continuationSeparator" w:id="0">
    <w:p w:rsidR="00B07919" w:rsidRDefault="00B07919" w:rsidP="0031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FF" w:rsidRPr="0037695F" w:rsidRDefault="00DA5FC5" w:rsidP="00DA5FC5">
    <w:pPr>
      <w:pStyle w:val="Footer"/>
      <w:jc w:val="both"/>
    </w:pPr>
    <w:r w:rsidRPr="00975D7D">
      <w:rPr>
        <w:sz w:val="22"/>
        <w:szCs w:val="22"/>
      </w:rPr>
      <w:fldChar w:fldCharType="begin"/>
    </w:r>
    <w:r w:rsidRPr="00975D7D">
      <w:rPr>
        <w:sz w:val="22"/>
        <w:szCs w:val="22"/>
      </w:rPr>
      <w:instrText xml:space="preserve"> FILENAME </w:instrText>
    </w:r>
    <w:r w:rsidRPr="00975D7D">
      <w:rPr>
        <w:sz w:val="22"/>
        <w:szCs w:val="22"/>
      </w:rPr>
      <w:fldChar w:fldCharType="separate"/>
    </w:r>
    <w:r w:rsidR="005C514D">
      <w:rPr>
        <w:noProof/>
        <w:sz w:val="22"/>
        <w:szCs w:val="22"/>
      </w:rPr>
      <w:t>VARAMAnot_20</w:t>
    </w:r>
    <w:r>
      <w:rPr>
        <w:noProof/>
        <w:sz w:val="22"/>
        <w:szCs w:val="22"/>
      </w:rPr>
      <w:t>0911_groz_IVN</w:t>
    </w:r>
    <w:r w:rsidRPr="00975D7D">
      <w:rPr>
        <w:sz w:val="22"/>
        <w:szCs w:val="22"/>
      </w:rPr>
      <w:fldChar w:fldCharType="end"/>
    </w:r>
    <w:r w:rsidRPr="00975D7D">
      <w:rPr>
        <w:sz w:val="22"/>
        <w:szCs w:val="22"/>
      </w:rPr>
      <w:t xml:space="preserve">; </w:t>
    </w:r>
    <w:r>
      <w:rPr>
        <w:sz w:val="22"/>
        <w:szCs w:val="22"/>
      </w:rPr>
      <w:t>Likumprojekts „</w:t>
    </w:r>
    <w:r w:rsidRPr="00975D7D">
      <w:rPr>
        <w:sz w:val="22"/>
        <w:szCs w:val="22"/>
      </w:rPr>
      <w:t xml:space="preserve">Grozījumi likumā „Par </w:t>
    </w:r>
    <w:r w:rsidR="00754302">
      <w:rPr>
        <w:sz w:val="22"/>
        <w:szCs w:val="22"/>
      </w:rPr>
      <w:t>ietekmes</w:t>
    </w:r>
    <w:r>
      <w:rPr>
        <w:sz w:val="22"/>
        <w:szCs w:val="22"/>
      </w:rPr>
      <w:t xml:space="preserve"> uz vidi novērtējumu</w:t>
    </w:r>
    <w:r w:rsidRPr="00975D7D">
      <w:rPr>
        <w:sz w:val="22"/>
        <w:szCs w:val="22"/>
      </w:rPr>
      <w:t>”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FF" w:rsidRPr="00975D7D" w:rsidRDefault="00AC10D6" w:rsidP="00DA5FC5">
    <w:pPr>
      <w:pStyle w:val="Footer"/>
      <w:jc w:val="both"/>
      <w:rPr>
        <w:sz w:val="22"/>
        <w:szCs w:val="22"/>
      </w:rPr>
    </w:pPr>
    <w:r w:rsidRPr="00975D7D">
      <w:rPr>
        <w:sz w:val="22"/>
        <w:szCs w:val="22"/>
      </w:rPr>
      <w:fldChar w:fldCharType="begin"/>
    </w:r>
    <w:r w:rsidR="003C4BFF" w:rsidRPr="00975D7D">
      <w:rPr>
        <w:sz w:val="22"/>
        <w:szCs w:val="22"/>
      </w:rPr>
      <w:instrText xml:space="preserve"> FILENAME </w:instrText>
    </w:r>
    <w:r w:rsidRPr="00975D7D">
      <w:rPr>
        <w:sz w:val="22"/>
        <w:szCs w:val="22"/>
      </w:rPr>
      <w:fldChar w:fldCharType="separate"/>
    </w:r>
    <w:r w:rsidR="003C4BFF">
      <w:rPr>
        <w:noProof/>
        <w:sz w:val="22"/>
        <w:szCs w:val="22"/>
      </w:rPr>
      <w:t>VARAMAnot_</w:t>
    </w:r>
    <w:r w:rsidR="005C514D">
      <w:rPr>
        <w:noProof/>
        <w:sz w:val="22"/>
        <w:szCs w:val="22"/>
      </w:rPr>
      <w:t>20</w:t>
    </w:r>
    <w:r w:rsidR="0037695F">
      <w:rPr>
        <w:noProof/>
        <w:sz w:val="22"/>
        <w:szCs w:val="22"/>
      </w:rPr>
      <w:t>09</w:t>
    </w:r>
    <w:r w:rsidR="003C4BFF">
      <w:rPr>
        <w:noProof/>
        <w:sz w:val="22"/>
        <w:szCs w:val="22"/>
      </w:rPr>
      <w:t>11_</w:t>
    </w:r>
    <w:r w:rsidR="00DA5FC5">
      <w:rPr>
        <w:noProof/>
        <w:sz w:val="22"/>
        <w:szCs w:val="22"/>
      </w:rPr>
      <w:t>groz_IVN</w:t>
    </w:r>
    <w:r w:rsidRPr="00975D7D">
      <w:rPr>
        <w:sz w:val="22"/>
        <w:szCs w:val="22"/>
      </w:rPr>
      <w:fldChar w:fldCharType="end"/>
    </w:r>
    <w:r w:rsidR="003C4BFF" w:rsidRPr="00975D7D">
      <w:rPr>
        <w:sz w:val="22"/>
        <w:szCs w:val="22"/>
      </w:rPr>
      <w:t xml:space="preserve">; </w:t>
    </w:r>
    <w:r w:rsidR="00DA5FC5">
      <w:rPr>
        <w:sz w:val="22"/>
        <w:szCs w:val="22"/>
      </w:rPr>
      <w:t>Likumprojekts „</w:t>
    </w:r>
    <w:r w:rsidR="003C4BFF" w:rsidRPr="00975D7D">
      <w:rPr>
        <w:sz w:val="22"/>
        <w:szCs w:val="22"/>
      </w:rPr>
      <w:t xml:space="preserve">Grozījumi likumā „Par </w:t>
    </w:r>
    <w:r w:rsidR="00754302">
      <w:rPr>
        <w:sz w:val="22"/>
        <w:szCs w:val="22"/>
      </w:rPr>
      <w:t>ietekmes</w:t>
    </w:r>
    <w:r w:rsidR="0037695F">
      <w:rPr>
        <w:sz w:val="22"/>
        <w:szCs w:val="22"/>
      </w:rPr>
      <w:t xml:space="preserve"> uz vidi novērtējumu</w:t>
    </w:r>
    <w:r w:rsidR="003C4BFF" w:rsidRPr="00975D7D">
      <w:rPr>
        <w:sz w:val="22"/>
        <w:szCs w:val="22"/>
      </w:rPr>
      <w:t>”</w:t>
    </w:r>
    <w:r w:rsidR="00DA5FC5">
      <w:rPr>
        <w:sz w:val="22"/>
        <w:szCs w:val="22"/>
      </w:rPr>
      <w:t>”</w:t>
    </w:r>
  </w:p>
  <w:p w:rsidR="003C4BFF" w:rsidRDefault="003C4BFF" w:rsidP="00DA5FC5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19" w:rsidRDefault="00B07919" w:rsidP="003143FB">
      <w:pPr>
        <w:spacing w:after="0" w:line="240" w:lineRule="auto"/>
      </w:pPr>
      <w:r>
        <w:separator/>
      </w:r>
    </w:p>
  </w:footnote>
  <w:footnote w:type="continuationSeparator" w:id="0">
    <w:p w:rsidR="00B07919" w:rsidRDefault="00B07919" w:rsidP="0031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FF" w:rsidRDefault="00AC10D6" w:rsidP="007567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4B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BFF" w:rsidRDefault="003C4B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FF" w:rsidRPr="002A3A23" w:rsidRDefault="00AC10D6" w:rsidP="007567C7">
    <w:pPr>
      <w:pStyle w:val="Header"/>
      <w:framePr w:wrap="around" w:vAnchor="text" w:hAnchor="page" w:x="6205" w:y="72"/>
      <w:rPr>
        <w:rStyle w:val="PageNumber"/>
      </w:rPr>
    </w:pPr>
    <w:r w:rsidRPr="002A3A23">
      <w:rPr>
        <w:rStyle w:val="PageNumber"/>
      </w:rPr>
      <w:fldChar w:fldCharType="begin"/>
    </w:r>
    <w:r w:rsidR="003C4BFF" w:rsidRPr="002A3A23">
      <w:rPr>
        <w:rStyle w:val="PageNumber"/>
      </w:rPr>
      <w:instrText xml:space="preserve">PAGE  </w:instrText>
    </w:r>
    <w:r w:rsidRPr="002A3A23">
      <w:rPr>
        <w:rStyle w:val="PageNumber"/>
      </w:rPr>
      <w:fldChar w:fldCharType="separate"/>
    </w:r>
    <w:r w:rsidR="0025393E">
      <w:rPr>
        <w:rStyle w:val="PageNumber"/>
        <w:noProof/>
      </w:rPr>
      <w:t>4</w:t>
    </w:r>
    <w:r w:rsidRPr="002A3A23">
      <w:rPr>
        <w:rStyle w:val="PageNumber"/>
      </w:rPr>
      <w:fldChar w:fldCharType="end"/>
    </w:r>
  </w:p>
  <w:p w:rsidR="003C4BFF" w:rsidRDefault="003C4B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1EB5"/>
    <w:multiLevelType w:val="hybridMultilevel"/>
    <w:tmpl w:val="5D8676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5765"/>
    <w:multiLevelType w:val="hybridMultilevel"/>
    <w:tmpl w:val="F0B85B5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69695A"/>
    <w:multiLevelType w:val="hybridMultilevel"/>
    <w:tmpl w:val="91C0F35A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16B5F70"/>
    <w:multiLevelType w:val="hybridMultilevel"/>
    <w:tmpl w:val="3CF6323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80"/>
    <w:rsid w:val="000050A4"/>
    <w:rsid w:val="00007B8E"/>
    <w:rsid w:val="00022FFC"/>
    <w:rsid w:val="000245F3"/>
    <w:rsid w:val="00035796"/>
    <w:rsid w:val="00045778"/>
    <w:rsid w:val="000761B7"/>
    <w:rsid w:val="00081AF0"/>
    <w:rsid w:val="00085920"/>
    <w:rsid w:val="0009091F"/>
    <w:rsid w:val="000B496D"/>
    <w:rsid w:val="000C251A"/>
    <w:rsid w:val="000C3D6C"/>
    <w:rsid w:val="000C7C99"/>
    <w:rsid w:val="00127BAF"/>
    <w:rsid w:val="00137C80"/>
    <w:rsid w:val="00171CCA"/>
    <w:rsid w:val="001A00BE"/>
    <w:rsid w:val="001A11B8"/>
    <w:rsid w:val="001A37C1"/>
    <w:rsid w:val="001C15B5"/>
    <w:rsid w:val="001C162C"/>
    <w:rsid w:val="001C38F1"/>
    <w:rsid w:val="001E67C1"/>
    <w:rsid w:val="00201430"/>
    <w:rsid w:val="00201E03"/>
    <w:rsid w:val="00202F48"/>
    <w:rsid w:val="002121F2"/>
    <w:rsid w:val="0025393E"/>
    <w:rsid w:val="002663D7"/>
    <w:rsid w:val="002B327A"/>
    <w:rsid w:val="00300B31"/>
    <w:rsid w:val="00307EDF"/>
    <w:rsid w:val="003143FB"/>
    <w:rsid w:val="00314AFD"/>
    <w:rsid w:val="00331220"/>
    <w:rsid w:val="003321B9"/>
    <w:rsid w:val="00334A88"/>
    <w:rsid w:val="00337245"/>
    <w:rsid w:val="00351F08"/>
    <w:rsid w:val="003523B2"/>
    <w:rsid w:val="003539E3"/>
    <w:rsid w:val="00361F15"/>
    <w:rsid w:val="0037695F"/>
    <w:rsid w:val="003902C7"/>
    <w:rsid w:val="003C4BFF"/>
    <w:rsid w:val="003D391C"/>
    <w:rsid w:val="00421BD9"/>
    <w:rsid w:val="00437A37"/>
    <w:rsid w:val="00441D76"/>
    <w:rsid w:val="004618E7"/>
    <w:rsid w:val="00461B27"/>
    <w:rsid w:val="00480DC2"/>
    <w:rsid w:val="004C6B33"/>
    <w:rsid w:val="004D16B1"/>
    <w:rsid w:val="004F73FA"/>
    <w:rsid w:val="00516C5E"/>
    <w:rsid w:val="00532367"/>
    <w:rsid w:val="00541565"/>
    <w:rsid w:val="00552E77"/>
    <w:rsid w:val="005C514D"/>
    <w:rsid w:val="005E0801"/>
    <w:rsid w:val="006066D3"/>
    <w:rsid w:val="00632AB1"/>
    <w:rsid w:val="00661BB6"/>
    <w:rsid w:val="00696D54"/>
    <w:rsid w:val="006D31C7"/>
    <w:rsid w:val="007119B9"/>
    <w:rsid w:val="00731C91"/>
    <w:rsid w:val="00736575"/>
    <w:rsid w:val="00736F74"/>
    <w:rsid w:val="00751ACA"/>
    <w:rsid w:val="00752D11"/>
    <w:rsid w:val="00754302"/>
    <w:rsid w:val="007567C7"/>
    <w:rsid w:val="007605CD"/>
    <w:rsid w:val="007634EE"/>
    <w:rsid w:val="00785137"/>
    <w:rsid w:val="007B0604"/>
    <w:rsid w:val="007D2105"/>
    <w:rsid w:val="007E47A1"/>
    <w:rsid w:val="00815B79"/>
    <w:rsid w:val="00823982"/>
    <w:rsid w:val="00843400"/>
    <w:rsid w:val="00850FF3"/>
    <w:rsid w:val="00864B50"/>
    <w:rsid w:val="008B00E2"/>
    <w:rsid w:val="008B2A39"/>
    <w:rsid w:val="00905214"/>
    <w:rsid w:val="00975D7D"/>
    <w:rsid w:val="009A216A"/>
    <w:rsid w:val="009A6404"/>
    <w:rsid w:val="009B44F0"/>
    <w:rsid w:val="00A13A81"/>
    <w:rsid w:val="00A22BA1"/>
    <w:rsid w:val="00A3413F"/>
    <w:rsid w:val="00A577EF"/>
    <w:rsid w:val="00A72A41"/>
    <w:rsid w:val="00A76FCB"/>
    <w:rsid w:val="00A864BB"/>
    <w:rsid w:val="00A95BCE"/>
    <w:rsid w:val="00AB14B1"/>
    <w:rsid w:val="00AB5D38"/>
    <w:rsid w:val="00AC10D6"/>
    <w:rsid w:val="00AD2734"/>
    <w:rsid w:val="00AD30FF"/>
    <w:rsid w:val="00AD5BEE"/>
    <w:rsid w:val="00AD7D4A"/>
    <w:rsid w:val="00AE330C"/>
    <w:rsid w:val="00B07919"/>
    <w:rsid w:val="00B24D61"/>
    <w:rsid w:val="00B43869"/>
    <w:rsid w:val="00B57E3F"/>
    <w:rsid w:val="00B608A2"/>
    <w:rsid w:val="00B772B2"/>
    <w:rsid w:val="00B96F89"/>
    <w:rsid w:val="00BB7DAF"/>
    <w:rsid w:val="00C138A1"/>
    <w:rsid w:val="00C25CA0"/>
    <w:rsid w:val="00C52C86"/>
    <w:rsid w:val="00C77477"/>
    <w:rsid w:val="00C82D69"/>
    <w:rsid w:val="00C83413"/>
    <w:rsid w:val="00C914C4"/>
    <w:rsid w:val="00CE120E"/>
    <w:rsid w:val="00D10386"/>
    <w:rsid w:val="00D47DCC"/>
    <w:rsid w:val="00D77C36"/>
    <w:rsid w:val="00DA5FC5"/>
    <w:rsid w:val="00DB7904"/>
    <w:rsid w:val="00E1681C"/>
    <w:rsid w:val="00E744DF"/>
    <w:rsid w:val="00E77C95"/>
    <w:rsid w:val="00E8134C"/>
    <w:rsid w:val="00E9142C"/>
    <w:rsid w:val="00E97965"/>
    <w:rsid w:val="00EA4418"/>
    <w:rsid w:val="00F1440F"/>
    <w:rsid w:val="00F24BFF"/>
    <w:rsid w:val="00F55312"/>
    <w:rsid w:val="00F94AAB"/>
    <w:rsid w:val="00FF2203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245F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137C8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lab">
    <w:name w:val="naislab"/>
    <w:basedOn w:val="Normal"/>
    <w:rsid w:val="00137C8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37C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37C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7C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7C8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37C80"/>
    <w:rPr>
      <w:rFonts w:cs="Times New Roman"/>
    </w:rPr>
  </w:style>
  <w:style w:type="character" w:styleId="Hyperlink">
    <w:name w:val="Hyperlink"/>
    <w:basedOn w:val="DefaultParagraphFont"/>
    <w:uiPriority w:val="99"/>
    <w:rsid w:val="00137C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37C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37C8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37C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37C80"/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Normal"/>
    <w:rsid w:val="00137C8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Normal"/>
    <w:rsid w:val="00137C8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137C8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rsid w:val="00137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567C7"/>
    <w:rPr>
      <w:b/>
      <w:bCs/>
    </w:rPr>
  </w:style>
  <w:style w:type="paragraph" w:customStyle="1" w:styleId="naisc">
    <w:name w:val="naisc"/>
    <w:basedOn w:val="Normal"/>
    <w:uiPriority w:val="99"/>
    <w:rsid w:val="009A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1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245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245F3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45F3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245F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137C8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lab">
    <w:name w:val="naislab"/>
    <w:basedOn w:val="Normal"/>
    <w:rsid w:val="00137C8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37C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37C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7C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7C8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37C80"/>
    <w:rPr>
      <w:rFonts w:cs="Times New Roman"/>
    </w:rPr>
  </w:style>
  <w:style w:type="character" w:styleId="Hyperlink">
    <w:name w:val="Hyperlink"/>
    <w:basedOn w:val="DefaultParagraphFont"/>
    <w:uiPriority w:val="99"/>
    <w:rsid w:val="00137C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37C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37C8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37C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37C80"/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Normal"/>
    <w:rsid w:val="00137C8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Normal"/>
    <w:rsid w:val="00137C8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137C8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rsid w:val="00137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567C7"/>
    <w:rPr>
      <w:b/>
      <w:bCs/>
    </w:rPr>
  </w:style>
  <w:style w:type="paragraph" w:customStyle="1" w:styleId="naisc">
    <w:name w:val="naisc"/>
    <w:basedOn w:val="Normal"/>
    <w:uiPriority w:val="99"/>
    <w:rsid w:val="009A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1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245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245F3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45F3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vita.svampane@vara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zela.petersone@vara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A6E0-15ED-4BDC-B68D-A5A57CAD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5665</Words>
  <Characters>3230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likumā "Par ietekmes uz vidi novērtējumu"" anotācija</dc:title>
  <dc:creator>Evita.Svampane@varam.gov.lv</dc:creator>
  <cp:lastModifiedBy>Evita Švampāne</cp:lastModifiedBy>
  <cp:revision>20</cp:revision>
  <dcterms:created xsi:type="dcterms:W3CDTF">2011-09-15T13:40:00Z</dcterms:created>
  <dcterms:modified xsi:type="dcterms:W3CDTF">2011-09-30T06:38:00Z</dcterms:modified>
</cp:coreProperties>
</file>