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31" w:rsidRPr="005D43E5" w:rsidRDefault="009A7831" w:rsidP="005D43E5">
      <w:pPr>
        <w:pStyle w:val="BodyText"/>
        <w:rPr>
          <w:bCs/>
          <w:szCs w:val="28"/>
        </w:rPr>
      </w:pPr>
      <w:bookmarkStart w:id="0" w:name="OLE_LINK6"/>
      <w:bookmarkStart w:id="1" w:name="OLE_LINK7"/>
      <w:r w:rsidRPr="005D43E5">
        <w:rPr>
          <w:szCs w:val="28"/>
        </w:rPr>
        <w:t>Likumprojekta „</w:t>
      </w:r>
      <w:r>
        <w:rPr>
          <w:szCs w:val="28"/>
        </w:rPr>
        <w:t>G</w:t>
      </w:r>
      <w:r w:rsidRPr="005D43E5">
        <w:rPr>
          <w:szCs w:val="28"/>
        </w:rPr>
        <w:t>roz</w:t>
      </w:r>
      <w:bookmarkStart w:id="2" w:name="OLE_LINK4"/>
      <w:bookmarkStart w:id="3" w:name="OLE_LINK5"/>
      <w:r>
        <w:rPr>
          <w:szCs w:val="28"/>
        </w:rPr>
        <w:t>ījumi likumā „Par zemes dzīlēm””</w:t>
      </w:r>
    </w:p>
    <w:p w:rsidR="009A7831" w:rsidRPr="00155A4D" w:rsidRDefault="009A7831" w:rsidP="00155A4D">
      <w:pPr>
        <w:pStyle w:val="BodyText"/>
        <w:rPr>
          <w:szCs w:val="28"/>
        </w:rPr>
      </w:pPr>
      <w:r w:rsidRPr="00155A4D">
        <w:rPr>
          <w:bCs/>
          <w:szCs w:val="28"/>
        </w:rPr>
        <w:t>sākotnējās ietekmes novērtējuma ziņojums (anotācija)</w:t>
      </w:r>
      <w:bookmarkEnd w:id="0"/>
      <w:bookmarkEnd w:id="1"/>
      <w:bookmarkEnd w:id="2"/>
      <w:bookmarkEnd w:id="3"/>
    </w:p>
    <w:p w:rsidR="009A7831" w:rsidRPr="00155A4D" w:rsidRDefault="009A7831" w:rsidP="00155A4D">
      <w:pPr>
        <w:rPr>
          <w:b/>
          <w:color w:val="C00000"/>
          <w:sz w:val="28"/>
          <w:szCs w:val="28"/>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6946"/>
      </w:tblGrid>
      <w:tr w:rsidR="009A7831" w:rsidRPr="00380A54" w:rsidTr="00E116C7">
        <w:tc>
          <w:tcPr>
            <w:tcW w:w="9356" w:type="dxa"/>
            <w:gridSpan w:val="2"/>
          </w:tcPr>
          <w:p w:rsidR="009A7831" w:rsidRPr="00380A54" w:rsidRDefault="009A7831" w:rsidP="00155A4D">
            <w:pPr>
              <w:spacing w:after="120"/>
              <w:jc w:val="center"/>
              <w:rPr>
                <w:b/>
              </w:rPr>
            </w:pPr>
            <w:r w:rsidRPr="00380A54">
              <w:rPr>
                <w:b/>
              </w:rPr>
              <w:t xml:space="preserve">I. Kādēļ normatīvais </w:t>
            </w:r>
            <w:smartTag w:uri="schemas-tilde-lv/tildestengine" w:element="veidnes">
              <w:smartTagPr>
                <w:attr w:name="baseform" w:val="akt|s"/>
                <w:attr w:name="id" w:val="-1"/>
                <w:attr w:name="text" w:val="akts"/>
              </w:smartTagPr>
              <w:r w:rsidRPr="00380A54">
                <w:rPr>
                  <w:b/>
                </w:rPr>
                <w:t>akts</w:t>
              </w:r>
            </w:smartTag>
            <w:r w:rsidRPr="00380A54">
              <w:rPr>
                <w:b/>
              </w:rPr>
              <w:t xml:space="preserve"> ir vajadzīgs</w:t>
            </w:r>
          </w:p>
        </w:tc>
      </w:tr>
      <w:tr w:rsidR="009A7831" w:rsidRPr="00380A54" w:rsidTr="00E116C7">
        <w:tc>
          <w:tcPr>
            <w:tcW w:w="2410" w:type="dxa"/>
          </w:tcPr>
          <w:p w:rsidR="009A7831" w:rsidRPr="00FF2BF7" w:rsidRDefault="009A7831" w:rsidP="00155A4D">
            <w:pPr>
              <w:pStyle w:val="Footer"/>
              <w:tabs>
                <w:tab w:val="clear" w:pos="4153"/>
                <w:tab w:val="clear" w:pos="8306"/>
              </w:tabs>
              <w:jc w:val="both"/>
              <w:rPr>
                <w:rFonts w:ascii="Times New Roman" w:hAnsi="Times New Roman"/>
                <w:sz w:val="24"/>
                <w:szCs w:val="24"/>
                <w:lang w:eastAsia="en-US"/>
              </w:rPr>
            </w:pPr>
            <w:r w:rsidRPr="00FF2BF7">
              <w:rPr>
                <w:rFonts w:ascii="Times New Roman" w:hAnsi="Times New Roman"/>
                <w:sz w:val="24"/>
                <w:szCs w:val="24"/>
                <w:lang w:eastAsia="en-US"/>
              </w:rPr>
              <w:t>1. Pamatojums</w:t>
            </w:r>
          </w:p>
        </w:tc>
        <w:tc>
          <w:tcPr>
            <w:tcW w:w="6946" w:type="dxa"/>
          </w:tcPr>
          <w:p w:rsidR="009A7831" w:rsidRDefault="009A7831" w:rsidP="00064611">
            <w:pPr>
              <w:pStyle w:val="naisnod"/>
              <w:spacing w:before="0" w:after="120"/>
              <w:jc w:val="both"/>
              <w:rPr>
                <w:b w:val="0"/>
                <w:color w:val="000000"/>
              </w:rPr>
            </w:pPr>
            <w:r w:rsidRPr="005D43E5">
              <w:rPr>
                <w:b w:val="0"/>
                <w:color w:val="000000"/>
              </w:rPr>
              <w:t>Ministru kabineta</w:t>
            </w:r>
            <w:r>
              <w:rPr>
                <w:b w:val="0"/>
                <w:color w:val="000000"/>
              </w:rPr>
              <w:t xml:space="preserve"> (MK)</w:t>
            </w:r>
            <w:r w:rsidRPr="005D43E5">
              <w:rPr>
                <w:b w:val="0"/>
                <w:color w:val="000000"/>
              </w:rPr>
              <w:t xml:space="preserve"> 2010.gada 19.aprīļa rīkojuma Nr.214 (prot</w:t>
            </w:r>
            <w:r>
              <w:rPr>
                <w:b w:val="0"/>
                <w:color w:val="000000"/>
              </w:rPr>
              <w:t>.</w:t>
            </w:r>
            <w:r w:rsidRPr="005D43E5">
              <w:rPr>
                <w:b w:val="0"/>
                <w:color w:val="000000"/>
              </w:rPr>
              <w:t xml:space="preserve"> Nr.17</w:t>
            </w:r>
            <w:r>
              <w:rPr>
                <w:b w:val="0"/>
                <w:color w:val="000000"/>
              </w:rPr>
              <w:t>,</w:t>
            </w:r>
            <w:r w:rsidRPr="005D43E5">
              <w:rPr>
                <w:b w:val="0"/>
                <w:color w:val="000000"/>
              </w:rPr>
              <w:t xml:space="preserve"> 35.§) „Par Zemes pārvaldības likuma koncepciju” 3.2.apakšpunkts un 4.punkts</w:t>
            </w:r>
            <w:r>
              <w:rPr>
                <w:b w:val="0"/>
                <w:color w:val="000000"/>
              </w:rPr>
              <w:t xml:space="preserve"> (turpmāk – rīkojums Nr. 214). </w:t>
            </w:r>
          </w:p>
          <w:p w:rsidR="009A7831" w:rsidRPr="00B75845" w:rsidRDefault="009A7831" w:rsidP="005D43E5">
            <w:pPr>
              <w:pStyle w:val="NormalWeb"/>
              <w:spacing w:before="0" w:beforeAutospacing="0" w:after="120" w:afterAutospacing="0"/>
              <w:jc w:val="both"/>
              <w:rPr>
                <w:szCs w:val="24"/>
              </w:rPr>
            </w:pPr>
            <w:r w:rsidRPr="00B75845">
              <w:rPr>
                <w:szCs w:val="24"/>
              </w:rPr>
              <w:t xml:space="preserve">MK 2011.gada 8.novembra protokolā (prot.Nr.66, 38§) uzdots Finanšu ministrijai sadarbībā ar Vides aizsardzības un reģionālās attīstības ministriju līdz 2012.gada 15.augustam iesniegt Ministru kabinetā atbilstošus grozījumus normatīvajos aktos, lai paredzētu atsevišķu valsts vai pašvaldības zemes nomas maksas noteikšanas kārtību gadījumos, ja valsts vai pašvaldības zemesgabals tiek iznomāts zemes dzīļu izmantošanai. </w:t>
            </w:r>
          </w:p>
          <w:p w:rsidR="009A7831" w:rsidRPr="005D43E5" w:rsidRDefault="009A7831" w:rsidP="00D85EE8">
            <w:pPr>
              <w:jc w:val="both"/>
              <w:rPr>
                <w:b/>
              </w:rPr>
            </w:pPr>
            <w:r w:rsidRPr="005D43E5">
              <w:t>Valsts sekretāru 2012.gada 22.marta sanāksm</w:t>
            </w:r>
            <w:r>
              <w:t>ē tika nolemts (prot.</w:t>
            </w:r>
            <w:r w:rsidRPr="005D43E5">
              <w:t xml:space="preserve"> Nr.12</w:t>
            </w:r>
            <w:r>
              <w:t>,</w:t>
            </w:r>
            <w:r w:rsidRPr="005D43E5">
              <w:rPr>
                <w:sz w:val="28"/>
                <w:szCs w:val="28"/>
              </w:rPr>
              <w:t xml:space="preserve"> </w:t>
            </w:r>
            <w:bookmarkStart w:id="4" w:name="38"/>
            <w:bookmarkEnd w:id="4"/>
            <w:r w:rsidRPr="005D43E5">
              <w:rPr>
                <w:szCs w:val="28"/>
              </w:rPr>
              <w:t>38.§</w:t>
            </w:r>
            <w:r>
              <w:rPr>
                <w:szCs w:val="28"/>
              </w:rPr>
              <w:t xml:space="preserve">), ka, </w:t>
            </w:r>
            <w:r>
              <w:rPr>
                <w:rStyle w:val="spelle"/>
              </w:rPr>
              <w:t xml:space="preserve">ja tiek veikti grozījumi likumā "Par zemes dzīlēm", Vides aizsardzības un reģionālās attīstības ministrijai jāiestrādā tajā arī deleģējumu Ministru kabinetam noteikt derīgo izrakteņu ieguves kārtību. </w:t>
            </w:r>
          </w:p>
        </w:tc>
      </w:tr>
      <w:tr w:rsidR="009A7831" w:rsidRPr="00380A54" w:rsidTr="00E116C7">
        <w:tc>
          <w:tcPr>
            <w:tcW w:w="2410" w:type="dxa"/>
          </w:tcPr>
          <w:p w:rsidR="009A7831" w:rsidRPr="00FF2BF7" w:rsidRDefault="009A7831" w:rsidP="00155A4D">
            <w:pPr>
              <w:pStyle w:val="BodyText"/>
              <w:jc w:val="left"/>
              <w:rPr>
                <w:b w:val="0"/>
                <w:sz w:val="24"/>
                <w:szCs w:val="24"/>
              </w:rPr>
            </w:pPr>
            <w:r w:rsidRPr="00FF2BF7">
              <w:rPr>
                <w:b w:val="0"/>
                <w:sz w:val="24"/>
                <w:szCs w:val="24"/>
              </w:rPr>
              <w:t>2. Pašreizējā situācija un problēmas</w:t>
            </w:r>
          </w:p>
        </w:tc>
        <w:tc>
          <w:tcPr>
            <w:tcW w:w="6946" w:type="dxa"/>
          </w:tcPr>
          <w:p w:rsidR="009A7831" w:rsidRDefault="009A7831" w:rsidP="006D2AEE">
            <w:pPr>
              <w:spacing w:after="120"/>
              <w:ind w:right="142"/>
              <w:jc w:val="both"/>
            </w:pPr>
            <w:r>
              <w:t>1. Pašlaik vienīgais likums, kur dota augsnes definīcija, ir likums „Par zemes dzīlēm”. Likumprojektā</w:t>
            </w:r>
            <w:r w:rsidRPr="005D43E5">
              <w:t xml:space="preserve"> „Zeme</w:t>
            </w:r>
            <w:r>
              <w:t xml:space="preserve">s pārvaldības likums” (VSS-855) arī iekļauts </w:t>
            </w:r>
            <w:r w:rsidRPr="005D43E5">
              <w:t>termina</w:t>
            </w:r>
            <w:r>
              <w:t xml:space="preserve"> „augsne”</w:t>
            </w:r>
            <w:r w:rsidRPr="005D43E5">
              <w:t xml:space="preserve"> </w:t>
            </w:r>
            <w:r>
              <w:t>skaidrojums</w:t>
            </w:r>
            <w:r w:rsidRPr="005D43E5">
              <w:t xml:space="preserve">, jo tajā atsevišķa nodaļa veltīta zemes un augsnes aizsardzības un kvalitātes jautājumiem. Likumprojektā „Zemes pārvaldības likums” iekļautā augsnes definīcija </w:t>
            </w:r>
            <w:r>
              <w:t>ir plašāka</w:t>
            </w:r>
            <w:r w:rsidRPr="005D43E5">
              <w:t>, jo precizē, no kā sastāv augsne</w:t>
            </w:r>
            <w:r>
              <w:t>.</w:t>
            </w:r>
            <w:r w:rsidRPr="005D43E5">
              <w:t xml:space="preserve"> Augsnes definīcija, kas iekļauta Zemes pārvaldības likuma projektā, izstrādāta, balstoties uz ANO UNDP Programmu zemes degradācijas novēršanai 2008. – 2012.gadam.</w:t>
            </w:r>
            <w:r>
              <w:t xml:space="preserve"> Tomēr arī likumā „Par zemes dzīlēm” ir lietderīgi atstāt šo terminu, jo zemes dzīļu izmantošanu nevar atraut no augsnes izmantošanas. Lai novērstu normu dublēšanos, kad stāsies spēkā Zemes pārvaldības likums, likumā „Par zemes dzīlēm” terminam „augsne” jāpievieno vārdi „šī likuma izpratnē”.</w:t>
            </w:r>
          </w:p>
          <w:p w:rsidR="009A7831" w:rsidRDefault="009A7831" w:rsidP="006D2AEE">
            <w:pPr>
              <w:spacing w:after="120"/>
              <w:ind w:right="142"/>
              <w:jc w:val="both"/>
            </w:pPr>
            <w:r>
              <w:t xml:space="preserve">2. </w:t>
            </w:r>
            <w:r w:rsidRPr="006908AA">
              <w:t>Ekonomikas ministrija</w:t>
            </w:r>
            <w:r>
              <w:t>s</w:t>
            </w:r>
            <w:r w:rsidRPr="006908AA">
              <w:t xml:space="preserve"> sagatavotā Ministru kabineta noteikumu projekta „Noteikumi par ogļūdeņražu meklēšanu, izpēti un ieguvi”</w:t>
            </w:r>
            <w:r>
              <w:t xml:space="preserve"> (VSS-966)</w:t>
            </w:r>
            <w:r w:rsidRPr="006908AA">
              <w:t xml:space="preserve"> 2.punktā bija iekļauts skaidrojums terminiem „ogļūdeņražu meklēšana”, „ogļūdeņražu izpēte” un „ogļūdeņražu ieguve”. Pirms noteikumu projekta izskatīšanas 2012.gada 28.maija Ministru kabineta komitejas sēdē, Valsts kancelejas Juridiskais departaments veica tā izvērtēšanu un konstatēja, ka </w:t>
            </w:r>
            <w:r>
              <w:t xml:space="preserve">minēto </w:t>
            </w:r>
            <w:r w:rsidRPr="006908AA">
              <w:t>terminu skaidrojums ir jāsvītro no noteikumu projekta un jāiekļauj likumā</w:t>
            </w:r>
            <w:r>
              <w:t xml:space="preserve"> „Par zemes dzīlēm”. </w:t>
            </w:r>
          </w:p>
          <w:p w:rsidR="009A7831" w:rsidRPr="00FF2BF7" w:rsidRDefault="009A7831" w:rsidP="006D2AEE">
            <w:pPr>
              <w:pStyle w:val="BodyText"/>
              <w:spacing w:after="120"/>
              <w:jc w:val="both"/>
              <w:rPr>
                <w:b w:val="0"/>
                <w:sz w:val="24"/>
                <w:szCs w:val="24"/>
              </w:rPr>
            </w:pPr>
            <w:r w:rsidRPr="00FF2BF7">
              <w:rPr>
                <w:b w:val="0"/>
                <w:sz w:val="24"/>
                <w:szCs w:val="24"/>
              </w:rPr>
              <w:t>3. Pamatojoties uz likuma „Par zemes dzīlēm” 14.panta 2.punktu, kas nosaka, ka zemes dzīļu izmantotāja pienākums ir „ievērot Ministru kabineta apstiprināto derīgo izrakteņu ieguves kārtību”, 2006.gada 19.septembrī ir izdoti MK noteikumi Nr.779 „Derīgo izrakteņu ieguves kārtība”. Šāds deleģējums likumā</w:t>
            </w:r>
            <w:r>
              <w:rPr>
                <w:b w:val="0"/>
                <w:sz w:val="24"/>
                <w:szCs w:val="24"/>
              </w:rPr>
              <w:t xml:space="preserve"> tika iekļauts ar 2004.gada 16.</w:t>
            </w:r>
            <w:r w:rsidRPr="00FF2BF7">
              <w:rPr>
                <w:b w:val="0"/>
                <w:sz w:val="24"/>
                <w:szCs w:val="24"/>
              </w:rPr>
              <w:t xml:space="preserve">decembra grozījumiem tieši tādēļ, ka bija nepieciešams šādu kārtību izstrādāt un apstiprināt Ministru kabinetā. </w:t>
            </w:r>
          </w:p>
          <w:p w:rsidR="009A7831" w:rsidRPr="00FF2BF7" w:rsidRDefault="009A7831" w:rsidP="006D2AEE">
            <w:pPr>
              <w:pStyle w:val="BodyText"/>
              <w:spacing w:after="120"/>
              <w:jc w:val="both"/>
              <w:rPr>
                <w:b w:val="0"/>
                <w:sz w:val="24"/>
                <w:szCs w:val="24"/>
              </w:rPr>
            </w:pPr>
            <w:r w:rsidRPr="00FF2BF7">
              <w:rPr>
                <w:b w:val="0"/>
                <w:sz w:val="24"/>
                <w:szCs w:val="24"/>
              </w:rPr>
              <w:t xml:space="preserve">Ņemot vērā to, ka likumā „Par zemes dzīlēm” izdarīti vairāki grozījumi, kas stājās spēkā 2009. gada 1.jūlijā un 2010.gada 21.jūlijā, ministrija izstrādāja jaunu MK noteikumu projektu „Derīgo izrakteņu ieguves kārtība” (izsludināts </w:t>
            </w:r>
            <w:r w:rsidRPr="00FF2BF7">
              <w:rPr>
                <w:b w:val="0"/>
                <w:bCs/>
                <w:sz w:val="24"/>
                <w:szCs w:val="24"/>
              </w:rPr>
              <w:t xml:space="preserve">valsts sekretāru sanāksmē </w:t>
            </w:r>
            <w:r w:rsidRPr="00FF2BF7">
              <w:rPr>
                <w:b w:val="0"/>
                <w:sz w:val="24"/>
                <w:szCs w:val="24"/>
              </w:rPr>
              <w:t xml:space="preserve">2011.gada 15.septembrī, VSS-993, iesniegts izskatīšanai MK sēdē). Saskaņojot MK noteikumu projektu, Tieslietu ministrija norādīja, ka likumā dotais deleģējums neatbilst juridiskās tehnikas prasībām un nepieciešams papildināt likumu ar attiecīgu deleģējumu Ministru kabinetam izdot šos noteikumus. Valsts sekretāru 2012.gada 22.marta sanāksmē tika nolemts (prot. Nr.12, 38.§), ka, </w:t>
            </w:r>
            <w:r w:rsidRPr="00FF2BF7">
              <w:rPr>
                <w:rStyle w:val="spelle"/>
                <w:b w:val="0"/>
                <w:sz w:val="24"/>
                <w:szCs w:val="24"/>
              </w:rPr>
              <w:t>ja tiek veikti grozījumi likumā "Par zemes dzīlēm", Vides aizsardzības un reģionālās attīstības ministrijai jāiestrādā tajā arī deleģējumu Ministru kabinetam noteikt zemes dzīļu izmantošanas kārtību.</w:t>
            </w:r>
          </w:p>
          <w:p w:rsidR="009A7831" w:rsidRDefault="009A7831" w:rsidP="006D2AEE">
            <w:pPr>
              <w:spacing w:after="120"/>
              <w:jc w:val="both"/>
            </w:pPr>
            <w:r>
              <w:t xml:space="preserve">4. Pašlaik, iznomājot publiskas personas zemesgabalu zemes dzīļu izmantošanai, nomas maksas aprēķināšanai par pamatu tiek ņemta zemes kadastrālā vērtībā, kurā atbilstoši </w:t>
            </w:r>
            <w:r w:rsidRPr="00C06F1A">
              <w:t xml:space="preserve">likuma „Par zemes dzīlēm” </w:t>
            </w:r>
            <w:r>
              <w:t>6.panta otrajai</w:t>
            </w:r>
            <w:r w:rsidRPr="00C06F1A">
              <w:t xml:space="preserve"> daļa</w:t>
            </w:r>
            <w:r>
              <w:t xml:space="preserve">i un </w:t>
            </w:r>
            <w:r w:rsidRPr="00167099">
              <w:t xml:space="preserve">Ministru kabineta </w:t>
            </w:r>
            <w:r>
              <w:t>2006.gada 18.aprīļa</w:t>
            </w:r>
            <w:r w:rsidRPr="00167099">
              <w:t xml:space="preserve"> noteikumi</w:t>
            </w:r>
            <w:r>
              <w:t>em</w:t>
            </w:r>
            <w:r w:rsidRPr="00167099">
              <w:t xml:space="preserve"> Nr.305 </w:t>
            </w:r>
            <w:r>
              <w:t>„</w:t>
            </w:r>
            <w:r w:rsidRPr="00167099">
              <w:t>Kadastrālās vērtēšanas noteikumi</w:t>
            </w:r>
            <w:r>
              <w:t>”, netiek ietverta zemes dzīļu vērtība.</w:t>
            </w:r>
            <w:r w:rsidRPr="00DE051B">
              <w:rPr>
                <w:color w:val="FF0000"/>
              </w:rPr>
              <w:t xml:space="preserve"> </w:t>
            </w:r>
            <w:r>
              <w:t>Līdz ar to neatkarīgi no tā, vai iznomā zemesgabalu ar vai bez mērķa izmantot zemes dzīles, zemes nomas maksa var būt vienāda. Pašreiz publiskai personai nav tiesiska pamata par tās īpašumā vai valdījumā esošu nekustamo īpašumu, ja tas tiek iznomāts citai personai zemes dzīļu izmantošanai, saskaņā ar Civillikuma 927.pantu iegūt no tās visus iespējamos labumus. Tādējādi netiek ievērots arī likuma „</w:t>
            </w:r>
            <w:r w:rsidRPr="00DB27A2">
              <w:t>Par valsts un pašvaldību finanšu līdzekļu un mantas izšķērdēšanas novēršanu</w:t>
            </w:r>
            <w:r>
              <w:t xml:space="preserve">” 3.pantā noteiktais, ka publiskas personas </w:t>
            </w:r>
            <w:r w:rsidRPr="00454BBA">
              <w:t>manta nododama lietošanā citai personai par iespējami augstāku cenu</w:t>
            </w:r>
            <w:r>
              <w:t xml:space="preserve">. </w:t>
            </w:r>
          </w:p>
          <w:p w:rsidR="009A7831" w:rsidRPr="00B75845" w:rsidRDefault="009A7831" w:rsidP="006D2AEE">
            <w:pPr>
              <w:pStyle w:val="NormalWeb"/>
              <w:spacing w:before="0" w:beforeAutospacing="0" w:after="120" w:afterAutospacing="0"/>
              <w:jc w:val="both"/>
              <w:rPr>
                <w:szCs w:val="24"/>
              </w:rPr>
            </w:pPr>
            <w:r w:rsidRPr="00B75845">
              <w:rPr>
                <w:szCs w:val="24"/>
              </w:rPr>
              <w:t>Pildot MK 2011.gada 8.novembra sēdē uzdoto, Vides aizsardzības un reģionālās attīstības ministrijas (</w:t>
            </w:r>
            <w:smartTag w:uri="urn:schemas-microsoft-com:office:smarttags" w:element="PersonName">
              <w:r w:rsidRPr="00B75845">
                <w:rPr>
                  <w:szCs w:val="24"/>
                </w:rPr>
                <w:t>VARAM</w:t>
              </w:r>
            </w:smartTag>
            <w:r w:rsidRPr="00B75845">
              <w:rPr>
                <w:szCs w:val="24"/>
              </w:rPr>
              <w:t xml:space="preserve">), Finanšu ministrijas (FM), Tieslietu ministrijas (TM) un Valsts zemes dienesta (VZD) pārstāvju sarunās nolemts, ka protokollēmuma izpildi var nodrošināt, papildinot Ministru kabineta 2007.gada 30.oktobra noteikumus Nr.735 „Noteikumi par publiskas personas zemes nomu” (noteikumi Nr. 735) ar jaunu nodaļu, nosakot nomas maksai lielāku procentuālo likmi no kadastrālās vērtības, nekā tā šobrīd noteikta. Lai to izdarītu, nepieciešams likumu „Par zemes dzīlēm” papildināt ar deleģējumu Ministru kabinetam noteikt zemes nomas maksas aprēķināšanas kārtību, ja publiska persona iznomā zemi zemes dzīļu izmantošanai. </w:t>
            </w:r>
          </w:p>
          <w:p w:rsidR="009A7831" w:rsidRPr="00FF2BF7" w:rsidRDefault="009A7831" w:rsidP="000326B0">
            <w:pPr>
              <w:pStyle w:val="Heading4"/>
              <w:spacing w:before="0" w:beforeAutospacing="0" w:after="120" w:afterAutospacing="0"/>
              <w:jc w:val="both"/>
              <w:rPr>
                <w:b w:val="0"/>
                <w:i/>
                <w:sz w:val="26"/>
                <w:szCs w:val="26"/>
              </w:rPr>
            </w:pPr>
            <w:r>
              <w:rPr>
                <w:b w:val="0"/>
              </w:rPr>
              <w:t xml:space="preserve">5. </w:t>
            </w:r>
            <w:r w:rsidRPr="00FF2BF7">
              <w:rPr>
                <w:b w:val="0"/>
              </w:rPr>
              <w:t>Lauksaimniecības un lauku attīstības likumā</w:t>
            </w:r>
            <w:r>
              <w:rPr>
                <w:b w:val="0"/>
              </w:rPr>
              <w:t xml:space="preserve"> veikti grozījumi</w:t>
            </w:r>
            <w:r w:rsidRPr="00FF2BF7">
              <w:rPr>
                <w:b w:val="0"/>
              </w:rPr>
              <w:t xml:space="preserve"> un no 2009.gada 1.jūlija izslēgts jēdziens „</w:t>
            </w:r>
            <w:r w:rsidRPr="00FF2BF7">
              <w:rPr>
                <w:b w:val="0"/>
                <w:bCs w:val="0"/>
              </w:rPr>
              <w:t xml:space="preserve">lauksaimniecībā izmantojamās zemes transformācija”, kā arī šī likuma 10.panta pirmā daļa izteikta jaunā redakcijā – lauksaimniecībā izmantojamās zemes lietošanas kategorijas maiņa veicama atbilstoši normatīvajos aktos noteiktajai kārtībai. Tādēļ </w:t>
            </w:r>
            <w:r w:rsidRPr="00FF2BF7">
              <w:rPr>
                <w:b w:val="0"/>
              </w:rPr>
              <w:t>likumā „Par zemes dzīlēm” vārdus „zemes transformācija” jāaizstāj ar vārdiem „zemes lietošanas kategorijas maiņa”;</w:t>
            </w:r>
          </w:p>
          <w:p w:rsidR="009A7831" w:rsidRPr="00FF2BF7" w:rsidRDefault="009A7831" w:rsidP="000326B0">
            <w:pPr>
              <w:pStyle w:val="BodyTextIndent"/>
              <w:spacing w:before="120"/>
              <w:ind w:left="0"/>
              <w:jc w:val="both"/>
              <w:rPr>
                <w:iCs/>
              </w:rPr>
            </w:pPr>
            <w:r>
              <w:rPr>
                <w:iCs/>
              </w:rPr>
              <w:t>Meža likumā</w:t>
            </w:r>
            <w:r w:rsidRPr="00FF2BF7">
              <w:rPr>
                <w:iCs/>
              </w:rPr>
              <w:t xml:space="preserve"> ir izdarīti grozījumi, kas stājās spēkā 2012.gada 1.janvārī. Meža likumā termins „meža zemes transformācija” ir aizstāts ar terminu „atmežošana”. Meža likuma 41.panta pirmajā daļā ir noteikts, ka platību atmežo, ja tas nepieciešams būvniecībai, </w:t>
            </w:r>
            <w:r w:rsidRPr="00FF2BF7">
              <w:rPr>
                <w:iCs/>
                <w:u w:val="single"/>
              </w:rPr>
              <w:t>derīgo izrakteņu ieguvei</w:t>
            </w:r>
            <w:r w:rsidRPr="00FF2BF7">
              <w:rPr>
                <w:iCs/>
              </w:rPr>
              <w:t xml:space="preserve">,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seku novēršanu saistītos izdevumus. </w:t>
            </w:r>
          </w:p>
          <w:p w:rsidR="009A7831" w:rsidRPr="00B75845" w:rsidRDefault="009A7831" w:rsidP="000326B0">
            <w:pPr>
              <w:pStyle w:val="NormalWeb"/>
              <w:spacing w:before="0" w:beforeAutospacing="0" w:after="120" w:afterAutospacing="0"/>
              <w:jc w:val="both"/>
              <w:rPr>
                <w:color w:val="7030A0"/>
                <w:szCs w:val="24"/>
              </w:rPr>
            </w:pPr>
            <w:r w:rsidRPr="00B75845">
              <w:rPr>
                <w:iCs/>
                <w:szCs w:val="24"/>
              </w:rPr>
              <w:t xml:space="preserve">Zemkopības ministrija uzskata, ka likumā par </w:t>
            </w:r>
            <w:r w:rsidRPr="00B75845">
              <w:rPr>
                <w:szCs w:val="24"/>
              </w:rPr>
              <w:t xml:space="preserve">„Par zemes dzīlēm” ir nepieciešama skaidra norāde, ka veicot derīgo izrakteņu ieguvi mežā, personai ir jākompensē </w:t>
            </w:r>
            <w:r w:rsidRPr="00B75845">
              <w:rPr>
                <w:iCs/>
                <w:szCs w:val="24"/>
              </w:rPr>
              <w:t>valstij ar atmežošanas izraisīto negatīvo seku novēršanu saistītos izdevumus.</w:t>
            </w:r>
          </w:p>
          <w:p w:rsidR="009A7831" w:rsidRDefault="009A7831" w:rsidP="006D2AEE">
            <w:pPr>
              <w:autoSpaceDE w:val="0"/>
              <w:autoSpaceDN w:val="0"/>
              <w:adjustRightInd w:val="0"/>
              <w:spacing w:after="120"/>
              <w:jc w:val="both"/>
            </w:pPr>
            <w:r>
              <w:t>6.</w:t>
            </w:r>
            <w:r w:rsidRPr="002665BC">
              <w:t xml:space="preserve"> </w:t>
            </w:r>
            <w:r>
              <w:t xml:space="preserve">Pildot </w:t>
            </w:r>
            <w:r w:rsidRPr="00064611">
              <w:t>likuma „Par zemes dzīlēm</w:t>
            </w:r>
            <w:r>
              <w:t>”</w:t>
            </w:r>
            <w:r w:rsidRPr="00064611">
              <w:t xml:space="preserve"> 23.panta ceturto daļu, kas nosaka, ka ģeoloģiskās informācijas sistēmas saturu un izmantošanas noteikum</w:t>
            </w:r>
            <w:r>
              <w:t xml:space="preserve">us reglamentē Ministru kabinets, </w:t>
            </w:r>
            <w:smartTag w:uri="urn:schemas-microsoft-com:office:smarttags" w:element="PersonName">
              <w:r>
                <w:t>VARAM</w:t>
              </w:r>
            </w:smartTag>
            <w:r>
              <w:t xml:space="preserve"> izstrādāja MK noteikumu projektu </w:t>
            </w:r>
            <w:r w:rsidRPr="00CC77A9">
              <w:t>„Noteikumi par ģeoloģiskās informācijas sistēmu</w:t>
            </w:r>
            <w:r>
              <w:t>” (VSS-109). Noteikumu projektā, līdzīgi kā tas bija l</w:t>
            </w:r>
            <w:r w:rsidRPr="00064611">
              <w:t xml:space="preserve">īdz 2011.gada </w:t>
            </w:r>
            <w:r>
              <w:t>1</w:t>
            </w:r>
            <w:r w:rsidRPr="00064611">
              <w:t xml:space="preserve">.septembrim, kad </w:t>
            </w:r>
            <w:r>
              <w:t xml:space="preserve">bija spēkā </w:t>
            </w:r>
            <w:r w:rsidRPr="00064611">
              <w:t xml:space="preserve">Ministru kabineta 2007.gada 24.aprīļa noteikumi Nr. 280 „Zemes dzīļu izmantošanas licenču un bieži sastopamo derīgo izrakteņu ieguves atļauju izsniegšanas un ģeoloģiskās informācijas </w:t>
            </w:r>
            <w:r>
              <w:t xml:space="preserve">izmantošanas vispārīgā kārtība”, tika iekļautas normas par ierobežotas pieejamības statusa noteikšanu ģeoloģiskajai informācijai. Šīs normas paredzēja, ka ģeoloģiskajai informācijai var noteikt ierobežotas pieejamības statusu uz garāku termiņu, nekā noteikts Informācijas atklātības likumā. Noteikumu projekta saskaņošanas gaitā TM pauda viedokli, ka no Informācijas atklātības likuma atšķirīgus termiņus ierobežotas pieejamības informācijai ar MK noteikumiem noteikt nevar un, lai noteiktu informācijai ierobežotas pieejamības statusu, kas ilgāks par gadu, tas jānosaka likumā. </w:t>
            </w:r>
          </w:p>
          <w:p w:rsidR="009A7831" w:rsidRPr="002665BC" w:rsidRDefault="009A7831" w:rsidP="006D2AEE">
            <w:pPr>
              <w:autoSpaceDE w:val="0"/>
              <w:autoSpaceDN w:val="0"/>
              <w:adjustRightInd w:val="0"/>
              <w:spacing w:after="120"/>
              <w:jc w:val="both"/>
            </w:pPr>
            <w:r>
              <w:t xml:space="preserve">Ģeoloģiskās informācijas ieguve, īpaši ģeoloģiskās izpētes darbi jūrā, prasa lielus finanšu un citus resursus, tādēļ, lai nodrošinātu komersantu ieinteresētību veikt ģeoloģiskos pētījumus, ir būtiski noteikt saprātīgus termiņus informācijas pieejamībai. Noteikumu saskaņošanas gaitā komersanti, </w:t>
            </w:r>
            <w:r w:rsidRPr="009B2008">
              <w:t>kuriem izsniegtas licences ogļūdeņražu izpētei un ieguvei</w:t>
            </w:r>
            <w:r>
              <w:t xml:space="preserve"> (</w:t>
            </w:r>
            <w:r w:rsidRPr="009B2008">
              <w:t>SIA „Balin Energ</w:t>
            </w:r>
            <w:r>
              <w:t xml:space="preserve">y” un SIA „Odin Energi Latvija”) un </w:t>
            </w:r>
            <w:r w:rsidRPr="009B2008">
              <w:t>Lat</w:t>
            </w:r>
            <w:r>
              <w:t xml:space="preserve">vijas Vēja enerģijas asociācija uzsvēra, ka ir svarīgi nodrošināt komersantu ekonomiskās intereses, nosakot pietiekoši lielu termiņu ģeoloģiskās informācijas ierobežotas pieejamības statusam. </w:t>
            </w:r>
          </w:p>
        </w:tc>
      </w:tr>
      <w:tr w:rsidR="009A7831" w:rsidRPr="00380A54" w:rsidTr="00E116C7">
        <w:tc>
          <w:tcPr>
            <w:tcW w:w="2410" w:type="dxa"/>
          </w:tcPr>
          <w:p w:rsidR="009A7831" w:rsidRPr="00FF2BF7" w:rsidRDefault="009A7831" w:rsidP="00155A4D">
            <w:pPr>
              <w:pStyle w:val="Footer"/>
              <w:tabs>
                <w:tab w:val="clear" w:pos="4153"/>
                <w:tab w:val="clear" w:pos="8306"/>
              </w:tabs>
              <w:rPr>
                <w:rFonts w:ascii="Times New Roman" w:hAnsi="Times New Roman"/>
                <w:sz w:val="24"/>
                <w:szCs w:val="24"/>
                <w:lang w:eastAsia="en-US"/>
              </w:rPr>
            </w:pPr>
            <w:r w:rsidRPr="00FF2BF7">
              <w:rPr>
                <w:rFonts w:ascii="Times New Roman" w:hAnsi="Times New Roman"/>
                <w:sz w:val="24"/>
                <w:szCs w:val="24"/>
                <w:lang w:eastAsia="en-US"/>
              </w:rPr>
              <w:t>3. Saistītie politikas ietekmes novērtējumi un pētījumi</w:t>
            </w:r>
          </w:p>
        </w:tc>
        <w:tc>
          <w:tcPr>
            <w:tcW w:w="6946" w:type="dxa"/>
          </w:tcPr>
          <w:p w:rsidR="009A7831" w:rsidRPr="00380A54" w:rsidRDefault="009A7831" w:rsidP="008F510C">
            <w:pPr>
              <w:pStyle w:val="naiskr"/>
              <w:spacing w:before="0" w:after="120"/>
              <w:ind w:left="104" w:right="57"/>
              <w:jc w:val="both"/>
            </w:pPr>
            <w:r w:rsidRPr="00934DA1">
              <w:t>Informatīvais ziņojums „</w:t>
            </w:r>
            <w:r>
              <w:t>Par dabas resursu nodokļa piemērošanas praksi dabas resursu ieguvei Latvijā salīdzinājumā ar Igauniju un Lietuvu un izvērtējumu un priekšlikumiem par valsts ienākumiem ilgtermiņā saistībā ar dabas resursu izmantošanu</w:t>
            </w:r>
            <w:r w:rsidRPr="00934DA1">
              <w:t>”</w:t>
            </w:r>
            <w:r>
              <w:t>, kas</w:t>
            </w:r>
            <w:r w:rsidRPr="00934DA1">
              <w:t xml:space="preserve"> pieejams Valsts kancelejas Politikas plānošanas dokumentu datu bāzē: </w:t>
            </w:r>
            <w:hyperlink r:id="rId7" w:history="1">
              <w:r w:rsidRPr="00C759D8">
                <w:rPr>
                  <w:rStyle w:val="Hyperlink"/>
                  <w:lang w:eastAsia="lv-LV"/>
                </w:rPr>
                <w:t>http://polsis.mk.gov.lv/view.do?id=3810</w:t>
              </w:r>
            </w:hyperlink>
            <w:r>
              <w:t>.</w:t>
            </w:r>
          </w:p>
        </w:tc>
      </w:tr>
      <w:tr w:rsidR="009A7831" w:rsidRPr="00380A54" w:rsidTr="00E116C7">
        <w:tc>
          <w:tcPr>
            <w:tcW w:w="2410" w:type="dxa"/>
          </w:tcPr>
          <w:p w:rsidR="009A7831" w:rsidRPr="00FF2BF7" w:rsidRDefault="009A7831" w:rsidP="00155A4D">
            <w:pPr>
              <w:pStyle w:val="Footer"/>
              <w:tabs>
                <w:tab w:val="clear" w:pos="4153"/>
                <w:tab w:val="clear" w:pos="8306"/>
              </w:tabs>
              <w:rPr>
                <w:rFonts w:ascii="Times New Roman" w:hAnsi="Times New Roman"/>
                <w:sz w:val="24"/>
                <w:szCs w:val="24"/>
                <w:lang w:eastAsia="en-US"/>
              </w:rPr>
            </w:pPr>
            <w:r w:rsidRPr="00FF2BF7">
              <w:rPr>
                <w:rFonts w:ascii="Times New Roman" w:hAnsi="Times New Roman"/>
                <w:sz w:val="24"/>
                <w:szCs w:val="24"/>
                <w:lang w:eastAsia="en-US"/>
              </w:rPr>
              <w:t>4. Tiesiskā regulējuma mērķis un būtība</w:t>
            </w:r>
          </w:p>
        </w:tc>
        <w:tc>
          <w:tcPr>
            <w:tcW w:w="6946" w:type="dxa"/>
          </w:tcPr>
          <w:p w:rsidR="009A7831" w:rsidRPr="00FF2BF7" w:rsidRDefault="009A7831" w:rsidP="00547907">
            <w:pPr>
              <w:pStyle w:val="BodyText"/>
              <w:spacing w:after="120"/>
              <w:jc w:val="both"/>
              <w:rPr>
                <w:b w:val="0"/>
                <w:sz w:val="24"/>
                <w:szCs w:val="24"/>
              </w:rPr>
            </w:pPr>
            <w:r w:rsidRPr="00FF2BF7">
              <w:rPr>
                <w:b w:val="0"/>
                <w:sz w:val="24"/>
                <w:szCs w:val="24"/>
              </w:rPr>
              <w:t xml:space="preserve">Likumprojekta mērķi ir: </w:t>
            </w:r>
          </w:p>
          <w:p w:rsidR="009A7831" w:rsidRDefault="009A7831" w:rsidP="00547907">
            <w:pPr>
              <w:spacing w:after="120"/>
              <w:ind w:right="143"/>
              <w:jc w:val="both"/>
            </w:pPr>
            <w:r>
              <w:t>1)</w:t>
            </w:r>
            <w:r w:rsidRPr="003D37C2">
              <w:t xml:space="preserve"> </w:t>
            </w:r>
            <w:r>
              <w:t>L</w:t>
            </w:r>
            <w:r w:rsidRPr="003D37C2">
              <w:t>ai nedublētu tiesību normas ar</w:t>
            </w:r>
            <w:r>
              <w:t xml:space="preserve"> likumprojektu „</w:t>
            </w:r>
            <w:r w:rsidRPr="003D37C2">
              <w:t>Zemes pārvaldības likum</w:t>
            </w:r>
            <w:r>
              <w:t>s”, terminu „</w:t>
            </w:r>
            <w:r w:rsidRPr="003D37C2">
              <w:t>augsne</w:t>
            </w:r>
            <w:r>
              <w:t>” papildināt ar vārdiem „šī likuma izpratnē”. N</w:t>
            </w:r>
            <w:r w:rsidRPr="00C30FBE">
              <w:t>oteikt, ka termin</w:t>
            </w:r>
            <w:r>
              <w:t>a</w:t>
            </w:r>
            <w:r w:rsidRPr="00C30FBE">
              <w:t xml:space="preserve"> „augsne” </w:t>
            </w:r>
            <w:r>
              <w:t xml:space="preserve">precizējums stājas spēkā </w:t>
            </w:r>
            <w:r w:rsidRPr="00C30FBE">
              <w:t>vienlaikus ar Zemes pārvaldības likuma spēkā stāšanos.</w:t>
            </w:r>
          </w:p>
          <w:p w:rsidR="009A7831" w:rsidRPr="00B33FC7" w:rsidRDefault="009A7831" w:rsidP="00547907">
            <w:pPr>
              <w:spacing w:after="120"/>
              <w:ind w:right="143"/>
              <w:jc w:val="both"/>
            </w:pPr>
            <w:r w:rsidRPr="00B33FC7">
              <w:t xml:space="preserve">2) Papildināt likumu ar terminiem, kas nepieciešami ogļūdeņražu meklēšanas, izpētes un ieguves reglamentēšanai. </w:t>
            </w:r>
          </w:p>
          <w:p w:rsidR="009A7831" w:rsidRPr="00FF2BF7" w:rsidRDefault="009A7831" w:rsidP="00547907">
            <w:pPr>
              <w:pStyle w:val="BodyText"/>
              <w:spacing w:after="120"/>
              <w:jc w:val="both"/>
              <w:rPr>
                <w:b w:val="0"/>
                <w:sz w:val="24"/>
                <w:szCs w:val="24"/>
              </w:rPr>
            </w:pPr>
            <w:r w:rsidRPr="00FF2BF7">
              <w:rPr>
                <w:b w:val="0"/>
                <w:sz w:val="24"/>
                <w:szCs w:val="24"/>
              </w:rPr>
              <w:t xml:space="preserve">3) Noteikt Ministru kabinetam deleģējumu izstrādāt derīgo izrakteņu ieguves kārtību. </w:t>
            </w:r>
          </w:p>
          <w:p w:rsidR="009A7831" w:rsidRPr="00FF2BF7" w:rsidRDefault="009A7831" w:rsidP="00547907">
            <w:pPr>
              <w:pStyle w:val="BodyText"/>
              <w:spacing w:after="120"/>
              <w:jc w:val="both"/>
              <w:rPr>
                <w:b w:val="0"/>
                <w:sz w:val="24"/>
                <w:szCs w:val="24"/>
              </w:rPr>
            </w:pPr>
            <w:r w:rsidRPr="00FF2BF7">
              <w:rPr>
                <w:b w:val="0"/>
                <w:sz w:val="24"/>
                <w:szCs w:val="24"/>
              </w:rPr>
              <w:t>4) Noteikt</w:t>
            </w:r>
            <w:r w:rsidRPr="00FF2BF7">
              <w:rPr>
                <w:sz w:val="28"/>
              </w:rPr>
              <w:t xml:space="preserve"> </w:t>
            </w:r>
            <w:r w:rsidRPr="00FF2BF7">
              <w:rPr>
                <w:b w:val="0"/>
                <w:sz w:val="24"/>
                <w:szCs w:val="24"/>
              </w:rPr>
              <w:t xml:space="preserve">Ministru kabinetam deleģējumu noteikt zemes nomas maksas aprēķināšanas kārtību, ja publiska persona iznomā zemi </w:t>
            </w:r>
            <w:r w:rsidRPr="005F2DC8">
              <w:rPr>
                <w:b w:val="0"/>
                <w:sz w:val="24"/>
                <w:szCs w:val="24"/>
              </w:rPr>
              <w:t xml:space="preserve">zemes dzīļu izmantošanai. </w:t>
            </w:r>
          </w:p>
          <w:p w:rsidR="009A7831" w:rsidRPr="005F2DC8" w:rsidRDefault="009A7831" w:rsidP="005F2DC8">
            <w:pPr>
              <w:pStyle w:val="Heading4"/>
              <w:spacing w:before="0" w:beforeAutospacing="0" w:after="120" w:afterAutospacing="0"/>
              <w:jc w:val="both"/>
              <w:rPr>
                <w:b w:val="0"/>
                <w:color w:val="99CC00"/>
              </w:rPr>
            </w:pPr>
            <w:r>
              <w:rPr>
                <w:b w:val="0"/>
              </w:rPr>
              <w:t>5</w:t>
            </w:r>
            <w:r w:rsidRPr="005F2DC8">
              <w:rPr>
                <w:b w:val="0"/>
              </w:rPr>
              <w:t>) Aizstāt vārdus „zemes transformāciju” ar vārdiem „zemes lietošanas kategorijas maiņu”.</w:t>
            </w:r>
          </w:p>
          <w:p w:rsidR="009A7831" w:rsidRPr="00FF2BF7" w:rsidRDefault="009A7831" w:rsidP="00547907">
            <w:pPr>
              <w:pStyle w:val="BodyText"/>
              <w:spacing w:after="120"/>
              <w:jc w:val="both"/>
              <w:rPr>
                <w:b w:val="0"/>
                <w:iCs/>
                <w:sz w:val="24"/>
                <w:szCs w:val="24"/>
              </w:rPr>
            </w:pPr>
            <w:r>
              <w:rPr>
                <w:b w:val="0"/>
                <w:iCs/>
                <w:sz w:val="24"/>
                <w:szCs w:val="24"/>
              </w:rPr>
              <w:t>6</w:t>
            </w:r>
            <w:r w:rsidRPr="00FF2BF7">
              <w:rPr>
                <w:b w:val="0"/>
                <w:iCs/>
                <w:sz w:val="24"/>
                <w:szCs w:val="24"/>
              </w:rPr>
              <w:t xml:space="preserve">) Aizstāt terminu „meža zemes transformācija” ar terminu „atmežošana”. </w:t>
            </w:r>
          </w:p>
          <w:p w:rsidR="009A7831" w:rsidRPr="00B75845" w:rsidRDefault="009A7831" w:rsidP="000326B0">
            <w:pPr>
              <w:pStyle w:val="NormalWeb"/>
              <w:spacing w:before="0" w:beforeAutospacing="0" w:after="120" w:afterAutospacing="0"/>
              <w:jc w:val="both"/>
              <w:rPr>
                <w:color w:val="7030A0"/>
                <w:szCs w:val="24"/>
              </w:rPr>
            </w:pPr>
            <w:r w:rsidRPr="00B75845">
              <w:rPr>
                <w:szCs w:val="24"/>
              </w:rPr>
              <w:t xml:space="preserve">7) Noteikt, ka veicot derīgo izrakteņu ieguvi mežā, personai ir jākompensē </w:t>
            </w:r>
            <w:r w:rsidRPr="00B75845">
              <w:rPr>
                <w:iCs/>
                <w:szCs w:val="24"/>
              </w:rPr>
              <w:t>valstij ar atmežošanas izraisīto negatīvo seku novēršanu saistītos izdevumus.</w:t>
            </w:r>
          </w:p>
          <w:p w:rsidR="009A7831" w:rsidRPr="009F6DD2" w:rsidRDefault="009A7831" w:rsidP="003D4502">
            <w:pPr>
              <w:pStyle w:val="NoSpacing"/>
              <w:spacing w:after="120"/>
              <w:jc w:val="both"/>
              <w:rPr>
                <w:b/>
                <w:lang w:val="lv-LV"/>
              </w:rPr>
            </w:pPr>
            <w:r>
              <w:rPr>
                <w:rFonts w:ascii="Times New Roman" w:hAnsi="Times New Roman"/>
                <w:lang w:val="lv-LV"/>
              </w:rPr>
              <w:t>8</w:t>
            </w:r>
            <w:r w:rsidRPr="00973F5D">
              <w:rPr>
                <w:rFonts w:ascii="Times New Roman" w:hAnsi="Times New Roman"/>
                <w:lang w:val="lv-LV"/>
              </w:rPr>
              <w:t>) Noteikt termiņu, uz kādu ģeoloģiskās informācijas sistēmā esošajai informācijai var noteikt ierobežotas pieejamības statusu (pieci, desmit gadi, licences darbības termiņš</w:t>
            </w:r>
            <w:r>
              <w:rPr>
                <w:rFonts w:ascii="Times New Roman" w:hAnsi="Times New Roman"/>
                <w:lang w:val="lv-LV"/>
              </w:rPr>
              <w:t xml:space="preserve">). </w:t>
            </w:r>
            <w:r w:rsidRPr="009F6DD2">
              <w:rPr>
                <w:rFonts w:ascii="Times New Roman" w:hAnsi="Times New Roman"/>
                <w:lang w:val="lv-LV"/>
              </w:rPr>
              <w:t xml:space="preserve">Komersanti ir ieinteresēti ģeoloģiskajai informācijai nodrošināt ilgstošu aizsardzību. Īpaši tas attiecas uz ogļūdeņražu meklēšanā, izpētē un ieguvē jūrā iegūto informāciju, jo šo darbu izmaksas ir ļoti lielas. Lai veicinātu kandidātu interesi turpmākajos licencēšanas konkursos noteikts, ka ģeoloģiskajai informācijai ierobežotas pieejamības statuss ir spēkā visu zemes dzīļu izmantošanas licences darbības laiku. Savukārt, uz sauszemes iegūtajai ģeoloģiskajai informācijai par ogļūdeņražiem ierobežotas pieejamības statuss var būt spēkā līdz desmit gadiem. Pārējai ģeoloģiskajai informācijai </w:t>
            </w:r>
            <w:r w:rsidRPr="009F6DD2">
              <w:rPr>
                <w:sz w:val="28"/>
                <w:szCs w:val="28"/>
                <w:lang w:val="lv-LV"/>
              </w:rPr>
              <w:t>i</w:t>
            </w:r>
            <w:r w:rsidRPr="009F6DD2">
              <w:rPr>
                <w:rFonts w:ascii="Times New Roman" w:hAnsi="Times New Roman"/>
                <w:lang w:val="lv-LV"/>
              </w:rPr>
              <w:t xml:space="preserve">erobežotas pieejamības statusu var noteikt līdz pieciem gadiem, ja informācijas īpašnieks to vēlas. </w:t>
            </w:r>
          </w:p>
        </w:tc>
      </w:tr>
      <w:tr w:rsidR="009A7831" w:rsidRPr="00380A54" w:rsidTr="00E116C7">
        <w:tc>
          <w:tcPr>
            <w:tcW w:w="2410" w:type="dxa"/>
          </w:tcPr>
          <w:p w:rsidR="009A7831" w:rsidRPr="00FF2BF7" w:rsidRDefault="009A7831" w:rsidP="00155A4D">
            <w:pPr>
              <w:pStyle w:val="Footer"/>
              <w:tabs>
                <w:tab w:val="clear" w:pos="4153"/>
                <w:tab w:val="clear" w:pos="8306"/>
              </w:tabs>
              <w:rPr>
                <w:rFonts w:ascii="Times New Roman" w:hAnsi="Times New Roman"/>
                <w:sz w:val="24"/>
                <w:szCs w:val="24"/>
                <w:lang w:eastAsia="en-US"/>
              </w:rPr>
            </w:pPr>
            <w:r w:rsidRPr="00FF2BF7">
              <w:rPr>
                <w:rFonts w:ascii="Times New Roman" w:hAnsi="Times New Roman"/>
                <w:sz w:val="24"/>
                <w:szCs w:val="24"/>
                <w:lang w:eastAsia="en-US"/>
              </w:rPr>
              <w:t>5. Projekta izstrādē iesaistītās institūcijas</w:t>
            </w:r>
          </w:p>
        </w:tc>
        <w:tc>
          <w:tcPr>
            <w:tcW w:w="6946" w:type="dxa"/>
          </w:tcPr>
          <w:p w:rsidR="009A7831" w:rsidRPr="00380A54" w:rsidRDefault="009A7831" w:rsidP="000826C0">
            <w:pPr>
              <w:ind w:firstLine="125"/>
              <w:jc w:val="both"/>
            </w:pPr>
            <w:r>
              <w:t xml:space="preserve">Vides aizsardzības un reģionālās attīstības ministrija, Finanšu ministrija, Tieslietu ministrija un Valsts zemes dienests (par nomas maksas noteikšanu), Ekonomikas ministrija (par terminiem attiecībā uz ogļūdeņražiem). </w:t>
            </w:r>
          </w:p>
        </w:tc>
      </w:tr>
      <w:tr w:rsidR="009A7831" w:rsidRPr="00380A54" w:rsidTr="00E116C7">
        <w:tc>
          <w:tcPr>
            <w:tcW w:w="2410" w:type="dxa"/>
          </w:tcPr>
          <w:p w:rsidR="009A7831" w:rsidRPr="00FF2BF7" w:rsidRDefault="009A7831" w:rsidP="00155A4D">
            <w:pPr>
              <w:pStyle w:val="Footer"/>
              <w:tabs>
                <w:tab w:val="clear" w:pos="4153"/>
                <w:tab w:val="clear" w:pos="8306"/>
              </w:tabs>
              <w:rPr>
                <w:rFonts w:ascii="Times New Roman" w:hAnsi="Times New Roman"/>
                <w:sz w:val="24"/>
                <w:szCs w:val="24"/>
                <w:lang w:eastAsia="en-US"/>
              </w:rPr>
            </w:pPr>
            <w:r w:rsidRPr="00FF2BF7">
              <w:rPr>
                <w:rFonts w:ascii="Times New Roman" w:hAnsi="Times New Roman"/>
                <w:sz w:val="24"/>
                <w:szCs w:val="24"/>
                <w:lang w:eastAsia="en-US"/>
              </w:rPr>
              <w:t>6. Iemesli, kādēļ netika nodrošināta sabiedrības līdzdalība</w:t>
            </w:r>
          </w:p>
        </w:tc>
        <w:tc>
          <w:tcPr>
            <w:tcW w:w="6946" w:type="dxa"/>
          </w:tcPr>
          <w:p w:rsidR="009A7831" w:rsidRPr="001B758B" w:rsidRDefault="009A7831" w:rsidP="00C13450">
            <w:pPr>
              <w:pStyle w:val="Footer"/>
              <w:tabs>
                <w:tab w:val="clear" w:pos="4153"/>
                <w:tab w:val="clear" w:pos="8306"/>
              </w:tabs>
              <w:jc w:val="both"/>
              <w:rPr>
                <w:rFonts w:ascii="Times New Roman" w:hAnsi="Times New Roman"/>
                <w:sz w:val="24"/>
                <w:szCs w:val="24"/>
                <w:lang w:eastAsia="en-US"/>
              </w:rPr>
            </w:pPr>
            <w:r w:rsidRPr="001B758B">
              <w:rPr>
                <w:rFonts w:ascii="Times New Roman" w:hAnsi="Times New Roman"/>
                <w:sz w:val="24"/>
                <w:szCs w:val="24"/>
              </w:rPr>
              <w:t>Sabiedrības līdzdalība tika nodrošināta</w:t>
            </w:r>
          </w:p>
        </w:tc>
      </w:tr>
      <w:tr w:rsidR="009A7831" w:rsidRPr="00380A54" w:rsidTr="00E116C7">
        <w:tc>
          <w:tcPr>
            <w:tcW w:w="2410" w:type="dxa"/>
          </w:tcPr>
          <w:p w:rsidR="009A7831" w:rsidRPr="00FF2BF7" w:rsidRDefault="009A7831" w:rsidP="00155A4D">
            <w:pPr>
              <w:pStyle w:val="Footer"/>
              <w:tabs>
                <w:tab w:val="clear" w:pos="4153"/>
                <w:tab w:val="clear" w:pos="8306"/>
              </w:tabs>
              <w:rPr>
                <w:rFonts w:ascii="Times New Roman" w:hAnsi="Times New Roman"/>
                <w:sz w:val="24"/>
                <w:szCs w:val="24"/>
                <w:lang w:eastAsia="en-US"/>
              </w:rPr>
            </w:pPr>
            <w:r w:rsidRPr="00FF2BF7">
              <w:rPr>
                <w:rFonts w:ascii="Times New Roman" w:hAnsi="Times New Roman"/>
                <w:sz w:val="24"/>
                <w:szCs w:val="24"/>
                <w:lang w:eastAsia="en-US"/>
              </w:rPr>
              <w:t>7. Cita informācija</w:t>
            </w:r>
          </w:p>
        </w:tc>
        <w:tc>
          <w:tcPr>
            <w:tcW w:w="6946" w:type="dxa"/>
          </w:tcPr>
          <w:p w:rsidR="009A7831" w:rsidRDefault="009A7831" w:rsidP="00155A4D">
            <w:r>
              <w:t xml:space="preserve"> N</w:t>
            </w:r>
            <w:r w:rsidRPr="00380A54">
              <w:t>av.</w:t>
            </w:r>
          </w:p>
          <w:p w:rsidR="009A7831" w:rsidRPr="00380A54" w:rsidRDefault="009A7831" w:rsidP="00155A4D"/>
        </w:tc>
      </w:tr>
      <w:tr w:rsidR="009A7831" w:rsidRPr="00380A54" w:rsidTr="00E116C7">
        <w:tc>
          <w:tcPr>
            <w:tcW w:w="9356" w:type="dxa"/>
            <w:gridSpan w:val="2"/>
            <w:tcBorders>
              <w:bottom w:val="nil"/>
            </w:tcBorders>
          </w:tcPr>
          <w:p w:rsidR="009A7831" w:rsidRPr="00380A54" w:rsidRDefault="009A7831" w:rsidP="00E116C7">
            <w:pPr>
              <w:jc w:val="center"/>
              <w:rPr>
                <w:b/>
              </w:rPr>
            </w:pPr>
            <w:r w:rsidRPr="00380A54">
              <w:br w:type="page"/>
            </w:r>
            <w:r w:rsidRPr="00380A54">
              <w:br w:type="page"/>
            </w:r>
            <w:r w:rsidRPr="00380A54">
              <w:rPr>
                <w:b/>
              </w:rPr>
              <w:t xml:space="preserve">II. </w:t>
            </w:r>
            <w:r w:rsidRPr="00380A54">
              <w:rPr>
                <w:b/>
                <w:bCs/>
              </w:rPr>
              <w:t>Tiesību akta projekta ietekme uz sabiedrību</w:t>
            </w:r>
            <w:r>
              <w:rPr>
                <w:b/>
                <w:bCs/>
              </w:rPr>
              <w:t xml:space="preserve"> </w:t>
            </w:r>
          </w:p>
        </w:tc>
      </w:tr>
      <w:tr w:rsidR="009A7831" w:rsidRPr="00380A54" w:rsidTr="00547907">
        <w:tc>
          <w:tcPr>
            <w:tcW w:w="2410" w:type="dxa"/>
            <w:tcBorders>
              <w:right w:val="single" w:sz="4" w:space="0" w:color="auto"/>
            </w:tcBorders>
          </w:tcPr>
          <w:p w:rsidR="009A7831" w:rsidRPr="00380A54" w:rsidRDefault="009A7831" w:rsidP="00155A4D">
            <w:pPr>
              <w:ind w:left="284" w:hanging="284"/>
              <w:jc w:val="both"/>
            </w:pPr>
            <w:r w:rsidRPr="00380A54">
              <w:t xml:space="preserve">1. Sabiedrības mērķgrupa </w:t>
            </w:r>
          </w:p>
        </w:tc>
        <w:tc>
          <w:tcPr>
            <w:tcW w:w="6946" w:type="dxa"/>
            <w:tcBorders>
              <w:left w:val="single" w:sz="4" w:space="0" w:color="auto"/>
            </w:tcBorders>
          </w:tcPr>
          <w:p w:rsidR="009A7831" w:rsidRDefault="009A7831" w:rsidP="00A21633">
            <w:pPr>
              <w:ind w:firstLine="125"/>
              <w:jc w:val="both"/>
            </w:pPr>
            <w:r>
              <w:t xml:space="preserve">Publiskās personas, kuras iznomā tās īpašumā vai valdījumā esošus zemesgabalus, kā arī personas, kuras pēc grozījumu noteikumos Nr. 735 spēkā stāšanās noslēgs zemes nomas līgumu par publiskai personai piederošu zemi zemes dzīļu izmantošanai. </w:t>
            </w:r>
          </w:p>
          <w:p w:rsidR="009A7831" w:rsidRDefault="009A7831" w:rsidP="00A741F3">
            <w:pPr>
              <w:jc w:val="both"/>
            </w:pPr>
            <w:r w:rsidRPr="007F0AA6">
              <w:t>Iestādes, komersanti un privātpersonas,</w:t>
            </w:r>
            <w:r>
              <w:t xml:space="preserve"> kam nepieciešama informācija par augsni vai zemes dzīlēm, vai</w:t>
            </w:r>
            <w:r w:rsidRPr="007F0AA6">
              <w:t xml:space="preserve"> kas pasūta </w:t>
            </w:r>
            <w:r>
              <w:t xml:space="preserve">vai veic ar </w:t>
            </w:r>
            <w:r w:rsidRPr="007F0AA6">
              <w:t>zemes dzīļu izm</w:t>
            </w:r>
            <w:r>
              <w:t>antošanu saistītus</w:t>
            </w:r>
            <w:r w:rsidRPr="007F0AA6">
              <w:t xml:space="preserve"> </w:t>
            </w:r>
            <w:r>
              <w:t xml:space="preserve">darbus, ģeoloģiskās informācijas īpašnieki. </w:t>
            </w:r>
          </w:p>
          <w:p w:rsidR="009A7831" w:rsidRPr="007F0AA6" w:rsidRDefault="009A7831" w:rsidP="00A741F3">
            <w:pPr>
              <w:jc w:val="both"/>
            </w:pPr>
            <w:r>
              <w:t xml:space="preserve">Mērķgrupas aptuveno lielumu nav iespējams noteikt, jo pašreiz nav iespējams prognozēt, cik publisko tiesību subjekti iznomās un cik privāto tiesību subjekti reāli noslēgs zemes nomas </w:t>
            </w:r>
            <w:r w:rsidRPr="00A21633">
              <w:t>līgumus ar mērķi nomāt zemes</w:t>
            </w:r>
            <w:r>
              <w:t xml:space="preserve"> dzīles.</w:t>
            </w:r>
          </w:p>
        </w:tc>
      </w:tr>
      <w:tr w:rsidR="009A7831" w:rsidRPr="00380A54" w:rsidTr="00547907">
        <w:tc>
          <w:tcPr>
            <w:tcW w:w="2410" w:type="dxa"/>
            <w:tcBorders>
              <w:right w:val="single" w:sz="4" w:space="0" w:color="auto"/>
            </w:tcBorders>
          </w:tcPr>
          <w:p w:rsidR="009A7831" w:rsidRPr="00380A54" w:rsidRDefault="009A7831" w:rsidP="00155A4D">
            <w:pPr>
              <w:jc w:val="both"/>
            </w:pPr>
            <w:r w:rsidRPr="00380A54">
              <w:t>2. Citas sabiedrības grupas (bez mērķgrupas), kuras tiesiskais regulējums arī ietekmē vai varētu ietekmēt</w:t>
            </w:r>
          </w:p>
        </w:tc>
        <w:tc>
          <w:tcPr>
            <w:tcW w:w="6946" w:type="dxa"/>
            <w:tcBorders>
              <w:left w:val="single" w:sz="4" w:space="0" w:color="auto"/>
            </w:tcBorders>
          </w:tcPr>
          <w:p w:rsidR="009A7831" w:rsidRPr="00380A54" w:rsidRDefault="009A7831" w:rsidP="00A21633">
            <w:pPr>
              <w:jc w:val="both"/>
            </w:pPr>
            <w:r>
              <w:t xml:space="preserve">Zinātniskās un izglītības iestādes; sabiedriskās organizācijas, kas interesējas par zemes dzīļu izmantošanas jautājumiem. </w:t>
            </w:r>
          </w:p>
        </w:tc>
      </w:tr>
      <w:tr w:rsidR="009A7831" w:rsidRPr="00380A54" w:rsidTr="00547907">
        <w:tc>
          <w:tcPr>
            <w:tcW w:w="2410" w:type="dxa"/>
          </w:tcPr>
          <w:p w:rsidR="009A7831" w:rsidRPr="00380A54" w:rsidRDefault="009A7831" w:rsidP="00155A4D">
            <w:pPr>
              <w:pStyle w:val="naiskr"/>
              <w:spacing w:before="0" w:after="0"/>
              <w:jc w:val="both"/>
            </w:pPr>
            <w:r w:rsidRPr="00380A54">
              <w:t>3. Tiesiskā regulējuma finansiālā ietekme</w:t>
            </w:r>
          </w:p>
        </w:tc>
        <w:tc>
          <w:tcPr>
            <w:tcW w:w="6946" w:type="dxa"/>
          </w:tcPr>
          <w:p w:rsidR="009A7831" w:rsidRDefault="009A7831" w:rsidP="00A741F3">
            <w:pPr>
              <w:jc w:val="both"/>
            </w:pPr>
            <w:r>
              <w:t>Nosakot lielāku nomas maksu zemesgabaliem, kas tiek iznomāti zemes dzīļu izmantošanai, prognozējams, ka publiskām personām palielinās ienākumi no attiecīgu zemesgabalu iznomāšanas, tādējādi iegūstot adekvātu samaksu par publiskas personas īpašumā esošajiem resursiem.</w:t>
            </w:r>
          </w:p>
          <w:p w:rsidR="009A7831" w:rsidRPr="00F57A5D" w:rsidRDefault="009A7831" w:rsidP="00A741F3">
            <w:pPr>
              <w:jc w:val="both"/>
            </w:pPr>
            <w:r>
              <w:t>Savukārt potenciālajiem publiskas personas zemes nomniekiem, ja to mērķis būs attiecīgā zemesgabalā izmantot zemes dzīles, palielināsies izdevumi par zemes nomas maksu. Taču maksātā nomas maksa būs adekvāta tam, kādu labumu nomnieks iegūs izmantojot zemes dzīles.</w:t>
            </w:r>
          </w:p>
        </w:tc>
      </w:tr>
      <w:tr w:rsidR="009A7831" w:rsidRPr="00380A54" w:rsidTr="00547907">
        <w:trPr>
          <w:trHeight w:val="174"/>
        </w:trPr>
        <w:tc>
          <w:tcPr>
            <w:tcW w:w="2410" w:type="dxa"/>
          </w:tcPr>
          <w:p w:rsidR="009A7831" w:rsidRPr="00FF2BF7" w:rsidRDefault="009A7831" w:rsidP="00155A4D">
            <w:pPr>
              <w:pStyle w:val="Footer"/>
              <w:tabs>
                <w:tab w:val="clear" w:pos="4153"/>
                <w:tab w:val="clear" w:pos="8306"/>
              </w:tabs>
              <w:rPr>
                <w:rFonts w:ascii="Times New Roman" w:hAnsi="Times New Roman"/>
                <w:sz w:val="24"/>
                <w:szCs w:val="24"/>
                <w:lang w:eastAsia="en-US"/>
              </w:rPr>
            </w:pPr>
            <w:r w:rsidRPr="00FF2BF7">
              <w:rPr>
                <w:rFonts w:ascii="Times New Roman" w:hAnsi="Times New Roman"/>
                <w:sz w:val="24"/>
                <w:szCs w:val="24"/>
                <w:lang w:eastAsia="en-US"/>
              </w:rPr>
              <w:t>4. Tiesiskā regulējuma nefinansiālā ietekme</w:t>
            </w:r>
          </w:p>
        </w:tc>
        <w:tc>
          <w:tcPr>
            <w:tcW w:w="6946" w:type="dxa"/>
          </w:tcPr>
          <w:p w:rsidR="009A7831" w:rsidRPr="00FF2BF7" w:rsidRDefault="009A7831" w:rsidP="00A21633">
            <w:pPr>
              <w:pStyle w:val="Footer"/>
              <w:tabs>
                <w:tab w:val="clear" w:pos="4153"/>
                <w:tab w:val="clear" w:pos="8306"/>
              </w:tabs>
              <w:jc w:val="both"/>
              <w:rPr>
                <w:rFonts w:ascii="Times New Roman" w:hAnsi="Times New Roman"/>
                <w:sz w:val="24"/>
                <w:szCs w:val="24"/>
                <w:lang w:eastAsia="en-US"/>
              </w:rPr>
            </w:pPr>
            <w:r w:rsidRPr="00FF2BF7">
              <w:rPr>
                <w:sz w:val="24"/>
                <w:szCs w:val="24"/>
                <w:lang w:eastAsia="en-US"/>
              </w:rPr>
              <w:t xml:space="preserve">Projekts </w:t>
            </w:r>
            <w:r w:rsidRPr="00FF2BF7">
              <w:rPr>
                <w:rFonts w:cs="RimTimes"/>
                <w:sz w:val="24"/>
                <w:szCs w:val="24"/>
                <w:lang w:eastAsia="en-US"/>
              </w:rPr>
              <w:t></w:t>
            </w:r>
            <w:r w:rsidRPr="00FF2BF7">
              <w:rPr>
                <w:sz w:val="24"/>
                <w:szCs w:val="24"/>
                <w:lang w:eastAsia="en-US"/>
              </w:rPr>
              <w:t>o jomu neskar</w:t>
            </w:r>
          </w:p>
        </w:tc>
      </w:tr>
      <w:tr w:rsidR="009A7831" w:rsidRPr="00380A54" w:rsidTr="00547907">
        <w:tc>
          <w:tcPr>
            <w:tcW w:w="2410" w:type="dxa"/>
          </w:tcPr>
          <w:p w:rsidR="009A7831" w:rsidRPr="00FF2BF7" w:rsidRDefault="009A7831" w:rsidP="00155A4D">
            <w:pPr>
              <w:pStyle w:val="Footer"/>
              <w:tabs>
                <w:tab w:val="clear" w:pos="4153"/>
                <w:tab w:val="clear" w:pos="8306"/>
              </w:tabs>
              <w:rPr>
                <w:rFonts w:ascii="Times New Roman" w:hAnsi="Times New Roman"/>
                <w:sz w:val="24"/>
                <w:szCs w:val="24"/>
                <w:lang w:eastAsia="en-US"/>
              </w:rPr>
            </w:pPr>
            <w:r w:rsidRPr="00FF2BF7">
              <w:rPr>
                <w:rFonts w:ascii="Times New Roman" w:hAnsi="Times New Roman"/>
                <w:sz w:val="24"/>
                <w:szCs w:val="24"/>
                <w:lang w:eastAsia="en-US"/>
              </w:rPr>
              <w:t>5. Administratīvās procedūras raksturojums</w:t>
            </w:r>
          </w:p>
        </w:tc>
        <w:tc>
          <w:tcPr>
            <w:tcW w:w="6946" w:type="dxa"/>
          </w:tcPr>
          <w:p w:rsidR="009A7831" w:rsidRPr="00380A54" w:rsidRDefault="009A7831" w:rsidP="00A21633">
            <w:pPr>
              <w:pStyle w:val="naisf"/>
              <w:ind w:firstLine="0"/>
              <w:rPr>
                <w:color w:val="92D050"/>
                <w:szCs w:val="28"/>
              </w:rPr>
            </w:pPr>
            <w:r>
              <w:t>Projekts šo jomu neskar</w:t>
            </w:r>
          </w:p>
        </w:tc>
      </w:tr>
      <w:tr w:rsidR="009A7831" w:rsidRPr="00380A54" w:rsidTr="00547907">
        <w:tc>
          <w:tcPr>
            <w:tcW w:w="2410" w:type="dxa"/>
          </w:tcPr>
          <w:p w:rsidR="009A7831" w:rsidRPr="00380A54" w:rsidRDefault="009A7831" w:rsidP="00155A4D">
            <w:pPr>
              <w:pStyle w:val="naiskr"/>
              <w:spacing w:before="0" w:after="0"/>
            </w:pPr>
            <w:r w:rsidRPr="00380A54">
              <w:t>6. Administratīvo izmaksu monetārs novērtējums</w:t>
            </w:r>
          </w:p>
        </w:tc>
        <w:tc>
          <w:tcPr>
            <w:tcW w:w="6946" w:type="dxa"/>
          </w:tcPr>
          <w:p w:rsidR="009A7831" w:rsidRPr="00380A54" w:rsidRDefault="009A7831" w:rsidP="00155A4D">
            <w:pPr>
              <w:rPr>
                <w:szCs w:val="28"/>
              </w:rPr>
            </w:pPr>
            <w:r>
              <w:t>Projekts šo jomu neskar.</w:t>
            </w:r>
          </w:p>
        </w:tc>
      </w:tr>
      <w:tr w:rsidR="009A7831" w:rsidRPr="00380A54" w:rsidTr="00547907">
        <w:tc>
          <w:tcPr>
            <w:tcW w:w="2410" w:type="dxa"/>
          </w:tcPr>
          <w:p w:rsidR="009A7831" w:rsidRPr="00380A54" w:rsidRDefault="009A7831" w:rsidP="00155A4D">
            <w:pPr>
              <w:pStyle w:val="naiskr"/>
              <w:spacing w:before="0" w:after="0"/>
            </w:pPr>
            <w:r w:rsidRPr="00380A54">
              <w:t>7. Cita informācija</w:t>
            </w:r>
          </w:p>
        </w:tc>
        <w:tc>
          <w:tcPr>
            <w:tcW w:w="6946" w:type="dxa"/>
          </w:tcPr>
          <w:p w:rsidR="009A7831" w:rsidRDefault="009A7831" w:rsidP="00155A4D">
            <w:pPr>
              <w:rPr>
                <w:szCs w:val="28"/>
              </w:rPr>
            </w:pPr>
            <w:r w:rsidRPr="00380A54">
              <w:rPr>
                <w:szCs w:val="28"/>
              </w:rPr>
              <w:t xml:space="preserve">Nav </w:t>
            </w:r>
          </w:p>
          <w:p w:rsidR="009A7831" w:rsidRPr="00380A54" w:rsidRDefault="009A7831" w:rsidP="00155A4D">
            <w:pPr>
              <w:rPr>
                <w:szCs w:val="28"/>
              </w:rPr>
            </w:pPr>
          </w:p>
        </w:tc>
      </w:tr>
    </w:tbl>
    <w:p w:rsidR="009A7831" w:rsidRPr="00054100" w:rsidRDefault="009A7831" w:rsidP="00054100">
      <w:pPr>
        <w:rPr>
          <w:vanish/>
        </w:rPr>
      </w:pPr>
    </w:p>
    <w:tbl>
      <w:tblPr>
        <w:tblpPr w:leftFromText="180" w:rightFromText="180" w:vertAnchor="text" w:horzAnchor="margin" w:tblpX="-118" w:tblpY="1"/>
        <w:tblOverlap w:val="never"/>
        <w:tblW w:w="9374"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0A0"/>
      </w:tblPr>
      <w:tblGrid>
        <w:gridCol w:w="6"/>
        <w:gridCol w:w="2833"/>
        <w:gridCol w:w="1226"/>
        <w:gridCol w:w="1429"/>
        <w:gridCol w:w="1258"/>
        <w:gridCol w:w="1258"/>
        <w:gridCol w:w="1364"/>
      </w:tblGrid>
      <w:tr w:rsidR="009A7831" w:rsidRPr="00380A54" w:rsidTr="00A5237B">
        <w:tc>
          <w:tcPr>
            <w:tcW w:w="9374" w:type="dxa"/>
            <w:gridSpan w:val="7"/>
            <w:tcBorders>
              <w:top w:val="outset" w:sz="6" w:space="0" w:color="auto"/>
              <w:bottom w:val="outset" w:sz="6" w:space="0" w:color="auto"/>
            </w:tcBorders>
          </w:tcPr>
          <w:p w:rsidR="009A7831" w:rsidRDefault="009A7831" w:rsidP="00E9224E">
            <w:pPr>
              <w:spacing w:before="100" w:beforeAutospacing="1" w:after="100" w:afterAutospacing="1"/>
              <w:rPr>
                <w:b/>
                <w:bCs/>
                <w:lang w:eastAsia="en-US"/>
              </w:rPr>
            </w:pPr>
          </w:p>
          <w:p w:rsidR="009A7831" w:rsidRDefault="009A7831" w:rsidP="00E9224E">
            <w:pPr>
              <w:spacing w:before="100" w:beforeAutospacing="1" w:after="100" w:afterAutospacing="1"/>
              <w:jc w:val="center"/>
              <w:rPr>
                <w:b/>
                <w:bCs/>
                <w:lang w:eastAsia="en-US"/>
              </w:rPr>
            </w:pPr>
            <w:r w:rsidRPr="00380A54">
              <w:rPr>
                <w:b/>
                <w:bCs/>
                <w:lang w:eastAsia="en-US"/>
              </w:rPr>
              <w:t>III. Tiesību akta projekta ietekme uz valsts budžetu un pašvaldību budžetiem</w:t>
            </w:r>
          </w:p>
          <w:p w:rsidR="009A7831" w:rsidRPr="00E9224E" w:rsidRDefault="009A7831" w:rsidP="00E9224E">
            <w:pPr>
              <w:spacing w:before="100" w:beforeAutospacing="1" w:after="100" w:afterAutospacing="1"/>
              <w:jc w:val="center"/>
              <w:rPr>
                <w:b/>
                <w:bCs/>
                <w:lang w:eastAsia="en-US"/>
              </w:rPr>
            </w:pPr>
          </w:p>
        </w:tc>
      </w:tr>
      <w:tr w:rsidR="009A7831" w:rsidRPr="00380A54" w:rsidTr="00A5237B">
        <w:tc>
          <w:tcPr>
            <w:tcW w:w="2839" w:type="dxa"/>
            <w:gridSpan w:val="2"/>
            <w:vMerge w:val="restart"/>
            <w:tcBorders>
              <w:top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b/>
                <w:bCs/>
                <w:lang w:eastAsia="en-US"/>
              </w:rPr>
              <w:t>Rādītāji</w:t>
            </w:r>
          </w:p>
        </w:tc>
        <w:tc>
          <w:tcPr>
            <w:tcW w:w="2655" w:type="dxa"/>
            <w:gridSpan w:val="2"/>
            <w:vMerge w:val="restart"/>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Pr>
                <w:b/>
                <w:bCs/>
                <w:lang w:eastAsia="en-US"/>
              </w:rPr>
              <w:t>2012.</w:t>
            </w:r>
            <w:r w:rsidRPr="00380A54">
              <w:rPr>
                <w:b/>
                <w:bCs/>
                <w:lang w:eastAsia="en-US"/>
              </w:rPr>
              <w:t>gads</w:t>
            </w:r>
          </w:p>
        </w:tc>
        <w:tc>
          <w:tcPr>
            <w:tcW w:w="3880" w:type="dxa"/>
            <w:gridSpan w:val="3"/>
            <w:tcBorders>
              <w:top w:val="outset" w:sz="6" w:space="0" w:color="auto"/>
              <w:left w:val="outset" w:sz="6" w:space="0" w:color="auto"/>
              <w:bottom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Turpmākie trīs gadi (tūkst. latu)</w:t>
            </w:r>
          </w:p>
        </w:tc>
      </w:tr>
      <w:tr w:rsidR="009A7831" w:rsidRPr="00380A54" w:rsidTr="00A5237B">
        <w:tc>
          <w:tcPr>
            <w:tcW w:w="2839" w:type="dxa"/>
            <w:gridSpan w:val="2"/>
            <w:vMerge/>
            <w:tcBorders>
              <w:top w:val="outset" w:sz="6" w:space="0" w:color="auto"/>
              <w:bottom w:val="outset" w:sz="6" w:space="0" w:color="auto"/>
              <w:right w:val="outset" w:sz="6" w:space="0" w:color="auto"/>
            </w:tcBorders>
            <w:vAlign w:val="center"/>
          </w:tcPr>
          <w:p w:rsidR="009A7831" w:rsidRPr="00380A54" w:rsidRDefault="009A7831" w:rsidP="00A741F3">
            <w:pPr>
              <w:rPr>
                <w:lang w:eastAsia="en-US"/>
              </w:rPr>
            </w:pPr>
          </w:p>
        </w:tc>
        <w:tc>
          <w:tcPr>
            <w:tcW w:w="2655" w:type="dxa"/>
            <w:gridSpan w:val="2"/>
            <w:vMerge/>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rPr>
                <w:lang w:eastAsia="en-US"/>
              </w:rPr>
            </w:pPr>
          </w:p>
        </w:tc>
        <w:tc>
          <w:tcPr>
            <w:tcW w:w="1258"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Pr>
                <w:b/>
                <w:bCs/>
                <w:lang w:eastAsia="en-US"/>
              </w:rPr>
              <w:t xml:space="preserve">2013.gads </w:t>
            </w:r>
          </w:p>
        </w:tc>
        <w:tc>
          <w:tcPr>
            <w:tcW w:w="1258"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Pr>
                <w:b/>
                <w:bCs/>
                <w:lang w:eastAsia="en-US"/>
              </w:rPr>
              <w:t xml:space="preserve">2014.gads </w:t>
            </w:r>
          </w:p>
        </w:tc>
        <w:tc>
          <w:tcPr>
            <w:tcW w:w="1364" w:type="dxa"/>
            <w:tcBorders>
              <w:top w:val="outset" w:sz="6" w:space="0" w:color="auto"/>
              <w:left w:val="outset" w:sz="6" w:space="0" w:color="auto"/>
              <w:bottom w:val="outset" w:sz="6" w:space="0" w:color="auto"/>
            </w:tcBorders>
            <w:vAlign w:val="center"/>
          </w:tcPr>
          <w:p w:rsidR="009A7831" w:rsidRPr="00380A54" w:rsidRDefault="009A7831" w:rsidP="00A741F3">
            <w:pPr>
              <w:spacing w:before="100" w:beforeAutospacing="1" w:after="100" w:afterAutospacing="1"/>
              <w:jc w:val="center"/>
              <w:rPr>
                <w:lang w:eastAsia="en-US"/>
              </w:rPr>
            </w:pPr>
            <w:r>
              <w:rPr>
                <w:b/>
                <w:bCs/>
                <w:lang w:eastAsia="en-US"/>
              </w:rPr>
              <w:t xml:space="preserve">2015.gads </w:t>
            </w:r>
          </w:p>
        </w:tc>
      </w:tr>
      <w:tr w:rsidR="009A7831" w:rsidRPr="00380A54" w:rsidTr="00A5237B">
        <w:tc>
          <w:tcPr>
            <w:tcW w:w="2839" w:type="dxa"/>
            <w:gridSpan w:val="2"/>
            <w:vMerge/>
            <w:tcBorders>
              <w:top w:val="outset" w:sz="6" w:space="0" w:color="auto"/>
              <w:bottom w:val="outset" w:sz="6" w:space="0" w:color="auto"/>
              <w:right w:val="outset" w:sz="6" w:space="0" w:color="auto"/>
            </w:tcBorders>
            <w:vAlign w:val="center"/>
          </w:tcPr>
          <w:p w:rsidR="009A7831" w:rsidRPr="00380A54" w:rsidRDefault="009A7831" w:rsidP="00A741F3">
            <w:pPr>
              <w:rPr>
                <w:lang w:eastAsia="en-US"/>
              </w:rPr>
            </w:pPr>
          </w:p>
        </w:tc>
        <w:tc>
          <w:tcPr>
            <w:tcW w:w="1226"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Saskaņā ar valsts budžetu kārtējam gadam</w:t>
            </w:r>
          </w:p>
        </w:tc>
        <w:tc>
          <w:tcPr>
            <w:tcW w:w="1429"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Izmaiņas kārtējā gadā, salīdzinot ar budžetu kārtējam gadam</w:t>
            </w:r>
          </w:p>
        </w:tc>
        <w:tc>
          <w:tcPr>
            <w:tcW w:w="1258"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Izmaiņas, salīdzinot ar kārtējo (n) gadu</w:t>
            </w:r>
          </w:p>
        </w:tc>
        <w:tc>
          <w:tcPr>
            <w:tcW w:w="1258"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Izmaiņas, salīdzinot ar kārtējo (n) gadu</w:t>
            </w:r>
          </w:p>
        </w:tc>
        <w:tc>
          <w:tcPr>
            <w:tcW w:w="1364" w:type="dxa"/>
            <w:tcBorders>
              <w:top w:val="outset" w:sz="6" w:space="0" w:color="auto"/>
              <w:left w:val="outset" w:sz="6" w:space="0" w:color="auto"/>
              <w:bottom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Izmaiņas, salīdzinot ar kārtējo (n) gadu</w:t>
            </w:r>
          </w:p>
        </w:tc>
      </w:tr>
      <w:tr w:rsidR="009A7831" w:rsidRPr="00380A54" w:rsidTr="00A5237B">
        <w:tc>
          <w:tcPr>
            <w:tcW w:w="2839" w:type="dxa"/>
            <w:gridSpan w:val="2"/>
            <w:tcBorders>
              <w:top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1</w:t>
            </w:r>
          </w:p>
        </w:tc>
        <w:tc>
          <w:tcPr>
            <w:tcW w:w="1226"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2</w:t>
            </w:r>
          </w:p>
        </w:tc>
        <w:tc>
          <w:tcPr>
            <w:tcW w:w="1429"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3</w:t>
            </w:r>
          </w:p>
        </w:tc>
        <w:tc>
          <w:tcPr>
            <w:tcW w:w="1258"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4</w:t>
            </w:r>
          </w:p>
        </w:tc>
        <w:tc>
          <w:tcPr>
            <w:tcW w:w="1258"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5</w:t>
            </w:r>
          </w:p>
        </w:tc>
        <w:tc>
          <w:tcPr>
            <w:tcW w:w="1364" w:type="dxa"/>
            <w:tcBorders>
              <w:top w:val="outset" w:sz="6" w:space="0" w:color="auto"/>
              <w:left w:val="outset" w:sz="6" w:space="0" w:color="auto"/>
              <w:bottom w:val="outset" w:sz="6" w:space="0" w:color="auto"/>
            </w:tcBorders>
            <w:vAlign w:val="center"/>
          </w:tcPr>
          <w:p w:rsidR="009A7831" w:rsidRPr="00380A54" w:rsidRDefault="009A7831" w:rsidP="00A741F3">
            <w:pPr>
              <w:spacing w:before="100" w:beforeAutospacing="1" w:after="100" w:afterAutospacing="1"/>
              <w:jc w:val="center"/>
              <w:rPr>
                <w:lang w:eastAsia="en-US"/>
              </w:rPr>
            </w:pPr>
            <w:r w:rsidRPr="00380A54">
              <w:rPr>
                <w:lang w:eastAsia="en-US"/>
              </w:rPr>
              <w:t>6</w:t>
            </w:r>
          </w:p>
        </w:tc>
      </w:tr>
      <w:tr w:rsidR="009A7831" w:rsidRPr="00380A54" w:rsidTr="00A5237B">
        <w:tc>
          <w:tcPr>
            <w:tcW w:w="2839"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1</w:t>
            </w:r>
            <w:r w:rsidRPr="00C7137B">
              <w:rPr>
                <w:lang w:eastAsia="en-US"/>
              </w:rPr>
              <w:t xml:space="preserve">. </w:t>
            </w:r>
            <w:r w:rsidRPr="00973F5D">
              <w:rPr>
                <w:lang w:eastAsia="en-US"/>
              </w:rPr>
              <w:t>Budžeta ieņēmumi</w:t>
            </w:r>
            <w:r w:rsidRPr="00380A54">
              <w:rPr>
                <w:lang w:eastAsia="en-US"/>
              </w:rPr>
              <w:t>:</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0</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364" w:type="dxa"/>
            <w:tcBorders>
              <w:top w:val="outset" w:sz="6" w:space="0" w:color="auto"/>
              <w:left w:val="outset" w:sz="6" w:space="0" w:color="auto"/>
              <w:bottom w:val="outset" w:sz="6" w:space="0" w:color="auto"/>
            </w:tcBorders>
          </w:tcPr>
          <w:p w:rsidR="009A7831" w:rsidRPr="00380A54" w:rsidRDefault="009A7831" w:rsidP="00A741F3">
            <w:pPr>
              <w:jc w:val="center"/>
              <w:rPr>
                <w:lang w:eastAsia="en-US"/>
              </w:rPr>
            </w:pPr>
            <w:r>
              <w:rPr>
                <w:lang w:eastAsia="en-US"/>
              </w:rPr>
              <w:t>Nav precīzi aprēķināms</w:t>
            </w:r>
          </w:p>
        </w:tc>
      </w:tr>
      <w:tr w:rsidR="009A7831" w:rsidRPr="00380A54" w:rsidTr="00A5237B">
        <w:tc>
          <w:tcPr>
            <w:tcW w:w="2839"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1.1. valsts pamatbudžets, tai skaitā ieņēmumi no maksas pakalpojumiem un citi pašu ieņēmumi</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0</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364" w:type="dxa"/>
            <w:tcBorders>
              <w:top w:val="outset" w:sz="6" w:space="0" w:color="auto"/>
              <w:left w:val="outset" w:sz="6" w:space="0" w:color="auto"/>
              <w:bottom w:val="outset" w:sz="6" w:space="0" w:color="auto"/>
            </w:tcBorders>
          </w:tcPr>
          <w:p w:rsidR="009A7831" w:rsidRPr="00380A54" w:rsidRDefault="009A7831" w:rsidP="00A741F3">
            <w:pPr>
              <w:jc w:val="center"/>
              <w:rPr>
                <w:lang w:eastAsia="en-US"/>
              </w:rPr>
            </w:pPr>
            <w:r>
              <w:rPr>
                <w:lang w:eastAsia="en-US"/>
              </w:rPr>
              <w:t>Nav precīzi aprēķināms</w:t>
            </w:r>
          </w:p>
        </w:tc>
      </w:tr>
      <w:tr w:rsidR="009A7831" w:rsidRPr="00380A54" w:rsidTr="00A5237B">
        <w:trPr>
          <w:trHeight w:val="928"/>
        </w:trPr>
        <w:tc>
          <w:tcPr>
            <w:tcW w:w="2839"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1.2. valsts speciālais budžets</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364" w:type="dxa"/>
            <w:tcBorders>
              <w:top w:val="outset" w:sz="6" w:space="0" w:color="auto"/>
              <w:left w:val="outset" w:sz="6" w:space="0" w:color="auto"/>
              <w:bottom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r>
      <w:tr w:rsidR="009A7831" w:rsidRPr="00380A54" w:rsidTr="00A5237B">
        <w:tc>
          <w:tcPr>
            <w:tcW w:w="2839"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1.3. pašvaldību budžets</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C7137B" w:rsidRDefault="009A7831" w:rsidP="00A741F3">
            <w:pPr>
              <w:pStyle w:val="naiskr"/>
              <w:spacing w:before="0" w:after="0"/>
              <w:ind w:left="104" w:right="57"/>
              <w:jc w:val="center"/>
              <w:rPr>
                <w:lang w:eastAsia="en-US"/>
              </w:rPr>
            </w:pPr>
            <w:r w:rsidRPr="00C7137B">
              <w:rPr>
                <w:sz w:val="22"/>
                <w:szCs w:val="22"/>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C7137B" w:rsidRDefault="009A7831" w:rsidP="00A741F3">
            <w:pPr>
              <w:pStyle w:val="naiskr"/>
              <w:spacing w:before="0" w:after="0"/>
              <w:ind w:left="104" w:right="57"/>
              <w:jc w:val="center"/>
              <w:rPr>
                <w:lang w:eastAsia="en-US"/>
              </w:rPr>
            </w:pPr>
            <w:r w:rsidRPr="00C7137B">
              <w:rPr>
                <w:sz w:val="22"/>
                <w:szCs w:val="22"/>
                <w:lang w:eastAsia="en-US"/>
              </w:rPr>
              <w:t>Nav precīzi aprēķināms</w:t>
            </w:r>
          </w:p>
        </w:tc>
        <w:tc>
          <w:tcPr>
            <w:tcW w:w="1364" w:type="dxa"/>
            <w:tcBorders>
              <w:top w:val="outset" w:sz="6" w:space="0" w:color="auto"/>
              <w:left w:val="outset" w:sz="6" w:space="0" w:color="auto"/>
              <w:bottom w:val="outset" w:sz="6" w:space="0" w:color="auto"/>
            </w:tcBorders>
          </w:tcPr>
          <w:p w:rsidR="009A7831" w:rsidRPr="00C7137B" w:rsidRDefault="009A7831" w:rsidP="00A741F3">
            <w:pPr>
              <w:pStyle w:val="naiskr"/>
              <w:spacing w:before="0" w:after="0"/>
              <w:ind w:left="104" w:right="57"/>
              <w:jc w:val="center"/>
              <w:rPr>
                <w:lang w:eastAsia="en-US"/>
              </w:rPr>
            </w:pPr>
            <w:r w:rsidRPr="00C7137B">
              <w:rPr>
                <w:sz w:val="22"/>
                <w:szCs w:val="22"/>
                <w:lang w:eastAsia="en-US"/>
              </w:rPr>
              <w:t>Nav precīzi aprēķināms</w:t>
            </w:r>
          </w:p>
        </w:tc>
      </w:tr>
      <w:tr w:rsidR="009A7831" w:rsidRPr="00380A54" w:rsidTr="00A5237B">
        <w:tc>
          <w:tcPr>
            <w:tcW w:w="2839"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 xml:space="preserve">2. Budžeta </w:t>
            </w:r>
            <w:r w:rsidRPr="00973F5D">
              <w:rPr>
                <w:lang w:eastAsia="en-US"/>
              </w:rPr>
              <w:t>izdevumi:</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364" w:type="dxa"/>
            <w:tcBorders>
              <w:top w:val="outset" w:sz="6" w:space="0" w:color="auto"/>
              <w:left w:val="outset" w:sz="6" w:space="0" w:color="auto"/>
              <w:bottom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r>
      <w:tr w:rsidR="009A7831" w:rsidRPr="00380A54" w:rsidTr="00A5237B">
        <w:tc>
          <w:tcPr>
            <w:tcW w:w="2839"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2.1. valsts pamatbudžets</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364" w:type="dxa"/>
            <w:tcBorders>
              <w:top w:val="outset" w:sz="6" w:space="0" w:color="auto"/>
              <w:left w:val="outset" w:sz="6" w:space="0" w:color="auto"/>
              <w:bottom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r>
      <w:tr w:rsidR="009A7831" w:rsidRPr="00380A54" w:rsidTr="00A5237B">
        <w:tc>
          <w:tcPr>
            <w:tcW w:w="2839"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2.2. valsts speciālais budžets</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364" w:type="dxa"/>
            <w:tcBorders>
              <w:top w:val="outset" w:sz="6" w:space="0" w:color="auto"/>
              <w:left w:val="outset" w:sz="6" w:space="0" w:color="auto"/>
              <w:bottom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r>
      <w:tr w:rsidR="009A7831" w:rsidRPr="00380A54" w:rsidTr="00A5237B">
        <w:tc>
          <w:tcPr>
            <w:tcW w:w="2839"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2.3. pašvaldību budžets</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364" w:type="dxa"/>
            <w:tcBorders>
              <w:top w:val="outset" w:sz="6" w:space="0" w:color="auto"/>
              <w:left w:val="outset" w:sz="6" w:space="0" w:color="auto"/>
              <w:bottom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r>
      <w:tr w:rsidR="009A7831" w:rsidRPr="00380A54" w:rsidTr="00A5237B">
        <w:tc>
          <w:tcPr>
            <w:tcW w:w="2839"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3</w:t>
            </w:r>
            <w:r w:rsidRPr="00973F5D">
              <w:rPr>
                <w:lang w:eastAsia="en-US"/>
              </w:rPr>
              <w:t>. Finansiālā ietekme:</w:t>
            </w:r>
          </w:p>
        </w:tc>
        <w:tc>
          <w:tcPr>
            <w:tcW w:w="1226" w:type="dxa"/>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pStyle w:val="naiskr"/>
              <w:spacing w:before="0" w:after="0"/>
              <w:ind w:left="104" w:right="57"/>
              <w:jc w:val="center"/>
              <w:rPr>
                <w:lang w:eastAsia="en-US"/>
              </w:rPr>
            </w:pPr>
            <w:r>
              <w:t>Projekts šo jomu neskar.</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364" w:type="dxa"/>
            <w:tcBorders>
              <w:top w:val="outset" w:sz="6" w:space="0" w:color="auto"/>
              <w:left w:val="outset" w:sz="6" w:space="0" w:color="auto"/>
              <w:bottom w:val="outset" w:sz="6" w:space="0" w:color="auto"/>
            </w:tcBorders>
          </w:tcPr>
          <w:p w:rsidR="009A7831" w:rsidRPr="00380A54" w:rsidRDefault="009A7831" w:rsidP="00A741F3">
            <w:pPr>
              <w:jc w:val="center"/>
              <w:rPr>
                <w:lang w:eastAsia="en-US"/>
              </w:rPr>
            </w:pPr>
            <w:r>
              <w:rPr>
                <w:lang w:eastAsia="en-US"/>
              </w:rPr>
              <w:t>Nav precīzi aprēķināms</w:t>
            </w:r>
          </w:p>
        </w:tc>
      </w:tr>
      <w:tr w:rsidR="009A7831" w:rsidRPr="00380A54" w:rsidTr="00A5237B">
        <w:tc>
          <w:tcPr>
            <w:tcW w:w="2833"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3.1. valsts pamatbudžets</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jc w:val="center"/>
              <w:rPr>
                <w:lang w:eastAsia="en-US"/>
              </w:rPr>
            </w:pPr>
            <w:r>
              <w:rPr>
                <w:lang w:eastAsia="en-US"/>
              </w:rPr>
              <w:t>Nav precīzi aprēķināms</w:t>
            </w:r>
          </w:p>
        </w:tc>
        <w:tc>
          <w:tcPr>
            <w:tcW w:w="1364" w:type="dxa"/>
            <w:tcBorders>
              <w:top w:val="outset" w:sz="6" w:space="0" w:color="auto"/>
              <w:left w:val="outset" w:sz="6" w:space="0" w:color="auto"/>
              <w:bottom w:val="outset" w:sz="6" w:space="0" w:color="auto"/>
            </w:tcBorders>
          </w:tcPr>
          <w:p w:rsidR="009A7831" w:rsidRPr="00380A54" w:rsidRDefault="009A7831" w:rsidP="00A741F3">
            <w:pPr>
              <w:jc w:val="center"/>
              <w:rPr>
                <w:lang w:eastAsia="en-US"/>
              </w:rPr>
            </w:pPr>
            <w:r>
              <w:rPr>
                <w:lang w:eastAsia="en-US"/>
              </w:rPr>
              <w:t>Nav precīzi aprēķināms</w:t>
            </w:r>
          </w:p>
        </w:tc>
      </w:tr>
      <w:tr w:rsidR="009A7831" w:rsidRPr="00380A54" w:rsidTr="00A5237B">
        <w:tc>
          <w:tcPr>
            <w:tcW w:w="2833"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3.2. speciālais budžets</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364" w:type="dxa"/>
            <w:tcBorders>
              <w:top w:val="outset" w:sz="6" w:space="0" w:color="auto"/>
              <w:left w:val="outset" w:sz="6" w:space="0" w:color="auto"/>
              <w:bottom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r>
      <w:tr w:rsidR="009A7831" w:rsidRPr="00380A54" w:rsidTr="00A5237B">
        <w:tc>
          <w:tcPr>
            <w:tcW w:w="2833"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3.3. pašvaldību budžets</w:t>
            </w:r>
          </w:p>
        </w:tc>
        <w:tc>
          <w:tcPr>
            <w:tcW w:w="1226"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9E2BD1" w:rsidRDefault="009A7831" w:rsidP="00A741F3">
            <w:pPr>
              <w:pStyle w:val="naiskr"/>
              <w:spacing w:before="0" w:after="0"/>
              <w:ind w:left="104" w:right="57"/>
              <w:jc w:val="center"/>
              <w:rPr>
                <w:lang w:eastAsia="en-US"/>
              </w:rPr>
            </w:pPr>
            <w:r w:rsidRPr="009E2BD1">
              <w:rPr>
                <w:sz w:val="22"/>
                <w:szCs w:val="22"/>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9E2BD1" w:rsidRDefault="009A7831" w:rsidP="00A741F3">
            <w:pPr>
              <w:pStyle w:val="naiskr"/>
              <w:spacing w:before="0" w:after="0"/>
              <w:ind w:left="104" w:right="57"/>
              <w:jc w:val="center"/>
              <w:rPr>
                <w:lang w:eastAsia="en-US"/>
              </w:rPr>
            </w:pPr>
            <w:r w:rsidRPr="009E2BD1">
              <w:rPr>
                <w:sz w:val="22"/>
                <w:szCs w:val="22"/>
                <w:lang w:eastAsia="en-US"/>
              </w:rPr>
              <w:t>Nav precīzi aprēķināms</w:t>
            </w:r>
          </w:p>
        </w:tc>
        <w:tc>
          <w:tcPr>
            <w:tcW w:w="1364" w:type="dxa"/>
            <w:tcBorders>
              <w:top w:val="outset" w:sz="6" w:space="0" w:color="auto"/>
              <w:left w:val="outset" w:sz="6" w:space="0" w:color="auto"/>
              <w:bottom w:val="outset" w:sz="6" w:space="0" w:color="auto"/>
            </w:tcBorders>
          </w:tcPr>
          <w:p w:rsidR="009A7831" w:rsidRPr="009E2BD1" w:rsidRDefault="009A7831" w:rsidP="00A741F3">
            <w:pPr>
              <w:pStyle w:val="naiskr"/>
              <w:spacing w:before="0" w:after="0"/>
              <w:ind w:left="104" w:right="57"/>
              <w:jc w:val="center"/>
              <w:rPr>
                <w:lang w:eastAsia="en-US"/>
              </w:rPr>
            </w:pPr>
            <w:r w:rsidRPr="009E2BD1">
              <w:rPr>
                <w:sz w:val="22"/>
                <w:szCs w:val="22"/>
                <w:lang w:eastAsia="en-US"/>
              </w:rPr>
              <w:t>Nav precīzi aprēķināms</w:t>
            </w:r>
          </w:p>
        </w:tc>
      </w:tr>
      <w:tr w:rsidR="009A7831" w:rsidRPr="00380A54" w:rsidTr="00A5237B">
        <w:trPr>
          <w:trHeight w:val="486"/>
        </w:trPr>
        <w:tc>
          <w:tcPr>
            <w:tcW w:w="2833" w:type="dxa"/>
            <w:gridSpan w:val="2"/>
            <w:vMerge w:val="restart"/>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4. Finanšu līdzekļi papildu izde</w:t>
            </w:r>
            <w:r w:rsidRPr="00380A54">
              <w:rPr>
                <w:lang w:eastAsia="en-US"/>
              </w:rPr>
              <w:softHyphen/>
              <w:t>vumu finansēšanai (kompensējošu izdevumu samazinājumu norāda ar "+" zīmi)</w:t>
            </w:r>
          </w:p>
        </w:tc>
        <w:tc>
          <w:tcPr>
            <w:tcW w:w="1226" w:type="dxa"/>
            <w:vMerge w:val="restart"/>
            <w:tcBorders>
              <w:top w:val="outset" w:sz="6" w:space="0" w:color="auto"/>
              <w:left w:val="outset" w:sz="6" w:space="0" w:color="auto"/>
              <w:bottom w:val="outset" w:sz="6" w:space="0" w:color="auto"/>
              <w:right w:val="outset" w:sz="6" w:space="0" w:color="auto"/>
            </w:tcBorders>
          </w:tcPr>
          <w:p w:rsidR="009A7831" w:rsidRPr="00380A54" w:rsidRDefault="009A7831" w:rsidP="00A741F3">
            <w:pPr>
              <w:spacing w:before="100" w:beforeAutospacing="1"/>
              <w:jc w:val="center"/>
              <w:rPr>
                <w:lang w:eastAsia="en-US"/>
              </w:rPr>
            </w:pPr>
            <w:r w:rsidRPr="00380A54">
              <w:rPr>
                <w:lang w:eastAsia="en-US"/>
              </w:rPr>
              <w:t>X</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c>
          <w:tcPr>
            <w:tcW w:w="1364" w:type="dxa"/>
            <w:tcBorders>
              <w:top w:val="outset" w:sz="6" w:space="0" w:color="auto"/>
              <w:left w:val="outset" w:sz="6" w:space="0" w:color="auto"/>
              <w:bottom w:val="outset" w:sz="6" w:space="0" w:color="auto"/>
            </w:tcBorders>
          </w:tcPr>
          <w:p w:rsidR="009A7831" w:rsidRPr="00380A54" w:rsidRDefault="009A7831" w:rsidP="00A741F3">
            <w:pPr>
              <w:pStyle w:val="naiskr"/>
              <w:spacing w:before="0" w:after="0"/>
              <w:ind w:left="104" w:right="57"/>
              <w:jc w:val="center"/>
              <w:rPr>
                <w:lang w:eastAsia="en-US"/>
              </w:rPr>
            </w:pPr>
            <w:r>
              <w:t>Projekts šo jomu neskar.</w:t>
            </w:r>
          </w:p>
        </w:tc>
      </w:tr>
      <w:tr w:rsidR="009A7831" w:rsidRPr="00380A54" w:rsidTr="00A5237B">
        <w:trPr>
          <w:trHeight w:val="366"/>
        </w:trPr>
        <w:tc>
          <w:tcPr>
            <w:tcW w:w="2833" w:type="dxa"/>
            <w:gridSpan w:val="2"/>
            <w:vMerge/>
            <w:tcBorders>
              <w:top w:val="outset" w:sz="6" w:space="0" w:color="auto"/>
              <w:bottom w:val="outset" w:sz="6" w:space="0" w:color="auto"/>
              <w:right w:val="outset" w:sz="6" w:space="0" w:color="auto"/>
            </w:tcBorders>
            <w:vAlign w:val="center"/>
          </w:tcPr>
          <w:p w:rsidR="009A7831" w:rsidRPr="00380A54" w:rsidRDefault="009A7831" w:rsidP="00A741F3">
            <w:pPr>
              <w:rPr>
                <w:lang w:eastAsia="en-US"/>
              </w:rPr>
            </w:pPr>
          </w:p>
        </w:tc>
        <w:tc>
          <w:tcPr>
            <w:tcW w:w="1226" w:type="dxa"/>
            <w:vMerge/>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p>
        </w:tc>
        <w:tc>
          <w:tcPr>
            <w:tcW w:w="1364" w:type="dxa"/>
            <w:tcBorders>
              <w:top w:val="outset" w:sz="6" w:space="0" w:color="auto"/>
              <w:left w:val="outset" w:sz="6" w:space="0" w:color="auto"/>
              <w:bottom w:val="outset" w:sz="6" w:space="0" w:color="auto"/>
            </w:tcBorders>
          </w:tcPr>
          <w:p w:rsidR="009A7831" w:rsidRPr="00380A54" w:rsidRDefault="009A7831" w:rsidP="00A741F3">
            <w:pPr>
              <w:rPr>
                <w:lang w:eastAsia="en-US"/>
              </w:rPr>
            </w:pPr>
          </w:p>
        </w:tc>
      </w:tr>
      <w:tr w:rsidR="009A7831" w:rsidRPr="00380A54" w:rsidTr="00A5237B">
        <w:tc>
          <w:tcPr>
            <w:tcW w:w="2833" w:type="dxa"/>
            <w:gridSpan w:val="2"/>
            <w:vMerge/>
            <w:tcBorders>
              <w:top w:val="outset" w:sz="6" w:space="0" w:color="auto"/>
              <w:bottom w:val="outset" w:sz="6" w:space="0" w:color="auto"/>
              <w:right w:val="outset" w:sz="6" w:space="0" w:color="auto"/>
            </w:tcBorders>
            <w:vAlign w:val="center"/>
          </w:tcPr>
          <w:p w:rsidR="009A7831" w:rsidRPr="00380A54" w:rsidRDefault="009A7831" w:rsidP="00A741F3">
            <w:pPr>
              <w:rPr>
                <w:lang w:eastAsia="en-US"/>
              </w:rPr>
            </w:pPr>
          </w:p>
        </w:tc>
        <w:tc>
          <w:tcPr>
            <w:tcW w:w="1226" w:type="dxa"/>
            <w:vMerge/>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p>
        </w:tc>
        <w:tc>
          <w:tcPr>
            <w:tcW w:w="1364" w:type="dxa"/>
            <w:tcBorders>
              <w:top w:val="outset" w:sz="6" w:space="0" w:color="auto"/>
              <w:left w:val="outset" w:sz="6" w:space="0" w:color="auto"/>
              <w:bottom w:val="outset" w:sz="6" w:space="0" w:color="auto"/>
            </w:tcBorders>
          </w:tcPr>
          <w:p w:rsidR="009A7831" w:rsidRPr="00380A54" w:rsidRDefault="009A7831" w:rsidP="00A741F3">
            <w:pPr>
              <w:rPr>
                <w:lang w:eastAsia="en-US"/>
              </w:rPr>
            </w:pPr>
          </w:p>
        </w:tc>
      </w:tr>
      <w:tr w:rsidR="009A7831" w:rsidRPr="00380A54" w:rsidTr="00A5237B">
        <w:tc>
          <w:tcPr>
            <w:tcW w:w="2833"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5. Precizēta finansiālā ietekme:</w:t>
            </w:r>
          </w:p>
        </w:tc>
        <w:tc>
          <w:tcPr>
            <w:tcW w:w="1226" w:type="dxa"/>
            <w:vMerge w:val="restart"/>
            <w:tcBorders>
              <w:top w:val="outset" w:sz="6" w:space="0" w:color="auto"/>
              <w:left w:val="outset" w:sz="6" w:space="0" w:color="auto"/>
              <w:bottom w:val="outset" w:sz="6" w:space="0" w:color="auto"/>
              <w:right w:val="outset" w:sz="6" w:space="0" w:color="auto"/>
            </w:tcBorders>
          </w:tcPr>
          <w:p w:rsidR="009A7831" w:rsidRPr="00380A54" w:rsidRDefault="009A7831" w:rsidP="00A741F3">
            <w:pPr>
              <w:spacing w:before="100" w:beforeAutospacing="1"/>
              <w:jc w:val="center"/>
              <w:rPr>
                <w:lang w:eastAsia="en-US"/>
              </w:rPr>
            </w:pPr>
            <w:r w:rsidRPr="00380A54">
              <w:rPr>
                <w:lang w:eastAsia="en-US"/>
              </w:rPr>
              <w:t>X</w:t>
            </w: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r>
              <w:rPr>
                <w:lang w:eastAsia="en-US"/>
              </w:rPr>
              <w:t>Nav precīzi aprēķināms</w:t>
            </w:r>
          </w:p>
        </w:tc>
        <w:tc>
          <w:tcPr>
            <w:tcW w:w="1364" w:type="dxa"/>
            <w:tcBorders>
              <w:top w:val="outset" w:sz="6" w:space="0" w:color="auto"/>
              <w:left w:val="outset" w:sz="6" w:space="0" w:color="auto"/>
              <w:bottom w:val="outset" w:sz="6" w:space="0" w:color="auto"/>
            </w:tcBorders>
          </w:tcPr>
          <w:p w:rsidR="009A7831" w:rsidRPr="00380A54" w:rsidRDefault="009A7831" w:rsidP="00A741F3">
            <w:pPr>
              <w:rPr>
                <w:lang w:eastAsia="en-US"/>
              </w:rPr>
            </w:pPr>
            <w:r>
              <w:rPr>
                <w:lang w:eastAsia="en-US"/>
              </w:rPr>
              <w:t>Nav precīzi aprēķināms</w:t>
            </w:r>
          </w:p>
        </w:tc>
      </w:tr>
      <w:tr w:rsidR="009A7831" w:rsidRPr="00380A54" w:rsidTr="00A5237B">
        <w:tc>
          <w:tcPr>
            <w:tcW w:w="2833"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5.1. valsts pamatbudžets</w:t>
            </w:r>
          </w:p>
        </w:tc>
        <w:tc>
          <w:tcPr>
            <w:tcW w:w="1226" w:type="dxa"/>
            <w:vMerge/>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r>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rPr>
                <w:lang w:eastAsia="en-US"/>
              </w:rPr>
            </w:pPr>
            <w:r>
              <w:rPr>
                <w:lang w:eastAsia="en-US"/>
              </w:rPr>
              <w:t>Nav precīzi aprēķināms</w:t>
            </w:r>
          </w:p>
        </w:tc>
        <w:tc>
          <w:tcPr>
            <w:tcW w:w="1364" w:type="dxa"/>
            <w:tcBorders>
              <w:top w:val="outset" w:sz="6" w:space="0" w:color="auto"/>
              <w:left w:val="outset" w:sz="6" w:space="0" w:color="auto"/>
              <w:bottom w:val="outset" w:sz="6" w:space="0" w:color="auto"/>
            </w:tcBorders>
          </w:tcPr>
          <w:p w:rsidR="009A7831" w:rsidRPr="00380A54" w:rsidRDefault="009A7831" w:rsidP="00A741F3">
            <w:pPr>
              <w:rPr>
                <w:lang w:eastAsia="en-US"/>
              </w:rPr>
            </w:pPr>
            <w:r>
              <w:rPr>
                <w:lang w:eastAsia="en-US"/>
              </w:rPr>
              <w:t>Nav precīzi aprēķināms</w:t>
            </w:r>
          </w:p>
        </w:tc>
      </w:tr>
      <w:tr w:rsidR="009A7831" w:rsidRPr="00380A54" w:rsidTr="00A5237B">
        <w:tc>
          <w:tcPr>
            <w:tcW w:w="2833"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5.2. speciālais budžets</w:t>
            </w:r>
          </w:p>
        </w:tc>
        <w:tc>
          <w:tcPr>
            <w:tcW w:w="1226" w:type="dxa"/>
            <w:vMerge/>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both"/>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both"/>
              <w:rPr>
                <w:lang w:eastAsia="en-US"/>
              </w:rPr>
            </w:pPr>
            <w:r>
              <w:t>Projekts šo jomu neskar.</w:t>
            </w:r>
          </w:p>
        </w:tc>
        <w:tc>
          <w:tcPr>
            <w:tcW w:w="1258" w:type="dxa"/>
            <w:tcBorders>
              <w:top w:val="outset" w:sz="6" w:space="0" w:color="auto"/>
              <w:left w:val="outset" w:sz="6" w:space="0" w:color="auto"/>
              <w:bottom w:val="outset" w:sz="6" w:space="0" w:color="auto"/>
              <w:right w:val="outset" w:sz="6" w:space="0" w:color="auto"/>
            </w:tcBorders>
          </w:tcPr>
          <w:p w:rsidR="009A7831" w:rsidRPr="00380A54" w:rsidRDefault="009A7831" w:rsidP="00A741F3">
            <w:pPr>
              <w:pStyle w:val="naiskr"/>
              <w:spacing w:before="0" w:after="0"/>
              <w:ind w:left="104" w:right="57"/>
              <w:jc w:val="both"/>
              <w:rPr>
                <w:lang w:eastAsia="en-US"/>
              </w:rPr>
            </w:pPr>
            <w:r>
              <w:t>Projekts šo jomu neskar.</w:t>
            </w:r>
          </w:p>
        </w:tc>
        <w:tc>
          <w:tcPr>
            <w:tcW w:w="1364" w:type="dxa"/>
            <w:tcBorders>
              <w:top w:val="outset" w:sz="6" w:space="0" w:color="auto"/>
              <w:left w:val="outset" w:sz="6" w:space="0" w:color="auto"/>
              <w:bottom w:val="outset" w:sz="6" w:space="0" w:color="auto"/>
            </w:tcBorders>
          </w:tcPr>
          <w:p w:rsidR="009A7831" w:rsidRPr="00380A54" w:rsidRDefault="009A7831" w:rsidP="00A741F3">
            <w:pPr>
              <w:pStyle w:val="naiskr"/>
              <w:spacing w:before="0" w:after="0"/>
              <w:ind w:left="104" w:right="57"/>
              <w:jc w:val="both"/>
              <w:rPr>
                <w:lang w:eastAsia="en-US"/>
              </w:rPr>
            </w:pPr>
            <w:r>
              <w:t>Projekts šo jomu neskar.</w:t>
            </w:r>
          </w:p>
        </w:tc>
      </w:tr>
      <w:tr w:rsidR="009A7831" w:rsidRPr="00380A54" w:rsidTr="00A5237B">
        <w:tc>
          <w:tcPr>
            <w:tcW w:w="2833"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5.3. pašvaldību budžets</w:t>
            </w:r>
          </w:p>
        </w:tc>
        <w:tc>
          <w:tcPr>
            <w:tcW w:w="1226" w:type="dxa"/>
            <w:vMerge/>
            <w:tcBorders>
              <w:top w:val="outset" w:sz="6" w:space="0" w:color="auto"/>
              <w:left w:val="outset" w:sz="6" w:space="0" w:color="auto"/>
              <w:bottom w:val="outset" w:sz="6" w:space="0" w:color="auto"/>
              <w:right w:val="outset" w:sz="6" w:space="0" w:color="auto"/>
            </w:tcBorders>
            <w:vAlign w:val="center"/>
          </w:tcPr>
          <w:p w:rsidR="009A7831" w:rsidRPr="00380A54" w:rsidRDefault="009A7831" w:rsidP="00A741F3">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9A7831" w:rsidRDefault="009A7831" w:rsidP="00A741F3">
            <w:pPr>
              <w:pStyle w:val="naiskr"/>
              <w:spacing w:before="0" w:after="0"/>
              <w:ind w:left="104" w:right="57"/>
              <w:jc w:val="both"/>
            </w:pPr>
            <w:r>
              <w:t>Projekts šo jomu neskar.</w:t>
            </w:r>
          </w:p>
          <w:p w:rsidR="009A7831" w:rsidRPr="00380A54" w:rsidRDefault="009A7831" w:rsidP="00A741F3">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9A7831" w:rsidRDefault="009A7831" w:rsidP="00A741F3">
            <w:pPr>
              <w:pStyle w:val="naiskr"/>
              <w:spacing w:before="0" w:after="0"/>
              <w:ind w:left="104" w:right="57"/>
              <w:jc w:val="both"/>
            </w:pPr>
            <w:r>
              <w:t>Projekts šo jomu neskar.</w:t>
            </w:r>
          </w:p>
          <w:p w:rsidR="009A7831" w:rsidRPr="00380A54" w:rsidRDefault="009A7831" w:rsidP="00A741F3">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9A7831" w:rsidRDefault="009A7831" w:rsidP="00A741F3">
            <w:pPr>
              <w:pStyle w:val="naiskr"/>
              <w:spacing w:before="0" w:after="0"/>
              <w:ind w:left="104" w:right="57"/>
              <w:jc w:val="both"/>
            </w:pPr>
            <w:r>
              <w:t>Projekts šo jomu neskar.</w:t>
            </w:r>
          </w:p>
          <w:p w:rsidR="009A7831" w:rsidRPr="00380A54" w:rsidRDefault="009A7831" w:rsidP="00A741F3">
            <w:pPr>
              <w:rPr>
                <w:lang w:eastAsia="en-US"/>
              </w:rPr>
            </w:pPr>
          </w:p>
        </w:tc>
        <w:tc>
          <w:tcPr>
            <w:tcW w:w="1364" w:type="dxa"/>
            <w:tcBorders>
              <w:top w:val="outset" w:sz="6" w:space="0" w:color="auto"/>
              <w:left w:val="outset" w:sz="6" w:space="0" w:color="auto"/>
              <w:bottom w:val="outset" w:sz="6" w:space="0" w:color="auto"/>
            </w:tcBorders>
          </w:tcPr>
          <w:p w:rsidR="009A7831" w:rsidRDefault="009A7831" w:rsidP="00A741F3">
            <w:pPr>
              <w:pStyle w:val="naiskr"/>
              <w:spacing w:before="0" w:after="0"/>
              <w:ind w:left="104" w:right="57"/>
              <w:jc w:val="both"/>
            </w:pPr>
            <w:r>
              <w:t>Projekts šo jomu neskar.</w:t>
            </w:r>
          </w:p>
          <w:p w:rsidR="009A7831" w:rsidRPr="00380A54" w:rsidRDefault="009A7831" w:rsidP="00A741F3">
            <w:pPr>
              <w:rPr>
                <w:lang w:eastAsia="en-US"/>
              </w:rPr>
            </w:pPr>
          </w:p>
        </w:tc>
      </w:tr>
      <w:tr w:rsidR="009A7831" w:rsidRPr="00380A54" w:rsidTr="00A5237B">
        <w:tc>
          <w:tcPr>
            <w:tcW w:w="2833"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rPr>
                <w:lang w:eastAsia="en-US"/>
              </w:rPr>
            </w:pPr>
            <w:r w:rsidRPr="00380A54">
              <w:rPr>
                <w:lang w:eastAsia="en-US"/>
              </w:rPr>
              <w:t>6. Detalizēts ieņēmumu un izdevu</w:t>
            </w:r>
            <w:r w:rsidRPr="00380A54">
              <w:rPr>
                <w:lang w:eastAsia="en-US"/>
              </w:rPr>
              <w:softHyphen/>
              <w:t>mu aprēķins (ja nepieciešams, detalizētu ieņēmumu un izdevumu aprēķinu var pievienot anotācijas pielikumā):</w:t>
            </w:r>
          </w:p>
        </w:tc>
        <w:tc>
          <w:tcPr>
            <w:tcW w:w="6535" w:type="dxa"/>
            <w:gridSpan w:val="5"/>
            <w:vMerge w:val="restart"/>
            <w:tcBorders>
              <w:top w:val="outset" w:sz="6" w:space="0" w:color="auto"/>
              <w:left w:val="outset" w:sz="6" w:space="0" w:color="auto"/>
              <w:bottom w:val="outset" w:sz="6" w:space="0" w:color="auto"/>
            </w:tcBorders>
            <w:vAlign w:val="center"/>
          </w:tcPr>
          <w:p w:rsidR="009A7831" w:rsidRPr="00380A54" w:rsidRDefault="009A7831" w:rsidP="00A741F3">
            <w:pPr>
              <w:jc w:val="center"/>
              <w:rPr>
                <w:lang w:eastAsia="en-US"/>
              </w:rPr>
            </w:pPr>
            <w:r>
              <w:rPr>
                <w:lang w:eastAsia="en-US"/>
              </w:rPr>
              <w:t>Nav precīzi aprēķināms</w:t>
            </w:r>
          </w:p>
        </w:tc>
      </w:tr>
      <w:tr w:rsidR="009A7831" w:rsidRPr="00380A54" w:rsidTr="00A5237B">
        <w:tc>
          <w:tcPr>
            <w:tcW w:w="2833"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after="100" w:afterAutospacing="1"/>
              <w:rPr>
                <w:lang w:eastAsia="en-US"/>
              </w:rPr>
            </w:pPr>
            <w:r w:rsidRPr="00380A54">
              <w:rPr>
                <w:lang w:eastAsia="en-US"/>
              </w:rPr>
              <w:t>6.1. detalizēts ieņēmumu aprēķins</w:t>
            </w:r>
          </w:p>
        </w:tc>
        <w:tc>
          <w:tcPr>
            <w:tcW w:w="6535" w:type="dxa"/>
            <w:gridSpan w:val="5"/>
            <w:vMerge/>
            <w:tcBorders>
              <w:top w:val="outset" w:sz="6" w:space="0" w:color="auto"/>
              <w:left w:val="outset" w:sz="6" w:space="0" w:color="auto"/>
              <w:bottom w:val="outset" w:sz="6" w:space="0" w:color="auto"/>
            </w:tcBorders>
            <w:vAlign w:val="center"/>
          </w:tcPr>
          <w:p w:rsidR="009A7831" w:rsidRPr="00380A54" w:rsidRDefault="009A7831" w:rsidP="00A741F3">
            <w:pPr>
              <w:rPr>
                <w:lang w:eastAsia="en-US"/>
              </w:rPr>
            </w:pPr>
          </w:p>
        </w:tc>
      </w:tr>
      <w:tr w:rsidR="009A7831" w:rsidRPr="00380A54" w:rsidTr="00A5237B">
        <w:tc>
          <w:tcPr>
            <w:tcW w:w="2833" w:type="dxa"/>
            <w:gridSpan w:val="2"/>
            <w:tcBorders>
              <w:top w:val="outset" w:sz="6" w:space="0" w:color="auto"/>
              <w:bottom w:val="outset" w:sz="6" w:space="0" w:color="auto"/>
              <w:right w:val="outset" w:sz="6" w:space="0" w:color="auto"/>
            </w:tcBorders>
          </w:tcPr>
          <w:p w:rsidR="009A7831" w:rsidRPr="00380A54" w:rsidRDefault="009A7831" w:rsidP="00A741F3">
            <w:pPr>
              <w:spacing w:before="100" w:beforeAutospacing="1" w:after="100" w:afterAutospacing="1"/>
              <w:rPr>
                <w:lang w:eastAsia="en-US"/>
              </w:rPr>
            </w:pPr>
            <w:r w:rsidRPr="00380A54">
              <w:rPr>
                <w:lang w:eastAsia="en-US"/>
              </w:rPr>
              <w:t>6.2. detalizēts izdevumu aprēķins</w:t>
            </w:r>
          </w:p>
        </w:tc>
        <w:tc>
          <w:tcPr>
            <w:tcW w:w="6535" w:type="dxa"/>
            <w:gridSpan w:val="5"/>
            <w:vMerge/>
            <w:tcBorders>
              <w:top w:val="outset" w:sz="6" w:space="0" w:color="auto"/>
              <w:left w:val="outset" w:sz="6" w:space="0" w:color="auto"/>
              <w:bottom w:val="outset" w:sz="6" w:space="0" w:color="auto"/>
            </w:tcBorders>
            <w:vAlign w:val="center"/>
          </w:tcPr>
          <w:p w:rsidR="009A7831" w:rsidRPr="00380A54" w:rsidRDefault="009A7831" w:rsidP="00A741F3">
            <w:pPr>
              <w:rPr>
                <w:lang w:eastAsia="en-US"/>
              </w:rPr>
            </w:pPr>
          </w:p>
        </w:tc>
      </w:tr>
      <w:tr w:rsidR="009A7831" w:rsidRPr="00380A54" w:rsidTr="00A5237B">
        <w:trPr>
          <w:gridBefore w:val="1"/>
          <w:wBefore w:w="6" w:type="dxa"/>
        </w:trPr>
        <w:tc>
          <w:tcPr>
            <w:tcW w:w="2833" w:type="dxa"/>
            <w:tcBorders>
              <w:top w:val="outset" w:sz="6" w:space="0" w:color="auto"/>
              <w:bottom w:val="single" w:sz="4" w:space="0" w:color="auto"/>
              <w:right w:val="outset" w:sz="6" w:space="0" w:color="auto"/>
            </w:tcBorders>
          </w:tcPr>
          <w:p w:rsidR="009A7831" w:rsidRPr="00380A54" w:rsidRDefault="009A7831" w:rsidP="00A741F3">
            <w:pPr>
              <w:spacing w:before="100" w:beforeAutospacing="1" w:after="100" w:afterAutospacing="1"/>
              <w:rPr>
                <w:lang w:eastAsia="en-US"/>
              </w:rPr>
            </w:pPr>
            <w:r w:rsidRPr="00380A54">
              <w:rPr>
                <w:lang w:eastAsia="en-US"/>
              </w:rPr>
              <w:t>7. Cita informācija</w:t>
            </w:r>
          </w:p>
        </w:tc>
        <w:tc>
          <w:tcPr>
            <w:tcW w:w="6535" w:type="dxa"/>
            <w:gridSpan w:val="5"/>
            <w:tcBorders>
              <w:top w:val="outset" w:sz="6" w:space="0" w:color="auto"/>
              <w:left w:val="outset" w:sz="6" w:space="0" w:color="auto"/>
              <w:bottom w:val="single" w:sz="4" w:space="0" w:color="auto"/>
            </w:tcBorders>
          </w:tcPr>
          <w:p w:rsidR="009A7831" w:rsidRPr="00380A54" w:rsidRDefault="009A7831" w:rsidP="005A0A7C">
            <w:pPr>
              <w:spacing w:after="120"/>
              <w:jc w:val="both"/>
              <w:rPr>
                <w:lang w:eastAsia="en-US"/>
              </w:rPr>
            </w:pPr>
            <w:r>
              <w:t xml:space="preserve">Likumprojekta projekta īstenošana </w:t>
            </w:r>
            <w:r w:rsidRPr="006F099A">
              <w:t xml:space="preserve">neradīs </w:t>
            </w:r>
            <w:r>
              <w:t xml:space="preserve">papildus </w:t>
            </w:r>
            <w:r w:rsidRPr="006F099A">
              <w:t xml:space="preserve">izdevumus valsts </w:t>
            </w:r>
            <w:r>
              <w:t xml:space="preserve">un pašvaldību budžetam. Savukārt ieņēmumi nav precīzi aprēķināmi, jo nav nosakāma potenciālo nomnieku interese par iznomāšanai paredzētajiem zemesgabaliem zemes dzīļu izmantošanai un noslēgtajiem nomas līgumiem. Papildus minētajam nav iespējams apzināt visus publisko personu īpašumā vai valdījumā esošo zemes dzīļu resursus. Taču kopumā ir </w:t>
            </w:r>
            <w:r w:rsidRPr="003F203F">
              <w:t>prognozējams, ka</w:t>
            </w:r>
            <w:r>
              <w:t>, pēc plānoto grozījumu noteikumos Nr.735 spēkā stāšanās</w:t>
            </w:r>
            <w:r w:rsidRPr="003F203F">
              <w:t xml:space="preserve"> publiskām personām palielinās</w:t>
            </w:r>
            <w:r>
              <w:t>ies</w:t>
            </w:r>
            <w:r w:rsidRPr="003F203F">
              <w:t xml:space="preserve"> ienākumi no attiecīgu zemesgabalu iznomāšanas.</w:t>
            </w:r>
          </w:p>
        </w:tc>
      </w:tr>
    </w:tbl>
    <w:p w:rsidR="009A7831" w:rsidRPr="00054100" w:rsidRDefault="009A7831" w:rsidP="00054100">
      <w:pPr>
        <w:rPr>
          <w:vanish/>
        </w:rPr>
      </w:pPr>
    </w:p>
    <w:tbl>
      <w:tblPr>
        <w:tblW w:w="5045"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32"/>
        <w:gridCol w:w="1962"/>
        <w:gridCol w:w="6917"/>
      </w:tblGrid>
      <w:tr w:rsidR="009A7831" w:rsidRPr="00095FEE" w:rsidTr="00A741F3">
        <w:tc>
          <w:tcPr>
            <w:tcW w:w="5000" w:type="pct"/>
            <w:gridSpan w:val="3"/>
            <w:tcBorders>
              <w:top w:val="single" w:sz="4" w:space="0" w:color="auto"/>
              <w:left w:val="single" w:sz="4" w:space="0" w:color="auto"/>
              <w:bottom w:val="single" w:sz="4" w:space="0" w:color="auto"/>
              <w:right w:val="single" w:sz="4" w:space="0" w:color="auto"/>
            </w:tcBorders>
          </w:tcPr>
          <w:p w:rsidR="009A7831" w:rsidRPr="00B00A0E" w:rsidRDefault="009A7831" w:rsidP="00A741F3">
            <w:pPr>
              <w:spacing w:before="100" w:beforeAutospacing="1" w:after="100" w:afterAutospacing="1"/>
              <w:jc w:val="center"/>
              <w:rPr>
                <w:b/>
                <w:bCs/>
              </w:rPr>
            </w:pPr>
            <w:r w:rsidRPr="00B00A0E">
              <w:rPr>
                <w:b/>
                <w:bCs/>
              </w:rPr>
              <w:t>IV. Tiesību akta projekta ietekme uz spēkā esošo tiesību normu sistēmu</w:t>
            </w:r>
          </w:p>
        </w:tc>
      </w:tr>
      <w:tr w:rsidR="009A7831" w:rsidRPr="00095FEE" w:rsidTr="00A741F3">
        <w:tc>
          <w:tcPr>
            <w:tcW w:w="180" w:type="pct"/>
            <w:tcBorders>
              <w:top w:val="single" w:sz="4" w:space="0" w:color="auto"/>
              <w:bottom w:val="outset" w:sz="6" w:space="0" w:color="000000"/>
              <w:right w:val="outset" w:sz="6" w:space="0" w:color="000000"/>
            </w:tcBorders>
          </w:tcPr>
          <w:p w:rsidR="009A7831" w:rsidRPr="00095FEE" w:rsidRDefault="009A7831" w:rsidP="00A741F3">
            <w:pPr>
              <w:spacing w:before="100" w:beforeAutospacing="1" w:after="100" w:afterAutospacing="1"/>
              <w:rPr>
                <w:sz w:val="28"/>
                <w:szCs w:val="28"/>
              </w:rPr>
            </w:pPr>
            <w:r w:rsidRPr="00095FEE">
              <w:rPr>
                <w:sz w:val="28"/>
                <w:szCs w:val="28"/>
              </w:rPr>
              <w:t>1.</w:t>
            </w:r>
          </w:p>
        </w:tc>
        <w:tc>
          <w:tcPr>
            <w:tcW w:w="1065" w:type="pct"/>
            <w:tcBorders>
              <w:top w:val="single" w:sz="4" w:space="0" w:color="auto"/>
              <w:left w:val="outset" w:sz="6" w:space="0" w:color="000000"/>
              <w:bottom w:val="outset" w:sz="6" w:space="0" w:color="000000"/>
              <w:right w:val="outset" w:sz="6" w:space="0" w:color="000000"/>
            </w:tcBorders>
          </w:tcPr>
          <w:p w:rsidR="009A7831" w:rsidRPr="00B00A0E" w:rsidRDefault="009A7831" w:rsidP="00A741F3">
            <w:pPr>
              <w:spacing w:before="100" w:beforeAutospacing="1" w:after="100" w:afterAutospacing="1"/>
            </w:pPr>
            <w:r w:rsidRPr="00B00A0E">
              <w:t>Nepieciešamie saistītie tiesību aktu projekti</w:t>
            </w:r>
          </w:p>
        </w:tc>
        <w:tc>
          <w:tcPr>
            <w:tcW w:w="3755" w:type="pct"/>
            <w:tcBorders>
              <w:top w:val="single" w:sz="4" w:space="0" w:color="auto"/>
              <w:left w:val="outset" w:sz="6" w:space="0" w:color="000000"/>
              <w:bottom w:val="outset" w:sz="6" w:space="0" w:color="000000"/>
            </w:tcBorders>
          </w:tcPr>
          <w:p w:rsidR="009A7831" w:rsidRPr="00B75845" w:rsidRDefault="009A7831" w:rsidP="00B33FC7">
            <w:pPr>
              <w:pStyle w:val="NormalWeb"/>
              <w:spacing w:before="0" w:beforeAutospacing="0" w:after="120" w:afterAutospacing="0"/>
              <w:jc w:val="both"/>
              <w:rPr>
                <w:szCs w:val="24"/>
              </w:rPr>
            </w:pPr>
            <w:r w:rsidRPr="00B75845">
              <w:rPr>
                <w:bCs/>
                <w:szCs w:val="24"/>
              </w:rPr>
              <w:t xml:space="preserve">Kad likumprojekts būs stājies spēkā, būs jāveic grozījumi </w:t>
            </w:r>
            <w:r w:rsidRPr="00B75845">
              <w:rPr>
                <w:szCs w:val="24"/>
              </w:rPr>
              <w:t xml:space="preserve">Ministru kabineta 2007.gada 30.oktobra noteikumos Nr.735 „Noteikumi par publiskas personas zemes nomu”, atbildīgā – Finanšu ministrija. </w:t>
            </w:r>
          </w:p>
          <w:p w:rsidR="009A7831" w:rsidRPr="00B75845" w:rsidRDefault="009A7831" w:rsidP="00B33FC7">
            <w:pPr>
              <w:pStyle w:val="NormalWeb"/>
              <w:spacing w:before="0" w:beforeAutospacing="0" w:after="120" w:afterAutospacing="0"/>
              <w:jc w:val="both"/>
              <w:rPr>
                <w:szCs w:val="24"/>
              </w:rPr>
            </w:pPr>
            <w:r w:rsidRPr="00B75845">
              <w:rPr>
                <w:szCs w:val="24"/>
              </w:rPr>
              <w:t xml:space="preserve">MK 2011.gada 8.novembra protokolā (prot.Nr.66, 38§) uzdots Finanšu ministrijai sadarbībā ar Vides aizsardzības un reģionālās attīstības ministriju līdz 2012.gada 15.augustam iesniegt Ministru kabinetā atbilstošus grozījumus normatīvajos aktos, lai paredzētu atsevišķu valsts vai pašvaldības zemes nomas maksas noteikšanas kārtību gadījumos, ja valsts vai pašvaldības zemesgabals tiek iznomāts zemes dzīļu izmantošanai. Pildot MK 2011.gada 8.novembra sēdē uzdoto, VARAM, FM, TM un VZD pārstāvju sarunās nolemts, ka protokollēmuma izpildi var nodrošināt, papildinot Ministru kabineta 2007.gada 30.oktobra noteikumus Nr.735 „Noteikumi par publiskas personas zemes nomu” ar jaunu nodaļu, nosakot nomas maksai lielāku procentuālo likmi no kadastrālās vērtības, nekā tā šobrīd noteikta. </w:t>
            </w:r>
          </w:p>
          <w:p w:rsidR="009A7831" w:rsidRPr="00B75845" w:rsidRDefault="009A7831" w:rsidP="002C6FAC">
            <w:pPr>
              <w:pStyle w:val="NormalWeb"/>
              <w:spacing w:before="0" w:beforeAutospacing="0" w:after="120" w:afterAutospacing="0"/>
              <w:ind w:right="119"/>
              <w:jc w:val="both"/>
              <w:rPr>
                <w:bCs/>
                <w:szCs w:val="24"/>
              </w:rPr>
            </w:pPr>
            <w:r w:rsidRPr="00B75845">
              <w:rPr>
                <w:szCs w:val="24"/>
              </w:rPr>
              <w:t xml:space="preserve">Izskatīšanai MK sēdē ir iesniegts noteikumu projekts „Derīgo izrakteņu ieguves kārtība” (izsludināts </w:t>
            </w:r>
            <w:r w:rsidRPr="00B75845">
              <w:rPr>
                <w:bCs/>
                <w:szCs w:val="24"/>
              </w:rPr>
              <w:t xml:space="preserve">valsts sekretāru sanāksmē </w:t>
            </w:r>
            <w:r w:rsidRPr="00B75845">
              <w:rPr>
                <w:szCs w:val="24"/>
              </w:rPr>
              <w:t>2011.gada 15.septembrī, VSS-993). Kad likumprojekts būs stājies spēkā, b</w:t>
            </w:r>
            <w:r w:rsidRPr="00B75845">
              <w:rPr>
                <w:bCs/>
                <w:szCs w:val="24"/>
              </w:rPr>
              <w:t xml:space="preserve">ūs jāizdara grozījumi šajos noteikumos un jāprecizē deleģējums, uz kura pamata noteikumi izdoti. </w:t>
            </w:r>
          </w:p>
          <w:p w:rsidR="009A7831" w:rsidRDefault="009A7831" w:rsidP="00AB4446">
            <w:pPr>
              <w:pStyle w:val="naisf"/>
              <w:ind w:firstLine="0"/>
              <w:rPr>
                <w:bCs/>
              </w:rPr>
            </w:pPr>
            <w:r w:rsidRPr="00F2622C">
              <w:t xml:space="preserve">Izskatīšanai MK sēdē ir iesniegts noteikumu projekts </w:t>
            </w:r>
            <w:r>
              <w:t>„</w:t>
            </w:r>
            <w:r w:rsidRPr="00F2622C">
              <w:t xml:space="preserve">Noteikumi par ģeoloģiskās informācijas sistēmu” </w:t>
            </w:r>
            <w:r>
              <w:t xml:space="preserve">(izsludināts </w:t>
            </w:r>
            <w:r w:rsidRPr="00F2622C">
              <w:t>Valsts sekretāru 2012. gada 2.februāra s</w:t>
            </w:r>
            <w:r>
              <w:t xml:space="preserve">anāksmē </w:t>
            </w:r>
            <w:r w:rsidRPr="00F2622C">
              <w:t>VSS-109</w:t>
            </w:r>
            <w:r>
              <w:t>)</w:t>
            </w:r>
            <w:r w:rsidRPr="00F2622C">
              <w:t>.</w:t>
            </w:r>
            <w:r>
              <w:t xml:space="preserve"> Noteikumu projektā noteikts pienākums valsts SIA „Latvijas Vides, ģeoloģijas un meteoroloģijas centrs” </w:t>
            </w:r>
            <w:r w:rsidRPr="00F2622C">
              <w:t>nodrošin</w:t>
            </w:r>
            <w:r>
              <w:t>āt</w:t>
            </w:r>
            <w:r w:rsidRPr="00F2622C">
              <w:t xml:space="preserve"> komercnoslēpuma aizsardzību.</w:t>
            </w:r>
            <w:r>
              <w:t xml:space="preserve"> </w:t>
            </w:r>
          </w:p>
        </w:tc>
      </w:tr>
      <w:tr w:rsidR="009A7831" w:rsidRPr="00095FEE" w:rsidTr="00A741F3">
        <w:tc>
          <w:tcPr>
            <w:tcW w:w="180" w:type="pct"/>
            <w:tcBorders>
              <w:top w:val="outset" w:sz="6" w:space="0" w:color="000000"/>
              <w:bottom w:val="outset" w:sz="6" w:space="0" w:color="000000"/>
              <w:right w:val="outset" w:sz="6" w:space="0" w:color="000000"/>
            </w:tcBorders>
          </w:tcPr>
          <w:p w:rsidR="009A7831" w:rsidRPr="00095FEE" w:rsidRDefault="009A7831" w:rsidP="00A741F3">
            <w:pPr>
              <w:spacing w:before="100" w:beforeAutospacing="1" w:after="100" w:afterAutospacing="1"/>
              <w:rPr>
                <w:sz w:val="28"/>
                <w:szCs w:val="28"/>
              </w:rPr>
            </w:pPr>
            <w:r w:rsidRPr="00095FEE">
              <w:rPr>
                <w:sz w:val="28"/>
                <w:szCs w:val="28"/>
              </w:rPr>
              <w:t>2.</w:t>
            </w:r>
          </w:p>
        </w:tc>
        <w:tc>
          <w:tcPr>
            <w:tcW w:w="1065" w:type="pct"/>
            <w:tcBorders>
              <w:top w:val="outset" w:sz="6" w:space="0" w:color="000000"/>
              <w:left w:val="outset" w:sz="6" w:space="0" w:color="000000"/>
              <w:bottom w:val="outset" w:sz="6" w:space="0" w:color="000000"/>
              <w:right w:val="outset" w:sz="6" w:space="0" w:color="000000"/>
            </w:tcBorders>
          </w:tcPr>
          <w:p w:rsidR="009A7831" w:rsidRPr="00B00A0E" w:rsidRDefault="009A7831" w:rsidP="00A741F3">
            <w:pPr>
              <w:spacing w:before="100" w:beforeAutospacing="1" w:after="100" w:afterAutospacing="1"/>
            </w:pPr>
            <w:r w:rsidRPr="00B00A0E">
              <w:t>Cita informācija</w:t>
            </w:r>
          </w:p>
        </w:tc>
        <w:tc>
          <w:tcPr>
            <w:tcW w:w="3755" w:type="pct"/>
            <w:tcBorders>
              <w:top w:val="outset" w:sz="6" w:space="0" w:color="000000"/>
              <w:left w:val="outset" w:sz="6" w:space="0" w:color="000000"/>
              <w:bottom w:val="outset" w:sz="6" w:space="0" w:color="000000"/>
            </w:tcBorders>
          </w:tcPr>
          <w:p w:rsidR="009A7831" w:rsidRPr="00B00A0E" w:rsidRDefault="009A7831" w:rsidP="00A741F3">
            <w:pPr>
              <w:spacing w:before="100" w:beforeAutospacing="1" w:after="100" w:afterAutospacing="1"/>
              <w:ind w:left="150"/>
            </w:pPr>
            <w:r w:rsidRPr="00B00A0E">
              <w:t>Nav.</w:t>
            </w:r>
          </w:p>
        </w:tc>
      </w:tr>
    </w:tbl>
    <w:p w:rsidR="009A7831" w:rsidRDefault="009A7831" w:rsidP="00681792">
      <w:pPr>
        <w:pStyle w:val="naiskr"/>
        <w:spacing w:before="0" w:after="120"/>
        <w:ind w:right="57"/>
        <w:rPr>
          <w:b/>
          <w:bCs/>
        </w:rPr>
      </w:pPr>
    </w:p>
    <w:p w:rsidR="009A7831" w:rsidRDefault="009A7831" w:rsidP="00681792">
      <w:pPr>
        <w:pStyle w:val="naiskr"/>
        <w:spacing w:before="0" w:after="120"/>
        <w:ind w:right="57"/>
        <w:jc w:val="center"/>
      </w:pPr>
      <w:r>
        <w:rPr>
          <w:b/>
          <w:bCs/>
        </w:rPr>
        <w:t xml:space="preserve">Anotācijas V </w:t>
      </w:r>
      <w:r w:rsidRPr="00EC3D80">
        <w:rPr>
          <w:b/>
          <w:bCs/>
        </w:rPr>
        <w:t xml:space="preserve">sadaļa - </w:t>
      </w:r>
      <w:r>
        <w:t>P</w:t>
      </w:r>
      <w:r w:rsidRPr="00EC3D80">
        <w:t>rojekts šo jomu neskar.</w:t>
      </w:r>
    </w:p>
    <w:tbl>
      <w:tblPr>
        <w:tblW w:w="5044" w:type="pct"/>
        <w:tblInd w:w="-8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30"/>
        <w:gridCol w:w="2420"/>
        <w:gridCol w:w="6459"/>
      </w:tblGrid>
      <w:tr w:rsidR="009A7831" w:rsidRPr="00481822" w:rsidTr="00681792">
        <w:tc>
          <w:tcPr>
            <w:tcW w:w="5000" w:type="pct"/>
            <w:gridSpan w:val="3"/>
            <w:tcBorders>
              <w:top w:val="single" w:sz="4" w:space="0" w:color="auto"/>
              <w:left w:val="single" w:sz="4" w:space="0" w:color="auto"/>
              <w:bottom w:val="single" w:sz="4" w:space="0" w:color="auto"/>
              <w:right w:val="single" w:sz="4" w:space="0" w:color="auto"/>
            </w:tcBorders>
          </w:tcPr>
          <w:p w:rsidR="009A7831" w:rsidRPr="00481822" w:rsidRDefault="009A7831" w:rsidP="00AA7969">
            <w:pPr>
              <w:spacing w:before="100" w:beforeAutospacing="1" w:after="100" w:afterAutospacing="1"/>
              <w:jc w:val="center"/>
              <w:rPr>
                <w:b/>
                <w:bCs/>
              </w:rPr>
            </w:pPr>
            <w:r w:rsidRPr="00481822">
              <w:rPr>
                <w:b/>
                <w:bCs/>
              </w:rPr>
              <w:t>VI. Sabiedrības līdzdalība un šīs līdzdalības rezultāti</w:t>
            </w:r>
          </w:p>
        </w:tc>
      </w:tr>
      <w:tr w:rsidR="009A7831" w:rsidRPr="00913434" w:rsidTr="00681792">
        <w:tc>
          <w:tcPr>
            <w:tcW w:w="179" w:type="pct"/>
            <w:tcBorders>
              <w:top w:val="outset" w:sz="6" w:space="0" w:color="000000"/>
              <w:bottom w:val="outset" w:sz="6" w:space="0" w:color="000000"/>
              <w:right w:val="outset" w:sz="6" w:space="0" w:color="000000"/>
            </w:tcBorders>
          </w:tcPr>
          <w:p w:rsidR="009A7831" w:rsidRPr="00913434" w:rsidRDefault="009A7831" w:rsidP="00AA7969">
            <w:pPr>
              <w:spacing w:before="100" w:beforeAutospacing="1" w:after="100" w:afterAutospacing="1"/>
            </w:pPr>
            <w:r w:rsidRPr="00913434">
              <w:rPr>
                <w:sz w:val="22"/>
                <w:szCs w:val="22"/>
              </w:rPr>
              <w:t>1.</w:t>
            </w:r>
          </w:p>
        </w:tc>
        <w:tc>
          <w:tcPr>
            <w:tcW w:w="1314" w:type="pct"/>
            <w:tcBorders>
              <w:top w:val="outset" w:sz="6" w:space="0" w:color="000000"/>
              <w:left w:val="outset" w:sz="6" w:space="0" w:color="000000"/>
              <w:bottom w:val="outset" w:sz="6" w:space="0" w:color="000000"/>
              <w:right w:val="outset" w:sz="6" w:space="0" w:color="000000"/>
            </w:tcBorders>
          </w:tcPr>
          <w:p w:rsidR="009A7831" w:rsidRPr="00913434" w:rsidRDefault="009A7831" w:rsidP="00AA7969">
            <w:pPr>
              <w:spacing w:before="100" w:beforeAutospacing="1" w:after="100" w:afterAutospacing="1"/>
            </w:pPr>
            <w:r w:rsidRPr="00913434">
              <w:rPr>
                <w:sz w:val="22"/>
                <w:szCs w:val="22"/>
              </w:rPr>
              <w:t>Sabiedrības informēšana par projekta izstrādes uzsākšanu</w:t>
            </w:r>
          </w:p>
        </w:tc>
        <w:tc>
          <w:tcPr>
            <w:tcW w:w="3507" w:type="pct"/>
            <w:tcBorders>
              <w:top w:val="outset" w:sz="6" w:space="0" w:color="000000"/>
              <w:left w:val="outset" w:sz="6" w:space="0" w:color="000000"/>
              <w:bottom w:val="outset" w:sz="6" w:space="0" w:color="000000"/>
            </w:tcBorders>
          </w:tcPr>
          <w:p w:rsidR="009A7831" w:rsidRPr="00E9224E" w:rsidRDefault="009A7831" w:rsidP="001963D8">
            <w:pPr>
              <w:pStyle w:val="naisnod"/>
              <w:spacing w:before="0" w:after="120"/>
              <w:jc w:val="both"/>
              <w:rPr>
                <w:bCs w:val="0"/>
              </w:rPr>
            </w:pPr>
            <w:r w:rsidRPr="00E9224E">
              <w:rPr>
                <w:bCs w:val="0"/>
              </w:rPr>
              <w:t xml:space="preserve">Likumprojekts izstrādāts pamatojoties uz: </w:t>
            </w:r>
          </w:p>
          <w:p w:rsidR="009A7831" w:rsidRPr="00322EB2" w:rsidRDefault="009A7831" w:rsidP="001963D8">
            <w:pPr>
              <w:pStyle w:val="naisnod"/>
              <w:spacing w:before="0" w:after="120"/>
              <w:jc w:val="both"/>
              <w:rPr>
                <w:b w:val="0"/>
                <w:color w:val="000000"/>
              </w:rPr>
            </w:pPr>
            <w:r>
              <w:rPr>
                <w:bCs w:val="0"/>
                <w:sz w:val="22"/>
                <w:szCs w:val="22"/>
              </w:rPr>
              <w:t xml:space="preserve"> </w:t>
            </w:r>
            <w:r w:rsidRPr="00322EB2">
              <w:rPr>
                <w:bCs w:val="0"/>
                <w:sz w:val="22"/>
                <w:szCs w:val="22"/>
              </w:rPr>
              <w:t xml:space="preserve">- </w:t>
            </w:r>
            <w:r w:rsidRPr="00322EB2">
              <w:rPr>
                <w:b w:val="0"/>
                <w:color w:val="000000"/>
              </w:rPr>
              <w:t>MK 2010.gada 19.aprīļa rīkojumu Nr. 214 „Par Zemes pārvaldības likuma koncepciju”;</w:t>
            </w:r>
          </w:p>
          <w:p w:rsidR="009A7831" w:rsidRPr="00B75845" w:rsidRDefault="009A7831" w:rsidP="001963D8">
            <w:pPr>
              <w:pStyle w:val="NormalWeb"/>
              <w:spacing w:before="0" w:beforeAutospacing="0" w:after="120" w:afterAutospacing="0"/>
              <w:jc w:val="both"/>
              <w:rPr>
                <w:szCs w:val="24"/>
              </w:rPr>
            </w:pPr>
            <w:r w:rsidRPr="00B75845">
              <w:rPr>
                <w:szCs w:val="24"/>
              </w:rPr>
              <w:t xml:space="preserve"> - MK 2011.gada 8.novembra protokolu (prot.Nr.66, 38§);</w:t>
            </w:r>
          </w:p>
          <w:p w:rsidR="009A7831" w:rsidRDefault="009A7831" w:rsidP="001963D8">
            <w:pPr>
              <w:ind w:left="92" w:right="69"/>
              <w:jc w:val="both"/>
              <w:rPr>
                <w:szCs w:val="28"/>
              </w:rPr>
            </w:pPr>
            <w:r w:rsidRPr="00322EB2">
              <w:t xml:space="preserve"> - Valsts sekretāru 2012.gada 22.marta sanāksmē nolemto (prot. Nr.12,</w:t>
            </w:r>
            <w:r w:rsidRPr="00322EB2">
              <w:rPr>
                <w:sz w:val="28"/>
                <w:szCs w:val="28"/>
              </w:rPr>
              <w:t xml:space="preserve"> </w:t>
            </w:r>
            <w:r w:rsidRPr="00322EB2">
              <w:rPr>
                <w:szCs w:val="28"/>
              </w:rPr>
              <w:t>38.§).</w:t>
            </w:r>
          </w:p>
          <w:p w:rsidR="009A7831" w:rsidRDefault="009A7831" w:rsidP="001963D8">
            <w:pPr>
              <w:ind w:left="92" w:right="69"/>
              <w:jc w:val="both"/>
              <w:rPr>
                <w:szCs w:val="28"/>
              </w:rPr>
            </w:pPr>
            <w:r>
              <w:t>Ņemot vērā, ka likumprojekts tika izstrādāts pamatojoties uz iepriekšminētajiem uzdevumiem, informācija nepieciešamajiem grozījumiem likumā bija skaidri definēta.</w:t>
            </w:r>
          </w:p>
          <w:p w:rsidR="009A7831" w:rsidRPr="00C84D91" w:rsidRDefault="009A7831" w:rsidP="00C84D91">
            <w:pPr>
              <w:ind w:left="92" w:right="69"/>
              <w:jc w:val="both"/>
              <w:rPr>
                <w:szCs w:val="28"/>
              </w:rPr>
            </w:pPr>
            <w:r>
              <w:rPr>
                <w:szCs w:val="28"/>
              </w:rPr>
              <w:t xml:space="preserve">Informācija par Valsts sekretāru sanāksmē izsludināto likumprojektu bija pieejama VARAM mājas lapā: </w:t>
            </w:r>
            <w:hyperlink r:id="rId8" w:history="1">
              <w:r w:rsidRPr="003C41C1">
                <w:rPr>
                  <w:rStyle w:val="Hyperlink"/>
                  <w:szCs w:val="28"/>
                  <w:lang w:eastAsia="lv-LV"/>
                </w:rPr>
                <w:t>www.varam.gov.lv</w:t>
              </w:r>
            </w:hyperlink>
            <w:r>
              <w:rPr>
                <w:szCs w:val="28"/>
              </w:rPr>
              <w:t xml:space="preserve">   </w:t>
            </w:r>
          </w:p>
        </w:tc>
      </w:tr>
      <w:tr w:rsidR="009A7831" w:rsidRPr="00913434" w:rsidTr="00681792">
        <w:tc>
          <w:tcPr>
            <w:tcW w:w="179" w:type="pct"/>
            <w:tcBorders>
              <w:top w:val="outset" w:sz="6" w:space="0" w:color="000000"/>
              <w:bottom w:val="outset" w:sz="6" w:space="0" w:color="000000"/>
              <w:right w:val="outset" w:sz="6" w:space="0" w:color="000000"/>
            </w:tcBorders>
          </w:tcPr>
          <w:p w:rsidR="009A7831" w:rsidRPr="00913434" w:rsidRDefault="009A7831" w:rsidP="00AA7969">
            <w:pPr>
              <w:spacing w:before="100" w:beforeAutospacing="1" w:after="100" w:afterAutospacing="1"/>
            </w:pPr>
            <w:r w:rsidRPr="00913434">
              <w:rPr>
                <w:sz w:val="22"/>
                <w:szCs w:val="22"/>
              </w:rPr>
              <w:t>2.</w:t>
            </w:r>
          </w:p>
        </w:tc>
        <w:tc>
          <w:tcPr>
            <w:tcW w:w="1314" w:type="pct"/>
            <w:tcBorders>
              <w:top w:val="outset" w:sz="6" w:space="0" w:color="000000"/>
              <w:left w:val="outset" w:sz="6" w:space="0" w:color="000000"/>
              <w:bottom w:val="outset" w:sz="6" w:space="0" w:color="000000"/>
              <w:right w:val="outset" w:sz="6" w:space="0" w:color="000000"/>
            </w:tcBorders>
          </w:tcPr>
          <w:p w:rsidR="009A7831" w:rsidRPr="00913434" w:rsidRDefault="009A7831" w:rsidP="00AA7969">
            <w:pPr>
              <w:spacing w:before="100" w:beforeAutospacing="1" w:after="100" w:afterAutospacing="1"/>
            </w:pPr>
            <w:r w:rsidRPr="00913434">
              <w:rPr>
                <w:sz w:val="22"/>
                <w:szCs w:val="22"/>
              </w:rPr>
              <w:t>Sabiedrības līdzdalība projekta izstrādē</w:t>
            </w:r>
          </w:p>
        </w:tc>
        <w:tc>
          <w:tcPr>
            <w:tcW w:w="3507" w:type="pct"/>
            <w:tcBorders>
              <w:top w:val="outset" w:sz="6" w:space="0" w:color="000000"/>
              <w:left w:val="outset" w:sz="6" w:space="0" w:color="000000"/>
              <w:bottom w:val="outset" w:sz="6" w:space="0" w:color="000000"/>
            </w:tcBorders>
          </w:tcPr>
          <w:p w:rsidR="009A7831" w:rsidRPr="00990794" w:rsidRDefault="009A7831" w:rsidP="00AA7969">
            <w:pPr>
              <w:ind w:left="92" w:right="69"/>
              <w:jc w:val="both"/>
            </w:pPr>
            <w:r w:rsidRPr="006B3AA3">
              <w:rPr>
                <w:sz w:val="22"/>
                <w:szCs w:val="22"/>
              </w:rPr>
              <w:t>Projekts šo jomu neskar</w:t>
            </w:r>
            <w:r>
              <w:rPr>
                <w:sz w:val="22"/>
                <w:szCs w:val="22"/>
              </w:rPr>
              <w:t>.</w:t>
            </w:r>
          </w:p>
        </w:tc>
      </w:tr>
      <w:tr w:rsidR="009A7831" w:rsidRPr="00913434" w:rsidTr="00681792">
        <w:tc>
          <w:tcPr>
            <w:tcW w:w="179" w:type="pct"/>
            <w:tcBorders>
              <w:top w:val="outset" w:sz="6" w:space="0" w:color="000000"/>
              <w:bottom w:val="outset" w:sz="6" w:space="0" w:color="000000"/>
              <w:right w:val="outset" w:sz="6" w:space="0" w:color="000000"/>
            </w:tcBorders>
          </w:tcPr>
          <w:p w:rsidR="009A7831" w:rsidRPr="00913434" w:rsidRDefault="009A7831" w:rsidP="00AA7969">
            <w:pPr>
              <w:spacing w:before="100" w:beforeAutospacing="1" w:after="100" w:afterAutospacing="1"/>
            </w:pPr>
            <w:r w:rsidRPr="00913434">
              <w:rPr>
                <w:sz w:val="22"/>
                <w:szCs w:val="22"/>
              </w:rPr>
              <w:t>3.</w:t>
            </w:r>
          </w:p>
        </w:tc>
        <w:tc>
          <w:tcPr>
            <w:tcW w:w="1314" w:type="pct"/>
            <w:tcBorders>
              <w:top w:val="outset" w:sz="6" w:space="0" w:color="000000"/>
              <w:left w:val="outset" w:sz="6" w:space="0" w:color="000000"/>
              <w:bottom w:val="outset" w:sz="6" w:space="0" w:color="000000"/>
              <w:right w:val="outset" w:sz="6" w:space="0" w:color="000000"/>
            </w:tcBorders>
          </w:tcPr>
          <w:p w:rsidR="009A7831" w:rsidRPr="00913434" w:rsidRDefault="009A7831" w:rsidP="00AA7969">
            <w:pPr>
              <w:spacing w:before="100" w:beforeAutospacing="1" w:after="100" w:afterAutospacing="1"/>
            </w:pPr>
            <w:r w:rsidRPr="00913434">
              <w:rPr>
                <w:sz w:val="22"/>
                <w:szCs w:val="22"/>
              </w:rPr>
              <w:t>Sabiedrības līdzdalības rezultāti</w:t>
            </w:r>
          </w:p>
        </w:tc>
        <w:tc>
          <w:tcPr>
            <w:tcW w:w="3507" w:type="pct"/>
            <w:tcBorders>
              <w:top w:val="outset" w:sz="6" w:space="0" w:color="000000"/>
              <w:left w:val="outset" w:sz="6" w:space="0" w:color="000000"/>
              <w:bottom w:val="outset" w:sz="6" w:space="0" w:color="000000"/>
            </w:tcBorders>
          </w:tcPr>
          <w:p w:rsidR="009A7831" w:rsidRPr="005A3261" w:rsidRDefault="009A7831" w:rsidP="00C84D91">
            <w:pPr>
              <w:ind w:left="92" w:right="69"/>
              <w:jc w:val="both"/>
              <w:rPr>
                <w:bCs/>
              </w:rPr>
            </w:pPr>
            <w:r w:rsidRPr="005A3261">
              <w:rPr>
                <w:bCs/>
              </w:rPr>
              <w:t>Pēc likumprojekta izsludināšanas Valsts sekretāru sanāksmē 2012.gada 2.jūlijā tika saņemti komentāri no Latvijas Ģeologu savienības. Latvijas Ģeologu savienības izteiktie iebildumi tika izvērtēti un iekļauti izziņā par iebildumiem, vienlaikus arī tika sniegti paskaidrojumi par vērā ņemtajiem un vērā neņemtajiem iebildumiem. Latvijas Ģeologu savienība tika uzaicināta uz starpministriju sanāksmi, kas notika šā gada 19.jūlijā. Sanāksmē diskusiju rezultātā tika panākta vienošanās par visiem izteiktajiem iebildumiem, tai skaitā arī par Latvijas Ģeologu savienības:</w:t>
            </w:r>
          </w:p>
          <w:p w:rsidR="009A7831" w:rsidRPr="005A3261" w:rsidRDefault="009A7831" w:rsidP="009E50B8">
            <w:pPr>
              <w:numPr>
                <w:ilvl w:val="0"/>
                <w:numId w:val="9"/>
              </w:numPr>
              <w:ind w:right="69"/>
              <w:jc w:val="both"/>
              <w:rPr>
                <w:bCs/>
              </w:rPr>
            </w:pPr>
            <w:r w:rsidRPr="005A3261">
              <w:rPr>
                <w:bCs/>
              </w:rPr>
              <w:t>par terminoloģijas lietojumu likumprojektā;</w:t>
            </w:r>
          </w:p>
          <w:p w:rsidR="009A7831" w:rsidRPr="005A3261" w:rsidRDefault="009A7831" w:rsidP="009E50B8">
            <w:pPr>
              <w:numPr>
                <w:ilvl w:val="0"/>
                <w:numId w:val="9"/>
              </w:numPr>
              <w:ind w:right="69"/>
              <w:jc w:val="both"/>
              <w:rPr>
                <w:bCs/>
              </w:rPr>
            </w:pPr>
            <w:r w:rsidRPr="005A3261">
              <w:rPr>
                <w:bCs/>
              </w:rPr>
              <w:t>par deleģējumu MK noteikt prasības ogļūdeņražu meklēšanai un izpētei, izpētes pārskatam, kā arī derīgo izrakteņu krājumu akceptācijai;</w:t>
            </w:r>
          </w:p>
          <w:p w:rsidR="009A7831" w:rsidRPr="005A3261" w:rsidRDefault="009A7831" w:rsidP="009E50B8">
            <w:pPr>
              <w:numPr>
                <w:ilvl w:val="0"/>
                <w:numId w:val="9"/>
              </w:numPr>
              <w:ind w:right="69"/>
              <w:jc w:val="both"/>
              <w:rPr>
                <w:bCs/>
              </w:rPr>
            </w:pPr>
            <w:r w:rsidRPr="005A3261">
              <w:rPr>
                <w:bCs/>
              </w:rPr>
              <w:t>par deleģējumu MK noteikt prasības ģeotermālās enerģijas meklēšanai, izpētei un ieguvei;</w:t>
            </w:r>
          </w:p>
          <w:p w:rsidR="009A7831" w:rsidRPr="005A3261" w:rsidRDefault="009A7831" w:rsidP="009E50B8">
            <w:pPr>
              <w:numPr>
                <w:ilvl w:val="0"/>
                <w:numId w:val="9"/>
              </w:numPr>
              <w:ind w:right="69"/>
              <w:jc w:val="both"/>
              <w:rPr>
                <w:bCs/>
              </w:rPr>
            </w:pPr>
            <w:r w:rsidRPr="005A3261">
              <w:rPr>
                <w:bCs/>
              </w:rPr>
              <w:t>par iespēju pilnveidot zemes dzīļu pārvaldības sistēmu un veidot vienotu administratīvo procesu derīgo izrakteņu krājumu un ģeotermālo resursu akceptācijai un zemes dzīļu izmantošanas licenču izsniegšanai, šo pienākumu veikšanu deleģējot Valsts vides dienestam.</w:t>
            </w:r>
          </w:p>
          <w:p w:rsidR="009A7831" w:rsidRPr="005A3261" w:rsidRDefault="009A7831" w:rsidP="009E50B8">
            <w:pPr>
              <w:ind w:right="69"/>
              <w:jc w:val="both"/>
              <w:rPr>
                <w:bCs/>
              </w:rPr>
            </w:pPr>
          </w:p>
          <w:p w:rsidR="009A7831" w:rsidRPr="005A3261" w:rsidRDefault="009A7831" w:rsidP="009E50B8">
            <w:pPr>
              <w:ind w:right="69"/>
              <w:jc w:val="both"/>
              <w:rPr>
                <w:bCs/>
              </w:rPr>
            </w:pPr>
            <w:r w:rsidRPr="005A3261">
              <w:rPr>
                <w:bCs/>
              </w:rPr>
              <w:t>Ņemot vērā, ka starpministriju sanāksmē tika panākta vienošanās par visiem iebildumiem</w:t>
            </w:r>
            <w:r>
              <w:rPr>
                <w:bCs/>
              </w:rPr>
              <w:t xml:space="preserve">, </w:t>
            </w:r>
            <w:r w:rsidRPr="005A3261">
              <w:rPr>
                <w:bCs/>
              </w:rPr>
              <w:t>likumprojekts šā gada 20.jūlijā tika nosūtīts elektroniskajai saskaņošanai uz piecām darbdienām visiem saskaņošanas dalībniekiem, arī Latvijas Ģeologu savienībai.</w:t>
            </w:r>
          </w:p>
          <w:p w:rsidR="009A7831" w:rsidRPr="005A3261" w:rsidRDefault="009A7831" w:rsidP="009E50B8">
            <w:pPr>
              <w:ind w:right="69"/>
              <w:jc w:val="both"/>
              <w:rPr>
                <w:bCs/>
              </w:rPr>
            </w:pPr>
          </w:p>
          <w:p w:rsidR="009A7831" w:rsidRDefault="009A7831" w:rsidP="005A3261">
            <w:pPr>
              <w:ind w:right="69"/>
              <w:jc w:val="both"/>
              <w:rPr>
                <w:bCs/>
              </w:rPr>
            </w:pPr>
            <w:r w:rsidRPr="005A3261">
              <w:rPr>
                <w:bCs/>
              </w:rPr>
              <w:t>Saskaņošanas laikā šā gada 24.jūlijā tika saņemts viedoklis no Latvijas Ģeologu savienības, ka neatbalsta pašreizējā likumprojekta redakcijas virzīšanu uz Saeimu</w:t>
            </w:r>
            <w:r>
              <w:rPr>
                <w:bCs/>
              </w:rPr>
              <w:t>, ja netiek iekļauts</w:t>
            </w:r>
            <w:r w:rsidRPr="005A3261">
              <w:rPr>
                <w:bCs/>
              </w:rPr>
              <w:t xml:space="preserve"> deleģējum</w:t>
            </w:r>
            <w:r>
              <w:rPr>
                <w:bCs/>
              </w:rPr>
              <w:t>s</w:t>
            </w:r>
            <w:r w:rsidRPr="005A3261">
              <w:rPr>
                <w:bCs/>
              </w:rPr>
              <w:t xml:space="preserve"> Ministru kabinetam noteikt prasības ģeotermālās enerģijas meklēšanai, izpētei un ieguvei, tai skaitā ģeotermālo resursu akceptācijas procedūrai, vides aizsardzības prasības ģeotermālās enerģijas ieguves iekārtu ierīkošanai, ekspluatācijai un likvidācijai, kā arī prasības iekārtu reģistrācijai un ģeoloģiskajai informācijai, kas iesniedzama ģeoloģiskās informācijas sistēmā.</w:t>
            </w:r>
          </w:p>
          <w:p w:rsidR="009A7831" w:rsidRPr="005A3261" w:rsidRDefault="009A7831" w:rsidP="005A3261">
            <w:pPr>
              <w:ind w:right="69"/>
              <w:jc w:val="both"/>
              <w:rPr>
                <w:bCs/>
              </w:rPr>
            </w:pPr>
          </w:p>
          <w:p w:rsidR="009A7831" w:rsidRPr="00D70F7D" w:rsidRDefault="009A7831" w:rsidP="00D70F7D">
            <w:pPr>
              <w:pStyle w:val="CommentText"/>
              <w:jc w:val="both"/>
              <w:rPr>
                <w:color w:val="FF0000"/>
                <w:sz w:val="24"/>
                <w:szCs w:val="24"/>
              </w:rPr>
            </w:pPr>
            <w:r w:rsidRPr="00D70F7D">
              <w:rPr>
                <w:sz w:val="24"/>
                <w:szCs w:val="24"/>
              </w:rPr>
              <w:t>Starpministriju sanāksmē tika panākta vienošanās ar Latvijas Ģeologu savienību, tai skaitā par iebildumu, ar kuru Latvijas Ģeologu savienība pēc starpministriju sanāksmes 24.jūlijā vērsās VARAM. Starpministriju sanāksmes laikā VARAM sniedza argumentus, kāpēc šāds deleģējums nav nepieciešams, un arī par to, ka šie noteikumi ir specifiski sava tehniskā apraksta dēļ.</w:t>
            </w:r>
          </w:p>
        </w:tc>
      </w:tr>
      <w:tr w:rsidR="009A7831" w:rsidRPr="00913434" w:rsidTr="00681792">
        <w:tc>
          <w:tcPr>
            <w:tcW w:w="179" w:type="pct"/>
            <w:tcBorders>
              <w:top w:val="outset" w:sz="6" w:space="0" w:color="000000"/>
              <w:bottom w:val="outset" w:sz="6" w:space="0" w:color="000000"/>
              <w:right w:val="outset" w:sz="6" w:space="0" w:color="000000"/>
            </w:tcBorders>
          </w:tcPr>
          <w:p w:rsidR="009A7831" w:rsidRPr="00913434" w:rsidRDefault="009A7831" w:rsidP="00AA7969">
            <w:pPr>
              <w:spacing w:before="100" w:beforeAutospacing="1" w:after="100" w:afterAutospacing="1"/>
            </w:pPr>
            <w:r w:rsidRPr="00913434">
              <w:rPr>
                <w:sz w:val="22"/>
                <w:szCs w:val="22"/>
              </w:rPr>
              <w:t>4.</w:t>
            </w:r>
          </w:p>
        </w:tc>
        <w:tc>
          <w:tcPr>
            <w:tcW w:w="1314" w:type="pct"/>
            <w:tcBorders>
              <w:top w:val="outset" w:sz="6" w:space="0" w:color="000000"/>
              <w:left w:val="outset" w:sz="6" w:space="0" w:color="000000"/>
              <w:bottom w:val="outset" w:sz="6" w:space="0" w:color="000000"/>
              <w:right w:val="outset" w:sz="6" w:space="0" w:color="000000"/>
            </w:tcBorders>
          </w:tcPr>
          <w:p w:rsidR="009A7831" w:rsidRPr="00913434" w:rsidRDefault="009A7831" w:rsidP="00AA7969">
            <w:pPr>
              <w:spacing w:before="100" w:beforeAutospacing="1" w:after="100" w:afterAutospacing="1"/>
            </w:pPr>
            <w:r w:rsidRPr="00913434">
              <w:rPr>
                <w:sz w:val="22"/>
                <w:szCs w:val="22"/>
              </w:rPr>
              <w:t>Saeimas un ekspertu līdzdalība</w:t>
            </w:r>
          </w:p>
        </w:tc>
        <w:tc>
          <w:tcPr>
            <w:tcW w:w="3507" w:type="pct"/>
            <w:tcBorders>
              <w:top w:val="outset" w:sz="6" w:space="0" w:color="000000"/>
              <w:left w:val="outset" w:sz="6" w:space="0" w:color="000000"/>
              <w:bottom w:val="outset" w:sz="6" w:space="0" w:color="000000"/>
            </w:tcBorders>
          </w:tcPr>
          <w:p w:rsidR="009A7831" w:rsidRPr="005A3261" w:rsidRDefault="009A7831" w:rsidP="00AA7969">
            <w:pPr>
              <w:spacing w:before="100" w:beforeAutospacing="1" w:after="100" w:afterAutospacing="1"/>
              <w:ind w:left="92"/>
            </w:pPr>
            <w:r w:rsidRPr="005A3261">
              <w:t>Projekts šo jomu neskar.</w:t>
            </w:r>
          </w:p>
        </w:tc>
      </w:tr>
      <w:tr w:rsidR="009A7831" w:rsidRPr="00913434" w:rsidTr="00681792">
        <w:tc>
          <w:tcPr>
            <w:tcW w:w="179" w:type="pct"/>
            <w:tcBorders>
              <w:top w:val="outset" w:sz="6" w:space="0" w:color="000000"/>
              <w:bottom w:val="outset" w:sz="6" w:space="0" w:color="000000"/>
              <w:right w:val="outset" w:sz="6" w:space="0" w:color="000000"/>
            </w:tcBorders>
          </w:tcPr>
          <w:p w:rsidR="009A7831" w:rsidRPr="00913434" w:rsidRDefault="009A7831" w:rsidP="00AA7969">
            <w:pPr>
              <w:spacing w:before="100" w:beforeAutospacing="1" w:after="100" w:afterAutospacing="1"/>
            </w:pPr>
            <w:r w:rsidRPr="00913434">
              <w:rPr>
                <w:sz w:val="22"/>
                <w:szCs w:val="22"/>
              </w:rPr>
              <w:t>5.</w:t>
            </w:r>
          </w:p>
        </w:tc>
        <w:tc>
          <w:tcPr>
            <w:tcW w:w="1314" w:type="pct"/>
            <w:tcBorders>
              <w:top w:val="outset" w:sz="6" w:space="0" w:color="000000"/>
              <w:left w:val="outset" w:sz="6" w:space="0" w:color="000000"/>
              <w:bottom w:val="outset" w:sz="6" w:space="0" w:color="000000"/>
              <w:right w:val="outset" w:sz="6" w:space="0" w:color="000000"/>
            </w:tcBorders>
          </w:tcPr>
          <w:p w:rsidR="009A7831" w:rsidRPr="00913434" w:rsidRDefault="009A7831" w:rsidP="00AA7969">
            <w:pPr>
              <w:spacing w:before="100" w:beforeAutospacing="1" w:after="100" w:afterAutospacing="1"/>
            </w:pPr>
            <w:r w:rsidRPr="00913434">
              <w:rPr>
                <w:sz w:val="22"/>
                <w:szCs w:val="22"/>
              </w:rPr>
              <w:t>Cita informācija</w:t>
            </w:r>
          </w:p>
        </w:tc>
        <w:tc>
          <w:tcPr>
            <w:tcW w:w="3507" w:type="pct"/>
            <w:tcBorders>
              <w:top w:val="outset" w:sz="6" w:space="0" w:color="000000"/>
              <w:left w:val="outset" w:sz="6" w:space="0" w:color="000000"/>
              <w:bottom w:val="outset" w:sz="6" w:space="0" w:color="000000"/>
            </w:tcBorders>
          </w:tcPr>
          <w:p w:rsidR="009A7831" w:rsidRPr="00913434" w:rsidRDefault="009A7831" w:rsidP="00AA7969">
            <w:pPr>
              <w:spacing w:before="100" w:beforeAutospacing="1" w:after="100" w:afterAutospacing="1"/>
              <w:ind w:left="92"/>
            </w:pPr>
            <w:r w:rsidRPr="00913434">
              <w:rPr>
                <w:bCs/>
                <w:sz w:val="22"/>
                <w:szCs w:val="22"/>
              </w:rPr>
              <w:t>Nav</w:t>
            </w:r>
            <w:r w:rsidRPr="00913434">
              <w:rPr>
                <w:sz w:val="22"/>
                <w:szCs w:val="22"/>
              </w:rPr>
              <w:t>.</w:t>
            </w:r>
          </w:p>
        </w:tc>
      </w:tr>
    </w:tbl>
    <w:p w:rsidR="009A7831" w:rsidRDefault="009A7831" w:rsidP="00681792">
      <w:pPr>
        <w:pStyle w:val="naiskr"/>
        <w:spacing w:before="0" w:after="120"/>
        <w:ind w:right="57"/>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4819"/>
      </w:tblGrid>
      <w:tr w:rsidR="009A7831" w:rsidRPr="00380A54" w:rsidTr="00305019">
        <w:tc>
          <w:tcPr>
            <w:tcW w:w="9214" w:type="dxa"/>
            <w:gridSpan w:val="2"/>
          </w:tcPr>
          <w:p w:rsidR="009A7831" w:rsidRPr="00380A54" w:rsidRDefault="009A7831" w:rsidP="00155A4D">
            <w:pPr>
              <w:jc w:val="center"/>
              <w:rPr>
                <w:b/>
              </w:rPr>
            </w:pPr>
            <w:r w:rsidRPr="00380A54">
              <w:br w:type="page"/>
            </w:r>
            <w:r w:rsidRPr="00380A54">
              <w:rPr>
                <w:b/>
              </w:rPr>
              <w:t xml:space="preserve">VII. </w:t>
            </w:r>
            <w:r w:rsidRPr="00380A54">
              <w:rPr>
                <w:b/>
                <w:bCs/>
              </w:rPr>
              <w:t>Tiesību akta projekta izpildes nodrošināšana un tās ietekme uz institūcijām</w:t>
            </w:r>
          </w:p>
        </w:tc>
      </w:tr>
      <w:tr w:rsidR="009A7831" w:rsidRPr="00380A54" w:rsidTr="00A741F3">
        <w:trPr>
          <w:trHeight w:val="607"/>
        </w:trPr>
        <w:tc>
          <w:tcPr>
            <w:tcW w:w="4395" w:type="dxa"/>
          </w:tcPr>
          <w:p w:rsidR="009A7831" w:rsidRPr="00380A54" w:rsidRDefault="009A7831" w:rsidP="00155A4D">
            <w:pPr>
              <w:ind w:right="-57"/>
              <w:jc w:val="both"/>
            </w:pPr>
            <w:r w:rsidRPr="00380A54">
              <w:t xml:space="preserve">1. Projekta izpildē iesaistītās institūcijas </w:t>
            </w:r>
          </w:p>
        </w:tc>
        <w:tc>
          <w:tcPr>
            <w:tcW w:w="4819" w:type="dxa"/>
          </w:tcPr>
          <w:p w:rsidR="009A7831" w:rsidRPr="00FF2BF7" w:rsidRDefault="009A7831" w:rsidP="00A741F3">
            <w:pPr>
              <w:pStyle w:val="Footer"/>
              <w:tabs>
                <w:tab w:val="clear" w:pos="4153"/>
                <w:tab w:val="clear" w:pos="8306"/>
              </w:tabs>
              <w:spacing w:after="120"/>
              <w:ind w:firstLine="34"/>
              <w:jc w:val="both"/>
              <w:rPr>
                <w:rFonts w:ascii="Times New Roman" w:hAnsi="Times New Roman"/>
                <w:color w:val="7030A0"/>
                <w:sz w:val="24"/>
                <w:szCs w:val="24"/>
                <w:lang w:eastAsia="en-US"/>
              </w:rPr>
            </w:pPr>
            <w:r w:rsidRPr="00FF2BF7">
              <w:rPr>
                <w:sz w:val="24"/>
                <w:szCs w:val="24"/>
              </w:rPr>
              <w:t xml:space="preserve">Ekonomikas ministrija, </w:t>
            </w:r>
            <w:r w:rsidRPr="00FF2BF7">
              <w:rPr>
                <w:rFonts w:ascii="Times New Roman" w:hAnsi="Times New Roman"/>
                <w:sz w:val="24"/>
                <w:szCs w:val="24"/>
                <w:lang w:eastAsia="en-US"/>
              </w:rPr>
              <w:t>Valsts vides dienests, Valsts SIA „Latvijas Vides, ģeoloģijas un meteoroloģijas centrs”.</w:t>
            </w:r>
          </w:p>
        </w:tc>
      </w:tr>
      <w:tr w:rsidR="009A7831" w:rsidRPr="00380A54" w:rsidTr="00A741F3">
        <w:trPr>
          <w:trHeight w:val="607"/>
        </w:trPr>
        <w:tc>
          <w:tcPr>
            <w:tcW w:w="4395" w:type="dxa"/>
          </w:tcPr>
          <w:p w:rsidR="009A7831" w:rsidRPr="00380A54" w:rsidRDefault="009A7831" w:rsidP="00155A4D">
            <w:pPr>
              <w:ind w:right="-57"/>
              <w:jc w:val="both"/>
              <w:rPr>
                <w:szCs w:val="28"/>
              </w:rPr>
            </w:pPr>
            <w:r w:rsidRPr="00380A54">
              <w:t>2. Projekta izpildes ietekme uz pārvaldes funkcijām</w:t>
            </w:r>
          </w:p>
        </w:tc>
        <w:tc>
          <w:tcPr>
            <w:tcW w:w="4819" w:type="dxa"/>
          </w:tcPr>
          <w:p w:rsidR="009A7831" w:rsidRPr="00FF2BF7" w:rsidRDefault="009A7831" w:rsidP="00155A4D">
            <w:pPr>
              <w:pStyle w:val="Footer"/>
              <w:tabs>
                <w:tab w:val="clear" w:pos="4153"/>
                <w:tab w:val="clear" w:pos="8306"/>
              </w:tabs>
              <w:spacing w:after="120"/>
              <w:ind w:firstLine="34"/>
              <w:jc w:val="both"/>
              <w:rPr>
                <w:rFonts w:ascii="Times New Roman" w:hAnsi="Times New Roman"/>
                <w:sz w:val="24"/>
                <w:szCs w:val="24"/>
                <w:lang w:eastAsia="en-US"/>
              </w:rPr>
            </w:pPr>
            <w:r w:rsidRPr="00FF2BF7">
              <w:rPr>
                <w:rFonts w:ascii="Times New Roman" w:hAnsi="Times New Roman"/>
                <w:sz w:val="24"/>
                <w:szCs w:val="24"/>
                <w:lang w:eastAsia="en-US"/>
              </w:rPr>
              <w:t>Projekts šo jomu neskar.</w:t>
            </w:r>
          </w:p>
          <w:p w:rsidR="009A7831" w:rsidRPr="00FF2BF7" w:rsidRDefault="009A7831" w:rsidP="00155A4D">
            <w:pPr>
              <w:pStyle w:val="Footer"/>
              <w:tabs>
                <w:tab w:val="clear" w:pos="4153"/>
                <w:tab w:val="clear" w:pos="8306"/>
              </w:tabs>
              <w:spacing w:after="120"/>
              <w:ind w:firstLine="34"/>
              <w:jc w:val="both"/>
              <w:rPr>
                <w:rFonts w:ascii="Times New Roman" w:hAnsi="Times New Roman"/>
                <w:sz w:val="24"/>
                <w:szCs w:val="24"/>
                <w:lang w:eastAsia="en-US"/>
              </w:rPr>
            </w:pPr>
          </w:p>
        </w:tc>
      </w:tr>
      <w:tr w:rsidR="009A7831" w:rsidRPr="00380A54" w:rsidTr="00A741F3">
        <w:trPr>
          <w:trHeight w:val="607"/>
        </w:trPr>
        <w:tc>
          <w:tcPr>
            <w:tcW w:w="4395" w:type="dxa"/>
          </w:tcPr>
          <w:p w:rsidR="009A7831" w:rsidRPr="00380A54" w:rsidRDefault="009A7831" w:rsidP="00155A4D">
            <w:r w:rsidRPr="00380A54">
              <w:t>3. Projekta izpildes ietekme uz pārvaldes institucionālo struktūru.</w:t>
            </w:r>
          </w:p>
          <w:p w:rsidR="009A7831" w:rsidRPr="00380A54" w:rsidRDefault="009A7831" w:rsidP="00155A4D">
            <w:r w:rsidRPr="00380A54">
              <w:t>Jaunu institūciju izveide</w:t>
            </w:r>
          </w:p>
        </w:tc>
        <w:tc>
          <w:tcPr>
            <w:tcW w:w="4819" w:type="dxa"/>
          </w:tcPr>
          <w:p w:rsidR="009A7831" w:rsidRDefault="009A7831" w:rsidP="009909A2">
            <w:pPr>
              <w:pStyle w:val="naisf"/>
              <w:spacing w:before="0" w:after="120"/>
              <w:ind w:firstLine="0"/>
            </w:pPr>
            <w:r>
              <w:t>Projekts šo jomu neskar.</w:t>
            </w:r>
          </w:p>
          <w:p w:rsidR="009A7831" w:rsidRPr="00380A54" w:rsidRDefault="009A7831" w:rsidP="009909A2">
            <w:pPr>
              <w:pStyle w:val="naisf"/>
              <w:spacing w:before="0" w:after="120"/>
              <w:ind w:firstLine="0"/>
              <w:rPr>
                <w:szCs w:val="28"/>
              </w:rPr>
            </w:pPr>
            <w:r w:rsidRPr="00514A7B">
              <w:t>Jaun</w:t>
            </w:r>
            <w:r>
              <w:t>u</w:t>
            </w:r>
            <w:r w:rsidRPr="00514A7B">
              <w:t xml:space="preserve"> institūcij</w:t>
            </w:r>
            <w:r>
              <w:t xml:space="preserve">u izveide </w:t>
            </w:r>
            <w:r w:rsidRPr="00514A7B">
              <w:t>netiek paredzēta.</w:t>
            </w:r>
            <w:r>
              <w:t xml:space="preserve"> </w:t>
            </w:r>
          </w:p>
        </w:tc>
      </w:tr>
      <w:tr w:rsidR="009A7831" w:rsidRPr="00380A54" w:rsidTr="00A741F3">
        <w:trPr>
          <w:trHeight w:val="607"/>
        </w:trPr>
        <w:tc>
          <w:tcPr>
            <w:tcW w:w="4395" w:type="dxa"/>
          </w:tcPr>
          <w:p w:rsidR="009A7831" w:rsidRPr="00380A54" w:rsidRDefault="009A7831" w:rsidP="00155A4D">
            <w:r w:rsidRPr="00380A54">
              <w:t>4. Projekta izpildes ietekme uz pārvaldes institucionālo struktūru.</w:t>
            </w:r>
          </w:p>
          <w:p w:rsidR="009A7831" w:rsidRPr="00380A54" w:rsidRDefault="009A7831" w:rsidP="00155A4D">
            <w:r w:rsidRPr="00380A54">
              <w:t>Esošu institūciju likvidācija</w:t>
            </w:r>
            <w:r>
              <w:t xml:space="preserve"> </w:t>
            </w:r>
          </w:p>
        </w:tc>
        <w:tc>
          <w:tcPr>
            <w:tcW w:w="4819" w:type="dxa"/>
          </w:tcPr>
          <w:p w:rsidR="009A7831" w:rsidRDefault="009A7831" w:rsidP="009909A2">
            <w:pPr>
              <w:pStyle w:val="naisf"/>
              <w:spacing w:before="0" w:after="120"/>
              <w:ind w:firstLine="34"/>
            </w:pPr>
            <w:r>
              <w:t>Projekts šo jomu neskar.</w:t>
            </w:r>
          </w:p>
          <w:p w:rsidR="009A7831" w:rsidRPr="00380A54" w:rsidRDefault="009A7831" w:rsidP="009909A2">
            <w:pPr>
              <w:pStyle w:val="naisf"/>
              <w:spacing w:before="0" w:after="120"/>
              <w:ind w:firstLine="34"/>
              <w:rPr>
                <w:szCs w:val="28"/>
              </w:rPr>
            </w:pPr>
            <w:r w:rsidRPr="009640EB">
              <w:t>Esošu institūciju likvidācija</w:t>
            </w:r>
            <w:r>
              <w:t xml:space="preserve"> netiek paredzēta. </w:t>
            </w:r>
          </w:p>
        </w:tc>
      </w:tr>
      <w:tr w:rsidR="009A7831" w:rsidRPr="00380A54" w:rsidTr="00A741F3">
        <w:trPr>
          <w:trHeight w:val="607"/>
        </w:trPr>
        <w:tc>
          <w:tcPr>
            <w:tcW w:w="4395" w:type="dxa"/>
          </w:tcPr>
          <w:p w:rsidR="009A7831" w:rsidRPr="00380A54" w:rsidRDefault="009A7831" w:rsidP="00155A4D">
            <w:r w:rsidRPr="00380A54">
              <w:t>5. Projekta izpildes ietekme uz pārvaldes institucionālo struktūru.</w:t>
            </w:r>
          </w:p>
          <w:p w:rsidR="009A7831" w:rsidRPr="00380A54" w:rsidRDefault="009A7831" w:rsidP="00155A4D">
            <w:r w:rsidRPr="00380A54">
              <w:t>Esošu institūciju reorganizācija</w:t>
            </w:r>
            <w:r>
              <w:t xml:space="preserve"> </w:t>
            </w:r>
          </w:p>
        </w:tc>
        <w:tc>
          <w:tcPr>
            <w:tcW w:w="4819" w:type="dxa"/>
          </w:tcPr>
          <w:p w:rsidR="009A7831" w:rsidRDefault="009A7831" w:rsidP="009909A2">
            <w:pPr>
              <w:pStyle w:val="naisf"/>
              <w:spacing w:before="0" w:after="120"/>
              <w:ind w:firstLine="34"/>
            </w:pPr>
            <w:r>
              <w:t>Projekts šo jomu neskar.</w:t>
            </w:r>
          </w:p>
          <w:p w:rsidR="009A7831" w:rsidRPr="00380A54" w:rsidRDefault="009A7831" w:rsidP="009909A2">
            <w:pPr>
              <w:pStyle w:val="naisf"/>
              <w:spacing w:before="0" w:after="120"/>
              <w:ind w:firstLine="34"/>
            </w:pPr>
            <w:r w:rsidRPr="009640EB">
              <w:t>Esošu institūciju reorganizācija</w:t>
            </w:r>
            <w:r>
              <w:t xml:space="preserve"> netiek paredzēta. </w:t>
            </w:r>
          </w:p>
        </w:tc>
      </w:tr>
      <w:tr w:rsidR="009A7831" w:rsidRPr="00380A54" w:rsidTr="00A741F3">
        <w:tc>
          <w:tcPr>
            <w:tcW w:w="4395" w:type="dxa"/>
          </w:tcPr>
          <w:p w:rsidR="009A7831" w:rsidRPr="00380A54" w:rsidRDefault="009A7831" w:rsidP="00155A4D">
            <w:pPr>
              <w:ind w:left="284" w:hanging="284"/>
              <w:rPr>
                <w:szCs w:val="28"/>
              </w:rPr>
            </w:pPr>
            <w:r w:rsidRPr="00380A54">
              <w:rPr>
                <w:szCs w:val="28"/>
              </w:rPr>
              <w:t>6. Cita informācija</w:t>
            </w:r>
          </w:p>
        </w:tc>
        <w:tc>
          <w:tcPr>
            <w:tcW w:w="4819" w:type="dxa"/>
          </w:tcPr>
          <w:p w:rsidR="009A7831" w:rsidRPr="00380A54" w:rsidRDefault="009A7831" w:rsidP="00155A4D">
            <w:pPr>
              <w:rPr>
                <w:szCs w:val="28"/>
              </w:rPr>
            </w:pPr>
            <w:r w:rsidRPr="00380A54">
              <w:rPr>
                <w:szCs w:val="28"/>
              </w:rPr>
              <w:t xml:space="preserve">Nav </w:t>
            </w:r>
          </w:p>
        </w:tc>
      </w:tr>
    </w:tbl>
    <w:p w:rsidR="009A7831" w:rsidRPr="00380A54" w:rsidRDefault="009A7831" w:rsidP="00155A4D">
      <w:pPr>
        <w:pStyle w:val="Header"/>
        <w:rPr>
          <w:szCs w:val="28"/>
        </w:rPr>
      </w:pPr>
      <w:r w:rsidRPr="00380A54">
        <w:rPr>
          <w:szCs w:val="28"/>
        </w:rPr>
        <w:t xml:space="preserve">                 </w:t>
      </w:r>
    </w:p>
    <w:p w:rsidR="009A7831" w:rsidRDefault="009A7831" w:rsidP="00155A4D">
      <w:pPr>
        <w:tabs>
          <w:tab w:val="left" w:pos="0"/>
        </w:tabs>
        <w:jc w:val="both"/>
      </w:pPr>
    </w:p>
    <w:p w:rsidR="009A7831" w:rsidRPr="003E47E7" w:rsidRDefault="009A7831" w:rsidP="0064346D">
      <w:pPr>
        <w:tabs>
          <w:tab w:val="left" w:pos="2880"/>
          <w:tab w:val="left" w:pos="7655"/>
        </w:tabs>
      </w:pPr>
      <w:r w:rsidRPr="003E47E7">
        <w:t xml:space="preserve">Vides aizsardzības un </w:t>
      </w:r>
    </w:p>
    <w:p w:rsidR="009A7831" w:rsidRPr="003E47E7" w:rsidRDefault="009A7831" w:rsidP="0064346D">
      <w:pPr>
        <w:tabs>
          <w:tab w:val="left" w:pos="2880"/>
          <w:tab w:val="left" w:pos="7655"/>
        </w:tabs>
      </w:pPr>
      <w:r w:rsidRPr="003E47E7">
        <w:t>reģionālās attīstības ministra p.i.</w:t>
      </w:r>
    </w:p>
    <w:p w:rsidR="009A7831" w:rsidRPr="003E47E7" w:rsidRDefault="009A7831" w:rsidP="0064346D">
      <w:pPr>
        <w:tabs>
          <w:tab w:val="left" w:pos="2880"/>
          <w:tab w:val="left" w:pos="7655"/>
        </w:tabs>
      </w:pPr>
    </w:p>
    <w:p w:rsidR="009A7831" w:rsidRPr="003E47E7" w:rsidRDefault="009A7831" w:rsidP="0064346D">
      <w:pPr>
        <w:tabs>
          <w:tab w:val="left" w:pos="2880"/>
          <w:tab w:val="left" w:pos="7655"/>
        </w:tabs>
      </w:pPr>
      <w:r w:rsidRPr="003E47E7">
        <w:t>iekšlietu ministrs</w:t>
      </w:r>
      <w:r w:rsidRPr="003E47E7">
        <w:tab/>
      </w:r>
      <w:r w:rsidRPr="003E47E7">
        <w:tab/>
        <w:t>R.Kozlovskis</w:t>
      </w:r>
    </w:p>
    <w:p w:rsidR="009A7831" w:rsidRPr="003E47E7" w:rsidRDefault="009A7831" w:rsidP="00155A4D">
      <w:pPr>
        <w:tabs>
          <w:tab w:val="left" w:pos="0"/>
        </w:tabs>
        <w:jc w:val="both"/>
      </w:pPr>
    </w:p>
    <w:p w:rsidR="009A7831" w:rsidRPr="00380A54" w:rsidRDefault="009A7831" w:rsidP="00155A4D">
      <w:pPr>
        <w:tabs>
          <w:tab w:val="left" w:pos="0"/>
        </w:tabs>
        <w:jc w:val="both"/>
        <w:rPr>
          <w:szCs w:val="28"/>
        </w:rPr>
      </w:pPr>
    </w:p>
    <w:p w:rsidR="009A7831" w:rsidRPr="00524306" w:rsidRDefault="009A7831" w:rsidP="00155A4D">
      <w:pPr>
        <w:tabs>
          <w:tab w:val="left" w:pos="0"/>
        </w:tabs>
        <w:jc w:val="both"/>
        <w:rPr>
          <w:b/>
          <w:szCs w:val="28"/>
        </w:rPr>
      </w:pPr>
      <w:r w:rsidRPr="00524306">
        <w:rPr>
          <w:b/>
          <w:szCs w:val="28"/>
        </w:rPr>
        <w:t>Vīza:</w:t>
      </w:r>
    </w:p>
    <w:p w:rsidR="009A7831" w:rsidRDefault="009A7831" w:rsidP="00E116C7">
      <w:pPr>
        <w:tabs>
          <w:tab w:val="left" w:pos="0"/>
        </w:tabs>
        <w:jc w:val="both"/>
        <w:rPr>
          <w:szCs w:val="28"/>
        </w:rPr>
      </w:pPr>
      <w:r w:rsidRPr="00380A54">
        <w:rPr>
          <w:szCs w:val="28"/>
        </w:rPr>
        <w:t>Valsts sekretārs</w:t>
      </w:r>
      <w:r w:rsidRPr="00380A54">
        <w:rPr>
          <w:szCs w:val="28"/>
        </w:rPr>
        <w:tab/>
      </w:r>
      <w:r w:rsidRPr="00380A54">
        <w:rPr>
          <w:szCs w:val="28"/>
        </w:rPr>
        <w:tab/>
      </w:r>
      <w:r w:rsidRPr="00380A54">
        <w:rPr>
          <w:szCs w:val="28"/>
        </w:rPr>
        <w:tab/>
      </w:r>
      <w:r w:rsidRPr="00380A54">
        <w:rPr>
          <w:szCs w:val="28"/>
        </w:rPr>
        <w:tab/>
      </w:r>
      <w:r>
        <w:rPr>
          <w:szCs w:val="28"/>
        </w:rPr>
        <w:t xml:space="preserve">               </w:t>
      </w:r>
      <w:r w:rsidRPr="00380A54">
        <w:rPr>
          <w:szCs w:val="28"/>
        </w:rPr>
        <w:tab/>
      </w:r>
      <w:r>
        <w:rPr>
          <w:szCs w:val="28"/>
        </w:rPr>
        <w:t xml:space="preserve">                                  A.Antonovs </w:t>
      </w:r>
    </w:p>
    <w:p w:rsidR="009A7831" w:rsidRDefault="009A7831" w:rsidP="00E116C7">
      <w:pPr>
        <w:tabs>
          <w:tab w:val="left" w:pos="0"/>
        </w:tabs>
        <w:jc w:val="both"/>
        <w:rPr>
          <w:szCs w:val="28"/>
        </w:rPr>
      </w:pPr>
    </w:p>
    <w:p w:rsidR="009A7831" w:rsidRPr="00E116C7" w:rsidRDefault="009A7831" w:rsidP="00E116C7">
      <w:pPr>
        <w:tabs>
          <w:tab w:val="left" w:pos="0"/>
        </w:tabs>
        <w:jc w:val="both"/>
        <w:rPr>
          <w:sz w:val="22"/>
          <w:szCs w:val="22"/>
        </w:rPr>
      </w:pPr>
      <w:r>
        <w:rPr>
          <w:sz w:val="22"/>
          <w:szCs w:val="22"/>
        </w:rPr>
        <w:t>30.07</w:t>
      </w:r>
      <w:r w:rsidRPr="00E116C7">
        <w:rPr>
          <w:sz w:val="22"/>
          <w:szCs w:val="22"/>
        </w:rPr>
        <w:t>.2012. 13.00</w:t>
      </w:r>
    </w:p>
    <w:p w:rsidR="009A7831" w:rsidRPr="00E116C7" w:rsidRDefault="009A7831" w:rsidP="00155A4D">
      <w:pPr>
        <w:pStyle w:val="Header"/>
        <w:rPr>
          <w:sz w:val="22"/>
          <w:szCs w:val="22"/>
        </w:rPr>
      </w:pPr>
      <w:r>
        <w:rPr>
          <w:sz w:val="22"/>
          <w:szCs w:val="22"/>
        </w:rPr>
        <w:t>2836</w:t>
      </w:r>
    </w:p>
    <w:p w:rsidR="009A7831" w:rsidRPr="00E116C7" w:rsidRDefault="009A7831" w:rsidP="00155A4D">
      <w:pPr>
        <w:pStyle w:val="Header"/>
        <w:rPr>
          <w:sz w:val="22"/>
          <w:szCs w:val="22"/>
        </w:rPr>
      </w:pPr>
      <w:r w:rsidRPr="00E116C7">
        <w:rPr>
          <w:sz w:val="22"/>
          <w:szCs w:val="22"/>
        </w:rPr>
        <w:t>D.Ozola</w:t>
      </w:r>
    </w:p>
    <w:p w:rsidR="009A7831" w:rsidRDefault="009A7831" w:rsidP="00E116C7">
      <w:pPr>
        <w:pStyle w:val="Header"/>
      </w:pPr>
      <w:r w:rsidRPr="00E116C7">
        <w:rPr>
          <w:sz w:val="22"/>
          <w:szCs w:val="22"/>
        </w:rPr>
        <w:t xml:space="preserve">67026518; </w:t>
      </w:r>
      <w:hyperlink r:id="rId9" w:history="1">
        <w:r w:rsidRPr="009E50B8">
          <w:rPr>
            <w:rStyle w:val="Hyperlink"/>
            <w:sz w:val="22"/>
            <w:szCs w:val="22"/>
            <w:lang w:eastAsia="lv-LV"/>
          </w:rPr>
          <w:t>dace.ozola@</w:t>
        </w:r>
        <w:r w:rsidRPr="00941812">
          <w:rPr>
            <w:rStyle w:val="Hyperlink"/>
            <w:sz w:val="22"/>
            <w:szCs w:val="22"/>
            <w:lang w:eastAsia="lv-LV"/>
          </w:rPr>
          <w:t>varam.gov.lv</w:t>
        </w:r>
      </w:hyperlink>
      <w:r w:rsidRPr="00524306">
        <w:rPr>
          <w:sz w:val="24"/>
          <w:szCs w:val="24"/>
        </w:rPr>
        <w:t xml:space="preserve"> </w:t>
      </w:r>
      <w:r>
        <w:rPr>
          <w:sz w:val="24"/>
          <w:szCs w:val="24"/>
        </w:rPr>
        <w:t xml:space="preserve"> </w:t>
      </w:r>
      <w:r w:rsidRPr="00155A4D">
        <w:t xml:space="preserve"> </w:t>
      </w:r>
    </w:p>
    <w:p w:rsidR="009A7831" w:rsidRDefault="009A7831" w:rsidP="00E116C7">
      <w:pPr>
        <w:pStyle w:val="Header"/>
      </w:pPr>
    </w:p>
    <w:sectPr w:rsidR="009A7831" w:rsidSect="005F2DC8">
      <w:headerReference w:type="even" r:id="rId10"/>
      <w:headerReference w:type="default" r:id="rId11"/>
      <w:footerReference w:type="default" r:id="rId12"/>
      <w:pgSz w:w="11906" w:h="16838" w:code="9"/>
      <w:pgMar w:top="1411" w:right="1138" w:bottom="1138" w:left="1699"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31" w:rsidRDefault="009A7831">
      <w:r>
        <w:separator/>
      </w:r>
    </w:p>
  </w:endnote>
  <w:endnote w:type="continuationSeparator" w:id="0">
    <w:p w:rsidR="009A7831" w:rsidRDefault="009A7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Dutch TL"/>
    <w:panose1 w:val="02020603060505020304"/>
    <w:charset w:val="00"/>
    <w:family w:val="auto"/>
    <w:notTrueType/>
    <w:pitch w:val="default"/>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31" w:rsidRPr="006D4783" w:rsidRDefault="009A7831" w:rsidP="006D4783">
    <w:pPr>
      <w:pStyle w:val="HTMLPreformatted"/>
      <w:rPr>
        <w:rFonts w:ascii="Times New Roman" w:hAnsi="Times New Roman"/>
        <w:bCs/>
        <w:sz w:val="24"/>
        <w:szCs w:val="24"/>
      </w:rPr>
    </w:pPr>
    <w:smartTag w:uri="urn:schemas-microsoft-com:office:smarttags" w:element="PersonName">
      <w:r w:rsidRPr="006D4783">
        <w:rPr>
          <w:rFonts w:ascii="Times New Roman" w:hAnsi="Times New Roman"/>
          <w:sz w:val="24"/>
          <w:szCs w:val="24"/>
        </w:rPr>
        <w:t>VARAM</w:t>
      </w:r>
    </w:smartTag>
    <w:r w:rsidRPr="006D4783">
      <w:rPr>
        <w:rFonts w:ascii="Times New Roman" w:hAnsi="Times New Roman"/>
        <w:sz w:val="24"/>
        <w:szCs w:val="24"/>
      </w:rPr>
      <w:t>Anot_</w:t>
    </w:r>
    <w:r>
      <w:rPr>
        <w:rFonts w:ascii="Times New Roman" w:hAnsi="Times New Roman"/>
        <w:sz w:val="24"/>
        <w:szCs w:val="24"/>
      </w:rPr>
      <w:t>300712_grozZDZ</w:t>
    </w:r>
    <w:r w:rsidRPr="006D4783">
      <w:rPr>
        <w:rFonts w:ascii="Times New Roman" w:hAnsi="Times New Roman"/>
        <w:sz w:val="24"/>
        <w:szCs w:val="24"/>
      </w:rPr>
      <w:t xml:space="preserve">; </w:t>
    </w:r>
    <w:r>
      <w:rPr>
        <w:rFonts w:ascii="Times New Roman" w:hAnsi="Times New Roman"/>
        <w:sz w:val="24"/>
        <w:szCs w:val="24"/>
      </w:rPr>
      <w:t xml:space="preserve">Likumprojekta „Grozījumi likumā „Par zemes dzīlēm” </w:t>
    </w:r>
    <w:r w:rsidRPr="006D4783">
      <w:rPr>
        <w:rFonts w:ascii="Times New Roman" w:hAnsi="Times New Roman"/>
        <w:bCs/>
        <w:sz w:val="24"/>
        <w:szCs w:val="24"/>
      </w:rPr>
      <w:t xml:space="preserve">sākotnējās ietekmes novērtējuma </w:t>
    </w:r>
    <w:smartTag w:uri="schemas-tilde-lv/tildestengine" w:element="veidnes">
      <w:smartTagPr>
        <w:attr w:name="text" w:val="ziņojums"/>
        <w:attr w:name="baseform" w:val="ziņojums"/>
        <w:attr w:name="id" w:val="-1"/>
      </w:smartTagPr>
      <w:r w:rsidRPr="006D4783">
        <w:rPr>
          <w:rFonts w:ascii="Times New Roman" w:hAnsi="Times New Roman"/>
          <w:bCs/>
          <w:sz w:val="24"/>
          <w:szCs w:val="24"/>
        </w:rPr>
        <w:t>ziņojums</w:t>
      </w:r>
    </w:smartTag>
    <w:r w:rsidRPr="006D4783">
      <w:rPr>
        <w:rFonts w:ascii="Times New Roman" w:hAnsi="Times New Roman"/>
        <w:bCs/>
        <w:sz w:val="24"/>
        <w:szCs w:val="24"/>
      </w:rPr>
      <w:t xml:space="preserve"> (anotācija)</w:t>
    </w:r>
  </w:p>
  <w:p w:rsidR="009A7831" w:rsidRDefault="009A7831">
    <w:pPr>
      <w:pStyle w:val="Footer"/>
    </w:pPr>
  </w:p>
  <w:p w:rsidR="009A7831" w:rsidRPr="00D929FC" w:rsidRDefault="009A7831" w:rsidP="003D77D3">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31" w:rsidRDefault="009A7831">
      <w:r>
        <w:separator/>
      </w:r>
    </w:p>
  </w:footnote>
  <w:footnote w:type="continuationSeparator" w:id="0">
    <w:p w:rsidR="009A7831" w:rsidRDefault="009A7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31" w:rsidRDefault="009A7831" w:rsidP="003D7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7831" w:rsidRDefault="009A7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31" w:rsidRPr="009C5013" w:rsidRDefault="009A7831" w:rsidP="003D77D3">
    <w:pPr>
      <w:pStyle w:val="Header"/>
      <w:framePr w:wrap="around" w:vAnchor="text" w:hAnchor="margin" w:xAlign="center" w:y="1"/>
      <w:rPr>
        <w:rStyle w:val="PageNumber"/>
        <w:sz w:val="24"/>
        <w:szCs w:val="24"/>
      </w:rPr>
    </w:pPr>
    <w:r w:rsidRPr="009C5013">
      <w:rPr>
        <w:rStyle w:val="PageNumber"/>
        <w:sz w:val="24"/>
        <w:szCs w:val="24"/>
      </w:rPr>
      <w:fldChar w:fldCharType="begin"/>
    </w:r>
    <w:r w:rsidRPr="009C5013">
      <w:rPr>
        <w:rStyle w:val="PageNumber"/>
        <w:sz w:val="24"/>
        <w:szCs w:val="24"/>
      </w:rPr>
      <w:instrText xml:space="preserve">PAGE  </w:instrText>
    </w:r>
    <w:r w:rsidRPr="009C5013">
      <w:rPr>
        <w:rStyle w:val="PageNumber"/>
        <w:sz w:val="24"/>
        <w:szCs w:val="24"/>
      </w:rPr>
      <w:fldChar w:fldCharType="separate"/>
    </w:r>
    <w:r>
      <w:rPr>
        <w:rStyle w:val="PageNumber"/>
        <w:noProof/>
        <w:sz w:val="24"/>
        <w:szCs w:val="24"/>
      </w:rPr>
      <w:t>9</w:t>
    </w:r>
    <w:r w:rsidRPr="009C5013">
      <w:rPr>
        <w:rStyle w:val="PageNumber"/>
        <w:sz w:val="24"/>
        <w:szCs w:val="24"/>
      </w:rPr>
      <w:fldChar w:fldCharType="end"/>
    </w:r>
  </w:p>
  <w:p w:rsidR="009A7831" w:rsidRDefault="009A78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2D004DC"/>
    <w:multiLevelType w:val="multilevel"/>
    <w:tmpl w:val="B5E20D34"/>
    <w:lvl w:ilvl="0">
      <w:start w:val="2"/>
      <w:numFmt w:val="decimal"/>
      <w:lvlText w:val="%1."/>
      <w:lvlJc w:val="left"/>
      <w:pPr>
        <w:tabs>
          <w:tab w:val="num" w:pos="720"/>
        </w:tabs>
        <w:ind w:left="720" w:hanging="720"/>
      </w:pPr>
      <w:rPr>
        <w:rFonts w:cs="Times New Roman" w:hint="default"/>
        <w:b/>
      </w:rPr>
    </w:lvl>
    <w:lvl w:ilvl="1">
      <w:start w:val="1"/>
      <w:numFmt w:val="bullet"/>
      <w:lvlText w:val=""/>
      <w:lvlJc w:val="left"/>
      <w:pPr>
        <w:tabs>
          <w:tab w:val="num" w:pos="720"/>
        </w:tabs>
        <w:ind w:left="720" w:hanging="360"/>
      </w:pPr>
      <w:rPr>
        <w:rFonts w:ascii="Symbol" w:hAnsi="Symbol" w:hint="default"/>
        <w:b/>
        <w:sz w:val="16"/>
      </w:rPr>
    </w:lvl>
    <w:lvl w:ilvl="2">
      <w:start w:val="1"/>
      <w:numFmt w:val="decimal"/>
      <w:lvlText w:val="%1.%2.%3."/>
      <w:lvlJc w:val="left"/>
      <w:pPr>
        <w:tabs>
          <w:tab w:val="num" w:pos="1440"/>
        </w:tabs>
        <w:ind w:left="1224" w:hanging="504"/>
      </w:pPr>
      <w:rPr>
        <w:rFonts w:cs="Times New Roman" w:hint="default"/>
      </w:rPr>
    </w:lvl>
    <w:lvl w:ilvl="3">
      <w:start w:val="1"/>
      <w:numFmt w:val="bullet"/>
      <w:lvlText w:val=""/>
      <w:lvlJc w:val="left"/>
      <w:pPr>
        <w:tabs>
          <w:tab w:val="num" w:pos="1800"/>
        </w:tabs>
        <w:ind w:left="1800" w:hanging="360"/>
      </w:pPr>
      <w:rPr>
        <w:rFonts w:ascii="Wingdings" w:hAnsi="Wingdings" w:hint="default"/>
        <w:b/>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288945F5"/>
    <w:multiLevelType w:val="hybridMultilevel"/>
    <w:tmpl w:val="AEFEB2FE"/>
    <w:lvl w:ilvl="0" w:tplc="6E90F45A">
      <w:start w:val="16"/>
      <w:numFmt w:val="bullet"/>
      <w:lvlText w:val="-"/>
      <w:lvlJc w:val="left"/>
      <w:pPr>
        <w:tabs>
          <w:tab w:val="num" w:pos="512"/>
        </w:tabs>
        <w:ind w:left="512" w:hanging="360"/>
      </w:pPr>
      <w:rPr>
        <w:rFonts w:ascii="Times New Roman" w:eastAsia="Times New Roman" w:hAnsi="Times New Roman" w:hint="default"/>
      </w:rPr>
    </w:lvl>
    <w:lvl w:ilvl="1" w:tplc="04260003" w:tentative="1">
      <w:start w:val="1"/>
      <w:numFmt w:val="bullet"/>
      <w:lvlText w:val="o"/>
      <w:lvlJc w:val="left"/>
      <w:pPr>
        <w:tabs>
          <w:tab w:val="num" w:pos="1232"/>
        </w:tabs>
        <w:ind w:left="1232" w:hanging="360"/>
      </w:pPr>
      <w:rPr>
        <w:rFonts w:ascii="Courier New" w:hAnsi="Courier New" w:hint="default"/>
      </w:rPr>
    </w:lvl>
    <w:lvl w:ilvl="2" w:tplc="04260005" w:tentative="1">
      <w:start w:val="1"/>
      <w:numFmt w:val="bullet"/>
      <w:lvlText w:val=""/>
      <w:lvlJc w:val="left"/>
      <w:pPr>
        <w:tabs>
          <w:tab w:val="num" w:pos="1952"/>
        </w:tabs>
        <w:ind w:left="1952" w:hanging="360"/>
      </w:pPr>
      <w:rPr>
        <w:rFonts w:ascii="Wingdings" w:hAnsi="Wingdings" w:hint="default"/>
      </w:rPr>
    </w:lvl>
    <w:lvl w:ilvl="3" w:tplc="04260001" w:tentative="1">
      <w:start w:val="1"/>
      <w:numFmt w:val="bullet"/>
      <w:lvlText w:val=""/>
      <w:lvlJc w:val="left"/>
      <w:pPr>
        <w:tabs>
          <w:tab w:val="num" w:pos="2672"/>
        </w:tabs>
        <w:ind w:left="2672" w:hanging="360"/>
      </w:pPr>
      <w:rPr>
        <w:rFonts w:ascii="Symbol" w:hAnsi="Symbol" w:hint="default"/>
      </w:rPr>
    </w:lvl>
    <w:lvl w:ilvl="4" w:tplc="04260003" w:tentative="1">
      <w:start w:val="1"/>
      <w:numFmt w:val="bullet"/>
      <w:lvlText w:val="o"/>
      <w:lvlJc w:val="left"/>
      <w:pPr>
        <w:tabs>
          <w:tab w:val="num" w:pos="3392"/>
        </w:tabs>
        <w:ind w:left="3392" w:hanging="360"/>
      </w:pPr>
      <w:rPr>
        <w:rFonts w:ascii="Courier New" w:hAnsi="Courier New" w:hint="default"/>
      </w:rPr>
    </w:lvl>
    <w:lvl w:ilvl="5" w:tplc="04260005" w:tentative="1">
      <w:start w:val="1"/>
      <w:numFmt w:val="bullet"/>
      <w:lvlText w:val=""/>
      <w:lvlJc w:val="left"/>
      <w:pPr>
        <w:tabs>
          <w:tab w:val="num" w:pos="4112"/>
        </w:tabs>
        <w:ind w:left="4112" w:hanging="360"/>
      </w:pPr>
      <w:rPr>
        <w:rFonts w:ascii="Wingdings" w:hAnsi="Wingdings" w:hint="default"/>
      </w:rPr>
    </w:lvl>
    <w:lvl w:ilvl="6" w:tplc="04260001" w:tentative="1">
      <w:start w:val="1"/>
      <w:numFmt w:val="bullet"/>
      <w:lvlText w:val=""/>
      <w:lvlJc w:val="left"/>
      <w:pPr>
        <w:tabs>
          <w:tab w:val="num" w:pos="4832"/>
        </w:tabs>
        <w:ind w:left="4832" w:hanging="360"/>
      </w:pPr>
      <w:rPr>
        <w:rFonts w:ascii="Symbol" w:hAnsi="Symbol" w:hint="default"/>
      </w:rPr>
    </w:lvl>
    <w:lvl w:ilvl="7" w:tplc="04260003" w:tentative="1">
      <w:start w:val="1"/>
      <w:numFmt w:val="bullet"/>
      <w:lvlText w:val="o"/>
      <w:lvlJc w:val="left"/>
      <w:pPr>
        <w:tabs>
          <w:tab w:val="num" w:pos="5552"/>
        </w:tabs>
        <w:ind w:left="5552" w:hanging="360"/>
      </w:pPr>
      <w:rPr>
        <w:rFonts w:ascii="Courier New" w:hAnsi="Courier New" w:hint="default"/>
      </w:rPr>
    </w:lvl>
    <w:lvl w:ilvl="8" w:tplc="04260005" w:tentative="1">
      <w:start w:val="1"/>
      <w:numFmt w:val="bullet"/>
      <w:lvlText w:val=""/>
      <w:lvlJc w:val="left"/>
      <w:pPr>
        <w:tabs>
          <w:tab w:val="num" w:pos="6272"/>
        </w:tabs>
        <w:ind w:left="6272" w:hanging="360"/>
      </w:pPr>
      <w:rPr>
        <w:rFonts w:ascii="Wingdings" w:hAnsi="Wingdings" w:hint="default"/>
      </w:rPr>
    </w:lvl>
  </w:abstractNum>
  <w:abstractNum w:abstractNumId="2">
    <w:nsid w:val="45A516EA"/>
    <w:multiLevelType w:val="hybridMultilevel"/>
    <w:tmpl w:val="9912E3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ECA6DA1"/>
    <w:multiLevelType w:val="hybridMultilevel"/>
    <w:tmpl w:val="360CBF6C"/>
    <w:lvl w:ilvl="0" w:tplc="5CFC87E8">
      <w:start w:val="200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E0838"/>
    <w:multiLevelType w:val="multilevel"/>
    <w:tmpl w:val="F12498A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2"/>
      <w:numFmt w:val="bullet"/>
      <w:lvlText w:val="-"/>
      <w:lvlJc w:val="left"/>
      <w:pPr>
        <w:tabs>
          <w:tab w:val="num" w:pos="1080"/>
        </w:tabs>
        <w:ind w:left="1080" w:hanging="360"/>
      </w:pPr>
      <w:rPr>
        <w:rFonts w:ascii="Times New Roman" w:eastAsia="Times New Roman" w:hAnsi="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707C1520"/>
    <w:multiLevelType w:val="hybridMultilevel"/>
    <w:tmpl w:val="4198DF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06F6A"/>
    <w:multiLevelType w:val="multilevel"/>
    <w:tmpl w:val="DE6A3FF2"/>
    <w:lvl w:ilvl="0">
      <w:start w:val="2"/>
      <w:numFmt w:val="decimal"/>
      <w:lvlText w:val="%1."/>
      <w:lvlJc w:val="left"/>
      <w:pPr>
        <w:tabs>
          <w:tab w:val="num" w:pos="720"/>
        </w:tabs>
        <w:ind w:left="720" w:hanging="720"/>
      </w:pPr>
      <w:rPr>
        <w:rFonts w:cs="Times New Roman" w:hint="default"/>
        <w:b/>
      </w:rPr>
    </w:lvl>
    <w:lvl w:ilvl="1">
      <w:start w:val="1"/>
      <w:numFmt w:val="bullet"/>
      <w:lvlText w:val=""/>
      <w:lvlJc w:val="left"/>
      <w:pPr>
        <w:tabs>
          <w:tab w:val="num" w:pos="720"/>
        </w:tabs>
        <w:ind w:left="720" w:hanging="360"/>
      </w:pPr>
      <w:rPr>
        <w:rFonts w:ascii="Symbol" w:hAnsi="Symbol" w:hint="default"/>
        <w:b/>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7A4F0741"/>
    <w:multiLevelType w:val="hybridMultilevel"/>
    <w:tmpl w:val="D80CFBD8"/>
    <w:lvl w:ilvl="0" w:tplc="C86ED8C8">
      <w:start w:val="1"/>
      <w:numFmt w:val="bullet"/>
      <w:lvlText w:val=""/>
      <w:lvlJc w:val="left"/>
      <w:pPr>
        <w:tabs>
          <w:tab w:val="num" w:pos="360"/>
        </w:tabs>
        <w:ind w:left="360" w:hanging="360"/>
      </w:pPr>
      <w:rPr>
        <w:rFonts w:ascii="Symbol" w:hAnsi="Symbol" w:hint="default"/>
        <w:sz w:val="16"/>
      </w:rPr>
    </w:lvl>
    <w:lvl w:ilvl="1" w:tplc="04260003">
      <w:start w:val="1"/>
      <w:numFmt w:val="bullet"/>
      <w:lvlText w:val="o"/>
      <w:lvlJc w:val="left"/>
      <w:pPr>
        <w:tabs>
          <w:tab w:val="num" w:pos="360"/>
        </w:tabs>
        <w:ind w:left="360" w:hanging="360"/>
      </w:pPr>
      <w:rPr>
        <w:rFonts w:ascii="Courier New" w:hAnsi="Courier New" w:hint="default"/>
      </w:rPr>
    </w:lvl>
    <w:lvl w:ilvl="2" w:tplc="9440CB94">
      <w:start w:val="2"/>
      <w:numFmt w:val="bullet"/>
      <w:lvlText w:val="-"/>
      <w:lvlJc w:val="left"/>
      <w:pPr>
        <w:tabs>
          <w:tab w:val="num" w:pos="1080"/>
        </w:tabs>
        <w:ind w:left="1080" w:hanging="360"/>
      </w:pPr>
      <w:rPr>
        <w:rFonts w:ascii="Times New Roman" w:eastAsia="Times New Roman" w:hAnsi="Times New Roman" w:hint="default"/>
        <w:sz w:val="16"/>
      </w:rPr>
    </w:lvl>
    <w:lvl w:ilvl="3" w:tplc="0426000B">
      <w:start w:val="1"/>
      <w:numFmt w:val="bullet"/>
      <w:lvlText w:val=""/>
      <w:lvlJc w:val="left"/>
      <w:pPr>
        <w:tabs>
          <w:tab w:val="num" w:pos="1800"/>
        </w:tabs>
        <w:ind w:left="1800" w:hanging="360"/>
      </w:pPr>
      <w:rPr>
        <w:rFonts w:ascii="Wingdings" w:hAnsi="Wingdings" w:hint="default"/>
        <w:sz w:val="16"/>
      </w:rPr>
    </w:lvl>
    <w:lvl w:ilvl="4" w:tplc="04260003" w:tentative="1">
      <w:start w:val="1"/>
      <w:numFmt w:val="bullet"/>
      <w:lvlText w:val="o"/>
      <w:lvlJc w:val="left"/>
      <w:pPr>
        <w:tabs>
          <w:tab w:val="num" w:pos="2520"/>
        </w:tabs>
        <w:ind w:left="2520" w:hanging="360"/>
      </w:pPr>
      <w:rPr>
        <w:rFonts w:ascii="Courier New" w:hAnsi="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8">
    <w:nsid w:val="7F511C4A"/>
    <w:multiLevelType w:val="hybridMultilevel"/>
    <w:tmpl w:val="E5102A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6"/>
  </w:num>
  <w:num w:numId="6">
    <w:abstractNumId w:val="4"/>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CE9"/>
    <w:rsid w:val="00004D96"/>
    <w:rsid w:val="00016A1B"/>
    <w:rsid w:val="00030D29"/>
    <w:rsid w:val="000326B0"/>
    <w:rsid w:val="00041946"/>
    <w:rsid w:val="00050E3B"/>
    <w:rsid w:val="00054100"/>
    <w:rsid w:val="00061C6C"/>
    <w:rsid w:val="00064611"/>
    <w:rsid w:val="00064717"/>
    <w:rsid w:val="000826C0"/>
    <w:rsid w:val="00093A52"/>
    <w:rsid w:val="00095FEE"/>
    <w:rsid w:val="000A4D92"/>
    <w:rsid w:val="000A7EB7"/>
    <w:rsid w:val="000B24AA"/>
    <w:rsid w:val="000C1F70"/>
    <w:rsid w:val="000C329F"/>
    <w:rsid w:val="000D0085"/>
    <w:rsid w:val="000D057F"/>
    <w:rsid w:val="000D3AEE"/>
    <w:rsid w:val="000D3EAF"/>
    <w:rsid w:val="000D5F4D"/>
    <w:rsid w:val="000F1216"/>
    <w:rsid w:val="000F2E2F"/>
    <w:rsid w:val="000F32B0"/>
    <w:rsid w:val="000F3D91"/>
    <w:rsid w:val="000F6C05"/>
    <w:rsid w:val="00135FCE"/>
    <w:rsid w:val="001425B4"/>
    <w:rsid w:val="001474D6"/>
    <w:rsid w:val="001514EC"/>
    <w:rsid w:val="00155A4D"/>
    <w:rsid w:val="001613CE"/>
    <w:rsid w:val="00167099"/>
    <w:rsid w:val="001807D7"/>
    <w:rsid w:val="00186CC1"/>
    <w:rsid w:val="001963D8"/>
    <w:rsid w:val="001B0876"/>
    <w:rsid w:val="001B758B"/>
    <w:rsid w:val="001C65D8"/>
    <w:rsid w:val="001C76B6"/>
    <w:rsid w:val="001D35C7"/>
    <w:rsid w:val="001D38D6"/>
    <w:rsid w:val="001E1750"/>
    <w:rsid w:val="0021500A"/>
    <w:rsid w:val="00216B25"/>
    <w:rsid w:val="00235BA2"/>
    <w:rsid w:val="00250858"/>
    <w:rsid w:val="00262FCE"/>
    <w:rsid w:val="002665BC"/>
    <w:rsid w:val="00275DD8"/>
    <w:rsid w:val="002817C3"/>
    <w:rsid w:val="002920FC"/>
    <w:rsid w:val="002A3E7D"/>
    <w:rsid w:val="002B1AB0"/>
    <w:rsid w:val="002C0B12"/>
    <w:rsid w:val="002C1B5E"/>
    <w:rsid w:val="002C6EE0"/>
    <w:rsid w:val="002C6FAC"/>
    <w:rsid w:val="002D0C85"/>
    <w:rsid w:val="002D3833"/>
    <w:rsid w:val="002E752E"/>
    <w:rsid w:val="002F5CE9"/>
    <w:rsid w:val="00300292"/>
    <w:rsid w:val="003002D4"/>
    <w:rsid w:val="00305019"/>
    <w:rsid w:val="00322EB2"/>
    <w:rsid w:val="003640F3"/>
    <w:rsid w:val="0036641B"/>
    <w:rsid w:val="003805DC"/>
    <w:rsid w:val="00380A54"/>
    <w:rsid w:val="00380F95"/>
    <w:rsid w:val="0038672D"/>
    <w:rsid w:val="00394EE0"/>
    <w:rsid w:val="003C30C5"/>
    <w:rsid w:val="003C41C1"/>
    <w:rsid w:val="003D1AA4"/>
    <w:rsid w:val="003D37C2"/>
    <w:rsid w:val="003D4502"/>
    <w:rsid w:val="003D77D3"/>
    <w:rsid w:val="003E47E7"/>
    <w:rsid w:val="003F203F"/>
    <w:rsid w:val="00415D6C"/>
    <w:rsid w:val="0041775D"/>
    <w:rsid w:val="00417D0A"/>
    <w:rsid w:val="00425277"/>
    <w:rsid w:val="00436390"/>
    <w:rsid w:val="00444289"/>
    <w:rsid w:val="00452F9B"/>
    <w:rsid w:val="00454BBA"/>
    <w:rsid w:val="00471417"/>
    <w:rsid w:val="00472604"/>
    <w:rsid w:val="00481822"/>
    <w:rsid w:val="0048187F"/>
    <w:rsid w:val="004862ED"/>
    <w:rsid w:val="0048767B"/>
    <w:rsid w:val="004A5EAD"/>
    <w:rsid w:val="004B3A6F"/>
    <w:rsid w:val="004B560C"/>
    <w:rsid w:val="004C541C"/>
    <w:rsid w:val="004E769D"/>
    <w:rsid w:val="004F4BA3"/>
    <w:rsid w:val="00514A7B"/>
    <w:rsid w:val="00524306"/>
    <w:rsid w:val="00543E05"/>
    <w:rsid w:val="0054591C"/>
    <w:rsid w:val="00547598"/>
    <w:rsid w:val="00547907"/>
    <w:rsid w:val="005602CD"/>
    <w:rsid w:val="00576CBF"/>
    <w:rsid w:val="005772D5"/>
    <w:rsid w:val="00586FD2"/>
    <w:rsid w:val="005A0226"/>
    <w:rsid w:val="005A0A7C"/>
    <w:rsid w:val="005A3261"/>
    <w:rsid w:val="005B56A9"/>
    <w:rsid w:val="005C737E"/>
    <w:rsid w:val="005D2A92"/>
    <w:rsid w:val="005D43E5"/>
    <w:rsid w:val="005F2DC8"/>
    <w:rsid w:val="006060C8"/>
    <w:rsid w:val="0061450F"/>
    <w:rsid w:val="00634E2E"/>
    <w:rsid w:val="006433DC"/>
    <w:rsid w:val="0064346D"/>
    <w:rsid w:val="0064499B"/>
    <w:rsid w:val="00671646"/>
    <w:rsid w:val="00672DD5"/>
    <w:rsid w:val="0068144E"/>
    <w:rsid w:val="00681792"/>
    <w:rsid w:val="00682503"/>
    <w:rsid w:val="0068726C"/>
    <w:rsid w:val="006908AA"/>
    <w:rsid w:val="00697B1C"/>
    <w:rsid w:val="006B3AA3"/>
    <w:rsid w:val="006C2E9E"/>
    <w:rsid w:val="006D0EAC"/>
    <w:rsid w:val="006D2AEE"/>
    <w:rsid w:val="006D4783"/>
    <w:rsid w:val="006E14B3"/>
    <w:rsid w:val="006F099A"/>
    <w:rsid w:val="006F7E54"/>
    <w:rsid w:val="00721F47"/>
    <w:rsid w:val="00722826"/>
    <w:rsid w:val="00726C4E"/>
    <w:rsid w:val="00741C6A"/>
    <w:rsid w:val="00745DBD"/>
    <w:rsid w:val="00750010"/>
    <w:rsid w:val="0076469E"/>
    <w:rsid w:val="007649FA"/>
    <w:rsid w:val="007707FB"/>
    <w:rsid w:val="00771BFA"/>
    <w:rsid w:val="00781511"/>
    <w:rsid w:val="007841E4"/>
    <w:rsid w:val="00784E5E"/>
    <w:rsid w:val="0078531F"/>
    <w:rsid w:val="007B6A48"/>
    <w:rsid w:val="007C6617"/>
    <w:rsid w:val="007D4733"/>
    <w:rsid w:val="007D57CD"/>
    <w:rsid w:val="007F0AA6"/>
    <w:rsid w:val="007F2024"/>
    <w:rsid w:val="00801802"/>
    <w:rsid w:val="00801BD3"/>
    <w:rsid w:val="008055B3"/>
    <w:rsid w:val="008161D6"/>
    <w:rsid w:val="008427A9"/>
    <w:rsid w:val="008449CF"/>
    <w:rsid w:val="0085178A"/>
    <w:rsid w:val="00862046"/>
    <w:rsid w:val="0086482E"/>
    <w:rsid w:val="00873F7A"/>
    <w:rsid w:val="0088266E"/>
    <w:rsid w:val="008A1EC5"/>
    <w:rsid w:val="008D0191"/>
    <w:rsid w:val="008D7DDD"/>
    <w:rsid w:val="008D7F36"/>
    <w:rsid w:val="008D7F65"/>
    <w:rsid w:val="008F1C86"/>
    <w:rsid w:val="008F510C"/>
    <w:rsid w:val="00905F98"/>
    <w:rsid w:val="00906302"/>
    <w:rsid w:val="00913434"/>
    <w:rsid w:val="00913D30"/>
    <w:rsid w:val="00931684"/>
    <w:rsid w:val="00934DA1"/>
    <w:rsid w:val="00936AFE"/>
    <w:rsid w:val="00941812"/>
    <w:rsid w:val="00950B80"/>
    <w:rsid w:val="009640EB"/>
    <w:rsid w:val="00967B5D"/>
    <w:rsid w:val="00973F5D"/>
    <w:rsid w:val="00990794"/>
    <w:rsid w:val="009909A2"/>
    <w:rsid w:val="009A64EF"/>
    <w:rsid w:val="009A7831"/>
    <w:rsid w:val="009B2008"/>
    <w:rsid w:val="009B6843"/>
    <w:rsid w:val="009B7192"/>
    <w:rsid w:val="009C0B14"/>
    <w:rsid w:val="009C0CCF"/>
    <w:rsid w:val="009C2B53"/>
    <w:rsid w:val="009C5013"/>
    <w:rsid w:val="009D0F88"/>
    <w:rsid w:val="009D5508"/>
    <w:rsid w:val="009E2BD1"/>
    <w:rsid w:val="009E50B8"/>
    <w:rsid w:val="009F6DD2"/>
    <w:rsid w:val="00A115E9"/>
    <w:rsid w:val="00A21633"/>
    <w:rsid w:val="00A23305"/>
    <w:rsid w:val="00A44E54"/>
    <w:rsid w:val="00A473EA"/>
    <w:rsid w:val="00A50D44"/>
    <w:rsid w:val="00A5237B"/>
    <w:rsid w:val="00A57451"/>
    <w:rsid w:val="00A629A3"/>
    <w:rsid w:val="00A7264F"/>
    <w:rsid w:val="00A741F3"/>
    <w:rsid w:val="00AA6DC6"/>
    <w:rsid w:val="00AA7969"/>
    <w:rsid w:val="00AB4446"/>
    <w:rsid w:val="00AD126E"/>
    <w:rsid w:val="00AD4438"/>
    <w:rsid w:val="00AD443F"/>
    <w:rsid w:val="00B0014C"/>
    <w:rsid w:val="00B00A0E"/>
    <w:rsid w:val="00B1360D"/>
    <w:rsid w:val="00B14B0F"/>
    <w:rsid w:val="00B16EB3"/>
    <w:rsid w:val="00B17D87"/>
    <w:rsid w:val="00B27406"/>
    <w:rsid w:val="00B33FC7"/>
    <w:rsid w:val="00B576E2"/>
    <w:rsid w:val="00B725E7"/>
    <w:rsid w:val="00B75845"/>
    <w:rsid w:val="00B81169"/>
    <w:rsid w:val="00B86AD3"/>
    <w:rsid w:val="00BA6167"/>
    <w:rsid w:val="00BA750E"/>
    <w:rsid w:val="00BB5D78"/>
    <w:rsid w:val="00BC49A1"/>
    <w:rsid w:val="00BD783F"/>
    <w:rsid w:val="00BF09A0"/>
    <w:rsid w:val="00C05C7E"/>
    <w:rsid w:val="00C06F1A"/>
    <w:rsid w:val="00C11272"/>
    <w:rsid w:val="00C13450"/>
    <w:rsid w:val="00C17011"/>
    <w:rsid w:val="00C30FBE"/>
    <w:rsid w:val="00C330EA"/>
    <w:rsid w:val="00C34A0E"/>
    <w:rsid w:val="00C375CD"/>
    <w:rsid w:val="00C47FBE"/>
    <w:rsid w:val="00C7137B"/>
    <w:rsid w:val="00C73836"/>
    <w:rsid w:val="00C759D8"/>
    <w:rsid w:val="00C84D91"/>
    <w:rsid w:val="00C908D9"/>
    <w:rsid w:val="00CB2B6C"/>
    <w:rsid w:val="00CC77A9"/>
    <w:rsid w:val="00D0031E"/>
    <w:rsid w:val="00D06849"/>
    <w:rsid w:val="00D105F7"/>
    <w:rsid w:val="00D2618B"/>
    <w:rsid w:val="00D32EB5"/>
    <w:rsid w:val="00D45C99"/>
    <w:rsid w:val="00D579DC"/>
    <w:rsid w:val="00D65C37"/>
    <w:rsid w:val="00D66F2D"/>
    <w:rsid w:val="00D70F7D"/>
    <w:rsid w:val="00D85EE8"/>
    <w:rsid w:val="00D86956"/>
    <w:rsid w:val="00D929FC"/>
    <w:rsid w:val="00D9390D"/>
    <w:rsid w:val="00D94CC7"/>
    <w:rsid w:val="00DB27A2"/>
    <w:rsid w:val="00DB3753"/>
    <w:rsid w:val="00DB6CC3"/>
    <w:rsid w:val="00DC3988"/>
    <w:rsid w:val="00DC3E97"/>
    <w:rsid w:val="00DE051B"/>
    <w:rsid w:val="00DE311B"/>
    <w:rsid w:val="00DF28D3"/>
    <w:rsid w:val="00E02F28"/>
    <w:rsid w:val="00E116C7"/>
    <w:rsid w:val="00E12039"/>
    <w:rsid w:val="00E339C5"/>
    <w:rsid w:val="00E34BEF"/>
    <w:rsid w:val="00E40E11"/>
    <w:rsid w:val="00E54000"/>
    <w:rsid w:val="00E736F3"/>
    <w:rsid w:val="00E74F45"/>
    <w:rsid w:val="00E84D06"/>
    <w:rsid w:val="00E90827"/>
    <w:rsid w:val="00E9224E"/>
    <w:rsid w:val="00E97BC7"/>
    <w:rsid w:val="00EB0F5C"/>
    <w:rsid w:val="00EC33AC"/>
    <w:rsid w:val="00EC3D80"/>
    <w:rsid w:val="00ED392B"/>
    <w:rsid w:val="00EE1C19"/>
    <w:rsid w:val="00EE2492"/>
    <w:rsid w:val="00F01C7D"/>
    <w:rsid w:val="00F058B1"/>
    <w:rsid w:val="00F05CDB"/>
    <w:rsid w:val="00F2622C"/>
    <w:rsid w:val="00F35BF9"/>
    <w:rsid w:val="00F41BA5"/>
    <w:rsid w:val="00F45531"/>
    <w:rsid w:val="00F4660B"/>
    <w:rsid w:val="00F563C8"/>
    <w:rsid w:val="00F57A5D"/>
    <w:rsid w:val="00F64768"/>
    <w:rsid w:val="00F74CD4"/>
    <w:rsid w:val="00FA0E78"/>
    <w:rsid w:val="00FB43B9"/>
    <w:rsid w:val="00FD7A6D"/>
    <w:rsid w:val="00FF2BF7"/>
    <w:rsid w:val="00FF31D6"/>
    <w:rsid w:val="00FF7B7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77D3"/>
    <w:rPr>
      <w:rFonts w:ascii="Times New Roman" w:eastAsia="Times New Roman" w:hAnsi="Times New Roman"/>
      <w:sz w:val="24"/>
      <w:szCs w:val="24"/>
    </w:rPr>
  </w:style>
  <w:style w:type="paragraph" w:styleId="Heading4">
    <w:name w:val="heading 4"/>
    <w:basedOn w:val="Normal"/>
    <w:link w:val="Heading4Char"/>
    <w:uiPriority w:val="99"/>
    <w:qFormat/>
    <w:locked/>
    <w:rsid w:val="00771BFA"/>
    <w:pPr>
      <w:spacing w:before="100" w:beforeAutospacing="1" w:after="100" w:afterAutospacing="1"/>
      <w:outlineLvl w:val="3"/>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71BFA"/>
    <w:rPr>
      <w:rFonts w:ascii="Times New Roman" w:hAnsi="Times New Roman" w:cs="Times New Roman"/>
      <w:b/>
      <w:sz w:val="24"/>
    </w:rPr>
  </w:style>
  <w:style w:type="paragraph" w:styleId="BalloonText">
    <w:name w:val="Balloon Text"/>
    <w:basedOn w:val="Normal"/>
    <w:link w:val="BalloonTextChar"/>
    <w:uiPriority w:val="99"/>
    <w:semiHidden/>
    <w:rsid w:val="0076469E"/>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6469E"/>
    <w:rPr>
      <w:rFonts w:ascii="Tahoma" w:hAnsi="Tahoma" w:cs="Times New Roman"/>
      <w:sz w:val="16"/>
      <w:lang w:val="lv-LV" w:eastAsia="lv-LV"/>
    </w:rPr>
  </w:style>
  <w:style w:type="paragraph" w:styleId="BodyText">
    <w:name w:val="Body Text"/>
    <w:basedOn w:val="Normal"/>
    <w:link w:val="BodyTextChar"/>
    <w:uiPriority w:val="99"/>
    <w:rsid w:val="003D77D3"/>
    <w:pPr>
      <w:jc w:val="center"/>
    </w:pPr>
    <w:rPr>
      <w:rFonts w:eastAsia="Calibri"/>
      <w:b/>
      <w:sz w:val="32"/>
      <w:szCs w:val="32"/>
    </w:rPr>
  </w:style>
  <w:style w:type="character" w:customStyle="1" w:styleId="BodyTextChar">
    <w:name w:val="Body Text Char"/>
    <w:basedOn w:val="DefaultParagraphFont"/>
    <w:link w:val="BodyText"/>
    <w:uiPriority w:val="99"/>
    <w:locked/>
    <w:rsid w:val="003D77D3"/>
    <w:rPr>
      <w:rFonts w:ascii="Times New Roman" w:hAnsi="Times New Roman" w:cs="Times New Roman"/>
      <w:b/>
      <w:sz w:val="32"/>
      <w:lang w:val="lv-LV" w:eastAsia="lv-LV"/>
    </w:rPr>
  </w:style>
  <w:style w:type="paragraph" w:styleId="Footer">
    <w:name w:val="footer"/>
    <w:basedOn w:val="Normal"/>
    <w:link w:val="FooterChar"/>
    <w:uiPriority w:val="99"/>
    <w:rsid w:val="003D77D3"/>
    <w:pPr>
      <w:tabs>
        <w:tab w:val="center" w:pos="4153"/>
        <w:tab w:val="right" w:pos="8306"/>
      </w:tabs>
    </w:pPr>
    <w:rPr>
      <w:rFonts w:ascii="RimTimes" w:eastAsia="Calibri" w:hAnsi="RimTimes"/>
      <w:sz w:val="20"/>
      <w:szCs w:val="20"/>
    </w:rPr>
  </w:style>
  <w:style w:type="character" w:customStyle="1" w:styleId="FooterChar">
    <w:name w:val="Footer Char"/>
    <w:basedOn w:val="DefaultParagraphFont"/>
    <w:link w:val="Footer"/>
    <w:uiPriority w:val="99"/>
    <w:locked/>
    <w:rsid w:val="003D77D3"/>
    <w:rPr>
      <w:rFonts w:ascii="RimTimes" w:hAnsi="RimTimes" w:cs="Times New Roman"/>
      <w:snapToGrid w:val="0"/>
      <w:sz w:val="20"/>
      <w:lang w:val="lv-LV"/>
    </w:rPr>
  </w:style>
  <w:style w:type="paragraph" w:styleId="Header">
    <w:name w:val="header"/>
    <w:basedOn w:val="Normal"/>
    <w:link w:val="HeaderChar"/>
    <w:uiPriority w:val="99"/>
    <w:rsid w:val="003D77D3"/>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D77D3"/>
    <w:rPr>
      <w:rFonts w:ascii="Times New Roman" w:hAnsi="Times New Roman" w:cs="Times New Roman"/>
      <w:sz w:val="20"/>
      <w:lang w:val="lv-LV"/>
    </w:rPr>
  </w:style>
  <w:style w:type="character" w:styleId="Hyperlink">
    <w:name w:val="Hyperlink"/>
    <w:basedOn w:val="DefaultParagraphFont"/>
    <w:uiPriority w:val="99"/>
    <w:rsid w:val="003D77D3"/>
    <w:rPr>
      <w:rFonts w:ascii="Times New Roman" w:hAnsi="Times New Roman" w:cs="Times New Roman"/>
      <w:color w:val="0000FF"/>
      <w:u w:val="single"/>
      <w:lang w:val="lv-LV"/>
    </w:rPr>
  </w:style>
  <w:style w:type="paragraph" w:customStyle="1" w:styleId="naisf">
    <w:name w:val="naisf"/>
    <w:basedOn w:val="Normal"/>
    <w:uiPriority w:val="99"/>
    <w:rsid w:val="003D77D3"/>
    <w:pPr>
      <w:spacing w:before="75" w:after="75"/>
      <w:ind w:firstLine="375"/>
      <w:jc w:val="both"/>
    </w:pPr>
  </w:style>
  <w:style w:type="paragraph" w:customStyle="1" w:styleId="naiskr">
    <w:name w:val="naiskr"/>
    <w:basedOn w:val="Normal"/>
    <w:uiPriority w:val="99"/>
    <w:rsid w:val="003D77D3"/>
    <w:pPr>
      <w:spacing w:before="75" w:after="75"/>
    </w:pPr>
  </w:style>
  <w:style w:type="paragraph" w:styleId="NormalWeb">
    <w:name w:val="Normal (Web)"/>
    <w:basedOn w:val="Normal"/>
    <w:link w:val="NormalWebChar"/>
    <w:uiPriority w:val="99"/>
    <w:rsid w:val="003D77D3"/>
    <w:pPr>
      <w:spacing w:before="100" w:beforeAutospacing="1" w:after="100" w:afterAutospacing="1"/>
    </w:pPr>
    <w:rPr>
      <w:rFonts w:eastAsia="Calibri"/>
      <w:szCs w:val="20"/>
    </w:rPr>
  </w:style>
  <w:style w:type="character" w:styleId="Strong">
    <w:name w:val="Strong"/>
    <w:basedOn w:val="DefaultParagraphFont"/>
    <w:uiPriority w:val="99"/>
    <w:qFormat/>
    <w:rsid w:val="003D77D3"/>
    <w:rPr>
      <w:rFonts w:cs="Times New Roman"/>
      <w:b/>
    </w:rPr>
  </w:style>
  <w:style w:type="paragraph" w:customStyle="1" w:styleId="naislab">
    <w:name w:val="naislab"/>
    <w:basedOn w:val="Normal"/>
    <w:uiPriority w:val="99"/>
    <w:rsid w:val="003D77D3"/>
    <w:pPr>
      <w:spacing w:before="75" w:after="75"/>
      <w:jc w:val="right"/>
    </w:pPr>
    <w:rPr>
      <w:rFonts w:eastAsia="Calibri"/>
    </w:rPr>
  </w:style>
  <w:style w:type="character" w:styleId="PageNumber">
    <w:name w:val="page number"/>
    <w:basedOn w:val="DefaultParagraphFont"/>
    <w:uiPriority w:val="99"/>
    <w:rsid w:val="003D77D3"/>
    <w:rPr>
      <w:rFonts w:cs="Times New Roman"/>
    </w:rPr>
  </w:style>
  <w:style w:type="paragraph" w:customStyle="1" w:styleId="naisnod">
    <w:name w:val="naisnod"/>
    <w:basedOn w:val="Normal"/>
    <w:uiPriority w:val="99"/>
    <w:rsid w:val="003D77D3"/>
    <w:pPr>
      <w:spacing w:before="150" w:after="150"/>
      <w:jc w:val="center"/>
    </w:pPr>
    <w:rPr>
      <w:b/>
      <w:bCs/>
    </w:rPr>
  </w:style>
  <w:style w:type="paragraph" w:styleId="ListParagraph">
    <w:name w:val="List Paragraph"/>
    <w:basedOn w:val="Normal"/>
    <w:uiPriority w:val="99"/>
    <w:qFormat/>
    <w:rsid w:val="00C05C7E"/>
    <w:pPr>
      <w:ind w:left="720"/>
      <w:contextualSpacing/>
    </w:pPr>
  </w:style>
  <w:style w:type="paragraph" w:styleId="BodyText3">
    <w:name w:val="Body Text 3"/>
    <w:basedOn w:val="Normal"/>
    <w:link w:val="BodyText3Char"/>
    <w:uiPriority w:val="99"/>
    <w:rsid w:val="00155A4D"/>
    <w:pPr>
      <w:spacing w:after="120"/>
    </w:pPr>
    <w:rPr>
      <w:rFonts w:eastAsia="Calibri"/>
      <w:sz w:val="16"/>
      <w:szCs w:val="16"/>
    </w:rPr>
  </w:style>
  <w:style w:type="character" w:customStyle="1" w:styleId="BodyText3Char">
    <w:name w:val="Body Text 3 Char"/>
    <w:basedOn w:val="DefaultParagraphFont"/>
    <w:link w:val="BodyText3"/>
    <w:uiPriority w:val="99"/>
    <w:locked/>
    <w:rsid w:val="00155A4D"/>
    <w:rPr>
      <w:rFonts w:ascii="Times New Roman" w:hAnsi="Times New Roman" w:cs="Times New Roman"/>
      <w:sz w:val="16"/>
    </w:rPr>
  </w:style>
  <w:style w:type="character" w:customStyle="1" w:styleId="NormalWebChar">
    <w:name w:val="Normal (Web) Char"/>
    <w:link w:val="NormalWeb"/>
    <w:uiPriority w:val="99"/>
    <w:locked/>
    <w:rsid w:val="00155A4D"/>
    <w:rPr>
      <w:rFonts w:ascii="Times New Roman" w:hAnsi="Times New Roman"/>
      <w:sz w:val="24"/>
    </w:rPr>
  </w:style>
  <w:style w:type="paragraph" w:styleId="HTMLPreformatted">
    <w:name w:val="HTML Preformatted"/>
    <w:basedOn w:val="Normal"/>
    <w:link w:val="HTMLPreformattedChar"/>
    <w:uiPriority w:val="99"/>
    <w:rsid w:val="006D4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locked/>
    <w:rsid w:val="006D4783"/>
    <w:rPr>
      <w:rFonts w:ascii="Courier New" w:hAnsi="Courier New" w:cs="Times New Roman"/>
      <w:sz w:val="20"/>
    </w:rPr>
  </w:style>
  <w:style w:type="character" w:customStyle="1" w:styleId="spelle">
    <w:name w:val="spelle"/>
    <w:uiPriority w:val="99"/>
    <w:rsid w:val="005D43E5"/>
  </w:style>
  <w:style w:type="character" w:styleId="CommentReference">
    <w:name w:val="annotation reference"/>
    <w:basedOn w:val="DefaultParagraphFont"/>
    <w:uiPriority w:val="99"/>
    <w:semiHidden/>
    <w:rsid w:val="005D43E5"/>
    <w:rPr>
      <w:rFonts w:cs="Times New Roman"/>
      <w:sz w:val="16"/>
    </w:rPr>
  </w:style>
  <w:style w:type="paragraph" w:styleId="FootnoteText">
    <w:name w:val="footnote text"/>
    <w:basedOn w:val="Normal"/>
    <w:link w:val="FootnoteTextChar"/>
    <w:uiPriority w:val="99"/>
    <w:rsid w:val="005D43E5"/>
    <w:pPr>
      <w:tabs>
        <w:tab w:val="left" w:pos="720"/>
      </w:tabs>
      <w:suppressAutoHyphens/>
      <w:spacing w:line="100" w:lineRule="atLeast"/>
    </w:pPr>
    <w:rPr>
      <w:rFonts w:eastAsia="Calibri"/>
      <w:sz w:val="20"/>
      <w:szCs w:val="20"/>
      <w:lang w:val="en-US" w:eastAsia="zh-CN" w:bidi="hi-IN"/>
    </w:rPr>
  </w:style>
  <w:style w:type="character" w:customStyle="1" w:styleId="FootnoteTextChar">
    <w:name w:val="Footnote Text Char"/>
    <w:basedOn w:val="DefaultParagraphFont"/>
    <w:link w:val="FootnoteText"/>
    <w:uiPriority w:val="99"/>
    <w:locked/>
    <w:rsid w:val="005D43E5"/>
    <w:rPr>
      <w:rFonts w:ascii="Times New Roman" w:hAnsi="Times New Roman" w:cs="Times New Roman"/>
      <w:sz w:val="20"/>
      <w:lang w:val="en-US" w:eastAsia="zh-CN"/>
    </w:rPr>
  </w:style>
  <w:style w:type="character" w:styleId="FootnoteReference">
    <w:name w:val="footnote reference"/>
    <w:basedOn w:val="DefaultParagraphFont"/>
    <w:uiPriority w:val="99"/>
    <w:semiHidden/>
    <w:rsid w:val="005D43E5"/>
    <w:rPr>
      <w:rFonts w:cs="Times New Roman"/>
      <w:vertAlign w:val="superscript"/>
    </w:rPr>
  </w:style>
  <w:style w:type="character" w:styleId="HTMLCite">
    <w:name w:val="HTML Cite"/>
    <w:basedOn w:val="DefaultParagraphFont"/>
    <w:uiPriority w:val="99"/>
    <w:semiHidden/>
    <w:rsid w:val="005D43E5"/>
    <w:rPr>
      <w:rFonts w:cs="Times New Roman"/>
      <w:i/>
    </w:rPr>
  </w:style>
  <w:style w:type="paragraph" w:styleId="NoSpacing">
    <w:name w:val="No Spacing"/>
    <w:uiPriority w:val="99"/>
    <w:qFormat/>
    <w:rsid w:val="00030D29"/>
    <w:rPr>
      <w:rFonts w:ascii="Garamond" w:eastAsia="Times New Roman" w:hAnsi="Garamond"/>
      <w:sz w:val="24"/>
      <w:szCs w:val="24"/>
      <w:lang w:val="en-US"/>
    </w:rPr>
  </w:style>
  <w:style w:type="paragraph" w:styleId="BodyTextIndent">
    <w:name w:val="Body Text Indent"/>
    <w:basedOn w:val="Normal"/>
    <w:link w:val="BodyTextIndentChar"/>
    <w:uiPriority w:val="99"/>
    <w:rsid w:val="000326B0"/>
    <w:pPr>
      <w:spacing w:after="120"/>
      <w:ind w:left="283"/>
    </w:pPr>
    <w:rPr>
      <w:rFonts w:eastAsia="Calibri"/>
    </w:rPr>
  </w:style>
  <w:style w:type="character" w:customStyle="1" w:styleId="BodyTextIndentChar">
    <w:name w:val="Body Text Indent Char"/>
    <w:basedOn w:val="DefaultParagraphFont"/>
    <w:link w:val="BodyTextIndent"/>
    <w:uiPriority w:val="99"/>
    <w:locked/>
    <w:rsid w:val="000326B0"/>
    <w:rPr>
      <w:rFonts w:ascii="Times New Roman" w:hAnsi="Times New Roman" w:cs="Times New Roman"/>
      <w:sz w:val="24"/>
    </w:rPr>
  </w:style>
  <w:style w:type="paragraph" w:customStyle="1" w:styleId="basetext">
    <w:name w:val="base text"/>
    <w:uiPriority w:val="99"/>
    <w:rsid w:val="00681792"/>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rFonts w:ascii="Times New Roman" w:hAnsi="Times New Roman"/>
      <w:sz w:val="24"/>
      <w:szCs w:val="20"/>
      <w:lang w:val="en-US" w:eastAsia="en-US"/>
    </w:rPr>
  </w:style>
  <w:style w:type="paragraph" w:styleId="CommentText">
    <w:name w:val="annotation text"/>
    <w:basedOn w:val="Normal"/>
    <w:link w:val="CommentTextChar"/>
    <w:uiPriority w:val="99"/>
    <w:semiHidden/>
    <w:locked/>
    <w:rsid w:val="00697B1C"/>
    <w:rPr>
      <w:sz w:val="20"/>
      <w:szCs w:val="20"/>
    </w:rPr>
  </w:style>
  <w:style w:type="character" w:customStyle="1" w:styleId="CommentTextChar">
    <w:name w:val="Comment Text Char"/>
    <w:basedOn w:val="DefaultParagraphFont"/>
    <w:link w:val="CommentText"/>
    <w:uiPriority w:val="99"/>
    <w:semiHidden/>
    <w:locked/>
    <w:rsid w:val="00697B1C"/>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locked/>
    <w:rsid w:val="00697B1C"/>
    <w:rPr>
      <w:b/>
      <w:bCs/>
    </w:rPr>
  </w:style>
  <w:style w:type="character" w:customStyle="1" w:styleId="CommentSubjectChar">
    <w:name w:val="Comment Subject Char"/>
    <w:basedOn w:val="CommentTextChar"/>
    <w:link w:val="CommentSubject"/>
    <w:uiPriority w:val="99"/>
    <w:semiHidden/>
    <w:locked/>
    <w:rsid w:val="00697B1C"/>
    <w:rPr>
      <w:b/>
    </w:rPr>
  </w:style>
</w:styles>
</file>

<file path=word/webSettings.xml><?xml version="1.0" encoding="utf-8"?>
<w:webSettings xmlns:r="http://schemas.openxmlformats.org/officeDocument/2006/relationships" xmlns:w="http://schemas.openxmlformats.org/wordprocessingml/2006/main">
  <w:divs>
    <w:div w:id="390689644">
      <w:marLeft w:val="45"/>
      <w:marRight w:val="45"/>
      <w:marTop w:val="90"/>
      <w:marBottom w:val="90"/>
      <w:divBdr>
        <w:top w:val="none" w:sz="0" w:space="0" w:color="auto"/>
        <w:left w:val="none" w:sz="0" w:space="0" w:color="auto"/>
        <w:bottom w:val="none" w:sz="0" w:space="0" w:color="auto"/>
        <w:right w:val="none" w:sz="0" w:space="0" w:color="auto"/>
      </w:divBdr>
      <w:divsChild>
        <w:div w:id="390689643">
          <w:marLeft w:val="0"/>
          <w:marRight w:val="0"/>
          <w:marTop w:val="240"/>
          <w:marBottom w:val="0"/>
          <w:divBdr>
            <w:top w:val="none" w:sz="0" w:space="0" w:color="auto"/>
            <w:left w:val="none" w:sz="0" w:space="0" w:color="auto"/>
            <w:bottom w:val="none" w:sz="0" w:space="0" w:color="auto"/>
            <w:right w:val="none" w:sz="0" w:space="0" w:color="auto"/>
          </w:divBdr>
        </w:div>
      </w:divsChild>
    </w:div>
    <w:div w:id="390689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sis.mk.gov.lv/view.do?id=38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ce.ozola@varam.gov.l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10</Pages>
  <Words>2885</Words>
  <Characters>19936</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subject>Anotācija</dc:subject>
  <dc:creator>Dace Ozola</dc:creator>
  <cp:keywords/>
  <dc:description>dace.ozola@varam.gov.lv, 67026518</dc:description>
  <cp:lastModifiedBy>sandijab</cp:lastModifiedBy>
  <cp:revision>13</cp:revision>
  <cp:lastPrinted>2012-08-15T06:56:00Z</cp:lastPrinted>
  <dcterms:created xsi:type="dcterms:W3CDTF">2012-07-30T07:08:00Z</dcterms:created>
  <dcterms:modified xsi:type="dcterms:W3CDTF">2012-08-15T07:40:00Z</dcterms:modified>
</cp:coreProperties>
</file>