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72" w:rsidRDefault="00E46472" w:rsidP="004B4464">
      <w:pPr>
        <w:jc w:val="center"/>
        <w:rPr>
          <w:sz w:val="28"/>
          <w:szCs w:val="28"/>
        </w:rPr>
      </w:pPr>
      <w:bookmarkStart w:id="0" w:name="OLE_LINK1"/>
      <w:bookmarkStart w:id="1" w:name="OLE_LINK2"/>
      <w:bookmarkStart w:id="2" w:name="OLE_LINK5"/>
      <w:bookmarkStart w:id="3" w:name="OLE_LINK6"/>
      <w:r>
        <w:rPr>
          <w:sz w:val="28"/>
          <w:szCs w:val="28"/>
        </w:rPr>
        <w:t>Ministru kabineta noteikumu projekta</w:t>
      </w:r>
    </w:p>
    <w:p w:rsidR="00E46472" w:rsidRPr="004B4464" w:rsidRDefault="00E46472" w:rsidP="004B4464">
      <w:pPr>
        <w:ind w:left="709" w:right="707"/>
        <w:jc w:val="center"/>
        <w:rPr>
          <w:b/>
          <w:sz w:val="28"/>
          <w:szCs w:val="28"/>
        </w:rPr>
      </w:pPr>
      <w:r w:rsidRPr="004B4464">
        <w:rPr>
          <w:b/>
          <w:sz w:val="28"/>
          <w:szCs w:val="28"/>
        </w:rPr>
        <w:t xml:space="preserve"> „Kārtība, kādā nodrošina Latvijai piešķirto emisijas kvotu izsolīšanu” </w:t>
      </w:r>
    </w:p>
    <w:p w:rsidR="00E46472" w:rsidRPr="00AE21FB" w:rsidRDefault="00E46472" w:rsidP="004B4464">
      <w:pPr>
        <w:jc w:val="center"/>
        <w:rPr>
          <w:sz w:val="28"/>
          <w:szCs w:val="28"/>
        </w:rPr>
      </w:pPr>
      <w:r w:rsidRPr="00AE21FB">
        <w:rPr>
          <w:sz w:val="28"/>
          <w:szCs w:val="28"/>
        </w:rPr>
        <w:t xml:space="preserve">sākotnējās ietekmes novērtējuma </w:t>
      </w:r>
      <w:r w:rsidRPr="008D1385">
        <w:rPr>
          <w:sz w:val="28"/>
          <w:szCs w:val="28"/>
        </w:rPr>
        <w:t>ziņojums (anotācija)</w:t>
      </w:r>
      <w:bookmarkEnd w:id="0"/>
      <w:bookmarkEnd w:id="1"/>
    </w:p>
    <w:bookmarkEnd w:id="2"/>
    <w:bookmarkEnd w:id="3"/>
    <w:p w:rsidR="00E46472" w:rsidRDefault="00E46472" w:rsidP="00123FEE">
      <w:pPr>
        <w:rPr>
          <w:sz w:val="28"/>
          <w:szCs w:val="28"/>
        </w:rPr>
      </w:pPr>
    </w:p>
    <w:p w:rsidR="00525160" w:rsidRPr="00235A09" w:rsidRDefault="00525160" w:rsidP="00123FEE">
      <w:pPr>
        <w:rPr>
          <w:sz w:val="28"/>
          <w:szCs w:val="28"/>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268"/>
        <w:gridCol w:w="6237"/>
      </w:tblGrid>
      <w:tr w:rsidR="00E46472" w:rsidRPr="00235A09" w:rsidTr="0021647E">
        <w:trPr>
          <w:jc w:val="center"/>
        </w:trPr>
        <w:tc>
          <w:tcPr>
            <w:tcW w:w="9058" w:type="dxa"/>
            <w:gridSpan w:val="3"/>
          </w:tcPr>
          <w:p w:rsidR="00E46472" w:rsidRPr="00235A09" w:rsidRDefault="00E46472" w:rsidP="00A130F0">
            <w:pPr>
              <w:pStyle w:val="naislab"/>
              <w:spacing w:before="0" w:after="0"/>
              <w:jc w:val="center"/>
              <w:outlineLvl w:val="0"/>
              <w:rPr>
                <w:b/>
                <w:color w:val="000000"/>
                <w:sz w:val="28"/>
                <w:szCs w:val="28"/>
              </w:rPr>
            </w:pPr>
            <w:r w:rsidRPr="00235A09">
              <w:rPr>
                <w:b/>
                <w:color w:val="000000"/>
              </w:rPr>
              <w:t>I. Tiesību akta projekta izstrādes nepieciešamība</w:t>
            </w:r>
          </w:p>
        </w:tc>
      </w:tr>
      <w:tr w:rsidR="00E46472" w:rsidRPr="00235A09" w:rsidTr="0021647E">
        <w:trPr>
          <w:jc w:val="center"/>
        </w:trPr>
        <w:tc>
          <w:tcPr>
            <w:tcW w:w="553" w:type="dxa"/>
          </w:tcPr>
          <w:p w:rsidR="00E46472" w:rsidRPr="00235A09" w:rsidRDefault="00E46472" w:rsidP="00894FE0">
            <w:pPr>
              <w:pStyle w:val="naislab"/>
              <w:spacing w:before="0" w:after="0"/>
              <w:jc w:val="center"/>
              <w:outlineLvl w:val="0"/>
              <w:rPr>
                <w:color w:val="000000"/>
                <w:sz w:val="28"/>
                <w:szCs w:val="28"/>
              </w:rPr>
            </w:pPr>
            <w:r w:rsidRPr="00235A09">
              <w:rPr>
                <w:color w:val="000000"/>
                <w:sz w:val="22"/>
                <w:szCs w:val="22"/>
              </w:rPr>
              <w:t>1.</w:t>
            </w:r>
          </w:p>
        </w:tc>
        <w:tc>
          <w:tcPr>
            <w:tcW w:w="2268" w:type="dxa"/>
          </w:tcPr>
          <w:p w:rsidR="00E46472" w:rsidRPr="007807C5" w:rsidRDefault="00E46472" w:rsidP="00894FE0">
            <w:pPr>
              <w:pStyle w:val="naiskr"/>
              <w:spacing w:before="0" w:after="0"/>
              <w:ind w:hanging="10"/>
            </w:pPr>
            <w:r w:rsidRPr="007807C5">
              <w:rPr>
                <w:sz w:val="22"/>
                <w:szCs w:val="22"/>
              </w:rPr>
              <w:t>Pamatojums</w:t>
            </w:r>
          </w:p>
        </w:tc>
        <w:tc>
          <w:tcPr>
            <w:tcW w:w="6237" w:type="dxa"/>
          </w:tcPr>
          <w:p w:rsidR="00E46472" w:rsidRPr="007807C5" w:rsidRDefault="00E46472" w:rsidP="00855692">
            <w:pPr>
              <w:jc w:val="both"/>
            </w:pPr>
            <w:r w:rsidRPr="007807C5">
              <w:rPr>
                <w:sz w:val="22"/>
                <w:szCs w:val="22"/>
              </w:rPr>
              <w:t>Ministru kabineta noteikumu projekts „Kārtība, kādā nodrošina Latvijai piešķirto emisijas kvotu izsolīšanu” (turpmāk – noteikumu projekts) izstrādāts ar mērķi</w:t>
            </w:r>
            <w:r>
              <w:rPr>
                <w:sz w:val="22"/>
                <w:szCs w:val="22"/>
              </w:rPr>
              <w:t xml:space="preserve"> noteikt kārtību, kādā nodrošina Latvijai piešķirto emisijas kvotu, kas nav paredzētas bez maksas piešķiršanai, izsolīšanu (</w:t>
            </w:r>
            <w:r w:rsidRPr="00BB2F33">
              <w:rPr>
                <w:sz w:val="22"/>
                <w:szCs w:val="22"/>
              </w:rPr>
              <w:t>sākot ar 2012.gada 1.janvāri, gaisa kuģu operatoriem un, sākot ar 2013.gada 1.janvāri, operatoriem)</w:t>
            </w:r>
            <w:r>
              <w:rPr>
                <w:sz w:val="22"/>
                <w:szCs w:val="22"/>
              </w:rPr>
              <w:t xml:space="preserve">. Noteikumu projekts izstrādāts, pamatojoties uz </w:t>
            </w:r>
            <w:r w:rsidRPr="00BB2F33">
              <w:rPr>
                <w:sz w:val="22"/>
                <w:szCs w:val="22"/>
              </w:rPr>
              <w:t>likuma</w:t>
            </w:r>
            <w:r>
              <w:rPr>
                <w:sz w:val="22"/>
                <w:szCs w:val="22"/>
              </w:rPr>
              <w:t xml:space="preserve"> </w:t>
            </w:r>
            <w:r w:rsidRPr="00BB2F33">
              <w:rPr>
                <w:sz w:val="22"/>
                <w:szCs w:val="22"/>
              </w:rPr>
              <w:t>„Par piesārņojumu”</w:t>
            </w:r>
            <w:r>
              <w:rPr>
                <w:sz w:val="22"/>
                <w:szCs w:val="22"/>
              </w:rPr>
              <w:t xml:space="preserve"> </w:t>
            </w:r>
            <w:r w:rsidRPr="00BB2F33">
              <w:rPr>
                <w:sz w:val="22"/>
                <w:szCs w:val="22"/>
              </w:rPr>
              <w:t>32.</w:t>
            </w:r>
            <w:r w:rsidRPr="00BB2F33">
              <w:rPr>
                <w:sz w:val="22"/>
                <w:szCs w:val="22"/>
                <w:vertAlign w:val="superscript"/>
              </w:rPr>
              <w:t>2</w:t>
            </w:r>
            <w:r w:rsidRPr="00BB2F33">
              <w:rPr>
                <w:sz w:val="22"/>
                <w:szCs w:val="22"/>
              </w:rPr>
              <w:t xml:space="preserve"> panta septīto daļu.</w:t>
            </w:r>
            <w:r>
              <w:rPr>
                <w:sz w:val="22"/>
                <w:szCs w:val="22"/>
              </w:rPr>
              <w:t xml:space="preserve"> Noteikumu projekts sagatavots, ņemot vērā </w:t>
            </w:r>
            <w:r w:rsidRPr="007807C5">
              <w:rPr>
                <w:sz w:val="22"/>
                <w:szCs w:val="22"/>
              </w:rPr>
              <w:t xml:space="preserve">Eiropas Komisijas 2010. gada 12. novembra Regulas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 (turpmāk – Regula Nr. 1031/2010) </w:t>
            </w:r>
            <w:r>
              <w:rPr>
                <w:sz w:val="22"/>
                <w:szCs w:val="22"/>
              </w:rPr>
              <w:t>prasības</w:t>
            </w:r>
            <w:r w:rsidRPr="007807C5">
              <w:rPr>
                <w:sz w:val="22"/>
                <w:szCs w:val="22"/>
              </w:rPr>
              <w:t>.</w:t>
            </w:r>
          </w:p>
        </w:tc>
      </w:tr>
      <w:tr w:rsidR="00E46472" w:rsidRPr="00235A09" w:rsidTr="0021647E">
        <w:trPr>
          <w:jc w:val="center"/>
        </w:trPr>
        <w:tc>
          <w:tcPr>
            <w:tcW w:w="553" w:type="dxa"/>
          </w:tcPr>
          <w:p w:rsidR="00E46472" w:rsidRPr="00235A09" w:rsidRDefault="00E46472" w:rsidP="00894FE0">
            <w:pPr>
              <w:pStyle w:val="naislab"/>
              <w:spacing w:before="0" w:after="0"/>
              <w:jc w:val="center"/>
              <w:outlineLvl w:val="0"/>
              <w:rPr>
                <w:color w:val="000000"/>
                <w:sz w:val="28"/>
                <w:szCs w:val="28"/>
              </w:rPr>
            </w:pPr>
            <w:r w:rsidRPr="00235A09">
              <w:rPr>
                <w:color w:val="000000"/>
                <w:sz w:val="22"/>
                <w:szCs w:val="22"/>
              </w:rPr>
              <w:t>2.</w:t>
            </w:r>
          </w:p>
        </w:tc>
        <w:tc>
          <w:tcPr>
            <w:tcW w:w="2268" w:type="dxa"/>
          </w:tcPr>
          <w:p w:rsidR="00E46472" w:rsidRPr="007807C5" w:rsidRDefault="00E46472" w:rsidP="00894FE0">
            <w:pPr>
              <w:pStyle w:val="naiskr"/>
              <w:tabs>
                <w:tab w:val="left" w:pos="170"/>
              </w:tabs>
              <w:spacing w:before="0" w:after="0"/>
            </w:pPr>
            <w:r w:rsidRPr="007807C5">
              <w:rPr>
                <w:sz w:val="22"/>
                <w:szCs w:val="22"/>
              </w:rPr>
              <w:t>Pašreizējā situācija un problēmas</w:t>
            </w:r>
          </w:p>
        </w:tc>
        <w:tc>
          <w:tcPr>
            <w:tcW w:w="6237" w:type="dxa"/>
          </w:tcPr>
          <w:p w:rsidR="00E46472" w:rsidRDefault="00E46472" w:rsidP="00FD7D61">
            <w:pPr>
              <w:pStyle w:val="naisf"/>
              <w:spacing w:before="80" w:after="80"/>
              <w:ind w:firstLine="0"/>
              <w:rPr>
                <w:lang w:eastAsia="en-US"/>
              </w:rPr>
            </w:pPr>
            <w:r w:rsidRPr="007807C5">
              <w:rPr>
                <w:sz w:val="22"/>
                <w:szCs w:val="22"/>
                <w:lang w:eastAsia="en-US"/>
              </w:rPr>
              <w:t>Regula Nr. 1031/2010</w:t>
            </w:r>
            <w:r>
              <w:rPr>
                <w:sz w:val="22"/>
                <w:szCs w:val="22"/>
                <w:lang w:eastAsia="en-US"/>
              </w:rPr>
              <w:t xml:space="preserve"> </w:t>
            </w:r>
            <w:r w:rsidRPr="00FD7D61">
              <w:rPr>
                <w:sz w:val="22"/>
                <w:szCs w:val="22"/>
                <w:lang w:eastAsia="en-US"/>
              </w:rPr>
              <w:t xml:space="preserve">paredz noteikumus par emisijas kvotu izsoļu laika grafiku, administrēšanu un citiem aspektiem, t.sk. </w:t>
            </w:r>
            <w:r>
              <w:rPr>
                <w:sz w:val="22"/>
                <w:szCs w:val="22"/>
                <w:lang w:eastAsia="en-US"/>
              </w:rPr>
              <w:t xml:space="preserve">emisijas kvotu izsolīšanas organizēšanas iespējamos veidus. Ministru kabineta 2011. gada 1.novembra noteikumi Nr. 851 „Par Kopīgā iepirkuma nolīgumu par kopēju izsoles platformu iepirkumu un Kopīgā iepirkuma nolīgumu par izsoles uzrauga iecelšanu” </w:t>
            </w:r>
            <w:r w:rsidRPr="00FD7D61">
              <w:rPr>
                <w:sz w:val="22"/>
                <w:szCs w:val="22"/>
                <w:lang w:eastAsia="en-US"/>
              </w:rPr>
              <w:t>pieņem un apstiprina Kopīgā iepirkuma nolīguma projektu par kopēju izsoles platformu iepirkumu un Kopīgā iepirkuma nolīguma projektu par izsoles uzrauga iecelšanu starp Eiropas Komisiju un Eiropas Savienības dalībvalstīm, tai skaitā Latvijas Republiku.</w:t>
            </w:r>
          </w:p>
          <w:p w:rsidR="00E46472" w:rsidRPr="00FD7D61" w:rsidRDefault="00E46472" w:rsidP="008B64F3">
            <w:pPr>
              <w:pStyle w:val="naisf"/>
              <w:spacing w:before="80" w:after="80"/>
              <w:ind w:firstLine="0"/>
              <w:rPr>
                <w:lang w:eastAsia="en-US"/>
              </w:rPr>
            </w:pPr>
            <w:r>
              <w:rPr>
                <w:sz w:val="22"/>
                <w:szCs w:val="22"/>
                <w:lang w:eastAsia="en-US"/>
              </w:rPr>
              <w:t>Taču tiesību aktos šobrīd nav noteikts, kuras institūcijas Latvijā veiks atsevišķas Regulā</w:t>
            </w:r>
            <w:r w:rsidRPr="007807C5">
              <w:rPr>
                <w:sz w:val="22"/>
                <w:szCs w:val="22"/>
                <w:lang w:eastAsia="en-US"/>
              </w:rPr>
              <w:t xml:space="preserve"> Nr. 1031/2010</w:t>
            </w:r>
            <w:r>
              <w:rPr>
                <w:sz w:val="22"/>
                <w:szCs w:val="22"/>
                <w:lang w:eastAsia="en-US"/>
              </w:rPr>
              <w:t xml:space="preserve"> noteiktās funkci</w:t>
            </w:r>
            <w:r w:rsidR="008B64F3">
              <w:rPr>
                <w:sz w:val="22"/>
                <w:szCs w:val="22"/>
                <w:lang w:eastAsia="en-US"/>
              </w:rPr>
              <w:t>jas, t.sk. izsolītāja funkcijas</w:t>
            </w:r>
            <w:r>
              <w:rPr>
                <w:sz w:val="22"/>
                <w:szCs w:val="22"/>
                <w:lang w:eastAsia="en-US"/>
              </w:rPr>
              <w:t>.</w:t>
            </w:r>
          </w:p>
        </w:tc>
      </w:tr>
      <w:tr w:rsidR="00E46472" w:rsidRPr="00235A09" w:rsidTr="0021647E">
        <w:trPr>
          <w:jc w:val="center"/>
        </w:trPr>
        <w:tc>
          <w:tcPr>
            <w:tcW w:w="553" w:type="dxa"/>
          </w:tcPr>
          <w:p w:rsidR="00E46472" w:rsidRPr="00235A09" w:rsidRDefault="00E46472" w:rsidP="00A130F0">
            <w:pPr>
              <w:pStyle w:val="naislab"/>
              <w:spacing w:before="0" w:after="0"/>
              <w:jc w:val="center"/>
              <w:outlineLvl w:val="0"/>
              <w:rPr>
                <w:color w:val="000000"/>
              </w:rPr>
            </w:pPr>
            <w:r w:rsidRPr="00235A09">
              <w:rPr>
                <w:color w:val="000000"/>
                <w:sz w:val="22"/>
                <w:szCs w:val="22"/>
              </w:rPr>
              <w:t>3.</w:t>
            </w:r>
          </w:p>
        </w:tc>
        <w:tc>
          <w:tcPr>
            <w:tcW w:w="2268" w:type="dxa"/>
          </w:tcPr>
          <w:p w:rsidR="00E46472" w:rsidRPr="007807C5" w:rsidRDefault="00E46472" w:rsidP="00A130F0">
            <w:pPr>
              <w:pStyle w:val="naislab"/>
              <w:spacing w:before="0" w:after="0"/>
              <w:jc w:val="both"/>
              <w:outlineLvl w:val="0"/>
              <w:rPr>
                <w:lang w:eastAsia="en-US"/>
              </w:rPr>
            </w:pPr>
            <w:r w:rsidRPr="007807C5">
              <w:rPr>
                <w:sz w:val="22"/>
                <w:szCs w:val="22"/>
                <w:lang w:eastAsia="en-US"/>
              </w:rPr>
              <w:t>Saistītie politikas ietekmes novērtējumi un pētījumi</w:t>
            </w:r>
          </w:p>
        </w:tc>
        <w:tc>
          <w:tcPr>
            <w:tcW w:w="6237" w:type="dxa"/>
            <w:vAlign w:val="center"/>
          </w:tcPr>
          <w:p w:rsidR="00E46472" w:rsidRPr="007807C5" w:rsidRDefault="00E46472" w:rsidP="0021647E">
            <w:pPr>
              <w:rPr>
                <w:lang w:eastAsia="en-US"/>
              </w:rPr>
            </w:pPr>
            <w:r w:rsidRPr="007807C5">
              <w:rPr>
                <w:sz w:val="22"/>
                <w:szCs w:val="22"/>
              </w:rPr>
              <w:t>Nav attiecināms.</w:t>
            </w:r>
          </w:p>
        </w:tc>
      </w:tr>
      <w:tr w:rsidR="00E46472" w:rsidRPr="00235A09" w:rsidTr="0021647E">
        <w:trPr>
          <w:jc w:val="center"/>
        </w:trPr>
        <w:tc>
          <w:tcPr>
            <w:tcW w:w="553" w:type="dxa"/>
          </w:tcPr>
          <w:p w:rsidR="00E46472" w:rsidRPr="00235A09" w:rsidRDefault="00E46472" w:rsidP="00A130F0">
            <w:pPr>
              <w:pStyle w:val="naislab"/>
              <w:spacing w:before="0" w:after="0"/>
              <w:jc w:val="center"/>
              <w:outlineLvl w:val="0"/>
              <w:rPr>
                <w:color w:val="000000"/>
              </w:rPr>
            </w:pPr>
            <w:r w:rsidRPr="00235A09">
              <w:rPr>
                <w:color w:val="000000"/>
                <w:sz w:val="22"/>
                <w:szCs w:val="22"/>
              </w:rPr>
              <w:t>4.</w:t>
            </w:r>
          </w:p>
        </w:tc>
        <w:tc>
          <w:tcPr>
            <w:tcW w:w="2268" w:type="dxa"/>
          </w:tcPr>
          <w:p w:rsidR="00E46472" w:rsidRPr="007807C5" w:rsidRDefault="00E46472" w:rsidP="00A130F0">
            <w:pPr>
              <w:pStyle w:val="naislab"/>
              <w:spacing w:before="0" w:after="0"/>
              <w:jc w:val="both"/>
              <w:outlineLvl w:val="0"/>
              <w:rPr>
                <w:lang w:eastAsia="en-US"/>
              </w:rPr>
            </w:pPr>
            <w:r w:rsidRPr="007807C5">
              <w:rPr>
                <w:sz w:val="22"/>
                <w:szCs w:val="22"/>
                <w:lang w:eastAsia="en-US"/>
              </w:rPr>
              <w:t>Tiesiskā regulējuma mērķis un būtība</w:t>
            </w:r>
          </w:p>
        </w:tc>
        <w:tc>
          <w:tcPr>
            <w:tcW w:w="6237" w:type="dxa"/>
            <w:vAlign w:val="center"/>
          </w:tcPr>
          <w:p w:rsidR="00E46472" w:rsidRPr="007807C5" w:rsidRDefault="00E46472" w:rsidP="008B64F3">
            <w:pPr>
              <w:jc w:val="both"/>
              <w:rPr>
                <w:lang w:eastAsia="en-US"/>
              </w:rPr>
            </w:pPr>
            <w:r w:rsidRPr="007807C5">
              <w:rPr>
                <w:sz w:val="22"/>
                <w:szCs w:val="22"/>
              </w:rPr>
              <w:t xml:space="preserve">Noteikumu projekts </w:t>
            </w:r>
            <w:r>
              <w:rPr>
                <w:sz w:val="22"/>
                <w:szCs w:val="22"/>
              </w:rPr>
              <w:t>nosaka</w:t>
            </w:r>
            <w:r w:rsidRPr="007807C5">
              <w:rPr>
                <w:sz w:val="22"/>
                <w:szCs w:val="22"/>
              </w:rPr>
              <w:t xml:space="preserve"> Latvijas institūciju kompetenci </w:t>
            </w:r>
            <w:r w:rsidRPr="00FD7D61">
              <w:rPr>
                <w:sz w:val="22"/>
                <w:szCs w:val="22"/>
              </w:rPr>
              <w:t xml:space="preserve">Latvijai piešķirto gaisa kuģa operatoriem (sākot ar 2012.gada 1.janvāri) un stacionāro iekārtu operatoriem (sākot ar 2013.gada 1.janvāri) paredzēto emisijas kvotu </w:t>
            </w:r>
            <w:r w:rsidRPr="007807C5">
              <w:rPr>
                <w:sz w:val="22"/>
                <w:szCs w:val="22"/>
              </w:rPr>
              <w:t>izsolīšanā</w:t>
            </w:r>
            <w:r w:rsidR="008B64F3">
              <w:rPr>
                <w:sz w:val="22"/>
                <w:szCs w:val="22"/>
              </w:rPr>
              <w:t>.</w:t>
            </w:r>
          </w:p>
        </w:tc>
      </w:tr>
      <w:tr w:rsidR="00E46472" w:rsidRPr="00235A09" w:rsidTr="0021647E">
        <w:trPr>
          <w:jc w:val="center"/>
        </w:trPr>
        <w:tc>
          <w:tcPr>
            <w:tcW w:w="553" w:type="dxa"/>
          </w:tcPr>
          <w:p w:rsidR="00E46472" w:rsidRPr="00235A09" w:rsidRDefault="00E46472" w:rsidP="00A130F0">
            <w:pPr>
              <w:pStyle w:val="Header"/>
              <w:jc w:val="center"/>
              <w:outlineLvl w:val="0"/>
              <w:rPr>
                <w:color w:val="000000"/>
              </w:rPr>
            </w:pPr>
            <w:r w:rsidRPr="00235A09">
              <w:rPr>
                <w:color w:val="000000"/>
                <w:sz w:val="22"/>
                <w:szCs w:val="22"/>
              </w:rPr>
              <w:t>5.</w:t>
            </w:r>
          </w:p>
        </w:tc>
        <w:tc>
          <w:tcPr>
            <w:tcW w:w="2268" w:type="dxa"/>
          </w:tcPr>
          <w:p w:rsidR="00E46472" w:rsidRPr="007807C5" w:rsidRDefault="00E46472" w:rsidP="00A130F0">
            <w:pPr>
              <w:pStyle w:val="Header"/>
              <w:jc w:val="both"/>
              <w:outlineLvl w:val="0"/>
              <w:rPr>
                <w:color w:val="000000"/>
              </w:rPr>
            </w:pPr>
            <w:r w:rsidRPr="007807C5">
              <w:rPr>
                <w:color w:val="000000"/>
                <w:sz w:val="22"/>
                <w:szCs w:val="22"/>
              </w:rPr>
              <w:t>Projekta izstrādē iesaistītās institūcijas</w:t>
            </w:r>
          </w:p>
        </w:tc>
        <w:tc>
          <w:tcPr>
            <w:tcW w:w="6237" w:type="dxa"/>
            <w:vAlign w:val="center"/>
          </w:tcPr>
          <w:p w:rsidR="00E46472" w:rsidRPr="007807C5" w:rsidRDefault="00E46472" w:rsidP="0021647E">
            <w:pPr>
              <w:pStyle w:val="naiskr"/>
              <w:spacing w:before="0" w:after="0"/>
            </w:pPr>
            <w:r w:rsidRPr="007807C5">
              <w:rPr>
                <w:sz w:val="22"/>
                <w:szCs w:val="22"/>
              </w:rPr>
              <w:t>Vides aizsardzības un reģionālās attīstības ministrij</w:t>
            </w:r>
            <w:r>
              <w:rPr>
                <w:sz w:val="22"/>
                <w:szCs w:val="22"/>
              </w:rPr>
              <w:t>a</w:t>
            </w:r>
            <w:r w:rsidR="00B56725">
              <w:rPr>
                <w:sz w:val="22"/>
                <w:szCs w:val="22"/>
              </w:rPr>
              <w:t>, Fina</w:t>
            </w:r>
            <w:r w:rsidR="002F5A49">
              <w:rPr>
                <w:sz w:val="22"/>
                <w:szCs w:val="22"/>
              </w:rPr>
              <w:t>nšu un kapitāla tirgus komisija</w:t>
            </w:r>
            <w:r w:rsidRPr="007807C5">
              <w:rPr>
                <w:sz w:val="22"/>
                <w:szCs w:val="22"/>
              </w:rPr>
              <w:t>.</w:t>
            </w:r>
          </w:p>
        </w:tc>
      </w:tr>
      <w:tr w:rsidR="00E46472" w:rsidRPr="00235A09" w:rsidTr="0021647E">
        <w:trPr>
          <w:jc w:val="center"/>
        </w:trPr>
        <w:tc>
          <w:tcPr>
            <w:tcW w:w="553" w:type="dxa"/>
          </w:tcPr>
          <w:p w:rsidR="00E46472" w:rsidRPr="00235A09" w:rsidRDefault="00E46472" w:rsidP="00A130F0">
            <w:pPr>
              <w:pStyle w:val="naislab"/>
              <w:spacing w:before="0" w:after="0"/>
              <w:jc w:val="center"/>
              <w:outlineLvl w:val="0"/>
              <w:rPr>
                <w:color w:val="000000"/>
              </w:rPr>
            </w:pPr>
            <w:r w:rsidRPr="00235A09">
              <w:rPr>
                <w:color w:val="000000"/>
                <w:sz w:val="22"/>
                <w:szCs w:val="22"/>
              </w:rPr>
              <w:t>6.</w:t>
            </w:r>
          </w:p>
        </w:tc>
        <w:tc>
          <w:tcPr>
            <w:tcW w:w="2268" w:type="dxa"/>
          </w:tcPr>
          <w:p w:rsidR="00E46472" w:rsidRPr="007807C5" w:rsidRDefault="00E46472" w:rsidP="00A130F0">
            <w:pPr>
              <w:pStyle w:val="naislab"/>
              <w:spacing w:before="0" w:after="0"/>
              <w:jc w:val="both"/>
              <w:outlineLvl w:val="0"/>
              <w:rPr>
                <w:color w:val="000000"/>
              </w:rPr>
            </w:pPr>
            <w:r w:rsidRPr="007807C5">
              <w:rPr>
                <w:color w:val="000000"/>
                <w:sz w:val="22"/>
                <w:szCs w:val="22"/>
              </w:rPr>
              <w:t>Iemesli, kādēļ netika nodrošināta sabiedrības līdzdalība</w:t>
            </w:r>
          </w:p>
        </w:tc>
        <w:tc>
          <w:tcPr>
            <w:tcW w:w="6237" w:type="dxa"/>
            <w:vAlign w:val="center"/>
          </w:tcPr>
          <w:p w:rsidR="00E46472" w:rsidRPr="007807C5" w:rsidRDefault="00E46472" w:rsidP="0021647E">
            <w:r w:rsidRPr="007807C5">
              <w:rPr>
                <w:sz w:val="22"/>
                <w:szCs w:val="22"/>
              </w:rPr>
              <w:t>Nav attiecināms.</w:t>
            </w:r>
          </w:p>
        </w:tc>
      </w:tr>
      <w:tr w:rsidR="00E46472" w:rsidRPr="00235A09" w:rsidTr="0021647E">
        <w:trPr>
          <w:jc w:val="center"/>
        </w:trPr>
        <w:tc>
          <w:tcPr>
            <w:tcW w:w="553" w:type="dxa"/>
          </w:tcPr>
          <w:p w:rsidR="00E46472" w:rsidRPr="00235A09" w:rsidRDefault="00E46472" w:rsidP="00A130F0">
            <w:pPr>
              <w:pStyle w:val="naislab"/>
              <w:spacing w:before="0" w:after="0"/>
              <w:jc w:val="center"/>
              <w:outlineLvl w:val="0"/>
              <w:rPr>
                <w:color w:val="000000"/>
              </w:rPr>
            </w:pPr>
            <w:r w:rsidRPr="00235A09">
              <w:rPr>
                <w:color w:val="000000"/>
                <w:sz w:val="22"/>
                <w:szCs w:val="22"/>
              </w:rPr>
              <w:t>7.</w:t>
            </w:r>
          </w:p>
        </w:tc>
        <w:tc>
          <w:tcPr>
            <w:tcW w:w="2268" w:type="dxa"/>
          </w:tcPr>
          <w:p w:rsidR="00E46472" w:rsidRPr="007807C5" w:rsidRDefault="00E46472" w:rsidP="00A130F0">
            <w:pPr>
              <w:pStyle w:val="naislab"/>
              <w:spacing w:before="0" w:after="0"/>
              <w:jc w:val="both"/>
              <w:outlineLvl w:val="0"/>
              <w:rPr>
                <w:color w:val="000000"/>
              </w:rPr>
            </w:pPr>
            <w:r w:rsidRPr="007807C5">
              <w:rPr>
                <w:color w:val="000000"/>
                <w:sz w:val="22"/>
                <w:szCs w:val="22"/>
              </w:rPr>
              <w:t>Cita informācija</w:t>
            </w:r>
          </w:p>
        </w:tc>
        <w:tc>
          <w:tcPr>
            <w:tcW w:w="6237" w:type="dxa"/>
            <w:vAlign w:val="center"/>
          </w:tcPr>
          <w:p w:rsidR="00E46472" w:rsidRPr="007807C5" w:rsidRDefault="00E46472" w:rsidP="0021647E">
            <w:r w:rsidRPr="008C1DB5">
              <w:rPr>
                <w:sz w:val="22"/>
              </w:rPr>
              <w:t>Nav attiecināms</w:t>
            </w:r>
          </w:p>
        </w:tc>
      </w:tr>
    </w:tbl>
    <w:p w:rsidR="00E46472" w:rsidRDefault="00E46472" w:rsidP="00236A1D">
      <w:pPr>
        <w:rPr>
          <w:color w:val="000000"/>
        </w:rPr>
      </w:pPr>
    </w:p>
    <w:p w:rsidR="00525160" w:rsidRPr="00235A09" w:rsidRDefault="00525160" w:rsidP="00236A1D">
      <w:pPr>
        <w:rPr>
          <w:color w:val="000000"/>
        </w:rPr>
      </w:pPr>
    </w:p>
    <w:tbl>
      <w:tblPr>
        <w:tblW w:w="8993"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672"/>
        <w:gridCol w:w="5773"/>
      </w:tblGrid>
      <w:tr w:rsidR="00E46472" w:rsidRPr="00235A09" w:rsidTr="0021647E">
        <w:trPr>
          <w:jc w:val="center"/>
        </w:trPr>
        <w:tc>
          <w:tcPr>
            <w:tcW w:w="8993" w:type="dxa"/>
            <w:gridSpan w:val="3"/>
          </w:tcPr>
          <w:p w:rsidR="00E46472" w:rsidRPr="00FF1C1D" w:rsidRDefault="00E46472" w:rsidP="00A130F0">
            <w:pPr>
              <w:jc w:val="center"/>
              <w:rPr>
                <w:b/>
              </w:rPr>
            </w:pPr>
            <w:r w:rsidRPr="00FF1C1D">
              <w:rPr>
                <w:b/>
              </w:rPr>
              <w:t>II. Tiesību akta projekta ietekme uz sabiedrību</w:t>
            </w:r>
          </w:p>
        </w:tc>
      </w:tr>
      <w:tr w:rsidR="00E46472" w:rsidRPr="00235A09"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rPr>
              <w:t>1.</w:t>
            </w:r>
          </w:p>
        </w:tc>
        <w:tc>
          <w:tcPr>
            <w:tcW w:w="2672" w:type="dxa"/>
          </w:tcPr>
          <w:p w:rsidR="00E46472" w:rsidRPr="007807C5" w:rsidRDefault="00E46472" w:rsidP="00A130F0">
            <w:pPr>
              <w:pStyle w:val="naislab"/>
              <w:spacing w:before="0" w:after="0"/>
              <w:jc w:val="both"/>
              <w:outlineLvl w:val="0"/>
              <w:rPr>
                <w:color w:val="000000"/>
              </w:rPr>
            </w:pPr>
            <w:r w:rsidRPr="007807C5">
              <w:rPr>
                <w:color w:val="000000"/>
                <w:sz w:val="22"/>
                <w:szCs w:val="22"/>
              </w:rPr>
              <w:t>Sabiedrības mērķgrupa</w:t>
            </w:r>
          </w:p>
        </w:tc>
        <w:tc>
          <w:tcPr>
            <w:tcW w:w="5773" w:type="dxa"/>
            <w:vAlign w:val="center"/>
          </w:tcPr>
          <w:p w:rsidR="00E46472" w:rsidRPr="007807C5" w:rsidRDefault="00E46472" w:rsidP="0021647E">
            <w:pPr>
              <w:pStyle w:val="naiskr"/>
              <w:spacing w:before="0" w:after="0"/>
            </w:pPr>
            <w:r>
              <w:rPr>
                <w:sz w:val="22"/>
                <w:szCs w:val="22"/>
              </w:rPr>
              <w:t>Tiesību akta projektam nav tiešas ietekmes uz sabiedrību.</w:t>
            </w:r>
          </w:p>
        </w:tc>
      </w:tr>
      <w:tr w:rsidR="00E46472" w:rsidRPr="005642FA"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lastRenderedPageBreak/>
              <w:t>2.</w:t>
            </w:r>
          </w:p>
        </w:tc>
        <w:tc>
          <w:tcPr>
            <w:tcW w:w="2672" w:type="dxa"/>
          </w:tcPr>
          <w:p w:rsidR="00E46472" w:rsidRPr="007807C5" w:rsidRDefault="00E46472" w:rsidP="009A1793">
            <w:pPr>
              <w:pStyle w:val="naislab"/>
              <w:spacing w:before="0" w:after="0"/>
              <w:jc w:val="left"/>
              <w:outlineLvl w:val="0"/>
              <w:rPr>
                <w:color w:val="000000"/>
              </w:rPr>
            </w:pPr>
            <w:r w:rsidRPr="007807C5">
              <w:rPr>
                <w:color w:val="000000"/>
                <w:sz w:val="22"/>
                <w:szCs w:val="22"/>
              </w:rPr>
              <w:t>Citas sabiedrības grupas (bez mērķgrupas), kuras tiesiskais regulējums arī ietekmē vai varētu ietekmēt</w:t>
            </w:r>
          </w:p>
        </w:tc>
        <w:tc>
          <w:tcPr>
            <w:tcW w:w="5773" w:type="dxa"/>
            <w:vAlign w:val="center"/>
          </w:tcPr>
          <w:p w:rsidR="00E46472" w:rsidRPr="0021647E" w:rsidRDefault="00E46472" w:rsidP="0021647E">
            <w:pPr>
              <w:pStyle w:val="naiskr"/>
              <w:spacing w:before="0" w:after="0"/>
            </w:pPr>
            <w:r w:rsidRPr="0021647E">
              <w:rPr>
                <w:sz w:val="22"/>
                <w:szCs w:val="22"/>
              </w:rPr>
              <w:t>Emisijas kvotu izsoļu potenciālie dalībnieki – komersanti un fiziskās personas, kas vēlas iegādāties emisijas kvotas savu saistību segšanai vai arī peļņas gūšanas nolūkā.</w:t>
            </w:r>
          </w:p>
        </w:tc>
      </w:tr>
      <w:tr w:rsidR="00E46472" w:rsidRPr="00235A09"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t>3.</w:t>
            </w:r>
          </w:p>
        </w:tc>
        <w:tc>
          <w:tcPr>
            <w:tcW w:w="2672" w:type="dxa"/>
          </w:tcPr>
          <w:p w:rsidR="00E46472" w:rsidRPr="007807C5" w:rsidRDefault="00E46472" w:rsidP="00A130F0">
            <w:pPr>
              <w:pStyle w:val="naislab"/>
              <w:spacing w:before="0" w:after="0"/>
              <w:jc w:val="both"/>
              <w:outlineLvl w:val="0"/>
              <w:rPr>
                <w:color w:val="000000"/>
              </w:rPr>
            </w:pPr>
            <w:r w:rsidRPr="007807C5">
              <w:rPr>
                <w:color w:val="000000"/>
                <w:sz w:val="22"/>
                <w:szCs w:val="22"/>
              </w:rPr>
              <w:t>Tiesiskā regulējuma finansiālā ietekme</w:t>
            </w:r>
          </w:p>
        </w:tc>
        <w:tc>
          <w:tcPr>
            <w:tcW w:w="5773" w:type="dxa"/>
          </w:tcPr>
          <w:p w:rsidR="00E46472" w:rsidRPr="007807C5" w:rsidRDefault="00E46472" w:rsidP="00BD7CDC">
            <w:pPr>
              <w:jc w:val="both"/>
            </w:pPr>
            <w:r>
              <w:rPr>
                <w:sz w:val="22"/>
                <w:szCs w:val="22"/>
              </w:rPr>
              <w:t>Emisijas kvotu izsolīšanas rezultātā tiks gūti ieņēmumi, kas novirzāmi Emisijas kvotu izsolīšanas instrumenta (turpmāk - EKII) darbībai.</w:t>
            </w:r>
          </w:p>
        </w:tc>
      </w:tr>
      <w:tr w:rsidR="00E46472" w:rsidRPr="00235A09"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t>4.</w:t>
            </w:r>
          </w:p>
        </w:tc>
        <w:tc>
          <w:tcPr>
            <w:tcW w:w="2672" w:type="dxa"/>
          </w:tcPr>
          <w:p w:rsidR="00E46472" w:rsidRPr="007807C5" w:rsidRDefault="00E46472" w:rsidP="00A130F0">
            <w:pPr>
              <w:pStyle w:val="naislab"/>
              <w:spacing w:before="0" w:after="0"/>
              <w:jc w:val="both"/>
              <w:outlineLvl w:val="0"/>
              <w:rPr>
                <w:color w:val="000000"/>
              </w:rPr>
            </w:pPr>
            <w:r w:rsidRPr="007807C5">
              <w:rPr>
                <w:color w:val="000000"/>
                <w:sz w:val="22"/>
                <w:szCs w:val="22"/>
              </w:rPr>
              <w:t>Tiesiskā regulējuma nefinansiālā ietekme</w:t>
            </w:r>
          </w:p>
        </w:tc>
        <w:tc>
          <w:tcPr>
            <w:tcW w:w="5773" w:type="dxa"/>
          </w:tcPr>
          <w:p w:rsidR="00E46472" w:rsidRPr="007807C5" w:rsidRDefault="00E46472" w:rsidP="000B7350">
            <w:pPr>
              <w:jc w:val="both"/>
            </w:pPr>
            <w:r>
              <w:rPr>
                <w:sz w:val="22"/>
                <w:szCs w:val="22"/>
              </w:rPr>
              <w:t xml:space="preserve">Izmantojot EKII, tiks veicināta </w:t>
            </w:r>
            <w:r w:rsidRPr="00130E3B">
              <w:rPr>
                <w:sz w:val="22"/>
                <w:szCs w:val="22"/>
              </w:rPr>
              <w:t>siltumnīcefekta gāzu</w:t>
            </w:r>
            <w:r>
              <w:rPr>
                <w:sz w:val="22"/>
                <w:szCs w:val="22"/>
              </w:rPr>
              <w:t xml:space="preserve"> emisijas samazināšana un ierobežošana, kā arī pielāgošanās klimata pārmaiņām. Šo pasākumu īstenošana pozitīvi ietekmēs gan atsevišķas Latvijas tautsaimniecības nozares, gan sabiedrību kopumā.</w:t>
            </w:r>
          </w:p>
        </w:tc>
      </w:tr>
      <w:tr w:rsidR="00E46472" w:rsidRPr="00235A09"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t>5.</w:t>
            </w:r>
          </w:p>
        </w:tc>
        <w:tc>
          <w:tcPr>
            <w:tcW w:w="2672" w:type="dxa"/>
          </w:tcPr>
          <w:p w:rsidR="00E46472" w:rsidRPr="007807C5" w:rsidRDefault="00E46472" w:rsidP="00A130F0">
            <w:pPr>
              <w:pStyle w:val="naislab"/>
              <w:spacing w:before="0" w:after="0"/>
              <w:jc w:val="both"/>
              <w:outlineLvl w:val="0"/>
              <w:rPr>
                <w:color w:val="000000"/>
              </w:rPr>
            </w:pPr>
            <w:r w:rsidRPr="007807C5">
              <w:rPr>
                <w:color w:val="000000"/>
                <w:sz w:val="22"/>
                <w:szCs w:val="22"/>
              </w:rPr>
              <w:t>Administratīvās procedūras raksturojums</w:t>
            </w:r>
          </w:p>
        </w:tc>
        <w:tc>
          <w:tcPr>
            <w:tcW w:w="5773" w:type="dxa"/>
          </w:tcPr>
          <w:p w:rsidR="00E46472" w:rsidRPr="007807C5" w:rsidRDefault="00E46472" w:rsidP="008952B3">
            <w:pPr>
              <w:jc w:val="both"/>
            </w:pPr>
            <w:r w:rsidRPr="0088563E">
              <w:rPr>
                <w:sz w:val="22"/>
                <w:szCs w:val="22"/>
              </w:rPr>
              <w:t>Nav</w:t>
            </w:r>
            <w:r>
              <w:rPr>
                <w:sz w:val="22"/>
                <w:szCs w:val="22"/>
              </w:rPr>
              <w:t xml:space="preserve"> attiecināms.</w:t>
            </w:r>
          </w:p>
        </w:tc>
      </w:tr>
      <w:tr w:rsidR="00E46472" w:rsidRPr="00235A09" w:rsidTr="0021647E">
        <w:trPr>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t>6.</w:t>
            </w:r>
          </w:p>
        </w:tc>
        <w:tc>
          <w:tcPr>
            <w:tcW w:w="2672" w:type="dxa"/>
          </w:tcPr>
          <w:p w:rsidR="00E46472" w:rsidRPr="007807C5" w:rsidRDefault="00E46472" w:rsidP="00FD18D4">
            <w:pPr>
              <w:pStyle w:val="naislab"/>
              <w:spacing w:before="0" w:after="0"/>
              <w:jc w:val="left"/>
              <w:outlineLvl w:val="0"/>
              <w:rPr>
                <w:color w:val="000000"/>
              </w:rPr>
            </w:pPr>
            <w:r w:rsidRPr="007807C5">
              <w:rPr>
                <w:color w:val="000000"/>
                <w:sz w:val="22"/>
                <w:szCs w:val="22"/>
              </w:rPr>
              <w:t>Administratīvo izmaksu monetārs novērtējums</w:t>
            </w:r>
          </w:p>
        </w:tc>
        <w:tc>
          <w:tcPr>
            <w:tcW w:w="5773" w:type="dxa"/>
          </w:tcPr>
          <w:p w:rsidR="00E46472" w:rsidRPr="007807C5" w:rsidRDefault="00E46472" w:rsidP="005642FA">
            <w:pPr>
              <w:jc w:val="both"/>
            </w:pPr>
            <w:r w:rsidRPr="0088563E">
              <w:rPr>
                <w:sz w:val="22"/>
                <w:szCs w:val="22"/>
              </w:rPr>
              <w:t>Nav</w:t>
            </w:r>
            <w:r>
              <w:rPr>
                <w:sz w:val="22"/>
                <w:szCs w:val="22"/>
              </w:rPr>
              <w:t xml:space="preserve"> attiecināms.</w:t>
            </w:r>
          </w:p>
        </w:tc>
      </w:tr>
      <w:tr w:rsidR="00E46472" w:rsidRPr="00235A09" w:rsidTr="0021647E">
        <w:trPr>
          <w:trHeight w:val="70"/>
          <w:jc w:val="center"/>
        </w:trPr>
        <w:tc>
          <w:tcPr>
            <w:tcW w:w="548" w:type="dxa"/>
          </w:tcPr>
          <w:p w:rsidR="00E46472" w:rsidRPr="00235A09" w:rsidRDefault="00E46472" w:rsidP="00A130F0">
            <w:pPr>
              <w:pStyle w:val="naislab"/>
              <w:spacing w:before="0" w:after="0"/>
              <w:jc w:val="center"/>
              <w:outlineLvl w:val="0"/>
              <w:rPr>
                <w:color w:val="000000"/>
              </w:rPr>
            </w:pPr>
            <w:r w:rsidRPr="00235A09">
              <w:rPr>
                <w:color w:val="000000"/>
                <w:sz w:val="22"/>
                <w:szCs w:val="22"/>
              </w:rPr>
              <w:t>7.</w:t>
            </w:r>
          </w:p>
        </w:tc>
        <w:tc>
          <w:tcPr>
            <w:tcW w:w="2672" w:type="dxa"/>
          </w:tcPr>
          <w:p w:rsidR="00E46472" w:rsidRPr="007807C5" w:rsidRDefault="00E46472" w:rsidP="00A130F0">
            <w:pPr>
              <w:pStyle w:val="naislab"/>
              <w:spacing w:before="0" w:after="0"/>
              <w:jc w:val="both"/>
              <w:outlineLvl w:val="0"/>
              <w:rPr>
                <w:color w:val="000000"/>
              </w:rPr>
            </w:pPr>
            <w:r w:rsidRPr="007807C5">
              <w:rPr>
                <w:color w:val="000000"/>
                <w:sz w:val="22"/>
                <w:szCs w:val="22"/>
              </w:rPr>
              <w:t>Cita informācija</w:t>
            </w:r>
          </w:p>
        </w:tc>
        <w:tc>
          <w:tcPr>
            <w:tcW w:w="5773" w:type="dxa"/>
          </w:tcPr>
          <w:p w:rsidR="00E46472" w:rsidRPr="007807C5" w:rsidRDefault="00E46472" w:rsidP="009A07A6">
            <w:pPr>
              <w:pStyle w:val="naislab"/>
              <w:spacing w:before="0" w:after="0"/>
              <w:jc w:val="both"/>
              <w:outlineLvl w:val="0"/>
            </w:pPr>
            <w:r>
              <w:rPr>
                <w:sz w:val="22"/>
                <w:szCs w:val="22"/>
              </w:rPr>
              <w:t>Nav attiecināms.</w:t>
            </w:r>
          </w:p>
        </w:tc>
      </w:tr>
    </w:tbl>
    <w:p w:rsidR="00E46472" w:rsidRDefault="00E46472" w:rsidP="00236A1D">
      <w:pPr>
        <w:rPr>
          <w:i/>
          <w:color w:val="000000"/>
        </w:rPr>
      </w:pPr>
    </w:p>
    <w:p w:rsidR="00525160" w:rsidRPr="00235A09" w:rsidRDefault="00525160" w:rsidP="00236A1D">
      <w:pPr>
        <w:rPr>
          <w:i/>
          <w:color w:val="000000"/>
        </w:rPr>
      </w:pPr>
    </w:p>
    <w:tbl>
      <w:tblPr>
        <w:tblW w:w="945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447"/>
        <w:gridCol w:w="1314"/>
        <w:gridCol w:w="1323"/>
        <w:gridCol w:w="1324"/>
        <w:gridCol w:w="1139"/>
      </w:tblGrid>
      <w:tr w:rsidR="00E46472" w:rsidRPr="00235A09" w:rsidTr="000B7350">
        <w:trPr>
          <w:trHeight w:val="453"/>
          <w:jc w:val="center"/>
        </w:trPr>
        <w:tc>
          <w:tcPr>
            <w:tcW w:w="9458" w:type="dxa"/>
            <w:gridSpan w:val="6"/>
          </w:tcPr>
          <w:p w:rsidR="00E46472" w:rsidRPr="00235A09" w:rsidRDefault="00E46472" w:rsidP="00A130F0">
            <w:pPr>
              <w:pStyle w:val="naisnod"/>
              <w:spacing w:before="0" w:after="0"/>
              <w:rPr>
                <w:i/>
              </w:rPr>
            </w:pPr>
            <w:r w:rsidRPr="00235A09">
              <w:rPr>
                <w:sz w:val="22"/>
                <w:szCs w:val="22"/>
              </w:rPr>
              <w:br w:type="page"/>
            </w:r>
            <w:r w:rsidRPr="00235A09">
              <w:t>III. Tiesību akta projekta ietekme uz valsts budžetu un pašvaldību budžetiem</w:t>
            </w:r>
          </w:p>
        </w:tc>
      </w:tr>
      <w:tr w:rsidR="00E46472" w:rsidRPr="00981449" w:rsidTr="0021647E">
        <w:trPr>
          <w:jc w:val="center"/>
        </w:trPr>
        <w:tc>
          <w:tcPr>
            <w:tcW w:w="3131" w:type="dxa"/>
            <w:vMerge w:val="restart"/>
            <w:vAlign w:val="center"/>
          </w:tcPr>
          <w:p w:rsidR="00E46472" w:rsidRPr="00981449" w:rsidRDefault="00E46472" w:rsidP="00A130F0">
            <w:pPr>
              <w:pStyle w:val="naisf"/>
              <w:spacing w:before="0" w:after="0"/>
              <w:ind w:firstLine="0"/>
              <w:jc w:val="center"/>
              <w:rPr>
                <w:b/>
              </w:rPr>
            </w:pPr>
            <w:r w:rsidRPr="00981449">
              <w:rPr>
                <w:b/>
                <w:sz w:val="22"/>
                <w:szCs w:val="22"/>
              </w:rPr>
              <w:t>Rādītāji</w:t>
            </w:r>
          </w:p>
        </w:tc>
        <w:tc>
          <w:tcPr>
            <w:tcW w:w="2878" w:type="dxa"/>
            <w:gridSpan w:val="2"/>
            <w:vMerge w:val="restart"/>
            <w:vAlign w:val="center"/>
          </w:tcPr>
          <w:p w:rsidR="00E46472" w:rsidRPr="00981449" w:rsidRDefault="00E46472" w:rsidP="000B7350">
            <w:pPr>
              <w:pStyle w:val="naisf"/>
              <w:spacing w:before="0" w:after="0"/>
              <w:ind w:firstLine="0"/>
              <w:jc w:val="center"/>
              <w:rPr>
                <w:b/>
              </w:rPr>
            </w:pPr>
            <w:r w:rsidRPr="00981449">
              <w:rPr>
                <w:b/>
                <w:sz w:val="22"/>
                <w:szCs w:val="22"/>
              </w:rPr>
              <w:t>201</w:t>
            </w:r>
            <w:r>
              <w:rPr>
                <w:b/>
                <w:sz w:val="22"/>
                <w:szCs w:val="22"/>
              </w:rPr>
              <w:t>2</w:t>
            </w:r>
            <w:r w:rsidRPr="00981449">
              <w:rPr>
                <w:b/>
                <w:sz w:val="22"/>
                <w:szCs w:val="22"/>
              </w:rPr>
              <w:t>.gads</w:t>
            </w:r>
          </w:p>
        </w:tc>
        <w:tc>
          <w:tcPr>
            <w:tcW w:w="3449" w:type="dxa"/>
            <w:gridSpan w:val="3"/>
            <w:vAlign w:val="center"/>
          </w:tcPr>
          <w:p w:rsidR="00E46472" w:rsidRPr="00981449" w:rsidRDefault="00E46472" w:rsidP="00A130F0">
            <w:pPr>
              <w:pStyle w:val="naisf"/>
              <w:spacing w:before="0" w:after="0"/>
              <w:ind w:firstLine="0"/>
              <w:jc w:val="center"/>
              <w:rPr>
                <w:b/>
                <w:i/>
              </w:rPr>
            </w:pPr>
            <w:r w:rsidRPr="00981449">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981449">
                <w:rPr>
                  <w:sz w:val="22"/>
                  <w:szCs w:val="22"/>
                </w:rPr>
                <w:t>. latu</w:t>
              </w:r>
            </w:smartTag>
            <w:r w:rsidRPr="00981449">
              <w:rPr>
                <w:sz w:val="22"/>
                <w:szCs w:val="22"/>
              </w:rPr>
              <w:t>)</w:t>
            </w:r>
          </w:p>
        </w:tc>
      </w:tr>
      <w:tr w:rsidR="00E46472" w:rsidRPr="00981449" w:rsidTr="0021647E">
        <w:trPr>
          <w:jc w:val="center"/>
        </w:trPr>
        <w:tc>
          <w:tcPr>
            <w:tcW w:w="3131" w:type="dxa"/>
            <w:vMerge/>
            <w:vAlign w:val="center"/>
          </w:tcPr>
          <w:p w:rsidR="00E46472" w:rsidRPr="00981449" w:rsidRDefault="00E46472" w:rsidP="00A130F0">
            <w:pPr>
              <w:pStyle w:val="naisf"/>
              <w:spacing w:before="0" w:after="0"/>
              <w:ind w:firstLine="0"/>
              <w:jc w:val="center"/>
              <w:rPr>
                <w:b/>
                <w:i/>
              </w:rPr>
            </w:pPr>
          </w:p>
        </w:tc>
        <w:tc>
          <w:tcPr>
            <w:tcW w:w="2878" w:type="dxa"/>
            <w:gridSpan w:val="2"/>
            <w:vMerge/>
            <w:vAlign w:val="center"/>
          </w:tcPr>
          <w:p w:rsidR="00E46472" w:rsidRPr="00981449" w:rsidRDefault="00E46472" w:rsidP="00A130F0">
            <w:pPr>
              <w:pStyle w:val="naisf"/>
              <w:spacing w:before="0" w:after="0"/>
              <w:ind w:firstLine="0"/>
              <w:jc w:val="center"/>
              <w:rPr>
                <w:b/>
                <w:i/>
              </w:rPr>
            </w:pPr>
          </w:p>
        </w:tc>
        <w:tc>
          <w:tcPr>
            <w:tcW w:w="1354" w:type="dxa"/>
            <w:vAlign w:val="center"/>
          </w:tcPr>
          <w:p w:rsidR="00E46472" w:rsidRPr="00981449" w:rsidRDefault="00E46472" w:rsidP="000B7350">
            <w:pPr>
              <w:pStyle w:val="naisf"/>
              <w:spacing w:before="0" w:after="0"/>
              <w:ind w:firstLine="0"/>
              <w:jc w:val="center"/>
              <w:rPr>
                <w:b/>
                <w:i/>
              </w:rPr>
            </w:pPr>
            <w:r w:rsidRPr="00981449">
              <w:rPr>
                <w:b/>
                <w:bCs/>
                <w:sz w:val="22"/>
                <w:szCs w:val="22"/>
              </w:rPr>
              <w:t>201</w:t>
            </w:r>
            <w:r>
              <w:rPr>
                <w:b/>
                <w:bCs/>
                <w:sz w:val="22"/>
                <w:szCs w:val="22"/>
              </w:rPr>
              <w:t>3</w:t>
            </w:r>
            <w:r w:rsidRPr="00981449">
              <w:rPr>
                <w:b/>
                <w:bCs/>
                <w:sz w:val="22"/>
                <w:szCs w:val="22"/>
              </w:rPr>
              <w:t>.gads</w:t>
            </w:r>
          </w:p>
        </w:tc>
        <w:tc>
          <w:tcPr>
            <w:tcW w:w="1355" w:type="dxa"/>
            <w:vAlign w:val="center"/>
          </w:tcPr>
          <w:p w:rsidR="00E46472" w:rsidRPr="00981449" w:rsidRDefault="00E46472" w:rsidP="000B7350">
            <w:pPr>
              <w:pStyle w:val="naisf"/>
              <w:spacing w:before="0" w:after="0"/>
              <w:ind w:firstLine="0"/>
              <w:jc w:val="center"/>
              <w:rPr>
                <w:b/>
                <w:i/>
              </w:rPr>
            </w:pPr>
            <w:r w:rsidRPr="00981449">
              <w:rPr>
                <w:b/>
                <w:bCs/>
                <w:sz w:val="22"/>
                <w:szCs w:val="22"/>
              </w:rPr>
              <w:t>201</w:t>
            </w:r>
            <w:r>
              <w:rPr>
                <w:b/>
                <w:bCs/>
                <w:sz w:val="22"/>
                <w:szCs w:val="22"/>
              </w:rPr>
              <w:t>4</w:t>
            </w:r>
            <w:r w:rsidRPr="00981449">
              <w:rPr>
                <w:b/>
                <w:bCs/>
                <w:sz w:val="22"/>
                <w:szCs w:val="22"/>
              </w:rPr>
              <w:t>.gads</w:t>
            </w:r>
          </w:p>
        </w:tc>
        <w:tc>
          <w:tcPr>
            <w:tcW w:w="740" w:type="dxa"/>
            <w:vAlign w:val="center"/>
          </w:tcPr>
          <w:p w:rsidR="00E46472" w:rsidRPr="00981449" w:rsidRDefault="00E46472" w:rsidP="000B7350">
            <w:pPr>
              <w:pStyle w:val="naisf"/>
              <w:spacing w:before="0" w:after="0"/>
              <w:ind w:firstLine="0"/>
              <w:jc w:val="center"/>
              <w:rPr>
                <w:b/>
                <w:i/>
              </w:rPr>
            </w:pPr>
            <w:r w:rsidRPr="00981449">
              <w:rPr>
                <w:b/>
                <w:bCs/>
                <w:sz w:val="22"/>
                <w:szCs w:val="22"/>
              </w:rPr>
              <w:t>201</w:t>
            </w:r>
            <w:r>
              <w:rPr>
                <w:b/>
                <w:bCs/>
                <w:sz w:val="22"/>
                <w:szCs w:val="22"/>
              </w:rPr>
              <w:t>5</w:t>
            </w:r>
            <w:r w:rsidRPr="00981449">
              <w:rPr>
                <w:b/>
                <w:bCs/>
                <w:sz w:val="22"/>
                <w:szCs w:val="22"/>
              </w:rPr>
              <w:t>.gads</w:t>
            </w:r>
          </w:p>
        </w:tc>
      </w:tr>
      <w:tr w:rsidR="00E46472" w:rsidRPr="00981449" w:rsidTr="0021647E">
        <w:trPr>
          <w:jc w:val="center"/>
        </w:trPr>
        <w:tc>
          <w:tcPr>
            <w:tcW w:w="3131" w:type="dxa"/>
            <w:vMerge/>
            <w:vAlign w:val="center"/>
          </w:tcPr>
          <w:p w:rsidR="00E46472" w:rsidRPr="00981449" w:rsidRDefault="00E46472" w:rsidP="00A130F0">
            <w:pPr>
              <w:pStyle w:val="naisf"/>
              <w:spacing w:before="0" w:after="0"/>
              <w:ind w:firstLine="0"/>
              <w:jc w:val="center"/>
              <w:rPr>
                <w:b/>
                <w:i/>
              </w:rPr>
            </w:pPr>
          </w:p>
        </w:tc>
        <w:tc>
          <w:tcPr>
            <w:tcW w:w="1524" w:type="dxa"/>
            <w:vAlign w:val="center"/>
          </w:tcPr>
          <w:p w:rsidR="00E46472" w:rsidRPr="00981449" w:rsidRDefault="00E46472" w:rsidP="00A130F0">
            <w:pPr>
              <w:pStyle w:val="naisf"/>
              <w:spacing w:before="0" w:after="0"/>
              <w:ind w:firstLine="0"/>
              <w:jc w:val="center"/>
              <w:rPr>
                <w:b/>
                <w:i/>
              </w:rPr>
            </w:pPr>
            <w:r w:rsidRPr="00981449">
              <w:rPr>
                <w:sz w:val="22"/>
                <w:szCs w:val="22"/>
              </w:rPr>
              <w:t>Saskaņā ar valsts budžetu kārtējam gadam</w:t>
            </w:r>
          </w:p>
        </w:tc>
        <w:tc>
          <w:tcPr>
            <w:tcW w:w="1354" w:type="dxa"/>
            <w:vAlign w:val="center"/>
          </w:tcPr>
          <w:p w:rsidR="00E46472" w:rsidRPr="00981449" w:rsidRDefault="00E46472" w:rsidP="00A130F0">
            <w:pPr>
              <w:pStyle w:val="naisf"/>
              <w:spacing w:before="0" w:after="0"/>
              <w:ind w:firstLine="0"/>
              <w:jc w:val="center"/>
              <w:rPr>
                <w:b/>
                <w:i/>
              </w:rPr>
            </w:pPr>
            <w:r w:rsidRPr="00981449">
              <w:rPr>
                <w:sz w:val="22"/>
                <w:szCs w:val="22"/>
              </w:rPr>
              <w:t>Izmaiņas kārtējā gadā, salīdzinot ar budžetu kārtējam gadam</w:t>
            </w:r>
          </w:p>
        </w:tc>
        <w:tc>
          <w:tcPr>
            <w:tcW w:w="1354" w:type="dxa"/>
            <w:vAlign w:val="center"/>
          </w:tcPr>
          <w:p w:rsidR="00E46472" w:rsidRPr="00981449" w:rsidRDefault="00E46472" w:rsidP="000B7350">
            <w:pPr>
              <w:pStyle w:val="naisf"/>
              <w:spacing w:before="0" w:after="0"/>
              <w:ind w:firstLine="0"/>
              <w:jc w:val="center"/>
              <w:rPr>
                <w:b/>
                <w:i/>
              </w:rPr>
            </w:pPr>
            <w:r w:rsidRPr="00981449">
              <w:rPr>
                <w:sz w:val="22"/>
                <w:szCs w:val="22"/>
              </w:rPr>
              <w:t>Izmaiņas, salīdzinot ar kārtējo (201</w:t>
            </w:r>
            <w:r>
              <w:rPr>
                <w:sz w:val="22"/>
                <w:szCs w:val="22"/>
              </w:rPr>
              <w:t>2</w:t>
            </w:r>
            <w:r w:rsidRPr="00981449">
              <w:rPr>
                <w:sz w:val="22"/>
                <w:szCs w:val="22"/>
              </w:rPr>
              <w:t>.) gadu</w:t>
            </w:r>
          </w:p>
        </w:tc>
        <w:tc>
          <w:tcPr>
            <w:tcW w:w="1355" w:type="dxa"/>
            <w:vAlign w:val="center"/>
          </w:tcPr>
          <w:p w:rsidR="00E46472" w:rsidRPr="00981449" w:rsidRDefault="00E46472" w:rsidP="000B7350">
            <w:pPr>
              <w:pStyle w:val="naisf"/>
              <w:spacing w:before="0" w:after="0"/>
              <w:ind w:firstLine="0"/>
              <w:jc w:val="center"/>
              <w:rPr>
                <w:b/>
                <w:i/>
              </w:rPr>
            </w:pPr>
            <w:r w:rsidRPr="00981449">
              <w:rPr>
                <w:sz w:val="22"/>
                <w:szCs w:val="22"/>
              </w:rPr>
              <w:t>Izmaiņas, salīdzinot ar kārtējo (201</w:t>
            </w:r>
            <w:r>
              <w:rPr>
                <w:sz w:val="22"/>
                <w:szCs w:val="22"/>
              </w:rPr>
              <w:t>2</w:t>
            </w:r>
            <w:r w:rsidRPr="00981449">
              <w:rPr>
                <w:sz w:val="22"/>
                <w:szCs w:val="22"/>
              </w:rPr>
              <w:t>.) gadu</w:t>
            </w:r>
          </w:p>
        </w:tc>
        <w:tc>
          <w:tcPr>
            <w:tcW w:w="740" w:type="dxa"/>
            <w:vAlign w:val="center"/>
          </w:tcPr>
          <w:p w:rsidR="00E46472" w:rsidRPr="00981449" w:rsidRDefault="00E46472" w:rsidP="000B7350">
            <w:pPr>
              <w:pStyle w:val="naisf"/>
              <w:spacing w:before="0" w:after="0"/>
              <w:ind w:firstLine="0"/>
              <w:jc w:val="center"/>
              <w:rPr>
                <w:b/>
                <w:i/>
              </w:rPr>
            </w:pPr>
            <w:r w:rsidRPr="00981449">
              <w:rPr>
                <w:sz w:val="22"/>
                <w:szCs w:val="22"/>
              </w:rPr>
              <w:t>Izmaiņas, salīdzinot ar kārtējo (201</w:t>
            </w:r>
            <w:r>
              <w:rPr>
                <w:sz w:val="22"/>
                <w:szCs w:val="22"/>
              </w:rPr>
              <w:t>2</w:t>
            </w:r>
            <w:r w:rsidRPr="00981449">
              <w:rPr>
                <w:sz w:val="22"/>
                <w:szCs w:val="22"/>
              </w:rPr>
              <w:t>.) gadu</w:t>
            </w:r>
          </w:p>
        </w:tc>
      </w:tr>
      <w:tr w:rsidR="00E46472" w:rsidRPr="00981449" w:rsidTr="0021647E">
        <w:trPr>
          <w:jc w:val="center"/>
        </w:trPr>
        <w:tc>
          <w:tcPr>
            <w:tcW w:w="3131" w:type="dxa"/>
            <w:vAlign w:val="center"/>
          </w:tcPr>
          <w:p w:rsidR="00E46472" w:rsidRPr="00981449" w:rsidRDefault="00E46472" w:rsidP="00A130F0">
            <w:pPr>
              <w:pStyle w:val="naisf"/>
              <w:spacing w:before="0" w:after="0"/>
              <w:ind w:firstLine="0"/>
              <w:jc w:val="center"/>
              <w:rPr>
                <w:bCs/>
              </w:rPr>
            </w:pPr>
            <w:r w:rsidRPr="00981449">
              <w:rPr>
                <w:bCs/>
                <w:sz w:val="22"/>
                <w:szCs w:val="22"/>
              </w:rPr>
              <w:t>1</w:t>
            </w:r>
          </w:p>
        </w:tc>
        <w:tc>
          <w:tcPr>
            <w:tcW w:w="1524" w:type="dxa"/>
            <w:vAlign w:val="center"/>
          </w:tcPr>
          <w:p w:rsidR="00E46472" w:rsidRPr="00981449" w:rsidRDefault="00E46472" w:rsidP="00A130F0">
            <w:pPr>
              <w:pStyle w:val="naisf"/>
              <w:spacing w:before="0" w:after="0"/>
              <w:ind w:firstLine="0"/>
              <w:jc w:val="center"/>
              <w:rPr>
                <w:bCs/>
              </w:rPr>
            </w:pPr>
            <w:r w:rsidRPr="00981449">
              <w:rPr>
                <w:bCs/>
                <w:sz w:val="22"/>
                <w:szCs w:val="22"/>
              </w:rPr>
              <w:t>2</w:t>
            </w:r>
          </w:p>
        </w:tc>
        <w:tc>
          <w:tcPr>
            <w:tcW w:w="1354" w:type="dxa"/>
            <w:vAlign w:val="center"/>
          </w:tcPr>
          <w:p w:rsidR="00E46472" w:rsidRPr="00981449" w:rsidRDefault="00E46472" w:rsidP="00A130F0">
            <w:pPr>
              <w:pStyle w:val="naisf"/>
              <w:spacing w:before="0" w:after="0"/>
              <w:ind w:firstLine="0"/>
              <w:jc w:val="center"/>
              <w:rPr>
                <w:bCs/>
              </w:rPr>
            </w:pPr>
            <w:r w:rsidRPr="00981449">
              <w:rPr>
                <w:bCs/>
                <w:sz w:val="22"/>
                <w:szCs w:val="22"/>
              </w:rPr>
              <w:t>3</w:t>
            </w:r>
          </w:p>
        </w:tc>
        <w:tc>
          <w:tcPr>
            <w:tcW w:w="1354" w:type="dxa"/>
            <w:vAlign w:val="center"/>
          </w:tcPr>
          <w:p w:rsidR="00E46472" w:rsidRPr="00981449" w:rsidRDefault="00E46472" w:rsidP="00A130F0">
            <w:pPr>
              <w:pStyle w:val="naisf"/>
              <w:spacing w:before="0" w:after="0"/>
              <w:ind w:firstLine="0"/>
              <w:jc w:val="center"/>
              <w:rPr>
                <w:bCs/>
              </w:rPr>
            </w:pPr>
            <w:r w:rsidRPr="00981449">
              <w:rPr>
                <w:bCs/>
                <w:sz w:val="22"/>
                <w:szCs w:val="22"/>
              </w:rPr>
              <w:t>4</w:t>
            </w:r>
          </w:p>
        </w:tc>
        <w:tc>
          <w:tcPr>
            <w:tcW w:w="1355" w:type="dxa"/>
            <w:vAlign w:val="center"/>
          </w:tcPr>
          <w:p w:rsidR="00E46472" w:rsidRPr="00981449" w:rsidRDefault="00E46472" w:rsidP="00A130F0">
            <w:pPr>
              <w:pStyle w:val="naisf"/>
              <w:spacing w:before="0" w:after="0"/>
              <w:ind w:firstLine="0"/>
              <w:jc w:val="center"/>
              <w:rPr>
                <w:bCs/>
              </w:rPr>
            </w:pPr>
            <w:r w:rsidRPr="00981449">
              <w:rPr>
                <w:bCs/>
                <w:sz w:val="22"/>
                <w:szCs w:val="22"/>
              </w:rPr>
              <w:t>5</w:t>
            </w:r>
          </w:p>
        </w:tc>
        <w:tc>
          <w:tcPr>
            <w:tcW w:w="740" w:type="dxa"/>
            <w:vAlign w:val="center"/>
          </w:tcPr>
          <w:p w:rsidR="00E46472" w:rsidRPr="00981449" w:rsidRDefault="00E46472" w:rsidP="00A130F0">
            <w:pPr>
              <w:pStyle w:val="naisf"/>
              <w:spacing w:before="0" w:after="0"/>
              <w:ind w:firstLine="0"/>
              <w:jc w:val="center"/>
              <w:rPr>
                <w:bCs/>
              </w:rPr>
            </w:pPr>
            <w:r w:rsidRPr="00981449">
              <w:rPr>
                <w:bCs/>
                <w:sz w:val="22"/>
                <w:szCs w:val="22"/>
              </w:rPr>
              <w:t>6</w:t>
            </w:r>
          </w:p>
        </w:tc>
      </w:tr>
      <w:tr w:rsidR="00E46472" w:rsidRPr="00981449" w:rsidTr="0021647E">
        <w:trPr>
          <w:jc w:val="center"/>
        </w:trPr>
        <w:tc>
          <w:tcPr>
            <w:tcW w:w="3131" w:type="dxa"/>
          </w:tcPr>
          <w:p w:rsidR="00E46472" w:rsidRPr="00981449" w:rsidRDefault="00E46472" w:rsidP="00A130F0">
            <w:pPr>
              <w:pStyle w:val="naisf"/>
              <w:spacing w:before="0" w:after="0"/>
              <w:ind w:firstLine="0"/>
              <w:rPr>
                <w:i/>
              </w:rPr>
            </w:pPr>
            <w:r w:rsidRPr="00981449">
              <w:rPr>
                <w:sz w:val="22"/>
                <w:szCs w:val="22"/>
              </w:rPr>
              <w:t>1. Budžeta ieņēmumi:</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41AB">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962682">
            <w:pPr>
              <w:pStyle w:val="naisf"/>
              <w:spacing w:before="0" w:after="0"/>
              <w:ind w:firstLine="0"/>
              <w:jc w:val="left"/>
              <w:rPr>
                <w:i/>
              </w:rPr>
            </w:pPr>
            <w:r w:rsidRPr="00981449">
              <w:rPr>
                <w:sz w:val="22"/>
                <w:szCs w:val="22"/>
              </w:rPr>
              <w:t>1.1. valsts pamatbudžets, tai skaitā ieņēmumi no maksas pakalpojumiem un citi pašu ieņēmumi</w:t>
            </w:r>
          </w:p>
        </w:tc>
        <w:tc>
          <w:tcPr>
            <w:tcW w:w="152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pStyle w:val="naisf"/>
              <w:spacing w:before="0" w:after="0"/>
              <w:ind w:firstLine="0"/>
              <w:rPr>
                <w:i/>
              </w:rPr>
            </w:pPr>
            <w:r w:rsidRPr="00981449">
              <w:rPr>
                <w:sz w:val="22"/>
                <w:szCs w:val="22"/>
              </w:rPr>
              <w:t>1.2. valsts speciālais 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pStyle w:val="naisf"/>
              <w:spacing w:before="0" w:after="0"/>
              <w:ind w:firstLine="0"/>
              <w:rPr>
                <w:i/>
              </w:rPr>
            </w:pPr>
            <w:r w:rsidRPr="00981449">
              <w:rPr>
                <w:sz w:val="22"/>
                <w:szCs w:val="22"/>
              </w:rPr>
              <w:t>1.3. pašvaldību 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2. Budžeta izdevumi:</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2.1. valsts pamatbudžets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2.2. valsts speciālais 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 xml:space="preserve">2.3. pašvaldību budžets </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3. Finansiālā ietekme:</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5C4DAA" w:rsidRDefault="00E46472" w:rsidP="00A130F0">
            <w:pPr>
              <w:pStyle w:val="naisf"/>
              <w:spacing w:before="0" w:after="0"/>
              <w:ind w:firstLine="0"/>
              <w:jc w:val="center"/>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3.1. valsts pamatbudžets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5C4DAA" w:rsidRDefault="00E46472" w:rsidP="005C4DAA">
            <w:pPr>
              <w:pStyle w:val="naisf"/>
              <w:spacing w:before="0" w:after="0"/>
              <w:rPr>
                <w:color w:val="000000"/>
              </w:rPr>
            </w:pPr>
          </w:p>
        </w:tc>
        <w:tc>
          <w:tcPr>
            <w:tcW w:w="1354" w:type="dxa"/>
          </w:tcPr>
          <w:p w:rsidR="00E46472" w:rsidRPr="005C4DAA" w:rsidRDefault="00E46472" w:rsidP="00A130F0">
            <w:pPr>
              <w:pStyle w:val="naisf"/>
              <w:spacing w:before="0" w:after="0"/>
              <w:ind w:firstLine="0"/>
              <w:jc w:val="center"/>
              <w:rPr>
                <w:color w:val="000000"/>
              </w:rPr>
            </w:pPr>
          </w:p>
        </w:tc>
        <w:tc>
          <w:tcPr>
            <w:tcW w:w="1355" w:type="dxa"/>
          </w:tcPr>
          <w:p w:rsidR="00E46472" w:rsidRPr="005C4DAA" w:rsidRDefault="00E46472" w:rsidP="00A130F0">
            <w:pPr>
              <w:pStyle w:val="naisf"/>
              <w:spacing w:before="0" w:after="0"/>
              <w:ind w:firstLine="0"/>
              <w:jc w:val="center"/>
              <w:rPr>
                <w:color w:val="000000"/>
              </w:rPr>
            </w:pPr>
          </w:p>
        </w:tc>
        <w:tc>
          <w:tcPr>
            <w:tcW w:w="740" w:type="dxa"/>
          </w:tcPr>
          <w:p w:rsidR="00E46472" w:rsidRPr="005C4DAA" w:rsidRDefault="00E46472" w:rsidP="00A130F0">
            <w:pPr>
              <w:pStyle w:val="naisf"/>
              <w:spacing w:before="0" w:after="0"/>
              <w:ind w:firstLine="0"/>
              <w:jc w:val="center"/>
              <w:rPr>
                <w:color w:val="00000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3.2. speciālais budžets</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 xml:space="preserve">3.3. pašvaldību budžets </w:t>
            </w:r>
          </w:p>
        </w:tc>
        <w:tc>
          <w:tcPr>
            <w:tcW w:w="1524" w:type="dxa"/>
          </w:tcPr>
          <w:p w:rsidR="00E46472" w:rsidRPr="00981449" w:rsidRDefault="00E46472" w:rsidP="00A130F0">
            <w:pPr>
              <w:pStyle w:val="naisf"/>
              <w:spacing w:before="0" w:after="0"/>
              <w:ind w:firstLine="0"/>
              <w:jc w:val="cente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vMerge w:val="restart"/>
          </w:tcPr>
          <w:p w:rsidR="00E46472" w:rsidRPr="00981449" w:rsidRDefault="00E46472" w:rsidP="00A130F0">
            <w:pPr>
              <w:jc w:val="both"/>
            </w:pPr>
            <w:r w:rsidRPr="00981449">
              <w:rPr>
                <w:sz w:val="22"/>
                <w:szCs w:val="22"/>
              </w:rPr>
              <w:t>4. Finanšu līdzekļi papildu izde</w:t>
            </w:r>
            <w:r w:rsidRPr="00981449">
              <w:rPr>
                <w:sz w:val="22"/>
                <w:szCs w:val="22"/>
              </w:rPr>
              <w:softHyphen/>
              <w:t>vumu finansēšanai (kompensējošu izdevumu samazinājumu norāda ar "+" zīmi)</w:t>
            </w:r>
          </w:p>
        </w:tc>
        <w:tc>
          <w:tcPr>
            <w:tcW w:w="1524" w:type="dxa"/>
            <w:vMerge w:val="restart"/>
            <w:vAlign w:val="center"/>
          </w:tcPr>
          <w:p w:rsidR="00E46472" w:rsidRPr="000767AF" w:rsidRDefault="00E46472" w:rsidP="000767AF">
            <w:pPr>
              <w:pStyle w:val="naisf"/>
              <w:spacing w:before="0" w:after="0"/>
              <w:ind w:firstLine="0"/>
              <w:jc w:val="center"/>
            </w:pPr>
            <w:r w:rsidRPr="000767AF">
              <w:rPr>
                <w:sz w:val="22"/>
                <w:szCs w:val="22"/>
              </w:rPr>
              <w:t>X</w:t>
            </w: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vMerge/>
          </w:tcPr>
          <w:p w:rsidR="00E46472" w:rsidRPr="00981449" w:rsidRDefault="00E46472" w:rsidP="00A130F0">
            <w:pPr>
              <w:jc w:val="both"/>
            </w:pPr>
          </w:p>
        </w:tc>
        <w:tc>
          <w:tcPr>
            <w:tcW w:w="1524" w:type="dxa"/>
            <w:vMerge/>
            <w:vAlign w:val="center"/>
          </w:tcPr>
          <w:p w:rsidR="00E46472" w:rsidRPr="000767AF" w:rsidRDefault="00E46472" w:rsidP="000767AF">
            <w:pPr>
              <w:pStyle w:val="naisf"/>
              <w:spacing w:before="0" w:after="0"/>
              <w:ind w:firstLine="0"/>
              <w:jc w:val="center"/>
              <w:rPr>
                <w:i/>
              </w:rP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vMerge/>
          </w:tcPr>
          <w:p w:rsidR="00E46472" w:rsidRPr="00981449" w:rsidRDefault="00E46472" w:rsidP="00A130F0">
            <w:pPr>
              <w:jc w:val="both"/>
            </w:pPr>
          </w:p>
        </w:tc>
        <w:tc>
          <w:tcPr>
            <w:tcW w:w="1524" w:type="dxa"/>
            <w:vMerge/>
            <w:vAlign w:val="center"/>
          </w:tcPr>
          <w:p w:rsidR="00E46472" w:rsidRPr="000767AF" w:rsidRDefault="00E46472" w:rsidP="000767AF">
            <w:pPr>
              <w:pStyle w:val="naisf"/>
              <w:spacing w:before="0" w:after="0"/>
              <w:ind w:firstLine="0"/>
              <w:jc w:val="center"/>
              <w:rPr>
                <w:i/>
              </w:rP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5. Precizēta finansiālā ietekme:</w:t>
            </w:r>
          </w:p>
        </w:tc>
        <w:tc>
          <w:tcPr>
            <w:tcW w:w="1524" w:type="dxa"/>
            <w:vMerge w:val="restart"/>
            <w:vAlign w:val="center"/>
          </w:tcPr>
          <w:p w:rsidR="00E46472" w:rsidRPr="000767AF" w:rsidRDefault="00E46472" w:rsidP="000767AF">
            <w:pPr>
              <w:pStyle w:val="naisf"/>
              <w:spacing w:before="0" w:after="0"/>
              <w:ind w:firstLine="0"/>
              <w:jc w:val="center"/>
            </w:pPr>
            <w:r w:rsidRPr="000767AF">
              <w:rPr>
                <w:sz w:val="22"/>
                <w:szCs w:val="22"/>
              </w:rPr>
              <w:t>X</w:t>
            </w: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5.1. valsts pamatbudžets</w:t>
            </w:r>
          </w:p>
        </w:tc>
        <w:tc>
          <w:tcPr>
            <w:tcW w:w="1524" w:type="dxa"/>
            <w:vMerge/>
            <w:vAlign w:val="center"/>
          </w:tcPr>
          <w:p w:rsidR="00E46472" w:rsidRPr="00981449" w:rsidRDefault="00E46472" w:rsidP="00A130F0">
            <w:pPr>
              <w:pStyle w:val="naisf"/>
              <w:spacing w:before="0" w:after="0"/>
              <w:ind w:firstLine="0"/>
              <w:jc w:val="center"/>
              <w:rPr>
                <w:i/>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lastRenderedPageBreak/>
              <w:t>5.2. speciālais budžets</w:t>
            </w:r>
          </w:p>
        </w:tc>
        <w:tc>
          <w:tcPr>
            <w:tcW w:w="1524" w:type="dxa"/>
            <w:vMerge/>
            <w:vAlign w:val="center"/>
          </w:tcPr>
          <w:p w:rsidR="00E46472" w:rsidRPr="00981449" w:rsidRDefault="00E46472" w:rsidP="00A130F0">
            <w:pPr>
              <w:pStyle w:val="naisf"/>
              <w:spacing w:before="0" w:after="0"/>
              <w:ind w:firstLine="0"/>
              <w:jc w:val="center"/>
              <w:rPr>
                <w:i/>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 xml:space="preserve">5.3. pašvaldību budžets </w:t>
            </w:r>
          </w:p>
        </w:tc>
        <w:tc>
          <w:tcPr>
            <w:tcW w:w="1524" w:type="dxa"/>
            <w:vMerge/>
            <w:vAlign w:val="center"/>
          </w:tcPr>
          <w:p w:rsidR="00E46472" w:rsidRPr="00981449" w:rsidRDefault="00E46472" w:rsidP="00A130F0">
            <w:pPr>
              <w:pStyle w:val="naisf"/>
              <w:spacing w:before="0" w:after="0"/>
              <w:ind w:firstLine="0"/>
              <w:jc w:val="center"/>
              <w:rPr>
                <w:i/>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4" w:type="dxa"/>
          </w:tcPr>
          <w:p w:rsidR="00E46472" w:rsidRPr="00981449" w:rsidRDefault="00E46472" w:rsidP="00A130F0">
            <w:pPr>
              <w:pStyle w:val="naisf"/>
              <w:spacing w:before="0" w:after="0"/>
              <w:ind w:firstLine="0"/>
              <w:jc w:val="center"/>
              <w:rPr>
                <w:color w:val="7030A0"/>
              </w:rPr>
            </w:pPr>
          </w:p>
        </w:tc>
        <w:tc>
          <w:tcPr>
            <w:tcW w:w="1355" w:type="dxa"/>
          </w:tcPr>
          <w:p w:rsidR="00E46472" w:rsidRPr="00981449" w:rsidRDefault="00E46472" w:rsidP="00A130F0">
            <w:pPr>
              <w:pStyle w:val="naisf"/>
              <w:spacing w:before="0" w:after="0"/>
              <w:ind w:firstLine="0"/>
              <w:jc w:val="center"/>
              <w:rPr>
                <w:color w:val="7030A0"/>
              </w:rPr>
            </w:pPr>
          </w:p>
        </w:tc>
        <w:tc>
          <w:tcPr>
            <w:tcW w:w="740" w:type="dxa"/>
          </w:tcPr>
          <w:p w:rsidR="00E46472" w:rsidRPr="00981449" w:rsidRDefault="00E46472" w:rsidP="00A130F0">
            <w:pPr>
              <w:pStyle w:val="naisf"/>
              <w:spacing w:before="0" w:after="0"/>
              <w:ind w:firstLine="0"/>
              <w:jc w:val="center"/>
              <w:rPr>
                <w:color w:val="7030A0"/>
              </w:rPr>
            </w:pPr>
          </w:p>
        </w:tc>
      </w:tr>
      <w:tr w:rsidR="00E46472" w:rsidRPr="00981449" w:rsidTr="0021647E">
        <w:trPr>
          <w:jc w:val="center"/>
        </w:trPr>
        <w:tc>
          <w:tcPr>
            <w:tcW w:w="3131" w:type="dxa"/>
          </w:tcPr>
          <w:p w:rsidR="00E46472" w:rsidRPr="00981449" w:rsidRDefault="00E46472" w:rsidP="003A211E">
            <w:r w:rsidRPr="00981449">
              <w:rPr>
                <w:sz w:val="22"/>
                <w:szCs w:val="22"/>
              </w:rPr>
              <w:t>6. Detalizēts ieņēmumu un izdevu</w:t>
            </w:r>
            <w:r w:rsidRPr="00981449">
              <w:rPr>
                <w:sz w:val="22"/>
                <w:szCs w:val="22"/>
              </w:rPr>
              <w:softHyphen/>
              <w:t>mu aprēķins (ja nepieciešams, detalizētu ieņēmumu un izdevumu aprēķinu var pievienot anotācijas pielikumā):</w:t>
            </w:r>
          </w:p>
        </w:tc>
        <w:tc>
          <w:tcPr>
            <w:tcW w:w="6327" w:type="dxa"/>
            <w:gridSpan w:val="5"/>
            <w:vMerge w:val="restart"/>
          </w:tcPr>
          <w:p w:rsidR="00E46472" w:rsidRPr="008C6191" w:rsidRDefault="00E46472" w:rsidP="008C6191">
            <w:pPr>
              <w:jc w:val="both"/>
            </w:pPr>
          </w:p>
        </w:tc>
      </w:tr>
      <w:tr w:rsidR="00E46472" w:rsidRPr="00981449" w:rsidTr="0021647E">
        <w:trPr>
          <w:jc w:val="center"/>
        </w:trPr>
        <w:tc>
          <w:tcPr>
            <w:tcW w:w="3131" w:type="dxa"/>
          </w:tcPr>
          <w:p w:rsidR="00E46472" w:rsidRPr="00981449" w:rsidRDefault="00E46472" w:rsidP="003A211E">
            <w:r w:rsidRPr="00981449">
              <w:rPr>
                <w:sz w:val="22"/>
                <w:szCs w:val="22"/>
              </w:rPr>
              <w:t>6.1. detalizēts ieņēmumu aprēķins</w:t>
            </w:r>
          </w:p>
        </w:tc>
        <w:tc>
          <w:tcPr>
            <w:tcW w:w="6327" w:type="dxa"/>
            <w:gridSpan w:val="5"/>
            <w:vMerge/>
          </w:tcPr>
          <w:p w:rsidR="00E46472" w:rsidRPr="00981449" w:rsidRDefault="00E46472" w:rsidP="00A130F0">
            <w:pPr>
              <w:pStyle w:val="naisf"/>
              <w:spacing w:before="0" w:after="0"/>
              <w:ind w:firstLine="0"/>
              <w:rPr>
                <w:b/>
                <w:i/>
                <w:color w:val="7030A0"/>
              </w:rPr>
            </w:pPr>
          </w:p>
        </w:tc>
      </w:tr>
      <w:tr w:rsidR="00E46472" w:rsidRPr="00981449" w:rsidTr="0021647E">
        <w:trPr>
          <w:jc w:val="center"/>
        </w:trPr>
        <w:tc>
          <w:tcPr>
            <w:tcW w:w="3131" w:type="dxa"/>
          </w:tcPr>
          <w:p w:rsidR="00E46472" w:rsidRPr="00981449" w:rsidRDefault="00E46472" w:rsidP="003A211E">
            <w:r w:rsidRPr="00981449">
              <w:rPr>
                <w:sz w:val="22"/>
                <w:szCs w:val="22"/>
              </w:rPr>
              <w:t>6.2. detalizēts izdevumu aprēķins</w:t>
            </w:r>
          </w:p>
        </w:tc>
        <w:tc>
          <w:tcPr>
            <w:tcW w:w="6327" w:type="dxa"/>
            <w:gridSpan w:val="5"/>
            <w:vMerge/>
          </w:tcPr>
          <w:p w:rsidR="00E46472" w:rsidRPr="00981449" w:rsidRDefault="00E46472" w:rsidP="00A130F0">
            <w:pPr>
              <w:pStyle w:val="naisf"/>
              <w:spacing w:before="0" w:after="0"/>
              <w:ind w:firstLine="0"/>
              <w:rPr>
                <w:b/>
                <w:i/>
                <w:color w:val="7030A0"/>
              </w:rPr>
            </w:pPr>
          </w:p>
        </w:tc>
      </w:tr>
      <w:tr w:rsidR="00E46472" w:rsidRPr="00981449" w:rsidTr="0021647E">
        <w:trPr>
          <w:jc w:val="center"/>
        </w:trPr>
        <w:tc>
          <w:tcPr>
            <w:tcW w:w="3131" w:type="dxa"/>
          </w:tcPr>
          <w:p w:rsidR="00E46472" w:rsidRPr="00981449" w:rsidRDefault="00E46472" w:rsidP="00A130F0">
            <w:pPr>
              <w:jc w:val="both"/>
            </w:pPr>
            <w:r w:rsidRPr="00981449">
              <w:rPr>
                <w:sz w:val="22"/>
                <w:szCs w:val="22"/>
              </w:rPr>
              <w:t>7. Cita informācija</w:t>
            </w:r>
          </w:p>
        </w:tc>
        <w:tc>
          <w:tcPr>
            <w:tcW w:w="6327" w:type="dxa"/>
            <w:gridSpan w:val="5"/>
          </w:tcPr>
          <w:p w:rsidR="00E46472" w:rsidRPr="008B64F3" w:rsidRDefault="00E46472" w:rsidP="00A130F0">
            <w:pPr>
              <w:pStyle w:val="naisf"/>
              <w:tabs>
                <w:tab w:val="left" w:pos="4644"/>
              </w:tabs>
              <w:spacing w:before="0" w:after="0"/>
              <w:ind w:firstLine="0"/>
              <w:rPr>
                <w:color w:val="000000"/>
              </w:rPr>
            </w:pPr>
            <w:r w:rsidRPr="008B64F3">
              <w:rPr>
                <w:color w:val="000000"/>
                <w:sz w:val="22"/>
              </w:rPr>
              <w:t>Izmaiņas ieņēmumu prognozēs nav saistītas ar šo tiesību akta projektu, bet gan ar vispārējām emisijas kvotu cenu izmaiņām.</w:t>
            </w:r>
          </w:p>
        </w:tc>
      </w:tr>
    </w:tbl>
    <w:p w:rsidR="00E46472" w:rsidRPr="00981449" w:rsidRDefault="00E46472" w:rsidP="00236A1D">
      <w:pPr>
        <w:rPr>
          <w:i/>
          <w:color w:val="000000"/>
          <w:sz w:val="22"/>
          <w:szCs w:val="22"/>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6946"/>
      </w:tblGrid>
      <w:tr w:rsidR="00E46472" w:rsidRPr="00FF1C1D" w:rsidTr="000B7350">
        <w:trPr>
          <w:trHeight w:val="279"/>
          <w:jc w:val="center"/>
        </w:trPr>
        <w:tc>
          <w:tcPr>
            <w:tcW w:w="9498" w:type="dxa"/>
            <w:gridSpan w:val="3"/>
          </w:tcPr>
          <w:p w:rsidR="00E46472" w:rsidRPr="00FF1C1D" w:rsidRDefault="00E46472" w:rsidP="00A130F0">
            <w:pPr>
              <w:jc w:val="center"/>
              <w:rPr>
                <w:b/>
              </w:rPr>
            </w:pPr>
            <w:r w:rsidRPr="00FF1C1D">
              <w:rPr>
                <w:b/>
              </w:rPr>
              <w:t>IV. Tiesību akta projekta ietekme uz spēkā esošo tiesību normu sistēmu</w:t>
            </w:r>
          </w:p>
        </w:tc>
      </w:tr>
      <w:tr w:rsidR="00E46472" w:rsidRPr="00137C80" w:rsidTr="000B7350">
        <w:trPr>
          <w:trHeight w:val="279"/>
          <w:jc w:val="center"/>
        </w:trPr>
        <w:tc>
          <w:tcPr>
            <w:tcW w:w="426" w:type="dxa"/>
          </w:tcPr>
          <w:p w:rsidR="00E46472" w:rsidRPr="00331220" w:rsidRDefault="00E46472" w:rsidP="00E94BF1">
            <w:pPr>
              <w:jc w:val="both"/>
              <w:rPr>
                <w:color w:val="000000"/>
              </w:rPr>
            </w:pPr>
            <w:r w:rsidRPr="00331220">
              <w:rPr>
                <w:color w:val="000000"/>
              </w:rPr>
              <w:t>1.</w:t>
            </w:r>
          </w:p>
        </w:tc>
        <w:tc>
          <w:tcPr>
            <w:tcW w:w="2126" w:type="dxa"/>
          </w:tcPr>
          <w:p w:rsidR="00E46472" w:rsidRPr="00331220" w:rsidRDefault="00E46472" w:rsidP="00E94BF1">
            <w:pPr>
              <w:jc w:val="both"/>
              <w:rPr>
                <w:color w:val="000000"/>
              </w:rPr>
            </w:pPr>
            <w:r w:rsidRPr="00331220">
              <w:rPr>
                <w:color w:val="000000"/>
              </w:rPr>
              <w:t>Nepieciešamie saistītie tiesību aktu projekti</w:t>
            </w:r>
          </w:p>
        </w:tc>
        <w:tc>
          <w:tcPr>
            <w:tcW w:w="6946" w:type="dxa"/>
          </w:tcPr>
          <w:p w:rsidR="0057500B" w:rsidRPr="00780001" w:rsidRDefault="00780001" w:rsidP="00780001">
            <w:pPr>
              <w:pStyle w:val="BodyTextIndent2"/>
              <w:spacing w:line="240" w:lineRule="auto"/>
              <w:ind w:left="0" w:right="181"/>
              <w:jc w:val="both"/>
              <w:rPr>
                <w:b/>
              </w:rPr>
            </w:pPr>
            <w:r w:rsidRPr="00780001">
              <w:rPr>
                <w:b/>
                <w:sz w:val="22"/>
                <w:szCs w:val="22"/>
              </w:rPr>
              <w:t>Noteikumu projekts</w:t>
            </w:r>
            <w:r w:rsidR="00E46472" w:rsidRPr="00780001">
              <w:rPr>
                <w:b/>
                <w:sz w:val="22"/>
                <w:szCs w:val="22"/>
              </w:rPr>
              <w:t xml:space="preserve"> „Noteikumi </w:t>
            </w:r>
            <w:r w:rsidRPr="00780001">
              <w:rPr>
                <w:b/>
                <w:sz w:val="22"/>
                <w:szCs w:val="22"/>
              </w:rPr>
              <w:t>par</w:t>
            </w:r>
            <w:r w:rsidR="00E46472" w:rsidRPr="00780001">
              <w:rPr>
                <w:b/>
                <w:sz w:val="22"/>
                <w:szCs w:val="22"/>
              </w:rPr>
              <w:t xml:space="preserve"> aviācijas darbīb</w:t>
            </w:r>
            <w:r w:rsidRPr="00780001">
              <w:rPr>
                <w:b/>
                <w:sz w:val="22"/>
                <w:szCs w:val="22"/>
              </w:rPr>
              <w:t>u dalību</w:t>
            </w:r>
            <w:r w:rsidR="00E46472" w:rsidRPr="00780001">
              <w:rPr>
                <w:b/>
                <w:sz w:val="22"/>
                <w:szCs w:val="22"/>
              </w:rPr>
              <w:t xml:space="preserve"> Eiropas Savienības emisijas kvotu tirdzniecības sistēmā” (noteikumu projekts 2011. gada 17.novembrī izsludināts VSS (VSS-1274)).</w:t>
            </w:r>
            <w:r w:rsidR="000249A7" w:rsidRPr="00780001">
              <w:rPr>
                <w:b/>
                <w:sz w:val="22"/>
                <w:szCs w:val="22"/>
              </w:rPr>
              <w:t xml:space="preserve"> </w:t>
            </w:r>
            <w:r w:rsidRPr="00780001">
              <w:rPr>
                <w:b/>
                <w:sz w:val="22"/>
                <w:szCs w:val="22"/>
              </w:rPr>
              <w:t>Noteikumu projektu</w:t>
            </w:r>
            <w:r w:rsidR="008C1DB5" w:rsidRPr="00780001">
              <w:rPr>
                <w:b/>
                <w:sz w:val="22"/>
                <w:szCs w:val="22"/>
              </w:rPr>
              <w:t xml:space="preserve"> izstrādā</w:t>
            </w:r>
            <w:r w:rsidR="000249A7" w:rsidRPr="00780001">
              <w:rPr>
                <w:b/>
                <w:sz w:val="22"/>
                <w:szCs w:val="22"/>
              </w:rPr>
              <w:t xml:space="preserve"> Vides aizsardzības un reģionālās attīstības ministrija.</w:t>
            </w:r>
            <w:r w:rsidRPr="00780001">
              <w:rPr>
                <w:b/>
                <w:sz w:val="22"/>
                <w:szCs w:val="22"/>
              </w:rPr>
              <w:t xml:space="preserve"> Noteikumu projekts 2012.gada 31.jūlijā iesniegts izskatīšanai MK.</w:t>
            </w:r>
          </w:p>
        </w:tc>
      </w:tr>
      <w:tr w:rsidR="00E46472" w:rsidRPr="00137C80" w:rsidTr="000B7350">
        <w:trPr>
          <w:trHeight w:val="279"/>
          <w:jc w:val="center"/>
        </w:trPr>
        <w:tc>
          <w:tcPr>
            <w:tcW w:w="426" w:type="dxa"/>
          </w:tcPr>
          <w:p w:rsidR="00E46472" w:rsidRPr="00331220" w:rsidRDefault="00E46472" w:rsidP="00E94BF1">
            <w:pPr>
              <w:jc w:val="both"/>
              <w:rPr>
                <w:color w:val="000000"/>
                <w:highlight w:val="yellow"/>
              </w:rPr>
            </w:pPr>
            <w:r w:rsidRPr="00331220">
              <w:rPr>
                <w:color w:val="000000"/>
              </w:rPr>
              <w:t>2.</w:t>
            </w:r>
          </w:p>
        </w:tc>
        <w:tc>
          <w:tcPr>
            <w:tcW w:w="2126" w:type="dxa"/>
          </w:tcPr>
          <w:p w:rsidR="00E46472" w:rsidRPr="00331220" w:rsidRDefault="00E46472" w:rsidP="00E94BF1">
            <w:pPr>
              <w:jc w:val="both"/>
              <w:rPr>
                <w:color w:val="000000"/>
              </w:rPr>
            </w:pPr>
            <w:r w:rsidRPr="00331220">
              <w:rPr>
                <w:color w:val="000000"/>
              </w:rPr>
              <w:t>Cita informācija</w:t>
            </w:r>
          </w:p>
        </w:tc>
        <w:tc>
          <w:tcPr>
            <w:tcW w:w="6946" w:type="dxa"/>
          </w:tcPr>
          <w:p w:rsidR="00E46472" w:rsidRPr="00331220" w:rsidRDefault="00E46472" w:rsidP="005967F5">
            <w:pPr>
              <w:pStyle w:val="BodyTextIndent2"/>
              <w:tabs>
                <w:tab w:val="left" w:pos="312"/>
              </w:tabs>
              <w:spacing w:line="240" w:lineRule="auto"/>
              <w:ind w:left="0" w:right="181"/>
              <w:jc w:val="both"/>
            </w:pPr>
            <w:r>
              <w:rPr>
                <w:sz w:val="22"/>
                <w:szCs w:val="22"/>
              </w:rPr>
              <w:t>Nav.</w:t>
            </w:r>
          </w:p>
        </w:tc>
      </w:tr>
    </w:tbl>
    <w:p w:rsidR="00E46472" w:rsidRDefault="00E46472" w:rsidP="00236A1D">
      <w:pPr>
        <w:pStyle w:val="naiskr"/>
        <w:spacing w:before="0" w:after="0"/>
        <w:jc w:val="both"/>
        <w:rPr>
          <w:i/>
        </w:rPr>
      </w:pPr>
    </w:p>
    <w:p w:rsidR="00525160" w:rsidRPr="00FF1C1D" w:rsidRDefault="00525160" w:rsidP="00236A1D">
      <w:pPr>
        <w:pStyle w:val="naiskr"/>
        <w:spacing w:before="0" w:after="0"/>
        <w:jc w:val="both"/>
        <w:rPr>
          <w:i/>
        </w:rPr>
      </w:pPr>
    </w:p>
    <w:tbl>
      <w:tblPr>
        <w:tblW w:w="9498"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426"/>
        <w:gridCol w:w="2126"/>
        <w:gridCol w:w="6946"/>
      </w:tblGrid>
      <w:tr w:rsidR="00E46472" w:rsidRPr="00FF1C1D" w:rsidTr="00C95518">
        <w:tc>
          <w:tcPr>
            <w:tcW w:w="9498" w:type="dxa"/>
            <w:gridSpan w:val="3"/>
            <w:tcBorders>
              <w:top w:val="outset" w:sz="6" w:space="0" w:color="auto"/>
              <w:bottom w:val="outset" w:sz="6" w:space="0" w:color="auto"/>
            </w:tcBorders>
            <w:vAlign w:val="center"/>
          </w:tcPr>
          <w:p w:rsidR="00E46472" w:rsidRPr="00FF1C1D" w:rsidRDefault="00E46472" w:rsidP="00A130F0">
            <w:pPr>
              <w:jc w:val="center"/>
              <w:rPr>
                <w:b/>
              </w:rPr>
            </w:pPr>
            <w:r w:rsidRPr="00FF1C1D">
              <w:rPr>
                <w:b/>
              </w:rPr>
              <w:t>V. Tiesību akta projekta atbilstība Latvijas Republikas starptautiskajām saistībām</w:t>
            </w:r>
          </w:p>
        </w:tc>
      </w:tr>
      <w:tr w:rsidR="00E46472" w:rsidRPr="00FF1C1D" w:rsidTr="00C95518">
        <w:tc>
          <w:tcPr>
            <w:tcW w:w="426" w:type="dxa"/>
            <w:tcBorders>
              <w:top w:val="outset" w:sz="6" w:space="0" w:color="auto"/>
              <w:bottom w:val="outset" w:sz="6" w:space="0" w:color="auto"/>
              <w:right w:val="outset" w:sz="6" w:space="0" w:color="auto"/>
            </w:tcBorders>
          </w:tcPr>
          <w:p w:rsidR="00E46472" w:rsidRPr="00DC1AF2" w:rsidRDefault="00E46472" w:rsidP="00A130F0">
            <w:pPr>
              <w:ind w:left="57"/>
            </w:pPr>
            <w:r w:rsidRPr="00DC1AF2">
              <w:rPr>
                <w:sz w:val="22"/>
                <w:szCs w:val="22"/>
              </w:rPr>
              <w:t>1.</w:t>
            </w:r>
          </w:p>
        </w:tc>
        <w:tc>
          <w:tcPr>
            <w:tcW w:w="2126" w:type="dxa"/>
            <w:tcBorders>
              <w:top w:val="outset" w:sz="6" w:space="0" w:color="auto"/>
              <w:left w:val="outset" w:sz="6" w:space="0" w:color="auto"/>
              <w:bottom w:val="outset" w:sz="6" w:space="0" w:color="auto"/>
              <w:right w:val="outset" w:sz="6" w:space="0" w:color="auto"/>
            </w:tcBorders>
          </w:tcPr>
          <w:p w:rsidR="00E46472" w:rsidRPr="0098073F" w:rsidRDefault="00E46472" w:rsidP="00A130F0">
            <w:pPr>
              <w:ind w:left="57"/>
            </w:pPr>
            <w:r w:rsidRPr="0098073F">
              <w:rPr>
                <w:sz w:val="22"/>
                <w:szCs w:val="22"/>
              </w:rPr>
              <w:t>Saistības pret Eiropas Savienību</w:t>
            </w:r>
          </w:p>
        </w:tc>
        <w:tc>
          <w:tcPr>
            <w:tcW w:w="6946" w:type="dxa"/>
            <w:tcBorders>
              <w:top w:val="outset" w:sz="6" w:space="0" w:color="auto"/>
              <w:left w:val="outset" w:sz="6" w:space="0" w:color="auto"/>
              <w:bottom w:val="outset" w:sz="6" w:space="0" w:color="auto"/>
            </w:tcBorders>
          </w:tcPr>
          <w:p w:rsidR="00E46472" w:rsidRPr="003B3FDB" w:rsidRDefault="00E46472" w:rsidP="00C95518">
            <w:pPr>
              <w:jc w:val="both"/>
            </w:pPr>
            <w:r w:rsidRPr="003B3FDB">
              <w:rPr>
                <w:sz w:val="22"/>
                <w:szCs w:val="22"/>
                <w:lang w:eastAsia="en-US"/>
              </w:rPr>
              <w:t>Noteikumu projektā iekļautās normas nepieciešamas, lai Latvija nodrošinātu</w:t>
            </w:r>
            <w:r>
              <w:rPr>
                <w:sz w:val="22"/>
                <w:szCs w:val="22"/>
                <w:lang w:eastAsia="en-US"/>
              </w:rPr>
              <w:t xml:space="preserve"> </w:t>
            </w:r>
            <w:r w:rsidRPr="003B3FDB">
              <w:rPr>
                <w:sz w:val="22"/>
                <w:szCs w:val="22"/>
                <w:lang w:eastAsia="en-US"/>
              </w:rPr>
              <w:t xml:space="preserve"> </w:t>
            </w:r>
            <w:r w:rsidRPr="003B3FDB">
              <w:rPr>
                <w:sz w:val="22"/>
                <w:szCs w:val="22"/>
              </w:rPr>
              <w:t xml:space="preserve"> Regulas Nr. 1031/2010 </w:t>
            </w:r>
            <w:r>
              <w:rPr>
                <w:sz w:val="22"/>
                <w:szCs w:val="22"/>
              </w:rPr>
              <w:t>prasību izpildi</w:t>
            </w:r>
            <w:r w:rsidRPr="003B3FDB">
              <w:rPr>
                <w:sz w:val="22"/>
                <w:szCs w:val="22"/>
              </w:rPr>
              <w:t>.</w:t>
            </w:r>
          </w:p>
        </w:tc>
      </w:tr>
      <w:tr w:rsidR="00E46472" w:rsidRPr="00FF1C1D" w:rsidTr="00C95518">
        <w:tc>
          <w:tcPr>
            <w:tcW w:w="426" w:type="dxa"/>
            <w:tcBorders>
              <w:top w:val="outset" w:sz="6" w:space="0" w:color="auto"/>
              <w:bottom w:val="outset" w:sz="6" w:space="0" w:color="auto"/>
              <w:right w:val="outset" w:sz="6" w:space="0" w:color="auto"/>
            </w:tcBorders>
          </w:tcPr>
          <w:p w:rsidR="00E46472" w:rsidRPr="00DC1AF2" w:rsidRDefault="00E46472" w:rsidP="00A130F0">
            <w:pPr>
              <w:ind w:left="57"/>
            </w:pPr>
            <w:r w:rsidRPr="00DC1AF2">
              <w:rPr>
                <w:sz w:val="22"/>
                <w:szCs w:val="22"/>
              </w:rPr>
              <w:t>2.</w:t>
            </w:r>
          </w:p>
        </w:tc>
        <w:tc>
          <w:tcPr>
            <w:tcW w:w="2126" w:type="dxa"/>
            <w:tcBorders>
              <w:top w:val="outset" w:sz="6" w:space="0" w:color="auto"/>
              <w:left w:val="outset" w:sz="6" w:space="0" w:color="auto"/>
              <w:bottom w:val="outset" w:sz="6" w:space="0" w:color="auto"/>
              <w:right w:val="outset" w:sz="6" w:space="0" w:color="auto"/>
            </w:tcBorders>
          </w:tcPr>
          <w:p w:rsidR="00E46472" w:rsidRPr="0098073F" w:rsidRDefault="00E46472" w:rsidP="00A130F0">
            <w:pPr>
              <w:ind w:left="57"/>
            </w:pPr>
            <w:r w:rsidRPr="0098073F">
              <w:rPr>
                <w:sz w:val="22"/>
                <w:szCs w:val="22"/>
              </w:rPr>
              <w:t>Citas starptautiskās saistības</w:t>
            </w:r>
          </w:p>
        </w:tc>
        <w:tc>
          <w:tcPr>
            <w:tcW w:w="6946" w:type="dxa"/>
            <w:tcBorders>
              <w:top w:val="outset" w:sz="6" w:space="0" w:color="auto"/>
              <w:left w:val="outset" w:sz="6" w:space="0" w:color="auto"/>
              <w:bottom w:val="outset" w:sz="6" w:space="0" w:color="auto"/>
            </w:tcBorders>
          </w:tcPr>
          <w:p w:rsidR="00E46472" w:rsidRPr="0098073F" w:rsidRDefault="00E46472" w:rsidP="00F62C82">
            <w:r w:rsidRPr="0098073F">
              <w:rPr>
                <w:sz w:val="22"/>
                <w:szCs w:val="22"/>
              </w:rPr>
              <w:t>Nav.</w:t>
            </w:r>
          </w:p>
        </w:tc>
      </w:tr>
      <w:tr w:rsidR="00E46472" w:rsidRPr="00FF1C1D" w:rsidTr="00C95518">
        <w:tc>
          <w:tcPr>
            <w:tcW w:w="426" w:type="dxa"/>
            <w:tcBorders>
              <w:top w:val="outset" w:sz="6" w:space="0" w:color="auto"/>
              <w:bottom w:val="outset" w:sz="6" w:space="0" w:color="auto"/>
              <w:right w:val="outset" w:sz="6" w:space="0" w:color="auto"/>
            </w:tcBorders>
          </w:tcPr>
          <w:p w:rsidR="00E46472" w:rsidRPr="00DC1AF2" w:rsidRDefault="00E46472" w:rsidP="00A130F0">
            <w:pPr>
              <w:ind w:left="57"/>
            </w:pPr>
            <w:r w:rsidRPr="00DC1AF2">
              <w:rPr>
                <w:sz w:val="22"/>
                <w:szCs w:val="22"/>
              </w:rPr>
              <w:t>3.</w:t>
            </w:r>
          </w:p>
        </w:tc>
        <w:tc>
          <w:tcPr>
            <w:tcW w:w="2126" w:type="dxa"/>
            <w:tcBorders>
              <w:top w:val="outset" w:sz="6" w:space="0" w:color="auto"/>
              <w:left w:val="outset" w:sz="6" w:space="0" w:color="auto"/>
              <w:bottom w:val="outset" w:sz="6" w:space="0" w:color="auto"/>
              <w:right w:val="outset" w:sz="6" w:space="0" w:color="auto"/>
            </w:tcBorders>
          </w:tcPr>
          <w:p w:rsidR="00E46472" w:rsidRPr="0098073F" w:rsidRDefault="00E46472" w:rsidP="00A130F0">
            <w:pPr>
              <w:ind w:left="57"/>
            </w:pPr>
            <w:r w:rsidRPr="0098073F">
              <w:rPr>
                <w:sz w:val="22"/>
                <w:szCs w:val="22"/>
              </w:rPr>
              <w:t>Cita informācija</w:t>
            </w:r>
          </w:p>
        </w:tc>
        <w:tc>
          <w:tcPr>
            <w:tcW w:w="6946" w:type="dxa"/>
            <w:tcBorders>
              <w:top w:val="outset" w:sz="6" w:space="0" w:color="auto"/>
              <w:left w:val="outset" w:sz="6" w:space="0" w:color="auto"/>
              <w:bottom w:val="outset" w:sz="6" w:space="0" w:color="auto"/>
            </w:tcBorders>
          </w:tcPr>
          <w:p w:rsidR="00E46472" w:rsidRPr="0098073F" w:rsidRDefault="00E46472" w:rsidP="00A130F0">
            <w:pPr>
              <w:ind w:left="57"/>
            </w:pPr>
            <w:r w:rsidRPr="0098073F">
              <w:rPr>
                <w:sz w:val="22"/>
                <w:szCs w:val="22"/>
              </w:rPr>
              <w:t>Nav.</w:t>
            </w:r>
          </w:p>
        </w:tc>
      </w:tr>
    </w:tbl>
    <w:p w:rsidR="00E46472" w:rsidRDefault="00E46472" w:rsidP="00236A1D">
      <w:pPr>
        <w:pStyle w:val="naiskr"/>
        <w:spacing w:before="0" w:after="0"/>
        <w:jc w:val="both"/>
        <w:rPr>
          <w:i/>
        </w:rPr>
      </w:pPr>
    </w:p>
    <w:p w:rsidR="00525160" w:rsidRDefault="00525160" w:rsidP="00236A1D">
      <w:pPr>
        <w:pStyle w:val="naiskr"/>
        <w:spacing w:before="0" w:after="0"/>
        <w:jc w:val="both"/>
        <w:rPr>
          <w:i/>
        </w:rPr>
      </w:pPr>
    </w:p>
    <w:tbl>
      <w:tblPr>
        <w:tblW w:w="9498"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119"/>
        <w:gridCol w:w="2127"/>
        <w:gridCol w:w="1984"/>
        <w:gridCol w:w="2268"/>
      </w:tblGrid>
      <w:tr w:rsidR="00E46472" w:rsidRPr="00F2370C" w:rsidTr="00C95518">
        <w:trPr>
          <w:cantSplit/>
          <w:trHeight w:val="523"/>
        </w:trPr>
        <w:tc>
          <w:tcPr>
            <w:tcW w:w="9498" w:type="dxa"/>
            <w:gridSpan w:val="4"/>
            <w:tcBorders>
              <w:top w:val="outset" w:sz="6" w:space="0" w:color="auto"/>
              <w:bottom w:val="outset" w:sz="6" w:space="0" w:color="auto"/>
            </w:tcBorders>
            <w:vAlign w:val="center"/>
          </w:tcPr>
          <w:p w:rsidR="00E46472" w:rsidRPr="002B7D41" w:rsidRDefault="00E46472" w:rsidP="001A436F">
            <w:pPr>
              <w:spacing w:before="60" w:after="60"/>
              <w:jc w:val="center"/>
              <w:rPr>
                <w:b/>
              </w:rPr>
            </w:pPr>
            <w:r w:rsidRPr="002B7D41">
              <w:rPr>
                <w:b/>
              </w:rPr>
              <w:t>1.tabula</w:t>
            </w:r>
          </w:p>
          <w:p w:rsidR="00E46472" w:rsidRPr="002B7D41" w:rsidRDefault="00E46472" w:rsidP="001A436F">
            <w:pPr>
              <w:spacing w:before="60" w:after="60"/>
              <w:jc w:val="center"/>
              <w:rPr>
                <w:b/>
              </w:rPr>
            </w:pPr>
            <w:r w:rsidRPr="002B7D41">
              <w:rPr>
                <w:b/>
              </w:rPr>
              <w:t>Tiesību akta projekta atbilstība ES tiesību aktiem</w:t>
            </w:r>
          </w:p>
        </w:tc>
      </w:tr>
      <w:tr w:rsidR="00E46472" w:rsidRPr="00F2370C" w:rsidTr="00094F66">
        <w:trPr>
          <w:cantSplit/>
          <w:trHeight w:val="884"/>
        </w:trPr>
        <w:tc>
          <w:tcPr>
            <w:tcW w:w="3119" w:type="dxa"/>
            <w:tcBorders>
              <w:top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t>Attiecīgā ES tiesību akta datums, numurs un nosaukums</w:t>
            </w:r>
          </w:p>
        </w:tc>
        <w:tc>
          <w:tcPr>
            <w:tcW w:w="6379" w:type="dxa"/>
            <w:gridSpan w:val="3"/>
            <w:tcBorders>
              <w:top w:val="outset" w:sz="6" w:space="0" w:color="auto"/>
              <w:left w:val="outset" w:sz="6" w:space="0" w:color="auto"/>
              <w:bottom w:val="outset" w:sz="6" w:space="0" w:color="auto"/>
            </w:tcBorders>
          </w:tcPr>
          <w:p w:rsidR="00E46472" w:rsidRPr="00F35583" w:rsidRDefault="00E46472" w:rsidP="001A436F">
            <w:pPr>
              <w:spacing w:before="60" w:after="60"/>
              <w:ind w:left="57"/>
              <w:jc w:val="both"/>
            </w:pPr>
            <w:r w:rsidRPr="00F016ED">
              <w:rPr>
                <w:sz w:val="22"/>
                <w:szCs w:val="22"/>
              </w:rPr>
              <w:t>Eiropas Komisijas</w:t>
            </w:r>
            <w:r>
              <w:rPr>
                <w:sz w:val="22"/>
                <w:szCs w:val="22"/>
              </w:rPr>
              <w:t xml:space="preserve"> 2010. gada 12. novembra Regula</w:t>
            </w:r>
            <w:r w:rsidRPr="00F016ED">
              <w:rPr>
                <w:sz w:val="22"/>
                <w:szCs w:val="22"/>
              </w:rPr>
              <w:t xml:space="preserve">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r>
              <w:rPr>
                <w:sz w:val="22"/>
                <w:szCs w:val="22"/>
              </w:rPr>
              <w:t>.</w:t>
            </w:r>
          </w:p>
        </w:tc>
      </w:tr>
      <w:tr w:rsidR="00E46472" w:rsidRPr="00F2370C" w:rsidTr="00094F66">
        <w:trPr>
          <w:cantSplit/>
        </w:trPr>
        <w:tc>
          <w:tcPr>
            <w:tcW w:w="3119" w:type="dxa"/>
            <w:tcBorders>
              <w:top w:val="outset" w:sz="6" w:space="0" w:color="auto"/>
              <w:bottom w:val="outset" w:sz="6" w:space="0" w:color="auto"/>
              <w:right w:val="outset" w:sz="6" w:space="0" w:color="auto"/>
            </w:tcBorders>
            <w:vAlign w:val="center"/>
          </w:tcPr>
          <w:p w:rsidR="00E46472" w:rsidRPr="00F35583" w:rsidRDefault="00E46472" w:rsidP="001A436F">
            <w:pPr>
              <w:spacing w:before="60" w:after="60"/>
              <w:ind w:left="57"/>
            </w:pPr>
            <w:r w:rsidRPr="00F35583">
              <w:rPr>
                <w:sz w:val="22"/>
                <w:szCs w:val="22"/>
              </w:rPr>
              <w:t>A</w:t>
            </w:r>
          </w:p>
        </w:tc>
        <w:tc>
          <w:tcPr>
            <w:tcW w:w="2127" w:type="dxa"/>
            <w:tcBorders>
              <w:top w:val="outset" w:sz="6" w:space="0" w:color="auto"/>
              <w:left w:val="outset" w:sz="6" w:space="0" w:color="auto"/>
              <w:bottom w:val="outset" w:sz="6" w:space="0" w:color="auto"/>
              <w:right w:val="outset" w:sz="6" w:space="0" w:color="auto"/>
            </w:tcBorders>
            <w:vAlign w:val="center"/>
          </w:tcPr>
          <w:p w:rsidR="00E46472" w:rsidRPr="00F35583" w:rsidRDefault="00E46472" w:rsidP="001A436F">
            <w:pPr>
              <w:spacing w:before="60" w:after="60"/>
              <w:ind w:left="57"/>
            </w:pPr>
            <w:r w:rsidRPr="00F35583">
              <w:rPr>
                <w:sz w:val="22"/>
                <w:szCs w:val="22"/>
              </w:rPr>
              <w:t>B</w:t>
            </w:r>
          </w:p>
        </w:tc>
        <w:tc>
          <w:tcPr>
            <w:tcW w:w="1984" w:type="dxa"/>
            <w:tcBorders>
              <w:top w:val="outset" w:sz="6" w:space="0" w:color="auto"/>
              <w:left w:val="outset" w:sz="6" w:space="0" w:color="auto"/>
              <w:bottom w:val="outset" w:sz="6" w:space="0" w:color="auto"/>
              <w:right w:val="outset" w:sz="6" w:space="0" w:color="auto"/>
            </w:tcBorders>
            <w:vAlign w:val="center"/>
          </w:tcPr>
          <w:p w:rsidR="00E46472" w:rsidRPr="00F35583" w:rsidRDefault="00E46472" w:rsidP="001A436F">
            <w:pPr>
              <w:spacing w:before="60" w:after="60"/>
              <w:ind w:left="57"/>
            </w:pPr>
            <w:r w:rsidRPr="00F35583">
              <w:rPr>
                <w:sz w:val="22"/>
                <w:szCs w:val="22"/>
              </w:rPr>
              <w:t>C</w:t>
            </w:r>
          </w:p>
        </w:tc>
        <w:tc>
          <w:tcPr>
            <w:tcW w:w="2268" w:type="dxa"/>
            <w:tcBorders>
              <w:top w:val="outset" w:sz="6" w:space="0" w:color="auto"/>
              <w:left w:val="outset" w:sz="6" w:space="0" w:color="auto"/>
              <w:bottom w:val="outset" w:sz="6" w:space="0" w:color="auto"/>
            </w:tcBorders>
            <w:vAlign w:val="center"/>
          </w:tcPr>
          <w:p w:rsidR="00E46472" w:rsidRPr="00F35583" w:rsidRDefault="00E46472" w:rsidP="001A436F">
            <w:pPr>
              <w:spacing w:before="60" w:after="60"/>
              <w:ind w:left="57"/>
            </w:pPr>
            <w:r w:rsidRPr="00F35583">
              <w:rPr>
                <w:sz w:val="22"/>
                <w:szCs w:val="22"/>
              </w:rPr>
              <w:t>D</w:t>
            </w:r>
          </w:p>
        </w:tc>
      </w:tr>
      <w:tr w:rsidR="00E46472" w:rsidRPr="00F2370C" w:rsidTr="00094F66">
        <w:trPr>
          <w:cantSplit/>
          <w:trHeight w:val="660"/>
        </w:trPr>
        <w:tc>
          <w:tcPr>
            <w:tcW w:w="3119" w:type="dxa"/>
            <w:tcBorders>
              <w:top w:val="outset" w:sz="6" w:space="0" w:color="auto"/>
              <w:bottom w:val="outset" w:sz="6" w:space="0" w:color="auto"/>
              <w:right w:val="outset" w:sz="6" w:space="0" w:color="auto"/>
            </w:tcBorders>
          </w:tcPr>
          <w:p w:rsidR="00E46472" w:rsidRPr="00F35583" w:rsidRDefault="00E46472" w:rsidP="009250BA">
            <w:pPr>
              <w:spacing w:before="60" w:after="60"/>
              <w:ind w:left="57"/>
            </w:pPr>
            <w:r w:rsidRPr="00F35583">
              <w:rPr>
                <w:sz w:val="22"/>
                <w:szCs w:val="22"/>
              </w:rPr>
              <w:t>Regulas Nr.</w:t>
            </w:r>
            <w:r>
              <w:rPr>
                <w:sz w:val="22"/>
                <w:szCs w:val="22"/>
              </w:rPr>
              <w:t>1031</w:t>
            </w:r>
            <w:r w:rsidRPr="00F35583">
              <w:rPr>
                <w:sz w:val="22"/>
                <w:szCs w:val="22"/>
              </w:rPr>
              <w:t>/2010</w:t>
            </w:r>
            <w:r>
              <w:rPr>
                <w:sz w:val="22"/>
                <w:szCs w:val="22"/>
              </w:rPr>
              <w:t xml:space="preserve"> 23.pants</w:t>
            </w:r>
          </w:p>
        </w:tc>
        <w:tc>
          <w:tcPr>
            <w:tcW w:w="2127" w:type="dxa"/>
            <w:tcBorders>
              <w:top w:val="outset" w:sz="6" w:space="0" w:color="auto"/>
              <w:left w:val="outset" w:sz="6" w:space="0" w:color="auto"/>
              <w:bottom w:val="outset" w:sz="6" w:space="0" w:color="auto"/>
              <w:right w:val="outset" w:sz="6" w:space="0" w:color="auto"/>
            </w:tcBorders>
          </w:tcPr>
          <w:p w:rsidR="00E46472" w:rsidRDefault="00E46472" w:rsidP="00CB0FAB">
            <w:pPr>
              <w:spacing w:before="60" w:after="60"/>
              <w:ind w:left="57"/>
            </w:pPr>
            <w:r>
              <w:rPr>
                <w:sz w:val="22"/>
                <w:szCs w:val="22"/>
              </w:rPr>
              <w:t xml:space="preserve">Noteikumu </w:t>
            </w:r>
            <w:r w:rsidRPr="00F35583">
              <w:rPr>
                <w:sz w:val="22"/>
                <w:szCs w:val="22"/>
              </w:rPr>
              <w:t xml:space="preserve">projekta </w:t>
            </w:r>
            <w:r w:rsidR="00CB0FAB" w:rsidRPr="00CB0FAB">
              <w:rPr>
                <w:b/>
                <w:sz w:val="22"/>
                <w:szCs w:val="22"/>
              </w:rPr>
              <w:t>5</w:t>
            </w:r>
            <w:r w:rsidRPr="00CB0FAB">
              <w:rPr>
                <w:b/>
                <w:sz w:val="22"/>
                <w:szCs w:val="22"/>
              </w:rPr>
              <w:t>.</w:t>
            </w:r>
            <w:r>
              <w:rPr>
                <w:sz w:val="22"/>
                <w:szCs w:val="22"/>
              </w:rPr>
              <w:t xml:space="preserve"> un </w:t>
            </w:r>
            <w:r w:rsidR="00CB0FAB" w:rsidRPr="00CB0FAB">
              <w:rPr>
                <w:b/>
                <w:sz w:val="22"/>
                <w:szCs w:val="22"/>
              </w:rPr>
              <w:t>6</w:t>
            </w:r>
            <w:r w:rsidRPr="00CB0FAB">
              <w:rPr>
                <w:b/>
                <w:sz w:val="22"/>
                <w:szCs w:val="22"/>
              </w:rPr>
              <w:t>.punkts</w:t>
            </w:r>
          </w:p>
        </w:tc>
        <w:tc>
          <w:tcPr>
            <w:tcW w:w="1984" w:type="dxa"/>
            <w:tcBorders>
              <w:top w:val="outset" w:sz="6" w:space="0" w:color="auto"/>
              <w:left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t>Atbilst pilnībā</w:t>
            </w:r>
          </w:p>
        </w:tc>
        <w:tc>
          <w:tcPr>
            <w:tcW w:w="2268" w:type="dxa"/>
            <w:tcBorders>
              <w:top w:val="outset" w:sz="6" w:space="0" w:color="auto"/>
              <w:left w:val="outset" w:sz="6" w:space="0" w:color="auto"/>
              <w:bottom w:val="outset" w:sz="6" w:space="0" w:color="auto"/>
            </w:tcBorders>
          </w:tcPr>
          <w:p w:rsidR="00E46472" w:rsidRPr="00F35583" w:rsidRDefault="00E46472" w:rsidP="001A436F">
            <w:pPr>
              <w:spacing w:before="60" w:after="60"/>
              <w:ind w:left="57"/>
            </w:pPr>
            <w:r w:rsidRPr="00F35583">
              <w:rPr>
                <w:sz w:val="22"/>
                <w:szCs w:val="22"/>
              </w:rPr>
              <w:t>Nesatur stingrākas prasības</w:t>
            </w:r>
          </w:p>
        </w:tc>
      </w:tr>
      <w:tr w:rsidR="00E46472" w:rsidRPr="00F2370C" w:rsidTr="00094F66">
        <w:trPr>
          <w:cantSplit/>
          <w:trHeight w:val="662"/>
        </w:trPr>
        <w:tc>
          <w:tcPr>
            <w:tcW w:w="3119" w:type="dxa"/>
            <w:tcBorders>
              <w:top w:val="outset" w:sz="6" w:space="0" w:color="auto"/>
              <w:bottom w:val="outset" w:sz="6" w:space="0" w:color="auto"/>
              <w:right w:val="outset" w:sz="6" w:space="0" w:color="auto"/>
            </w:tcBorders>
          </w:tcPr>
          <w:p w:rsidR="00E46472" w:rsidRPr="00F35583" w:rsidRDefault="00E46472" w:rsidP="009250BA">
            <w:pPr>
              <w:spacing w:before="60" w:after="60"/>
              <w:ind w:left="57"/>
            </w:pPr>
            <w:r w:rsidRPr="00F35583">
              <w:rPr>
                <w:sz w:val="22"/>
                <w:szCs w:val="22"/>
              </w:rPr>
              <w:t>Regulas Nr.</w:t>
            </w:r>
            <w:r>
              <w:rPr>
                <w:sz w:val="22"/>
                <w:szCs w:val="22"/>
              </w:rPr>
              <w:t>1031</w:t>
            </w:r>
            <w:r w:rsidRPr="00F35583">
              <w:rPr>
                <w:sz w:val="22"/>
                <w:szCs w:val="22"/>
              </w:rPr>
              <w:t>/2010</w:t>
            </w:r>
            <w:r>
              <w:rPr>
                <w:sz w:val="22"/>
                <w:szCs w:val="22"/>
              </w:rPr>
              <w:t xml:space="preserve"> </w:t>
            </w:r>
            <w:r w:rsidRPr="00094F66">
              <w:rPr>
                <w:sz w:val="22"/>
                <w:szCs w:val="22"/>
              </w:rPr>
              <w:t>43.pants</w:t>
            </w:r>
          </w:p>
        </w:tc>
        <w:tc>
          <w:tcPr>
            <w:tcW w:w="2127" w:type="dxa"/>
            <w:tcBorders>
              <w:top w:val="outset" w:sz="6" w:space="0" w:color="auto"/>
              <w:left w:val="outset" w:sz="6" w:space="0" w:color="auto"/>
              <w:bottom w:val="outset" w:sz="6" w:space="0" w:color="auto"/>
              <w:right w:val="outset" w:sz="6" w:space="0" w:color="auto"/>
            </w:tcBorders>
          </w:tcPr>
          <w:p w:rsidR="00E46472" w:rsidRDefault="00E46472" w:rsidP="00CB0FAB">
            <w:pPr>
              <w:spacing w:before="60" w:after="60"/>
              <w:ind w:left="57"/>
            </w:pPr>
            <w:r>
              <w:rPr>
                <w:sz w:val="22"/>
                <w:szCs w:val="22"/>
              </w:rPr>
              <w:t xml:space="preserve">Noteikumu </w:t>
            </w:r>
            <w:r w:rsidRPr="00F35583">
              <w:rPr>
                <w:sz w:val="22"/>
                <w:szCs w:val="22"/>
              </w:rPr>
              <w:t xml:space="preserve">projekta </w:t>
            </w:r>
            <w:r w:rsidR="00CB0FAB">
              <w:rPr>
                <w:sz w:val="22"/>
                <w:szCs w:val="22"/>
              </w:rPr>
              <w:t>7.</w:t>
            </w:r>
            <w:r>
              <w:rPr>
                <w:sz w:val="22"/>
                <w:szCs w:val="22"/>
              </w:rPr>
              <w:t>punkts</w:t>
            </w:r>
          </w:p>
        </w:tc>
        <w:tc>
          <w:tcPr>
            <w:tcW w:w="1984" w:type="dxa"/>
            <w:tcBorders>
              <w:top w:val="outset" w:sz="6" w:space="0" w:color="auto"/>
              <w:left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t>Atbilst pilnībā</w:t>
            </w:r>
          </w:p>
        </w:tc>
        <w:tc>
          <w:tcPr>
            <w:tcW w:w="2268" w:type="dxa"/>
            <w:tcBorders>
              <w:top w:val="outset" w:sz="6" w:space="0" w:color="auto"/>
              <w:left w:val="outset" w:sz="6" w:space="0" w:color="auto"/>
              <w:bottom w:val="outset" w:sz="6" w:space="0" w:color="auto"/>
            </w:tcBorders>
          </w:tcPr>
          <w:p w:rsidR="00E46472" w:rsidRPr="00F35583" w:rsidRDefault="00E46472" w:rsidP="001A436F">
            <w:pPr>
              <w:spacing w:before="60" w:after="60"/>
              <w:ind w:left="57"/>
            </w:pPr>
            <w:r w:rsidRPr="00F35583">
              <w:rPr>
                <w:sz w:val="22"/>
                <w:szCs w:val="22"/>
              </w:rPr>
              <w:t>Nesatur stingrākas prasības</w:t>
            </w:r>
          </w:p>
        </w:tc>
      </w:tr>
      <w:tr w:rsidR="00E46472" w:rsidRPr="00F2370C" w:rsidTr="00094F66">
        <w:trPr>
          <w:cantSplit/>
          <w:trHeight w:val="281"/>
        </w:trPr>
        <w:tc>
          <w:tcPr>
            <w:tcW w:w="3119" w:type="dxa"/>
            <w:tcBorders>
              <w:top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lastRenderedPageBreak/>
              <w:t>Kā ir izmantota ES tiesību aktā paredzētā rīcības brīvība dalībvalstij pārņemt vai ieviest noteiktas ES tiesību akta normas?</w:t>
            </w:r>
          </w:p>
          <w:p w:rsidR="00E46472" w:rsidRPr="00F35583" w:rsidRDefault="00E46472" w:rsidP="001A436F">
            <w:pPr>
              <w:spacing w:before="60" w:after="60"/>
              <w:ind w:left="57"/>
            </w:pPr>
            <w:r w:rsidRPr="00F35583">
              <w:rPr>
                <w:sz w:val="22"/>
                <w:szCs w:val="22"/>
              </w:rPr>
              <w:t>Kādēļ?</w:t>
            </w:r>
          </w:p>
        </w:tc>
        <w:tc>
          <w:tcPr>
            <w:tcW w:w="6379" w:type="dxa"/>
            <w:gridSpan w:val="3"/>
            <w:tcBorders>
              <w:top w:val="outset" w:sz="6" w:space="0" w:color="auto"/>
              <w:left w:val="outset" w:sz="6" w:space="0" w:color="auto"/>
              <w:bottom w:val="outset" w:sz="6" w:space="0" w:color="auto"/>
            </w:tcBorders>
          </w:tcPr>
          <w:p w:rsidR="00E46472" w:rsidRPr="00F35583" w:rsidRDefault="00E46472" w:rsidP="001A436F">
            <w:pPr>
              <w:spacing w:before="60" w:after="60"/>
              <w:ind w:left="57"/>
            </w:pPr>
            <w:r w:rsidRPr="00F35583">
              <w:rPr>
                <w:sz w:val="22"/>
                <w:szCs w:val="22"/>
              </w:rPr>
              <w:t>Nav attiecināms.</w:t>
            </w:r>
          </w:p>
        </w:tc>
      </w:tr>
      <w:tr w:rsidR="00E46472" w:rsidRPr="00F2370C" w:rsidTr="00094F66">
        <w:trPr>
          <w:cantSplit/>
          <w:trHeight w:val="2520"/>
        </w:trPr>
        <w:tc>
          <w:tcPr>
            <w:tcW w:w="3119" w:type="dxa"/>
            <w:tcBorders>
              <w:top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79" w:type="dxa"/>
            <w:gridSpan w:val="3"/>
            <w:tcBorders>
              <w:top w:val="outset" w:sz="6" w:space="0" w:color="auto"/>
              <w:left w:val="outset" w:sz="6" w:space="0" w:color="auto"/>
              <w:bottom w:val="outset" w:sz="6" w:space="0" w:color="auto"/>
            </w:tcBorders>
          </w:tcPr>
          <w:p w:rsidR="00E46472" w:rsidRPr="00F35583" w:rsidRDefault="00E46472" w:rsidP="001A436F">
            <w:pPr>
              <w:spacing w:before="60" w:after="60"/>
              <w:ind w:left="57"/>
            </w:pPr>
            <w:r w:rsidRPr="00F35583">
              <w:rPr>
                <w:sz w:val="22"/>
                <w:szCs w:val="22"/>
              </w:rPr>
              <w:t>Nav attiecināms.</w:t>
            </w:r>
          </w:p>
        </w:tc>
      </w:tr>
      <w:tr w:rsidR="00E46472" w:rsidRPr="00F2370C" w:rsidTr="00094F66">
        <w:trPr>
          <w:cantSplit/>
          <w:trHeight w:val="579"/>
        </w:trPr>
        <w:tc>
          <w:tcPr>
            <w:tcW w:w="3119" w:type="dxa"/>
            <w:tcBorders>
              <w:top w:val="outset" w:sz="6" w:space="0" w:color="auto"/>
              <w:bottom w:val="outset" w:sz="6" w:space="0" w:color="auto"/>
              <w:right w:val="outset" w:sz="6" w:space="0" w:color="auto"/>
            </w:tcBorders>
          </w:tcPr>
          <w:p w:rsidR="00E46472" w:rsidRPr="00F35583" w:rsidRDefault="00E46472" w:rsidP="001A436F">
            <w:pPr>
              <w:spacing w:before="60" w:after="60"/>
              <w:ind w:left="57"/>
            </w:pPr>
            <w:r w:rsidRPr="00F35583">
              <w:rPr>
                <w:sz w:val="22"/>
                <w:szCs w:val="22"/>
              </w:rPr>
              <w:t>Cita informācija</w:t>
            </w:r>
          </w:p>
        </w:tc>
        <w:tc>
          <w:tcPr>
            <w:tcW w:w="6379" w:type="dxa"/>
            <w:gridSpan w:val="3"/>
            <w:tcBorders>
              <w:top w:val="outset" w:sz="6" w:space="0" w:color="auto"/>
              <w:left w:val="outset" w:sz="6" w:space="0" w:color="auto"/>
              <w:bottom w:val="outset" w:sz="6" w:space="0" w:color="auto"/>
            </w:tcBorders>
          </w:tcPr>
          <w:p w:rsidR="00E46472" w:rsidRPr="00F35583" w:rsidRDefault="00E46472" w:rsidP="001A436F">
            <w:pPr>
              <w:spacing w:before="60" w:after="60"/>
              <w:ind w:left="57"/>
            </w:pPr>
            <w:r w:rsidRPr="00F35583">
              <w:rPr>
                <w:sz w:val="22"/>
                <w:szCs w:val="22"/>
              </w:rPr>
              <w:t>Nav.</w:t>
            </w:r>
          </w:p>
        </w:tc>
      </w:tr>
    </w:tbl>
    <w:p w:rsidR="00E46472" w:rsidRDefault="00E46472" w:rsidP="00236A1D">
      <w:pPr>
        <w:pStyle w:val="naiskr"/>
        <w:spacing w:before="0" w:after="0"/>
        <w:jc w:val="both"/>
        <w:rPr>
          <w:i/>
        </w:rPr>
      </w:pPr>
    </w:p>
    <w:p w:rsidR="00525160" w:rsidRPr="00FF1C1D" w:rsidRDefault="00525160" w:rsidP="00236A1D">
      <w:pPr>
        <w:pStyle w:val="naiskr"/>
        <w:spacing w:before="0" w:after="0"/>
        <w:jc w:val="both"/>
        <w:rPr>
          <w:i/>
        </w:rPr>
      </w:pPr>
    </w:p>
    <w:tbl>
      <w:tblPr>
        <w:tblW w:w="957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7"/>
        <w:gridCol w:w="3118"/>
        <w:gridCol w:w="5921"/>
      </w:tblGrid>
      <w:tr w:rsidR="00E46472" w:rsidRPr="00FF1C1D" w:rsidTr="00C95518">
        <w:trPr>
          <w:jc w:val="center"/>
        </w:trPr>
        <w:tc>
          <w:tcPr>
            <w:tcW w:w="9576" w:type="dxa"/>
            <w:gridSpan w:val="3"/>
          </w:tcPr>
          <w:p w:rsidR="00E46472" w:rsidRPr="00FF1C1D" w:rsidRDefault="00E46472" w:rsidP="00A130F0">
            <w:pPr>
              <w:pStyle w:val="naisnod"/>
              <w:spacing w:before="0" w:after="0"/>
              <w:ind w:left="57" w:right="57"/>
            </w:pPr>
            <w:r w:rsidRPr="00FF1C1D">
              <w:t>VI. Sabiedrības līdzdalība un šīs līdzdalības rezultāti</w:t>
            </w:r>
          </w:p>
        </w:tc>
      </w:tr>
      <w:tr w:rsidR="00E46472" w:rsidRPr="00FF1C1D" w:rsidTr="00C95518">
        <w:trPr>
          <w:trHeight w:val="553"/>
          <w:jc w:val="center"/>
        </w:trPr>
        <w:tc>
          <w:tcPr>
            <w:tcW w:w="537" w:type="dxa"/>
          </w:tcPr>
          <w:p w:rsidR="00E46472" w:rsidRPr="00DC1AF2" w:rsidRDefault="00E46472" w:rsidP="00A130F0">
            <w:pPr>
              <w:pStyle w:val="naiskr"/>
              <w:spacing w:before="0" w:after="0"/>
              <w:ind w:left="57" w:right="57"/>
              <w:rPr>
                <w:bCs/>
              </w:rPr>
            </w:pPr>
            <w:r w:rsidRPr="00DC1AF2">
              <w:rPr>
                <w:bCs/>
                <w:sz w:val="22"/>
                <w:szCs w:val="22"/>
              </w:rPr>
              <w:t>1.</w:t>
            </w:r>
          </w:p>
        </w:tc>
        <w:tc>
          <w:tcPr>
            <w:tcW w:w="3118" w:type="dxa"/>
          </w:tcPr>
          <w:p w:rsidR="00E46472" w:rsidRPr="00DC1AF2" w:rsidRDefault="00E46472" w:rsidP="00A130F0">
            <w:pPr>
              <w:pStyle w:val="naiskr"/>
              <w:tabs>
                <w:tab w:val="left" w:pos="170"/>
              </w:tabs>
              <w:spacing w:before="0" w:after="0"/>
              <w:ind w:left="57" w:right="57"/>
            </w:pPr>
            <w:r w:rsidRPr="00DC1AF2">
              <w:rPr>
                <w:sz w:val="22"/>
                <w:szCs w:val="22"/>
              </w:rPr>
              <w:t>Sabiedrības informēšana par projekta izstrādes uzsākšanu</w:t>
            </w:r>
          </w:p>
        </w:tc>
        <w:tc>
          <w:tcPr>
            <w:tcW w:w="5921" w:type="dxa"/>
          </w:tcPr>
          <w:p w:rsidR="00E46472" w:rsidRPr="00C95518" w:rsidRDefault="00E46472" w:rsidP="00C95518">
            <w:pPr>
              <w:pStyle w:val="naisnod"/>
              <w:spacing w:before="60" w:after="60"/>
              <w:ind w:left="57" w:right="57"/>
              <w:jc w:val="both"/>
              <w:rPr>
                <w:b w:val="0"/>
              </w:rPr>
            </w:pPr>
            <w:r w:rsidRPr="00C95518">
              <w:rPr>
                <w:b w:val="0"/>
                <w:sz w:val="22"/>
                <w:szCs w:val="22"/>
              </w:rPr>
              <w:t>Tiesību akta projekts ievietots publiskai apspriešanai Vides aizsardzības un reģionālās attīstības ministrijas interneta vietnē.</w:t>
            </w:r>
          </w:p>
        </w:tc>
      </w:tr>
      <w:tr w:rsidR="00E46472" w:rsidRPr="00FF1C1D" w:rsidTr="00C95518">
        <w:trPr>
          <w:trHeight w:val="339"/>
          <w:jc w:val="center"/>
        </w:trPr>
        <w:tc>
          <w:tcPr>
            <w:tcW w:w="537" w:type="dxa"/>
          </w:tcPr>
          <w:p w:rsidR="00E46472" w:rsidRPr="00DC1AF2" w:rsidRDefault="00E46472" w:rsidP="00A130F0">
            <w:pPr>
              <w:pStyle w:val="naiskr"/>
              <w:spacing w:before="0" w:after="0"/>
              <w:ind w:left="57" w:right="57"/>
              <w:rPr>
                <w:bCs/>
              </w:rPr>
            </w:pPr>
            <w:r w:rsidRPr="00DC1AF2">
              <w:rPr>
                <w:bCs/>
                <w:sz w:val="22"/>
                <w:szCs w:val="22"/>
              </w:rPr>
              <w:t>2.</w:t>
            </w:r>
          </w:p>
        </w:tc>
        <w:tc>
          <w:tcPr>
            <w:tcW w:w="3118" w:type="dxa"/>
          </w:tcPr>
          <w:p w:rsidR="00E46472" w:rsidRPr="00DC1AF2" w:rsidRDefault="00E46472" w:rsidP="00A130F0">
            <w:pPr>
              <w:pStyle w:val="naiskr"/>
              <w:spacing w:before="0" w:after="0"/>
              <w:ind w:left="57" w:right="57"/>
            </w:pPr>
            <w:r w:rsidRPr="00DC1AF2">
              <w:rPr>
                <w:sz w:val="22"/>
                <w:szCs w:val="22"/>
              </w:rPr>
              <w:t xml:space="preserve">Sabiedrības līdzdalība projekta izstrādē </w:t>
            </w:r>
          </w:p>
        </w:tc>
        <w:tc>
          <w:tcPr>
            <w:tcW w:w="5921" w:type="dxa"/>
          </w:tcPr>
          <w:p w:rsidR="00E46472" w:rsidRPr="00C95518" w:rsidRDefault="00E46472" w:rsidP="00C95518">
            <w:pPr>
              <w:pStyle w:val="naisnod"/>
              <w:spacing w:before="60" w:after="60"/>
              <w:ind w:left="57" w:right="57"/>
              <w:jc w:val="both"/>
              <w:rPr>
                <w:b w:val="0"/>
              </w:rPr>
            </w:pPr>
            <w:r w:rsidRPr="00C95518">
              <w:rPr>
                <w:b w:val="0"/>
                <w:sz w:val="22"/>
                <w:szCs w:val="22"/>
              </w:rPr>
              <w:t>Nav.</w:t>
            </w:r>
          </w:p>
        </w:tc>
      </w:tr>
      <w:tr w:rsidR="00E46472" w:rsidRPr="00FF1C1D" w:rsidTr="00C95518">
        <w:trPr>
          <w:trHeight w:val="375"/>
          <w:jc w:val="center"/>
        </w:trPr>
        <w:tc>
          <w:tcPr>
            <w:tcW w:w="537" w:type="dxa"/>
          </w:tcPr>
          <w:p w:rsidR="00E46472" w:rsidRPr="00DC1AF2" w:rsidRDefault="00E46472" w:rsidP="00A130F0">
            <w:pPr>
              <w:pStyle w:val="naiskr"/>
              <w:spacing w:before="0" w:after="0"/>
              <w:ind w:left="57" w:right="57"/>
              <w:rPr>
                <w:bCs/>
              </w:rPr>
            </w:pPr>
            <w:r w:rsidRPr="00DC1AF2">
              <w:rPr>
                <w:bCs/>
                <w:sz w:val="22"/>
                <w:szCs w:val="22"/>
              </w:rPr>
              <w:t>3.</w:t>
            </w:r>
          </w:p>
        </w:tc>
        <w:tc>
          <w:tcPr>
            <w:tcW w:w="3118" w:type="dxa"/>
          </w:tcPr>
          <w:p w:rsidR="00E46472" w:rsidRPr="00DC1AF2" w:rsidRDefault="00E46472" w:rsidP="00A130F0">
            <w:pPr>
              <w:pStyle w:val="naiskr"/>
              <w:spacing w:before="0" w:after="0"/>
              <w:ind w:left="57" w:right="57"/>
            </w:pPr>
            <w:r w:rsidRPr="00DC1AF2">
              <w:rPr>
                <w:sz w:val="22"/>
                <w:szCs w:val="22"/>
              </w:rPr>
              <w:t xml:space="preserve">Sabiedrības līdzdalības rezultāti </w:t>
            </w:r>
          </w:p>
        </w:tc>
        <w:tc>
          <w:tcPr>
            <w:tcW w:w="5921" w:type="dxa"/>
          </w:tcPr>
          <w:p w:rsidR="00E46472" w:rsidRPr="00C95518" w:rsidRDefault="00E46472" w:rsidP="00C95518">
            <w:pPr>
              <w:pStyle w:val="naisnod"/>
              <w:spacing w:before="60" w:after="60"/>
              <w:ind w:left="57" w:right="57"/>
              <w:jc w:val="both"/>
              <w:rPr>
                <w:b w:val="0"/>
              </w:rPr>
            </w:pPr>
            <w:r w:rsidRPr="00C95518">
              <w:rPr>
                <w:b w:val="0"/>
                <w:sz w:val="22"/>
                <w:szCs w:val="22"/>
              </w:rPr>
              <w:t>Nav.</w:t>
            </w:r>
          </w:p>
        </w:tc>
      </w:tr>
      <w:tr w:rsidR="00E46472" w:rsidRPr="00FF1C1D" w:rsidTr="00C95518">
        <w:trPr>
          <w:trHeight w:val="397"/>
          <w:jc w:val="center"/>
        </w:trPr>
        <w:tc>
          <w:tcPr>
            <w:tcW w:w="537" w:type="dxa"/>
          </w:tcPr>
          <w:p w:rsidR="00E46472" w:rsidRPr="00DC1AF2" w:rsidRDefault="00E46472" w:rsidP="00A130F0">
            <w:pPr>
              <w:pStyle w:val="naiskr"/>
              <w:spacing w:before="0" w:after="0"/>
              <w:ind w:left="57" w:right="57"/>
              <w:rPr>
                <w:bCs/>
              </w:rPr>
            </w:pPr>
            <w:r w:rsidRPr="00DC1AF2">
              <w:rPr>
                <w:bCs/>
                <w:sz w:val="22"/>
                <w:szCs w:val="22"/>
              </w:rPr>
              <w:t>4.</w:t>
            </w:r>
          </w:p>
        </w:tc>
        <w:tc>
          <w:tcPr>
            <w:tcW w:w="3118" w:type="dxa"/>
          </w:tcPr>
          <w:p w:rsidR="00E46472" w:rsidRPr="00DC1AF2" w:rsidRDefault="00E46472" w:rsidP="00A130F0">
            <w:pPr>
              <w:pStyle w:val="naiskr"/>
              <w:spacing w:before="0" w:after="0"/>
              <w:ind w:left="57" w:right="57"/>
            </w:pPr>
            <w:r w:rsidRPr="00DC1AF2">
              <w:rPr>
                <w:sz w:val="22"/>
                <w:szCs w:val="22"/>
              </w:rPr>
              <w:t>Saeimas un ekspertu līdzdalība</w:t>
            </w:r>
          </w:p>
        </w:tc>
        <w:tc>
          <w:tcPr>
            <w:tcW w:w="5921" w:type="dxa"/>
          </w:tcPr>
          <w:p w:rsidR="00E46472" w:rsidRPr="00C95518" w:rsidRDefault="00E46472" w:rsidP="00C95518">
            <w:pPr>
              <w:pStyle w:val="naisnod"/>
              <w:spacing w:before="60" w:after="60"/>
              <w:ind w:left="57" w:right="57"/>
              <w:jc w:val="both"/>
              <w:rPr>
                <w:b w:val="0"/>
              </w:rPr>
            </w:pPr>
            <w:r w:rsidRPr="00C95518">
              <w:rPr>
                <w:b w:val="0"/>
                <w:sz w:val="22"/>
                <w:szCs w:val="22"/>
              </w:rPr>
              <w:t>Nav.</w:t>
            </w:r>
          </w:p>
        </w:tc>
      </w:tr>
      <w:tr w:rsidR="00E46472" w:rsidRPr="00FF1C1D" w:rsidTr="00C95518">
        <w:trPr>
          <w:trHeight w:val="476"/>
          <w:jc w:val="center"/>
        </w:trPr>
        <w:tc>
          <w:tcPr>
            <w:tcW w:w="537" w:type="dxa"/>
          </w:tcPr>
          <w:p w:rsidR="00E46472" w:rsidRPr="00DC1AF2" w:rsidRDefault="00E46472" w:rsidP="00A130F0">
            <w:pPr>
              <w:pStyle w:val="naiskr"/>
              <w:spacing w:before="0" w:after="0"/>
              <w:ind w:left="57" w:right="57"/>
              <w:rPr>
                <w:bCs/>
              </w:rPr>
            </w:pPr>
            <w:r w:rsidRPr="00DC1AF2">
              <w:rPr>
                <w:bCs/>
                <w:sz w:val="22"/>
                <w:szCs w:val="22"/>
              </w:rPr>
              <w:t>5.</w:t>
            </w:r>
          </w:p>
        </w:tc>
        <w:tc>
          <w:tcPr>
            <w:tcW w:w="3118" w:type="dxa"/>
          </w:tcPr>
          <w:p w:rsidR="00E46472" w:rsidRPr="00DC1AF2" w:rsidRDefault="00E46472" w:rsidP="00A130F0">
            <w:pPr>
              <w:pStyle w:val="naiskr"/>
              <w:spacing w:before="0" w:after="0"/>
              <w:ind w:left="57" w:right="57"/>
            </w:pPr>
            <w:r w:rsidRPr="00DC1AF2">
              <w:rPr>
                <w:sz w:val="22"/>
                <w:szCs w:val="22"/>
              </w:rPr>
              <w:t>Cita informācija</w:t>
            </w:r>
          </w:p>
          <w:p w:rsidR="00E46472" w:rsidRPr="00DC1AF2" w:rsidRDefault="00E46472" w:rsidP="00A130F0">
            <w:pPr>
              <w:pStyle w:val="naiskr"/>
              <w:spacing w:before="0" w:after="0"/>
              <w:ind w:left="57" w:right="57"/>
            </w:pPr>
          </w:p>
        </w:tc>
        <w:tc>
          <w:tcPr>
            <w:tcW w:w="5921" w:type="dxa"/>
          </w:tcPr>
          <w:p w:rsidR="00E46472" w:rsidRPr="00C95518" w:rsidRDefault="00E46472" w:rsidP="00C95518">
            <w:pPr>
              <w:pStyle w:val="naisnod"/>
              <w:spacing w:before="60" w:after="60"/>
              <w:ind w:left="57" w:right="57"/>
              <w:jc w:val="both"/>
              <w:rPr>
                <w:b w:val="0"/>
              </w:rPr>
            </w:pPr>
            <w:r w:rsidRPr="00C95518">
              <w:rPr>
                <w:b w:val="0"/>
                <w:sz w:val="22"/>
                <w:szCs w:val="22"/>
              </w:rPr>
              <w:t>Tiesību akta projekts starpinstitūciju sanāksmes ietvaros apspriests ar pārstāvjiem no Finanšu ministrijas, Valsts kases un Finanšu un kapitāla tirgus komisijas.</w:t>
            </w:r>
          </w:p>
        </w:tc>
      </w:tr>
    </w:tbl>
    <w:p w:rsidR="00E46472" w:rsidRDefault="00E46472" w:rsidP="00236A1D">
      <w:pPr>
        <w:rPr>
          <w:color w:val="000000"/>
        </w:rPr>
      </w:pPr>
    </w:p>
    <w:p w:rsidR="00525160" w:rsidRPr="00235A09" w:rsidRDefault="00525160" w:rsidP="00236A1D">
      <w:pPr>
        <w:rPr>
          <w:color w:val="000000"/>
        </w:rPr>
      </w:pPr>
    </w:p>
    <w:tbl>
      <w:tblPr>
        <w:tblW w:w="0" w:type="auto"/>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3827"/>
        <w:gridCol w:w="5031"/>
      </w:tblGrid>
      <w:tr w:rsidR="00E46472" w:rsidRPr="00235A09" w:rsidTr="00C95518">
        <w:trPr>
          <w:trHeight w:val="279"/>
          <w:jc w:val="center"/>
        </w:trPr>
        <w:tc>
          <w:tcPr>
            <w:tcW w:w="9337" w:type="dxa"/>
            <w:gridSpan w:val="3"/>
          </w:tcPr>
          <w:p w:rsidR="00E46472" w:rsidRPr="00235A09" w:rsidRDefault="00E46472" w:rsidP="00A130F0">
            <w:pPr>
              <w:jc w:val="center"/>
              <w:rPr>
                <w:b/>
                <w:color w:val="000000"/>
              </w:rPr>
            </w:pPr>
            <w:r w:rsidRPr="00235A09">
              <w:rPr>
                <w:b/>
                <w:color w:val="000000"/>
              </w:rPr>
              <w:t>VII. Tiesību akta projekta izpildes nodrošināšana un tās ietekme uz institūcijām</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1.</w:t>
            </w:r>
          </w:p>
        </w:tc>
        <w:tc>
          <w:tcPr>
            <w:tcW w:w="3827" w:type="dxa"/>
          </w:tcPr>
          <w:p w:rsidR="00E46472" w:rsidRPr="00DC1AF2" w:rsidRDefault="00E46472" w:rsidP="003A211E">
            <w:pPr>
              <w:rPr>
                <w:color w:val="000000"/>
              </w:rPr>
            </w:pPr>
            <w:r w:rsidRPr="00DC1AF2">
              <w:rPr>
                <w:color w:val="000000"/>
                <w:sz w:val="22"/>
                <w:szCs w:val="22"/>
              </w:rPr>
              <w:t>Projekta izpildē iesaistītās institūcijas</w:t>
            </w:r>
          </w:p>
        </w:tc>
        <w:tc>
          <w:tcPr>
            <w:tcW w:w="5031" w:type="dxa"/>
          </w:tcPr>
          <w:p w:rsidR="00E46472" w:rsidRPr="00C95518" w:rsidRDefault="00E46472" w:rsidP="00C95518">
            <w:pPr>
              <w:pStyle w:val="naisnod"/>
              <w:spacing w:before="60" w:after="60"/>
              <w:ind w:left="57" w:right="57"/>
              <w:jc w:val="both"/>
              <w:rPr>
                <w:b w:val="0"/>
              </w:rPr>
            </w:pPr>
            <w:r w:rsidRPr="00331220">
              <w:rPr>
                <w:b w:val="0"/>
                <w:sz w:val="22"/>
                <w:szCs w:val="22"/>
              </w:rPr>
              <w:t>Vides aizsardzības un reģionālās attīstības ministrija</w:t>
            </w:r>
            <w:r>
              <w:rPr>
                <w:b w:val="0"/>
                <w:sz w:val="22"/>
                <w:szCs w:val="22"/>
              </w:rPr>
              <w:t xml:space="preserve">, </w:t>
            </w:r>
            <w:r w:rsidRPr="00C95518">
              <w:rPr>
                <w:b w:val="0"/>
                <w:sz w:val="22"/>
                <w:szCs w:val="22"/>
              </w:rPr>
              <w:t>Finanšu un kapitāla tirgus komisija</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2.</w:t>
            </w:r>
          </w:p>
        </w:tc>
        <w:tc>
          <w:tcPr>
            <w:tcW w:w="3827" w:type="dxa"/>
          </w:tcPr>
          <w:p w:rsidR="00E46472" w:rsidRPr="00DC1AF2" w:rsidRDefault="00E46472" w:rsidP="003A211E">
            <w:pPr>
              <w:rPr>
                <w:color w:val="000000"/>
              </w:rPr>
            </w:pPr>
            <w:r w:rsidRPr="00DC1AF2">
              <w:rPr>
                <w:color w:val="000000"/>
                <w:sz w:val="22"/>
                <w:szCs w:val="22"/>
              </w:rPr>
              <w:t>Projekta izpildes ietekme uz pārvaldes funkcijām</w:t>
            </w:r>
          </w:p>
        </w:tc>
        <w:tc>
          <w:tcPr>
            <w:tcW w:w="5031" w:type="dxa"/>
          </w:tcPr>
          <w:p w:rsidR="00E46472" w:rsidRPr="00C95518" w:rsidRDefault="00E46472" w:rsidP="00C95518">
            <w:pPr>
              <w:pStyle w:val="naisnod"/>
              <w:spacing w:before="60" w:after="60"/>
              <w:ind w:left="57" w:right="57"/>
              <w:jc w:val="both"/>
              <w:rPr>
                <w:b w:val="0"/>
              </w:rPr>
            </w:pPr>
            <w:r w:rsidRPr="00C95518">
              <w:rPr>
                <w:b w:val="0"/>
                <w:sz w:val="22"/>
                <w:szCs w:val="22"/>
              </w:rPr>
              <w:t>Nav būtiskas ietekmes uz pārvaldes funkciju nodrošināšanu.</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3.</w:t>
            </w:r>
          </w:p>
        </w:tc>
        <w:tc>
          <w:tcPr>
            <w:tcW w:w="3827" w:type="dxa"/>
          </w:tcPr>
          <w:p w:rsidR="00E46472" w:rsidRPr="00DC1AF2" w:rsidRDefault="00E46472" w:rsidP="003A211E">
            <w:pPr>
              <w:ind w:left="57" w:right="57"/>
              <w:rPr>
                <w:color w:val="000000"/>
              </w:rPr>
            </w:pPr>
            <w:r w:rsidRPr="00DC1AF2">
              <w:rPr>
                <w:color w:val="000000"/>
                <w:sz w:val="22"/>
                <w:szCs w:val="22"/>
              </w:rPr>
              <w:t>Projekta izpildes ietekme uz pārvaldes institucionālo struktūru.</w:t>
            </w:r>
          </w:p>
          <w:p w:rsidR="00E46472" w:rsidRPr="00DC1AF2" w:rsidRDefault="00E46472" w:rsidP="003A211E">
            <w:pPr>
              <w:rPr>
                <w:color w:val="000000"/>
              </w:rPr>
            </w:pPr>
            <w:r w:rsidRPr="00DC1AF2">
              <w:rPr>
                <w:color w:val="000000"/>
                <w:sz w:val="22"/>
                <w:szCs w:val="22"/>
              </w:rPr>
              <w:t>Jaunu institūciju izveide</w:t>
            </w:r>
          </w:p>
        </w:tc>
        <w:tc>
          <w:tcPr>
            <w:tcW w:w="5031" w:type="dxa"/>
          </w:tcPr>
          <w:p w:rsidR="00E46472" w:rsidRPr="00C95518" w:rsidRDefault="00E46472" w:rsidP="00BD7CDC">
            <w:pPr>
              <w:pStyle w:val="naisnod"/>
              <w:spacing w:before="60" w:after="60"/>
              <w:ind w:left="57" w:right="57"/>
              <w:jc w:val="both"/>
              <w:rPr>
                <w:b w:val="0"/>
              </w:rPr>
            </w:pPr>
            <w:r w:rsidRPr="00C95518">
              <w:rPr>
                <w:b w:val="0"/>
                <w:sz w:val="22"/>
                <w:szCs w:val="22"/>
              </w:rPr>
              <w:t>Nav jāveido jauna institucionālā struktūra, tiesību akta projekta prasības īstenos esošās pārvaldes institucionālās struktūras ietvaros.</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4.</w:t>
            </w:r>
          </w:p>
        </w:tc>
        <w:tc>
          <w:tcPr>
            <w:tcW w:w="3827" w:type="dxa"/>
          </w:tcPr>
          <w:p w:rsidR="00E46472" w:rsidRPr="00DC1AF2" w:rsidRDefault="00E46472" w:rsidP="003A211E">
            <w:pPr>
              <w:ind w:left="57" w:right="57"/>
              <w:rPr>
                <w:color w:val="000000"/>
              </w:rPr>
            </w:pPr>
            <w:r w:rsidRPr="00DC1AF2">
              <w:rPr>
                <w:color w:val="000000"/>
                <w:sz w:val="22"/>
                <w:szCs w:val="22"/>
              </w:rPr>
              <w:t>Projekta izpildes ietekme uz pārvaldes institucionālo struktūru.</w:t>
            </w:r>
          </w:p>
          <w:p w:rsidR="00E46472" w:rsidRPr="00DC1AF2" w:rsidRDefault="00E46472" w:rsidP="003A211E">
            <w:pPr>
              <w:rPr>
                <w:color w:val="000000"/>
              </w:rPr>
            </w:pPr>
            <w:r w:rsidRPr="00DC1AF2">
              <w:rPr>
                <w:color w:val="000000"/>
                <w:sz w:val="22"/>
                <w:szCs w:val="22"/>
              </w:rPr>
              <w:t>Esošu institūciju likvidācija</w:t>
            </w:r>
          </w:p>
        </w:tc>
        <w:tc>
          <w:tcPr>
            <w:tcW w:w="5031" w:type="dxa"/>
          </w:tcPr>
          <w:p w:rsidR="00E46472" w:rsidRPr="00C95518" w:rsidRDefault="00E46472" w:rsidP="00BD7CDC">
            <w:pPr>
              <w:pStyle w:val="naisnod"/>
              <w:spacing w:before="60" w:after="60"/>
              <w:ind w:left="57" w:right="57"/>
              <w:jc w:val="both"/>
              <w:rPr>
                <w:b w:val="0"/>
              </w:rPr>
            </w:pPr>
            <w:r w:rsidRPr="00C95518">
              <w:rPr>
                <w:b w:val="0"/>
                <w:sz w:val="22"/>
                <w:szCs w:val="22"/>
              </w:rPr>
              <w:t>Nav jālikvidē neviena institucionālā struktūra, tiesību akta projekta prasības īstenos esošās pārvaldes institucionālās struktūras ietvaros.</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5.</w:t>
            </w:r>
          </w:p>
        </w:tc>
        <w:tc>
          <w:tcPr>
            <w:tcW w:w="3827" w:type="dxa"/>
          </w:tcPr>
          <w:p w:rsidR="00E46472" w:rsidRPr="00DC1AF2" w:rsidRDefault="00E46472" w:rsidP="003A211E">
            <w:pPr>
              <w:ind w:left="57" w:right="57"/>
              <w:rPr>
                <w:color w:val="000000"/>
              </w:rPr>
            </w:pPr>
            <w:r w:rsidRPr="00DC1AF2">
              <w:rPr>
                <w:color w:val="000000"/>
                <w:sz w:val="22"/>
                <w:szCs w:val="22"/>
              </w:rPr>
              <w:t>Projekta izpildes ietekme uz pārvaldes institucionālo struktūru.</w:t>
            </w:r>
          </w:p>
          <w:p w:rsidR="00E46472" w:rsidRPr="00DC1AF2" w:rsidRDefault="00E46472" w:rsidP="003A211E">
            <w:pPr>
              <w:rPr>
                <w:color w:val="000000"/>
              </w:rPr>
            </w:pPr>
            <w:r w:rsidRPr="00DC1AF2">
              <w:rPr>
                <w:color w:val="000000"/>
                <w:sz w:val="22"/>
                <w:szCs w:val="22"/>
              </w:rPr>
              <w:t>Esošu institūciju reorganizācija</w:t>
            </w:r>
          </w:p>
        </w:tc>
        <w:tc>
          <w:tcPr>
            <w:tcW w:w="5031" w:type="dxa"/>
          </w:tcPr>
          <w:p w:rsidR="00E46472" w:rsidRPr="00C95518" w:rsidRDefault="00E46472" w:rsidP="00BD7CDC">
            <w:pPr>
              <w:pStyle w:val="naisnod"/>
              <w:spacing w:before="60" w:after="60"/>
              <w:ind w:left="57" w:right="57"/>
              <w:jc w:val="both"/>
              <w:rPr>
                <w:b w:val="0"/>
              </w:rPr>
            </w:pPr>
            <w:r w:rsidRPr="00C95518">
              <w:rPr>
                <w:b w:val="0"/>
                <w:sz w:val="22"/>
                <w:szCs w:val="22"/>
              </w:rPr>
              <w:t>Nav nepieciešama esošo institūciju reorganizācija, tiesību akta projekta prasības īstenos esošās pārvaldes institucionālās struktūras ietvaros.</w:t>
            </w:r>
          </w:p>
        </w:tc>
      </w:tr>
      <w:tr w:rsidR="00E46472" w:rsidRPr="00235A09" w:rsidTr="00C95518">
        <w:trPr>
          <w:trHeight w:val="279"/>
          <w:jc w:val="center"/>
        </w:trPr>
        <w:tc>
          <w:tcPr>
            <w:tcW w:w="479" w:type="dxa"/>
          </w:tcPr>
          <w:p w:rsidR="00E46472" w:rsidRPr="00DC1AF2" w:rsidRDefault="00E46472" w:rsidP="00A130F0">
            <w:pPr>
              <w:jc w:val="both"/>
              <w:rPr>
                <w:color w:val="000000"/>
              </w:rPr>
            </w:pPr>
            <w:r w:rsidRPr="00DC1AF2">
              <w:rPr>
                <w:color w:val="000000"/>
                <w:sz w:val="22"/>
                <w:szCs w:val="22"/>
              </w:rPr>
              <w:t>6.</w:t>
            </w:r>
          </w:p>
        </w:tc>
        <w:tc>
          <w:tcPr>
            <w:tcW w:w="3827" w:type="dxa"/>
          </w:tcPr>
          <w:p w:rsidR="00E46472" w:rsidRPr="00DC1AF2" w:rsidRDefault="00E46472" w:rsidP="00A130F0">
            <w:pPr>
              <w:jc w:val="both"/>
              <w:rPr>
                <w:color w:val="000000"/>
              </w:rPr>
            </w:pPr>
            <w:r w:rsidRPr="00DC1AF2">
              <w:rPr>
                <w:color w:val="000000"/>
                <w:sz w:val="22"/>
                <w:szCs w:val="22"/>
              </w:rPr>
              <w:t>Cita informācija</w:t>
            </w:r>
          </w:p>
        </w:tc>
        <w:tc>
          <w:tcPr>
            <w:tcW w:w="5031" w:type="dxa"/>
          </w:tcPr>
          <w:p w:rsidR="00E46472" w:rsidRPr="00C95518" w:rsidRDefault="00E46472" w:rsidP="00C95518">
            <w:pPr>
              <w:pStyle w:val="naisnod"/>
              <w:spacing w:before="60" w:after="60"/>
              <w:ind w:left="57" w:right="57"/>
              <w:jc w:val="both"/>
              <w:rPr>
                <w:b w:val="0"/>
              </w:rPr>
            </w:pPr>
            <w:r w:rsidRPr="00C95518">
              <w:rPr>
                <w:b w:val="0"/>
                <w:sz w:val="22"/>
                <w:szCs w:val="22"/>
              </w:rPr>
              <w:t>Nav.</w:t>
            </w:r>
          </w:p>
        </w:tc>
      </w:tr>
    </w:tbl>
    <w:p w:rsidR="00E46472" w:rsidRDefault="00E46472" w:rsidP="00D31DAD">
      <w:pPr>
        <w:jc w:val="both"/>
        <w:rPr>
          <w:sz w:val="28"/>
          <w:szCs w:val="28"/>
        </w:rPr>
      </w:pPr>
    </w:p>
    <w:p w:rsidR="00525160" w:rsidRPr="00235A09" w:rsidRDefault="00525160" w:rsidP="00D31DAD">
      <w:pPr>
        <w:jc w:val="both"/>
        <w:rPr>
          <w:sz w:val="28"/>
          <w:szCs w:val="28"/>
        </w:rPr>
      </w:pPr>
    </w:p>
    <w:p w:rsidR="00E46472" w:rsidRPr="00424390" w:rsidRDefault="00E46472" w:rsidP="009B5C31">
      <w:pPr>
        <w:jc w:val="both"/>
      </w:pPr>
      <w:r w:rsidRPr="00424390">
        <w:t xml:space="preserve">Vides aizsardzības un </w:t>
      </w:r>
    </w:p>
    <w:p w:rsidR="00E46472" w:rsidRPr="00424390" w:rsidRDefault="00E46472" w:rsidP="009B5C31">
      <w:pPr>
        <w:tabs>
          <w:tab w:val="left" w:pos="6804"/>
        </w:tabs>
        <w:jc w:val="both"/>
      </w:pPr>
      <w:r w:rsidRPr="00424390">
        <w:t>reģionālās attīstības ministrs</w:t>
      </w:r>
      <w:r w:rsidRPr="00424390">
        <w:tab/>
      </w:r>
      <w:r>
        <w:t>E</w:t>
      </w:r>
      <w:r w:rsidRPr="00424390">
        <w:t>.</w:t>
      </w:r>
      <w:r>
        <w:t>Sprūdžs</w:t>
      </w:r>
    </w:p>
    <w:p w:rsidR="00E46472" w:rsidRDefault="00E46472" w:rsidP="009B5C31">
      <w:pPr>
        <w:rPr>
          <w:sz w:val="28"/>
          <w:szCs w:val="28"/>
        </w:rPr>
      </w:pPr>
    </w:p>
    <w:p w:rsidR="00525160" w:rsidRPr="00235A09" w:rsidRDefault="00525160" w:rsidP="009B5C31">
      <w:pPr>
        <w:rPr>
          <w:sz w:val="28"/>
          <w:szCs w:val="28"/>
        </w:rPr>
      </w:pPr>
    </w:p>
    <w:p w:rsidR="00E46472" w:rsidRPr="00424390" w:rsidRDefault="00E46472" w:rsidP="009B5C31">
      <w:pPr>
        <w:tabs>
          <w:tab w:val="left" w:pos="6804"/>
        </w:tabs>
        <w:jc w:val="both"/>
      </w:pPr>
      <w:r w:rsidRPr="00424390">
        <w:t>Vīza:</w:t>
      </w:r>
    </w:p>
    <w:p w:rsidR="003C06B3" w:rsidRPr="003C06B3" w:rsidRDefault="003C06B3" w:rsidP="003C06B3">
      <w:pPr>
        <w:tabs>
          <w:tab w:val="left" w:pos="6804"/>
        </w:tabs>
        <w:jc w:val="both"/>
      </w:pPr>
      <w:r w:rsidRPr="003C06B3">
        <w:t xml:space="preserve">Valsts sekretāra </w:t>
      </w:r>
      <w:proofErr w:type="spellStart"/>
      <w:r w:rsidRPr="003C06B3">
        <w:t>p.i</w:t>
      </w:r>
      <w:proofErr w:type="spellEnd"/>
      <w:r w:rsidRPr="003C06B3">
        <w:t xml:space="preserve">. </w:t>
      </w:r>
    </w:p>
    <w:p w:rsidR="00E46472" w:rsidRPr="003C06B3" w:rsidRDefault="003C06B3" w:rsidP="003C06B3">
      <w:pPr>
        <w:pStyle w:val="BodyTextIndent"/>
        <w:spacing w:after="0"/>
        <w:ind w:left="0"/>
      </w:pPr>
      <w:r w:rsidRPr="003C06B3">
        <w:t>Administrācijas vadītājs</w:t>
      </w:r>
      <w:r w:rsidRPr="003C06B3">
        <w:tab/>
      </w:r>
      <w:r w:rsidRPr="003C06B3">
        <w:tab/>
      </w:r>
      <w:r w:rsidRPr="003C06B3">
        <w:tab/>
      </w:r>
      <w:r w:rsidRPr="003C06B3">
        <w:tab/>
      </w:r>
      <w:r w:rsidRPr="003C06B3">
        <w:tab/>
      </w:r>
      <w:r w:rsidRPr="003C06B3">
        <w:tab/>
      </w:r>
      <w:r>
        <w:t xml:space="preserve">  </w:t>
      </w:r>
      <w:r w:rsidRPr="003C06B3">
        <w:t xml:space="preserve">     A. Eglājs</w:t>
      </w:r>
    </w:p>
    <w:p w:rsidR="00525160" w:rsidRDefault="00525160" w:rsidP="008C54E4">
      <w:pPr>
        <w:pStyle w:val="BodyTextIndent"/>
        <w:spacing w:after="0"/>
        <w:ind w:left="709" w:hanging="284"/>
      </w:pPr>
    </w:p>
    <w:p w:rsidR="003C06B3" w:rsidRDefault="003C06B3" w:rsidP="008C54E4">
      <w:pPr>
        <w:pStyle w:val="BodyTextIndent"/>
        <w:spacing w:after="0"/>
        <w:ind w:left="709" w:hanging="284"/>
      </w:pPr>
    </w:p>
    <w:p w:rsidR="003C06B3" w:rsidRDefault="003C06B3" w:rsidP="008C54E4">
      <w:pPr>
        <w:pStyle w:val="BodyTextIndent"/>
        <w:spacing w:after="0"/>
        <w:ind w:left="709" w:hanging="284"/>
      </w:pPr>
    </w:p>
    <w:p w:rsidR="003C06B3" w:rsidRDefault="003C06B3" w:rsidP="008C54E4">
      <w:pPr>
        <w:pStyle w:val="BodyTextIndent"/>
        <w:spacing w:after="0"/>
        <w:ind w:left="709" w:hanging="284"/>
      </w:pPr>
    </w:p>
    <w:p w:rsidR="003C06B3" w:rsidRPr="00424390" w:rsidRDefault="003C06B3" w:rsidP="008C54E4">
      <w:pPr>
        <w:pStyle w:val="BodyTextIndent"/>
        <w:spacing w:after="0"/>
        <w:ind w:left="709" w:hanging="284"/>
      </w:pPr>
    </w:p>
    <w:p w:rsidR="00E46472" w:rsidRPr="00E35135" w:rsidRDefault="00850ED4" w:rsidP="009B5C31">
      <w:pPr>
        <w:rPr>
          <w:sz w:val="20"/>
          <w:szCs w:val="20"/>
        </w:rPr>
      </w:pPr>
      <w:r w:rsidRPr="00E35135">
        <w:rPr>
          <w:sz w:val="20"/>
          <w:szCs w:val="20"/>
        </w:rPr>
        <w:fldChar w:fldCharType="begin"/>
      </w:r>
      <w:r w:rsidR="00E46472" w:rsidRPr="00E35135">
        <w:rPr>
          <w:sz w:val="20"/>
          <w:szCs w:val="20"/>
        </w:rPr>
        <w:instrText xml:space="preserve"> SAVEDATE  \@ "dd.MM.yyyy. H:mm"  \* MERGEFORMAT </w:instrText>
      </w:r>
      <w:r w:rsidRPr="00E35135">
        <w:rPr>
          <w:sz w:val="20"/>
          <w:szCs w:val="20"/>
        </w:rPr>
        <w:fldChar w:fldCharType="separate"/>
      </w:r>
      <w:r w:rsidR="002B63ED">
        <w:rPr>
          <w:noProof/>
          <w:sz w:val="20"/>
          <w:szCs w:val="20"/>
        </w:rPr>
        <w:t>30.08.2012. 11:40</w:t>
      </w:r>
      <w:r w:rsidRPr="00E35135">
        <w:rPr>
          <w:sz w:val="20"/>
          <w:szCs w:val="20"/>
        </w:rPr>
        <w:fldChar w:fldCharType="end"/>
      </w:r>
    </w:p>
    <w:p w:rsidR="00E46472" w:rsidRPr="00E35135" w:rsidRDefault="00850ED4" w:rsidP="009B5C31">
      <w:pPr>
        <w:rPr>
          <w:sz w:val="20"/>
          <w:szCs w:val="20"/>
        </w:rPr>
      </w:pPr>
      <w:fldSimple w:instr=" NUMWORDS   \* MERGEFORMAT ">
        <w:r w:rsidR="002B63ED" w:rsidRPr="002B63ED">
          <w:rPr>
            <w:noProof/>
            <w:sz w:val="20"/>
            <w:szCs w:val="20"/>
          </w:rPr>
          <w:t>1068</w:t>
        </w:r>
      </w:fldSimple>
    </w:p>
    <w:p w:rsidR="00E46472" w:rsidRPr="00E35135" w:rsidRDefault="00E46472" w:rsidP="009B5C31">
      <w:pPr>
        <w:pStyle w:val="BodyTextIndent"/>
        <w:tabs>
          <w:tab w:val="left" w:pos="6195"/>
        </w:tabs>
        <w:spacing w:after="0"/>
        <w:ind w:left="0"/>
        <w:rPr>
          <w:sz w:val="20"/>
          <w:szCs w:val="20"/>
        </w:rPr>
      </w:pPr>
      <w:r w:rsidRPr="00E35135">
        <w:rPr>
          <w:sz w:val="20"/>
          <w:szCs w:val="20"/>
        </w:rPr>
        <w:t xml:space="preserve">Ilze Prūse, 67026538, </w:t>
      </w:r>
    </w:p>
    <w:p w:rsidR="00E46472" w:rsidRDefault="00850ED4" w:rsidP="009B5C31">
      <w:pPr>
        <w:pStyle w:val="BodyTextIndent"/>
        <w:tabs>
          <w:tab w:val="left" w:pos="6195"/>
        </w:tabs>
        <w:spacing w:after="0"/>
        <w:ind w:left="0"/>
      </w:pPr>
      <w:hyperlink r:id="rId7" w:history="1">
        <w:r w:rsidR="00E46472" w:rsidRPr="00E35135">
          <w:rPr>
            <w:rStyle w:val="Hyperlink"/>
            <w:color w:val="auto"/>
            <w:sz w:val="20"/>
            <w:szCs w:val="20"/>
            <w:u w:val="none"/>
          </w:rPr>
          <w:t>ilze.pruse@varam.gov.lv</w:t>
        </w:r>
      </w:hyperlink>
      <w:bookmarkStart w:id="4" w:name="_GoBack"/>
      <w:bookmarkEnd w:id="4"/>
    </w:p>
    <w:sectPr w:rsidR="00E46472" w:rsidSect="00FA482D">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DD" w:rsidRDefault="00385EDD">
      <w:r>
        <w:separator/>
      </w:r>
    </w:p>
  </w:endnote>
  <w:endnote w:type="continuationSeparator" w:id="0">
    <w:p w:rsidR="00385EDD" w:rsidRDefault="00385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3"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D" w:rsidRPr="00815A35" w:rsidRDefault="00850ED4" w:rsidP="008A6173">
    <w:pPr>
      <w:jc w:val="both"/>
      <w:rPr>
        <w:noProof/>
        <w:sz w:val="20"/>
        <w:szCs w:val="20"/>
      </w:rPr>
    </w:pPr>
    <w:r w:rsidRPr="00815A35">
      <w:rPr>
        <w:sz w:val="20"/>
        <w:szCs w:val="20"/>
      </w:rPr>
      <w:fldChar w:fldCharType="begin"/>
    </w:r>
    <w:r w:rsidR="00385EDD" w:rsidRPr="00815A35">
      <w:rPr>
        <w:sz w:val="20"/>
        <w:szCs w:val="20"/>
      </w:rPr>
      <w:instrText xml:space="preserve"> FILENAME </w:instrText>
    </w:r>
    <w:r w:rsidRPr="00815A35">
      <w:rPr>
        <w:sz w:val="20"/>
        <w:szCs w:val="20"/>
      </w:rPr>
      <w:fldChar w:fldCharType="separate"/>
    </w:r>
    <w:r w:rsidR="009877CD">
      <w:rPr>
        <w:noProof/>
        <w:sz w:val="20"/>
        <w:szCs w:val="20"/>
      </w:rPr>
      <w:t>VARAMAnot_300812_IzsolKart_VSS-175</w:t>
    </w:r>
    <w:r w:rsidRPr="00815A35">
      <w:rPr>
        <w:sz w:val="20"/>
        <w:szCs w:val="20"/>
      </w:rPr>
      <w:fldChar w:fldCharType="end"/>
    </w:r>
    <w:r w:rsidR="00385EDD" w:rsidRPr="00815A35">
      <w:rPr>
        <w:noProof/>
        <w:sz w:val="20"/>
        <w:szCs w:val="20"/>
      </w:rPr>
      <w:t>; Ministru kabineta noteikumu projekts „Kārtība, kādā Latvija nodrošina Latvijai piešķirto emisijas kvotu izsolīšanu”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D" w:rsidRPr="00815A35" w:rsidRDefault="00850ED4" w:rsidP="008A6173">
    <w:pPr>
      <w:jc w:val="both"/>
      <w:rPr>
        <w:noProof/>
        <w:sz w:val="20"/>
        <w:szCs w:val="20"/>
      </w:rPr>
    </w:pPr>
    <w:r w:rsidRPr="00815A35">
      <w:rPr>
        <w:sz w:val="20"/>
        <w:szCs w:val="20"/>
      </w:rPr>
      <w:fldChar w:fldCharType="begin"/>
    </w:r>
    <w:r w:rsidR="00385EDD" w:rsidRPr="00815A35">
      <w:rPr>
        <w:sz w:val="20"/>
        <w:szCs w:val="20"/>
      </w:rPr>
      <w:instrText xml:space="preserve"> FILENAME </w:instrText>
    </w:r>
    <w:r w:rsidRPr="00815A35">
      <w:rPr>
        <w:sz w:val="20"/>
        <w:szCs w:val="20"/>
      </w:rPr>
      <w:fldChar w:fldCharType="separate"/>
    </w:r>
    <w:r w:rsidR="009877CD">
      <w:rPr>
        <w:noProof/>
        <w:sz w:val="20"/>
        <w:szCs w:val="20"/>
      </w:rPr>
      <w:t>VARAMAnot_300812_IzsolKart_VSS-175</w:t>
    </w:r>
    <w:r w:rsidRPr="00815A35">
      <w:rPr>
        <w:sz w:val="20"/>
        <w:szCs w:val="20"/>
      </w:rPr>
      <w:fldChar w:fldCharType="end"/>
    </w:r>
    <w:r w:rsidR="00385EDD" w:rsidRPr="00815A35">
      <w:rPr>
        <w:noProof/>
        <w:sz w:val="20"/>
        <w:szCs w:val="20"/>
      </w:rPr>
      <w:t>; Ministru kabineta noteikumu projekts „Kārtība, kādā Latvija nodrošina Latvijai piešķirto emisijas kvotu izsolīšanu”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DD" w:rsidRDefault="00385EDD">
      <w:r>
        <w:separator/>
      </w:r>
    </w:p>
  </w:footnote>
  <w:footnote w:type="continuationSeparator" w:id="0">
    <w:p w:rsidR="00385EDD" w:rsidRDefault="00385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D" w:rsidRDefault="00850ED4" w:rsidP="00FA482D">
    <w:pPr>
      <w:pStyle w:val="Header"/>
      <w:framePr w:wrap="around" w:vAnchor="text" w:hAnchor="margin" w:xAlign="center" w:y="1"/>
      <w:rPr>
        <w:rStyle w:val="PageNumber"/>
      </w:rPr>
    </w:pPr>
    <w:r>
      <w:rPr>
        <w:rStyle w:val="PageNumber"/>
      </w:rPr>
      <w:fldChar w:fldCharType="begin"/>
    </w:r>
    <w:r w:rsidR="00385EDD">
      <w:rPr>
        <w:rStyle w:val="PageNumber"/>
      </w:rPr>
      <w:instrText xml:space="preserve">PAGE  </w:instrText>
    </w:r>
    <w:r>
      <w:rPr>
        <w:rStyle w:val="PageNumber"/>
      </w:rPr>
      <w:fldChar w:fldCharType="end"/>
    </w:r>
  </w:p>
  <w:p w:rsidR="00385EDD" w:rsidRDefault="00385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D" w:rsidRPr="002A3A23" w:rsidRDefault="00850ED4" w:rsidP="00FA482D">
    <w:pPr>
      <w:pStyle w:val="Header"/>
      <w:framePr w:wrap="around" w:vAnchor="text" w:hAnchor="page" w:x="6205" w:y="72"/>
      <w:rPr>
        <w:rStyle w:val="PageNumber"/>
      </w:rPr>
    </w:pPr>
    <w:r w:rsidRPr="002A3A23">
      <w:rPr>
        <w:rStyle w:val="PageNumber"/>
      </w:rPr>
      <w:fldChar w:fldCharType="begin"/>
    </w:r>
    <w:r w:rsidR="00385EDD" w:rsidRPr="002A3A23">
      <w:rPr>
        <w:rStyle w:val="PageNumber"/>
      </w:rPr>
      <w:instrText xml:space="preserve">PAGE  </w:instrText>
    </w:r>
    <w:r w:rsidRPr="002A3A23">
      <w:rPr>
        <w:rStyle w:val="PageNumber"/>
      </w:rPr>
      <w:fldChar w:fldCharType="separate"/>
    </w:r>
    <w:r w:rsidR="002B63ED">
      <w:rPr>
        <w:rStyle w:val="PageNumber"/>
        <w:noProof/>
      </w:rPr>
      <w:t>2</w:t>
    </w:r>
    <w:r w:rsidRPr="002A3A23">
      <w:rPr>
        <w:rStyle w:val="PageNumber"/>
      </w:rPr>
      <w:fldChar w:fldCharType="end"/>
    </w:r>
  </w:p>
  <w:p w:rsidR="00385EDD" w:rsidRDefault="00385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AF7"/>
    <w:multiLevelType w:val="hybridMultilevel"/>
    <w:tmpl w:val="E176084E"/>
    <w:lvl w:ilvl="0" w:tplc="A0A44A9E">
      <w:start w:val="3"/>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8E32AD6"/>
    <w:multiLevelType w:val="hybridMultilevel"/>
    <w:tmpl w:val="4848547C"/>
    <w:lvl w:ilvl="0" w:tplc="9DFA2D04">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2">
    <w:nsid w:val="0DF21EB5"/>
    <w:multiLevelType w:val="hybridMultilevel"/>
    <w:tmpl w:val="5D867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404EA8"/>
    <w:multiLevelType w:val="hybridMultilevel"/>
    <w:tmpl w:val="CE5C4690"/>
    <w:lvl w:ilvl="0" w:tplc="71D0A306">
      <w:start w:val="2"/>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4">
    <w:nsid w:val="252A70C7"/>
    <w:multiLevelType w:val="hybridMultilevel"/>
    <w:tmpl w:val="3BC42762"/>
    <w:lvl w:ilvl="0" w:tplc="29B8D0E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30B37C44"/>
    <w:multiLevelType w:val="hybridMultilevel"/>
    <w:tmpl w:val="98546BEE"/>
    <w:lvl w:ilvl="0" w:tplc="7048D9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13749A6"/>
    <w:multiLevelType w:val="hybridMultilevel"/>
    <w:tmpl w:val="4C56D4E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
    <w:nsid w:val="32DC5B46"/>
    <w:multiLevelType w:val="hybridMultilevel"/>
    <w:tmpl w:val="79F674F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33A77C0"/>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A767C55"/>
    <w:multiLevelType w:val="hybridMultilevel"/>
    <w:tmpl w:val="F8C65384"/>
    <w:lvl w:ilvl="0" w:tplc="471A1080">
      <w:start w:val="1"/>
      <w:numFmt w:val="decimal"/>
      <w:lvlText w:val="%1)"/>
      <w:lvlJc w:val="left"/>
      <w:pPr>
        <w:tabs>
          <w:tab w:val="num" w:pos="1860"/>
        </w:tabs>
        <w:ind w:left="1860" w:hanging="114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nsid w:val="4A695D2D"/>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BEB0D39"/>
    <w:multiLevelType w:val="hybridMultilevel"/>
    <w:tmpl w:val="C6A2D26E"/>
    <w:lvl w:ilvl="0" w:tplc="111CC2E8">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nsid w:val="5C766BD9"/>
    <w:multiLevelType w:val="hybridMultilevel"/>
    <w:tmpl w:val="6A64E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92868C7"/>
    <w:multiLevelType w:val="hybridMultilevel"/>
    <w:tmpl w:val="6F125FE6"/>
    <w:lvl w:ilvl="0" w:tplc="C758017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7154016D"/>
    <w:multiLevelType w:val="hybridMultilevel"/>
    <w:tmpl w:val="3914480C"/>
    <w:lvl w:ilvl="0" w:tplc="FE98B4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4C745E"/>
    <w:multiLevelType w:val="hybridMultilevel"/>
    <w:tmpl w:val="F1B67E3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9"/>
  </w:num>
  <w:num w:numId="5">
    <w:abstractNumId w:val="15"/>
  </w:num>
  <w:num w:numId="6">
    <w:abstractNumId w:val="13"/>
  </w:num>
  <w:num w:numId="7">
    <w:abstractNumId w:val="5"/>
  </w:num>
  <w:num w:numId="8">
    <w:abstractNumId w:val="11"/>
  </w:num>
  <w:num w:numId="9">
    <w:abstractNumId w:val="10"/>
  </w:num>
  <w:num w:numId="10">
    <w:abstractNumId w:val="8"/>
  </w:num>
  <w:num w:numId="11">
    <w:abstractNumId w:val="1"/>
  </w:num>
  <w:num w:numId="12">
    <w:abstractNumId w:val="12"/>
  </w:num>
  <w:num w:numId="13">
    <w:abstractNumId w:val="7"/>
  </w:num>
  <w:num w:numId="14">
    <w:abstractNumId w:val="6"/>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113D6"/>
    <w:rsid w:val="00000198"/>
    <w:rsid w:val="00003DA0"/>
    <w:rsid w:val="000056AF"/>
    <w:rsid w:val="00006DBD"/>
    <w:rsid w:val="00007572"/>
    <w:rsid w:val="00012AFB"/>
    <w:rsid w:val="000130F3"/>
    <w:rsid w:val="00013118"/>
    <w:rsid w:val="00015404"/>
    <w:rsid w:val="00015655"/>
    <w:rsid w:val="00016E50"/>
    <w:rsid w:val="000222B5"/>
    <w:rsid w:val="000249A7"/>
    <w:rsid w:val="00027FB1"/>
    <w:rsid w:val="000307A2"/>
    <w:rsid w:val="000325C8"/>
    <w:rsid w:val="00032CBE"/>
    <w:rsid w:val="000336B0"/>
    <w:rsid w:val="00033DBA"/>
    <w:rsid w:val="00034A36"/>
    <w:rsid w:val="00037F03"/>
    <w:rsid w:val="00047717"/>
    <w:rsid w:val="000508C1"/>
    <w:rsid w:val="00052C49"/>
    <w:rsid w:val="00054BC6"/>
    <w:rsid w:val="000578D5"/>
    <w:rsid w:val="00057EF7"/>
    <w:rsid w:val="00063731"/>
    <w:rsid w:val="00064E24"/>
    <w:rsid w:val="00064E32"/>
    <w:rsid w:val="00065702"/>
    <w:rsid w:val="000659EE"/>
    <w:rsid w:val="00065B44"/>
    <w:rsid w:val="00065BDC"/>
    <w:rsid w:val="00073985"/>
    <w:rsid w:val="00075A41"/>
    <w:rsid w:val="000767AF"/>
    <w:rsid w:val="00076EDA"/>
    <w:rsid w:val="000848F9"/>
    <w:rsid w:val="00084C0E"/>
    <w:rsid w:val="00086C33"/>
    <w:rsid w:val="000875F6"/>
    <w:rsid w:val="00087E84"/>
    <w:rsid w:val="000927BD"/>
    <w:rsid w:val="00094AD6"/>
    <w:rsid w:val="00094EA2"/>
    <w:rsid w:val="00094F66"/>
    <w:rsid w:val="000A053F"/>
    <w:rsid w:val="000A60CD"/>
    <w:rsid w:val="000B0BB8"/>
    <w:rsid w:val="000B1E86"/>
    <w:rsid w:val="000B554B"/>
    <w:rsid w:val="000B6A9B"/>
    <w:rsid w:val="000B7350"/>
    <w:rsid w:val="000C0C13"/>
    <w:rsid w:val="000C3DE0"/>
    <w:rsid w:val="000C4A64"/>
    <w:rsid w:val="000C51C3"/>
    <w:rsid w:val="000C5BB7"/>
    <w:rsid w:val="000C654B"/>
    <w:rsid w:val="000C7956"/>
    <w:rsid w:val="000D239E"/>
    <w:rsid w:val="000D6F71"/>
    <w:rsid w:val="000D7A7B"/>
    <w:rsid w:val="000E7707"/>
    <w:rsid w:val="000F4551"/>
    <w:rsid w:val="000F7568"/>
    <w:rsid w:val="000F7665"/>
    <w:rsid w:val="001025B3"/>
    <w:rsid w:val="001026E7"/>
    <w:rsid w:val="001027ED"/>
    <w:rsid w:val="00102CD8"/>
    <w:rsid w:val="001067AA"/>
    <w:rsid w:val="00110221"/>
    <w:rsid w:val="00110B96"/>
    <w:rsid w:val="001134E3"/>
    <w:rsid w:val="001135A8"/>
    <w:rsid w:val="001144FF"/>
    <w:rsid w:val="00123FEE"/>
    <w:rsid w:val="0012422D"/>
    <w:rsid w:val="0012482F"/>
    <w:rsid w:val="001267AE"/>
    <w:rsid w:val="0012689A"/>
    <w:rsid w:val="001277E2"/>
    <w:rsid w:val="00130E3B"/>
    <w:rsid w:val="001316CD"/>
    <w:rsid w:val="00134D06"/>
    <w:rsid w:val="00137C80"/>
    <w:rsid w:val="00145F66"/>
    <w:rsid w:val="0015182D"/>
    <w:rsid w:val="0016163E"/>
    <w:rsid w:val="00162032"/>
    <w:rsid w:val="0016232A"/>
    <w:rsid w:val="00165107"/>
    <w:rsid w:val="001711A1"/>
    <w:rsid w:val="00172CB5"/>
    <w:rsid w:val="001808F7"/>
    <w:rsid w:val="00181311"/>
    <w:rsid w:val="0019702C"/>
    <w:rsid w:val="001970C7"/>
    <w:rsid w:val="001A436F"/>
    <w:rsid w:val="001A6F92"/>
    <w:rsid w:val="001B2B7D"/>
    <w:rsid w:val="001B4D78"/>
    <w:rsid w:val="001C3544"/>
    <w:rsid w:val="001C3FD8"/>
    <w:rsid w:val="001C71F2"/>
    <w:rsid w:val="001D1779"/>
    <w:rsid w:val="001D35A6"/>
    <w:rsid w:val="001D4171"/>
    <w:rsid w:val="001D4C3D"/>
    <w:rsid w:val="001E0411"/>
    <w:rsid w:val="001E0FA4"/>
    <w:rsid w:val="001E257E"/>
    <w:rsid w:val="001E2C86"/>
    <w:rsid w:val="001E5ACF"/>
    <w:rsid w:val="001E5FE5"/>
    <w:rsid w:val="001F0919"/>
    <w:rsid w:val="001F2EDA"/>
    <w:rsid w:val="00201DBB"/>
    <w:rsid w:val="002025DE"/>
    <w:rsid w:val="00210621"/>
    <w:rsid w:val="00210E69"/>
    <w:rsid w:val="00214075"/>
    <w:rsid w:val="00215E3C"/>
    <w:rsid w:val="00216016"/>
    <w:rsid w:val="0021647E"/>
    <w:rsid w:val="00222753"/>
    <w:rsid w:val="002235F4"/>
    <w:rsid w:val="0022457D"/>
    <w:rsid w:val="00226206"/>
    <w:rsid w:val="002266B0"/>
    <w:rsid w:val="00227E75"/>
    <w:rsid w:val="00233118"/>
    <w:rsid w:val="0023518F"/>
    <w:rsid w:val="00235705"/>
    <w:rsid w:val="00235A09"/>
    <w:rsid w:val="00236A1D"/>
    <w:rsid w:val="00237BDB"/>
    <w:rsid w:val="00240496"/>
    <w:rsid w:val="00241FA3"/>
    <w:rsid w:val="002423A9"/>
    <w:rsid w:val="00245195"/>
    <w:rsid w:val="00245FBC"/>
    <w:rsid w:val="00254395"/>
    <w:rsid w:val="00256B34"/>
    <w:rsid w:val="002574B9"/>
    <w:rsid w:val="00261AA0"/>
    <w:rsid w:val="002621FA"/>
    <w:rsid w:val="002629AA"/>
    <w:rsid w:val="00262C44"/>
    <w:rsid w:val="00263CA9"/>
    <w:rsid w:val="002669AA"/>
    <w:rsid w:val="00267E2A"/>
    <w:rsid w:val="00271599"/>
    <w:rsid w:val="00272629"/>
    <w:rsid w:val="0027601B"/>
    <w:rsid w:val="002773BC"/>
    <w:rsid w:val="00277515"/>
    <w:rsid w:val="00280F18"/>
    <w:rsid w:val="002818F4"/>
    <w:rsid w:val="00283F92"/>
    <w:rsid w:val="002866EC"/>
    <w:rsid w:val="00287621"/>
    <w:rsid w:val="00292224"/>
    <w:rsid w:val="002942E5"/>
    <w:rsid w:val="00295703"/>
    <w:rsid w:val="00295B3C"/>
    <w:rsid w:val="00296EAA"/>
    <w:rsid w:val="002A3A23"/>
    <w:rsid w:val="002A5752"/>
    <w:rsid w:val="002B4639"/>
    <w:rsid w:val="002B63ED"/>
    <w:rsid w:val="002B67BB"/>
    <w:rsid w:val="002B7A46"/>
    <w:rsid w:val="002B7D41"/>
    <w:rsid w:val="002C0675"/>
    <w:rsid w:val="002D086D"/>
    <w:rsid w:val="002D1880"/>
    <w:rsid w:val="002D7067"/>
    <w:rsid w:val="002E0102"/>
    <w:rsid w:val="002E0F62"/>
    <w:rsid w:val="002E366D"/>
    <w:rsid w:val="002E5F42"/>
    <w:rsid w:val="002F1B79"/>
    <w:rsid w:val="002F337B"/>
    <w:rsid w:val="002F3EBC"/>
    <w:rsid w:val="002F5A49"/>
    <w:rsid w:val="002F689B"/>
    <w:rsid w:val="002F7C24"/>
    <w:rsid w:val="003021FB"/>
    <w:rsid w:val="003036D7"/>
    <w:rsid w:val="00305579"/>
    <w:rsid w:val="00311EF5"/>
    <w:rsid w:val="00312423"/>
    <w:rsid w:val="00317F68"/>
    <w:rsid w:val="00320D18"/>
    <w:rsid w:val="0032138B"/>
    <w:rsid w:val="0032486A"/>
    <w:rsid w:val="00327066"/>
    <w:rsid w:val="0033004B"/>
    <w:rsid w:val="00331220"/>
    <w:rsid w:val="00332B00"/>
    <w:rsid w:val="00333164"/>
    <w:rsid w:val="00334DB5"/>
    <w:rsid w:val="00337BBC"/>
    <w:rsid w:val="00337D8F"/>
    <w:rsid w:val="003429A4"/>
    <w:rsid w:val="003533FC"/>
    <w:rsid w:val="00353A88"/>
    <w:rsid w:val="003563F0"/>
    <w:rsid w:val="00361BD2"/>
    <w:rsid w:val="003626B9"/>
    <w:rsid w:val="003633FB"/>
    <w:rsid w:val="0036352A"/>
    <w:rsid w:val="0037331F"/>
    <w:rsid w:val="00373C6E"/>
    <w:rsid w:val="003748F6"/>
    <w:rsid w:val="00375425"/>
    <w:rsid w:val="00375F82"/>
    <w:rsid w:val="003762CC"/>
    <w:rsid w:val="00383F2A"/>
    <w:rsid w:val="00384077"/>
    <w:rsid w:val="00384641"/>
    <w:rsid w:val="00385410"/>
    <w:rsid w:val="00385EDD"/>
    <w:rsid w:val="003874E6"/>
    <w:rsid w:val="00390B95"/>
    <w:rsid w:val="00391C6B"/>
    <w:rsid w:val="003957E0"/>
    <w:rsid w:val="00397D42"/>
    <w:rsid w:val="003A211E"/>
    <w:rsid w:val="003A33FC"/>
    <w:rsid w:val="003A3BC5"/>
    <w:rsid w:val="003A6DBA"/>
    <w:rsid w:val="003B3FDB"/>
    <w:rsid w:val="003B414A"/>
    <w:rsid w:val="003B66F9"/>
    <w:rsid w:val="003C06B3"/>
    <w:rsid w:val="003C1B12"/>
    <w:rsid w:val="003C37B2"/>
    <w:rsid w:val="003C4570"/>
    <w:rsid w:val="003C489A"/>
    <w:rsid w:val="003C575A"/>
    <w:rsid w:val="003C7298"/>
    <w:rsid w:val="003D3439"/>
    <w:rsid w:val="003D7675"/>
    <w:rsid w:val="003E1AB6"/>
    <w:rsid w:val="003E62ED"/>
    <w:rsid w:val="003E7B9E"/>
    <w:rsid w:val="003F4B33"/>
    <w:rsid w:val="003F4EFD"/>
    <w:rsid w:val="0040089B"/>
    <w:rsid w:val="00402337"/>
    <w:rsid w:val="00403E10"/>
    <w:rsid w:val="00406B2B"/>
    <w:rsid w:val="00410547"/>
    <w:rsid w:val="00411E8B"/>
    <w:rsid w:val="004167A5"/>
    <w:rsid w:val="00423BD3"/>
    <w:rsid w:val="00424390"/>
    <w:rsid w:val="00424DDC"/>
    <w:rsid w:val="0042548E"/>
    <w:rsid w:val="004254D5"/>
    <w:rsid w:val="00427A2A"/>
    <w:rsid w:val="00427FCA"/>
    <w:rsid w:val="00431C32"/>
    <w:rsid w:val="004326BE"/>
    <w:rsid w:val="0043380B"/>
    <w:rsid w:val="0043538E"/>
    <w:rsid w:val="00436493"/>
    <w:rsid w:val="00436A42"/>
    <w:rsid w:val="00436B1E"/>
    <w:rsid w:val="00440EF2"/>
    <w:rsid w:val="00441D37"/>
    <w:rsid w:val="0044415A"/>
    <w:rsid w:val="004474C9"/>
    <w:rsid w:val="00453240"/>
    <w:rsid w:val="00453AD6"/>
    <w:rsid w:val="00465208"/>
    <w:rsid w:val="0046537A"/>
    <w:rsid w:val="00465EE8"/>
    <w:rsid w:val="00472FCA"/>
    <w:rsid w:val="00475B5B"/>
    <w:rsid w:val="00480CD8"/>
    <w:rsid w:val="00480EE0"/>
    <w:rsid w:val="004819F5"/>
    <w:rsid w:val="0048360F"/>
    <w:rsid w:val="00484BFC"/>
    <w:rsid w:val="00491C78"/>
    <w:rsid w:val="004927B7"/>
    <w:rsid w:val="00493547"/>
    <w:rsid w:val="00494EF5"/>
    <w:rsid w:val="004977A3"/>
    <w:rsid w:val="0049792E"/>
    <w:rsid w:val="004A111F"/>
    <w:rsid w:val="004A139F"/>
    <w:rsid w:val="004A3753"/>
    <w:rsid w:val="004A4A21"/>
    <w:rsid w:val="004A59C5"/>
    <w:rsid w:val="004A77F8"/>
    <w:rsid w:val="004B05F2"/>
    <w:rsid w:val="004B2241"/>
    <w:rsid w:val="004B43A5"/>
    <w:rsid w:val="004B4464"/>
    <w:rsid w:val="004B50D3"/>
    <w:rsid w:val="004C1645"/>
    <w:rsid w:val="004C16F0"/>
    <w:rsid w:val="004C2AD8"/>
    <w:rsid w:val="004C417D"/>
    <w:rsid w:val="004D0DA0"/>
    <w:rsid w:val="004D1BDF"/>
    <w:rsid w:val="004D2101"/>
    <w:rsid w:val="004D21E1"/>
    <w:rsid w:val="004D2C93"/>
    <w:rsid w:val="004D5B04"/>
    <w:rsid w:val="004D608E"/>
    <w:rsid w:val="004E1E80"/>
    <w:rsid w:val="004E33F0"/>
    <w:rsid w:val="004E558A"/>
    <w:rsid w:val="004E677D"/>
    <w:rsid w:val="004E76F4"/>
    <w:rsid w:val="004F3D35"/>
    <w:rsid w:val="004F483C"/>
    <w:rsid w:val="004F577C"/>
    <w:rsid w:val="00500EEB"/>
    <w:rsid w:val="005062B6"/>
    <w:rsid w:val="00516678"/>
    <w:rsid w:val="005179FC"/>
    <w:rsid w:val="00525160"/>
    <w:rsid w:val="00526B1A"/>
    <w:rsid w:val="005273F2"/>
    <w:rsid w:val="00531CBC"/>
    <w:rsid w:val="005331B0"/>
    <w:rsid w:val="005345E5"/>
    <w:rsid w:val="00535FC1"/>
    <w:rsid w:val="0053796B"/>
    <w:rsid w:val="005553E5"/>
    <w:rsid w:val="0055555D"/>
    <w:rsid w:val="005569F7"/>
    <w:rsid w:val="00557473"/>
    <w:rsid w:val="0056197D"/>
    <w:rsid w:val="00562767"/>
    <w:rsid w:val="005642FA"/>
    <w:rsid w:val="005665C0"/>
    <w:rsid w:val="00566F7E"/>
    <w:rsid w:val="0056765E"/>
    <w:rsid w:val="00570AC6"/>
    <w:rsid w:val="00571616"/>
    <w:rsid w:val="00573A8B"/>
    <w:rsid w:val="0057500B"/>
    <w:rsid w:val="0057542C"/>
    <w:rsid w:val="00576E5B"/>
    <w:rsid w:val="0057728A"/>
    <w:rsid w:val="005849BB"/>
    <w:rsid w:val="0058649A"/>
    <w:rsid w:val="005903D6"/>
    <w:rsid w:val="00593A35"/>
    <w:rsid w:val="005962E5"/>
    <w:rsid w:val="00596558"/>
    <w:rsid w:val="005967F5"/>
    <w:rsid w:val="00596ED9"/>
    <w:rsid w:val="005A2826"/>
    <w:rsid w:val="005A3B7F"/>
    <w:rsid w:val="005A3EFD"/>
    <w:rsid w:val="005A47D4"/>
    <w:rsid w:val="005A4F0E"/>
    <w:rsid w:val="005A51B2"/>
    <w:rsid w:val="005A620A"/>
    <w:rsid w:val="005B049D"/>
    <w:rsid w:val="005B26DC"/>
    <w:rsid w:val="005B3929"/>
    <w:rsid w:val="005C163F"/>
    <w:rsid w:val="005C21B2"/>
    <w:rsid w:val="005C2E3F"/>
    <w:rsid w:val="005C4DAA"/>
    <w:rsid w:val="005C4F55"/>
    <w:rsid w:val="005C69CC"/>
    <w:rsid w:val="005D112E"/>
    <w:rsid w:val="005D4022"/>
    <w:rsid w:val="005D6A2F"/>
    <w:rsid w:val="005D6D8B"/>
    <w:rsid w:val="005D7D25"/>
    <w:rsid w:val="005E0F7D"/>
    <w:rsid w:val="005E12BE"/>
    <w:rsid w:val="005E3138"/>
    <w:rsid w:val="005E5B6B"/>
    <w:rsid w:val="005E5D5B"/>
    <w:rsid w:val="005E67D6"/>
    <w:rsid w:val="005E6DCD"/>
    <w:rsid w:val="005F3103"/>
    <w:rsid w:val="005F6367"/>
    <w:rsid w:val="005F7E00"/>
    <w:rsid w:val="0060388B"/>
    <w:rsid w:val="00604C1A"/>
    <w:rsid w:val="00605CA9"/>
    <w:rsid w:val="00610C6D"/>
    <w:rsid w:val="0062021E"/>
    <w:rsid w:val="0062262C"/>
    <w:rsid w:val="00623B5C"/>
    <w:rsid w:val="00627B86"/>
    <w:rsid w:val="006304B4"/>
    <w:rsid w:val="00632AB1"/>
    <w:rsid w:val="006334C0"/>
    <w:rsid w:val="00633697"/>
    <w:rsid w:val="00637D69"/>
    <w:rsid w:val="006429EB"/>
    <w:rsid w:val="00644926"/>
    <w:rsid w:val="00646B6A"/>
    <w:rsid w:val="0065136B"/>
    <w:rsid w:val="00651AB7"/>
    <w:rsid w:val="00653EA3"/>
    <w:rsid w:val="00654357"/>
    <w:rsid w:val="00661E8F"/>
    <w:rsid w:val="00665DAE"/>
    <w:rsid w:val="006661CA"/>
    <w:rsid w:val="00667A0A"/>
    <w:rsid w:val="00667FA0"/>
    <w:rsid w:val="00671F62"/>
    <w:rsid w:val="006739F4"/>
    <w:rsid w:val="00674059"/>
    <w:rsid w:val="00674212"/>
    <w:rsid w:val="00676964"/>
    <w:rsid w:val="00676B14"/>
    <w:rsid w:val="00677396"/>
    <w:rsid w:val="00683C06"/>
    <w:rsid w:val="00684A4C"/>
    <w:rsid w:val="00685793"/>
    <w:rsid w:val="00693FBA"/>
    <w:rsid w:val="00696464"/>
    <w:rsid w:val="00696D54"/>
    <w:rsid w:val="006A080B"/>
    <w:rsid w:val="006A2483"/>
    <w:rsid w:val="006A488B"/>
    <w:rsid w:val="006A6866"/>
    <w:rsid w:val="006A7667"/>
    <w:rsid w:val="006A7ED0"/>
    <w:rsid w:val="006B2D80"/>
    <w:rsid w:val="006B6021"/>
    <w:rsid w:val="006B6A24"/>
    <w:rsid w:val="006B6FA5"/>
    <w:rsid w:val="006C0A75"/>
    <w:rsid w:val="006C0B07"/>
    <w:rsid w:val="006C5FC8"/>
    <w:rsid w:val="006E2CEA"/>
    <w:rsid w:val="006E7105"/>
    <w:rsid w:val="006F418B"/>
    <w:rsid w:val="006F69CE"/>
    <w:rsid w:val="00702AA6"/>
    <w:rsid w:val="00706879"/>
    <w:rsid w:val="00707478"/>
    <w:rsid w:val="00711670"/>
    <w:rsid w:val="0071493D"/>
    <w:rsid w:val="00716E9D"/>
    <w:rsid w:val="0071781B"/>
    <w:rsid w:val="00721066"/>
    <w:rsid w:val="007217E4"/>
    <w:rsid w:val="00721A54"/>
    <w:rsid w:val="00721AE3"/>
    <w:rsid w:val="00721D73"/>
    <w:rsid w:val="00726263"/>
    <w:rsid w:val="0072706E"/>
    <w:rsid w:val="00733135"/>
    <w:rsid w:val="00736491"/>
    <w:rsid w:val="0073687E"/>
    <w:rsid w:val="007421A0"/>
    <w:rsid w:val="007428A3"/>
    <w:rsid w:val="007432F7"/>
    <w:rsid w:val="0074388E"/>
    <w:rsid w:val="007447D3"/>
    <w:rsid w:val="00747384"/>
    <w:rsid w:val="00750DAE"/>
    <w:rsid w:val="0075142E"/>
    <w:rsid w:val="00752ED9"/>
    <w:rsid w:val="007550E7"/>
    <w:rsid w:val="00757C11"/>
    <w:rsid w:val="00757F5E"/>
    <w:rsid w:val="007600B6"/>
    <w:rsid w:val="0076043C"/>
    <w:rsid w:val="00761637"/>
    <w:rsid w:val="00762E89"/>
    <w:rsid w:val="00763FDB"/>
    <w:rsid w:val="00766B0C"/>
    <w:rsid w:val="00766CF9"/>
    <w:rsid w:val="00773384"/>
    <w:rsid w:val="00773499"/>
    <w:rsid w:val="0077653C"/>
    <w:rsid w:val="00776C56"/>
    <w:rsid w:val="00777003"/>
    <w:rsid w:val="00780001"/>
    <w:rsid w:val="007807C5"/>
    <w:rsid w:val="007825F4"/>
    <w:rsid w:val="0078643F"/>
    <w:rsid w:val="007908C4"/>
    <w:rsid w:val="00792698"/>
    <w:rsid w:val="00793091"/>
    <w:rsid w:val="00794410"/>
    <w:rsid w:val="00794BFD"/>
    <w:rsid w:val="00797414"/>
    <w:rsid w:val="007A201D"/>
    <w:rsid w:val="007A3189"/>
    <w:rsid w:val="007A4501"/>
    <w:rsid w:val="007A4A01"/>
    <w:rsid w:val="007A5402"/>
    <w:rsid w:val="007A54DF"/>
    <w:rsid w:val="007A55A1"/>
    <w:rsid w:val="007A610D"/>
    <w:rsid w:val="007A75D2"/>
    <w:rsid w:val="007B032B"/>
    <w:rsid w:val="007B0710"/>
    <w:rsid w:val="007B3AD7"/>
    <w:rsid w:val="007D2078"/>
    <w:rsid w:val="007D4AAC"/>
    <w:rsid w:val="007D6E38"/>
    <w:rsid w:val="007E3803"/>
    <w:rsid w:val="007E3ACC"/>
    <w:rsid w:val="007E7799"/>
    <w:rsid w:val="007F043F"/>
    <w:rsid w:val="007F1452"/>
    <w:rsid w:val="007F363F"/>
    <w:rsid w:val="007F76F2"/>
    <w:rsid w:val="007F7EAB"/>
    <w:rsid w:val="00801DFC"/>
    <w:rsid w:val="00801E50"/>
    <w:rsid w:val="00803EEB"/>
    <w:rsid w:val="00804741"/>
    <w:rsid w:val="00804C90"/>
    <w:rsid w:val="00805051"/>
    <w:rsid w:val="0081053C"/>
    <w:rsid w:val="00815A35"/>
    <w:rsid w:val="00817C31"/>
    <w:rsid w:val="00817DCE"/>
    <w:rsid w:val="008237AC"/>
    <w:rsid w:val="00833092"/>
    <w:rsid w:val="0083626C"/>
    <w:rsid w:val="00840EE9"/>
    <w:rsid w:val="00841772"/>
    <w:rsid w:val="008471E3"/>
    <w:rsid w:val="00850ED4"/>
    <w:rsid w:val="00852901"/>
    <w:rsid w:val="00855692"/>
    <w:rsid w:val="00861384"/>
    <w:rsid w:val="0086326D"/>
    <w:rsid w:val="00863F74"/>
    <w:rsid w:val="00867377"/>
    <w:rsid w:val="00871A4B"/>
    <w:rsid w:val="00871EAC"/>
    <w:rsid w:val="00872FAD"/>
    <w:rsid w:val="0087316F"/>
    <w:rsid w:val="00876B81"/>
    <w:rsid w:val="008817BE"/>
    <w:rsid w:val="00882649"/>
    <w:rsid w:val="00884ACC"/>
    <w:rsid w:val="008850A9"/>
    <w:rsid w:val="0088554B"/>
    <w:rsid w:val="0088563E"/>
    <w:rsid w:val="008922BB"/>
    <w:rsid w:val="00892843"/>
    <w:rsid w:val="00894FE0"/>
    <w:rsid w:val="008952B3"/>
    <w:rsid w:val="0089785A"/>
    <w:rsid w:val="008A0A62"/>
    <w:rsid w:val="008A6173"/>
    <w:rsid w:val="008B57A2"/>
    <w:rsid w:val="008B64F3"/>
    <w:rsid w:val="008C0D43"/>
    <w:rsid w:val="008C1DB5"/>
    <w:rsid w:val="008C54E4"/>
    <w:rsid w:val="008C6191"/>
    <w:rsid w:val="008D125B"/>
    <w:rsid w:val="008D1385"/>
    <w:rsid w:val="008D1A07"/>
    <w:rsid w:val="008D251A"/>
    <w:rsid w:val="008D2A06"/>
    <w:rsid w:val="008D2BD1"/>
    <w:rsid w:val="008D3976"/>
    <w:rsid w:val="008E125D"/>
    <w:rsid w:val="008E1818"/>
    <w:rsid w:val="008E3C55"/>
    <w:rsid w:val="008E4678"/>
    <w:rsid w:val="008E677D"/>
    <w:rsid w:val="008E6CBD"/>
    <w:rsid w:val="008F1F38"/>
    <w:rsid w:val="008F3B7D"/>
    <w:rsid w:val="008F44DA"/>
    <w:rsid w:val="008F5529"/>
    <w:rsid w:val="008F572A"/>
    <w:rsid w:val="008F77D5"/>
    <w:rsid w:val="00900D3D"/>
    <w:rsid w:val="00900FAA"/>
    <w:rsid w:val="00902CBE"/>
    <w:rsid w:val="00903AA0"/>
    <w:rsid w:val="00904395"/>
    <w:rsid w:val="0090668E"/>
    <w:rsid w:val="00906BB3"/>
    <w:rsid w:val="009072C4"/>
    <w:rsid w:val="00910A5D"/>
    <w:rsid w:val="009113D6"/>
    <w:rsid w:val="00913797"/>
    <w:rsid w:val="00917DA2"/>
    <w:rsid w:val="00921A35"/>
    <w:rsid w:val="009250BA"/>
    <w:rsid w:val="0092513E"/>
    <w:rsid w:val="0092711E"/>
    <w:rsid w:val="009323C1"/>
    <w:rsid w:val="00934051"/>
    <w:rsid w:val="00936004"/>
    <w:rsid w:val="0093751B"/>
    <w:rsid w:val="0094342C"/>
    <w:rsid w:val="00946524"/>
    <w:rsid w:val="0095015C"/>
    <w:rsid w:val="00954BB2"/>
    <w:rsid w:val="00954D54"/>
    <w:rsid w:val="009561AB"/>
    <w:rsid w:val="00962682"/>
    <w:rsid w:val="00964DD8"/>
    <w:rsid w:val="00967D77"/>
    <w:rsid w:val="0097144A"/>
    <w:rsid w:val="00974D4B"/>
    <w:rsid w:val="00980349"/>
    <w:rsid w:val="0098073F"/>
    <w:rsid w:val="00981449"/>
    <w:rsid w:val="00981859"/>
    <w:rsid w:val="00982D58"/>
    <w:rsid w:val="00984B6D"/>
    <w:rsid w:val="00986478"/>
    <w:rsid w:val="00986B01"/>
    <w:rsid w:val="00986C7D"/>
    <w:rsid w:val="009877CD"/>
    <w:rsid w:val="00990A67"/>
    <w:rsid w:val="009917F7"/>
    <w:rsid w:val="00991ED8"/>
    <w:rsid w:val="00993330"/>
    <w:rsid w:val="009933B0"/>
    <w:rsid w:val="00995252"/>
    <w:rsid w:val="00995822"/>
    <w:rsid w:val="009A07A6"/>
    <w:rsid w:val="009A1793"/>
    <w:rsid w:val="009A2A2D"/>
    <w:rsid w:val="009A2E17"/>
    <w:rsid w:val="009A5820"/>
    <w:rsid w:val="009B4E6E"/>
    <w:rsid w:val="009B5979"/>
    <w:rsid w:val="009B5C31"/>
    <w:rsid w:val="009B6ABA"/>
    <w:rsid w:val="009C2472"/>
    <w:rsid w:val="009C45F1"/>
    <w:rsid w:val="009C518D"/>
    <w:rsid w:val="009D1565"/>
    <w:rsid w:val="009D32F0"/>
    <w:rsid w:val="009D432F"/>
    <w:rsid w:val="009D50BB"/>
    <w:rsid w:val="009E2464"/>
    <w:rsid w:val="009E2CF3"/>
    <w:rsid w:val="009E33D7"/>
    <w:rsid w:val="009E4D99"/>
    <w:rsid w:val="009E5AB3"/>
    <w:rsid w:val="009F1AD2"/>
    <w:rsid w:val="00A04236"/>
    <w:rsid w:val="00A06447"/>
    <w:rsid w:val="00A07572"/>
    <w:rsid w:val="00A130F0"/>
    <w:rsid w:val="00A141AB"/>
    <w:rsid w:val="00A24856"/>
    <w:rsid w:val="00A27ABD"/>
    <w:rsid w:val="00A32301"/>
    <w:rsid w:val="00A36D66"/>
    <w:rsid w:val="00A3753C"/>
    <w:rsid w:val="00A4033D"/>
    <w:rsid w:val="00A43BC0"/>
    <w:rsid w:val="00A43C7E"/>
    <w:rsid w:val="00A44AB5"/>
    <w:rsid w:val="00A55A28"/>
    <w:rsid w:val="00A55BE9"/>
    <w:rsid w:val="00A56859"/>
    <w:rsid w:val="00A56EC8"/>
    <w:rsid w:val="00A604B1"/>
    <w:rsid w:val="00A6154F"/>
    <w:rsid w:val="00A6567F"/>
    <w:rsid w:val="00A7117D"/>
    <w:rsid w:val="00A73B52"/>
    <w:rsid w:val="00A74655"/>
    <w:rsid w:val="00A77713"/>
    <w:rsid w:val="00A83370"/>
    <w:rsid w:val="00A85649"/>
    <w:rsid w:val="00A85A8C"/>
    <w:rsid w:val="00A87BEC"/>
    <w:rsid w:val="00A92A0B"/>
    <w:rsid w:val="00A93A8F"/>
    <w:rsid w:val="00A93D6D"/>
    <w:rsid w:val="00A94C89"/>
    <w:rsid w:val="00A95AD6"/>
    <w:rsid w:val="00A97FB7"/>
    <w:rsid w:val="00AA2086"/>
    <w:rsid w:val="00AA2232"/>
    <w:rsid w:val="00AA6ECC"/>
    <w:rsid w:val="00AB0E90"/>
    <w:rsid w:val="00AB3DDF"/>
    <w:rsid w:val="00AB749D"/>
    <w:rsid w:val="00AC088B"/>
    <w:rsid w:val="00AC5A8C"/>
    <w:rsid w:val="00AC6210"/>
    <w:rsid w:val="00AC7848"/>
    <w:rsid w:val="00AD0203"/>
    <w:rsid w:val="00AD0F61"/>
    <w:rsid w:val="00AD687D"/>
    <w:rsid w:val="00AE0D7B"/>
    <w:rsid w:val="00AE0E66"/>
    <w:rsid w:val="00AE21FB"/>
    <w:rsid w:val="00AE451C"/>
    <w:rsid w:val="00AE5846"/>
    <w:rsid w:val="00AE701F"/>
    <w:rsid w:val="00AE72DE"/>
    <w:rsid w:val="00AF04CB"/>
    <w:rsid w:val="00AF6C4C"/>
    <w:rsid w:val="00B01004"/>
    <w:rsid w:val="00B037BC"/>
    <w:rsid w:val="00B04882"/>
    <w:rsid w:val="00B06F3C"/>
    <w:rsid w:val="00B15F00"/>
    <w:rsid w:val="00B20E52"/>
    <w:rsid w:val="00B26B82"/>
    <w:rsid w:val="00B3049E"/>
    <w:rsid w:val="00B34A13"/>
    <w:rsid w:val="00B41A42"/>
    <w:rsid w:val="00B443E3"/>
    <w:rsid w:val="00B47097"/>
    <w:rsid w:val="00B5339F"/>
    <w:rsid w:val="00B54A12"/>
    <w:rsid w:val="00B54B94"/>
    <w:rsid w:val="00B56362"/>
    <w:rsid w:val="00B56725"/>
    <w:rsid w:val="00B570F8"/>
    <w:rsid w:val="00B57455"/>
    <w:rsid w:val="00B64AEF"/>
    <w:rsid w:val="00B67746"/>
    <w:rsid w:val="00B67901"/>
    <w:rsid w:val="00B67F04"/>
    <w:rsid w:val="00B7446C"/>
    <w:rsid w:val="00B74710"/>
    <w:rsid w:val="00B766FD"/>
    <w:rsid w:val="00B77168"/>
    <w:rsid w:val="00B80FDA"/>
    <w:rsid w:val="00B822CB"/>
    <w:rsid w:val="00B87D49"/>
    <w:rsid w:val="00B917F1"/>
    <w:rsid w:val="00B95F11"/>
    <w:rsid w:val="00B964B4"/>
    <w:rsid w:val="00BA09D7"/>
    <w:rsid w:val="00BA2ECD"/>
    <w:rsid w:val="00BA65C1"/>
    <w:rsid w:val="00BB0221"/>
    <w:rsid w:val="00BB0858"/>
    <w:rsid w:val="00BB1740"/>
    <w:rsid w:val="00BB2F33"/>
    <w:rsid w:val="00BC27D7"/>
    <w:rsid w:val="00BD3AE1"/>
    <w:rsid w:val="00BD4D28"/>
    <w:rsid w:val="00BD6638"/>
    <w:rsid w:val="00BD7CDC"/>
    <w:rsid w:val="00BE12F3"/>
    <w:rsid w:val="00BE1539"/>
    <w:rsid w:val="00BE1647"/>
    <w:rsid w:val="00BE3948"/>
    <w:rsid w:val="00BE6B0C"/>
    <w:rsid w:val="00BE6D39"/>
    <w:rsid w:val="00BE7A82"/>
    <w:rsid w:val="00BF21CC"/>
    <w:rsid w:val="00BF393B"/>
    <w:rsid w:val="00BF3D7C"/>
    <w:rsid w:val="00C0178A"/>
    <w:rsid w:val="00C03C48"/>
    <w:rsid w:val="00C04116"/>
    <w:rsid w:val="00C13B6C"/>
    <w:rsid w:val="00C141EA"/>
    <w:rsid w:val="00C1483F"/>
    <w:rsid w:val="00C14BFF"/>
    <w:rsid w:val="00C20C4E"/>
    <w:rsid w:val="00C273D2"/>
    <w:rsid w:val="00C3110F"/>
    <w:rsid w:val="00C32D7B"/>
    <w:rsid w:val="00C42420"/>
    <w:rsid w:val="00C43918"/>
    <w:rsid w:val="00C460A9"/>
    <w:rsid w:val="00C553ED"/>
    <w:rsid w:val="00C55F20"/>
    <w:rsid w:val="00C578E3"/>
    <w:rsid w:val="00C64ED9"/>
    <w:rsid w:val="00C7355E"/>
    <w:rsid w:val="00C74687"/>
    <w:rsid w:val="00C7794A"/>
    <w:rsid w:val="00C81192"/>
    <w:rsid w:val="00C813A3"/>
    <w:rsid w:val="00C8180D"/>
    <w:rsid w:val="00C82B44"/>
    <w:rsid w:val="00C850F2"/>
    <w:rsid w:val="00C9137D"/>
    <w:rsid w:val="00C95518"/>
    <w:rsid w:val="00CA0B37"/>
    <w:rsid w:val="00CA11AC"/>
    <w:rsid w:val="00CA146C"/>
    <w:rsid w:val="00CA2082"/>
    <w:rsid w:val="00CA2B10"/>
    <w:rsid w:val="00CB01C0"/>
    <w:rsid w:val="00CB0FAB"/>
    <w:rsid w:val="00CB0FAE"/>
    <w:rsid w:val="00CB4CCB"/>
    <w:rsid w:val="00CB5976"/>
    <w:rsid w:val="00CC44CF"/>
    <w:rsid w:val="00CD0080"/>
    <w:rsid w:val="00CD03EA"/>
    <w:rsid w:val="00CD19DD"/>
    <w:rsid w:val="00CD4FB1"/>
    <w:rsid w:val="00CD5523"/>
    <w:rsid w:val="00CE1156"/>
    <w:rsid w:val="00CE3B3A"/>
    <w:rsid w:val="00CE4201"/>
    <w:rsid w:val="00CE4B65"/>
    <w:rsid w:val="00CE6BC2"/>
    <w:rsid w:val="00CE7343"/>
    <w:rsid w:val="00CE7C0F"/>
    <w:rsid w:val="00CF1CC5"/>
    <w:rsid w:val="00CF28A5"/>
    <w:rsid w:val="00CF380B"/>
    <w:rsid w:val="00CF3C54"/>
    <w:rsid w:val="00CF5BF5"/>
    <w:rsid w:val="00CF715B"/>
    <w:rsid w:val="00D029D9"/>
    <w:rsid w:val="00D03AFA"/>
    <w:rsid w:val="00D10352"/>
    <w:rsid w:val="00D1050D"/>
    <w:rsid w:val="00D13077"/>
    <w:rsid w:val="00D133AD"/>
    <w:rsid w:val="00D15563"/>
    <w:rsid w:val="00D205E5"/>
    <w:rsid w:val="00D2180B"/>
    <w:rsid w:val="00D21913"/>
    <w:rsid w:val="00D230B8"/>
    <w:rsid w:val="00D3110B"/>
    <w:rsid w:val="00D31DAD"/>
    <w:rsid w:val="00D35786"/>
    <w:rsid w:val="00D35EF9"/>
    <w:rsid w:val="00D365BD"/>
    <w:rsid w:val="00D36F1C"/>
    <w:rsid w:val="00D3739B"/>
    <w:rsid w:val="00D4202C"/>
    <w:rsid w:val="00D42A64"/>
    <w:rsid w:val="00D46853"/>
    <w:rsid w:val="00D46953"/>
    <w:rsid w:val="00D46C3A"/>
    <w:rsid w:val="00D5122C"/>
    <w:rsid w:val="00D54A3A"/>
    <w:rsid w:val="00D5652B"/>
    <w:rsid w:val="00D56719"/>
    <w:rsid w:val="00D56C54"/>
    <w:rsid w:val="00D56C89"/>
    <w:rsid w:val="00D579A5"/>
    <w:rsid w:val="00D621C7"/>
    <w:rsid w:val="00D641F8"/>
    <w:rsid w:val="00D668F9"/>
    <w:rsid w:val="00D7020A"/>
    <w:rsid w:val="00D70F1E"/>
    <w:rsid w:val="00D74279"/>
    <w:rsid w:val="00D7581F"/>
    <w:rsid w:val="00D7663A"/>
    <w:rsid w:val="00D82D86"/>
    <w:rsid w:val="00D83B3E"/>
    <w:rsid w:val="00D87512"/>
    <w:rsid w:val="00D92468"/>
    <w:rsid w:val="00D92DC9"/>
    <w:rsid w:val="00DA0444"/>
    <w:rsid w:val="00DA11D2"/>
    <w:rsid w:val="00DA3650"/>
    <w:rsid w:val="00DA4A86"/>
    <w:rsid w:val="00DA68A0"/>
    <w:rsid w:val="00DA6DB2"/>
    <w:rsid w:val="00DB0417"/>
    <w:rsid w:val="00DB0777"/>
    <w:rsid w:val="00DB2918"/>
    <w:rsid w:val="00DC1AF2"/>
    <w:rsid w:val="00DC7F8B"/>
    <w:rsid w:val="00DD109C"/>
    <w:rsid w:val="00DD179F"/>
    <w:rsid w:val="00DD476E"/>
    <w:rsid w:val="00DD5982"/>
    <w:rsid w:val="00DD6F33"/>
    <w:rsid w:val="00DE48C9"/>
    <w:rsid w:val="00DE5C5F"/>
    <w:rsid w:val="00DE6600"/>
    <w:rsid w:val="00DF02A9"/>
    <w:rsid w:val="00DF275F"/>
    <w:rsid w:val="00DF2961"/>
    <w:rsid w:val="00DF4903"/>
    <w:rsid w:val="00DF53AD"/>
    <w:rsid w:val="00DF5A4A"/>
    <w:rsid w:val="00DF5C72"/>
    <w:rsid w:val="00DF7934"/>
    <w:rsid w:val="00E01813"/>
    <w:rsid w:val="00E0311B"/>
    <w:rsid w:val="00E040FB"/>
    <w:rsid w:val="00E057A9"/>
    <w:rsid w:val="00E05913"/>
    <w:rsid w:val="00E10076"/>
    <w:rsid w:val="00E11C5A"/>
    <w:rsid w:val="00E21DE3"/>
    <w:rsid w:val="00E223C1"/>
    <w:rsid w:val="00E23953"/>
    <w:rsid w:val="00E23A59"/>
    <w:rsid w:val="00E2441C"/>
    <w:rsid w:val="00E2608B"/>
    <w:rsid w:val="00E27D24"/>
    <w:rsid w:val="00E27F22"/>
    <w:rsid w:val="00E35135"/>
    <w:rsid w:val="00E36B5A"/>
    <w:rsid w:val="00E4093D"/>
    <w:rsid w:val="00E4445C"/>
    <w:rsid w:val="00E44D5C"/>
    <w:rsid w:val="00E46472"/>
    <w:rsid w:val="00E475A3"/>
    <w:rsid w:val="00E5132D"/>
    <w:rsid w:val="00E51FEC"/>
    <w:rsid w:val="00E528B6"/>
    <w:rsid w:val="00E53E58"/>
    <w:rsid w:val="00E545A1"/>
    <w:rsid w:val="00E55746"/>
    <w:rsid w:val="00E570F2"/>
    <w:rsid w:val="00E57B26"/>
    <w:rsid w:val="00E57E57"/>
    <w:rsid w:val="00E628C6"/>
    <w:rsid w:val="00E62A19"/>
    <w:rsid w:val="00E63CFB"/>
    <w:rsid w:val="00E65294"/>
    <w:rsid w:val="00E65D62"/>
    <w:rsid w:val="00E67EA5"/>
    <w:rsid w:val="00E70572"/>
    <w:rsid w:val="00E70B89"/>
    <w:rsid w:val="00E75496"/>
    <w:rsid w:val="00E76F1F"/>
    <w:rsid w:val="00E80175"/>
    <w:rsid w:val="00E81400"/>
    <w:rsid w:val="00E818C2"/>
    <w:rsid w:val="00E81DD8"/>
    <w:rsid w:val="00E83611"/>
    <w:rsid w:val="00E84FD0"/>
    <w:rsid w:val="00E91654"/>
    <w:rsid w:val="00E94BF1"/>
    <w:rsid w:val="00E94D22"/>
    <w:rsid w:val="00E95B6E"/>
    <w:rsid w:val="00E96389"/>
    <w:rsid w:val="00E9649B"/>
    <w:rsid w:val="00E96F55"/>
    <w:rsid w:val="00EA021A"/>
    <w:rsid w:val="00EA63CB"/>
    <w:rsid w:val="00EB30F9"/>
    <w:rsid w:val="00EB3293"/>
    <w:rsid w:val="00EB50C3"/>
    <w:rsid w:val="00EC0CFC"/>
    <w:rsid w:val="00EC2840"/>
    <w:rsid w:val="00EC5606"/>
    <w:rsid w:val="00ED063B"/>
    <w:rsid w:val="00EE0153"/>
    <w:rsid w:val="00EE09E9"/>
    <w:rsid w:val="00EE0C3A"/>
    <w:rsid w:val="00EE2F66"/>
    <w:rsid w:val="00EE5AFE"/>
    <w:rsid w:val="00EE67B4"/>
    <w:rsid w:val="00EF034C"/>
    <w:rsid w:val="00EF35A8"/>
    <w:rsid w:val="00EF4205"/>
    <w:rsid w:val="00EF4F6B"/>
    <w:rsid w:val="00F00078"/>
    <w:rsid w:val="00F016ED"/>
    <w:rsid w:val="00F0578F"/>
    <w:rsid w:val="00F05917"/>
    <w:rsid w:val="00F10720"/>
    <w:rsid w:val="00F16378"/>
    <w:rsid w:val="00F1750E"/>
    <w:rsid w:val="00F21DA8"/>
    <w:rsid w:val="00F2370C"/>
    <w:rsid w:val="00F308E8"/>
    <w:rsid w:val="00F32920"/>
    <w:rsid w:val="00F33196"/>
    <w:rsid w:val="00F35583"/>
    <w:rsid w:val="00F375C5"/>
    <w:rsid w:val="00F3796F"/>
    <w:rsid w:val="00F41269"/>
    <w:rsid w:val="00F41FDB"/>
    <w:rsid w:val="00F42BD2"/>
    <w:rsid w:val="00F44CED"/>
    <w:rsid w:val="00F45551"/>
    <w:rsid w:val="00F479C5"/>
    <w:rsid w:val="00F50129"/>
    <w:rsid w:val="00F5292C"/>
    <w:rsid w:val="00F534A5"/>
    <w:rsid w:val="00F55C08"/>
    <w:rsid w:val="00F56F93"/>
    <w:rsid w:val="00F6277D"/>
    <w:rsid w:val="00F62C82"/>
    <w:rsid w:val="00F667F8"/>
    <w:rsid w:val="00F67DC1"/>
    <w:rsid w:val="00F7029D"/>
    <w:rsid w:val="00F71538"/>
    <w:rsid w:val="00F725BC"/>
    <w:rsid w:val="00F73BC5"/>
    <w:rsid w:val="00F75D8B"/>
    <w:rsid w:val="00F77062"/>
    <w:rsid w:val="00F806CC"/>
    <w:rsid w:val="00F80D45"/>
    <w:rsid w:val="00F82A8B"/>
    <w:rsid w:val="00F874B7"/>
    <w:rsid w:val="00F87E73"/>
    <w:rsid w:val="00F9096B"/>
    <w:rsid w:val="00F91038"/>
    <w:rsid w:val="00F9347F"/>
    <w:rsid w:val="00F97543"/>
    <w:rsid w:val="00F97A5A"/>
    <w:rsid w:val="00FA0168"/>
    <w:rsid w:val="00FA1631"/>
    <w:rsid w:val="00FA1703"/>
    <w:rsid w:val="00FA1759"/>
    <w:rsid w:val="00FA374C"/>
    <w:rsid w:val="00FA482D"/>
    <w:rsid w:val="00FA7D7C"/>
    <w:rsid w:val="00FB26B6"/>
    <w:rsid w:val="00FB427F"/>
    <w:rsid w:val="00FB4A59"/>
    <w:rsid w:val="00FB73FD"/>
    <w:rsid w:val="00FC085C"/>
    <w:rsid w:val="00FC529F"/>
    <w:rsid w:val="00FC6FE4"/>
    <w:rsid w:val="00FC7842"/>
    <w:rsid w:val="00FD0034"/>
    <w:rsid w:val="00FD00B6"/>
    <w:rsid w:val="00FD18D4"/>
    <w:rsid w:val="00FD1C05"/>
    <w:rsid w:val="00FD47DC"/>
    <w:rsid w:val="00FD77D4"/>
    <w:rsid w:val="00FD7D61"/>
    <w:rsid w:val="00FD7DDF"/>
    <w:rsid w:val="00FE0AE1"/>
    <w:rsid w:val="00FE341E"/>
    <w:rsid w:val="00FE4F5D"/>
    <w:rsid w:val="00FE5119"/>
    <w:rsid w:val="00FE6CEB"/>
    <w:rsid w:val="00FE7D09"/>
    <w:rsid w:val="00FF1C1D"/>
    <w:rsid w:val="00FF59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113D6"/>
    <w:pPr>
      <w:spacing w:before="75" w:after="75"/>
      <w:ind w:firstLine="375"/>
      <w:jc w:val="both"/>
    </w:pPr>
  </w:style>
  <w:style w:type="paragraph" w:styleId="HTMLPreformatted">
    <w:name w:val="HTML Preformatted"/>
    <w:basedOn w:val="Normal"/>
    <w:link w:val="HTMLPreformattedChar"/>
    <w:uiPriority w:val="99"/>
    <w:rsid w:val="0091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93A35"/>
    <w:rPr>
      <w:rFonts w:ascii="Courier New" w:hAnsi="Courier New" w:cs="Courier New"/>
      <w:sz w:val="20"/>
      <w:szCs w:val="20"/>
      <w:lang w:val="lv-LV" w:eastAsia="lv-LV"/>
    </w:rPr>
  </w:style>
  <w:style w:type="paragraph" w:customStyle="1" w:styleId="naislab">
    <w:name w:val="naislab"/>
    <w:basedOn w:val="Normal"/>
    <w:uiPriority w:val="99"/>
    <w:rsid w:val="009113D6"/>
    <w:pPr>
      <w:spacing w:before="75" w:after="75"/>
      <w:jc w:val="right"/>
    </w:pPr>
  </w:style>
  <w:style w:type="paragraph" w:styleId="Header">
    <w:name w:val="header"/>
    <w:basedOn w:val="Normal"/>
    <w:link w:val="HeaderChar"/>
    <w:uiPriority w:val="99"/>
    <w:rsid w:val="009113D6"/>
    <w:pPr>
      <w:tabs>
        <w:tab w:val="center" w:pos="4153"/>
        <w:tab w:val="right" w:pos="8306"/>
      </w:tabs>
    </w:pPr>
  </w:style>
  <w:style w:type="character" w:customStyle="1" w:styleId="HeaderChar">
    <w:name w:val="Header Char"/>
    <w:basedOn w:val="DefaultParagraphFont"/>
    <w:link w:val="Header"/>
    <w:uiPriority w:val="99"/>
    <w:locked/>
    <w:rsid w:val="009113D6"/>
    <w:rPr>
      <w:rFonts w:cs="Times New Roman"/>
      <w:sz w:val="24"/>
      <w:lang w:val="lv-LV" w:eastAsia="lv-LV"/>
    </w:rPr>
  </w:style>
  <w:style w:type="paragraph" w:styleId="Footer">
    <w:name w:val="footer"/>
    <w:basedOn w:val="Normal"/>
    <w:link w:val="FooterChar"/>
    <w:uiPriority w:val="99"/>
    <w:rsid w:val="009113D6"/>
    <w:pPr>
      <w:tabs>
        <w:tab w:val="center" w:pos="4153"/>
        <w:tab w:val="right" w:pos="8306"/>
      </w:tabs>
    </w:pPr>
  </w:style>
  <w:style w:type="character" w:customStyle="1" w:styleId="FooterChar">
    <w:name w:val="Footer Char"/>
    <w:basedOn w:val="DefaultParagraphFont"/>
    <w:link w:val="Footer"/>
    <w:uiPriority w:val="99"/>
    <w:semiHidden/>
    <w:locked/>
    <w:rsid w:val="00593A35"/>
    <w:rPr>
      <w:rFonts w:cs="Times New Roman"/>
      <w:sz w:val="24"/>
      <w:szCs w:val="24"/>
      <w:lang w:val="lv-LV" w:eastAsia="lv-LV"/>
    </w:rPr>
  </w:style>
  <w:style w:type="character" w:styleId="PageNumber">
    <w:name w:val="page number"/>
    <w:basedOn w:val="DefaultParagraphFont"/>
    <w:uiPriority w:val="99"/>
    <w:rsid w:val="009113D6"/>
    <w:rPr>
      <w:rFonts w:cs="Times New Roman"/>
    </w:rPr>
  </w:style>
  <w:style w:type="character" w:styleId="Hyperlink">
    <w:name w:val="Hyperlink"/>
    <w:basedOn w:val="DefaultParagraphFont"/>
    <w:uiPriority w:val="99"/>
    <w:rsid w:val="009113D6"/>
    <w:rPr>
      <w:rFonts w:cs="Times New Roman"/>
      <w:color w:val="0000FF"/>
      <w:u w:val="single"/>
    </w:rPr>
  </w:style>
  <w:style w:type="paragraph" w:styleId="BalloonText">
    <w:name w:val="Balloon Text"/>
    <w:basedOn w:val="Normal"/>
    <w:link w:val="BalloonTextChar"/>
    <w:uiPriority w:val="99"/>
    <w:rsid w:val="007B3AD7"/>
    <w:rPr>
      <w:rFonts w:ascii="Tahoma" w:hAnsi="Tahoma"/>
      <w:sz w:val="16"/>
      <w:szCs w:val="16"/>
      <w:lang w:val="en-US"/>
    </w:rPr>
  </w:style>
  <w:style w:type="character" w:customStyle="1" w:styleId="BalloonTextChar">
    <w:name w:val="Balloon Text Char"/>
    <w:basedOn w:val="DefaultParagraphFont"/>
    <w:link w:val="BalloonText"/>
    <w:uiPriority w:val="99"/>
    <w:locked/>
    <w:rsid w:val="007B3AD7"/>
    <w:rPr>
      <w:rFonts w:ascii="Tahoma" w:hAnsi="Tahoma" w:cs="Times New Roman"/>
      <w:sz w:val="16"/>
    </w:rPr>
  </w:style>
  <w:style w:type="character" w:styleId="CommentReference">
    <w:name w:val="annotation reference"/>
    <w:basedOn w:val="DefaultParagraphFont"/>
    <w:uiPriority w:val="99"/>
    <w:rsid w:val="00305579"/>
    <w:rPr>
      <w:rFonts w:cs="Times New Roman"/>
      <w:sz w:val="16"/>
    </w:rPr>
  </w:style>
  <w:style w:type="paragraph" w:styleId="CommentText">
    <w:name w:val="annotation text"/>
    <w:basedOn w:val="Normal"/>
    <w:link w:val="CommentTextChar"/>
    <w:uiPriority w:val="99"/>
    <w:rsid w:val="00305579"/>
    <w:rPr>
      <w:sz w:val="20"/>
      <w:szCs w:val="20"/>
    </w:rPr>
  </w:style>
  <w:style w:type="character" w:customStyle="1" w:styleId="CommentTextChar">
    <w:name w:val="Comment Text Char"/>
    <w:basedOn w:val="DefaultParagraphFont"/>
    <w:link w:val="CommentText"/>
    <w:uiPriority w:val="99"/>
    <w:locked/>
    <w:rsid w:val="00305579"/>
    <w:rPr>
      <w:rFonts w:cs="Times New Roman"/>
    </w:rPr>
  </w:style>
  <w:style w:type="paragraph" w:styleId="CommentSubject">
    <w:name w:val="annotation subject"/>
    <w:basedOn w:val="CommentText"/>
    <w:next w:val="CommentText"/>
    <w:link w:val="CommentSubjectChar"/>
    <w:uiPriority w:val="99"/>
    <w:rsid w:val="00305579"/>
    <w:rPr>
      <w:b/>
      <w:bCs/>
      <w:lang w:val="en-US"/>
    </w:rPr>
  </w:style>
  <w:style w:type="character" w:customStyle="1" w:styleId="CommentSubjectChar">
    <w:name w:val="Comment Subject Char"/>
    <w:basedOn w:val="CommentTextChar"/>
    <w:link w:val="CommentSubject"/>
    <w:uiPriority w:val="99"/>
    <w:locked/>
    <w:rsid w:val="00305579"/>
    <w:rPr>
      <w:rFonts w:cs="Times New Roman"/>
      <w:b/>
    </w:rPr>
  </w:style>
  <w:style w:type="paragraph" w:styleId="ListParagraph">
    <w:name w:val="List Paragraph"/>
    <w:basedOn w:val="Normal"/>
    <w:uiPriority w:val="99"/>
    <w:qFormat/>
    <w:rsid w:val="00D74279"/>
    <w:pPr>
      <w:ind w:left="720"/>
      <w:contextualSpacing/>
    </w:pPr>
  </w:style>
  <w:style w:type="paragraph" w:styleId="BodyTextIndent">
    <w:name w:val="Body Text Indent"/>
    <w:basedOn w:val="Normal"/>
    <w:link w:val="BodyTextIndentChar"/>
    <w:uiPriority w:val="99"/>
    <w:rsid w:val="00B570F8"/>
    <w:pPr>
      <w:spacing w:after="120"/>
      <w:ind w:left="283"/>
    </w:pPr>
  </w:style>
  <w:style w:type="character" w:customStyle="1" w:styleId="BodyTextIndentChar">
    <w:name w:val="Body Text Indent Char"/>
    <w:basedOn w:val="DefaultParagraphFont"/>
    <w:link w:val="BodyTextIndent"/>
    <w:uiPriority w:val="99"/>
    <w:locked/>
    <w:rsid w:val="00B570F8"/>
    <w:rPr>
      <w:rFonts w:cs="Times New Roman"/>
      <w:sz w:val="24"/>
      <w:szCs w:val="24"/>
    </w:rPr>
  </w:style>
  <w:style w:type="paragraph" w:styleId="BodyTextIndent2">
    <w:name w:val="Body Text Indent 2"/>
    <w:basedOn w:val="Normal"/>
    <w:link w:val="BodyTextIndent2Char"/>
    <w:uiPriority w:val="99"/>
    <w:rsid w:val="00236A1D"/>
    <w:pPr>
      <w:spacing w:after="120" w:line="480" w:lineRule="auto"/>
      <w:ind w:left="283"/>
    </w:pPr>
  </w:style>
  <w:style w:type="character" w:customStyle="1" w:styleId="BodyTextIndent2Char">
    <w:name w:val="Body Text Indent 2 Char"/>
    <w:basedOn w:val="DefaultParagraphFont"/>
    <w:link w:val="BodyTextIndent2"/>
    <w:uiPriority w:val="99"/>
    <w:locked/>
    <w:rsid w:val="00236A1D"/>
    <w:rPr>
      <w:rFonts w:cs="Times New Roman"/>
      <w:sz w:val="24"/>
      <w:szCs w:val="24"/>
    </w:rPr>
  </w:style>
  <w:style w:type="paragraph" w:customStyle="1" w:styleId="naiskr">
    <w:name w:val="naiskr"/>
    <w:basedOn w:val="Normal"/>
    <w:uiPriority w:val="99"/>
    <w:rsid w:val="00236A1D"/>
    <w:pPr>
      <w:spacing w:before="75" w:after="75"/>
    </w:pPr>
  </w:style>
  <w:style w:type="paragraph" w:customStyle="1" w:styleId="naisnod">
    <w:name w:val="naisnod"/>
    <w:basedOn w:val="Normal"/>
    <w:uiPriority w:val="99"/>
    <w:rsid w:val="00236A1D"/>
    <w:pPr>
      <w:spacing w:before="150" w:after="150"/>
      <w:jc w:val="center"/>
    </w:pPr>
    <w:rPr>
      <w:b/>
      <w:bCs/>
    </w:rPr>
  </w:style>
  <w:style w:type="character" w:customStyle="1" w:styleId="th1">
    <w:name w:val="th1"/>
    <w:basedOn w:val="DefaultParagraphFont"/>
    <w:uiPriority w:val="99"/>
    <w:rsid w:val="00236A1D"/>
    <w:rPr>
      <w:rFonts w:cs="Times New Roman"/>
      <w:b/>
      <w:bCs/>
      <w:color w:val="333333"/>
    </w:rPr>
  </w:style>
  <w:style w:type="paragraph" w:styleId="NormalWeb">
    <w:name w:val="Normal (Web)"/>
    <w:basedOn w:val="Normal"/>
    <w:uiPriority w:val="99"/>
    <w:rsid w:val="00FB427F"/>
    <w:pPr>
      <w:spacing w:before="100" w:beforeAutospacing="1" w:after="100" w:afterAutospacing="1"/>
    </w:pPr>
    <w:rPr>
      <w:lang w:val="en-GB" w:eastAsia="en-US"/>
    </w:rPr>
  </w:style>
  <w:style w:type="paragraph" w:customStyle="1" w:styleId="Default">
    <w:name w:val="Default"/>
    <w:uiPriority w:val="99"/>
    <w:rsid w:val="00FD7D61"/>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113D6"/>
    <w:pPr>
      <w:spacing w:before="75" w:after="75"/>
      <w:ind w:firstLine="375"/>
      <w:jc w:val="both"/>
    </w:pPr>
  </w:style>
  <w:style w:type="paragraph" w:styleId="HTMLPreformatted">
    <w:name w:val="HTML Preformatted"/>
    <w:basedOn w:val="Normal"/>
    <w:link w:val="HTMLPreformattedChar"/>
    <w:uiPriority w:val="99"/>
    <w:rsid w:val="0091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93A35"/>
    <w:rPr>
      <w:rFonts w:ascii="Courier New" w:hAnsi="Courier New" w:cs="Courier New"/>
      <w:sz w:val="20"/>
      <w:szCs w:val="20"/>
      <w:lang w:val="lv-LV" w:eastAsia="lv-LV"/>
    </w:rPr>
  </w:style>
  <w:style w:type="paragraph" w:customStyle="1" w:styleId="naislab">
    <w:name w:val="naislab"/>
    <w:basedOn w:val="Normal"/>
    <w:uiPriority w:val="99"/>
    <w:rsid w:val="009113D6"/>
    <w:pPr>
      <w:spacing w:before="75" w:after="75"/>
      <w:jc w:val="right"/>
    </w:pPr>
  </w:style>
  <w:style w:type="paragraph" w:styleId="Header">
    <w:name w:val="header"/>
    <w:basedOn w:val="Normal"/>
    <w:link w:val="HeaderChar"/>
    <w:uiPriority w:val="99"/>
    <w:rsid w:val="009113D6"/>
    <w:pPr>
      <w:tabs>
        <w:tab w:val="center" w:pos="4153"/>
        <w:tab w:val="right" w:pos="8306"/>
      </w:tabs>
    </w:pPr>
  </w:style>
  <w:style w:type="character" w:customStyle="1" w:styleId="HeaderChar">
    <w:name w:val="Header Char"/>
    <w:basedOn w:val="DefaultParagraphFont"/>
    <w:link w:val="Header"/>
    <w:uiPriority w:val="99"/>
    <w:locked/>
    <w:rsid w:val="009113D6"/>
    <w:rPr>
      <w:rFonts w:cs="Times New Roman"/>
      <w:sz w:val="24"/>
      <w:lang w:val="lv-LV" w:eastAsia="lv-LV"/>
    </w:rPr>
  </w:style>
  <w:style w:type="paragraph" w:styleId="Footer">
    <w:name w:val="footer"/>
    <w:basedOn w:val="Normal"/>
    <w:link w:val="FooterChar"/>
    <w:uiPriority w:val="99"/>
    <w:rsid w:val="009113D6"/>
    <w:pPr>
      <w:tabs>
        <w:tab w:val="center" w:pos="4153"/>
        <w:tab w:val="right" w:pos="8306"/>
      </w:tabs>
    </w:pPr>
  </w:style>
  <w:style w:type="character" w:customStyle="1" w:styleId="FooterChar">
    <w:name w:val="Footer Char"/>
    <w:basedOn w:val="DefaultParagraphFont"/>
    <w:link w:val="Footer"/>
    <w:uiPriority w:val="99"/>
    <w:semiHidden/>
    <w:locked/>
    <w:rsid w:val="00593A35"/>
    <w:rPr>
      <w:rFonts w:cs="Times New Roman"/>
      <w:sz w:val="24"/>
      <w:szCs w:val="24"/>
      <w:lang w:val="lv-LV" w:eastAsia="lv-LV"/>
    </w:rPr>
  </w:style>
  <w:style w:type="character" w:styleId="PageNumber">
    <w:name w:val="page number"/>
    <w:basedOn w:val="DefaultParagraphFont"/>
    <w:uiPriority w:val="99"/>
    <w:rsid w:val="009113D6"/>
    <w:rPr>
      <w:rFonts w:cs="Times New Roman"/>
    </w:rPr>
  </w:style>
  <w:style w:type="character" w:styleId="Hyperlink">
    <w:name w:val="Hyperlink"/>
    <w:basedOn w:val="DefaultParagraphFont"/>
    <w:uiPriority w:val="99"/>
    <w:rsid w:val="009113D6"/>
    <w:rPr>
      <w:rFonts w:cs="Times New Roman"/>
      <w:color w:val="0000FF"/>
      <w:u w:val="single"/>
    </w:rPr>
  </w:style>
  <w:style w:type="paragraph" w:styleId="BalloonText">
    <w:name w:val="Balloon Text"/>
    <w:basedOn w:val="Normal"/>
    <w:link w:val="BalloonTextChar"/>
    <w:uiPriority w:val="99"/>
    <w:rsid w:val="007B3AD7"/>
    <w:rPr>
      <w:rFonts w:ascii="Tahoma" w:hAnsi="Tahoma"/>
      <w:sz w:val="16"/>
      <w:szCs w:val="16"/>
      <w:lang w:val="en-US"/>
    </w:rPr>
  </w:style>
  <w:style w:type="character" w:customStyle="1" w:styleId="BalloonTextChar">
    <w:name w:val="Balloon Text Char"/>
    <w:basedOn w:val="DefaultParagraphFont"/>
    <w:link w:val="BalloonText"/>
    <w:uiPriority w:val="99"/>
    <w:locked/>
    <w:rsid w:val="007B3AD7"/>
    <w:rPr>
      <w:rFonts w:ascii="Tahoma" w:hAnsi="Tahoma" w:cs="Times New Roman"/>
      <w:sz w:val="16"/>
    </w:rPr>
  </w:style>
  <w:style w:type="character" w:styleId="CommentReference">
    <w:name w:val="annotation reference"/>
    <w:basedOn w:val="DefaultParagraphFont"/>
    <w:uiPriority w:val="99"/>
    <w:rsid w:val="00305579"/>
    <w:rPr>
      <w:rFonts w:cs="Times New Roman"/>
      <w:sz w:val="16"/>
    </w:rPr>
  </w:style>
  <w:style w:type="paragraph" w:styleId="CommentText">
    <w:name w:val="annotation text"/>
    <w:basedOn w:val="Normal"/>
    <w:link w:val="CommentTextChar"/>
    <w:uiPriority w:val="99"/>
    <w:rsid w:val="00305579"/>
    <w:rPr>
      <w:sz w:val="20"/>
      <w:szCs w:val="20"/>
    </w:rPr>
  </w:style>
  <w:style w:type="character" w:customStyle="1" w:styleId="CommentTextChar">
    <w:name w:val="Comment Text Char"/>
    <w:basedOn w:val="DefaultParagraphFont"/>
    <w:link w:val="CommentText"/>
    <w:uiPriority w:val="99"/>
    <w:locked/>
    <w:rsid w:val="00305579"/>
    <w:rPr>
      <w:rFonts w:cs="Times New Roman"/>
    </w:rPr>
  </w:style>
  <w:style w:type="paragraph" w:styleId="CommentSubject">
    <w:name w:val="annotation subject"/>
    <w:basedOn w:val="CommentText"/>
    <w:next w:val="CommentText"/>
    <w:link w:val="CommentSubjectChar"/>
    <w:uiPriority w:val="99"/>
    <w:rsid w:val="00305579"/>
    <w:rPr>
      <w:b/>
      <w:bCs/>
      <w:lang w:val="en-US"/>
    </w:rPr>
  </w:style>
  <w:style w:type="character" w:customStyle="1" w:styleId="CommentSubjectChar">
    <w:name w:val="Comment Subject Char"/>
    <w:basedOn w:val="CommentTextChar"/>
    <w:link w:val="CommentSubject"/>
    <w:uiPriority w:val="99"/>
    <w:locked/>
    <w:rsid w:val="00305579"/>
    <w:rPr>
      <w:rFonts w:cs="Times New Roman"/>
      <w:b/>
    </w:rPr>
  </w:style>
  <w:style w:type="paragraph" w:styleId="ListParagraph">
    <w:name w:val="List Paragraph"/>
    <w:basedOn w:val="Normal"/>
    <w:uiPriority w:val="99"/>
    <w:qFormat/>
    <w:rsid w:val="00D74279"/>
    <w:pPr>
      <w:ind w:left="720"/>
      <w:contextualSpacing/>
    </w:pPr>
  </w:style>
  <w:style w:type="paragraph" w:styleId="BodyTextIndent">
    <w:name w:val="Body Text Indent"/>
    <w:basedOn w:val="Normal"/>
    <w:link w:val="BodyTextIndentChar"/>
    <w:uiPriority w:val="99"/>
    <w:rsid w:val="00B570F8"/>
    <w:pPr>
      <w:spacing w:after="120"/>
      <w:ind w:left="283"/>
    </w:pPr>
  </w:style>
  <w:style w:type="character" w:customStyle="1" w:styleId="BodyTextIndentChar">
    <w:name w:val="Body Text Indent Char"/>
    <w:basedOn w:val="DefaultParagraphFont"/>
    <w:link w:val="BodyTextIndent"/>
    <w:uiPriority w:val="99"/>
    <w:locked/>
    <w:rsid w:val="00B570F8"/>
    <w:rPr>
      <w:rFonts w:cs="Times New Roman"/>
      <w:sz w:val="24"/>
      <w:szCs w:val="24"/>
    </w:rPr>
  </w:style>
  <w:style w:type="paragraph" w:styleId="BodyTextIndent2">
    <w:name w:val="Body Text Indent 2"/>
    <w:basedOn w:val="Normal"/>
    <w:link w:val="BodyTextIndent2Char"/>
    <w:uiPriority w:val="99"/>
    <w:rsid w:val="00236A1D"/>
    <w:pPr>
      <w:spacing w:after="120" w:line="480" w:lineRule="auto"/>
      <w:ind w:left="283"/>
    </w:pPr>
  </w:style>
  <w:style w:type="character" w:customStyle="1" w:styleId="BodyTextIndent2Char">
    <w:name w:val="Body Text Indent 2 Char"/>
    <w:basedOn w:val="DefaultParagraphFont"/>
    <w:link w:val="BodyTextIndent2"/>
    <w:uiPriority w:val="99"/>
    <w:locked/>
    <w:rsid w:val="00236A1D"/>
    <w:rPr>
      <w:rFonts w:cs="Times New Roman"/>
      <w:sz w:val="24"/>
      <w:szCs w:val="24"/>
    </w:rPr>
  </w:style>
  <w:style w:type="paragraph" w:customStyle="1" w:styleId="naiskr">
    <w:name w:val="naiskr"/>
    <w:basedOn w:val="Normal"/>
    <w:uiPriority w:val="99"/>
    <w:rsid w:val="00236A1D"/>
    <w:pPr>
      <w:spacing w:before="75" w:after="75"/>
    </w:pPr>
  </w:style>
  <w:style w:type="paragraph" w:customStyle="1" w:styleId="naisnod">
    <w:name w:val="naisnod"/>
    <w:basedOn w:val="Normal"/>
    <w:uiPriority w:val="99"/>
    <w:rsid w:val="00236A1D"/>
    <w:pPr>
      <w:spacing w:before="150" w:after="150"/>
      <w:jc w:val="center"/>
    </w:pPr>
    <w:rPr>
      <w:b/>
      <w:bCs/>
    </w:rPr>
  </w:style>
  <w:style w:type="character" w:customStyle="1" w:styleId="th1">
    <w:name w:val="th1"/>
    <w:basedOn w:val="DefaultParagraphFont"/>
    <w:uiPriority w:val="99"/>
    <w:rsid w:val="00236A1D"/>
    <w:rPr>
      <w:rFonts w:cs="Times New Roman"/>
      <w:b/>
      <w:bCs/>
      <w:color w:val="333333"/>
    </w:rPr>
  </w:style>
  <w:style w:type="paragraph" w:styleId="NormalWeb">
    <w:name w:val="Normal (Web)"/>
    <w:basedOn w:val="Normal"/>
    <w:uiPriority w:val="99"/>
    <w:rsid w:val="00FB427F"/>
    <w:pPr>
      <w:spacing w:before="100" w:beforeAutospacing="1" w:after="100" w:afterAutospacing="1"/>
    </w:pPr>
    <w:rPr>
      <w:lang w:val="en-GB" w:eastAsia="en-US"/>
    </w:rPr>
  </w:style>
  <w:style w:type="paragraph" w:customStyle="1" w:styleId="Default">
    <w:name w:val="Default"/>
    <w:uiPriority w:val="99"/>
    <w:rsid w:val="00FD7D61"/>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026522618">
      <w:marLeft w:val="0"/>
      <w:marRight w:val="0"/>
      <w:marTop w:val="0"/>
      <w:marBottom w:val="0"/>
      <w:divBdr>
        <w:top w:val="none" w:sz="0" w:space="0" w:color="auto"/>
        <w:left w:val="none" w:sz="0" w:space="0" w:color="auto"/>
        <w:bottom w:val="none" w:sz="0" w:space="0" w:color="auto"/>
        <w:right w:val="none" w:sz="0" w:space="0" w:color="auto"/>
      </w:divBdr>
      <w:divsChild>
        <w:div w:id="1026522617">
          <w:marLeft w:val="0"/>
          <w:marRight w:val="0"/>
          <w:marTop w:val="0"/>
          <w:marBottom w:val="0"/>
          <w:divBdr>
            <w:top w:val="none" w:sz="0" w:space="0" w:color="auto"/>
            <w:left w:val="none" w:sz="0" w:space="0" w:color="auto"/>
            <w:bottom w:val="none" w:sz="0" w:space="0" w:color="auto"/>
            <w:right w:val="none" w:sz="0" w:space="0" w:color="auto"/>
          </w:divBdr>
          <w:divsChild>
            <w:div w:id="10265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pruse@vid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1068</Words>
  <Characters>7892</Characters>
  <Application>Microsoft Office Word</Application>
  <DocSecurity>0</DocSecurity>
  <Lines>464</Lines>
  <Paragraphs>208</Paragraphs>
  <ScaleCrop>false</ScaleCrop>
  <HeadingPairs>
    <vt:vector size="2" baseType="variant">
      <vt:variant>
        <vt:lpstr>Title</vt:lpstr>
      </vt:variant>
      <vt:variant>
        <vt:i4>1</vt:i4>
      </vt:variant>
    </vt:vector>
  </HeadingPairs>
  <TitlesOfParts>
    <vt:vector size="1" baseType="lpstr">
      <vt:lpstr>Ministru kabineta noteikumu projekts „Kārtība, kādā nodrošina Latvijai piešķirto siltumnīcefekta gāzu emisijas kvotu izsolīšanu” sākotnējās ietekmes novērtējuma ziņojums (anotācija)</vt:lpstr>
    </vt:vector>
  </TitlesOfParts>
  <Company>VARAM</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nodrošina Latvijai piešķirto siltumnīcefekta gāzu emisijas kvotu izsolīšanu” sākotnējās ietekmes novērtējuma ziņojums (anotācija)</dc:title>
  <dc:subject>anotācija</dc:subject>
  <dc:creator>Ilze Prūse</dc:creator>
  <dc:description>ilze.pruse@varam.gov.lv
67026568</dc:description>
  <cp:lastModifiedBy>RaimondsK</cp:lastModifiedBy>
  <cp:revision>33</cp:revision>
  <cp:lastPrinted>2012-08-17T11:56:00Z</cp:lastPrinted>
  <dcterms:created xsi:type="dcterms:W3CDTF">2012-08-09T11:41:00Z</dcterms:created>
  <dcterms:modified xsi:type="dcterms:W3CDTF">2012-08-30T08:40:00Z</dcterms:modified>
</cp:coreProperties>
</file>