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BE" w:rsidRPr="008E5CC1" w:rsidRDefault="005045BE" w:rsidP="008E5CC1">
      <w:pPr>
        <w:spacing w:after="120"/>
        <w:jc w:val="center"/>
        <w:rPr>
          <w:b/>
          <w:sz w:val="28"/>
          <w:szCs w:val="28"/>
        </w:rPr>
      </w:pPr>
      <w:bookmarkStart w:id="0" w:name="OLE_LINK1"/>
      <w:bookmarkStart w:id="1" w:name="OLE_LINK2"/>
      <w:r w:rsidRPr="00FC0E52">
        <w:rPr>
          <w:sz w:val="28"/>
          <w:szCs w:val="28"/>
        </w:rPr>
        <w:t>Ministru kabineta noteikumu projekta</w:t>
      </w:r>
      <w:r w:rsidRPr="00FC0E52">
        <w:rPr>
          <w:b/>
          <w:sz w:val="28"/>
          <w:szCs w:val="28"/>
        </w:rPr>
        <w:t xml:space="preserve"> </w:t>
      </w:r>
      <w:r>
        <w:rPr>
          <w:b/>
          <w:sz w:val="28"/>
          <w:szCs w:val="28"/>
        </w:rPr>
        <w:t>„</w:t>
      </w:r>
      <w:r w:rsidRPr="00414FC6">
        <w:rPr>
          <w:b/>
          <w:sz w:val="28"/>
          <w:szCs w:val="28"/>
        </w:rPr>
        <w:t>Grozījum</w:t>
      </w:r>
      <w:r>
        <w:rPr>
          <w:b/>
          <w:sz w:val="28"/>
          <w:szCs w:val="28"/>
        </w:rPr>
        <w:t>s</w:t>
      </w:r>
      <w:r w:rsidRPr="00414FC6">
        <w:rPr>
          <w:b/>
          <w:sz w:val="28"/>
          <w:szCs w:val="28"/>
        </w:rPr>
        <w:t xml:space="preserve"> Ministru kabineta 2004.gada 7.septembra noteikumos Nr.778 „Kārtība, kādā tiek veikts siltumnīcefekta gāzu emisiju monitorings, kā arī pārbaudīti un apstiprināti ikgadējie pārskati par siltumnīcefekta gāzu emisiju”</w:t>
      </w:r>
      <w:r>
        <w:rPr>
          <w:b/>
          <w:sz w:val="28"/>
          <w:szCs w:val="28"/>
        </w:rPr>
        <w:t xml:space="preserve">” </w:t>
      </w:r>
      <w:r w:rsidRPr="00FC0E52">
        <w:rPr>
          <w:sz w:val="28"/>
          <w:szCs w:val="28"/>
        </w:rPr>
        <w:t>sākotnējās ietekmes novērtējuma ziņojums</w:t>
      </w:r>
      <w:r>
        <w:rPr>
          <w:sz w:val="28"/>
          <w:szCs w:val="28"/>
        </w:rPr>
        <w:t xml:space="preserve"> </w:t>
      </w:r>
      <w:r w:rsidRPr="007634EE">
        <w:rPr>
          <w:b/>
          <w:sz w:val="28"/>
          <w:szCs w:val="28"/>
        </w:rPr>
        <w:t>(anotācija)</w:t>
      </w:r>
    </w:p>
    <w:tbl>
      <w:tblPr>
        <w:tblpPr w:leftFromText="180" w:rightFromText="180" w:vertAnchor="text" w:horzAnchor="margin" w:tblpXSpec="center" w:tblpY="149"/>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
        <w:gridCol w:w="423"/>
        <w:gridCol w:w="1814"/>
        <w:gridCol w:w="7283"/>
      </w:tblGrid>
      <w:tr w:rsidR="005045BE" w:rsidRPr="00CE6F0D" w:rsidTr="00F601F3">
        <w:tc>
          <w:tcPr>
            <w:tcW w:w="9526" w:type="dxa"/>
            <w:gridSpan w:val="4"/>
            <w:vAlign w:val="center"/>
          </w:tcPr>
          <w:bookmarkEnd w:id="0"/>
          <w:bookmarkEnd w:id="1"/>
          <w:p w:rsidR="005045BE" w:rsidRPr="00CE6F0D" w:rsidRDefault="005045BE" w:rsidP="006C4607">
            <w:pPr>
              <w:pStyle w:val="naisnod"/>
              <w:spacing w:before="0" w:after="0"/>
            </w:pPr>
            <w:r w:rsidRPr="00CE6F0D">
              <w:t>I. Tiesību akta projekta izstrādes nepieciešamība</w:t>
            </w:r>
          </w:p>
        </w:tc>
      </w:tr>
      <w:tr w:rsidR="005045BE" w:rsidRPr="00CE6F0D" w:rsidTr="00F601F3">
        <w:trPr>
          <w:trHeight w:val="630"/>
        </w:trPr>
        <w:tc>
          <w:tcPr>
            <w:tcW w:w="429" w:type="dxa"/>
            <w:gridSpan w:val="2"/>
          </w:tcPr>
          <w:p w:rsidR="005045BE" w:rsidRPr="00CE6F0D" w:rsidRDefault="005045BE" w:rsidP="00F44D8A">
            <w:pPr>
              <w:pStyle w:val="naiskr"/>
              <w:spacing w:before="0" w:after="0"/>
              <w:jc w:val="center"/>
            </w:pPr>
            <w:r w:rsidRPr="00CE6F0D">
              <w:t>1.</w:t>
            </w:r>
          </w:p>
        </w:tc>
        <w:tc>
          <w:tcPr>
            <w:tcW w:w="1814" w:type="dxa"/>
          </w:tcPr>
          <w:p w:rsidR="005045BE" w:rsidRPr="00CE6F0D" w:rsidRDefault="005045BE" w:rsidP="006C4607">
            <w:pPr>
              <w:pStyle w:val="naiskr"/>
              <w:spacing w:before="0" w:after="0"/>
              <w:ind w:hanging="10"/>
            </w:pPr>
            <w:r w:rsidRPr="00CE6F0D">
              <w:t>Pamatojums</w:t>
            </w:r>
          </w:p>
          <w:p w:rsidR="005045BE" w:rsidRPr="00CE6F0D" w:rsidRDefault="005045BE" w:rsidP="000908E2">
            <w:pPr>
              <w:tabs>
                <w:tab w:val="left" w:pos="1035"/>
              </w:tabs>
            </w:pPr>
          </w:p>
        </w:tc>
        <w:tc>
          <w:tcPr>
            <w:tcW w:w="7283" w:type="dxa"/>
          </w:tcPr>
          <w:p w:rsidR="005045BE" w:rsidRPr="00CE6F0D" w:rsidRDefault="005045BE" w:rsidP="00B01C9A">
            <w:pPr>
              <w:pStyle w:val="naiskr"/>
              <w:spacing w:after="60"/>
              <w:ind w:left="140"/>
              <w:jc w:val="both"/>
            </w:pPr>
            <w:r w:rsidRPr="00CE6F0D">
              <w:t xml:space="preserve">Normatīvā akta projekts sagatavots saskaņā ar </w:t>
            </w:r>
            <w:r w:rsidRPr="00CE6F0D">
              <w:rPr>
                <w:iCs/>
              </w:rPr>
              <w:t>likuma „Par piesārņojumu” 45.panta pirmo un septīto daļu.</w:t>
            </w:r>
          </w:p>
        </w:tc>
      </w:tr>
      <w:tr w:rsidR="005045BE" w:rsidRPr="00CE6F0D" w:rsidTr="00F601F3">
        <w:trPr>
          <w:trHeight w:val="472"/>
        </w:trPr>
        <w:tc>
          <w:tcPr>
            <w:tcW w:w="429" w:type="dxa"/>
            <w:gridSpan w:val="2"/>
          </w:tcPr>
          <w:p w:rsidR="005045BE" w:rsidRPr="00CE6F0D" w:rsidRDefault="005045BE" w:rsidP="00F44D8A">
            <w:pPr>
              <w:pStyle w:val="HTMLPreformatted"/>
              <w:jc w:val="center"/>
              <w:rPr>
                <w:rFonts w:ascii="Times New Roman" w:hAnsi="Times New Roman" w:cs="Times New Roman"/>
                <w:sz w:val="24"/>
                <w:szCs w:val="24"/>
              </w:rPr>
            </w:pPr>
            <w:r w:rsidRPr="00CE6F0D">
              <w:rPr>
                <w:rFonts w:ascii="Times New Roman" w:hAnsi="Times New Roman" w:cs="Times New Roman"/>
                <w:sz w:val="24"/>
                <w:szCs w:val="24"/>
              </w:rPr>
              <w:t>2.</w:t>
            </w:r>
          </w:p>
        </w:tc>
        <w:tc>
          <w:tcPr>
            <w:tcW w:w="1814" w:type="dxa"/>
          </w:tcPr>
          <w:p w:rsidR="005045BE" w:rsidRPr="00CE6F0D" w:rsidRDefault="005045BE" w:rsidP="006C4607">
            <w:pPr>
              <w:pStyle w:val="HTMLPreformatted"/>
              <w:tabs>
                <w:tab w:val="left" w:pos="170"/>
              </w:tabs>
              <w:rPr>
                <w:rFonts w:ascii="Times New Roman" w:hAnsi="Times New Roman" w:cs="Times New Roman"/>
                <w:sz w:val="24"/>
                <w:szCs w:val="24"/>
              </w:rPr>
            </w:pPr>
            <w:r w:rsidRPr="00CE6F0D">
              <w:rPr>
                <w:rFonts w:ascii="Times New Roman" w:hAnsi="Times New Roman" w:cs="Times New Roman"/>
                <w:sz w:val="24"/>
                <w:szCs w:val="24"/>
              </w:rPr>
              <w:t>Pašreizējā situācija un problēmas</w:t>
            </w:r>
          </w:p>
        </w:tc>
        <w:tc>
          <w:tcPr>
            <w:tcW w:w="7283" w:type="dxa"/>
            <w:tcMar>
              <w:left w:w="57" w:type="dxa"/>
              <w:right w:w="57" w:type="dxa"/>
            </w:tcMar>
          </w:tcPr>
          <w:p w:rsidR="00A028D8" w:rsidRPr="00CE6F0D" w:rsidRDefault="003C0B51" w:rsidP="00A30FEC">
            <w:pPr>
              <w:pStyle w:val="naiskr"/>
              <w:spacing w:before="0" w:after="60"/>
              <w:ind w:left="57" w:right="57" w:firstLine="113"/>
              <w:jc w:val="both"/>
            </w:pPr>
            <w:r w:rsidRPr="00CE6F0D">
              <w:t xml:space="preserve">Ministru kabineta 2004.gada 7.septembra noteikumi Nr.778 „Kārtība, kādā tiek veikts siltumnīcefekta gāzu emisiju monitorings, kā arī pārbaudīti un apstiprināti ikgadējie pārskati par siltumnīcefekta gāzu emisiju” nosaka siltumnīcefekta gāzu emisiju monitoringa veikšanas kārtību un ikgadējo pārskatu par emisiju pārbaudes un apstiprināšanas kārtību. Saskaņā ar šiem noteikumiem katras emisijas kvotu tirdzniecības sistēmas </w:t>
            </w:r>
            <w:r w:rsidR="00A30FEC" w:rsidRPr="00CE6F0D">
              <w:t xml:space="preserve">iekārtas </w:t>
            </w:r>
            <w:r w:rsidRPr="00CE6F0D">
              <w:t>operators veic nepārtrauktu siltumnīcefekta gāzu emisiju monitoringu un katru gadu līdz 15.martam iesniedz attiecīgajā reģionālajā vides pārvaldē sagatavotu un verificētu pārskatu par emisiju, kurā iekļauj informāciju par savu iekārtu iepriekšējā kalendārajā gadā emitēto CO</w:t>
            </w:r>
            <w:r w:rsidRPr="00CE6F0D">
              <w:rPr>
                <w:vertAlign w:val="subscript"/>
              </w:rPr>
              <w:t>2</w:t>
            </w:r>
            <w:r w:rsidRPr="00CE6F0D">
              <w:t xml:space="preserve"> emisiju apjomu.</w:t>
            </w:r>
          </w:p>
          <w:p w:rsidR="00A028D8" w:rsidRPr="00CE6F0D" w:rsidRDefault="003C0B51" w:rsidP="00A30FEC">
            <w:pPr>
              <w:pStyle w:val="naiskr"/>
              <w:spacing w:before="0" w:after="60"/>
              <w:ind w:left="57" w:right="57" w:firstLine="113"/>
              <w:jc w:val="both"/>
            </w:pPr>
            <w:r w:rsidRPr="00CE6F0D">
              <w:t>Emisijas kvotu tirdzniecības sistēmas period</w:t>
            </w:r>
            <w:r w:rsidR="00A028D8" w:rsidRPr="00CE6F0D">
              <w:t>a</w:t>
            </w:r>
            <w:r w:rsidRPr="00CE6F0D">
              <w:t>, kas noteikts likuma „Par piesārņojumu” 24.</w:t>
            </w:r>
            <w:r w:rsidRPr="00CE6F0D">
              <w:rPr>
                <w:vertAlign w:val="superscript"/>
              </w:rPr>
              <w:t>1</w:t>
            </w:r>
            <w:r w:rsidRPr="00CE6F0D">
              <w:t xml:space="preserve"> panta piektās daļas 2.punktā (2008.gada 1.janvāris līdz 2012.gada 31.decembris)</w:t>
            </w:r>
            <w:r w:rsidR="00A028D8" w:rsidRPr="00CE6F0D">
              <w:t>, pēdējā gada (2012.gada) emisiju monitoringu operatoriem jāveic līdz 2012.gada 31.decembrim un jāiesniedz pārskats par 2012.gadā saražoto siltumnīcefekta gāzu emisiju līdz 2013.gada 15.martam</w:t>
            </w:r>
            <w:r w:rsidR="00A30FEC" w:rsidRPr="00CE6F0D">
              <w:t>.</w:t>
            </w:r>
            <w:r w:rsidR="00A028D8" w:rsidRPr="00CE6F0D">
              <w:t xml:space="preserve"> </w:t>
            </w:r>
            <w:r w:rsidR="00A30FEC" w:rsidRPr="00CE6F0D">
              <w:t>Savukārt r</w:t>
            </w:r>
            <w:r w:rsidR="00A028D8" w:rsidRPr="00CE6F0D">
              <w:t>eģionālās vides pārvaldes saskaņā ar Ministru kabineta noteikumiem Nr.778 apstiprina operatoru iesniegtos pārskatus līdz katra gada 31.martam</w:t>
            </w:r>
            <w:r w:rsidR="00F3722C" w:rsidRPr="00CE6F0D">
              <w:t>.</w:t>
            </w:r>
          </w:p>
          <w:p w:rsidR="003C0B51" w:rsidRPr="00CE6F0D" w:rsidRDefault="00A30FEC" w:rsidP="00A30FEC">
            <w:pPr>
              <w:pStyle w:val="naiskr"/>
              <w:spacing w:before="0" w:after="60"/>
              <w:ind w:left="57" w:right="57" w:firstLine="113"/>
              <w:jc w:val="both"/>
            </w:pPr>
            <w:r w:rsidRPr="00CE6F0D">
              <w:t xml:space="preserve">Ņemot vērā iepriekšminēto ir </w:t>
            </w:r>
            <w:r w:rsidR="00A028D8" w:rsidRPr="00CE6F0D">
              <w:t xml:space="preserve">nepieciešams spēkā atstāt siltumnīcefekta gāzu emisiju monitoringa veikšanas nosacījumus, kā arī nosacījumus pārskatu par emisiju sagatavošanai vismaz līdz 2013.gada 31.martam. </w:t>
            </w:r>
            <w:r w:rsidR="00F50CAC" w:rsidRPr="00CE6F0D">
              <w:t>Tomēr, ņemot vērā reālo situāciju pārskatu par emisiju iesniegšanai, verificēšanai (Latvijā darbojas tikai 2 verificētāji 71 emisijas kvotu tirdzniecības sistēmas iekārtai)</w:t>
            </w:r>
            <w:r w:rsidRPr="00CE6F0D">
              <w:t xml:space="preserve"> un pārbaudei </w:t>
            </w:r>
            <w:proofErr w:type="gramStart"/>
            <w:r w:rsidR="00F50CAC" w:rsidRPr="00CE6F0D">
              <w:t>(</w:t>
            </w:r>
            <w:proofErr w:type="gramEnd"/>
            <w:r w:rsidR="00F50CAC" w:rsidRPr="00CE6F0D">
              <w:t xml:space="preserve">8 reģionālās vides pārvaldes, kurām vienā laikā ir jāpārbauda pārskati par emisiju, kas iesniegti saskaņā ar Ministru kabineta noteikumiem Nr.778, un </w:t>
            </w:r>
            <w:r w:rsidR="00956D0F" w:rsidRPr="00CE6F0D">
              <w:t xml:space="preserve">valsts statistisko pārskatu veidlapas "Nr.2 – Gaiss. Pārskats par gaisa aizsardzību", kas iesniegti saskaņā ar Ministru kabineta 2008.gada 22.decembra noteikumiem nr.1075), ir noteikts </w:t>
            </w:r>
            <w:r w:rsidRPr="00CE6F0D">
              <w:t xml:space="preserve">ilgāks periods, kad tiks pieņemts operatora sagatavotais </w:t>
            </w:r>
            <w:r w:rsidR="00B95DA3" w:rsidRPr="00CE6F0D">
              <w:t>pārskat</w:t>
            </w:r>
            <w:r w:rsidRPr="00CE6F0D">
              <w:t>s</w:t>
            </w:r>
            <w:r w:rsidR="00B95DA3" w:rsidRPr="00CE6F0D">
              <w:t xml:space="preserve"> par emisijām</w:t>
            </w:r>
            <w:r w:rsidR="00956D0F" w:rsidRPr="00CE6F0D">
              <w:t xml:space="preserve"> – 2013.gada 30.jūnijs (</w:t>
            </w:r>
            <w:r w:rsidR="00FB2716" w:rsidRPr="00CE6F0D">
              <w:t>katra gada 30.jūnijā emisijas kvotu reģistrā valsts SIA „Latvijas Vides, ģeoloģijas un meteoroloģijas centrs” dzēš visas operatoru par iepriekšējo gadu nodotās emisijas kvotas, kas atbilst visu emisijas kvotu tirdzniecī</w:t>
            </w:r>
            <w:r w:rsidRPr="00CE6F0D">
              <w:t>bas sistēmas operatoru emitētaja</w:t>
            </w:r>
            <w:r w:rsidR="00FB2716" w:rsidRPr="00CE6F0D">
              <w:t>m CO</w:t>
            </w:r>
            <w:r w:rsidR="00FB2716" w:rsidRPr="00CE6F0D">
              <w:rPr>
                <w:vertAlign w:val="subscript"/>
              </w:rPr>
              <w:t>2</w:t>
            </w:r>
            <w:r w:rsidR="00FB2716" w:rsidRPr="00CE6F0D">
              <w:t xml:space="preserve"> emisiju apjomam</w:t>
            </w:r>
            <w:r w:rsidRPr="00CE6F0D">
              <w:t xml:space="preserve"> iepriekšējā kalendārajā gadā</w:t>
            </w:r>
            <w:r w:rsidR="00FB2716" w:rsidRPr="00CE6F0D">
              <w:t>)</w:t>
            </w:r>
            <w:r w:rsidR="00F3722C" w:rsidRPr="00CE6F0D">
              <w:t>.</w:t>
            </w:r>
          </w:p>
          <w:p w:rsidR="00F3722C" w:rsidRPr="00CE6F0D" w:rsidRDefault="00F3722C" w:rsidP="00A30FEC">
            <w:pPr>
              <w:pStyle w:val="naiskr"/>
              <w:spacing w:before="0" w:after="60"/>
              <w:ind w:left="57" w:right="57" w:firstLine="113"/>
              <w:jc w:val="both"/>
            </w:pPr>
            <w:r w:rsidRPr="00CE6F0D">
              <w:t>Tomēr Ministru kabineta noteikumu Nr.778:</w:t>
            </w:r>
          </w:p>
          <w:p w:rsidR="00F3722C" w:rsidRPr="00CE6F0D" w:rsidRDefault="00F3722C" w:rsidP="00A30FEC">
            <w:pPr>
              <w:pStyle w:val="naiskr"/>
              <w:numPr>
                <w:ilvl w:val="0"/>
                <w:numId w:val="20"/>
              </w:numPr>
              <w:spacing w:before="0" w:after="60"/>
              <w:ind w:left="57" w:right="57" w:firstLine="113"/>
              <w:jc w:val="both"/>
            </w:pPr>
            <w:r w:rsidRPr="00CE6F0D">
              <w:t xml:space="preserve">3.punktā ir noteikta tā monitoringa informācija, ko operators </w:t>
            </w:r>
            <w:r w:rsidRPr="00CE6F0D">
              <w:lastRenderedPageBreak/>
              <w:t>iekļauj siltumnīcefekta gāzu emisijas atļaujas pieteikumā, ko iesniedz reģionālajā vides pārvaldē;</w:t>
            </w:r>
          </w:p>
          <w:p w:rsidR="00F3722C" w:rsidRPr="00CE6F0D" w:rsidRDefault="00F3722C" w:rsidP="00A30FEC">
            <w:pPr>
              <w:pStyle w:val="naiskr"/>
              <w:numPr>
                <w:ilvl w:val="0"/>
                <w:numId w:val="20"/>
              </w:numPr>
              <w:spacing w:before="0" w:after="60"/>
              <w:ind w:left="57" w:right="57" w:firstLine="113"/>
              <w:jc w:val="both"/>
            </w:pPr>
            <w:r w:rsidRPr="00CE6F0D">
              <w:t>4.punktā ir noteikts, ka reģionālā vides pārvalde operatoram sniedz uzziņu par to informāciju, kas ir iekļaujama monitoringa aprakstā, kas iekļaujams siltumnīcefekta gāzu emisijas atļaujas pieteikumā;</w:t>
            </w:r>
          </w:p>
          <w:p w:rsidR="00F3722C" w:rsidRPr="00CE6F0D" w:rsidRDefault="00F3722C" w:rsidP="00A30FEC">
            <w:pPr>
              <w:pStyle w:val="naiskr"/>
              <w:numPr>
                <w:ilvl w:val="0"/>
                <w:numId w:val="20"/>
              </w:numPr>
              <w:spacing w:before="0" w:after="60"/>
              <w:ind w:left="57" w:right="57" w:firstLine="113"/>
              <w:jc w:val="both"/>
            </w:pPr>
            <w:r w:rsidRPr="00CE6F0D">
              <w:t>5.punktā ir noteikta kārtība, kā operators iesniedz reģionālajā vides pārvaldē priekšlikumus siltumnīcefekta gāzu emisijas atļaujā iekļauto monitoringa nosacījumu grozījumiem;</w:t>
            </w:r>
          </w:p>
          <w:p w:rsidR="00F601F3" w:rsidRPr="00CE6F0D" w:rsidRDefault="00F3722C" w:rsidP="00A30FEC">
            <w:pPr>
              <w:pStyle w:val="naiskr"/>
              <w:numPr>
                <w:ilvl w:val="0"/>
                <w:numId w:val="20"/>
              </w:numPr>
              <w:spacing w:before="0" w:after="60"/>
              <w:ind w:left="57" w:right="57" w:firstLine="113"/>
              <w:jc w:val="both"/>
            </w:pPr>
            <w:r w:rsidRPr="00CE6F0D">
              <w:t>6.punkts nosaka kārtību, kā reģionālā vides pārvalde pārbauda operatora iesniegtos priekšlikumus siltumnīcefekta gāzu emisijas atļaujā iekļauto monitoringa nosacījumu grozījumiem un groza siltumnīcefekta gāzu emisijas atļauju.</w:t>
            </w:r>
          </w:p>
          <w:p w:rsidR="00F601F3" w:rsidRPr="00CE6F0D" w:rsidRDefault="00F601F3" w:rsidP="00A30FEC">
            <w:pPr>
              <w:pStyle w:val="naiskr"/>
              <w:spacing w:before="0" w:after="60"/>
              <w:ind w:left="57" w:right="57" w:firstLine="113"/>
              <w:jc w:val="both"/>
            </w:pPr>
            <w:r w:rsidRPr="00CE6F0D">
              <w:t>Šie Ministru kabineta noteikumu Nr.778 punkti</w:t>
            </w:r>
            <w:r w:rsidR="00CE0BC1" w:rsidRPr="00CE6F0D">
              <w:t xml:space="preserve"> dublē Ministru kabineta noteikumu projektā „Noteikumi par stacionāro tehnoloģisko iekārtu dalību Eiropas Savienības emisijas kvotu tirdzniecības sistēmā” noteiktos nosacījumus un ir pretrunā ar Eiropas Komisijas 2012.gada 21.jūnija regulā nr.601/2012 par siltumnīcefekta gāzu emisiju monitoringu un ziņošanu saskaņā ar Eiropas Parlamenta un Padomes Direktīvu 2003/87/EK (turpmāk – Eiropas Komisijas regula Nr.601/2012) noteiktajiem nosacījumiem.</w:t>
            </w:r>
          </w:p>
        </w:tc>
      </w:tr>
      <w:tr w:rsidR="005045BE" w:rsidRPr="00CE6F0D" w:rsidTr="00F601F3">
        <w:trPr>
          <w:trHeight w:val="1071"/>
        </w:trPr>
        <w:tc>
          <w:tcPr>
            <w:tcW w:w="429" w:type="dxa"/>
            <w:gridSpan w:val="2"/>
          </w:tcPr>
          <w:p w:rsidR="005045BE" w:rsidRPr="00CE6F0D" w:rsidRDefault="005045BE" w:rsidP="00F44D8A">
            <w:pPr>
              <w:pStyle w:val="HTMLPreformatted"/>
              <w:jc w:val="center"/>
              <w:rPr>
                <w:rFonts w:ascii="Times New Roman" w:hAnsi="Times New Roman" w:cs="Times New Roman"/>
                <w:sz w:val="24"/>
                <w:szCs w:val="24"/>
              </w:rPr>
            </w:pPr>
            <w:r w:rsidRPr="00CE6F0D">
              <w:rPr>
                <w:rFonts w:ascii="Times New Roman" w:hAnsi="Times New Roman" w:cs="Times New Roman"/>
                <w:sz w:val="24"/>
                <w:szCs w:val="24"/>
              </w:rPr>
              <w:lastRenderedPageBreak/>
              <w:t>3.</w:t>
            </w:r>
          </w:p>
        </w:tc>
        <w:tc>
          <w:tcPr>
            <w:tcW w:w="1814" w:type="dxa"/>
          </w:tcPr>
          <w:p w:rsidR="005045BE" w:rsidRPr="00CE6F0D" w:rsidRDefault="005045BE" w:rsidP="006C4607">
            <w:pPr>
              <w:pStyle w:val="HTMLPreformatted"/>
              <w:rPr>
                <w:rFonts w:ascii="Times New Roman" w:hAnsi="Times New Roman" w:cs="Times New Roman"/>
                <w:sz w:val="24"/>
                <w:szCs w:val="24"/>
              </w:rPr>
            </w:pPr>
            <w:r w:rsidRPr="00CE6F0D">
              <w:rPr>
                <w:rFonts w:ascii="Times New Roman" w:hAnsi="Times New Roman" w:cs="Times New Roman"/>
                <w:sz w:val="24"/>
                <w:szCs w:val="24"/>
              </w:rPr>
              <w:t>Saistītie politikas ietekmes novērtējumi un pētījumi</w:t>
            </w:r>
          </w:p>
        </w:tc>
        <w:tc>
          <w:tcPr>
            <w:tcW w:w="7283" w:type="dxa"/>
          </w:tcPr>
          <w:p w:rsidR="005045BE" w:rsidRPr="00CE6F0D" w:rsidRDefault="005045BE" w:rsidP="00DE5A3F">
            <w:pPr>
              <w:pStyle w:val="naiskr"/>
              <w:spacing w:before="0" w:after="60"/>
              <w:ind w:firstLine="232"/>
            </w:pPr>
            <w:r w:rsidRPr="00CE6F0D">
              <w:rPr>
                <w:color w:val="000000"/>
                <w:lang w:eastAsia="en-US"/>
              </w:rPr>
              <w:t>Projekts šo jomu neskar</w:t>
            </w:r>
          </w:p>
        </w:tc>
      </w:tr>
      <w:tr w:rsidR="005045BE" w:rsidRPr="00CE6F0D" w:rsidTr="00F601F3">
        <w:trPr>
          <w:trHeight w:val="384"/>
        </w:trPr>
        <w:tc>
          <w:tcPr>
            <w:tcW w:w="429" w:type="dxa"/>
            <w:gridSpan w:val="2"/>
          </w:tcPr>
          <w:p w:rsidR="005045BE" w:rsidRPr="00CE6F0D" w:rsidRDefault="005045BE" w:rsidP="00F44D8A">
            <w:pPr>
              <w:pStyle w:val="HTMLPreformatted"/>
              <w:jc w:val="center"/>
              <w:rPr>
                <w:rFonts w:ascii="Times New Roman" w:hAnsi="Times New Roman" w:cs="Times New Roman"/>
                <w:sz w:val="24"/>
                <w:szCs w:val="24"/>
              </w:rPr>
            </w:pPr>
            <w:r w:rsidRPr="00CE6F0D">
              <w:rPr>
                <w:rFonts w:ascii="Times New Roman" w:hAnsi="Times New Roman" w:cs="Times New Roman"/>
                <w:sz w:val="24"/>
                <w:szCs w:val="24"/>
              </w:rPr>
              <w:t>4.</w:t>
            </w:r>
          </w:p>
        </w:tc>
        <w:tc>
          <w:tcPr>
            <w:tcW w:w="1814" w:type="dxa"/>
          </w:tcPr>
          <w:p w:rsidR="005045BE" w:rsidRPr="00CE6F0D" w:rsidRDefault="005045BE" w:rsidP="006C4607">
            <w:pPr>
              <w:pStyle w:val="HTMLPreformatted"/>
              <w:rPr>
                <w:rFonts w:ascii="Times New Roman" w:hAnsi="Times New Roman" w:cs="Times New Roman"/>
                <w:sz w:val="24"/>
                <w:szCs w:val="24"/>
              </w:rPr>
            </w:pPr>
            <w:r w:rsidRPr="00CE6F0D">
              <w:rPr>
                <w:rFonts w:ascii="Times New Roman" w:hAnsi="Times New Roman" w:cs="Times New Roman"/>
                <w:sz w:val="24"/>
                <w:szCs w:val="24"/>
              </w:rPr>
              <w:t>Tiesiskā regulējuma mērķis un būtība</w:t>
            </w:r>
          </w:p>
        </w:tc>
        <w:tc>
          <w:tcPr>
            <w:tcW w:w="7283" w:type="dxa"/>
          </w:tcPr>
          <w:p w:rsidR="00F601F3" w:rsidRPr="00CE6F0D" w:rsidRDefault="00F601F3" w:rsidP="00A30FEC">
            <w:pPr>
              <w:pStyle w:val="naiskr"/>
              <w:spacing w:before="0" w:after="60"/>
              <w:ind w:left="57" w:right="57" w:firstLine="113"/>
              <w:jc w:val="both"/>
            </w:pPr>
            <w:r w:rsidRPr="00CE6F0D">
              <w:t>Ministru kabineta noteikumu Nr.778 3., 4., 5. un 6.punkts no noteikumiem ir jā</w:t>
            </w:r>
            <w:r w:rsidR="00A30FEC" w:rsidRPr="00CE6F0D">
              <w:t>svītro</w:t>
            </w:r>
            <w:r w:rsidRPr="00CE6F0D">
              <w:t>, jo nosacījumi siltumnīcefekta gāzu emisijas atļaujas saņemšanai, grozīšanai un tajā iekļauto monitoringa nosacījumu izstrādei un grozīšanai ir noteikti Ministru kabineta noteikumu projektā „Noteikumi par stacionāro tehnoloģisko iekārtu dalību Eiropas Savienības emisijas kvotu tirdzniecības sistēmā”.</w:t>
            </w:r>
          </w:p>
          <w:p w:rsidR="00F601F3" w:rsidRPr="00CE6F0D" w:rsidRDefault="00F601F3" w:rsidP="00A30FEC">
            <w:pPr>
              <w:pStyle w:val="naiskr"/>
              <w:spacing w:before="0" w:after="60"/>
              <w:ind w:left="57" w:right="57" w:firstLine="113"/>
              <w:jc w:val="both"/>
            </w:pPr>
            <w:r w:rsidRPr="00CE6F0D">
              <w:t>Nosacījumi siltumnīcefekta gāzu emisiju monitoringam, monitoringa plāna sagatavošanai, iesnieguma siltumnīcefekta gāzu emisijas atļaujas saņemšanai, atļaujas grozīšanai ir noteikti Eiropas Komisijas regulā nr.601/2012.</w:t>
            </w:r>
          </w:p>
          <w:p w:rsidR="00F601F3" w:rsidRPr="00CE6F0D" w:rsidRDefault="00F601F3" w:rsidP="00A30FEC">
            <w:pPr>
              <w:pStyle w:val="naiskr"/>
              <w:spacing w:before="0" w:after="60"/>
              <w:ind w:left="57" w:right="57" w:firstLine="113"/>
              <w:jc w:val="both"/>
            </w:pPr>
            <w:r w:rsidRPr="00CE6F0D">
              <w:t>Ministru kabineta noteikumu projekta „Noteikumi par stacionāro tehnoloģisko iekārtu dalību Eiropas Savienības emisijas kvotu tirdzniecības sistēmā”:</w:t>
            </w:r>
          </w:p>
          <w:p w:rsidR="00F601F3" w:rsidRPr="00CE6F0D" w:rsidRDefault="00F601F3" w:rsidP="00A30FEC">
            <w:pPr>
              <w:pStyle w:val="naiskr"/>
              <w:numPr>
                <w:ilvl w:val="0"/>
                <w:numId w:val="21"/>
              </w:numPr>
              <w:spacing w:before="0" w:after="60"/>
              <w:ind w:left="57" w:right="57" w:firstLine="113"/>
              <w:jc w:val="both"/>
            </w:pPr>
            <w:r w:rsidRPr="00CE6F0D">
              <w:t xml:space="preserve">2.1.nodaļā ir iekļauti nosacījumi, kas </w:t>
            </w:r>
            <w:r w:rsidR="00CE0BC1" w:rsidRPr="00CE6F0D">
              <w:t>ir n</w:t>
            </w:r>
            <w:r w:rsidRPr="00CE6F0D">
              <w:t>oteikti Ministru kabineta noteikumu Nr.778 3.punktā;</w:t>
            </w:r>
          </w:p>
          <w:p w:rsidR="00F601F3" w:rsidRPr="00CE6F0D" w:rsidRDefault="00F601F3" w:rsidP="00A30FEC">
            <w:pPr>
              <w:pStyle w:val="naiskr"/>
              <w:numPr>
                <w:ilvl w:val="0"/>
                <w:numId w:val="21"/>
              </w:numPr>
              <w:spacing w:before="0" w:after="60"/>
              <w:ind w:left="57" w:right="57" w:firstLine="113"/>
              <w:jc w:val="both"/>
            </w:pPr>
            <w:r w:rsidRPr="00CE6F0D">
              <w:t xml:space="preserve">2.4.nodaļā ir iekļauti nosacījumi, kas </w:t>
            </w:r>
            <w:r w:rsidR="00CE0BC1" w:rsidRPr="00CE6F0D">
              <w:t>ir</w:t>
            </w:r>
            <w:r w:rsidRPr="00CE6F0D">
              <w:t xml:space="preserve"> noteikti Ministru kabineta noteikumu Nr.778 5. un 6.punktā.</w:t>
            </w:r>
          </w:p>
          <w:p w:rsidR="00F601F3" w:rsidRPr="00CE6F0D" w:rsidRDefault="00F601F3" w:rsidP="00A30FEC">
            <w:pPr>
              <w:pStyle w:val="naiskr"/>
              <w:spacing w:before="0" w:after="60"/>
              <w:ind w:left="57" w:right="57" w:firstLine="113"/>
              <w:jc w:val="both"/>
            </w:pPr>
            <w:r w:rsidRPr="00CE6F0D">
              <w:t>Ministru kabineta noteikumu Nr.778</w:t>
            </w:r>
            <w:r w:rsidR="00A30FEC" w:rsidRPr="00CE6F0D">
              <w:t xml:space="preserve"> 4.punkts nav pārņemts</w:t>
            </w:r>
            <w:proofErr w:type="gramStart"/>
            <w:r w:rsidR="00A30FEC" w:rsidRPr="00CE6F0D">
              <w:t xml:space="preserve">  </w:t>
            </w:r>
            <w:proofErr w:type="gramEnd"/>
            <w:r w:rsidR="00A30FEC" w:rsidRPr="00CE6F0D">
              <w:t>Ministru kabineta noteikumu projektā „Noteikumi par stacionāro tehnoloģisko iekārtu dalību Eiropas Savienības emisijas kvotu tirdzniecības sistēmā”</w:t>
            </w:r>
            <w:r w:rsidRPr="00CE6F0D">
              <w:t xml:space="preserve">, jo visa informāciju par emisiju monitoringa aprakstā iekļaujamo informāciju ir noteikta Eiropas Komisijas 2012.gada 21.jūnija regulā Nr.601/2010, kā arī ir iekļauta monitoringa plāna veidlapā, kas </w:t>
            </w:r>
            <w:r w:rsidRPr="00CE6F0D">
              <w:lastRenderedPageBreak/>
              <w:t>operatoram ir jāsagatavo un jāiesniedz kopā ar iesniegumu siltumnīcefekta gāzu emisijas atļaujas saņemšanai.</w:t>
            </w:r>
          </w:p>
        </w:tc>
      </w:tr>
      <w:tr w:rsidR="005045BE" w:rsidRPr="00CE6F0D" w:rsidTr="00F601F3">
        <w:trPr>
          <w:trHeight w:val="476"/>
        </w:trPr>
        <w:tc>
          <w:tcPr>
            <w:tcW w:w="429" w:type="dxa"/>
            <w:gridSpan w:val="2"/>
          </w:tcPr>
          <w:p w:rsidR="005045BE" w:rsidRPr="00CE6F0D" w:rsidRDefault="005045BE" w:rsidP="00F44D8A">
            <w:pPr>
              <w:pStyle w:val="naiskr"/>
              <w:spacing w:before="0" w:after="0"/>
              <w:jc w:val="center"/>
            </w:pPr>
            <w:r w:rsidRPr="00CE6F0D">
              <w:lastRenderedPageBreak/>
              <w:t>5.</w:t>
            </w:r>
          </w:p>
        </w:tc>
        <w:tc>
          <w:tcPr>
            <w:tcW w:w="1814" w:type="dxa"/>
          </w:tcPr>
          <w:p w:rsidR="005045BE" w:rsidRPr="00CE6F0D" w:rsidRDefault="005045BE" w:rsidP="006C4607">
            <w:pPr>
              <w:pStyle w:val="naiskr"/>
              <w:spacing w:before="0" w:after="0"/>
            </w:pPr>
            <w:r w:rsidRPr="00CE6F0D">
              <w:t>Projekta izstrādē iesaistītās institūcijas</w:t>
            </w:r>
          </w:p>
        </w:tc>
        <w:tc>
          <w:tcPr>
            <w:tcW w:w="7283" w:type="dxa"/>
          </w:tcPr>
          <w:p w:rsidR="005045BE" w:rsidRPr="00CE6F0D" w:rsidRDefault="005045BE" w:rsidP="00FC0E52">
            <w:pPr>
              <w:pStyle w:val="naiskr"/>
              <w:spacing w:before="0" w:after="0"/>
              <w:ind w:firstLine="235"/>
              <w:rPr>
                <w:iCs/>
              </w:rPr>
            </w:pPr>
            <w:r w:rsidRPr="00CE6F0D">
              <w:rPr>
                <w:iCs/>
              </w:rPr>
              <w:t>Vides aizsardzības un reģionālās attīstības ministrija</w:t>
            </w:r>
          </w:p>
          <w:p w:rsidR="005045BE" w:rsidRPr="00CE6F0D" w:rsidRDefault="005045BE" w:rsidP="00FC0E52">
            <w:pPr>
              <w:pStyle w:val="naiskr"/>
              <w:spacing w:before="0" w:after="0"/>
              <w:ind w:firstLine="235"/>
            </w:pPr>
          </w:p>
        </w:tc>
      </w:tr>
      <w:tr w:rsidR="005045BE" w:rsidRPr="00CE6F0D" w:rsidTr="00F60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049"/>
        </w:trPr>
        <w:tc>
          <w:tcPr>
            <w:tcW w:w="423" w:type="dxa"/>
            <w:tcBorders>
              <w:top w:val="single" w:sz="4" w:space="0" w:color="auto"/>
              <w:left w:val="single" w:sz="4" w:space="0" w:color="auto"/>
              <w:bottom w:val="single" w:sz="4" w:space="0" w:color="auto"/>
              <w:right w:val="single" w:sz="4" w:space="0" w:color="auto"/>
            </w:tcBorders>
          </w:tcPr>
          <w:p w:rsidR="005045BE" w:rsidRPr="00CE6F0D" w:rsidRDefault="005045BE" w:rsidP="00F44D8A">
            <w:pPr>
              <w:pStyle w:val="naiskr"/>
              <w:spacing w:before="0" w:after="0"/>
              <w:jc w:val="center"/>
            </w:pPr>
            <w:r w:rsidRPr="00CE6F0D">
              <w:t>6.</w:t>
            </w:r>
          </w:p>
        </w:tc>
        <w:tc>
          <w:tcPr>
            <w:tcW w:w="1814" w:type="dxa"/>
            <w:tcBorders>
              <w:top w:val="single" w:sz="4" w:space="0" w:color="auto"/>
              <w:left w:val="single" w:sz="4" w:space="0" w:color="auto"/>
              <w:bottom w:val="single" w:sz="4" w:space="0" w:color="auto"/>
              <w:right w:val="single" w:sz="4" w:space="0" w:color="auto"/>
            </w:tcBorders>
          </w:tcPr>
          <w:p w:rsidR="005045BE" w:rsidRPr="00CE6F0D" w:rsidRDefault="005045BE" w:rsidP="006C4607">
            <w:pPr>
              <w:pStyle w:val="naiskr"/>
              <w:spacing w:before="0" w:after="0"/>
              <w:rPr>
                <w:i/>
                <w:highlight w:val="yellow"/>
              </w:rPr>
            </w:pPr>
            <w:r w:rsidRPr="00CE6F0D">
              <w:t>Iemesli, kādēļ netika nodrošināta sabiedrības līdzdalība</w:t>
            </w:r>
          </w:p>
        </w:tc>
        <w:tc>
          <w:tcPr>
            <w:tcW w:w="7283" w:type="dxa"/>
            <w:tcBorders>
              <w:top w:val="single" w:sz="4" w:space="0" w:color="auto"/>
              <w:left w:val="single" w:sz="4" w:space="0" w:color="auto"/>
              <w:bottom w:val="single" w:sz="4" w:space="0" w:color="auto"/>
              <w:right w:val="single" w:sz="4" w:space="0" w:color="auto"/>
            </w:tcBorders>
          </w:tcPr>
          <w:p w:rsidR="005045BE" w:rsidRPr="00CE6F0D" w:rsidRDefault="005045BE" w:rsidP="009604F7">
            <w:pPr>
              <w:pStyle w:val="FootnoteText"/>
              <w:ind w:firstLine="235"/>
              <w:rPr>
                <w:sz w:val="24"/>
                <w:szCs w:val="24"/>
              </w:rPr>
            </w:pPr>
            <w:r w:rsidRPr="00CE6F0D">
              <w:rPr>
                <w:color w:val="000000"/>
                <w:sz w:val="24"/>
                <w:szCs w:val="24"/>
                <w:lang w:eastAsia="en-US"/>
              </w:rPr>
              <w:t>Projekts šo jomu neskar</w:t>
            </w:r>
          </w:p>
        </w:tc>
      </w:tr>
      <w:tr w:rsidR="005045BE" w:rsidRPr="00CE6F0D" w:rsidTr="00F601F3">
        <w:tc>
          <w:tcPr>
            <w:tcW w:w="429" w:type="dxa"/>
            <w:gridSpan w:val="2"/>
          </w:tcPr>
          <w:p w:rsidR="005045BE" w:rsidRPr="00CE6F0D" w:rsidRDefault="005045BE" w:rsidP="00F44D8A">
            <w:pPr>
              <w:pStyle w:val="naiskr"/>
              <w:spacing w:before="0" w:after="0"/>
              <w:jc w:val="center"/>
            </w:pPr>
            <w:r w:rsidRPr="00CE6F0D">
              <w:t>7.</w:t>
            </w:r>
          </w:p>
        </w:tc>
        <w:tc>
          <w:tcPr>
            <w:tcW w:w="1814" w:type="dxa"/>
          </w:tcPr>
          <w:p w:rsidR="005045BE" w:rsidRPr="00CE6F0D" w:rsidRDefault="005045BE" w:rsidP="006C4607">
            <w:pPr>
              <w:pStyle w:val="naiskr"/>
              <w:spacing w:before="0" w:after="0"/>
            </w:pPr>
            <w:r w:rsidRPr="00CE6F0D">
              <w:t>Cita informācija</w:t>
            </w:r>
          </w:p>
        </w:tc>
        <w:tc>
          <w:tcPr>
            <w:tcW w:w="7283" w:type="dxa"/>
          </w:tcPr>
          <w:p w:rsidR="005045BE" w:rsidRPr="00CE6F0D" w:rsidRDefault="005045BE" w:rsidP="00297193">
            <w:pPr>
              <w:pStyle w:val="naiskr"/>
              <w:spacing w:before="0" w:after="0"/>
              <w:ind w:firstLine="283"/>
            </w:pPr>
            <w:r w:rsidRPr="00CE6F0D">
              <w:t>Nav</w:t>
            </w:r>
          </w:p>
        </w:tc>
      </w:tr>
    </w:tbl>
    <w:p w:rsidR="005045BE" w:rsidRPr="00BD28D4" w:rsidRDefault="005045BE" w:rsidP="006C4607">
      <w:pPr>
        <w:pStyle w:val="naisf"/>
        <w:spacing w:before="0" w:after="0"/>
        <w:rPr>
          <w:sz w:val="12"/>
          <w:szCs w:val="12"/>
        </w:rPr>
      </w:pPr>
    </w:p>
    <w:p w:rsidR="005045BE" w:rsidRDefault="005045BE" w:rsidP="006C4607">
      <w:pPr>
        <w:pStyle w:val="naisf"/>
        <w:spacing w:before="0" w:after="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789"/>
        <w:gridCol w:w="6129"/>
      </w:tblGrid>
      <w:tr w:rsidR="005045BE" w:rsidRPr="00CE6F0D" w:rsidTr="00870962">
        <w:trPr>
          <w:jc w:val="center"/>
        </w:trPr>
        <w:tc>
          <w:tcPr>
            <w:tcW w:w="9639" w:type="dxa"/>
            <w:gridSpan w:val="3"/>
          </w:tcPr>
          <w:p w:rsidR="005045BE" w:rsidRPr="00CE6F0D" w:rsidRDefault="005045BE" w:rsidP="009D18A3">
            <w:pPr>
              <w:pStyle w:val="naisf"/>
              <w:spacing w:before="0" w:after="0"/>
              <w:ind w:firstLine="0"/>
              <w:jc w:val="center"/>
              <w:rPr>
                <w:b/>
              </w:rPr>
            </w:pPr>
            <w:r w:rsidRPr="00CE6F0D">
              <w:rPr>
                <w:b/>
              </w:rPr>
              <w:t>II. Tiesību akta projekta ietekme uz sabiedrību</w:t>
            </w:r>
          </w:p>
        </w:tc>
      </w:tr>
      <w:tr w:rsidR="005045BE" w:rsidRPr="00CE6F0D" w:rsidTr="00870962">
        <w:trPr>
          <w:jc w:val="center"/>
        </w:trPr>
        <w:tc>
          <w:tcPr>
            <w:tcW w:w="721" w:type="dxa"/>
          </w:tcPr>
          <w:p w:rsidR="005045BE" w:rsidRPr="00CE6F0D" w:rsidRDefault="005045BE" w:rsidP="00B41746">
            <w:pPr>
              <w:pStyle w:val="naiskr"/>
              <w:spacing w:before="0" w:after="0"/>
            </w:pPr>
            <w:r w:rsidRPr="00CE6F0D">
              <w:t>1.</w:t>
            </w:r>
          </w:p>
        </w:tc>
        <w:tc>
          <w:tcPr>
            <w:tcW w:w="2789" w:type="dxa"/>
          </w:tcPr>
          <w:p w:rsidR="005045BE" w:rsidRPr="00CE6F0D" w:rsidRDefault="005045BE" w:rsidP="00B41746">
            <w:pPr>
              <w:pStyle w:val="naiskr"/>
              <w:spacing w:before="0" w:after="0"/>
            </w:pPr>
            <w:r w:rsidRPr="00CE6F0D">
              <w:t>Sabiedrības mērķgrupa</w:t>
            </w:r>
          </w:p>
        </w:tc>
        <w:tc>
          <w:tcPr>
            <w:tcW w:w="6129" w:type="dxa"/>
          </w:tcPr>
          <w:p w:rsidR="005045BE" w:rsidRPr="00CE6F0D" w:rsidRDefault="005045BE" w:rsidP="00B41746">
            <w:pPr>
              <w:pStyle w:val="naiskr"/>
              <w:numPr>
                <w:ilvl w:val="0"/>
                <w:numId w:val="19"/>
              </w:numPr>
              <w:tabs>
                <w:tab w:val="clear" w:pos="720"/>
                <w:tab w:val="num" w:pos="425"/>
              </w:tabs>
              <w:spacing w:before="0" w:after="60"/>
              <w:ind w:left="425"/>
              <w:jc w:val="both"/>
              <w:rPr>
                <w:rStyle w:val="apple-style-span"/>
                <w:b/>
                <w:bCs/>
                <w:color w:val="000000"/>
                <w:shd w:val="clear" w:color="auto" w:fill="FFFFFF"/>
              </w:rPr>
            </w:pPr>
            <w:r w:rsidRPr="00CE6F0D">
              <w:rPr>
                <w:iCs/>
              </w:rPr>
              <w:t>Latvijas emisijas kvotu tirdzniecības sistēmas operatori, kuri veic kādu no likuma „Par piesārņojumu” 2.pielikumā minētajām darbībām un kuriem ir izsniegtas siltumnīcefekta gāzu emisijas atļaujas</w:t>
            </w:r>
            <w:r w:rsidRPr="00CE6F0D">
              <w:rPr>
                <w:rStyle w:val="apple-style-span"/>
                <w:color w:val="000000"/>
                <w:shd w:val="clear" w:color="auto" w:fill="FFFFFF"/>
              </w:rPr>
              <w:t>;</w:t>
            </w:r>
          </w:p>
          <w:p w:rsidR="005045BE" w:rsidRPr="00CE6F0D" w:rsidRDefault="005045BE" w:rsidP="00B41746">
            <w:pPr>
              <w:pStyle w:val="naiskr"/>
              <w:numPr>
                <w:ilvl w:val="0"/>
                <w:numId w:val="19"/>
              </w:numPr>
              <w:tabs>
                <w:tab w:val="clear" w:pos="720"/>
                <w:tab w:val="num" w:pos="425"/>
              </w:tabs>
              <w:spacing w:before="0" w:after="60"/>
              <w:ind w:left="425"/>
              <w:jc w:val="both"/>
            </w:pPr>
            <w:r w:rsidRPr="00CE6F0D">
              <w:rPr>
                <w:rStyle w:val="apple-style-span"/>
                <w:color w:val="000000"/>
                <w:shd w:val="clear" w:color="auto" w:fill="FFFFFF"/>
              </w:rPr>
              <w:t xml:space="preserve">Kādā no Eiropas Savienības dalībvalstīm </w:t>
            </w:r>
            <w:r w:rsidRPr="00CE6F0D">
              <w:rPr>
                <w:color w:val="000000"/>
              </w:rPr>
              <w:t xml:space="preserve">atbilstības novērtēšanas institūcijā </w:t>
            </w:r>
            <w:r w:rsidRPr="00CE6F0D">
              <w:rPr>
                <w:rStyle w:val="apple-style-span"/>
                <w:color w:val="000000"/>
                <w:shd w:val="clear" w:color="auto" w:fill="FFFFFF"/>
              </w:rPr>
              <w:t>vai Latvijā akreditēti</w:t>
            </w:r>
            <w:r w:rsidRPr="00CE6F0D">
              <w:rPr>
                <w:color w:val="000000"/>
              </w:rPr>
              <w:t xml:space="preserve"> vides darbību verificētāji.</w:t>
            </w:r>
          </w:p>
        </w:tc>
      </w:tr>
      <w:tr w:rsidR="005045BE" w:rsidRPr="00CE6F0D" w:rsidTr="00870962">
        <w:trPr>
          <w:jc w:val="center"/>
        </w:trPr>
        <w:tc>
          <w:tcPr>
            <w:tcW w:w="721" w:type="dxa"/>
          </w:tcPr>
          <w:p w:rsidR="005045BE" w:rsidRPr="00CE6F0D" w:rsidRDefault="005045BE" w:rsidP="000D22E1">
            <w:r w:rsidRPr="00CE6F0D">
              <w:t>2.</w:t>
            </w:r>
          </w:p>
        </w:tc>
        <w:tc>
          <w:tcPr>
            <w:tcW w:w="2789" w:type="dxa"/>
          </w:tcPr>
          <w:p w:rsidR="005045BE" w:rsidRPr="00CE6F0D" w:rsidRDefault="005045BE" w:rsidP="000D22E1">
            <w:r w:rsidRPr="00CE6F0D">
              <w:t>Citas sabiedrības grupas (bez mērķgrupas), kuras tiesiskais regulējums arī ietekmē vai varētu ietekmēt</w:t>
            </w:r>
          </w:p>
        </w:tc>
        <w:tc>
          <w:tcPr>
            <w:tcW w:w="6129" w:type="dxa"/>
          </w:tcPr>
          <w:p w:rsidR="005045BE" w:rsidRPr="00CE6F0D" w:rsidRDefault="005045BE" w:rsidP="00B41746">
            <w:pPr>
              <w:pStyle w:val="Default"/>
              <w:spacing w:before="80" w:after="80"/>
              <w:ind w:firstLine="284"/>
              <w:jc w:val="both"/>
              <w:rPr>
                <w:rFonts w:ascii="Times New Roman" w:hAnsi="Times New Roman" w:cs="Times New Roman"/>
              </w:rPr>
            </w:pPr>
            <w:r w:rsidRPr="00CE6F0D">
              <w:rPr>
                <w:rFonts w:ascii="Times New Roman" w:hAnsi="Times New Roman" w:cs="Times New Roman"/>
                <w:lang w:eastAsia="en-US"/>
              </w:rPr>
              <w:t>Projekts šo jomu neskar</w:t>
            </w:r>
          </w:p>
        </w:tc>
      </w:tr>
      <w:tr w:rsidR="005045BE" w:rsidRPr="00CE6F0D" w:rsidTr="00870962">
        <w:trPr>
          <w:jc w:val="center"/>
        </w:trPr>
        <w:tc>
          <w:tcPr>
            <w:tcW w:w="721" w:type="dxa"/>
          </w:tcPr>
          <w:p w:rsidR="005045BE" w:rsidRPr="00CE6F0D" w:rsidRDefault="005045BE" w:rsidP="000D22E1">
            <w:r w:rsidRPr="00CE6F0D">
              <w:t>3.</w:t>
            </w:r>
          </w:p>
        </w:tc>
        <w:tc>
          <w:tcPr>
            <w:tcW w:w="2789" w:type="dxa"/>
          </w:tcPr>
          <w:p w:rsidR="005045BE" w:rsidRPr="00CE6F0D" w:rsidRDefault="005045BE" w:rsidP="000D22E1">
            <w:r w:rsidRPr="00CE6F0D">
              <w:t>Tiesiskā regulējuma finansiālā ietekme</w:t>
            </w:r>
          </w:p>
        </w:tc>
        <w:tc>
          <w:tcPr>
            <w:tcW w:w="6129" w:type="dxa"/>
            <w:vAlign w:val="center"/>
          </w:tcPr>
          <w:p w:rsidR="005045BE" w:rsidRPr="00CE6F0D" w:rsidRDefault="005045BE" w:rsidP="00B41746">
            <w:pPr>
              <w:spacing w:before="75" w:after="75"/>
              <w:ind w:firstLine="284"/>
              <w:jc w:val="both"/>
            </w:pPr>
            <w:r w:rsidRPr="00CE6F0D">
              <w:rPr>
                <w:color w:val="000000"/>
                <w:lang w:eastAsia="en-US"/>
              </w:rPr>
              <w:t>Projekts šo jomu neskar</w:t>
            </w:r>
          </w:p>
        </w:tc>
      </w:tr>
      <w:tr w:rsidR="005045BE" w:rsidRPr="00CE6F0D" w:rsidTr="00870962">
        <w:trPr>
          <w:jc w:val="center"/>
        </w:trPr>
        <w:tc>
          <w:tcPr>
            <w:tcW w:w="721" w:type="dxa"/>
          </w:tcPr>
          <w:p w:rsidR="005045BE" w:rsidRPr="00CE6F0D" w:rsidRDefault="005045BE" w:rsidP="000D22E1">
            <w:r w:rsidRPr="00CE6F0D">
              <w:t>4.</w:t>
            </w:r>
          </w:p>
        </w:tc>
        <w:tc>
          <w:tcPr>
            <w:tcW w:w="2789" w:type="dxa"/>
          </w:tcPr>
          <w:p w:rsidR="005045BE" w:rsidRPr="00CE6F0D" w:rsidRDefault="005045BE" w:rsidP="000D22E1">
            <w:r w:rsidRPr="00CE6F0D">
              <w:t>Tiesiskā regulējuma nefinansiālā ietekme</w:t>
            </w:r>
          </w:p>
        </w:tc>
        <w:tc>
          <w:tcPr>
            <w:tcW w:w="6129" w:type="dxa"/>
          </w:tcPr>
          <w:p w:rsidR="005045BE" w:rsidRPr="00CE6F0D" w:rsidRDefault="005045BE" w:rsidP="00B41746">
            <w:pPr>
              <w:spacing w:before="75" w:after="75"/>
              <w:ind w:firstLine="284"/>
              <w:jc w:val="both"/>
            </w:pPr>
            <w:r w:rsidRPr="00CE6F0D">
              <w:rPr>
                <w:color w:val="000000"/>
                <w:lang w:eastAsia="en-US"/>
              </w:rPr>
              <w:t>Projekts šo jomu neskar</w:t>
            </w:r>
          </w:p>
        </w:tc>
      </w:tr>
      <w:tr w:rsidR="005045BE" w:rsidRPr="00CE6F0D" w:rsidTr="00870962">
        <w:trPr>
          <w:jc w:val="center"/>
        </w:trPr>
        <w:tc>
          <w:tcPr>
            <w:tcW w:w="721" w:type="dxa"/>
          </w:tcPr>
          <w:p w:rsidR="005045BE" w:rsidRPr="00CE6F0D" w:rsidRDefault="005045BE" w:rsidP="000D22E1">
            <w:r w:rsidRPr="00CE6F0D">
              <w:t>5.</w:t>
            </w:r>
          </w:p>
        </w:tc>
        <w:tc>
          <w:tcPr>
            <w:tcW w:w="2789" w:type="dxa"/>
          </w:tcPr>
          <w:p w:rsidR="005045BE" w:rsidRPr="00CE6F0D" w:rsidRDefault="005045BE" w:rsidP="000D22E1">
            <w:r w:rsidRPr="00CE6F0D">
              <w:t>Administratīvās procedūras raksturojums</w:t>
            </w:r>
          </w:p>
        </w:tc>
        <w:tc>
          <w:tcPr>
            <w:tcW w:w="6129" w:type="dxa"/>
          </w:tcPr>
          <w:p w:rsidR="005045BE" w:rsidRPr="00CE6F0D" w:rsidRDefault="005045BE" w:rsidP="00B41746">
            <w:pPr>
              <w:spacing w:before="75" w:after="75"/>
              <w:ind w:firstLine="284"/>
              <w:jc w:val="both"/>
            </w:pPr>
            <w:r w:rsidRPr="00CE6F0D">
              <w:rPr>
                <w:color w:val="000000"/>
                <w:lang w:eastAsia="en-US"/>
              </w:rPr>
              <w:t>Projekts šo jomu neskar</w:t>
            </w:r>
          </w:p>
        </w:tc>
      </w:tr>
      <w:tr w:rsidR="005045BE" w:rsidRPr="00CE6F0D" w:rsidTr="00870962">
        <w:trPr>
          <w:jc w:val="center"/>
        </w:trPr>
        <w:tc>
          <w:tcPr>
            <w:tcW w:w="721" w:type="dxa"/>
          </w:tcPr>
          <w:p w:rsidR="005045BE" w:rsidRPr="00CE6F0D" w:rsidRDefault="005045BE" w:rsidP="000D22E1">
            <w:r w:rsidRPr="00CE6F0D">
              <w:t>6.</w:t>
            </w:r>
          </w:p>
        </w:tc>
        <w:tc>
          <w:tcPr>
            <w:tcW w:w="2789" w:type="dxa"/>
          </w:tcPr>
          <w:p w:rsidR="005045BE" w:rsidRPr="00CE6F0D" w:rsidRDefault="005045BE" w:rsidP="000D22E1">
            <w:r w:rsidRPr="00CE6F0D">
              <w:t>Administratīvo izmaksu monetārs novērtējums</w:t>
            </w:r>
          </w:p>
        </w:tc>
        <w:tc>
          <w:tcPr>
            <w:tcW w:w="6129" w:type="dxa"/>
          </w:tcPr>
          <w:p w:rsidR="005045BE" w:rsidRPr="00CE6F0D" w:rsidRDefault="005045BE" w:rsidP="00B41746">
            <w:pPr>
              <w:spacing w:before="75" w:after="75"/>
              <w:ind w:firstLine="284"/>
              <w:jc w:val="both"/>
            </w:pPr>
            <w:r w:rsidRPr="00CE6F0D">
              <w:rPr>
                <w:color w:val="000000"/>
                <w:lang w:eastAsia="en-US"/>
              </w:rPr>
              <w:t>Projekts šo jomu neskar</w:t>
            </w:r>
          </w:p>
        </w:tc>
      </w:tr>
      <w:tr w:rsidR="005045BE" w:rsidRPr="00CE6F0D" w:rsidTr="00870962">
        <w:trPr>
          <w:jc w:val="center"/>
        </w:trPr>
        <w:tc>
          <w:tcPr>
            <w:tcW w:w="721" w:type="dxa"/>
          </w:tcPr>
          <w:p w:rsidR="005045BE" w:rsidRPr="00CE6F0D" w:rsidRDefault="005045BE" w:rsidP="000D22E1">
            <w:r w:rsidRPr="00CE6F0D">
              <w:t>7.</w:t>
            </w:r>
          </w:p>
        </w:tc>
        <w:tc>
          <w:tcPr>
            <w:tcW w:w="2789" w:type="dxa"/>
          </w:tcPr>
          <w:p w:rsidR="005045BE" w:rsidRPr="00CE6F0D" w:rsidRDefault="005045BE" w:rsidP="000D22E1">
            <w:r w:rsidRPr="00CE6F0D">
              <w:t>Cita informācija</w:t>
            </w:r>
          </w:p>
        </w:tc>
        <w:tc>
          <w:tcPr>
            <w:tcW w:w="6129" w:type="dxa"/>
          </w:tcPr>
          <w:p w:rsidR="005045BE" w:rsidRPr="00CE6F0D" w:rsidRDefault="005045BE" w:rsidP="00B41746">
            <w:pPr>
              <w:pStyle w:val="BodyTextIndent2"/>
              <w:spacing w:line="240" w:lineRule="auto"/>
              <w:ind w:left="0" w:right="181" w:firstLine="284"/>
              <w:jc w:val="both"/>
            </w:pPr>
            <w:r w:rsidRPr="00CE6F0D">
              <w:t>Nav</w:t>
            </w:r>
          </w:p>
        </w:tc>
      </w:tr>
    </w:tbl>
    <w:p w:rsidR="00CE6F0D" w:rsidRDefault="00CE6F0D" w:rsidP="00CE6F0D">
      <w:pPr>
        <w:pStyle w:val="naisf"/>
        <w:spacing w:before="0" w:after="0"/>
        <w:ind w:firstLine="374"/>
        <w:jc w:val="left"/>
        <w:rPr>
          <w:b/>
        </w:rPr>
      </w:pPr>
    </w:p>
    <w:p w:rsidR="005045BE" w:rsidRDefault="005045BE" w:rsidP="00CE6F0D">
      <w:pPr>
        <w:pStyle w:val="naisf"/>
        <w:spacing w:before="0" w:after="0"/>
        <w:ind w:firstLine="374"/>
        <w:jc w:val="left"/>
        <w:rPr>
          <w:b/>
        </w:rPr>
      </w:pPr>
      <w:r w:rsidRPr="00414FC6">
        <w:rPr>
          <w:b/>
        </w:rPr>
        <w:t>Anotācijas III sadaļa – projekts š</w:t>
      </w:r>
      <w:r>
        <w:rPr>
          <w:b/>
        </w:rPr>
        <w:t>o</w:t>
      </w:r>
      <w:r w:rsidRPr="00414FC6">
        <w:rPr>
          <w:b/>
        </w:rPr>
        <w:t xml:space="preserve"> jom</w:t>
      </w:r>
      <w:r>
        <w:rPr>
          <w:b/>
        </w:rPr>
        <w:t>u</w:t>
      </w:r>
      <w:r w:rsidRPr="00414FC6">
        <w:rPr>
          <w:b/>
        </w:rPr>
        <w:t xml:space="preserve"> neskar</w:t>
      </w:r>
    </w:p>
    <w:p w:rsidR="00CE6F0D" w:rsidRDefault="00CE6F0D" w:rsidP="00CE6F0D">
      <w:pPr>
        <w:pStyle w:val="naisf"/>
        <w:spacing w:before="0" w:after="0"/>
        <w:ind w:firstLine="374"/>
        <w:jc w:val="left"/>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3015"/>
        <w:gridCol w:w="5854"/>
      </w:tblGrid>
      <w:tr w:rsidR="005045BE" w:rsidRPr="00CE6F0D" w:rsidTr="00CE6F0D">
        <w:trPr>
          <w:jc w:val="center"/>
        </w:trPr>
        <w:tc>
          <w:tcPr>
            <w:tcW w:w="9639" w:type="dxa"/>
            <w:gridSpan w:val="3"/>
          </w:tcPr>
          <w:p w:rsidR="005045BE" w:rsidRPr="00CE6F0D" w:rsidRDefault="005045BE" w:rsidP="00FE030B">
            <w:pPr>
              <w:pStyle w:val="naisnod"/>
              <w:spacing w:before="0" w:after="0"/>
            </w:pPr>
            <w:r w:rsidRPr="00CE6F0D">
              <w:t>IV. Tiesību akta projekta ietekme uz spēkā esošo tiesību normu sistēmu</w:t>
            </w:r>
          </w:p>
        </w:tc>
      </w:tr>
      <w:tr w:rsidR="005045BE" w:rsidRPr="00CE6F0D" w:rsidTr="00CE6F0D">
        <w:trPr>
          <w:jc w:val="center"/>
        </w:trPr>
        <w:tc>
          <w:tcPr>
            <w:tcW w:w="770" w:type="dxa"/>
          </w:tcPr>
          <w:p w:rsidR="005045BE" w:rsidRPr="00CE6F0D" w:rsidRDefault="005045BE" w:rsidP="00FE030B">
            <w:pPr>
              <w:pStyle w:val="naiskr"/>
              <w:tabs>
                <w:tab w:val="left" w:pos="2628"/>
              </w:tabs>
              <w:spacing w:before="0" w:after="0"/>
              <w:jc w:val="both"/>
              <w:rPr>
                <w:iCs/>
              </w:rPr>
            </w:pPr>
            <w:r w:rsidRPr="00CE6F0D">
              <w:rPr>
                <w:iCs/>
              </w:rPr>
              <w:t>1.</w:t>
            </w:r>
          </w:p>
        </w:tc>
        <w:tc>
          <w:tcPr>
            <w:tcW w:w="3015" w:type="dxa"/>
          </w:tcPr>
          <w:p w:rsidR="005045BE" w:rsidRPr="00CE6F0D" w:rsidRDefault="005045BE" w:rsidP="00FE030B">
            <w:pPr>
              <w:pStyle w:val="naiskr"/>
              <w:tabs>
                <w:tab w:val="left" w:pos="2628"/>
              </w:tabs>
              <w:spacing w:before="0" w:after="0"/>
              <w:jc w:val="both"/>
              <w:rPr>
                <w:iCs/>
              </w:rPr>
            </w:pPr>
            <w:r w:rsidRPr="00CE6F0D">
              <w:t>Nepieciešamie saistītie tiesību aktu projekti</w:t>
            </w:r>
          </w:p>
        </w:tc>
        <w:tc>
          <w:tcPr>
            <w:tcW w:w="5854" w:type="dxa"/>
          </w:tcPr>
          <w:p w:rsidR="005045BE" w:rsidRPr="00CE6F0D" w:rsidRDefault="005045BE" w:rsidP="00FE030B">
            <w:pPr>
              <w:pStyle w:val="naiskr"/>
              <w:spacing w:after="60"/>
              <w:jc w:val="both"/>
              <w:rPr>
                <w:iCs/>
              </w:rPr>
            </w:pPr>
            <w:r w:rsidRPr="00CE6F0D">
              <w:rPr>
                <w:iCs/>
              </w:rPr>
              <w:t>Šis normatīvā akta projekts ir izsludināms Valsts sekretāru sanāksmē un izskatāms Ministru kabineta sēdē vienlaicīgi ar Vides aizsardzības un reģionālās attīstības ministrijas izstrādāto Ministru kabineta noteikumu projektu „Noteikumi par stacionāro tehnoloģisko iekārtu dalību Eiropas Savienības emisijas kvotu tirdzniecības sistēmā”.</w:t>
            </w:r>
          </w:p>
        </w:tc>
      </w:tr>
      <w:tr w:rsidR="005045BE" w:rsidRPr="00CE6F0D" w:rsidTr="00CE6F0D">
        <w:trPr>
          <w:jc w:val="center"/>
        </w:trPr>
        <w:tc>
          <w:tcPr>
            <w:tcW w:w="770" w:type="dxa"/>
          </w:tcPr>
          <w:p w:rsidR="005045BE" w:rsidRPr="00CE6F0D" w:rsidRDefault="005045BE" w:rsidP="00FE030B">
            <w:pPr>
              <w:pStyle w:val="naiskr"/>
              <w:tabs>
                <w:tab w:val="left" w:pos="2628"/>
              </w:tabs>
              <w:spacing w:before="0" w:after="0"/>
              <w:jc w:val="both"/>
              <w:rPr>
                <w:iCs/>
              </w:rPr>
            </w:pPr>
            <w:r w:rsidRPr="00CE6F0D">
              <w:rPr>
                <w:iCs/>
              </w:rPr>
              <w:t>2.</w:t>
            </w:r>
          </w:p>
        </w:tc>
        <w:tc>
          <w:tcPr>
            <w:tcW w:w="3015" w:type="dxa"/>
          </w:tcPr>
          <w:p w:rsidR="005045BE" w:rsidRPr="00CE6F0D" w:rsidRDefault="005045BE" w:rsidP="00FE030B">
            <w:pPr>
              <w:pStyle w:val="naiskr"/>
              <w:tabs>
                <w:tab w:val="left" w:pos="2628"/>
              </w:tabs>
              <w:spacing w:before="0" w:after="0"/>
              <w:jc w:val="both"/>
              <w:rPr>
                <w:iCs/>
              </w:rPr>
            </w:pPr>
            <w:r w:rsidRPr="00CE6F0D">
              <w:t>Cita informācija</w:t>
            </w:r>
          </w:p>
        </w:tc>
        <w:tc>
          <w:tcPr>
            <w:tcW w:w="5854" w:type="dxa"/>
          </w:tcPr>
          <w:p w:rsidR="005045BE" w:rsidRPr="00CE6F0D" w:rsidRDefault="005045BE" w:rsidP="00FE030B">
            <w:pPr>
              <w:pStyle w:val="naiskr"/>
              <w:tabs>
                <w:tab w:val="left" w:pos="2628"/>
              </w:tabs>
              <w:spacing w:before="0" w:after="0"/>
              <w:jc w:val="both"/>
              <w:rPr>
                <w:iCs/>
              </w:rPr>
            </w:pPr>
            <w:r w:rsidRPr="00CE6F0D">
              <w:t>Nav</w:t>
            </w:r>
          </w:p>
        </w:tc>
      </w:tr>
    </w:tbl>
    <w:p w:rsidR="005045BE" w:rsidRPr="00414FC6" w:rsidRDefault="005045BE" w:rsidP="00414FC6">
      <w:pPr>
        <w:pStyle w:val="naisf"/>
        <w:spacing w:before="0" w:after="0"/>
        <w:jc w:val="center"/>
        <w:rPr>
          <w:b/>
        </w:rPr>
      </w:pPr>
    </w:p>
    <w:p w:rsidR="005045BE" w:rsidRDefault="005045BE" w:rsidP="00B01C9A">
      <w:pPr>
        <w:pStyle w:val="naisf"/>
        <w:spacing w:before="0" w:after="0"/>
        <w:jc w:val="left"/>
        <w:rPr>
          <w:b/>
        </w:rPr>
      </w:pPr>
      <w:r w:rsidRPr="00414FC6">
        <w:rPr>
          <w:b/>
        </w:rPr>
        <w:t>Anotācijas V sadaļa – projekts š</w:t>
      </w:r>
      <w:r>
        <w:rPr>
          <w:b/>
        </w:rPr>
        <w:t>o</w:t>
      </w:r>
      <w:r w:rsidRPr="00414FC6">
        <w:rPr>
          <w:b/>
        </w:rPr>
        <w:t xml:space="preserve"> jom</w:t>
      </w:r>
      <w:r>
        <w:rPr>
          <w:b/>
        </w:rPr>
        <w:t>u</w:t>
      </w:r>
      <w:r w:rsidRPr="00414FC6">
        <w:rPr>
          <w:b/>
        </w:rPr>
        <w:t xml:space="preserve"> neskar</w:t>
      </w:r>
    </w:p>
    <w:p w:rsidR="005045BE" w:rsidRPr="007C0F2C" w:rsidRDefault="005045BE" w:rsidP="006C4607">
      <w:pPr>
        <w:pStyle w:val="naisf"/>
        <w:spacing w:before="0" w:after="0"/>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3087"/>
        <w:gridCol w:w="6114"/>
      </w:tblGrid>
      <w:tr w:rsidR="005045BE" w:rsidRPr="00CE6F0D" w:rsidTr="009A6537">
        <w:trPr>
          <w:jc w:val="center"/>
        </w:trPr>
        <w:tc>
          <w:tcPr>
            <w:tcW w:w="9639" w:type="dxa"/>
            <w:gridSpan w:val="3"/>
          </w:tcPr>
          <w:p w:rsidR="005045BE" w:rsidRPr="00CE6F0D" w:rsidRDefault="005045BE" w:rsidP="007D099D">
            <w:pPr>
              <w:pStyle w:val="naisnod"/>
              <w:spacing w:before="0" w:after="0"/>
              <w:ind w:left="57" w:right="57"/>
            </w:pPr>
            <w:r w:rsidRPr="00CE6F0D">
              <w:t>VI. Sabiedrības līdzdalība un šīs līdzdalības rezultāti</w:t>
            </w:r>
          </w:p>
        </w:tc>
      </w:tr>
      <w:tr w:rsidR="005045BE" w:rsidRPr="00CE6F0D" w:rsidTr="009A6537">
        <w:trPr>
          <w:trHeight w:val="553"/>
          <w:jc w:val="center"/>
        </w:trPr>
        <w:tc>
          <w:tcPr>
            <w:tcW w:w="438" w:type="dxa"/>
          </w:tcPr>
          <w:p w:rsidR="005045BE" w:rsidRPr="00CE6F0D" w:rsidRDefault="005045BE" w:rsidP="007D099D">
            <w:pPr>
              <w:ind w:left="57" w:right="57"/>
              <w:rPr>
                <w:bCs/>
              </w:rPr>
            </w:pPr>
            <w:r w:rsidRPr="00CE6F0D">
              <w:rPr>
                <w:bCs/>
              </w:rPr>
              <w:t>1.</w:t>
            </w:r>
          </w:p>
        </w:tc>
        <w:tc>
          <w:tcPr>
            <w:tcW w:w="3087" w:type="dxa"/>
          </w:tcPr>
          <w:p w:rsidR="005045BE" w:rsidRPr="00CE6F0D" w:rsidRDefault="005045BE" w:rsidP="007D099D">
            <w:pPr>
              <w:tabs>
                <w:tab w:val="left" w:pos="170"/>
              </w:tabs>
              <w:ind w:left="57" w:right="57"/>
            </w:pPr>
            <w:r w:rsidRPr="00CE6F0D">
              <w:t>Sabiedrības informēšana par projekta izstrādes uzsākšanu</w:t>
            </w:r>
          </w:p>
        </w:tc>
        <w:tc>
          <w:tcPr>
            <w:tcW w:w="6114" w:type="dxa"/>
          </w:tcPr>
          <w:p w:rsidR="005045BE" w:rsidRPr="00CE6F0D" w:rsidRDefault="005045BE" w:rsidP="00297193">
            <w:pPr>
              <w:pStyle w:val="naiskr"/>
              <w:spacing w:before="0" w:after="60"/>
              <w:ind w:left="57" w:right="57" w:firstLine="226"/>
              <w:jc w:val="both"/>
              <w:rPr>
                <w:color w:val="000000"/>
              </w:rPr>
            </w:pPr>
            <w:r w:rsidRPr="00CE6F0D">
              <w:rPr>
                <w:color w:val="000000"/>
              </w:rPr>
              <w:t>Noteikumu projekts ievietots publiskai apspriešanai Vides aizsardzības un reģionālās attīstības ministrijas interneta vietnē.</w:t>
            </w:r>
          </w:p>
        </w:tc>
      </w:tr>
      <w:tr w:rsidR="005045BE" w:rsidRPr="00CE6F0D" w:rsidTr="009A6537">
        <w:trPr>
          <w:trHeight w:val="339"/>
          <w:jc w:val="center"/>
        </w:trPr>
        <w:tc>
          <w:tcPr>
            <w:tcW w:w="438" w:type="dxa"/>
          </w:tcPr>
          <w:p w:rsidR="005045BE" w:rsidRPr="00CE6F0D" w:rsidRDefault="005045BE" w:rsidP="007D099D">
            <w:pPr>
              <w:ind w:left="57" w:right="57"/>
              <w:rPr>
                <w:bCs/>
              </w:rPr>
            </w:pPr>
            <w:r w:rsidRPr="00CE6F0D">
              <w:rPr>
                <w:bCs/>
              </w:rPr>
              <w:t>2.</w:t>
            </w:r>
          </w:p>
        </w:tc>
        <w:tc>
          <w:tcPr>
            <w:tcW w:w="3087" w:type="dxa"/>
          </w:tcPr>
          <w:p w:rsidR="005045BE" w:rsidRPr="00CE6F0D" w:rsidRDefault="005045BE" w:rsidP="007D099D">
            <w:pPr>
              <w:ind w:left="57" w:right="57"/>
            </w:pPr>
            <w:r w:rsidRPr="00CE6F0D">
              <w:t xml:space="preserve">Sabiedrības līdzdalība projekta izstrādē </w:t>
            </w:r>
          </w:p>
        </w:tc>
        <w:tc>
          <w:tcPr>
            <w:tcW w:w="6114" w:type="dxa"/>
          </w:tcPr>
          <w:p w:rsidR="005045BE" w:rsidRPr="00CE6F0D" w:rsidRDefault="005045BE" w:rsidP="00297193">
            <w:pPr>
              <w:pStyle w:val="naiskr"/>
              <w:spacing w:before="0" w:after="60"/>
              <w:ind w:left="57" w:right="57" w:firstLine="226"/>
              <w:jc w:val="both"/>
              <w:rPr>
                <w:color w:val="000000"/>
              </w:rPr>
            </w:pPr>
            <w:r w:rsidRPr="00CE6F0D">
              <w:rPr>
                <w:color w:val="000000"/>
                <w:lang w:eastAsia="en-US"/>
              </w:rPr>
              <w:t>Projekts šo jomu neskar</w:t>
            </w:r>
          </w:p>
        </w:tc>
      </w:tr>
      <w:tr w:rsidR="005045BE" w:rsidRPr="00CE6F0D" w:rsidTr="009A6537">
        <w:trPr>
          <w:trHeight w:val="375"/>
          <w:jc w:val="center"/>
        </w:trPr>
        <w:tc>
          <w:tcPr>
            <w:tcW w:w="438" w:type="dxa"/>
          </w:tcPr>
          <w:p w:rsidR="005045BE" w:rsidRPr="00CE6F0D" w:rsidRDefault="005045BE" w:rsidP="007D099D">
            <w:pPr>
              <w:ind w:left="57" w:right="57"/>
              <w:rPr>
                <w:bCs/>
              </w:rPr>
            </w:pPr>
            <w:r w:rsidRPr="00CE6F0D">
              <w:rPr>
                <w:bCs/>
              </w:rPr>
              <w:t>3.</w:t>
            </w:r>
          </w:p>
        </w:tc>
        <w:tc>
          <w:tcPr>
            <w:tcW w:w="3087" w:type="dxa"/>
          </w:tcPr>
          <w:p w:rsidR="005045BE" w:rsidRPr="00CE6F0D" w:rsidRDefault="005045BE" w:rsidP="007D099D">
            <w:pPr>
              <w:ind w:left="57" w:right="57"/>
            </w:pPr>
            <w:r w:rsidRPr="00CE6F0D">
              <w:t xml:space="preserve">Sabiedrības līdzdalības rezultāti </w:t>
            </w:r>
          </w:p>
        </w:tc>
        <w:tc>
          <w:tcPr>
            <w:tcW w:w="6114" w:type="dxa"/>
          </w:tcPr>
          <w:p w:rsidR="005045BE" w:rsidRPr="00CE6F0D" w:rsidRDefault="005045BE" w:rsidP="00297193">
            <w:pPr>
              <w:pStyle w:val="naiskr"/>
              <w:spacing w:before="0" w:after="0"/>
              <w:ind w:left="57" w:right="57" w:firstLine="226"/>
            </w:pPr>
            <w:r w:rsidRPr="00CE6F0D">
              <w:rPr>
                <w:color w:val="000000"/>
                <w:lang w:eastAsia="en-US"/>
              </w:rPr>
              <w:t>Projekts šo jomu neskar</w:t>
            </w:r>
          </w:p>
        </w:tc>
      </w:tr>
      <w:tr w:rsidR="005045BE" w:rsidRPr="00CE6F0D" w:rsidTr="009A6537">
        <w:trPr>
          <w:trHeight w:val="397"/>
          <w:jc w:val="center"/>
        </w:trPr>
        <w:tc>
          <w:tcPr>
            <w:tcW w:w="438" w:type="dxa"/>
          </w:tcPr>
          <w:p w:rsidR="005045BE" w:rsidRPr="00CE6F0D" w:rsidRDefault="005045BE" w:rsidP="007D099D">
            <w:pPr>
              <w:ind w:left="57" w:right="57"/>
              <w:rPr>
                <w:bCs/>
              </w:rPr>
            </w:pPr>
            <w:r w:rsidRPr="00CE6F0D">
              <w:rPr>
                <w:bCs/>
              </w:rPr>
              <w:t>4.</w:t>
            </w:r>
          </w:p>
        </w:tc>
        <w:tc>
          <w:tcPr>
            <w:tcW w:w="3087" w:type="dxa"/>
          </w:tcPr>
          <w:p w:rsidR="005045BE" w:rsidRPr="00CE6F0D" w:rsidRDefault="005045BE" w:rsidP="007D099D">
            <w:pPr>
              <w:ind w:left="57" w:right="57"/>
            </w:pPr>
            <w:r w:rsidRPr="00CE6F0D">
              <w:t>Saeimas un ekspertu līdzdalība</w:t>
            </w:r>
          </w:p>
        </w:tc>
        <w:tc>
          <w:tcPr>
            <w:tcW w:w="6114" w:type="dxa"/>
          </w:tcPr>
          <w:p w:rsidR="005045BE" w:rsidRPr="00CE6F0D" w:rsidRDefault="005045BE" w:rsidP="0098765C">
            <w:pPr>
              <w:pStyle w:val="naiskr"/>
              <w:spacing w:before="0" w:after="0"/>
              <w:ind w:left="57" w:right="57" w:firstLine="226"/>
            </w:pPr>
            <w:r w:rsidRPr="00CE6F0D">
              <w:rPr>
                <w:color w:val="000000"/>
                <w:lang w:eastAsia="en-US"/>
              </w:rPr>
              <w:t>Projekts šo jomu neskar</w:t>
            </w:r>
          </w:p>
        </w:tc>
      </w:tr>
      <w:tr w:rsidR="005045BE" w:rsidRPr="00CE6F0D" w:rsidTr="009A6537">
        <w:trPr>
          <w:trHeight w:val="476"/>
          <w:jc w:val="center"/>
        </w:trPr>
        <w:tc>
          <w:tcPr>
            <w:tcW w:w="438" w:type="dxa"/>
          </w:tcPr>
          <w:p w:rsidR="005045BE" w:rsidRPr="00CE6F0D" w:rsidRDefault="005045BE" w:rsidP="007D099D">
            <w:pPr>
              <w:ind w:left="57" w:right="57"/>
              <w:rPr>
                <w:bCs/>
              </w:rPr>
            </w:pPr>
            <w:r w:rsidRPr="00CE6F0D">
              <w:rPr>
                <w:bCs/>
              </w:rPr>
              <w:t>5.</w:t>
            </w:r>
          </w:p>
        </w:tc>
        <w:tc>
          <w:tcPr>
            <w:tcW w:w="3087" w:type="dxa"/>
          </w:tcPr>
          <w:p w:rsidR="005045BE" w:rsidRPr="00CE6F0D" w:rsidRDefault="005045BE" w:rsidP="007D099D">
            <w:pPr>
              <w:ind w:left="57" w:right="57"/>
            </w:pPr>
            <w:r w:rsidRPr="00CE6F0D">
              <w:t>Cita informācija</w:t>
            </w:r>
          </w:p>
          <w:p w:rsidR="005045BE" w:rsidRPr="00CE6F0D" w:rsidRDefault="005045BE" w:rsidP="007D099D">
            <w:pPr>
              <w:ind w:left="57" w:right="57"/>
            </w:pPr>
          </w:p>
        </w:tc>
        <w:tc>
          <w:tcPr>
            <w:tcW w:w="6114" w:type="dxa"/>
          </w:tcPr>
          <w:p w:rsidR="005045BE" w:rsidRPr="00CE6F0D" w:rsidRDefault="005045BE" w:rsidP="00297193">
            <w:pPr>
              <w:pStyle w:val="naiskr"/>
              <w:spacing w:before="0" w:after="0"/>
              <w:ind w:left="57" w:right="57" w:firstLine="226"/>
            </w:pPr>
            <w:r w:rsidRPr="00CE6F0D">
              <w:t>Nav</w:t>
            </w:r>
          </w:p>
        </w:tc>
      </w:tr>
    </w:tbl>
    <w:p w:rsidR="005045BE" w:rsidRDefault="005045BE" w:rsidP="006C4607">
      <w:pPr>
        <w:pStyle w:val="naisf"/>
        <w:spacing w:before="0" w:after="0"/>
        <w:rPr>
          <w:b/>
        </w:rPr>
      </w:pPr>
    </w:p>
    <w:p w:rsidR="005045BE" w:rsidRDefault="005045BE" w:rsidP="006C4607">
      <w:pPr>
        <w:pStyle w:val="naisf"/>
        <w:spacing w:before="0" w:after="0"/>
        <w:rPr>
          <w:b/>
        </w:rPr>
      </w:pPr>
      <w:r w:rsidRPr="00B01C9A">
        <w:rPr>
          <w:b/>
        </w:rPr>
        <w:t xml:space="preserve">Anotācijas VII sadaļa </w:t>
      </w:r>
      <w:r w:rsidRPr="009A6537">
        <w:rPr>
          <w:b/>
        </w:rPr>
        <w:t>–</w:t>
      </w:r>
      <w:r w:rsidRPr="00B01C9A">
        <w:rPr>
          <w:b/>
        </w:rPr>
        <w:t xml:space="preserve"> projekts šo jomu neskar</w:t>
      </w:r>
    </w:p>
    <w:p w:rsidR="005045BE" w:rsidRPr="00B01C9A" w:rsidRDefault="005045BE" w:rsidP="006C4607">
      <w:pPr>
        <w:pStyle w:val="naisf"/>
        <w:spacing w:before="0" w:after="0"/>
        <w:rPr>
          <w:b/>
          <w:sz w:val="28"/>
          <w:szCs w:val="28"/>
        </w:rPr>
      </w:pPr>
    </w:p>
    <w:p w:rsidR="005045BE" w:rsidRDefault="005045BE" w:rsidP="006C4607">
      <w:pPr>
        <w:pStyle w:val="naisf"/>
        <w:tabs>
          <w:tab w:val="left" w:pos="6804"/>
        </w:tabs>
        <w:spacing w:before="0" w:after="0"/>
        <w:ind w:firstLine="720"/>
        <w:rPr>
          <w:sz w:val="28"/>
          <w:szCs w:val="28"/>
        </w:rPr>
      </w:pPr>
    </w:p>
    <w:p w:rsidR="005045BE" w:rsidRDefault="005045BE" w:rsidP="006C4607">
      <w:pPr>
        <w:pStyle w:val="naisf"/>
        <w:tabs>
          <w:tab w:val="left" w:pos="6804"/>
        </w:tabs>
        <w:spacing w:before="0" w:after="0"/>
        <w:ind w:firstLine="720"/>
        <w:rPr>
          <w:sz w:val="28"/>
          <w:szCs w:val="28"/>
        </w:rPr>
      </w:pPr>
    </w:p>
    <w:p w:rsidR="005045BE" w:rsidRPr="00830ECC" w:rsidRDefault="005045BE" w:rsidP="006C4607">
      <w:pPr>
        <w:pStyle w:val="naisf"/>
        <w:tabs>
          <w:tab w:val="left" w:pos="6804"/>
        </w:tabs>
        <w:spacing w:before="0" w:after="0"/>
        <w:ind w:firstLine="720"/>
        <w:rPr>
          <w:sz w:val="28"/>
          <w:szCs w:val="28"/>
        </w:rPr>
      </w:pPr>
    </w:p>
    <w:p w:rsidR="00EC4BA7" w:rsidRDefault="00EC4BA7" w:rsidP="00AE7980">
      <w:pPr>
        <w:pStyle w:val="naisf"/>
        <w:tabs>
          <w:tab w:val="left" w:pos="6804"/>
        </w:tabs>
        <w:spacing w:before="0" w:after="0"/>
        <w:ind w:firstLine="0"/>
        <w:rPr>
          <w:sz w:val="28"/>
          <w:szCs w:val="28"/>
        </w:rPr>
      </w:pPr>
    </w:p>
    <w:p w:rsidR="00CE6F0D" w:rsidRPr="007B3A4F" w:rsidRDefault="00CE6F0D" w:rsidP="00CE6F0D">
      <w:pPr>
        <w:pStyle w:val="tvhtml"/>
        <w:shd w:val="clear" w:color="auto" w:fill="FFFFFF"/>
        <w:spacing w:before="0" w:beforeAutospacing="0" w:after="0" w:afterAutospacing="0"/>
        <w:jc w:val="both"/>
        <w:rPr>
          <w:color w:val="000000"/>
          <w:sz w:val="28"/>
          <w:szCs w:val="28"/>
        </w:rPr>
      </w:pPr>
      <w:r w:rsidRPr="007B3A4F">
        <w:rPr>
          <w:color w:val="000000"/>
          <w:sz w:val="28"/>
          <w:szCs w:val="28"/>
        </w:rPr>
        <w:t xml:space="preserve">Vides aizsardzības un </w:t>
      </w:r>
    </w:p>
    <w:p w:rsidR="00CE6F0D" w:rsidRDefault="00CE6F0D" w:rsidP="00CE6F0D">
      <w:pPr>
        <w:pStyle w:val="tvhtml"/>
        <w:shd w:val="clear" w:color="auto" w:fill="FFFFFF"/>
        <w:tabs>
          <w:tab w:val="left" w:pos="7230"/>
        </w:tabs>
        <w:spacing w:before="0" w:beforeAutospacing="0" w:after="0" w:afterAutospacing="0"/>
        <w:jc w:val="both"/>
        <w:rPr>
          <w:color w:val="000000"/>
          <w:sz w:val="28"/>
          <w:szCs w:val="28"/>
        </w:rPr>
      </w:pPr>
      <w:r w:rsidRPr="007B3A4F">
        <w:rPr>
          <w:color w:val="000000"/>
          <w:sz w:val="28"/>
          <w:szCs w:val="28"/>
        </w:rPr>
        <w:t>reģionālās attīstības mini</w:t>
      </w:r>
      <w:r>
        <w:rPr>
          <w:color w:val="000000"/>
          <w:sz w:val="28"/>
          <w:szCs w:val="28"/>
        </w:rPr>
        <w:t>stra vietā</w:t>
      </w:r>
    </w:p>
    <w:p w:rsidR="00CE6F0D" w:rsidRPr="007B3A4F" w:rsidRDefault="00D46576" w:rsidP="00CE6F0D">
      <w:pPr>
        <w:pStyle w:val="tvhtml"/>
        <w:shd w:val="clear" w:color="auto" w:fill="FFFFFF"/>
        <w:tabs>
          <w:tab w:val="left" w:pos="7230"/>
        </w:tabs>
        <w:spacing w:before="0" w:beforeAutospacing="0" w:after="0" w:afterAutospacing="0"/>
        <w:jc w:val="both"/>
        <w:rPr>
          <w:color w:val="000000"/>
          <w:sz w:val="28"/>
          <w:szCs w:val="28"/>
        </w:rPr>
      </w:pPr>
      <w:r w:rsidRPr="00D46576">
        <w:rPr>
          <w:color w:val="000000"/>
          <w:sz w:val="28"/>
          <w:szCs w:val="28"/>
        </w:rPr>
        <w:t>Izglītības un zinātnes ministrs</w:t>
      </w:r>
      <w:r w:rsidR="00CE6F0D">
        <w:rPr>
          <w:color w:val="000000"/>
          <w:sz w:val="28"/>
          <w:szCs w:val="28"/>
        </w:rPr>
        <w:tab/>
      </w:r>
      <w:r w:rsidR="00CE6F0D">
        <w:rPr>
          <w:color w:val="000000"/>
          <w:sz w:val="28"/>
          <w:szCs w:val="28"/>
        </w:rPr>
        <w:tab/>
      </w:r>
      <w:r>
        <w:rPr>
          <w:color w:val="000000"/>
          <w:sz w:val="28"/>
          <w:szCs w:val="28"/>
        </w:rPr>
        <w:t>R.Ķīlis</w:t>
      </w:r>
      <w:bookmarkStart w:id="2" w:name="_GoBack"/>
      <w:bookmarkEnd w:id="2"/>
    </w:p>
    <w:p w:rsidR="005045BE" w:rsidRDefault="005045BE" w:rsidP="00AE7980">
      <w:pPr>
        <w:pStyle w:val="naisf"/>
        <w:tabs>
          <w:tab w:val="left" w:pos="6804"/>
        </w:tabs>
        <w:spacing w:before="0" w:after="0"/>
        <w:ind w:firstLine="0"/>
        <w:rPr>
          <w:sz w:val="28"/>
          <w:szCs w:val="28"/>
        </w:rPr>
      </w:pPr>
    </w:p>
    <w:p w:rsidR="005045BE" w:rsidRDefault="005045BE" w:rsidP="00AE7980">
      <w:pPr>
        <w:pStyle w:val="naisf"/>
        <w:tabs>
          <w:tab w:val="left" w:pos="6804"/>
        </w:tabs>
        <w:spacing w:before="0" w:after="0"/>
        <w:ind w:firstLine="0"/>
        <w:rPr>
          <w:sz w:val="28"/>
          <w:szCs w:val="28"/>
        </w:rPr>
      </w:pPr>
    </w:p>
    <w:p w:rsidR="005045BE" w:rsidRPr="00830ECC" w:rsidRDefault="005045BE" w:rsidP="00AE7980">
      <w:pPr>
        <w:pStyle w:val="naisf"/>
        <w:tabs>
          <w:tab w:val="left" w:pos="6804"/>
        </w:tabs>
        <w:spacing w:before="0" w:after="0"/>
        <w:ind w:firstLine="0"/>
        <w:rPr>
          <w:sz w:val="28"/>
          <w:szCs w:val="28"/>
        </w:rPr>
      </w:pPr>
    </w:p>
    <w:p w:rsidR="00B840F6" w:rsidRPr="00943007" w:rsidRDefault="00B840F6" w:rsidP="00B840F6">
      <w:pPr>
        <w:shd w:val="clear" w:color="auto" w:fill="FFFFFF"/>
        <w:rPr>
          <w:color w:val="000000"/>
          <w:sz w:val="28"/>
          <w:szCs w:val="28"/>
        </w:rPr>
      </w:pPr>
      <w:r w:rsidRPr="00943007">
        <w:rPr>
          <w:color w:val="000000"/>
          <w:sz w:val="28"/>
          <w:szCs w:val="28"/>
        </w:rPr>
        <w:t>Vīza:</w:t>
      </w:r>
    </w:p>
    <w:p w:rsidR="00B840F6" w:rsidRPr="00943007" w:rsidRDefault="00B840F6" w:rsidP="00B840F6">
      <w:pPr>
        <w:shd w:val="clear" w:color="auto" w:fill="FFFFFF"/>
        <w:rPr>
          <w:color w:val="000000"/>
          <w:sz w:val="28"/>
          <w:szCs w:val="28"/>
        </w:rPr>
      </w:pPr>
      <w:r w:rsidRPr="00943007">
        <w:rPr>
          <w:color w:val="000000"/>
          <w:sz w:val="28"/>
          <w:szCs w:val="28"/>
        </w:rPr>
        <w:t xml:space="preserve">Vides aizsardzības un </w:t>
      </w:r>
    </w:p>
    <w:p w:rsidR="00B840F6" w:rsidRPr="00943007" w:rsidRDefault="00B840F6" w:rsidP="00B840F6">
      <w:pPr>
        <w:shd w:val="clear" w:color="auto" w:fill="FFFFFF"/>
        <w:rPr>
          <w:color w:val="000000"/>
          <w:sz w:val="28"/>
          <w:szCs w:val="28"/>
        </w:rPr>
      </w:pPr>
      <w:r w:rsidRPr="00943007">
        <w:rPr>
          <w:color w:val="000000"/>
          <w:sz w:val="28"/>
          <w:szCs w:val="28"/>
        </w:rPr>
        <w:t>reģionālās attīstības ministrijas</w:t>
      </w:r>
    </w:p>
    <w:p w:rsidR="00B840F6" w:rsidRPr="00943007" w:rsidRDefault="009D18A3" w:rsidP="00B840F6">
      <w:pPr>
        <w:shd w:val="clear" w:color="auto" w:fill="FFFFFF"/>
        <w:tabs>
          <w:tab w:val="left" w:pos="7230"/>
        </w:tabs>
        <w:rPr>
          <w:color w:val="000000"/>
          <w:sz w:val="28"/>
          <w:szCs w:val="28"/>
        </w:rPr>
      </w:pPr>
      <w:r>
        <w:rPr>
          <w:color w:val="000000"/>
          <w:sz w:val="28"/>
          <w:szCs w:val="28"/>
        </w:rPr>
        <w:t>valsts sekretārs</w:t>
      </w:r>
      <w:r>
        <w:rPr>
          <w:color w:val="000000"/>
          <w:sz w:val="28"/>
          <w:szCs w:val="28"/>
        </w:rPr>
        <w:tab/>
        <w:t>A.Antonovs</w:t>
      </w:r>
    </w:p>
    <w:p w:rsidR="005045BE" w:rsidRDefault="005045BE" w:rsidP="00AE7980">
      <w:pPr>
        <w:jc w:val="both"/>
        <w:rPr>
          <w:color w:val="000000"/>
          <w:sz w:val="28"/>
          <w:szCs w:val="28"/>
        </w:rPr>
      </w:pPr>
    </w:p>
    <w:p w:rsidR="00B840F6" w:rsidRDefault="00B840F6" w:rsidP="00AE7980">
      <w:pPr>
        <w:jc w:val="both"/>
        <w:rPr>
          <w:color w:val="000000"/>
          <w:sz w:val="28"/>
          <w:szCs w:val="28"/>
        </w:rPr>
      </w:pPr>
    </w:p>
    <w:p w:rsidR="00B840F6" w:rsidRDefault="00B840F6" w:rsidP="00AE7980">
      <w:pPr>
        <w:jc w:val="both"/>
        <w:rPr>
          <w:color w:val="000000"/>
          <w:sz w:val="28"/>
          <w:szCs w:val="28"/>
        </w:rPr>
      </w:pPr>
    </w:p>
    <w:p w:rsidR="00B840F6" w:rsidRDefault="00B840F6" w:rsidP="00AE7980">
      <w:pPr>
        <w:jc w:val="both"/>
        <w:rPr>
          <w:color w:val="000000"/>
          <w:sz w:val="28"/>
          <w:szCs w:val="28"/>
        </w:rPr>
      </w:pPr>
    </w:p>
    <w:p w:rsidR="00B840F6" w:rsidRDefault="00B840F6" w:rsidP="00AE7980">
      <w:pPr>
        <w:jc w:val="both"/>
        <w:rPr>
          <w:color w:val="000000"/>
          <w:sz w:val="28"/>
          <w:szCs w:val="28"/>
        </w:rPr>
      </w:pPr>
    </w:p>
    <w:p w:rsidR="00B840F6" w:rsidRDefault="00B840F6" w:rsidP="00AE7980">
      <w:pPr>
        <w:jc w:val="both"/>
        <w:rPr>
          <w:color w:val="000000"/>
          <w:sz w:val="28"/>
          <w:szCs w:val="28"/>
        </w:rPr>
      </w:pPr>
    </w:p>
    <w:p w:rsidR="00B840F6" w:rsidRDefault="00B840F6" w:rsidP="00AE7980">
      <w:pPr>
        <w:jc w:val="both"/>
        <w:rPr>
          <w:color w:val="000000"/>
          <w:sz w:val="28"/>
          <w:szCs w:val="28"/>
        </w:rPr>
      </w:pPr>
    </w:p>
    <w:p w:rsidR="00B840F6" w:rsidRDefault="00B840F6" w:rsidP="00AE7980">
      <w:pPr>
        <w:jc w:val="both"/>
        <w:rPr>
          <w:color w:val="000000"/>
          <w:sz w:val="28"/>
          <w:szCs w:val="28"/>
        </w:rPr>
      </w:pPr>
    </w:p>
    <w:p w:rsidR="00B840F6" w:rsidRDefault="00B840F6" w:rsidP="00AE7980">
      <w:pPr>
        <w:jc w:val="both"/>
        <w:rPr>
          <w:color w:val="000000"/>
          <w:sz w:val="28"/>
          <w:szCs w:val="28"/>
        </w:rPr>
      </w:pPr>
    </w:p>
    <w:p w:rsidR="005045BE" w:rsidRDefault="005045BE" w:rsidP="00AE7980">
      <w:pPr>
        <w:jc w:val="both"/>
        <w:rPr>
          <w:color w:val="000000"/>
          <w:sz w:val="28"/>
          <w:szCs w:val="28"/>
        </w:rPr>
      </w:pPr>
    </w:p>
    <w:p w:rsidR="005045BE" w:rsidRDefault="005045BE" w:rsidP="00AE7980">
      <w:pPr>
        <w:jc w:val="both"/>
        <w:rPr>
          <w:color w:val="000000"/>
          <w:sz w:val="28"/>
          <w:szCs w:val="28"/>
        </w:rPr>
      </w:pPr>
    </w:p>
    <w:p w:rsidR="005045BE" w:rsidRPr="00366B9D" w:rsidRDefault="008C1B48" w:rsidP="00AE7980">
      <w:pPr>
        <w:spacing w:before="120"/>
        <w:rPr>
          <w:sz w:val="20"/>
          <w:szCs w:val="20"/>
        </w:rPr>
      </w:pPr>
      <w:r w:rsidRPr="00366B9D">
        <w:rPr>
          <w:sz w:val="20"/>
          <w:szCs w:val="20"/>
        </w:rPr>
        <w:fldChar w:fldCharType="begin"/>
      </w:r>
      <w:r w:rsidRPr="00366B9D">
        <w:rPr>
          <w:sz w:val="20"/>
          <w:szCs w:val="20"/>
        </w:rPr>
        <w:instrText xml:space="preserve"> SAVEDATE  \@ "dd.MM.yyyy. H:mm"  \* MERGEFORMAT </w:instrText>
      </w:r>
      <w:r w:rsidRPr="00366B9D">
        <w:rPr>
          <w:sz w:val="20"/>
          <w:szCs w:val="20"/>
        </w:rPr>
        <w:fldChar w:fldCharType="separate"/>
      </w:r>
      <w:r w:rsidR="00D46576">
        <w:rPr>
          <w:noProof/>
          <w:sz w:val="20"/>
          <w:szCs w:val="20"/>
        </w:rPr>
        <w:t>01.11.2012. 15:48</w:t>
      </w:r>
      <w:r w:rsidRPr="00366B9D">
        <w:rPr>
          <w:noProof/>
          <w:sz w:val="20"/>
          <w:szCs w:val="20"/>
        </w:rPr>
        <w:fldChar w:fldCharType="end"/>
      </w:r>
    </w:p>
    <w:p w:rsidR="005045BE" w:rsidRPr="00366B9D" w:rsidRDefault="001A59AA" w:rsidP="00AE7980">
      <w:pPr>
        <w:pStyle w:val="Header"/>
        <w:tabs>
          <w:tab w:val="clear" w:pos="4153"/>
          <w:tab w:val="clear" w:pos="8306"/>
        </w:tabs>
        <w:rPr>
          <w:sz w:val="20"/>
          <w:szCs w:val="20"/>
        </w:rPr>
      </w:pPr>
      <w:r w:rsidRPr="00366B9D">
        <w:rPr>
          <w:sz w:val="20"/>
          <w:szCs w:val="20"/>
        </w:rPr>
        <w:fldChar w:fldCharType="begin"/>
      </w:r>
      <w:r w:rsidRPr="00366B9D">
        <w:rPr>
          <w:sz w:val="20"/>
          <w:szCs w:val="20"/>
        </w:rPr>
        <w:instrText xml:space="preserve"> NUMWORDS  \* Lower </w:instrText>
      </w:r>
      <w:r w:rsidRPr="00366B9D">
        <w:rPr>
          <w:sz w:val="20"/>
          <w:szCs w:val="20"/>
        </w:rPr>
        <w:fldChar w:fldCharType="separate"/>
      </w:r>
      <w:r w:rsidR="00BC2FFE" w:rsidRPr="00366B9D">
        <w:rPr>
          <w:noProof/>
          <w:sz w:val="20"/>
          <w:szCs w:val="20"/>
        </w:rPr>
        <w:t>989</w:t>
      </w:r>
      <w:r w:rsidRPr="00366B9D">
        <w:rPr>
          <w:noProof/>
          <w:sz w:val="20"/>
          <w:szCs w:val="20"/>
        </w:rPr>
        <w:fldChar w:fldCharType="end"/>
      </w:r>
    </w:p>
    <w:p w:rsidR="005045BE" w:rsidRPr="00366B9D" w:rsidRDefault="005045BE" w:rsidP="00AE7980">
      <w:pPr>
        <w:pStyle w:val="naisf"/>
        <w:tabs>
          <w:tab w:val="left" w:pos="6840"/>
        </w:tabs>
        <w:spacing w:before="0" w:after="0"/>
        <w:ind w:firstLine="0"/>
        <w:rPr>
          <w:sz w:val="20"/>
          <w:szCs w:val="20"/>
        </w:rPr>
      </w:pPr>
      <w:r w:rsidRPr="00366B9D">
        <w:rPr>
          <w:sz w:val="20"/>
          <w:szCs w:val="20"/>
        </w:rPr>
        <w:t>H.Rimša</w:t>
      </w:r>
    </w:p>
    <w:p w:rsidR="005045BE" w:rsidRPr="00366B9D" w:rsidRDefault="005045BE" w:rsidP="00AE7980">
      <w:pPr>
        <w:pStyle w:val="naisf"/>
        <w:tabs>
          <w:tab w:val="left" w:pos="6840"/>
        </w:tabs>
        <w:spacing w:before="0" w:after="0"/>
        <w:ind w:firstLine="0"/>
        <w:rPr>
          <w:sz w:val="20"/>
          <w:szCs w:val="20"/>
        </w:rPr>
      </w:pPr>
      <w:r w:rsidRPr="00366B9D">
        <w:rPr>
          <w:sz w:val="20"/>
          <w:szCs w:val="20"/>
        </w:rPr>
        <w:t xml:space="preserve">67026414, </w:t>
      </w:r>
      <w:hyperlink r:id="rId8" w:history="1">
        <w:r w:rsidRPr="00366B9D">
          <w:rPr>
            <w:rStyle w:val="Hyperlink"/>
            <w:sz w:val="20"/>
            <w:szCs w:val="20"/>
          </w:rPr>
          <w:t>Helena.Rimsa@varam.gov.lv</w:t>
        </w:r>
      </w:hyperlink>
    </w:p>
    <w:sectPr w:rsidR="005045BE" w:rsidRPr="00366B9D" w:rsidSect="00187835">
      <w:headerReference w:type="even" r:id="rId9"/>
      <w:headerReference w:type="default" r:id="rId10"/>
      <w:footerReference w:type="default" r:id="rId11"/>
      <w:headerReference w:type="firs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73" w:rsidRDefault="00682273">
      <w:r>
        <w:separator/>
      </w:r>
    </w:p>
  </w:endnote>
  <w:endnote w:type="continuationSeparator" w:id="0">
    <w:p w:rsidR="00682273" w:rsidRDefault="0068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BE" w:rsidRPr="00AA6615" w:rsidRDefault="005045BE" w:rsidP="00AA6615">
    <w:pPr>
      <w:jc w:val="both"/>
      <w:rPr>
        <w:sz w:val="8"/>
        <w:szCs w:val="8"/>
      </w:rPr>
    </w:pPr>
  </w:p>
  <w:p w:rsidR="005045BE" w:rsidRPr="00F44D8A" w:rsidRDefault="001A59AA" w:rsidP="00CF6D8B">
    <w:pPr>
      <w:jc w:val="both"/>
      <w:rPr>
        <w:sz w:val="20"/>
        <w:szCs w:val="20"/>
      </w:rPr>
    </w:pPr>
    <w:fldSimple w:instr=" FILENAME   \* MERGEFORMAT ">
      <w:r w:rsidR="00BC2FFE" w:rsidRPr="00BC2FFE">
        <w:rPr>
          <w:noProof/>
          <w:sz w:val="20"/>
          <w:szCs w:val="20"/>
        </w:rPr>
        <w:t>VARAMAnot_311012_Groz778</w:t>
      </w:r>
    </w:fldSimple>
    <w:r w:rsidR="005045BE" w:rsidRPr="00F44D8A">
      <w:rPr>
        <w:sz w:val="20"/>
        <w:szCs w:val="20"/>
      </w:rPr>
      <w:t>; Ministru kabineta noteikumu projekta „</w:t>
    </w:r>
    <w:r w:rsidR="005045BE" w:rsidRPr="00487977">
      <w:rPr>
        <w:sz w:val="20"/>
        <w:szCs w:val="20"/>
      </w:rPr>
      <w:t>Grozījums Ministru kabineta 2004.gada 7.septembra noteikumos Nr.778 „Kārtība, kādā tiek veikts siltumnīcefekta gāzu emisiju monitorings, kā arī pārbaudīti un apstiprināti ikgadējie pārskati pa</w:t>
    </w:r>
    <w:r w:rsidR="005045BE">
      <w:rPr>
        <w:sz w:val="20"/>
        <w:szCs w:val="20"/>
      </w:rPr>
      <w:t>r siltumnīcefekta gāzu emisiju”</w:t>
    </w:r>
    <w:r w:rsidR="005045BE" w:rsidRPr="00F44D8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BE" w:rsidRPr="00F44D8A" w:rsidRDefault="005045BE" w:rsidP="00CF6D8B">
    <w:pPr>
      <w:jc w:val="both"/>
      <w:rPr>
        <w:sz w:val="8"/>
        <w:szCs w:val="8"/>
      </w:rPr>
    </w:pPr>
  </w:p>
  <w:p w:rsidR="005045BE" w:rsidRPr="00F44D8A" w:rsidRDefault="001A59AA" w:rsidP="00CF6D8B">
    <w:pPr>
      <w:jc w:val="both"/>
      <w:rPr>
        <w:sz w:val="20"/>
        <w:szCs w:val="20"/>
      </w:rPr>
    </w:pPr>
    <w:fldSimple w:instr=" FILENAME   \* MERGEFORMAT ">
      <w:r w:rsidR="00BC2FFE" w:rsidRPr="00BC2FFE">
        <w:rPr>
          <w:noProof/>
          <w:sz w:val="20"/>
          <w:szCs w:val="20"/>
        </w:rPr>
        <w:t>VARAMAnot_311012_Groz778</w:t>
      </w:r>
    </w:fldSimple>
    <w:r w:rsidR="005045BE" w:rsidRPr="00F44D8A">
      <w:rPr>
        <w:sz w:val="20"/>
        <w:szCs w:val="20"/>
      </w:rPr>
      <w:t>; Ministru kabineta noteikumu projekta „</w:t>
    </w:r>
    <w:r w:rsidR="005045BE" w:rsidRPr="00487977">
      <w:rPr>
        <w:sz w:val="20"/>
        <w:szCs w:val="20"/>
      </w:rPr>
      <w:t>Grozījums Ministru kabineta 2004.gada 7.septembra noteikumos Nr.778 „Kārtība, kādā tiek veikts siltumnīcefekta gāzu emisiju monitorings, kā arī pārbaudīti un apstiprināti ikgadējie pārskati pa</w:t>
    </w:r>
    <w:r w:rsidR="005045BE">
      <w:rPr>
        <w:sz w:val="20"/>
        <w:szCs w:val="20"/>
      </w:rPr>
      <w:t>r siltumnīcefekta gāzu emisiju”</w:t>
    </w:r>
    <w:r w:rsidR="005045BE" w:rsidRPr="00F44D8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73" w:rsidRDefault="00682273">
      <w:r>
        <w:separator/>
      </w:r>
    </w:p>
  </w:footnote>
  <w:footnote w:type="continuationSeparator" w:id="0">
    <w:p w:rsidR="00682273" w:rsidRDefault="0068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BE" w:rsidRDefault="005045B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5BE" w:rsidRDefault="00504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BE" w:rsidRDefault="005045B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576">
      <w:rPr>
        <w:rStyle w:val="PageNumber"/>
        <w:noProof/>
      </w:rPr>
      <w:t>3</w:t>
    </w:r>
    <w:r>
      <w:rPr>
        <w:rStyle w:val="PageNumber"/>
      </w:rPr>
      <w:fldChar w:fldCharType="end"/>
    </w:r>
  </w:p>
  <w:p w:rsidR="005045BE" w:rsidRPr="0062376B" w:rsidRDefault="005045BE">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BE" w:rsidRDefault="005045BE" w:rsidP="00DE5A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1E515C"/>
    <w:multiLevelType w:val="hybridMultilevel"/>
    <w:tmpl w:val="17BE48DA"/>
    <w:lvl w:ilvl="0" w:tplc="1390D23E">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EF2446"/>
    <w:multiLevelType w:val="hybridMultilevel"/>
    <w:tmpl w:val="730E5F4A"/>
    <w:lvl w:ilvl="0" w:tplc="1390D23E">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num w:numId="1">
    <w:abstractNumId w:val="8"/>
  </w:num>
  <w:num w:numId="2">
    <w:abstractNumId w:val="18"/>
  </w:num>
  <w:num w:numId="3">
    <w:abstractNumId w:val="6"/>
  </w:num>
  <w:num w:numId="4">
    <w:abstractNumId w:val="3"/>
  </w:num>
  <w:num w:numId="5">
    <w:abstractNumId w:val="0"/>
  </w:num>
  <w:num w:numId="6">
    <w:abstractNumId w:val="14"/>
  </w:num>
  <w:num w:numId="7">
    <w:abstractNumId w:val="19"/>
  </w:num>
  <w:num w:numId="8">
    <w:abstractNumId w:val="11"/>
  </w:num>
  <w:num w:numId="9">
    <w:abstractNumId w:val="5"/>
  </w:num>
  <w:num w:numId="10">
    <w:abstractNumId w:val="12"/>
  </w:num>
  <w:num w:numId="11">
    <w:abstractNumId w:val="13"/>
  </w:num>
  <w:num w:numId="12">
    <w:abstractNumId w:val="15"/>
  </w:num>
  <w:num w:numId="13">
    <w:abstractNumId w:val="17"/>
  </w:num>
  <w:num w:numId="14">
    <w:abstractNumId w:val="9"/>
  </w:num>
  <w:num w:numId="15">
    <w:abstractNumId w:val="1"/>
  </w:num>
  <w:num w:numId="16">
    <w:abstractNumId w:val="16"/>
  </w:num>
  <w:num w:numId="17">
    <w:abstractNumId w:val="7"/>
  </w:num>
  <w:num w:numId="18">
    <w:abstractNumId w:val="10"/>
  </w:num>
  <w:num w:numId="19">
    <w:abstractNumId w:val="2"/>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6AA"/>
    <w:rsid w:val="00003636"/>
    <w:rsid w:val="00006F1C"/>
    <w:rsid w:val="00007AD5"/>
    <w:rsid w:val="00011110"/>
    <w:rsid w:val="00011D24"/>
    <w:rsid w:val="00013F31"/>
    <w:rsid w:val="00013FF4"/>
    <w:rsid w:val="000151F6"/>
    <w:rsid w:val="0002034A"/>
    <w:rsid w:val="00020FE1"/>
    <w:rsid w:val="00022E13"/>
    <w:rsid w:val="000265AB"/>
    <w:rsid w:val="00026F37"/>
    <w:rsid w:val="00027CF8"/>
    <w:rsid w:val="00031D2D"/>
    <w:rsid w:val="00032388"/>
    <w:rsid w:val="00035CE2"/>
    <w:rsid w:val="00045FE5"/>
    <w:rsid w:val="00046A5A"/>
    <w:rsid w:val="000474FF"/>
    <w:rsid w:val="0005096C"/>
    <w:rsid w:val="000549FA"/>
    <w:rsid w:val="0005553B"/>
    <w:rsid w:val="000604D2"/>
    <w:rsid w:val="00061E13"/>
    <w:rsid w:val="00070450"/>
    <w:rsid w:val="0009005E"/>
    <w:rsid w:val="000908E2"/>
    <w:rsid w:val="00092C05"/>
    <w:rsid w:val="0009392A"/>
    <w:rsid w:val="000941C5"/>
    <w:rsid w:val="00096E50"/>
    <w:rsid w:val="00097A39"/>
    <w:rsid w:val="000A279D"/>
    <w:rsid w:val="000A2CC7"/>
    <w:rsid w:val="000A6451"/>
    <w:rsid w:val="000A6F4E"/>
    <w:rsid w:val="000B05C8"/>
    <w:rsid w:val="000B064E"/>
    <w:rsid w:val="000B5664"/>
    <w:rsid w:val="000B66F0"/>
    <w:rsid w:val="000B69CF"/>
    <w:rsid w:val="000B727F"/>
    <w:rsid w:val="000C12AB"/>
    <w:rsid w:val="000C1696"/>
    <w:rsid w:val="000C28CB"/>
    <w:rsid w:val="000C790C"/>
    <w:rsid w:val="000D0288"/>
    <w:rsid w:val="000D0342"/>
    <w:rsid w:val="000D22E1"/>
    <w:rsid w:val="000D53A4"/>
    <w:rsid w:val="000D7E25"/>
    <w:rsid w:val="000E63BA"/>
    <w:rsid w:val="000F05AD"/>
    <w:rsid w:val="000F061D"/>
    <w:rsid w:val="000F4794"/>
    <w:rsid w:val="000F73E1"/>
    <w:rsid w:val="001021DC"/>
    <w:rsid w:val="00110A5D"/>
    <w:rsid w:val="00124F12"/>
    <w:rsid w:val="00130725"/>
    <w:rsid w:val="00137E8E"/>
    <w:rsid w:val="00144E16"/>
    <w:rsid w:val="00144E3A"/>
    <w:rsid w:val="0015060C"/>
    <w:rsid w:val="001577DB"/>
    <w:rsid w:val="0016018A"/>
    <w:rsid w:val="00161F0E"/>
    <w:rsid w:val="00170E2A"/>
    <w:rsid w:val="0017438A"/>
    <w:rsid w:val="00174CE5"/>
    <w:rsid w:val="00177394"/>
    <w:rsid w:val="00180614"/>
    <w:rsid w:val="00182C18"/>
    <w:rsid w:val="00183CC2"/>
    <w:rsid w:val="00187835"/>
    <w:rsid w:val="001900E4"/>
    <w:rsid w:val="0019049F"/>
    <w:rsid w:val="00190F88"/>
    <w:rsid w:val="00194421"/>
    <w:rsid w:val="00194816"/>
    <w:rsid w:val="00195C3D"/>
    <w:rsid w:val="001A4066"/>
    <w:rsid w:val="001A59AA"/>
    <w:rsid w:val="001A6AE4"/>
    <w:rsid w:val="001B01FD"/>
    <w:rsid w:val="001B301A"/>
    <w:rsid w:val="001B4A71"/>
    <w:rsid w:val="001B7C1E"/>
    <w:rsid w:val="001C25AB"/>
    <w:rsid w:val="001C653E"/>
    <w:rsid w:val="001C7680"/>
    <w:rsid w:val="001D3D74"/>
    <w:rsid w:val="001D41C4"/>
    <w:rsid w:val="001D51E9"/>
    <w:rsid w:val="001D5B54"/>
    <w:rsid w:val="001D6061"/>
    <w:rsid w:val="001D760B"/>
    <w:rsid w:val="001E0914"/>
    <w:rsid w:val="001E1DBF"/>
    <w:rsid w:val="001E26BE"/>
    <w:rsid w:val="001E4639"/>
    <w:rsid w:val="001E4A7D"/>
    <w:rsid w:val="001E5C30"/>
    <w:rsid w:val="001F4209"/>
    <w:rsid w:val="001F43A8"/>
    <w:rsid w:val="001F5CD6"/>
    <w:rsid w:val="001F6AFC"/>
    <w:rsid w:val="00204981"/>
    <w:rsid w:val="002074DE"/>
    <w:rsid w:val="00207C81"/>
    <w:rsid w:val="0021263D"/>
    <w:rsid w:val="00213F0C"/>
    <w:rsid w:val="00214094"/>
    <w:rsid w:val="002149E7"/>
    <w:rsid w:val="0021592D"/>
    <w:rsid w:val="00215F45"/>
    <w:rsid w:val="00220257"/>
    <w:rsid w:val="002225BF"/>
    <w:rsid w:val="00222D76"/>
    <w:rsid w:val="00223EB1"/>
    <w:rsid w:val="00231344"/>
    <w:rsid w:val="0023436E"/>
    <w:rsid w:val="002347C0"/>
    <w:rsid w:val="00234A26"/>
    <w:rsid w:val="00240407"/>
    <w:rsid w:val="00241A6C"/>
    <w:rsid w:val="00242D2B"/>
    <w:rsid w:val="00247182"/>
    <w:rsid w:val="002550F1"/>
    <w:rsid w:val="002578B9"/>
    <w:rsid w:val="00262E2B"/>
    <w:rsid w:val="002659C8"/>
    <w:rsid w:val="00270429"/>
    <w:rsid w:val="002723E9"/>
    <w:rsid w:val="00273598"/>
    <w:rsid w:val="00277929"/>
    <w:rsid w:val="00283B82"/>
    <w:rsid w:val="002846E9"/>
    <w:rsid w:val="00284C34"/>
    <w:rsid w:val="002858FF"/>
    <w:rsid w:val="00290042"/>
    <w:rsid w:val="0029066C"/>
    <w:rsid w:val="00292ED3"/>
    <w:rsid w:val="0029401D"/>
    <w:rsid w:val="00297193"/>
    <w:rsid w:val="00297F50"/>
    <w:rsid w:val="002A3E8C"/>
    <w:rsid w:val="002A509A"/>
    <w:rsid w:val="002B226B"/>
    <w:rsid w:val="002B50DB"/>
    <w:rsid w:val="002C05F9"/>
    <w:rsid w:val="002C12AB"/>
    <w:rsid w:val="002C7CAC"/>
    <w:rsid w:val="002D0D31"/>
    <w:rsid w:val="002D2979"/>
    <w:rsid w:val="002D3170"/>
    <w:rsid w:val="002D3306"/>
    <w:rsid w:val="002D48AA"/>
    <w:rsid w:val="002D7BAA"/>
    <w:rsid w:val="002D7F54"/>
    <w:rsid w:val="002E0479"/>
    <w:rsid w:val="002E3FF4"/>
    <w:rsid w:val="002F2BE0"/>
    <w:rsid w:val="002F5945"/>
    <w:rsid w:val="002F6BCF"/>
    <w:rsid w:val="002F78C8"/>
    <w:rsid w:val="00301CF3"/>
    <w:rsid w:val="003030C8"/>
    <w:rsid w:val="00304F65"/>
    <w:rsid w:val="00304FC5"/>
    <w:rsid w:val="00312618"/>
    <w:rsid w:val="00322D18"/>
    <w:rsid w:val="00326FC4"/>
    <w:rsid w:val="0032708A"/>
    <w:rsid w:val="0032715C"/>
    <w:rsid w:val="00327DDC"/>
    <w:rsid w:val="00331C16"/>
    <w:rsid w:val="003327B9"/>
    <w:rsid w:val="00337CA5"/>
    <w:rsid w:val="00340FD3"/>
    <w:rsid w:val="0034236A"/>
    <w:rsid w:val="00344552"/>
    <w:rsid w:val="00345605"/>
    <w:rsid w:val="00346C05"/>
    <w:rsid w:val="0035392D"/>
    <w:rsid w:val="00362478"/>
    <w:rsid w:val="00362EFD"/>
    <w:rsid w:val="00362F13"/>
    <w:rsid w:val="0036633F"/>
    <w:rsid w:val="00366B9D"/>
    <w:rsid w:val="003708CB"/>
    <w:rsid w:val="00371975"/>
    <w:rsid w:val="00375B25"/>
    <w:rsid w:val="003810BA"/>
    <w:rsid w:val="0038132C"/>
    <w:rsid w:val="00385505"/>
    <w:rsid w:val="003942AA"/>
    <w:rsid w:val="0039473D"/>
    <w:rsid w:val="00396542"/>
    <w:rsid w:val="0039685B"/>
    <w:rsid w:val="003A2FA4"/>
    <w:rsid w:val="003A31A6"/>
    <w:rsid w:val="003A3D3A"/>
    <w:rsid w:val="003A7A15"/>
    <w:rsid w:val="003A7F0C"/>
    <w:rsid w:val="003A7F79"/>
    <w:rsid w:val="003B0C7D"/>
    <w:rsid w:val="003B4426"/>
    <w:rsid w:val="003B6404"/>
    <w:rsid w:val="003C0B51"/>
    <w:rsid w:val="003C449B"/>
    <w:rsid w:val="003D21FF"/>
    <w:rsid w:val="003E14D0"/>
    <w:rsid w:val="003E5CD1"/>
    <w:rsid w:val="003E7454"/>
    <w:rsid w:val="003F0112"/>
    <w:rsid w:val="003F071A"/>
    <w:rsid w:val="003F160B"/>
    <w:rsid w:val="00400032"/>
    <w:rsid w:val="00400B5B"/>
    <w:rsid w:val="00401E3E"/>
    <w:rsid w:val="00405A00"/>
    <w:rsid w:val="00410CEF"/>
    <w:rsid w:val="00414FC6"/>
    <w:rsid w:val="00420870"/>
    <w:rsid w:val="00431195"/>
    <w:rsid w:val="00432D0C"/>
    <w:rsid w:val="00433064"/>
    <w:rsid w:val="00434C05"/>
    <w:rsid w:val="0043791B"/>
    <w:rsid w:val="00441483"/>
    <w:rsid w:val="00441BCB"/>
    <w:rsid w:val="00443305"/>
    <w:rsid w:val="004470BC"/>
    <w:rsid w:val="0045176A"/>
    <w:rsid w:val="00451AAD"/>
    <w:rsid w:val="00456332"/>
    <w:rsid w:val="00461826"/>
    <w:rsid w:val="00462330"/>
    <w:rsid w:val="00467CFC"/>
    <w:rsid w:val="004704AB"/>
    <w:rsid w:val="00477753"/>
    <w:rsid w:val="004800F9"/>
    <w:rsid w:val="00487977"/>
    <w:rsid w:val="0049134A"/>
    <w:rsid w:val="00492B8E"/>
    <w:rsid w:val="00493C77"/>
    <w:rsid w:val="004974FF"/>
    <w:rsid w:val="004A5411"/>
    <w:rsid w:val="004A58CB"/>
    <w:rsid w:val="004B066C"/>
    <w:rsid w:val="004B1795"/>
    <w:rsid w:val="004B3316"/>
    <w:rsid w:val="004B4792"/>
    <w:rsid w:val="004B56DD"/>
    <w:rsid w:val="004C020F"/>
    <w:rsid w:val="004C1AFD"/>
    <w:rsid w:val="004C34F9"/>
    <w:rsid w:val="004C558B"/>
    <w:rsid w:val="004C5971"/>
    <w:rsid w:val="004D2D9E"/>
    <w:rsid w:val="004D3EA6"/>
    <w:rsid w:val="004D63E8"/>
    <w:rsid w:val="004E4783"/>
    <w:rsid w:val="004E6238"/>
    <w:rsid w:val="004F1F88"/>
    <w:rsid w:val="004F22B8"/>
    <w:rsid w:val="004F2F32"/>
    <w:rsid w:val="004F36F5"/>
    <w:rsid w:val="004F536D"/>
    <w:rsid w:val="004F5BE1"/>
    <w:rsid w:val="004F5F1B"/>
    <w:rsid w:val="00502374"/>
    <w:rsid w:val="005032E5"/>
    <w:rsid w:val="005045BE"/>
    <w:rsid w:val="005060A1"/>
    <w:rsid w:val="00516072"/>
    <w:rsid w:val="00520B69"/>
    <w:rsid w:val="00521432"/>
    <w:rsid w:val="005246D5"/>
    <w:rsid w:val="0052647E"/>
    <w:rsid w:val="00531523"/>
    <w:rsid w:val="005332EC"/>
    <w:rsid w:val="00534418"/>
    <w:rsid w:val="005353AB"/>
    <w:rsid w:val="00535C44"/>
    <w:rsid w:val="00536144"/>
    <w:rsid w:val="0053783B"/>
    <w:rsid w:val="00542EAE"/>
    <w:rsid w:val="00544546"/>
    <w:rsid w:val="005560BC"/>
    <w:rsid w:val="00556FA8"/>
    <w:rsid w:val="005573BE"/>
    <w:rsid w:val="005575B5"/>
    <w:rsid w:val="00557E70"/>
    <w:rsid w:val="00560080"/>
    <w:rsid w:val="00560810"/>
    <w:rsid w:val="0056518B"/>
    <w:rsid w:val="00565E78"/>
    <w:rsid w:val="00572700"/>
    <w:rsid w:val="00574EE1"/>
    <w:rsid w:val="00580468"/>
    <w:rsid w:val="00582231"/>
    <w:rsid w:val="0058603B"/>
    <w:rsid w:val="0059431B"/>
    <w:rsid w:val="00595603"/>
    <w:rsid w:val="005A39CC"/>
    <w:rsid w:val="005A493E"/>
    <w:rsid w:val="005B1F31"/>
    <w:rsid w:val="005B4730"/>
    <w:rsid w:val="005D0895"/>
    <w:rsid w:val="005D2023"/>
    <w:rsid w:val="005D3B08"/>
    <w:rsid w:val="005D5B35"/>
    <w:rsid w:val="005D7801"/>
    <w:rsid w:val="005E05D7"/>
    <w:rsid w:val="005E162E"/>
    <w:rsid w:val="005E18E9"/>
    <w:rsid w:val="005E41E7"/>
    <w:rsid w:val="005E450F"/>
    <w:rsid w:val="005E6A0C"/>
    <w:rsid w:val="005E7289"/>
    <w:rsid w:val="005F1FA4"/>
    <w:rsid w:val="005F29EA"/>
    <w:rsid w:val="005F56F0"/>
    <w:rsid w:val="0060077F"/>
    <w:rsid w:val="00600EC8"/>
    <w:rsid w:val="00603B02"/>
    <w:rsid w:val="00606BC0"/>
    <w:rsid w:val="00611920"/>
    <w:rsid w:val="00613A84"/>
    <w:rsid w:val="00616F30"/>
    <w:rsid w:val="0062298A"/>
    <w:rsid w:val="0062376B"/>
    <w:rsid w:val="00626514"/>
    <w:rsid w:val="00626589"/>
    <w:rsid w:val="00626701"/>
    <w:rsid w:val="006339A0"/>
    <w:rsid w:val="006342F1"/>
    <w:rsid w:val="006413A8"/>
    <w:rsid w:val="00642E56"/>
    <w:rsid w:val="00651E00"/>
    <w:rsid w:val="00653890"/>
    <w:rsid w:val="00660C52"/>
    <w:rsid w:val="00662CA1"/>
    <w:rsid w:val="00663CED"/>
    <w:rsid w:val="006671A5"/>
    <w:rsid w:val="00667970"/>
    <w:rsid w:val="00674572"/>
    <w:rsid w:val="00674A80"/>
    <w:rsid w:val="00675DF2"/>
    <w:rsid w:val="00677C61"/>
    <w:rsid w:val="00682273"/>
    <w:rsid w:val="00687763"/>
    <w:rsid w:val="006907DD"/>
    <w:rsid w:val="00692B0D"/>
    <w:rsid w:val="00693E0E"/>
    <w:rsid w:val="006A11F8"/>
    <w:rsid w:val="006A1AE3"/>
    <w:rsid w:val="006A1CEF"/>
    <w:rsid w:val="006B1113"/>
    <w:rsid w:val="006B51E2"/>
    <w:rsid w:val="006B613D"/>
    <w:rsid w:val="006B69E9"/>
    <w:rsid w:val="006B7890"/>
    <w:rsid w:val="006C30E1"/>
    <w:rsid w:val="006C373B"/>
    <w:rsid w:val="006C4607"/>
    <w:rsid w:val="006D48F1"/>
    <w:rsid w:val="006D67C5"/>
    <w:rsid w:val="006D720E"/>
    <w:rsid w:val="006E0BD4"/>
    <w:rsid w:val="006E2380"/>
    <w:rsid w:val="006E7D54"/>
    <w:rsid w:val="006E7E03"/>
    <w:rsid w:val="006F100A"/>
    <w:rsid w:val="006F1A2E"/>
    <w:rsid w:val="006F417F"/>
    <w:rsid w:val="006F45BE"/>
    <w:rsid w:val="006F537D"/>
    <w:rsid w:val="006F6534"/>
    <w:rsid w:val="006F76B6"/>
    <w:rsid w:val="007004FC"/>
    <w:rsid w:val="00701FD7"/>
    <w:rsid w:val="0070312B"/>
    <w:rsid w:val="0070401B"/>
    <w:rsid w:val="00704856"/>
    <w:rsid w:val="00706670"/>
    <w:rsid w:val="00711756"/>
    <w:rsid w:val="00711F59"/>
    <w:rsid w:val="00717C10"/>
    <w:rsid w:val="00720E0C"/>
    <w:rsid w:val="0072203E"/>
    <w:rsid w:val="0072417C"/>
    <w:rsid w:val="00732B5E"/>
    <w:rsid w:val="00733C93"/>
    <w:rsid w:val="00734450"/>
    <w:rsid w:val="00742393"/>
    <w:rsid w:val="00745F67"/>
    <w:rsid w:val="0075039E"/>
    <w:rsid w:val="00750D21"/>
    <w:rsid w:val="00752D9D"/>
    <w:rsid w:val="0075318A"/>
    <w:rsid w:val="00754784"/>
    <w:rsid w:val="00754922"/>
    <w:rsid w:val="00757C6E"/>
    <w:rsid w:val="00760A5C"/>
    <w:rsid w:val="00762BDA"/>
    <w:rsid w:val="00762D25"/>
    <w:rsid w:val="007634EE"/>
    <w:rsid w:val="00767E7B"/>
    <w:rsid w:val="0077696E"/>
    <w:rsid w:val="007805FD"/>
    <w:rsid w:val="00784422"/>
    <w:rsid w:val="00785CE1"/>
    <w:rsid w:val="00790B72"/>
    <w:rsid w:val="00792642"/>
    <w:rsid w:val="00792A68"/>
    <w:rsid w:val="007A0B6B"/>
    <w:rsid w:val="007B3B54"/>
    <w:rsid w:val="007B3FA0"/>
    <w:rsid w:val="007C0BB0"/>
    <w:rsid w:val="007C0F2C"/>
    <w:rsid w:val="007C2BCC"/>
    <w:rsid w:val="007C4EF0"/>
    <w:rsid w:val="007C762B"/>
    <w:rsid w:val="007D099D"/>
    <w:rsid w:val="007D2C79"/>
    <w:rsid w:val="007D3B32"/>
    <w:rsid w:val="007D58AD"/>
    <w:rsid w:val="007E2664"/>
    <w:rsid w:val="007E329A"/>
    <w:rsid w:val="007E388C"/>
    <w:rsid w:val="007E3ABF"/>
    <w:rsid w:val="007E5BFA"/>
    <w:rsid w:val="007E6689"/>
    <w:rsid w:val="007E731C"/>
    <w:rsid w:val="007F0A03"/>
    <w:rsid w:val="007F6E75"/>
    <w:rsid w:val="0080167C"/>
    <w:rsid w:val="008029AD"/>
    <w:rsid w:val="00805589"/>
    <w:rsid w:val="008069F8"/>
    <w:rsid w:val="00810040"/>
    <w:rsid w:val="00810931"/>
    <w:rsid w:val="008114C4"/>
    <w:rsid w:val="00811720"/>
    <w:rsid w:val="008129C4"/>
    <w:rsid w:val="00812E34"/>
    <w:rsid w:val="00814591"/>
    <w:rsid w:val="0082023A"/>
    <w:rsid w:val="00821A7A"/>
    <w:rsid w:val="00821A7F"/>
    <w:rsid w:val="00823A75"/>
    <w:rsid w:val="008253F8"/>
    <w:rsid w:val="00827728"/>
    <w:rsid w:val="00827C7B"/>
    <w:rsid w:val="00830ECC"/>
    <w:rsid w:val="0083183B"/>
    <w:rsid w:val="008325E4"/>
    <w:rsid w:val="00832A2B"/>
    <w:rsid w:val="0083307A"/>
    <w:rsid w:val="0083418A"/>
    <w:rsid w:val="00836FE8"/>
    <w:rsid w:val="00842525"/>
    <w:rsid w:val="00844678"/>
    <w:rsid w:val="00845811"/>
    <w:rsid w:val="00846994"/>
    <w:rsid w:val="00850451"/>
    <w:rsid w:val="00852042"/>
    <w:rsid w:val="008534C9"/>
    <w:rsid w:val="0085599D"/>
    <w:rsid w:val="0086003F"/>
    <w:rsid w:val="00860667"/>
    <w:rsid w:val="00870962"/>
    <w:rsid w:val="008723D8"/>
    <w:rsid w:val="0087510C"/>
    <w:rsid w:val="00875663"/>
    <w:rsid w:val="0088465D"/>
    <w:rsid w:val="008849C8"/>
    <w:rsid w:val="008937FA"/>
    <w:rsid w:val="008968D2"/>
    <w:rsid w:val="0089738E"/>
    <w:rsid w:val="008975EF"/>
    <w:rsid w:val="008A14C8"/>
    <w:rsid w:val="008B31BA"/>
    <w:rsid w:val="008B373F"/>
    <w:rsid w:val="008B5696"/>
    <w:rsid w:val="008B5FDB"/>
    <w:rsid w:val="008C0196"/>
    <w:rsid w:val="008C0C8D"/>
    <w:rsid w:val="008C1B48"/>
    <w:rsid w:val="008C38DD"/>
    <w:rsid w:val="008C4094"/>
    <w:rsid w:val="008C50F4"/>
    <w:rsid w:val="008C5649"/>
    <w:rsid w:val="008C6251"/>
    <w:rsid w:val="008D279B"/>
    <w:rsid w:val="008E0562"/>
    <w:rsid w:val="008E0FD9"/>
    <w:rsid w:val="008E12C0"/>
    <w:rsid w:val="008E3B57"/>
    <w:rsid w:val="008E44A2"/>
    <w:rsid w:val="008E5CC1"/>
    <w:rsid w:val="008E697D"/>
    <w:rsid w:val="008F2541"/>
    <w:rsid w:val="00901725"/>
    <w:rsid w:val="00903263"/>
    <w:rsid w:val="00906A21"/>
    <w:rsid w:val="0090731C"/>
    <w:rsid w:val="009079C3"/>
    <w:rsid w:val="00910462"/>
    <w:rsid w:val="0091134D"/>
    <w:rsid w:val="009148D9"/>
    <w:rsid w:val="00915AB1"/>
    <w:rsid w:val="009162A4"/>
    <w:rsid w:val="00917532"/>
    <w:rsid w:val="0092170B"/>
    <w:rsid w:val="009235BA"/>
    <w:rsid w:val="00924023"/>
    <w:rsid w:val="00924CE2"/>
    <w:rsid w:val="0092501B"/>
    <w:rsid w:val="00925162"/>
    <w:rsid w:val="00925B9F"/>
    <w:rsid w:val="00931AED"/>
    <w:rsid w:val="0093570F"/>
    <w:rsid w:val="00941F35"/>
    <w:rsid w:val="009476A3"/>
    <w:rsid w:val="009510DE"/>
    <w:rsid w:val="0095126F"/>
    <w:rsid w:val="00951757"/>
    <w:rsid w:val="00952580"/>
    <w:rsid w:val="0095334F"/>
    <w:rsid w:val="009548EF"/>
    <w:rsid w:val="00956D0F"/>
    <w:rsid w:val="009604F7"/>
    <w:rsid w:val="00965897"/>
    <w:rsid w:val="00966CA5"/>
    <w:rsid w:val="00966E56"/>
    <w:rsid w:val="0096765C"/>
    <w:rsid w:val="009723E7"/>
    <w:rsid w:val="009727E4"/>
    <w:rsid w:val="00977658"/>
    <w:rsid w:val="00983677"/>
    <w:rsid w:val="0098765C"/>
    <w:rsid w:val="0098768D"/>
    <w:rsid w:val="00990176"/>
    <w:rsid w:val="00990B4F"/>
    <w:rsid w:val="009934C5"/>
    <w:rsid w:val="00994C0F"/>
    <w:rsid w:val="009A3804"/>
    <w:rsid w:val="009A6537"/>
    <w:rsid w:val="009B1134"/>
    <w:rsid w:val="009B22D7"/>
    <w:rsid w:val="009B72ED"/>
    <w:rsid w:val="009C238B"/>
    <w:rsid w:val="009C2E8F"/>
    <w:rsid w:val="009C43F8"/>
    <w:rsid w:val="009C6DEB"/>
    <w:rsid w:val="009D18A3"/>
    <w:rsid w:val="009D5EF2"/>
    <w:rsid w:val="009D6504"/>
    <w:rsid w:val="009E12D7"/>
    <w:rsid w:val="009E1C97"/>
    <w:rsid w:val="009E4171"/>
    <w:rsid w:val="009E63CD"/>
    <w:rsid w:val="009E661A"/>
    <w:rsid w:val="009E7D58"/>
    <w:rsid w:val="009F7578"/>
    <w:rsid w:val="009F78F5"/>
    <w:rsid w:val="00A01A6A"/>
    <w:rsid w:val="00A028D8"/>
    <w:rsid w:val="00A05C18"/>
    <w:rsid w:val="00A06781"/>
    <w:rsid w:val="00A074C3"/>
    <w:rsid w:val="00A1509C"/>
    <w:rsid w:val="00A155CE"/>
    <w:rsid w:val="00A163DA"/>
    <w:rsid w:val="00A16C18"/>
    <w:rsid w:val="00A209D5"/>
    <w:rsid w:val="00A249B9"/>
    <w:rsid w:val="00A30FEC"/>
    <w:rsid w:val="00A34260"/>
    <w:rsid w:val="00A35213"/>
    <w:rsid w:val="00A3670E"/>
    <w:rsid w:val="00A37482"/>
    <w:rsid w:val="00A43D3A"/>
    <w:rsid w:val="00A44CDD"/>
    <w:rsid w:val="00A5077A"/>
    <w:rsid w:val="00A52227"/>
    <w:rsid w:val="00A52846"/>
    <w:rsid w:val="00A541A5"/>
    <w:rsid w:val="00A55435"/>
    <w:rsid w:val="00A63146"/>
    <w:rsid w:val="00A637C5"/>
    <w:rsid w:val="00A708B6"/>
    <w:rsid w:val="00A70CFD"/>
    <w:rsid w:val="00A72A0B"/>
    <w:rsid w:val="00A72F74"/>
    <w:rsid w:val="00A73AA0"/>
    <w:rsid w:val="00A754D5"/>
    <w:rsid w:val="00A81E42"/>
    <w:rsid w:val="00A864FE"/>
    <w:rsid w:val="00A8665D"/>
    <w:rsid w:val="00A86F41"/>
    <w:rsid w:val="00A87D04"/>
    <w:rsid w:val="00A91917"/>
    <w:rsid w:val="00A928FB"/>
    <w:rsid w:val="00A950C5"/>
    <w:rsid w:val="00A958DB"/>
    <w:rsid w:val="00A95C54"/>
    <w:rsid w:val="00A9687B"/>
    <w:rsid w:val="00AA1D25"/>
    <w:rsid w:val="00AA4807"/>
    <w:rsid w:val="00AA6615"/>
    <w:rsid w:val="00AA6866"/>
    <w:rsid w:val="00AA6CD5"/>
    <w:rsid w:val="00AB2B1A"/>
    <w:rsid w:val="00AB397F"/>
    <w:rsid w:val="00AB5832"/>
    <w:rsid w:val="00AC51F2"/>
    <w:rsid w:val="00AC67EC"/>
    <w:rsid w:val="00AC7BAF"/>
    <w:rsid w:val="00AD3269"/>
    <w:rsid w:val="00AD4451"/>
    <w:rsid w:val="00AE3368"/>
    <w:rsid w:val="00AE4C3A"/>
    <w:rsid w:val="00AE5066"/>
    <w:rsid w:val="00AE53B0"/>
    <w:rsid w:val="00AE5E24"/>
    <w:rsid w:val="00AE61B7"/>
    <w:rsid w:val="00AE6CBA"/>
    <w:rsid w:val="00AE7980"/>
    <w:rsid w:val="00AE79AD"/>
    <w:rsid w:val="00AF0416"/>
    <w:rsid w:val="00AF35E4"/>
    <w:rsid w:val="00AF544C"/>
    <w:rsid w:val="00AF5CDE"/>
    <w:rsid w:val="00AF6B25"/>
    <w:rsid w:val="00B00C03"/>
    <w:rsid w:val="00B01C9A"/>
    <w:rsid w:val="00B079B2"/>
    <w:rsid w:val="00B11006"/>
    <w:rsid w:val="00B11A57"/>
    <w:rsid w:val="00B12D2C"/>
    <w:rsid w:val="00B211C3"/>
    <w:rsid w:val="00B232E2"/>
    <w:rsid w:val="00B25597"/>
    <w:rsid w:val="00B260BA"/>
    <w:rsid w:val="00B267B9"/>
    <w:rsid w:val="00B33E09"/>
    <w:rsid w:val="00B41746"/>
    <w:rsid w:val="00B44F20"/>
    <w:rsid w:val="00B460FC"/>
    <w:rsid w:val="00B46F2D"/>
    <w:rsid w:val="00B470FE"/>
    <w:rsid w:val="00B50708"/>
    <w:rsid w:val="00B50C68"/>
    <w:rsid w:val="00B51293"/>
    <w:rsid w:val="00B52B1E"/>
    <w:rsid w:val="00B55481"/>
    <w:rsid w:val="00B56C32"/>
    <w:rsid w:val="00B57ACF"/>
    <w:rsid w:val="00B6423F"/>
    <w:rsid w:val="00B64BB1"/>
    <w:rsid w:val="00B67717"/>
    <w:rsid w:val="00B73166"/>
    <w:rsid w:val="00B840F6"/>
    <w:rsid w:val="00B8426C"/>
    <w:rsid w:val="00B845A1"/>
    <w:rsid w:val="00B9139B"/>
    <w:rsid w:val="00B91B8D"/>
    <w:rsid w:val="00B94E90"/>
    <w:rsid w:val="00B95DA3"/>
    <w:rsid w:val="00BA11C8"/>
    <w:rsid w:val="00BA3C4F"/>
    <w:rsid w:val="00BB0A82"/>
    <w:rsid w:val="00BB44C2"/>
    <w:rsid w:val="00BB7C94"/>
    <w:rsid w:val="00BC0A9D"/>
    <w:rsid w:val="00BC2FFE"/>
    <w:rsid w:val="00BC401D"/>
    <w:rsid w:val="00BD2657"/>
    <w:rsid w:val="00BD27C9"/>
    <w:rsid w:val="00BD28D4"/>
    <w:rsid w:val="00BD40D7"/>
    <w:rsid w:val="00BE1916"/>
    <w:rsid w:val="00BE2643"/>
    <w:rsid w:val="00BE4CD9"/>
    <w:rsid w:val="00BE5094"/>
    <w:rsid w:val="00BE7EE1"/>
    <w:rsid w:val="00BF0A41"/>
    <w:rsid w:val="00BF0B1F"/>
    <w:rsid w:val="00BF3007"/>
    <w:rsid w:val="00BF40ED"/>
    <w:rsid w:val="00BF5BC2"/>
    <w:rsid w:val="00C03181"/>
    <w:rsid w:val="00C1133D"/>
    <w:rsid w:val="00C16C8E"/>
    <w:rsid w:val="00C2065A"/>
    <w:rsid w:val="00C20997"/>
    <w:rsid w:val="00C24AE2"/>
    <w:rsid w:val="00C27A08"/>
    <w:rsid w:val="00C30BEC"/>
    <w:rsid w:val="00C31312"/>
    <w:rsid w:val="00C31E36"/>
    <w:rsid w:val="00C324CA"/>
    <w:rsid w:val="00C326C6"/>
    <w:rsid w:val="00C33E2D"/>
    <w:rsid w:val="00C35295"/>
    <w:rsid w:val="00C3587A"/>
    <w:rsid w:val="00C36ADD"/>
    <w:rsid w:val="00C36E74"/>
    <w:rsid w:val="00C40595"/>
    <w:rsid w:val="00C41621"/>
    <w:rsid w:val="00C41BA3"/>
    <w:rsid w:val="00C431DD"/>
    <w:rsid w:val="00C449FA"/>
    <w:rsid w:val="00C5384F"/>
    <w:rsid w:val="00C538B5"/>
    <w:rsid w:val="00C56964"/>
    <w:rsid w:val="00C60010"/>
    <w:rsid w:val="00C62EFD"/>
    <w:rsid w:val="00C63293"/>
    <w:rsid w:val="00C632F0"/>
    <w:rsid w:val="00C656D5"/>
    <w:rsid w:val="00C663A0"/>
    <w:rsid w:val="00C67103"/>
    <w:rsid w:val="00C7126F"/>
    <w:rsid w:val="00C71BB9"/>
    <w:rsid w:val="00C72731"/>
    <w:rsid w:val="00C76FFD"/>
    <w:rsid w:val="00C81F42"/>
    <w:rsid w:val="00C877C8"/>
    <w:rsid w:val="00C91534"/>
    <w:rsid w:val="00C94C28"/>
    <w:rsid w:val="00CA6CA0"/>
    <w:rsid w:val="00CB0247"/>
    <w:rsid w:val="00CB2C6E"/>
    <w:rsid w:val="00CB3440"/>
    <w:rsid w:val="00CB43CE"/>
    <w:rsid w:val="00CC1692"/>
    <w:rsid w:val="00CC2240"/>
    <w:rsid w:val="00CC5B14"/>
    <w:rsid w:val="00CC5D9C"/>
    <w:rsid w:val="00CD063B"/>
    <w:rsid w:val="00CD138B"/>
    <w:rsid w:val="00CD3E31"/>
    <w:rsid w:val="00CD74A3"/>
    <w:rsid w:val="00CE0527"/>
    <w:rsid w:val="00CE0BC1"/>
    <w:rsid w:val="00CE0F16"/>
    <w:rsid w:val="00CE2AB9"/>
    <w:rsid w:val="00CE4B18"/>
    <w:rsid w:val="00CE5B23"/>
    <w:rsid w:val="00CE67C2"/>
    <w:rsid w:val="00CE6F0D"/>
    <w:rsid w:val="00CF3CE7"/>
    <w:rsid w:val="00CF6D8B"/>
    <w:rsid w:val="00CF70AD"/>
    <w:rsid w:val="00CF7729"/>
    <w:rsid w:val="00D00059"/>
    <w:rsid w:val="00D107FA"/>
    <w:rsid w:val="00D12275"/>
    <w:rsid w:val="00D12766"/>
    <w:rsid w:val="00D14186"/>
    <w:rsid w:val="00D2084F"/>
    <w:rsid w:val="00D20FF4"/>
    <w:rsid w:val="00D24D2C"/>
    <w:rsid w:val="00D35881"/>
    <w:rsid w:val="00D3726E"/>
    <w:rsid w:val="00D40825"/>
    <w:rsid w:val="00D41D8D"/>
    <w:rsid w:val="00D46576"/>
    <w:rsid w:val="00D47186"/>
    <w:rsid w:val="00D60764"/>
    <w:rsid w:val="00D64DD8"/>
    <w:rsid w:val="00D71109"/>
    <w:rsid w:val="00D81043"/>
    <w:rsid w:val="00D8355C"/>
    <w:rsid w:val="00D84333"/>
    <w:rsid w:val="00D8552F"/>
    <w:rsid w:val="00DA7DA5"/>
    <w:rsid w:val="00DB00B9"/>
    <w:rsid w:val="00DB073B"/>
    <w:rsid w:val="00DB2842"/>
    <w:rsid w:val="00DB78F0"/>
    <w:rsid w:val="00DC0CEA"/>
    <w:rsid w:val="00DC2E43"/>
    <w:rsid w:val="00DD095C"/>
    <w:rsid w:val="00DD1020"/>
    <w:rsid w:val="00DD1330"/>
    <w:rsid w:val="00DD4BA8"/>
    <w:rsid w:val="00DD64AF"/>
    <w:rsid w:val="00DE0B83"/>
    <w:rsid w:val="00DE1A81"/>
    <w:rsid w:val="00DE1BA0"/>
    <w:rsid w:val="00DE1C13"/>
    <w:rsid w:val="00DE1C9F"/>
    <w:rsid w:val="00DE3618"/>
    <w:rsid w:val="00DE4E10"/>
    <w:rsid w:val="00DE5A3F"/>
    <w:rsid w:val="00DE78D8"/>
    <w:rsid w:val="00E02ABF"/>
    <w:rsid w:val="00E055F5"/>
    <w:rsid w:val="00E10CC1"/>
    <w:rsid w:val="00E14128"/>
    <w:rsid w:val="00E14995"/>
    <w:rsid w:val="00E179CD"/>
    <w:rsid w:val="00E22CB3"/>
    <w:rsid w:val="00E23E8D"/>
    <w:rsid w:val="00E25B0F"/>
    <w:rsid w:val="00E26010"/>
    <w:rsid w:val="00E37F98"/>
    <w:rsid w:val="00E40578"/>
    <w:rsid w:val="00E44632"/>
    <w:rsid w:val="00E45299"/>
    <w:rsid w:val="00E46559"/>
    <w:rsid w:val="00E4659A"/>
    <w:rsid w:val="00E4687C"/>
    <w:rsid w:val="00E53D6F"/>
    <w:rsid w:val="00E5465F"/>
    <w:rsid w:val="00E5700B"/>
    <w:rsid w:val="00E609D9"/>
    <w:rsid w:val="00E6670C"/>
    <w:rsid w:val="00E714EA"/>
    <w:rsid w:val="00E776E8"/>
    <w:rsid w:val="00E8298C"/>
    <w:rsid w:val="00E86F21"/>
    <w:rsid w:val="00E915D1"/>
    <w:rsid w:val="00E9202A"/>
    <w:rsid w:val="00E92C1F"/>
    <w:rsid w:val="00E92DFC"/>
    <w:rsid w:val="00E93B8A"/>
    <w:rsid w:val="00E95D4B"/>
    <w:rsid w:val="00E97FC5"/>
    <w:rsid w:val="00EA1AD5"/>
    <w:rsid w:val="00EB0428"/>
    <w:rsid w:val="00EB199F"/>
    <w:rsid w:val="00EB434F"/>
    <w:rsid w:val="00EB47BB"/>
    <w:rsid w:val="00EC09F3"/>
    <w:rsid w:val="00EC23F7"/>
    <w:rsid w:val="00EC2B1D"/>
    <w:rsid w:val="00EC4BA7"/>
    <w:rsid w:val="00EC4BD8"/>
    <w:rsid w:val="00EC63EB"/>
    <w:rsid w:val="00ED412F"/>
    <w:rsid w:val="00ED43F3"/>
    <w:rsid w:val="00ED73F4"/>
    <w:rsid w:val="00ED7886"/>
    <w:rsid w:val="00ED7A20"/>
    <w:rsid w:val="00ED7E1F"/>
    <w:rsid w:val="00EE2AAA"/>
    <w:rsid w:val="00EE364E"/>
    <w:rsid w:val="00EE7426"/>
    <w:rsid w:val="00EF0EB7"/>
    <w:rsid w:val="00EF166C"/>
    <w:rsid w:val="00EF36B2"/>
    <w:rsid w:val="00EF3825"/>
    <w:rsid w:val="00EF55C9"/>
    <w:rsid w:val="00F01A58"/>
    <w:rsid w:val="00F1246B"/>
    <w:rsid w:val="00F201EC"/>
    <w:rsid w:val="00F208A9"/>
    <w:rsid w:val="00F36B19"/>
    <w:rsid w:val="00F3722C"/>
    <w:rsid w:val="00F41D75"/>
    <w:rsid w:val="00F44D8A"/>
    <w:rsid w:val="00F46466"/>
    <w:rsid w:val="00F50CAC"/>
    <w:rsid w:val="00F5139D"/>
    <w:rsid w:val="00F542CC"/>
    <w:rsid w:val="00F601F3"/>
    <w:rsid w:val="00F63D66"/>
    <w:rsid w:val="00F63DAC"/>
    <w:rsid w:val="00F71B3C"/>
    <w:rsid w:val="00F72815"/>
    <w:rsid w:val="00F7454F"/>
    <w:rsid w:val="00F77988"/>
    <w:rsid w:val="00F77F48"/>
    <w:rsid w:val="00F80062"/>
    <w:rsid w:val="00F801DF"/>
    <w:rsid w:val="00F87F5F"/>
    <w:rsid w:val="00F92643"/>
    <w:rsid w:val="00F92C42"/>
    <w:rsid w:val="00FA0758"/>
    <w:rsid w:val="00FA3CF6"/>
    <w:rsid w:val="00FA49BB"/>
    <w:rsid w:val="00FB22F8"/>
    <w:rsid w:val="00FB2716"/>
    <w:rsid w:val="00FB30F1"/>
    <w:rsid w:val="00FB3399"/>
    <w:rsid w:val="00FB3F6E"/>
    <w:rsid w:val="00FB53E7"/>
    <w:rsid w:val="00FC0E52"/>
    <w:rsid w:val="00FC1C5B"/>
    <w:rsid w:val="00FC7175"/>
    <w:rsid w:val="00FD05E9"/>
    <w:rsid w:val="00FD2A8A"/>
    <w:rsid w:val="00FE0000"/>
    <w:rsid w:val="00FE030B"/>
    <w:rsid w:val="00FE0DB1"/>
    <w:rsid w:val="00FE1598"/>
    <w:rsid w:val="00FE4E86"/>
    <w:rsid w:val="00FE6DBD"/>
    <w:rsid w:val="00FE7BF9"/>
    <w:rsid w:val="00FF6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 w:type="paragraph" w:customStyle="1" w:styleId="tvhtml">
    <w:name w:val="tv_html"/>
    <w:basedOn w:val="Normal"/>
    <w:rsid w:val="00CE6F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 w:type="paragraph" w:customStyle="1" w:styleId="tvhtml">
    <w:name w:val="tv_html"/>
    <w:basedOn w:val="Normal"/>
    <w:rsid w:val="00CE6F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1530">
      <w:marLeft w:val="0"/>
      <w:marRight w:val="0"/>
      <w:marTop w:val="0"/>
      <w:marBottom w:val="0"/>
      <w:divBdr>
        <w:top w:val="none" w:sz="0" w:space="0" w:color="auto"/>
        <w:left w:val="none" w:sz="0" w:space="0" w:color="auto"/>
        <w:bottom w:val="none" w:sz="0" w:space="0" w:color="auto"/>
        <w:right w:val="none" w:sz="0" w:space="0" w:color="auto"/>
      </w:divBdr>
    </w:div>
    <w:div w:id="1273441531">
      <w:marLeft w:val="0"/>
      <w:marRight w:val="0"/>
      <w:marTop w:val="0"/>
      <w:marBottom w:val="0"/>
      <w:divBdr>
        <w:top w:val="none" w:sz="0" w:space="0" w:color="auto"/>
        <w:left w:val="none" w:sz="0" w:space="0" w:color="auto"/>
        <w:bottom w:val="none" w:sz="0" w:space="0" w:color="auto"/>
        <w:right w:val="none" w:sz="0" w:space="0" w:color="auto"/>
      </w:divBdr>
    </w:div>
    <w:div w:id="1273441532">
      <w:marLeft w:val="30"/>
      <w:marRight w:val="30"/>
      <w:marTop w:val="60"/>
      <w:marBottom w:val="60"/>
      <w:divBdr>
        <w:top w:val="none" w:sz="0" w:space="0" w:color="auto"/>
        <w:left w:val="none" w:sz="0" w:space="0" w:color="auto"/>
        <w:bottom w:val="none" w:sz="0" w:space="0" w:color="auto"/>
        <w:right w:val="none" w:sz="0" w:space="0" w:color="auto"/>
      </w:divBdr>
      <w:divsChild>
        <w:div w:id="1273441535">
          <w:marLeft w:val="0"/>
          <w:marRight w:val="0"/>
          <w:marTop w:val="240"/>
          <w:marBottom w:val="0"/>
          <w:divBdr>
            <w:top w:val="none" w:sz="0" w:space="0" w:color="auto"/>
            <w:left w:val="none" w:sz="0" w:space="0" w:color="auto"/>
            <w:bottom w:val="none" w:sz="0" w:space="0" w:color="auto"/>
            <w:right w:val="none" w:sz="0" w:space="0" w:color="auto"/>
          </w:divBdr>
        </w:div>
      </w:divsChild>
    </w:div>
    <w:div w:id="1273441534">
      <w:marLeft w:val="30"/>
      <w:marRight w:val="30"/>
      <w:marTop w:val="60"/>
      <w:marBottom w:val="60"/>
      <w:divBdr>
        <w:top w:val="none" w:sz="0" w:space="0" w:color="auto"/>
        <w:left w:val="none" w:sz="0" w:space="0" w:color="auto"/>
        <w:bottom w:val="none" w:sz="0" w:space="0" w:color="auto"/>
        <w:right w:val="none" w:sz="0" w:space="0" w:color="auto"/>
      </w:divBdr>
      <w:divsChild>
        <w:div w:id="12734415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5303</Words>
  <Characters>3024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„Noteikumi par stacionāro tehnoloģisko iekārtu dalību Eiropas Savienības emisijas kvotu tirdzniecības sistēmā” sākotnējās ietekmes novērtējuma ziņojums (anotācija)</vt:lpstr>
    </vt:vector>
  </TitlesOfParts>
  <Manager>Helena.Rimsa@varam.gov.lv</Manager>
  <Company>Vides aizsardzības un reģionālās attīstības ministrija</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stacionāro tehnoloģisko iekārtu dalību Eiropas Savienības emisijas kvotu tirdzniecības sistēmā” sākotnējās ietekmes novērtējuma ziņojums (anotācija)</dc:title>
  <dc:subject>Ministru kabineta noteikumu projekta sākotnējās ietekmes ziņojums</dc:subject>
  <dc:creator>Helena.Rimsa@varam.gov.lv</dc:creator>
  <cp:keywords>MK not.proj. par MK not.779 grozījumu</cp:keywords>
  <cp:lastModifiedBy>Helena Rimsa</cp:lastModifiedBy>
  <cp:revision>25</cp:revision>
  <cp:lastPrinted>2012-10-31T09:28:00Z</cp:lastPrinted>
  <dcterms:created xsi:type="dcterms:W3CDTF">2012-09-10T11:35:00Z</dcterms:created>
  <dcterms:modified xsi:type="dcterms:W3CDTF">2012-11-01T14:42:00Z</dcterms:modified>
  <cp:category>Vides politika</cp:category>
</cp:coreProperties>
</file>