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E" w:rsidRPr="008975EB" w:rsidRDefault="00DD04DE" w:rsidP="00DD04DE">
      <w:pPr>
        <w:jc w:val="center"/>
        <w:rPr>
          <w:b/>
        </w:rPr>
      </w:pPr>
      <w:r w:rsidRPr="008975EB">
        <w:rPr>
          <w:b/>
        </w:rPr>
        <w:t>Tiesību akta projekta sākotnējās ietekmes novērtējuma ziņojums par</w:t>
      </w:r>
    </w:p>
    <w:p w:rsidR="004E7BA7" w:rsidRDefault="00DD04DE" w:rsidP="00DD04DE">
      <w:pPr>
        <w:jc w:val="center"/>
        <w:rPr>
          <w:b/>
        </w:rPr>
      </w:pPr>
      <w:r w:rsidRPr="00D1539C">
        <w:rPr>
          <w:b/>
        </w:rPr>
        <w:t>Ministru kabineta noteikumu projekt</w:t>
      </w:r>
      <w:r>
        <w:rPr>
          <w:b/>
        </w:rPr>
        <w:t>u</w:t>
      </w:r>
      <w:r w:rsidRPr="00D1539C">
        <w:rPr>
          <w:b/>
        </w:rPr>
        <w:t xml:space="preserve"> „</w:t>
      </w:r>
      <w:r w:rsidRPr="00DD04DE">
        <w:rPr>
          <w:b/>
        </w:rPr>
        <w:t>Grozījumi Ministru kabineta 2004.gada 6.aprīļa noteikumos Nr.242 „Noteikumi par transportlīdzekļu sastāvdaļām un materiāliem, kuri drīkst saturēt svinu, dzīvsudrabu, kadmiju un sešvērtīgā hroma savienojumus””</w:t>
      </w:r>
    </w:p>
    <w:p w:rsidR="00DD04DE" w:rsidRDefault="00DD04DE" w:rsidP="00DD04DE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78"/>
        <w:gridCol w:w="6465"/>
      </w:tblGrid>
      <w:tr w:rsidR="00DD04DE" w:rsidTr="0065380F">
        <w:tc>
          <w:tcPr>
            <w:tcW w:w="9039" w:type="dxa"/>
            <w:gridSpan w:val="3"/>
          </w:tcPr>
          <w:p w:rsidR="00DD04DE" w:rsidRPr="00CE56C7" w:rsidRDefault="00DD04DE" w:rsidP="00782DDF">
            <w:pPr>
              <w:spacing w:after="120"/>
              <w:jc w:val="center"/>
              <w:rPr>
                <w:b/>
              </w:rPr>
            </w:pPr>
            <w:r w:rsidRPr="00CE56C7">
              <w:rPr>
                <w:b/>
              </w:rPr>
              <w:t>I. Tiesību akta projekta izstrādes nepieciešamība</w:t>
            </w:r>
          </w:p>
        </w:tc>
      </w:tr>
      <w:tr w:rsidR="00DD04DE" w:rsidTr="0065380F">
        <w:tc>
          <w:tcPr>
            <w:tcW w:w="396" w:type="dxa"/>
          </w:tcPr>
          <w:p w:rsidR="00DD04DE" w:rsidRDefault="00DD04DE" w:rsidP="00782DDF">
            <w:pPr>
              <w:jc w:val="center"/>
            </w:pPr>
            <w:r w:rsidRPr="00D1539C">
              <w:t>1.</w:t>
            </w:r>
          </w:p>
        </w:tc>
        <w:tc>
          <w:tcPr>
            <w:tcW w:w="2178" w:type="dxa"/>
          </w:tcPr>
          <w:p w:rsidR="00DD04DE" w:rsidRDefault="00DD04DE" w:rsidP="00782DDF">
            <w:r w:rsidRPr="00D1539C">
              <w:t>Pamatojums</w:t>
            </w:r>
          </w:p>
        </w:tc>
        <w:tc>
          <w:tcPr>
            <w:tcW w:w="6465" w:type="dxa"/>
          </w:tcPr>
          <w:p w:rsidR="00DD04DE" w:rsidRDefault="00B63EC9" w:rsidP="00782DDF">
            <w:pPr>
              <w:jc w:val="both"/>
            </w:pPr>
            <w:r>
              <w:t xml:space="preserve">Ministru kabineta noteikumu projekts izstrādāts, lai pārņemtu </w:t>
            </w:r>
            <w:r w:rsidRPr="00B63EC9">
              <w:t>Eiropas Komisijas 2013.gada 17.maija Direktīvas 2013/28/ES</w:t>
            </w:r>
            <w:r>
              <w:t>,</w:t>
            </w:r>
            <w:r w:rsidRPr="00B63EC9">
              <w:t xml:space="preserve"> ar ko groza II pielikumu Eiropas Parlamenta un Padomes Direktīvā 2000/53/EK par nolietotiem transportlīdzekļiem</w:t>
            </w:r>
            <w:r>
              <w:t xml:space="preserve"> (turpmāk – Direktīva 2013/28/ES)</w:t>
            </w:r>
            <w:r w:rsidRPr="00B63EC9">
              <w:t>.</w:t>
            </w:r>
          </w:p>
        </w:tc>
      </w:tr>
      <w:tr w:rsidR="00DD04DE" w:rsidTr="0065380F">
        <w:tc>
          <w:tcPr>
            <w:tcW w:w="396" w:type="dxa"/>
          </w:tcPr>
          <w:p w:rsidR="00DD04DE" w:rsidRDefault="00DD04DE" w:rsidP="00782DDF">
            <w:pPr>
              <w:jc w:val="center"/>
            </w:pPr>
            <w:r w:rsidRPr="00D1539C">
              <w:t>2.</w:t>
            </w:r>
          </w:p>
        </w:tc>
        <w:tc>
          <w:tcPr>
            <w:tcW w:w="2178" w:type="dxa"/>
          </w:tcPr>
          <w:p w:rsidR="00DD04DE" w:rsidRDefault="00DD04DE" w:rsidP="00782DDF">
            <w:r w:rsidRPr="00D1539C">
              <w:t>Pašreizējā situācija un problēmas</w:t>
            </w:r>
          </w:p>
        </w:tc>
        <w:tc>
          <w:tcPr>
            <w:tcW w:w="6465" w:type="dxa"/>
          </w:tcPr>
          <w:p w:rsidR="00DD04DE" w:rsidRPr="00B63EC9" w:rsidRDefault="00B63EC9" w:rsidP="00782DDF">
            <w:pPr>
              <w:jc w:val="both"/>
            </w:pPr>
            <w:r w:rsidRPr="00B63EC9">
              <w:t>Ministru kabineta 2004.gada 6.aprīļa noteikumos Nr.242 „Noteikumi par transportlīdzekļu sastāvdaļām un materiāliem, kuri drīkst saturēt svinu, dzīvsudrabu, kadmiju un sešvērtīgā hroma savienojumus”</w:t>
            </w:r>
            <w:r w:rsidR="00BB3F03">
              <w:t xml:space="preserve"> (turpmāk – MK noteikumi Nr.242)</w:t>
            </w:r>
            <w:r>
              <w:t xml:space="preserve"> ir noteiktas transportlīdzekļu sastāvdaļas un materiāli, kuri drīkst saturēt svinu, dzīvsudrabu, kadmiju un sešvērtīgā hroma</w:t>
            </w:r>
            <w:r w:rsidR="00BB3F03">
              <w:t xml:space="preserve"> savienojumu, kas minēti šo noteikumu pielikumā. Šobrīd MK noteikumi Nr.242 pielikuma 2.14.punkts neatbilst Direktīvas 2013/28/ES prasībām.</w:t>
            </w:r>
          </w:p>
        </w:tc>
      </w:tr>
      <w:tr w:rsidR="00DD04DE" w:rsidTr="0065380F">
        <w:tc>
          <w:tcPr>
            <w:tcW w:w="396" w:type="dxa"/>
          </w:tcPr>
          <w:p w:rsidR="00DD04DE" w:rsidRDefault="00DD04DE" w:rsidP="00782DDF">
            <w:pPr>
              <w:jc w:val="center"/>
            </w:pPr>
            <w:r w:rsidRPr="00D1539C">
              <w:t>3.</w:t>
            </w:r>
          </w:p>
        </w:tc>
        <w:tc>
          <w:tcPr>
            <w:tcW w:w="2178" w:type="dxa"/>
          </w:tcPr>
          <w:p w:rsidR="00DD04DE" w:rsidRDefault="00DD04DE" w:rsidP="00782DDF">
            <w:r w:rsidRPr="00D1539C">
              <w:t>Saistītie politikas ietekmes novērtējumi un pētījumi</w:t>
            </w:r>
          </w:p>
        </w:tc>
        <w:tc>
          <w:tcPr>
            <w:tcW w:w="6465" w:type="dxa"/>
          </w:tcPr>
          <w:p w:rsidR="00DD04DE" w:rsidRPr="00BE492D" w:rsidRDefault="005320EA" w:rsidP="00782DDF">
            <w:pPr>
              <w:jc w:val="both"/>
              <w:rPr>
                <w:highlight w:val="yellow"/>
              </w:rPr>
            </w:pPr>
            <w:r w:rsidRPr="005320EA">
              <w:t>Projekts šo jomu neskar</w:t>
            </w:r>
            <w:r>
              <w:t>.</w:t>
            </w:r>
          </w:p>
        </w:tc>
      </w:tr>
      <w:tr w:rsidR="00DD04DE" w:rsidTr="0065380F">
        <w:tc>
          <w:tcPr>
            <w:tcW w:w="396" w:type="dxa"/>
          </w:tcPr>
          <w:p w:rsidR="00DD04DE" w:rsidRDefault="00DD04DE" w:rsidP="00782DDF">
            <w:pPr>
              <w:jc w:val="center"/>
            </w:pPr>
            <w:r>
              <w:t>4.</w:t>
            </w:r>
          </w:p>
        </w:tc>
        <w:tc>
          <w:tcPr>
            <w:tcW w:w="2178" w:type="dxa"/>
          </w:tcPr>
          <w:p w:rsidR="00DD04DE" w:rsidRDefault="00DD04DE" w:rsidP="00782DDF">
            <w:r w:rsidRPr="00D1539C">
              <w:t>Tiesiskā regulējuma mērķis un būtība</w:t>
            </w:r>
          </w:p>
        </w:tc>
        <w:tc>
          <w:tcPr>
            <w:tcW w:w="6465" w:type="dxa"/>
          </w:tcPr>
          <w:p w:rsidR="00DD04DE" w:rsidRPr="005320EA" w:rsidRDefault="005320EA" w:rsidP="00782DDF">
            <w:pPr>
              <w:jc w:val="both"/>
            </w:pPr>
            <w:r w:rsidRPr="005320EA">
              <w:t xml:space="preserve">Noteikumu projekts paredz </w:t>
            </w:r>
            <w:r>
              <w:t>nodrošināt MK noteikumu Nr.242 atbilstību Direktīvas 2013/28/ES prasībām.</w:t>
            </w:r>
          </w:p>
        </w:tc>
      </w:tr>
      <w:tr w:rsidR="00DD04DE" w:rsidTr="0065380F">
        <w:tc>
          <w:tcPr>
            <w:tcW w:w="396" w:type="dxa"/>
          </w:tcPr>
          <w:p w:rsidR="00DD04DE" w:rsidRDefault="00DD04DE" w:rsidP="00782DDF">
            <w:pPr>
              <w:jc w:val="center"/>
            </w:pPr>
            <w:r>
              <w:t>5.</w:t>
            </w:r>
          </w:p>
        </w:tc>
        <w:tc>
          <w:tcPr>
            <w:tcW w:w="2178" w:type="dxa"/>
          </w:tcPr>
          <w:p w:rsidR="00DD04DE" w:rsidRDefault="00DD04DE" w:rsidP="00782DDF">
            <w:r w:rsidRPr="00D1539C">
              <w:t>Projekta izstrādē iesaistītās institūcijas</w:t>
            </w:r>
          </w:p>
        </w:tc>
        <w:tc>
          <w:tcPr>
            <w:tcW w:w="6465" w:type="dxa"/>
          </w:tcPr>
          <w:p w:rsidR="00DD04DE" w:rsidRDefault="005320EA" w:rsidP="00782DDF">
            <w:pPr>
              <w:jc w:val="both"/>
            </w:pPr>
            <w:r>
              <w:t>Projekts šo jomu neskar.</w:t>
            </w:r>
          </w:p>
        </w:tc>
      </w:tr>
      <w:tr w:rsidR="00DD04DE" w:rsidTr="0065380F">
        <w:tc>
          <w:tcPr>
            <w:tcW w:w="396" w:type="dxa"/>
          </w:tcPr>
          <w:p w:rsidR="00DD04DE" w:rsidRDefault="00DD04DE" w:rsidP="00782DDF">
            <w:pPr>
              <w:jc w:val="center"/>
            </w:pPr>
            <w:r>
              <w:t>6.</w:t>
            </w:r>
          </w:p>
        </w:tc>
        <w:tc>
          <w:tcPr>
            <w:tcW w:w="2178" w:type="dxa"/>
          </w:tcPr>
          <w:p w:rsidR="00DD04DE" w:rsidRDefault="00DD04DE" w:rsidP="00782DDF">
            <w:r w:rsidRPr="00D1539C">
              <w:t>Iemesli, kādēļ netika nodrošināta sabiedrības līdzdalība</w:t>
            </w:r>
          </w:p>
        </w:tc>
        <w:tc>
          <w:tcPr>
            <w:tcW w:w="6465" w:type="dxa"/>
          </w:tcPr>
          <w:p w:rsidR="00DD04DE" w:rsidRDefault="00DD04DE" w:rsidP="00782DDF">
            <w:pPr>
              <w:jc w:val="both"/>
            </w:pPr>
            <w:r>
              <w:t>Projekts šo jomu neskar.</w:t>
            </w:r>
          </w:p>
        </w:tc>
      </w:tr>
      <w:tr w:rsidR="00DD04DE" w:rsidTr="0065380F">
        <w:tc>
          <w:tcPr>
            <w:tcW w:w="396" w:type="dxa"/>
          </w:tcPr>
          <w:p w:rsidR="00DD04DE" w:rsidRDefault="00DD04DE" w:rsidP="00782DDF">
            <w:pPr>
              <w:jc w:val="center"/>
            </w:pPr>
            <w:r>
              <w:t>7.</w:t>
            </w:r>
          </w:p>
        </w:tc>
        <w:tc>
          <w:tcPr>
            <w:tcW w:w="2178" w:type="dxa"/>
          </w:tcPr>
          <w:p w:rsidR="00DD04DE" w:rsidRDefault="00DD04DE" w:rsidP="00782DDF">
            <w:r w:rsidRPr="00D1539C">
              <w:t>Cita informācija</w:t>
            </w:r>
          </w:p>
        </w:tc>
        <w:tc>
          <w:tcPr>
            <w:tcW w:w="6465" w:type="dxa"/>
          </w:tcPr>
          <w:p w:rsidR="00DD04DE" w:rsidRDefault="00DD04DE" w:rsidP="00782DDF">
            <w:pPr>
              <w:jc w:val="both"/>
            </w:pPr>
            <w:r>
              <w:t>Nav.</w:t>
            </w:r>
          </w:p>
        </w:tc>
      </w:tr>
    </w:tbl>
    <w:p w:rsidR="00DD04DE" w:rsidRDefault="00DD04DE" w:rsidP="00DD04DE">
      <w:pPr>
        <w:jc w:val="both"/>
      </w:pPr>
    </w:p>
    <w:p w:rsidR="00DD04DE" w:rsidRDefault="00DD04DE" w:rsidP="00DD04DE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5670"/>
      </w:tblGrid>
      <w:tr w:rsidR="00DD04DE" w:rsidTr="00782DDF">
        <w:tc>
          <w:tcPr>
            <w:tcW w:w="9039" w:type="dxa"/>
            <w:gridSpan w:val="3"/>
          </w:tcPr>
          <w:p w:rsidR="00DD04DE" w:rsidRDefault="00DD04DE" w:rsidP="00782DDF">
            <w:pPr>
              <w:jc w:val="center"/>
            </w:pPr>
            <w:r w:rsidRPr="00CE56C7">
              <w:rPr>
                <w:b/>
              </w:rPr>
              <w:t>II. Tiesību akta projekta ietekme uz sabiedrību</w:t>
            </w:r>
          </w:p>
        </w:tc>
      </w:tr>
      <w:tr w:rsidR="00DD04DE" w:rsidTr="00782DDF">
        <w:tc>
          <w:tcPr>
            <w:tcW w:w="534" w:type="dxa"/>
          </w:tcPr>
          <w:p w:rsidR="00DD04DE" w:rsidRDefault="00DD04DE" w:rsidP="00782DDF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DD04DE" w:rsidRPr="00D1539C" w:rsidRDefault="00DD04DE" w:rsidP="00782DDF">
            <w:pPr>
              <w:pStyle w:val="naiskr"/>
              <w:tabs>
                <w:tab w:val="left" w:pos="170"/>
              </w:tabs>
              <w:spacing w:before="60" w:after="60"/>
              <w:ind w:left="57" w:right="57"/>
              <w:jc w:val="both"/>
            </w:pPr>
            <w:r w:rsidRPr="00D1539C">
              <w:t xml:space="preserve">Sabiedrības mērķgrupa </w:t>
            </w:r>
          </w:p>
        </w:tc>
        <w:tc>
          <w:tcPr>
            <w:tcW w:w="5670" w:type="dxa"/>
          </w:tcPr>
          <w:p w:rsidR="00DD04DE" w:rsidRPr="00980284" w:rsidRDefault="005320EA" w:rsidP="00782DDF">
            <w:pPr>
              <w:jc w:val="both"/>
            </w:pPr>
            <w:r>
              <w:t>Komersanti, kuri izgatavo transportlīdzekļus, to materiālus un sastāvdaļas.</w:t>
            </w:r>
          </w:p>
        </w:tc>
      </w:tr>
      <w:tr w:rsidR="00DD04DE" w:rsidTr="00782DDF">
        <w:tc>
          <w:tcPr>
            <w:tcW w:w="534" w:type="dxa"/>
          </w:tcPr>
          <w:p w:rsidR="00DD04DE" w:rsidRDefault="00DD04DE" w:rsidP="00782DDF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D04DE" w:rsidRDefault="00DD04DE" w:rsidP="00782DDF">
            <w:pPr>
              <w:jc w:val="both"/>
            </w:pPr>
            <w:r w:rsidRPr="00D1539C">
              <w:t>Citas sabiedrības grupas (bez mērķgrupas), kuras tiesiskais regulējums arī ietekmē vai varētu ietekmēt</w:t>
            </w:r>
          </w:p>
        </w:tc>
        <w:tc>
          <w:tcPr>
            <w:tcW w:w="5670" w:type="dxa"/>
          </w:tcPr>
          <w:p w:rsidR="00DD04DE" w:rsidRPr="00980284" w:rsidRDefault="005320EA" w:rsidP="00782DDF">
            <w:pPr>
              <w:jc w:val="both"/>
            </w:pPr>
            <w:r>
              <w:t>Projekts šo jomu neskar.</w:t>
            </w:r>
          </w:p>
        </w:tc>
      </w:tr>
      <w:tr w:rsidR="00DD04DE" w:rsidTr="00782DDF">
        <w:tc>
          <w:tcPr>
            <w:tcW w:w="534" w:type="dxa"/>
          </w:tcPr>
          <w:p w:rsidR="00DD04DE" w:rsidRDefault="00DD04DE" w:rsidP="00782DDF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DD04DE" w:rsidRDefault="00DD04DE" w:rsidP="00782DDF">
            <w:pPr>
              <w:jc w:val="both"/>
            </w:pPr>
            <w:r w:rsidRPr="00D1539C">
              <w:t>Tiesiskā regulējuma finansiālā ietekme</w:t>
            </w:r>
          </w:p>
        </w:tc>
        <w:tc>
          <w:tcPr>
            <w:tcW w:w="5670" w:type="dxa"/>
          </w:tcPr>
          <w:p w:rsidR="00DD04DE" w:rsidRPr="00980284" w:rsidRDefault="005320EA" w:rsidP="00782DDF">
            <w:pPr>
              <w:jc w:val="both"/>
            </w:pPr>
            <w:r>
              <w:t>Projekts šo jomu neskar.</w:t>
            </w:r>
          </w:p>
        </w:tc>
      </w:tr>
      <w:tr w:rsidR="00DD04DE" w:rsidTr="00782DDF">
        <w:tc>
          <w:tcPr>
            <w:tcW w:w="534" w:type="dxa"/>
          </w:tcPr>
          <w:p w:rsidR="00DD04DE" w:rsidRDefault="00DD04DE" w:rsidP="00782DDF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DD04DE" w:rsidRDefault="00DD04DE" w:rsidP="00782DDF">
            <w:pPr>
              <w:jc w:val="both"/>
            </w:pPr>
            <w:r w:rsidRPr="00D1539C">
              <w:t xml:space="preserve">Tiesiskā regulējuma </w:t>
            </w:r>
            <w:r w:rsidRPr="00D1539C">
              <w:lastRenderedPageBreak/>
              <w:t>nefinansiālā ietekme</w:t>
            </w:r>
          </w:p>
        </w:tc>
        <w:tc>
          <w:tcPr>
            <w:tcW w:w="5670" w:type="dxa"/>
          </w:tcPr>
          <w:p w:rsidR="00DD04DE" w:rsidRPr="00980284" w:rsidRDefault="005320EA" w:rsidP="00782DDF">
            <w:pPr>
              <w:jc w:val="both"/>
            </w:pPr>
            <w:r>
              <w:lastRenderedPageBreak/>
              <w:t>Projekts šo jomu neskar.</w:t>
            </w:r>
          </w:p>
        </w:tc>
      </w:tr>
      <w:tr w:rsidR="00DD04DE" w:rsidTr="00782DDF">
        <w:tc>
          <w:tcPr>
            <w:tcW w:w="534" w:type="dxa"/>
          </w:tcPr>
          <w:p w:rsidR="00DD04DE" w:rsidRDefault="00DD04DE" w:rsidP="00782DD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</w:tcPr>
          <w:p w:rsidR="00DD04DE" w:rsidRDefault="00DD04DE" w:rsidP="00782DDF">
            <w:pPr>
              <w:jc w:val="both"/>
            </w:pPr>
            <w:r w:rsidRPr="00D1539C">
              <w:t>Administratīvās procedūras raksturojums</w:t>
            </w:r>
          </w:p>
        </w:tc>
        <w:tc>
          <w:tcPr>
            <w:tcW w:w="5670" w:type="dxa"/>
          </w:tcPr>
          <w:p w:rsidR="00DD04DE" w:rsidRDefault="005320EA" w:rsidP="00782DDF">
            <w:pPr>
              <w:jc w:val="both"/>
            </w:pPr>
            <w:r>
              <w:t>Noteikumu projekts neparedz administratīvo procedūru ieviešanu.</w:t>
            </w:r>
          </w:p>
        </w:tc>
      </w:tr>
      <w:tr w:rsidR="00DD04DE" w:rsidTr="00782DDF">
        <w:tc>
          <w:tcPr>
            <w:tcW w:w="534" w:type="dxa"/>
          </w:tcPr>
          <w:p w:rsidR="00DD04DE" w:rsidRDefault="00DD04DE" w:rsidP="00782DDF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DD04DE" w:rsidRDefault="00DD04DE" w:rsidP="00782DDF">
            <w:pPr>
              <w:jc w:val="both"/>
            </w:pPr>
            <w:r w:rsidRPr="00D1539C">
              <w:t>Administratīvo izmaksu monetārs novērtējums</w:t>
            </w:r>
          </w:p>
        </w:tc>
        <w:tc>
          <w:tcPr>
            <w:tcW w:w="5670" w:type="dxa"/>
          </w:tcPr>
          <w:p w:rsidR="00DD04DE" w:rsidRDefault="00DD04DE" w:rsidP="00782DDF">
            <w:pPr>
              <w:jc w:val="both"/>
            </w:pPr>
            <w:r>
              <w:t>Projekts šo jomu neskar.</w:t>
            </w:r>
          </w:p>
        </w:tc>
      </w:tr>
      <w:tr w:rsidR="00DD04DE" w:rsidTr="00782DDF">
        <w:tc>
          <w:tcPr>
            <w:tcW w:w="534" w:type="dxa"/>
          </w:tcPr>
          <w:p w:rsidR="00DD04DE" w:rsidRDefault="00DD04DE" w:rsidP="00782DDF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DD04DE" w:rsidRDefault="00DD04DE" w:rsidP="00782DDF">
            <w:pPr>
              <w:jc w:val="both"/>
            </w:pPr>
            <w:r w:rsidRPr="00D1539C">
              <w:t>Cita informācija</w:t>
            </w:r>
          </w:p>
        </w:tc>
        <w:tc>
          <w:tcPr>
            <w:tcW w:w="5670" w:type="dxa"/>
          </w:tcPr>
          <w:p w:rsidR="00DD04DE" w:rsidRDefault="00DD04DE" w:rsidP="00782DDF">
            <w:r>
              <w:t>Nav.</w:t>
            </w:r>
          </w:p>
        </w:tc>
      </w:tr>
    </w:tbl>
    <w:p w:rsidR="00DD04DE" w:rsidRDefault="00DD04DE" w:rsidP="00DD04DE">
      <w:pPr>
        <w:jc w:val="both"/>
      </w:pPr>
    </w:p>
    <w:p w:rsidR="00BD7259" w:rsidRDefault="00BD7259" w:rsidP="00DD04DE">
      <w:pPr>
        <w:jc w:val="both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2835"/>
        <w:gridCol w:w="5670"/>
      </w:tblGrid>
      <w:tr w:rsidR="001F337C" w:rsidRPr="001F337C" w:rsidTr="00782DDF">
        <w:tc>
          <w:tcPr>
            <w:tcW w:w="9039" w:type="dxa"/>
            <w:gridSpan w:val="3"/>
          </w:tcPr>
          <w:p w:rsidR="001F337C" w:rsidRPr="001F337C" w:rsidRDefault="001F337C" w:rsidP="001F337C">
            <w:pPr>
              <w:spacing w:before="60" w:after="60"/>
              <w:jc w:val="both"/>
              <w:rPr>
                <w:b/>
              </w:rPr>
            </w:pPr>
            <w:r w:rsidRPr="001F337C">
              <w:rPr>
                <w:b/>
              </w:rPr>
              <w:t>V. Tiesību akta projekta atbilstība Latvijas Republikas starptautiskajām saistībām</w:t>
            </w:r>
          </w:p>
        </w:tc>
      </w:tr>
      <w:tr w:rsidR="001F337C" w:rsidTr="001F337C">
        <w:tc>
          <w:tcPr>
            <w:tcW w:w="534" w:type="dxa"/>
          </w:tcPr>
          <w:p w:rsidR="001F337C" w:rsidRDefault="001F337C" w:rsidP="00DD04DE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1F337C" w:rsidRDefault="001F337C" w:rsidP="00DD04DE">
            <w:pPr>
              <w:jc w:val="both"/>
            </w:pPr>
            <w:r>
              <w:t>Saistības pret Eiropas Savienību</w:t>
            </w:r>
          </w:p>
        </w:tc>
        <w:tc>
          <w:tcPr>
            <w:tcW w:w="5670" w:type="dxa"/>
          </w:tcPr>
          <w:p w:rsidR="001F337C" w:rsidRDefault="001F337C" w:rsidP="00DD04DE">
            <w:pPr>
              <w:jc w:val="both"/>
            </w:pPr>
            <w:r>
              <w:t xml:space="preserve">Noteikumu projekts nepieciešams, lai pārņemtu </w:t>
            </w:r>
            <w:r w:rsidRPr="00B63EC9">
              <w:t>Eiropas Komisijas 2013.gada 17.maija Direktīvas 2013/28/ES</w:t>
            </w:r>
            <w:r>
              <w:t>,</w:t>
            </w:r>
            <w:r w:rsidRPr="00B63EC9">
              <w:t xml:space="preserve"> ar ko groza II pielikumu Eiropas Parlamenta un Padomes Direktīvā 2000/53/EK par nolietotiem transportlīdzekļiem</w:t>
            </w:r>
            <w:r>
              <w:t>.</w:t>
            </w:r>
          </w:p>
          <w:p w:rsidR="00965FF2" w:rsidRDefault="00965FF2" w:rsidP="00DD04DE">
            <w:pPr>
              <w:jc w:val="both"/>
            </w:pPr>
            <w:r>
              <w:t>Direktīva 2013/28/ES prasības jāpārņem trīs mēnešu laikā pēc to publicēšanas Eiropas Savienības Oficiālajā Vēstnesī (Direktīva 2013/28/ES publicēšanas datums –</w:t>
            </w:r>
            <w:proofErr w:type="gramStart"/>
            <w:r>
              <w:t xml:space="preserve">  </w:t>
            </w:r>
            <w:proofErr w:type="gramEnd"/>
            <w:r>
              <w:t>22.05.2013.)</w:t>
            </w:r>
          </w:p>
        </w:tc>
      </w:tr>
      <w:tr w:rsidR="001F337C" w:rsidTr="001F337C">
        <w:tc>
          <w:tcPr>
            <w:tcW w:w="534" w:type="dxa"/>
          </w:tcPr>
          <w:p w:rsidR="001F337C" w:rsidRDefault="001F337C" w:rsidP="00DD04DE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1F337C" w:rsidRDefault="001F337C" w:rsidP="00DD04DE">
            <w:pPr>
              <w:jc w:val="both"/>
            </w:pPr>
            <w:r>
              <w:t>Citas starptautiskās saistības</w:t>
            </w:r>
          </w:p>
        </w:tc>
        <w:tc>
          <w:tcPr>
            <w:tcW w:w="5670" w:type="dxa"/>
          </w:tcPr>
          <w:p w:rsidR="001F337C" w:rsidRDefault="001F337C" w:rsidP="00DD04DE">
            <w:pPr>
              <w:jc w:val="both"/>
            </w:pPr>
            <w:r>
              <w:t>Nav.</w:t>
            </w:r>
          </w:p>
        </w:tc>
      </w:tr>
      <w:tr w:rsidR="001F337C" w:rsidTr="001F337C">
        <w:tc>
          <w:tcPr>
            <w:tcW w:w="534" w:type="dxa"/>
          </w:tcPr>
          <w:p w:rsidR="001F337C" w:rsidRDefault="001F337C" w:rsidP="00DD04DE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1F337C" w:rsidRDefault="001F337C" w:rsidP="00DD04DE">
            <w:pPr>
              <w:jc w:val="both"/>
            </w:pPr>
            <w:r>
              <w:t>Cita informācija</w:t>
            </w:r>
          </w:p>
        </w:tc>
        <w:tc>
          <w:tcPr>
            <w:tcW w:w="5670" w:type="dxa"/>
          </w:tcPr>
          <w:p w:rsidR="001F337C" w:rsidRDefault="001F337C" w:rsidP="00DD04DE">
            <w:pPr>
              <w:jc w:val="both"/>
            </w:pPr>
            <w:r>
              <w:t>Nav.</w:t>
            </w:r>
          </w:p>
        </w:tc>
      </w:tr>
    </w:tbl>
    <w:p w:rsidR="00DD04DE" w:rsidRDefault="00DD04DE" w:rsidP="00DD04DE">
      <w:pPr>
        <w:jc w:val="both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DA653D" w:rsidRPr="00DA653D" w:rsidTr="00782DDF">
        <w:tc>
          <w:tcPr>
            <w:tcW w:w="9039" w:type="dxa"/>
            <w:gridSpan w:val="4"/>
          </w:tcPr>
          <w:p w:rsidR="00DA653D" w:rsidRPr="00DA653D" w:rsidRDefault="00DA653D" w:rsidP="00DA653D">
            <w:pPr>
              <w:jc w:val="center"/>
              <w:rPr>
                <w:b/>
              </w:rPr>
            </w:pPr>
            <w:r w:rsidRPr="00DA653D">
              <w:rPr>
                <w:b/>
              </w:rPr>
              <w:t>1.tabula</w:t>
            </w:r>
          </w:p>
          <w:p w:rsidR="00DA653D" w:rsidRPr="00DA653D" w:rsidRDefault="00DA653D" w:rsidP="00DA653D">
            <w:pPr>
              <w:jc w:val="center"/>
              <w:rPr>
                <w:b/>
              </w:rPr>
            </w:pPr>
            <w:r w:rsidRPr="00DA653D">
              <w:rPr>
                <w:b/>
              </w:rPr>
              <w:t>Tiesību akta projekta atbilstība ES tiesību aktiem</w:t>
            </w:r>
          </w:p>
        </w:tc>
      </w:tr>
      <w:tr w:rsidR="00DA653D" w:rsidTr="00782DDF">
        <w:tc>
          <w:tcPr>
            <w:tcW w:w="2235" w:type="dxa"/>
          </w:tcPr>
          <w:p w:rsidR="00DA653D" w:rsidRDefault="00DA653D" w:rsidP="00DA653D">
            <w:pPr>
              <w:jc w:val="center"/>
            </w:pPr>
            <w:r>
              <w:t>Attiecīgā ES tiesību akta datums, numurs, nosaukums</w:t>
            </w:r>
          </w:p>
        </w:tc>
        <w:tc>
          <w:tcPr>
            <w:tcW w:w="6804" w:type="dxa"/>
            <w:gridSpan w:val="3"/>
          </w:tcPr>
          <w:p w:rsidR="00DA653D" w:rsidRDefault="00DA653D" w:rsidP="00DA653D">
            <w:pPr>
              <w:jc w:val="center"/>
            </w:pPr>
            <w:r w:rsidRPr="00B63EC9">
              <w:t>Eiropas Komisijas Direktīvas 2013/28/ES</w:t>
            </w:r>
            <w:r>
              <w:t>,</w:t>
            </w:r>
            <w:r w:rsidRPr="00B63EC9">
              <w:t xml:space="preserve"> ar ko groza II pielikumu Eiropas Parlamenta un Padomes Direktīvā 2000/53/EK par nolietotiem transportlīdzekļiem</w:t>
            </w:r>
          </w:p>
        </w:tc>
      </w:tr>
      <w:tr w:rsidR="00965FF2" w:rsidTr="00DA653D">
        <w:tc>
          <w:tcPr>
            <w:tcW w:w="2235" w:type="dxa"/>
          </w:tcPr>
          <w:p w:rsidR="00965FF2" w:rsidRDefault="00DA653D" w:rsidP="00DA653D">
            <w:pPr>
              <w:jc w:val="center"/>
            </w:pPr>
            <w:r>
              <w:t>A</w:t>
            </w:r>
          </w:p>
        </w:tc>
        <w:tc>
          <w:tcPr>
            <w:tcW w:w="2268" w:type="dxa"/>
          </w:tcPr>
          <w:p w:rsidR="00965FF2" w:rsidRDefault="00DA653D" w:rsidP="00DA653D">
            <w:pPr>
              <w:jc w:val="center"/>
            </w:pPr>
            <w:r>
              <w:t>B</w:t>
            </w:r>
          </w:p>
        </w:tc>
        <w:tc>
          <w:tcPr>
            <w:tcW w:w="2268" w:type="dxa"/>
          </w:tcPr>
          <w:p w:rsidR="00965FF2" w:rsidRDefault="00DA653D" w:rsidP="00DA653D">
            <w:pPr>
              <w:jc w:val="center"/>
            </w:pPr>
            <w:r>
              <w:t>C</w:t>
            </w:r>
          </w:p>
        </w:tc>
        <w:tc>
          <w:tcPr>
            <w:tcW w:w="2268" w:type="dxa"/>
          </w:tcPr>
          <w:p w:rsidR="00965FF2" w:rsidRDefault="00DA653D" w:rsidP="00DA653D">
            <w:pPr>
              <w:jc w:val="center"/>
            </w:pPr>
            <w:r>
              <w:t>D</w:t>
            </w:r>
          </w:p>
        </w:tc>
      </w:tr>
      <w:tr w:rsidR="00FA14BB" w:rsidTr="00FA14BB">
        <w:tc>
          <w:tcPr>
            <w:tcW w:w="2235" w:type="dxa"/>
          </w:tcPr>
          <w:p w:rsidR="00FA14BB" w:rsidRPr="00FA14BB" w:rsidRDefault="00FA14BB" w:rsidP="00DA653D">
            <w:pPr>
              <w:jc w:val="center"/>
            </w:pPr>
            <w:r w:rsidRPr="00FA14BB">
              <w:t>Pielikuma 8.i.punkts</w:t>
            </w:r>
          </w:p>
        </w:tc>
        <w:tc>
          <w:tcPr>
            <w:tcW w:w="2268" w:type="dxa"/>
          </w:tcPr>
          <w:p w:rsidR="00FA14BB" w:rsidRPr="00FA14BB" w:rsidRDefault="00FA14BB" w:rsidP="00DA653D">
            <w:pPr>
              <w:jc w:val="center"/>
            </w:pPr>
            <w:r w:rsidRPr="00FA14BB">
              <w:t>Pielikums 2.14.apakšpunkts</w:t>
            </w:r>
          </w:p>
        </w:tc>
        <w:tc>
          <w:tcPr>
            <w:tcW w:w="2268" w:type="dxa"/>
            <w:vMerge w:val="restart"/>
            <w:vAlign w:val="center"/>
          </w:tcPr>
          <w:p w:rsidR="00FA14BB" w:rsidRPr="00FA14BB" w:rsidRDefault="00FA14BB" w:rsidP="00FA14BB">
            <w:pPr>
              <w:jc w:val="center"/>
            </w:pPr>
            <w:r w:rsidRPr="00FA14BB">
              <w:t>Pārņemta pilnībā</w:t>
            </w:r>
          </w:p>
        </w:tc>
        <w:tc>
          <w:tcPr>
            <w:tcW w:w="2268" w:type="dxa"/>
            <w:vMerge w:val="restart"/>
            <w:vAlign w:val="center"/>
          </w:tcPr>
          <w:p w:rsidR="00FA14BB" w:rsidRPr="00FA14BB" w:rsidRDefault="00FA14BB" w:rsidP="00FA14BB">
            <w:pPr>
              <w:jc w:val="center"/>
            </w:pPr>
            <w:r w:rsidRPr="00FA14BB">
              <w:t>Neparedz stingrākas prasības</w:t>
            </w:r>
          </w:p>
        </w:tc>
      </w:tr>
      <w:tr w:rsidR="00FA14BB" w:rsidTr="00DA653D">
        <w:tc>
          <w:tcPr>
            <w:tcW w:w="2235" w:type="dxa"/>
          </w:tcPr>
          <w:p w:rsidR="00FA14BB" w:rsidRPr="00BD7259" w:rsidRDefault="00FA14BB" w:rsidP="00782DDF">
            <w:pPr>
              <w:jc w:val="center"/>
              <w:rPr>
                <w:highlight w:val="yellow"/>
              </w:rPr>
            </w:pPr>
            <w:r w:rsidRPr="00B63EC9">
              <w:t>Eiropas Komisijas 2013.gada 17.maija Direktīvas 2013/28/ES</w:t>
            </w:r>
            <w:r>
              <w:t xml:space="preserve"> pielikuma apakšpunkti (izņemot 8.i.apakšpunktu)</w:t>
            </w:r>
          </w:p>
        </w:tc>
        <w:tc>
          <w:tcPr>
            <w:tcW w:w="2268" w:type="dxa"/>
          </w:tcPr>
          <w:p w:rsidR="00FA14BB" w:rsidRPr="00BD7259" w:rsidRDefault="00FA14BB" w:rsidP="00FA14BB">
            <w:pPr>
              <w:jc w:val="center"/>
              <w:rPr>
                <w:highlight w:val="yellow"/>
              </w:rPr>
            </w:pPr>
            <w:r>
              <w:t>MK noteikumi Nr.242 pielikuma apakšpunkti (izņemot 2.14.apakšpunktu)</w:t>
            </w:r>
          </w:p>
        </w:tc>
        <w:tc>
          <w:tcPr>
            <w:tcW w:w="2268" w:type="dxa"/>
            <w:vMerge/>
          </w:tcPr>
          <w:p w:rsidR="00FA14BB" w:rsidRPr="00BD7259" w:rsidRDefault="00FA14BB" w:rsidP="00DA653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FA14BB" w:rsidRPr="00BD7259" w:rsidRDefault="00FA14BB" w:rsidP="00DA653D">
            <w:pPr>
              <w:jc w:val="center"/>
              <w:rPr>
                <w:highlight w:val="yellow"/>
              </w:rPr>
            </w:pPr>
          </w:p>
        </w:tc>
      </w:tr>
      <w:tr w:rsidR="00BD7259" w:rsidTr="00782DDF">
        <w:tc>
          <w:tcPr>
            <w:tcW w:w="4503" w:type="dxa"/>
            <w:gridSpan w:val="2"/>
          </w:tcPr>
          <w:p w:rsidR="00BD7259" w:rsidRDefault="00BD7259" w:rsidP="00DD04DE">
            <w:pPr>
              <w:jc w:val="both"/>
            </w:pPr>
            <w:proofErr w:type="gramStart"/>
            <w:r>
              <w:t>Kā</w:t>
            </w:r>
            <w:proofErr w:type="gramEnd"/>
            <w:r>
              <w:t xml:space="preserve"> ir izmantota ES tiesību aktā paredzētā rīcības brīvība dalībvalstij pārņemt vai ieviest noteiktas ES tiesību akta normas.</w:t>
            </w:r>
          </w:p>
          <w:p w:rsidR="00BD7259" w:rsidRDefault="00BD7259" w:rsidP="00DD04DE">
            <w:pPr>
              <w:jc w:val="both"/>
            </w:pPr>
            <w:r>
              <w:t>Kādēļ?</w:t>
            </w:r>
          </w:p>
        </w:tc>
        <w:tc>
          <w:tcPr>
            <w:tcW w:w="4536" w:type="dxa"/>
            <w:gridSpan w:val="2"/>
          </w:tcPr>
          <w:p w:rsidR="00BD7259" w:rsidRDefault="00BD7259" w:rsidP="00DD04DE">
            <w:pPr>
              <w:jc w:val="both"/>
            </w:pPr>
            <w:r>
              <w:t>Projekts šo jomu neskar.</w:t>
            </w:r>
          </w:p>
        </w:tc>
      </w:tr>
      <w:tr w:rsidR="00BD7259" w:rsidTr="00782DDF">
        <w:tc>
          <w:tcPr>
            <w:tcW w:w="4503" w:type="dxa"/>
            <w:gridSpan w:val="2"/>
          </w:tcPr>
          <w:p w:rsidR="00BD7259" w:rsidRDefault="00BD7259" w:rsidP="00DD04DE">
            <w:pPr>
              <w:jc w:val="both"/>
            </w:pPr>
            <w:r>
              <w:t>Saistības sniegt 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536" w:type="dxa"/>
            <w:gridSpan w:val="2"/>
          </w:tcPr>
          <w:p w:rsidR="00BD7259" w:rsidRDefault="00BD7259" w:rsidP="00DD04DE">
            <w:pPr>
              <w:jc w:val="both"/>
            </w:pPr>
            <w:r>
              <w:t>Projekts šo jomu neskar.</w:t>
            </w:r>
          </w:p>
        </w:tc>
      </w:tr>
      <w:tr w:rsidR="00BD7259" w:rsidTr="00782DDF">
        <w:tc>
          <w:tcPr>
            <w:tcW w:w="4503" w:type="dxa"/>
            <w:gridSpan w:val="2"/>
          </w:tcPr>
          <w:p w:rsidR="00BD7259" w:rsidRDefault="00BD7259" w:rsidP="00DD04DE">
            <w:pPr>
              <w:jc w:val="both"/>
            </w:pPr>
            <w:r>
              <w:lastRenderedPageBreak/>
              <w:t>Cita informācija</w:t>
            </w:r>
          </w:p>
        </w:tc>
        <w:tc>
          <w:tcPr>
            <w:tcW w:w="4536" w:type="dxa"/>
            <w:gridSpan w:val="2"/>
          </w:tcPr>
          <w:p w:rsidR="00BD7259" w:rsidRDefault="00BD7259" w:rsidP="00DD04DE">
            <w:pPr>
              <w:jc w:val="both"/>
            </w:pPr>
            <w:r>
              <w:t>Nav.</w:t>
            </w:r>
          </w:p>
        </w:tc>
      </w:tr>
    </w:tbl>
    <w:p w:rsidR="00965FF2" w:rsidRDefault="00965FF2" w:rsidP="00DD04DE">
      <w:pPr>
        <w:jc w:val="both"/>
      </w:pPr>
    </w:p>
    <w:p w:rsidR="00BD7259" w:rsidRPr="0065380F" w:rsidRDefault="0065380F" w:rsidP="00DD04DE">
      <w:pPr>
        <w:jc w:val="both"/>
        <w:rPr>
          <w:i/>
        </w:rPr>
      </w:pPr>
      <w:r>
        <w:rPr>
          <w:i/>
        </w:rPr>
        <w:t>Anotācijas II, IV, VII sadaļa un V sadaļas 2.tabula – projekts šo jomu neskar.</w:t>
      </w:r>
    </w:p>
    <w:p w:rsidR="0065380F" w:rsidRDefault="0065380F" w:rsidP="00DD04DE">
      <w:pPr>
        <w:jc w:val="both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543"/>
        <w:gridCol w:w="4962"/>
      </w:tblGrid>
      <w:tr w:rsidR="0065380F" w:rsidTr="00782DDF">
        <w:tc>
          <w:tcPr>
            <w:tcW w:w="9039" w:type="dxa"/>
            <w:gridSpan w:val="3"/>
          </w:tcPr>
          <w:p w:rsidR="0065380F" w:rsidRPr="0065380F" w:rsidRDefault="0065380F" w:rsidP="0065380F">
            <w:pPr>
              <w:spacing w:before="60" w:after="60"/>
              <w:jc w:val="center"/>
              <w:rPr>
                <w:b/>
              </w:rPr>
            </w:pPr>
            <w:r w:rsidRPr="0065380F">
              <w:rPr>
                <w:b/>
              </w:rPr>
              <w:t>VI. Sabiedrības līdzdalība un šīs līdzdalības rezultāti</w:t>
            </w:r>
          </w:p>
        </w:tc>
      </w:tr>
      <w:tr w:rsidR="0065380F" w:rsidTr="0065380F">
        <w:tc>
          <w:tcPr>
            <w:tcW w:w="534" w:type="dxa"/>
          </w:tcPr>
          <w:p w:rsidR="0065380F" w:rsidRDefault="0065380F" w:rsidP="00DD04DE">
            <w:pPr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65380F" w:rsidRDefault="0065380F" w:rsidP="00DD04DE">
            <w:pPr>
              <w:jc w:val="both"/>
            </w:pPr>
            <w:r>
              <w:t>Sabiedrības informēšana par projekta izstrādes uzsākšanu</w:t>
            </w:r>
          </w:p>
        </w:tc>
        <w:tc>
          <w:tcPr>
            <w:tcW w:w="4962" w:type="dxa"/>
          </w:tcPr>
          <w:p w:rsidR="0065380F" w:rsidRDefault="0065380F" w:rsidP="00DD04DE">
            <w:pPr>
              <w:jc w:val="both"/>
            </w:pPr>
            <w:r>
              <w:t>Noteikumu projekts tiks ievietots Vides aizsardzības un reģionālās attīstības ministrijas mājas lapā (</w:t>
            </w:r>
            <w:hyperlink r:id="rId8" w:history="1">
              <w:r w:rsidRPr="003362BD">
                <w:rPr>
                  <w:rStyle w:val="Hyperlink"/>
                </w:rPr>
                <w:t>www.varam.gov.lv</w:t>
              </w:r>
            </w:hyperlink>
            <w:r>
              <w:t>).</w:t>
            </w:r>
          </w:p>
        </w:tc>
      </w:tr>
      <w:tr w:rsidR="0065380F" w:rsidTr="0065380F">
        <w:tc>
          <w:tcPr>
            <w:tcW w:w="534" w:type="dxa"/>
          </w:tcPr>
          <w:p w:rsidR="0065380F" w:rsidRDefault="0065380F" w:rsidP="00DD04DE">
            <w:pPr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65380F" w:rsidRDefault="0065380F" w:rsidP="00DD04DE">
            <w:pPr>
              <w:jc w:val="both"/>
            </w:pPr>
            <w:r>
              <w:t>Sabiedrības līdzdalība projekta izstrādē</w:t>
            </w:r>
          </w:p>
        </w:tc>
        <w:tc>
          <w:tcPr>
            <w:tcW w:w="4962" w:type="dxa"/>
          </w:tcPr>
          <w:p w:rsidR="0065380F" w:rsidRDefault="0065380F" w:rsidP="00DD04DE">
            <w:pPr>
              <w:jc w:val="both"/>
            </w:pPr>
            <w:r>
              <w:t>Konsultācijas nav notikušas.</w:t>
            </w:r>
          </w:p>
        </w:tc>
      </w:tr>
      <w:tr w:rsidR="0065380F" w:rsidTr="0065380F">
        <w:tc>
          <w:tcPr>
            <w:tcW w:w="534" w:type="dxa"/>
          </w:tcPr>
          <w:p w:rsidR="0065380F" w:rsidRDefault="0065380F" w:rsidP="00DD04DE">
            <w:pPr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65380F" w:rsidRDefault="0065380F" w:rsidP="00DD04DE">
            <w:pPr>
              <w:jc w:val="both"/>
            </w:pPr>
            <w:r>
              <w:t>Sabiedrības līdzdalības rezultāti</w:t>
            </w:r>
          </w:p>
        </w:tc>
        <w:tc>
          <w:tcPr>
            <w:tcW w:w="4962" w:type="dxa"/>
          </w:tcPr>
          <w:p w:rsidR="0065380F" w:rsidRDefault="0065380F" w:rsidP="00DD04DE">
            <w:pPr>
              <w:jc w:val="both"/>
            </w:pPr>
            <w:r>
              <w:t>Priekšlikumi nav saņemti.</w:t>
            </w:r>
          </w:p>
        </w:tc>
      </w:tr>
      <w:tr w:rsidR="0065380F" w:rsidTr="0065380F">
        <w:tc>
          <w:tcPr>
            <w:tcW w:w="534" w:type="dxa"/>
          </w:tcPr>
          <w:p w:rsidR="0065380F" w:rsidRDefault="0065380F" w:rsidP="00DD04DE">
            <w:pPr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65380F" w:rsidRDefault="0065380F" w:rsidP="00DD04DE">
            <w:pPr>
              <w:jc w:val="both"/>
            </w:pPr>
            <w:r>
              <w:t>Saeimas un ekspertu līdzdalība</w:t>
            </w:r>
          </w:p>
        </w:tc>
        <w:tc>
          <w:tcPr>
            <w:tcW w:w="4962" w:type="dxa"/>
          </w:tcPr>
          <w:p w:rsidR="0065380F" w:rsidRDefault="0065380F" w:rsidP="00DD04DE">
            <w:pPr>
              <w:jc w:val="both"/>
            </w:pPr>
            <w:r>
              <w:t>Projekts šo jomu neskar.</w:t>
            </w:r>
          </w:p>
        </w:tc>
      </w:tr>
      <w:tr w:rsidR="0065380F" w:rsidTr="0065380F">
        <w:tc>
          <w:tcPr>
            <w:tcW w:w="534" w:type="dxa"/>
          </w:tcPr>
          <w:p w:rsidR="0065380F" w:rsidRDefault="0065380F" w:rsidP="00DD04DE">
            <w:pPr>
              <w:jc w:val="both"/>
            </w:pPr>
            <w:r>
              <w:t>5.</w:t>
            </w:r>
          </w:p>
        </w:tc>
        <w:tc>
          <w:tcPr>
            <w:tcW w:w="3543" w:type="dxa"/>
          </w:tcPr>
          <w:p w:rsidR="0065380F" w:rsidRDefault="0065380F" w:rsidP="00DD04DE">
            <w:pPr>
              <w:jc w:val="both"/>
            </w:pPr>
            <w:r>
              <w:t>Cita informācija</w:t>
            </w:r>
          </w:p>
        </w:tc>
        <w:tc>
          <w:tcPr>
            <w:tcW w:w="4962" w:type="dxa"/>
          </w:tcPr>
          <w:p w:rsidR="0065380F" w:rsidRDefault="0065380F" w:rsidP="00DD04DE">
            <w:pPr>
              <w:jc w:val="both"/>
            </w:pPr>
            <w:r>
              <w:t>Nav.</w:t>
            </w:r>
          </w:p>
        </w:tc>
      </w:tr>
    </w:tbl>
    <w:p w:rsidR="00BD7259" w:rsidRDefault="00BD7259" w:rsidP="00DD04DE">
      <w:pPr>
        <w:jc w:val="both"/>
      </w:pPr>
    </w:p>
    <w:p w:rsidR="00055CF5" w:rsidRDefault="00055CF5" w:rsidP="00DD04DE">
      <w:pPr>
        <w:jc w:val="both"/>
      </w:pPr>
    </w:p>
    <w:p w:rsidR="00055CF5" w:rsidRDefault="00055CF5" w:rsidP="00DD04DE">
      <w:pPr>
        <w:jc w:val="both"/>
      </w:pPr>
      <w:r>
        <w:t>Vides aizsardzības un</w:t>
      </w:r>
    </w:p>
    <w:p w:rsidR="00055CF5" w:rsidRDefault="00055CF5" w:rsidP="00055CF5">
      <w:pPr>
        <w:jc w:val="both"/>
      </w:pPr>
      <w:r>
        <w:t>reģionālās attīstības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</w:t>
      </w:r>
      <w:proofErr w:type="gramEnd"/>
      <w:r>
        <w:t xml:space="preserve">E. </w:t>
      </w:r>
      <w:proofErr w:type="spellStart"/>
      <w:r>
        <w:t>Sprūdžs</w:t>
      </w:r>
      <w:proofErr w:type="spellEnd"/>
    </w:p>
    <w:p w:rsidR="00055CF5" w:rsidRDefault="00055CF5" w:rsidP="00DD04DE">
      <w:pPr>
        <w:jc w:val="both"/>
      </w:pPr>
    </w:p>
    <w:p w:rsidR="00055CF5" w:rsidRDefault="00055CF5" w:rsidP="00DD04DE">
      <w:pPr>
        <w:jc w:val="both"/>
      </w:pPr>
    </w:p>
    <w:p w:rsidR="00055CF5" w:rsidRDefault="00055CF5" w:rsidP="00DD04DE">
      <w:pPr>
        <w:jc w:val="both"/>
      </w:pPr>
    </w:p>
    <w:p w:rsidR="00055CF5" w:rsidRDefault="00055CF5" w:rsidP="00DD04DE">
      <w:pPr>
        <w:jc w:val="both"/>
        <w:rPr>
          <w:b/>
        </w:rPr>
      </w:pPr>
      <w:r>
        <w:rPr>
          <w:b/>
        </w:rPr>
        <w:t>Vīza:</w:t>
      </w:r>
    </w:p>
    <w:p w:rsidR="00055CF5" w:rsidRDefault="00055CF5" w:rsidP="00DD04DE">
      <w:pPr>
        <w:jc w:val="both"/>
      </w:pPr>
      <w:r>
        <w:t>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</w:t>
      </w:r>
      <w:proofErr w:type="gramEnd"/>
      <w:r>
        <w:t>A. Antonovs</w:t>
      </w:r>
    </w:p>
    <w:p w:rsidR="00055CF5" w:rsidRDefault="00055CF5" w:rsidP="00DD04DE">
      <w:pPr>
        <w:jc w:val="both"/>
      </w:pPr>
    </w:p>
    <w:p w:rsidR="00055CF5" w:rsidRDefault="00055CF5" w:rsidP="00DD04DE">
      <w:pPr>
        <w:jc w:val="both"/>
      </w:pPr>
    </w:p>
    <w:p w:rsidR="00055CF5" w:rsidRDefault="00055CF5" w:rsidP="00DD04DE">
      <w:pPr>
        <w:jc w:val="both"/>
      </w:pPr>
    </w:p>
    <w:p w:rsidR="00055CF5" w:rsidRPr="00055CF5" w:rsidRDefault="00C13ED2" w:rsidP="00DD04D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55CF5" w:rsidRPr="00055CF5">
        <w:rPr>
          <w:sz w:val="22"/>
          <w:szCs w:val="22"/>
        </w:rPr>
        <w:t>0.0</w:t>
      </w:r>
      <w:r>
        <w:rPr>
          <w:sz w:val="22"/>
          <w:szCs w:val="22"/>
        </w:rPr>
        <w:t>6</w:t>
      </w:r>
      <w:bookmarkStart w:id="0" w:name="_GoBack"/>
      <w:bookmarkEnd w:id="0"/>
      <w:r w:rsidR="00055CF5" w:rsidRPr="00055CF5">
        <w:rPr>
          <w:sz w:val="22"/>
          <w:szCs w:val="22"/>
        </w:rPr>
        <w:t>.2013., 12:45</w:t>
      </w:r>
    </w:p>
    <w:p w:rsidR="00055CF5" w:rsidRPr="00055CF5" w:rsidRDefault="00E119D1" w:rsidP="00DD04D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7235C">
        <w:rPr>
          <w:sz w:val="22"/>
          <w:szCs w:val="22"/>
        </w:rPr>
        <w:t>41</w:t>
      </w:r>
    </w:p>
    <w:p w:rsidR="00055CF5" w:rsidRPr="00055CF5" w:rsidRDefault="00055CF5" w:rsidP="00DD04DE">
      <w:pPr>
        <w:jc w:val="both"/>
        <w:rPr>
          <w:sz w:val="22"/>
          <w:szCs w:val="22"/>
        </w:rPr>
      </w:pPr>
      <w:r w:rsidRPr="00055CF5">
        <w:rPr>
          <w:sz w:val="22"/>
          <w:szCs w:val="22"/>
        </w:rPr>
        <w:t>M. Buša</w:t>
      </w:r>
    </w:p>
    <w:p w:rsidR="00055CF5" w:rsidRDefault="00055CF5" w:rsidP="00DD04DE">
      <w:pPr>
        <w:jc w:val="both"/>
      </w:pPr>
      <w:r w:rsidRPr="00055CF5">
        <w:rPr>
          <w:sz w:val="22"/>
          <w:szCs w:val="22"/>
        </w:rPr>
        <w:t xml:space="preserve">67026569; </w:t>
      </w:r>
      <w:hyperlink r:id="rId9" w:history="1">
        <w:r w:rsidRPr="00055CF5">
          <w:rPr>
            <w:rStyle w:val="Hyperlink"/>
            <w:sz w:val="22"/>
            <w:szCs w:val="22"/>
          </w:rPr>
          <w:t>madara.busa@varam.gov.lv</w:t>
        </w:r>
      </w:hyperlink>
    </w:p>
    <w:p w:rsidR="00055CF5" w:rsidRPr="00055CF5" w:rsidRDefault="00055CF5" w:rsidP="00DD04DE">
      <w:pPr>
        <w:jc w:val="both"/>
      </w:pPr>
    </w:p>
    <w:sectPr w:rsidR="00055CF5" w:rsidRPr="00055CF5" w:rsidSect="00362754">
      <w:headerReference w:type="default" r:id="rId10"/>
      <w:footerReference w:type="default" r:id="rId11"/>
      <w:footerReference w:type="first" r:id="rId12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DF" w:rsidRDefault="00782DDF" w:rsidP="0065380F">
      <w:r>
        <w:separator/>
      </w:r>
    </w:p>
  </w:endnote>
  <w:endnote w:type="continuationSeparator" w:id="0">
    <w:p w:rsidR="00782DDF" w:rsidRDefault="00782DDF" w:rsidP="0065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DF" w:rsidRPr="00055CF5" w:rsidRDefault="00782DDF" w:rsidP="00055CF5">
    <w:pPr>
      <w:pStyle w:val="Footer"/>
      <w:jc w:val="both"/>
      <w:rPr>
        <w:sz w:val="22"/>
        <w:szCs w:val="22"/>
      </w:rPr>
    </w:pPr>
    <w:r w:rsidRPr="00055CF5">
      <w:rPr>
        <w:sz w:val="22"/>
        <w:szCs w:val="22"/>
      </w:rPr>
      <w:t>VARAMAnot_MK_242_</w:t>
    </w:r>
    <w:r w:rsidR="00E35B22">
      <w:rPr>
        <w:sz w:val="22"/>
        <w:szCs w:val="22"/>
      </w:rPr>
      <w:t>1</w:t>
    </w:r>
    <w:r w:rsidRPr="00055CF5">
      <w:rPr>
        <w:sz w:val="22"/>
        <w:szCs w:val="22"/>
      </w:rPr>
      <w:t>00</w:t>
    </w:r>
    <w:r w:rsidR="00E35B22">
      <w:rPr>
        <w:sz w:val="22"/>
        <w:szCs w:val="22"/>
      </w:rPr>
      <w:t>6</w:t>
    </w:r>
    <w:r w:rsidRPr="00055CF5">
      <w:rPr>
        <w:sz w:val="22"/>
        <w:szCs w:val="22"/>
      </w:rPr>
      <w:t>13; Ministru kabineta noteikumu projekta „Grozījumi Ministru kabineta 2004.gada 6.aprīļa noteikumos Nr.242 „Noteikumi par transportlīdzekļu sastāvdaļām un materiāliem, kuri drīkst saturēt svinu, dzīvsudrabu, kadmiju un sešvērtīgā hroma savienojumus””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DF" w:rsidRPr="00055CF5" w:rsidRDefault="00782DDF" w:rsidP="00362754">
    <w:pPr>
      <w:pStyle w:val="Footer"/>
      <w:tabs>
        <w:tab w:val="clear" w:pos="8306"/>
        <w:tab w:val="right" w:pos="8931"/>
      </w:tabs>
      <w:jc w:val="both"/>
      <w:rPr>
        <w:sz w:val="22"/>
        <w:szCs w:val="22"/>
      </w:rPr>
    </w:pPr>
    <w:r w:rsidRPr="00055CF5">
      <w:rPr>
        <w:sz w:val="22"/>
        <w:szCs w:val="22"/>
      </w:rPr>
      <w:t>VARAMAnot_MK_242_</w:t>
    </w:r>
    <w:r w:rsidR="00E35B22">
      <w:rPr>
        <w:sz w:val="22"/>
        <w:szCs w:val="22"/>
      </w:rPr>
      <w:t>1</w:t>
    </w:r>
    <w:r w:rsidRPr="00055CF5">
      <w:rPr>
        <w:sz w:val="22"/>
        <w:szCs w:val="22"/>
      </w:rPr>
      <w:t>00</w:t>
    </w:r>
    <w:r w:rsidR="00E35B22">
      <w:rPr>
        <w:sz w:val="22"/>
        <w:szCs w:val="22"/>
      </w:rPr>
      <w:t>6</w:t>
    </w:r>
    <w:r w:rsidRPr="00055CF5">
      <w:rPr>
        <w:sz w:val="22"/>
        <w:szCs w:val="22"/>
      </w:rPr>
      <w:t>13; Ministru kabineta noteikumu projekta „Grozījumi Ministru kabineta 2004.gada 6.aprīļa noteikumos Nr.242 „Noteikumi par transportlīdzekļu sastāvdaļām un materiāliem, kuri drīkst saturēt svinu, dzīvsudrabu, kadmiju un sešvērtīgā hroma savienojumus””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DF" w:rsidRDefault="00782DDF" w:rsidP="0065380F">
      <w:r>
        <w:separator/>
      </w:r>
    </w:p>
  </w:footnote>
  <w:footnote w:type="continuationSeparator" w:id="0">
    <w:p w:rsidR="00782DDF" w:rsidRDefault="00782DDF" w:rsidP="0065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072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2DDF" w:rsidRDefault="00782D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E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2DDF" w:rsidRDefault="00782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DE"/>
    <w:rsid w:val="00055CF5"/>
    <w:rsid w:val="001F337C"/>
    <w:rsid w:val="00362754"/>
    <w:rsid w:val="004E7BA7"/>
    <w:rsid w:val="005320EA"/>
    <w:rsid w:val="0057235C"/>
    <w:rsid w:val="00605D74"/>
    <w:rsid w:val="0065380F"/>
    <w:rsid w:val="00782DDF"/>
    <w:rsid w:val="00840E02"/>
    <w:rsid w:val="00965FF2"/>
    <w:rsid w:val="00B63EC9"/>
    <w:rsid w:val="00BB3F03"/>
    <w:rsid w:val="00BD7259"/>
    <w:rsid w:val="00C13ED2"/>
    <w:rsid w:val="00DA653D"/>
    <w:rsid w:val="00DD04DE"/>
    <w:rsid w:val="00E119D1"/>
    <w:rsid w:val="00E35B22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D04DE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uiPriority w:val="99"/>
    <w:rsid w:val="00DD04DE"/>
    <w:pPr>
      <w:spacing w:before="75" w:after="75"/>
    </w:pPr>
  </w:style>
  <w:style w:type="table" w:styleId="TableGrid">
    <w:name w:val="Table Grid"/>
    <w:basedOn w:val="TableNormal"/>
    <w:uiPriority w:val="59"/>
    <w:rsid w:val="001F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3D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6538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538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0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0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7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7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D04DE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uiPriority w:val="99"/>
    <w:rsid w:val="00DD04DE"/>
    <w:pPr>
      <w:spacing w:before="75" w:after="75"/>
    </w:pPr>
  </w:style>
  <w:style w:type="table" w:styleId="TableGrid">
    <w:name w:val="Table Grid"/>
    <w:basedOn w:val="TableNormal"/>
    <w:uiPriority w:val="59"/>
    <w:rsid w:val="001F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3D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6538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538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0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0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7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7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ra.busa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617D-FBC3-430A-9E02-77D27C0C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2955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Madara Buša</cp:lastModifiedBy>
  <cp:revision>9</cp:revision>
  <dcterms:created xsi:type="dcterms:W3CDTF">2013-05-30T07:59:00Z</dcterms:created>
  <dcterms:modified xsi:type="dcterms:W3CDTF">2013-07-17T07:26:00Z</dcterms:modified>
</cp:coreProperties>
</file>