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AF" w:rsidRPr="00FB40C1" w:rsidRDefault="007431AF" w:rsidP="007431AF">
      <w:pPr>
        <w:jc w:val="center"/>
      </w:pPr>
    </w:p>
    <w:p w:rsidR="007431AF" w:rsidRPr="00FB40C1" w:rsidRDefault="007431AF" w:rsidP="007431AF">
      <w:pPr>
        <w:jc w:val="right"/>
      </w:pPr>
      <w:r w:rsidRPr="00FB40C1">
        <w:t>Projekts</w:t>
      </w:r>
    </w:p>
    <w:p w:rsidR="007431AF" w:rsidRPr="00FB40C1" w:rsidRDefault="007431AF" w:rsidP="007431AF"/>
    <w:p w:rsidR="007431AF" w:rsidRPr="00FB40C1" w:rsidRDefault="007431AF" w:rsidP="007431AF">
      <w:pPr>
        <w:jc w:val="center"/>
        <w:rPr>
          <w:b/>
        </w:rPr>
      </w:pPr>
      <w:r w:rsidRPr="00FB40C1">
        <w:rPr>
          <w:b/>
        </w:rPr>
        <w:t>Prasības darbībām ar biocīdiem</w:t>
      </w:r>
    </w:p>
    <w:p w:rsidR="007431AF" w:rsidRPr="00FB40C1" w:rsidRDefault="007431AF" w:rsidP="007431AF">
      <w:pPr>
        <w:jc w:val="right"/>
        <w:rPr>
          <w:szCs w:val="28"/>
        </w:rPr>
      </w:pPr>
    </w:p>
    <w:p w:rsidR="007431AF" w:rsidRPr="00FB40C1" w:rsidRDefault="007431AF" w:rsidP="007431AF">
      <w:pPr>
        <w:jc w:val="right"/>
        <w:rPr>
          <w:szCs w:val="28"/>
        </w:rPr>
      </w:pPr>
      <w:r w:rsidRPr="00FB40C1">
        <w:rPr>
          <w:szCs w:val="28"/>
        </w:rPr>
        <w:t xml:space="preserve">Izdoti saskaņā ar </w:t>
      </w:r>
    </w:p>
    <w:p w:rsidR="007431AF" w:rsidRPr="00FB40C1" w:rsidRDefault="007431AF" w:rsidP="007431AF">
      <w:pPr>
        <w:jc w:val="right"/>
        <w:rPr>
          <w:szCs w:val="28"/>
        </w:rPr>
      </w:pPr>
      <w:r w:rsidRPr="00FB40C1">
        <w:rPr>
          <w:szCs w:val="28"/>
        </w:rPr>
        <w:t xml:space="preserve">Ķīmisko vielu likuma </w:t>
      </w:r>
    </w:p>
    <w:p w:rsidR="007431AF" w:rsidRPr="00FB40C1" w:rsidRDefault="007431AF" w:rsidP="007431AF">
      <w:pPr>
        <w:jc w:val="right"/>
        <w:rPr>
          <w:szCs w:val="28"/>
        </w:rPr>
      </w:pPr>
      <w:r w:rsidRPr="00FB40C1">
        <w:rPr>
          <w:szCs w:val="28"/>
        </w:rPr>
        <w:t>9.panta septīto daļu</w:t>
      </w:r>
    </w:p>
    <w:p w:rsidR="007431AF" w:rsidRPr="00FB40C1" w:rsidRDefault="007431AF" w:rsidP="007431AF">
      <w:pPr>
        <w:jc w:val="both"/>
        <w:rPr>
          <w:szCs w:val="28"/>
        </w:rPr>
      </w:pPr>
    </w:p>
    <w:p w:rsidR="007431AF" w:rsidRPr="00FB40C1" w:rsidRDefault="007431AF" w:rsidP="007431AF">
      <w:pPr>
        <w:jc w:val="both"/>
        <w:rPr>
          <w:szCs w:val="28"/>
        </w:rPr>
      </w:pPr>
    </w:p>
    <w:p w:rsidR="007431AF" w:rsidRPr="00FB40C1" w:rsidRDefault="007431AF" w:rsidP="007431AF">
      <w:pPr>
        <w:tabs>
          <w:tab w:val="left" w:pos="1134"/>
        </w:tabs>
        <w:ind w:firstLine="684"/>
        <w:jc w:val="both"/>
        <w:rPr>
          <w:szCs w:val="28"/>
        </w:rPr>
      </w:pPr>
      <w:r w:rsidRPr="00FB40C1">
        <w:rPr>
          <w:szCs w:val="28"/>
        </w:rPr>
        <w:t xml:space="preserve">1. Prasības darbībām ar biocīdiem nosaka Eiropas Parlamenta un Padomes 2012.gada 22.maija regula (ES) Nr.528/2012 par biocīdu piedāvāšanu tirgū un lietošanu (turpmāk – regula Nr.528/2012). </w:t>
      </w:r>
    </w:p>
    <w:p w:rsidR="007431AF" w:rsidRPr="00FB40C1" w:rsidRDefault="007431AF" w:rsidP="007431AF">
      <w:pPr>
        <w:tabs>
          <w:tab w:val="left" w:pos="1134"/>
        </w:tabs>
        <w:ind w:firstLine="684"/>
        <w:jc w:val="both"/>
        <w:rPr>
          <w:szCs w:val="28"/>
        </w:rPr>
      </w:pPr>
    </w:p>
    <w:p w:rsidR="007431AF" w:rsidRPr="00FB40C1" w:rsidRDefault="007431AF" w:rsidP="007431AF">
      <w:pPr>
        <w:jc w:val="both"/>
        <w:rPr>
          <w:szCs w:val="28"/>
        </w:rPr>
      </w:pPr>
      <w:r w:rsidRPr="00FB40C1">
        <w:rPr>
          <w:szCs w:val="28"/>
        </w:rPr>
        <w:tab/>
        <w:t>2. Valsts sabiedrība ar ierobežotu atbildību „Latvijas Vides, ģeoloģijas un meteoroloģijas centrs” (turpmāk – centrs) izsniedz biocīda inventarizācijas numuru saskaņā ar šiem noteikumiem, bet saskaņā ar regulu Nr.528/2012:</w:t>
      </w:r>
    </w:p>
    <w:p w:rsidR="007431AF" w:rsidRPr="00FB40C1" w:rsidRDefault="007431AF" w:rsidP="007431AF">
      <w:pPr>
        <w:ind w:firstLine="709"/>
        <w:jc w:val="both"/>
        <w:rPr>
          <w:szCs w:val="28"/>
        </w:rPr>
      </w:pPr>
      <w:r w:rsidRPr="00FB40C1">
        <w:rPr>
          <w:szCs w:val="28"/>
        </w:rPr>
        <w:t>2.1. izvērtē aktīvās vielas pieteikumu saskaņā ar 7.pantu un 8.pantu;</w:t>
      </w:r>
    </w:p>
    <w:p w:rsidR="007431AF" w:rsidRPr="00FB40C1" w:rsidRDefault="007431AF" w:rsidP="007431AF">
      <w:pPr>
        <w:ind w:firstLine="709"/>
        <w:jc w:val="both"/>
        <w:rPr>
          <w:szCs w:val="28"/>
        </w:rPr>
      </w:pPr>
      <w:r w:rsidRPr="00FB40C1">
        <w:rPr>
          <w:szCs w:val="28"/>
        </w:rPr>
        <w:t xml:space="preserve">2.2. izvērtē pieteikumu aktīvās vielas atjaunošanai saskaņā ar 13.pantu un 14.pantu; </w:t>
      </w:r>
    </w:p>
    <w:p w:rsidR="007431AF" w:rsidRPr="00FB40C1" w:rsidRDefault="007431AF" w:rsidP="007431AF">
      <w:pPr>
        <w:ind w:firstLine="709"/>
        <w:jc w:val="both"/>
        <w:rPr>
          <w:szCs w:val="28"/>
        </w:rPr>
      </w:pPr>
      <w:r w:rsidRPr="00FB40C1">
        <w:rPr>
          <w:szCs w:val="28"/>
        </w:rPr>
        <w:t xml:space="preserve">2.3.izsniedz biocīdiem valsts atļauju saskaņā ar 17.pantu; </w:t>
      </w:r>
    </w:p>
    <w:p w:rsidR="007431AF" w:rsidRPr="00FB40C1" w:rsidRDefault="007431AF" w:rsidP="007431AF">
      <w:pPr>
        <w:ind w:firstLine="709"/>
        <w:jc w:val="both"/>
        <w:rPr>
          <w:szCs w:val="28"/>
        </w:rPr>
      </w:pPr>
      <w:r w:rsidRPr="00FB40C1">
        <w:rPr>
          <w:szCs w:val="28"/>
        </w:rPr>
        <w:t>2.4. veic biocīdu salīdzinošo novērtējumu saskaņā ar 23.pantu;</w:t>
      </w:r>
    </w:p>
    <w:p w:rsidR="007431AF" w:rsidRPr="00FB40C1" w:rsidRDefault="007431AF" w:rsidP="007431AF">
      <w:pPr>
        <w:ind w:firstLine="709"/>
        <w:jc w:val="both"/>
        <w:rPr>
          <w:szCs w:val="28"/>
        </w:rPr>
      </w:pPr>
      <w:r w:rsidRPr="00FB40C1">
        <w:rPr>
          <w:szCs w:val="28"/>
        </w:rPr>
        <w:t xml:space="preserve">2.5. izsniedz atļauju vienkāršotā procedūrā saskaņā ar 26.pantu; </w:t>
      </w:r>
    </w:p>
    <w:p w:rsidR="007431AF" w:rsidRPr="00FB40C1" w:rsidRDefault="007431AF" w:rsidP="007431AF">
      <w:pPr>
        <w:ind w:firstLine="709"/>
        <w:jc w:val="both"/>
        <w:rPr>
          <w:szCs w:val="28"/>
        </w:rPr>
      </w:pPr>
      <w:r w:rsidRPr="00FB40C1">
        <w:rPr>
          <w:szCs w:val="28"/>
        </w:rPr>
        <w:t>2.6. izskata paziņojumus par atļaujām, kas piešķirtas vienkāršotā procedūrā saskaņā ar 27.pantu;</w:t>
      </w:r>
    </w:p>
    <w:p w:rsidR="007431AF" w:rsidRPr="00FB40C1" w:rsidRDefault="007431AF" w:rsidP="007431AF">
      <w:pPr>
        <w:ind w:firstLine="709"/>
        <w:jc w:val="both"/>
        <w:rPr>
          <w:szCs w:val="28"/>
        </w:rPr>
      </w:pPr>
      <w:r w:rsidRPr="00FB40C1">
        <w:rPr>
          <w:szCs w:val="28"/>
        </w:rPr>
        <w:t>2.7. izsniedz atļauju valsts atļaujas secīgas savstarpējas atzīšanas procesā saskaņā ar 33.pantu;</w:t>
      </w:r>
    </w:p>
    <w:p w:rsidR="007431AF" w:rsidRPr="00FB40C1" w:rsidRDefault="007431AF" w:rsidP="007431AF">
      <w:pPr>
        <w:ind w:firstLine="709"/>
        <w:jc w:val="both"/>
        <w:rPr>
          <w:szCs w:val="28"/>
        </w:rPr>
      </w:pPr>
      <w:r w:rsidRPr="00FB40C1">
        <w:rPr>
          <w:szCs w:val="28"/>
        </w:rPr>
        <w:t>2.8. izsniedz atļauju valsts atļaujas vienlaicīgas savstarpējas atzīšanas procesā saskaņā ar 34.pantu;</w:t>
      </w:r>
    </w:p>
    <w:p w:rsidR="007431AF" w:rsidRPr="00FB40C1" w:rsidRDefault="007431AF" w:rsidP="007431AF">
      <w:pPr>
        <w:ind w:firstLine="709"/>
        <w:jc w:val="both"/>
        <w:rPr>
          <w:szCs w:val="28"/>
        </w:rPr>
      </w:pPr>
      <w:r w:rsidRPr="00FB40C1">
        <w:rPr>
          <w:szCs w:val="28"/>
        </w:rPr>
        <w:t>2.9. izvērtē pieteikumu Savienības atļaujai saskaņā ar 43.pantu un 44.pantu;</w:t>
      </w:r>
    </w:p>
    <w:p w:rsidR="007431AF" w:rsidRPr="00FB40C1" w:rsidRDefault="007431AF" w:rsidP="007431AF">
      <w:pPr>
        <w:ind w:firstLine="709"/>
        <w:jc w:val="both"/>
        <w:rPr>
          <w:szCs w:val="28"/>
        </w:rPr>
      </w:pPr>
      <w:r w:rsidRPr="00FB40C1">
        <w:rPr>
          <w:szCs w:val="28"/>
        </w:rPr>
        <w:t>2.10. izvērtē pieteikumu Savienības atļaujas atjaunošanas gadījumā saskaņā ar 45.pantu;</w:t>
      </w:r>
    </w:p>
    <w:p w:rsidR="007431AF" w:rsidRPr="00FB40C1" w:rsidRDefault="007431AF" w:rsidP="007431AF">
      <w:pPr>
        <w:ind w:firstLine="709"/>
        <w:jc w:val="both"/>
        <w:rPr>
          <w:szCs w:val="28"/>
        </w:rPr>
      </w:pPr>
      <w:r w:rsidRPr="00FB40C1">
        <w:rPr>
          <w:szCs w:val="28"/>
        </w:rPr>
        <w:t>2.11. anulē, pārskata vai groza valsts atļauju saskaņā ar 48., 49. un 50.pantu;</w:t>
      </w:r>
    </w:p>
    <w:p w:rsidR="007431AF" w:rsidRPr="00FB40C1" w:rsidRDefault="007431AF" w:rsidP="007431AF">
      <w:pPr>
        <w:ind w:firstLine="709"/>
        <w:jc w:val="both"/>
        <w:rPr>
          <w:szCs w:val="28"/>
        </w:rPr>
      </w:pPr>
      <w:r w:rsidRPr="00FB40C1">
        <w:rPr>
          <w:szCs w:val="28"/>
        </w:rPr>
        <w:t>2.12. izsniedz paralēlās tirdzniecības atļauju saskaņā ar 53.pantu;</w:t>
      </w:r>
    </w:p>
    <w:p w:rsidR="007431AF" w:rsidRPr="00FB40C1" w:rsidRDefault="007431AF" w:rsidP="007431AF">
      <w:pPr>
        <w:ind w:firstLine="709"/>
        <w:jc w:val="both"/>
        <w:rPr>
          <w:szCs w:val="28"/>
        </w:rPr>
      </w:pPr>
      <w:r w:rsidRPr="00FB40C1">
        <w:rPr>
          <w:szCs w:val="28"/>
        </w:rPr>
        <w:t>2.13. veic citas kompetentajai iestādei noteiktās funkcijas.</w:t>
      </w:r>
    </w:p>
    <w:p w:rsidR="007431AF" w:rsidRPr="00FB40C1" w:rsidRDefault="007431AF" w:rsidP="007431AF">
      <w:pPr>
        <w:jc w:val="both"/>
      </w:pPr>
    </w:p>
    <w:p w:rsidR="007431AF" w:rsidRPr="00FB40C1" w:rsidRDefault="007431AF" w:rsidP="007431AF">
      <w:pPr>
        <w:tabs>
          <w:tab w:val="left" w:pos="1134"/>
        </w:tabs>
        <w:ind w:firstLine="684"/>
        <w:jc w:val="both"/>
        <w:rPr>
          <w:szCs w:val="28"/>
        </w:rPr>
      </w:pPr>
      <w:r w:rsidRPr="00FB40C1">
        <w:rPr>
          <w:szCs w:val="28"/>
        </w:rPr>
        <w:t>3. Periodā, kas noteikts regulas Nr.528/2012 89.panta 1.punktā, biocīdiem, kas atbilst regulas Nr.528/2012 89.panta 2.punkta kritērijiem, un kurus paredzēts izvietot Latvijas tirgū, centrs piešķir biocīdu inventarizācijas numurus.</w:t>
      </w:r>
    </w:p>
    <w:p w:rsidR="007431AF" w:rsidRPr="00FB40C1" w:rsidRDefault="007431AF" w:rsidP="007431AF">
      <w:pPr>
        <w:tabs>
          <w:tab w:val="left" w:pos="1134"/>
        </w:tabs>
        <w:ind w:firstLine="684"/>
        <w:jc w:val="both"/>
        <w:rPr>
          <w:szCs w:val="28"/>
        </w:rPr>
      </w:pPr>
    </w:p>
    <w:p w:rsidR="007431AF" w:rsidRPr="00FB40C1" w:rsidRDefault="007431AF" w:rsidP="007431AF">
      <w:pPr>
        <w:tabs>
          <w:tab w:val="left" w:pos="1134"/>
        </w:tabs>
        <w:ind w:firstLine="684"/>
        <w:jc w:val="both"/>
        <w:rPr>
          <w:szCs w:val="28"/>
        </w:rPr>
      </w:pPr>
      <w:r w:rsidRPr="00FB40C1">
        <w:rPr>
          <w:szCs w:val="28"/>
        </w:rPr>
        <w:lastRenderedPageBreak/>
        <w:t>4. Lai saņemtu biocīda inventarizācijas numuru ražotājam, fiziskai vai juridiskai personai, kas biocīdus ieved Latvijas teritorijā (turpmāk – iesniedzējs), centrā jāiesniedz iesniegums.</w:t>
      </w:r>
    </w:p>
    <w:p w:rsidR="007431AF" w:rsidRPr="00FB40C1" w:rsidRDefault="007431AF" w:rsidP="007431AF">
      <w:pPr>
        <w:tabs>
          <w:tab w:val="left" w:pos="1134"/>
        </w:tabs>
        <w:jc w:val="both"/>
        <w:rPr>
          <w:szCs w:val="28"/>
        </w:rPr>
      </w:pPr>
    </w:p>
    <w:p w:rsidR="007431AF" w:rsidRPr="00FB40C1" w:rsidRDefault="007431AF" w:rsidP="007431AF">
      <w:pPr>
        <w:tabs>
          <w:tab w:val="left" w:pos="1134"/>
        </w:tabs>
        <w:ind w:firstLine="684"/>
        <w:jc w:val="both"/>
        <w:rPr>
          <w:szCs w:val="28"/>
        </w:rPr>
      </w:pPr>
      <w:r w:rsidRPr="00FB40C1">
        <w:rPr>
          <w:szCs w:val="28"/>
        </w:rPr>
        <w:t>5. Iesniegumā iekļaujamā informācija norādīta šo noteikumu 1.pielikumā.</w:t>
      </w:r>
    </w:p>
    <w:p w:rsidR="007431AF" w:rsidRPr="00FB40C1" w:rsidRDefault="007431AF" w:rsidP="007431AF">
      <w:pPr>
        <w:tabs>
          <w:tab w:val="left" w:pos="1134"/>
        </w:tabs>
        <w:ind w:firstLine="684"/>
        <w:jc w:val="both"/>
        <w:rPr>
          <w:szCs w:val="28"/>
        </w:rPr>
      </w:pPr>
    </w:p>
    <w:p w:rsidR="007431AF" w:rsidRPr="00FB40C1" w:rsidRDefault="007431AF" w:rsidP="007431AF">
      <w:pPr>
        <w:tabs>
          <w:tab w:val="left" w:pos="1276"/>
        </w:tabs>
        <w:ind w:firstLine="684"/>
        <w:jc w:val="both"/>
        <w:rPr>
          <w:szCs w:val="28"/>
        </w:rPr>
      </w:pPr>
      <w:r w:rsidRPr="00FB40C1">
        <w:rPr>
          <w:szCs w:val="28"/>
        </w:rPr>
        <w:t xml:space="preserve">6. Iesniegumam pievieno biocīda etiķeti saskaņā ar regulas Nr.528/2012 69.pantu un drošības datu lapu saskaņā ar regulas Nr.528/2012 70.pantu. </w:t>
      </w:r>
    </w:p>
    <w:p w:rsidR="007431AF" w:rsidRPr="00FB40C1" w:rsidRDefault="007431AF" w:rsidP="007431AF">
      <w:pPr>
        <w:jc w:val="both"/>
        <w:rPr>
          <w:szCs w:val="28"/>
        </w:rPr>
      </w:pPr>
      <w:r w:rsidRPr="00FB40C1">
        <w:rPr>
          <w:szCs w:val="28"/>
        </w:rPr>
        <w:tab/>
      </w:r>
    </w:p>
    <w:p w:rsidR="007431AF" w:rsidRPr="00FB40C1" w:rsidRDefault="007431AF" w:rsidP="007431AF">
      <w:pPr>
        <w:ind w:firstLine="684"/>
        <w:jc w:val="both"/>
        <w:rPr>
          <w:szCs w:val="28"/>
        </w:rPr>
      </w:pPr>
      <w:r w:rsidRPr="00FB40C1">
        <w:rPr>
          <w:szCs w:val="28"/>
        </w:rPr>
        <w:t>7. Centrs atsaka biocīda inventarizācijas numura piešķiršanu, ja:</w:t>
      </w:r>
    </w:p>
    <w:p w:rsidR="007431AF" w:rsidRPr="00FB40C1" w:rsidRDefault="007431AF" w:rsidP="007431AF">
      <w:pPr>
        <w:tabs>
          <w:tab w:val="left" w:pos="1276"/>
        </w:tabs>
        <w:ind w:firstLine="684"/>
        <w:jc w:val="both"/>
        <w:rPr>
          <w:szCs w:val="28"/>
        </w:rPr>
      </w:pPr>
      <w:r w:rsidRPr="00FB40C1">
        <w:rPr>
          <w:szCs w:val="28"/>
        </w:rPr>
        <w:t>7.1. iesniegtā informācija par biocīdu neatbilst regulas Nr.528/2012 3.panta 1.punkta biocīda definīcijai;</w:t>
      </w:r>
    </w:p>
    <w:p w:rsidR="007431AF" w:rsidRPr="00FB40C1" w:rsidRDefault="007431AF" w:rsidP="007431AF">
      <w:pPr>
        <w:tabs>
          <w:tab w:val="left" w:pos="1276"/>
        </w:tabs>
        <w:ind w:firstLine="684"/>
        <w:jc w:val="both"/>
        <w:rPr>
          <w:szCs w:val="28"/>
        </w:rPr>
      </w:pPr>
      <w:r w:rsidRPr="00FB40C1">
        <w:rPr>
          <w:szCs w:val="28"/>
        </w:rPr>
        <w:t xml:space="preserve">7.2. uz biocīdu attiecināma kāda no šo noteikumu 2.1. – 2.12.punktā minētajām procedūrām; </w:t>
      </w:r>
    </w:p>
    <w:p w:rsidR="007431AF" w:rsidRPr="00FB40C1" w:rsidRDefault="007431AF" w:rsidP="007431AF">
      <w:pPr>
        <w:tabs>
          <w:tab w:val="left" w:pos="1276"/>
        </w:tabs>
        <w:ind w:firstLine="684"/>
        <w:jc w:val="both"/>
        <w:rPr>
          <w:szCs w:val="28"/>
        </w:rPr>
      </w:pPr>
      <w:r w:rsidRPr="00FB40C1">
        <w:rPr>
          <w:szCs w:val="28"/>
        </w:rPr>
        <w:t xml:space="preserve">7.3. iesniegumā kā aktīvā viela ir norādīta ķīmiskā viela, kas iekļauta šo noteikumu 2.pielikumā; </w:t>
      </w:r>
    </w:p>
    <w:p w:rsidR="007431AF" w:rsidRPr="00FB40C1" w:rsidRDefault="007431AF" w:rsidP="007431AF">
      <w:pPr>
        <w:tabs>
          <w:tab w:val="left" w:pos="1276"/>
        </w:tabs>
        <w:ind w:firstLine="684"/>
        <w:jc w:val="both"/>
        <w:rPr>
          <w:szCs w:val="28"/>
        </w:rPr>
      </w:pPr>
      <w:r w:rsidRPr="00FB40C1">
        <w:rPr>
          <w:szCs w:val="28"/>
        </w:rPr>
        <w:t xml:space="preserve">7.4. 14 dienu laikā pēc centra pieprasījuma nav iesniegta pilnīga informācija, kas noteikta šo noteikumu 5. un 6.punktā. </w:t>
      </w:r>
    </w:p>
    <w:p w:rsidR="007431AF" w:rsidRPr="00FB40C1" w:rsidRDefault="007431AF" w:rsidP="007431AF">
      <w:pPr>
        <w:tabs>
          <w:tab w:val="left" w:pos="1276"/>
        </w:tabs>
        <w:ind w:firstLine="684"/>
        <w:jc w:val="both"/>
        <w:rPr>
          <w:szCs w:val="28"/>
        </w:rPr>
      </w:pPr>
    </w:p>
    <w:p w:rsidR="007431AF" w:rsidRPr="00FB40C1" w:rsidRDefault="007431AF" w:rsidP="007431AF">
      <w:pPr>
        <w:tabs>
          <w:tab w:val="left" w:pos="1134"/>
        </w:tabs>
        <w:ind w:firstLine="684"/>
        <w:jc w:val="both"/>
        <w:rPr>
          <w:szCs w:val="28"/>
        </w:rPr>
      </w:pPr>
      <w:r w:rsidRPr="00FB40C1">
        <w:rPr>
          <w:szCs w:val="28"/>
        </w:rPr>
        <w:t>8. Centra piešķirto biocīda inventarizācijas numuru norāda uz biocīda iepakojuma etiķetes.</w:t>
      </w:r>
    </w:p>
    <w:p w:rsidR="007431AF" w:rsidRPr="00FB40C1" w:rsidRDefault="007431AF" w:rsidP="007431AF">
      <w:pPr>
        <w:tabs>
          <w:tab w:val="left" w:pos="1134"/>
        </w:tabs>
        <w:ind w:firstLine="684"/>
        <w:jc w:val="both"/>
        <w:rPr>
          <w:szCs w:val="28"/>
        </w:rPr>
      </w:pPr>
    </w:p>
    <w:p w:rsidR="007431AF" w:rsidRPr="00FB40C1" w:rsidRDefault="007431AF" w:rsidP="007431AF">
      <w:pPr>
        <w:tabs>
          <w:tab w:val="left" w:pos="1134"/>
        </w:tabs>
        <w:ind w:firstLine="684"/>
        <w:jc w:val="both"/>
        <w:rPr>
          <w:szCs w:val="28"/>
        </w:rPr>
      </w:pPr>
      <w:r w:rsidRPr="00FB40C1">
        <w:rPr>
          <w:szCs w:val="28"/>
        </w:rPr>
        <w:t xml:space="preserve">9. Inventarizācijas numura derīguma termiņš ir ne ilgāks kā noteikts regulas Nr.528/2012 89.panta 2.punktā. </w:t>
      </w:r>
    </w:p>
    <w:p w:rsidR="007431AF" w:rsidRPr="00FB40C1" w:rsidRDefault="007431AF" w:rsidP="007431AF">
      <w:pPr>
        <w:tabs>
          <w:tab w:val="left" w:pos="1134"/>
        </w:tabs>
        <w:ind w:firstLine="684"/>
        <w:jc w:val="both"/>
        <w:rPr>
          <w:szCs w:val="28"/>
        </w:rPr>
      </w:pPr>
    </w:p>
    <w:p w:rsidR="007431AF" w:rsidRPr="00FB40C1" w:rsidRDefault="007431AF" w:rsidP="007431AF">
      <w:pPr>
        <w:pStyle w:val="naisf"/>
        <w:ind w:firstLine="684"/>
        <w:rPr>
          <w:sz w:val="28"/>
          <w:szCs w:val="28"/>
          <w:lang w:eastAsia="en-US"/>
        </w:rPr>
      </w:pPr>
      <w:r w:rsidRPr="00FB40C1">
        <w:rPr>
          <w:sz w:val="28"/>
          <w:szCs w:val="28"/>
          <w:lang w:eastAsia="en-US"/>
        </w:rPr>
        <w:t xml:space="preserve">10. Ja iesniegumā, kas centram iesniegts saskaņā ar šo noteikumu 5.punktu ir notikušas izmaiņas, iesniedzējs par to 14 darbdienu laikā no dienas, kad veiktas izmaiņas, papīra formā vai elektroniska dokumenta veidā paziņo centram. Centrs izvērtē izmaiņu atbilstību šo noteikumu un regulas Nr.528/2012 prasībām </w:t>
      </w:r>
      <w:bookmarkStart w:id="0" w:name="_GoBack"/>
      <w:bookmarkEnd w:id="0"/>
      <w:r w:rsidRPr="00FB40C1">
        <w:rPr>
          <w:sz w:val="28"/>
          <w:szCs w:val="28"/>
        </w:rPr>
        <w:t>un, ja nepieciešams atjauno centra tīmekļa vietnē publiski pieejamo informāciju par piešķirtajiem inventarizācijas numuriem.</w:t>
      </w:r>
    </w:p>
    <w:p w:rsidR="007431AF" w:rsidRPr="00FB40C1" w:rsidRDefault="007431AF" w:rsidP="007431AF">
      <w:pPr>
        <w:tabs>
          <w:tab w:val="left" w:pos="1134"/>
        </w:tabs>
        <w:ind w:firstLine="684"/>
        <w:jc w:val="both"/>
        <w:rPr>
          <w:szCs w:val="28"/>
        </w:rPr>
      </w:pPr>
    </w:p>
    <w:p w:rsidR="007431AF" w:rsidRPr="00FB40C1" w:rsidRDefault="007431AF" w:rsidP="007431AF">
      <w:pPr>
        <w:tabs>
          <w:tab w:val="left" w:pos="1134"/>
        </w:tabs>
        <w:ind w:firstLine="684"/>
        <w:jc w:val="both"/>
        <w:rPr>
          <w:szCs w:val="28"/>
        </w:rPr>
      </w:pPr>
      <w:r w:rsidRPr="00FB40C1">
        <w:rPr>
          <w:szCs w:val="28"/>
        </w:rPr>
        <w:t xml:space="preserve">11. Šie noteikumi stājas spēkā no 2013.gada 1.septembra. </w:t>
      </w:r>
    </w:p>
    <w:p w:rsidR="007431AF" w:rsidRPr="00FB40C1" w:rsidRDefault="007431AF" w:rsidP="007431AF">
      <w:pPr>
        <w:tabs>
          <w:tab w:val="left" w:pos="1134"/>
        </w:tabs>
        <w:ind w:firstLine="684"/>
        <w:jc w:val="both"/>
        <w:rPr>
          <w:szCs w:val="28"/>
        </w:rPr>
      </w:pPr>
    </w:p>
    <w:p w:rsidR="007431AF" w:rsidRPr="00FB40C1" w:rsidRDefault="007431AF" w:rsidP="007431AF">
      <w:pPr>
        <w:tabs>
          <w:tab w:val="left" w:pos="1134"/>
        </w:tabs>
        <w:ind w:firstLine="684"/>
        <w:jc w:val="both"/>
        <w:rPr>
          <w:szCs w:val="28"/>
        </w:rPr>
      </w:pPr>
      <w:r w:rsidRPr="00FB40C1">
        <w:rPr>
          <w:szCs w:val="28"/>
        </w:rPr>
        <w:t>12. Atzīt par spēku zaudējušiem Ministru kabineta 2003.gada 15.aprīļa noteikumus Nr.184 "Prasības darbībām ar biocīdiem" (Latvijas Vēstnesis, 2003, 83.nr.; 2005, 102.nr.; 2007, 121.nr.; 2008, 49., 157.nr.; 2009, 60., 102.nr.; 2010, 58., 120.nr.; 2011, 60., 102., 175.nr.; 2012, 72.nr.; 2013, 65., 103.nr.).</w:t>
      </w:r>
    </w:p>
    <w:p w:rsidR="007431AF" w:rsidRPr="00FB40C1" w:rsidRDefault="007431AF" w:rsidP="007431AF">
      <w:pPr>
        <w:ind w:left="684"/>
        <w:rPr>
          <w:szCs w:val="28"/>
        </w:rPr>
      </w:pPr>
    </w:p>
    <w:p w:rsidR="007431AF" w:rsidRPr="00FB40C1" w:rsidRDefault="007431AF" w:rsidP="007431AF">
      <w:pPr>
        <w:ind w:left="684"/>
        <w:rPr>
          <w:szCs w:val="28"/>
        </w:rPr>
      </w:pPr>
    </w:p>
    <w:p w:rsidR="007431AF" w:rsidRPr="00FB40C1" w:rsidRDefault="007431AF" w:rsidP="007431AF">
      <w:pPr>
        <w:ind w:firstLine="684"/>
        <w:rPr>
          <w:szCs w:val="28"/>
        </w:rPr>
      </w:pPr>
    </w:p>
    <w:p w:rsidR="007431AF" w:rsidRPr="00FB40C1" w:rsidRDefault="007431AF" w:rsidP="007431AF">
      <w:pPr>
        <w:pStyle w:val="naisf"/>
        <w:tabs>
          <w:tab w:val="left" w:pos="6804"/>
        </w:tabs>
        <w:spacing w:before="0" w:after="0"/>
        <w:ind w:left="627" w:firstLine="0"/>
        <w:rPr>
          <w:sz w:val="28"/>
          <w:szCs w:val="28"/>
        </w:rPr>
      </w:pPr>
      <w:r w:rsidRPr="00FB40C1">
        <w:rPr>
          <w:sz w:val="28"/>
          <w:szCs w:val="28"/>
        </w:rPr>
        <w:t>Ministru prezidents</w:t>
      </w:r>
      <w:r w:rsidRPr="00FB40C1">
        <w:rPr>
          <w:sz w:val="28"/>
          <w:szCs w:val="28"/>
        </w:rPr>
        <w:tab/>
      </w:r>
      <w:proofErr w:type="spellStart"/>
      <w:r w:rsidRPr="00FB40C1">
        <w:rPr>
          <w:sz w:val="28"/>
          <w:szCs w:val="28"/>
        </w:rPr>
        <w:t>V.Dombrovskis</w:t>
      </w:r>
      <w:proofErr w:type="spellEnd"/>
      <w:r w:rsidRPr="00FB40C1">
        <w:rPr>
          <w:sz w:val="28"/>
          <w:szCs w:val="28"/>
        </w:rPr>
        <w:t xml:space="preserve"> </w:t>
      </w:r>
    </w:p>
    <w:p w:rsidR="007431AF" w:rsidRPr="00FB40C1" w:rsidRDefault="007431AF" w:rsidP="007431AF">
      <w:pPr>
        <w:pStyle w:val="naisf"/>
        <w:tabs>
          <w:tab w:val="left" w:pos="6804"/>
        </w:tabs>
        <w:spacing w:before="0" w:after="0"/>
        <w:ind w:firstLine="0"/>
        <w:rPr>
          <w:sz w:val="28"/>
          <w:szCs w:val="28"/>
        </w:rPr>
      </w:pPr>
    </w:p>
    <w:p w:rsidR="007431AF" w:rsidRPr="00FB40C1" w:rsidRDefault="007431AF" w:rsidP="007431AF">
      <w:pPr>
        <w:pStyle w:val="naisf"/>
        <w:tabs>
          <w:tab w:val="left" w:pos="6804"/>
        </w:tabs>
        <w:spacing w:before="0" w:after="0"/>
        <w:ind w:left="627" w:firstLine="0"/>
        <w:rPr>
          <w:sz w:val="28"/>
          <w:szCs w:val="28"/>
        </w:rPr>
      </w:pPr>
      <w:r w:rsidRPr="00FB40C1">
        <w:rPr>
          <w:sz w:val="28"/>
          <w:szCs w:val="28"/>
        </w:rPr>
        <w:lastRenderedPageBreak/>
        <w:t xml:space="preserve">Vides aizsardzības un </w:t>
      </w:r>
    </w:p>
    <w:p w:rsidR="007431AF" w:rsidRPr="00FB40C1" w:rsidRDefault="007431AF" w:rsidP="007431AF">
      <w:pPr>
        <w:pStyle w:val="naisf"/>
        <w:tabs>
          <w:tab w:val="left" w:pos="6804"/>
        </w:tabs>
        <w:spacing w:before="0" w:after="0"/>
        <w:ind w:left="627" w:firstLine="0"/>
        <w:rPr>
          <w:sz w:val="28"/>
          <w:szCs w:val="28"/>
        </w:rPr>
      </w:pPr>
      <w:r w:rsidRPr="00FB40C1">
        <w:rPr>
          <w:sz w:val="28"/>
          <w:szCs w:val="28"/>
        </w:rPr>
        <w:t>reģionālās attīstības ministrs</w:t>
      </w:r>
      <w:r w:rsidRPr="00FB40C1">
        <w:rPr>
          <w:sz w:val="28"/>
          <w:szCs w:val="28"/>
        </w:rPr>
        <w:tab/>
        <w:t>E.Sprūdžs</w:t>
      </w:r>
    </w:p>
    <w:p w:rsidR="007431AF" w:rsidRPr="00FB40C1" w:rsidRDefault="007431AF" w:rsidP="007431AF">
      <w:pPr>
        <w:ind w:left="627"/>
      </w:pPr>
    </w:p>
    <w:p w:rsidR="007431AF" w:rsidRPr="00FB40C1" w:rsidRDefault="007431AF" w:rsidP="007431AF">
      <w:pPr>
        <w:pStyle w:val="naisf"/>
        <w:spacing w:before="0" w:after="0"/>
        <w:ind w:left="627" w:firstLine="0"/>
        <w:rPr>
          <w:sz w:val="28"/>
          <w:szCs w:val="28"/>
        </w:rPr>
      </w:pPr>
    </w:p>
    <w:p w:rsidR="007431AF" w:rsidRPr="00FB40C1" w:rsidRDefault="007431AF" w:rsidP="007431AF">
      <w:pPr>
        <w:pStyle w:val="naisf"/>
        <w:spacing w:before="0" w:after="0"/>
        <w:ind w:left="627" w:firstLine="0"/>
        <w:rPr>
          <w:bCs/>
          <w:sz w:val="28"/>
          <w:szCs w:val="28"/>
        </w:rPr>
      </w:pPr>
      <w:r w:rsidRPr="00FB40C1">
        <w:rPr>
          <w:sz w:val="28"/>
          <w:szCs w:val="28"/>
        </w:rPr>
        <w:t xml:space="preserve">Iesniedzējs: </w:t>
      </w:r>
    </w:p>
    <w:p w:rsidR="007431AF" w:rsidRPr="00FB40C1" w:rsidRDefault="007431AF" w:rsidP="007431AF">
      <w:pPr>
        <w:spacing w:before="75" w:after="75"/>
        <w:ind w:left="627"/>
        <w:rPr>
          <w:szCs w:val="28"/>
        </w:rPr>
      </w:pPr>
      <w:r w:rsidRPr="00FB40C1">
        <w:rPr>
          <w:szCs w:val="28"/>
        </w:rPr>
        <w:t xml:space="preserve">Vides aizsardzības un </w:t>
      </w:r>
    </w:p>
    <w:p w:rsidR="007431AF" w:rsidRPr="00FB40C1" w:rsidRDefault="007431AF" w:rsidP="007431AF">
      <w:pPr>
        <w:spacing w:before="75" w:after="75"/>
        <w:ind w:left="627"/>
        <w:rPr>
          <w:szCs w:val="28"/>
        </w:rPr>
      </w:pPr>
      <w:r w:rsidRPr="00FB40C1">
        <w:rPr>
          <w:szCs w:val="28"/>
        </w:rPr>
        <w:t>reģionālās attīstības ministrs                </w:t>
      </w:r>
      <w:r w:rsidRPr="00FB40C1">
        <w:rPr>
          <w:szCs w:val="28"/>
        </w:rPr>
        <w:tab/>
      </w:r>
      <w:r w:rsidRPr="00FB40C1">
        <w:rPr>
          <w:szCs w:val="28"/>
        </w:rPr>
        <w:tab/>
      </w:r>
      <w:r w:rsidRPr="00FB40C1">
        <w:rPr>
          <w:szCs w:val="28"/>
        </w:rPr>
        <w:tab/>
        <w:t>E.Sprūdžs</w:t>
      </w:r>
    </w:p>
    <w:p w:rsidR="007431AF" w:rsidRPr="00FB40C1" w:rsidRDefault="007431AF" w:rsidP="007431AF">
      <w:pPr>
        <w:pStyle w:val="Title"/>
        <w:tabs>
          <w:tab w:val="left" w:pos="3600"/>
        </w:tabs>
        <w:ind w:left="627"/>
        <w:jc w:val="left"/>
        <w:rPr>
          <w:b w:val="0"/>
          <w:sz w:val="28"/>
        </w:rPr>
      </w:pPr>
      <w:r w:rsidRPr="00FB40C1">
        <w:rPr>
          <w:b w:val="0"/>
          <w:sz w:val="28"/>
        </w:rPr>
        <w:tab/>
      </w:r>
    </w:p>
    <w:p w:rsidR="007431AF" w:rsidRPr="00FB40C1" w:rsidRDefault="007431AF" w:rsidP="007431AF">
      <w:pPr>
        <w:ind w:firstLine="627"/>
        <w:rPr>
          <w:szCs w:val="28"/>
        </w:rPr>
      </w:pPr>
      <w:r w:rsidRPr="00FB40C1">
        <w:rPr>
          <w:bCs/>
          <w:szCs w:val="20"/>
        </w:rPr>
        <w:t>Vīza:</w:t>
      </w:r>
      <w:r w:rsidRPr="00FB40C1">
        <w:rPr>
          <w:b/>
          <w:bCs/>
          <w:szCs w:val="20"/>
        </w:rPr>
        <w:t xml:space="preserve"> </w:t>
      </w:r>
      <w:r w:rsidRPr="00FB40C1">
        <w:rPr>
          <w:bCs/>
          <w:szCs w:val="20"/>
        </w:rPr>
        <w:t>valsts sekretārs</w:t>
      </w:r>
      <w:r w:rsidRPr="00FB40C1">
        <w:rPr>
          <w:bCs/>
          <w:szCs w:val="20"/>
        </w:rPr>
        <w:tab/>
      </w:r>
      <w:r w:rsidRPr="00FB40C1">
        <w:rPr>
          <w:bCs/>
          <w:szCs w:val="20"/>
        </w:rPr>
        <w:tab/>
      </w:r>
      <w:r w:rsidRPr="00FB40C1">
        <w:rPr>
          <w:bCs/>
          <w:szCs w:val="20"/>
        </w:rPr>
        <w:tab/>
      </w:r>
      <w:r w:rsidRPr="00FB40C1">
        <w:rPr>
          <w:bCs/>
          <w:szCs w:val="20"/>
        </w:rPr>
        <w:tab/>
      </w:r>
      <w:r w:rsidRPr="00FB40C1">
        <w:rPr>
          <w:bCs/>
          <w:szCs w:val="20"/>
        </w:rPr>
        <w:tab/>
        <w:t>A.Antonovs</w:t>
      </w:r>
    </w:p>
    <w:p w:rsidR="007431AF" w:rsidRPr="00FB40C1" w:rsidRDefault="007431AF" w:rsidP="007431AF">
      <w:pPr>
        <w:pStyle w:val="BodyTextIndent"/>
        <w:tabs>
          <w:tab w:val="left" w:pos="6521"/>
        </w:tabs>
        <w:spacing w:after="0"/>
        <w:ind w:left="0"/>
        <w:rPr>
          <w:sz w:val="28"/>
          <w:szCs w:val="28"/>
          <w:lang w:eastAsia="en-US"/>
        </w:rPr>
      </w:pPr>
    </w:p>
    <w:p w:rsidR="007431AF" w:rsidRPr="00FB40C1" w:rsidRDefault="007431AF" w:rsidP="007431AF">
      <w:pPr>
        <w:pStyle w:val="BodyTextIndent"/>
        <w:tabs>
          <w:tab w:val="left" w:pos="6521"/>
        </w:tabs>
        <w:spacing w:after="0"/>
        <w:ind w:left="0"/>
        <w:rPr>
          <w:sz w:val="28"/>
          <w:szCs w:val="28"/>
          <w:lang w:eastAsia="en-US"/>
        </w:rPr>
      </w:pPr>
    </w:p>
    <w:p w:rsidR="007431AF" w:rsidRPr="00FB40C1" w:rsidRDefault="007431AF" w:rsidP="007431AF">
      <w:pPr>
        <w:pStyle w:val="BodyTextIndent"/>
        <w:tabs>
          <w:tab w:val="left" w:pos="6521"/>
        </w:tabs>
        <w:spacing w:after="0"/>
        <w:ind w:left="0"/>
        <w:rPr>
          <w:sz w:val="28"/>
          <w:szCs w:val="28"/>
          <w:lang w:eastAsia="en-US"/>
        </w:rPr>
      </w:pPr>
    </w:p>
    <w:p w:rsidR="007431AF" w:rsidRPr="00FB40C1" w:rsidRDefault="007431AF" w:rsidP="007431AF">
      <w:pPr>
        <w:pStyle w:val="BodyTextIndent"/>
        <w:tabs>
          <w:tab w:val="left" w:pos="6521"/>
        </w:tabs>
        <w:spacing w:after="0"/>
        <w:ind w:left="0"/>
      </w:pPr>
      <w:fldSimple w:instr=" TIME \@ &quot;dd.MM.yyyy H:mm&quot; ">
        <w:r>
          <w:rPr>
            <w:noProof/>
          </w:rPr>
          <w:t>12.07.2013 9:33</w:t>
        </w:r>
      </w:fldSimple>
    </w:p>
    <w:p w:rsidR="007431AF" w:rsidRPr="00FB40C1" w:rsidRDefault="007431AF" w:rsidP="007431AF">
      <w:pPr>
        <w:pStyle w:val="BodyTextIndent"/>
        <w:tabs>
          <w:tab w:val="left" w:pos="6521"/>
        </w:tabs>
        <w:spacing w:after="0"/>
        <w:ind w:left="0"/>
      </w:pPr>
      <w:r w:rsidRPr="00FB40C1">
        <w:t>489</w:t>
      </w:r>
    </w:p>
    <w:p w:rsidR="007431AF" w:rsidRPr="00FB40C1" w:rsidRDefault="007431AF" w:rsidP="007431AF">
      <w:pPr>
        <w:pStyle w:val="BodyTextIndent"/>
        <w:tabs>
          <w:tab w:val="left" w:pos="6521"/>
        </w:tabs>
        <w:spacing w:after="0"/>
        <w:ind w:left="0"/>
      </w:pPr>
      <w:r w:rsidRPr="00FB40C1">
        <w:t>D.Jirgensone</w:t>
      </w:r>
    </w:p>
    <w:p w:rsidR="007431AF" w:rsidRPr="00FB40C1" w:rsidRDefault="007431AF" w:rsidP="007431AF">
      <w:pPr>
        <w:pStyle w:val="BodyTextIndent"/>
        <w:tabs>
          <w:tab w:val="left" w:pos="6521"/>
        </w:tabs>
        <w:spacing w:after="0"/>
        <w:ind w:left="0"/>
      </w:pPr>
      <w:r w:rsidRPr="00FB40C1">
        <w:t>Dagnija.Jirgensone@varam.gov.lv</w:t>
      </w:r>
    </w:p>
    <w:p w:rsidR="007431AF" w:rsidRPr="00FB40C1" w:rsidRDefault="007431AF" w:rsidP="007431AF">
      <w:pPr>
        <w:rPr>
          <w:szCs w:val="28"/>
        </w:rPr>
      </w:pPr>
    </w:p>
    <w:p w:rsidR="007431AF" w:rsidRPr="00FB40C1" w:rsidRDefault="007431AF" w:rsidP="007431AF">
      <w:pPr>
        <w:pStyle w:val="PlainText"/>
        <w:rPr>
          <w:rFonts w:ascii="Calibri" w:hAnsi="Calibri"/>
          <w:sz w:val="22"/>
          <w:szCs w:val="22"/>
        </w:rPr>
      </w:pPr>
      <w:bookmarkStart w:id="1" w:name="p15.3"/>
      <w:bookmarkStart w:id="2" w:name="p-400485"/>
      <w:bookmarkEnd w:id="1"/>
      <w:bookmarkEnd w:id="2"/>
    </w:p>
    <w:p w:rsidR="00591073" w:rsidRDefault="00591073"/>
    <w:sectPr w:rsidR="00591073" w:rsidSect="00B6071C">
      <w:headerReference w:type="even" r:id="rId4"/>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2D" w:rsidRPr="00A163C1" w:rsidRDefault="007431AF" w:rsidP="00A163C1">
    <w:pPr>
      <w:pStyle w:val="Footer"/>
      <w:jc w:val="both"/>
      <w:rPr>
        <w:sz w:val="22"/>
        <w:szCs w:val="22"/>
      </w:rPr>
    </w:pPr>
    <w:r w:rsidRPr="00A163C1">
      <w:rPr>
        <w:sz w:val="22"/>
        <w:szCs w:val="22"/>
      </w:rPr>
      <w:t>VARAMNot_</w:t>
    </w:r>
    <w:r>
      <w:rPr>
        <w:sz w:val="22"/>
        <w:szCs w:val="22"/>
      </w:rPr>
      <w:t>100713</w:t>
    </w:r>
    <w:r w:rsidRPr="00A163C1">
      <w:rPr>
        <w:sz w:val="22"/>
        <w:szCs w:val="22"/>
      </w:rPr>
      <w:t>; M</w:t>
    </w:r>
    <w:r>
      <w:rPr>
        <w:sz w:val="22"/>
        <w:szCs w:val="22"/>
      </w:rPr>
      <w:t>inistru kabineta</w:t>
    </w:r>
    <w:r w:rsidRPr="00A163C1">
      <w:rPr>
        <w:sz w:val="22"/>
        <w:szCs w:val="22"/>
      </w:rPr>
      <w:t xml:space="preserve"> noteikumu projekts „Prasības darbībām ar biocīdiem”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2D" w:rsidRPr="00A163C1" w:rsidRDefault="007431AF" w:rsidP="00A163C1">
    <w:pPr>
      <w:pStyle w:val="Footer"/>
      <w:jc w:val="both"/>
      <w:rPr>
        <w:sz w:val="22"/>
        <w:szCs w:val="22"/>
      </w:rPr>
    </w:pPr>
    <w:r w:rsidRPr="00A163C1">
      <w:rPr>
        <w:sz w:val="22"/>
        <w:szCs w:val="22"/>
      </w:rPr>
      <w:t>VARAMNot_</w:t>
    </w:r>
    <w:r>
      <w:rPr>
        <w:sz w:val="22"/>
        <w:szCs w:val="22"/>
      </w:rPr>
      <w:t>100713</w:t>
    </w:r>
    <w:r w:rsidRPr="00A163C1">
      <w:rPr>
        <w:sz w:val="22"/>
        <w:szCs w:val="22"/>
      </w:rPr>
      <w:t>; M</w:t>
    </w:r>
    <w:r>
      <w:rPr>
        <w:sz w:val="22"/>
        <w:szCs w:val="22"/>
      </w:rPr>
      <w:t>inistru kabineta</w:t>
    </w:r>
    <w:r w:rsidRPr="00A163C1">
      <w:rPr>
        <w:sz w:val="22"/>
        <w:szCs w:val="22"/>
      </w:rPr>
      <w:t xml:space="preserve"> noteikumu projekts „Prasības darbībām ar biocī</w:t>
    </w:r>
    <w:r w:rsidRPr="00A163C1">
      <w:rPr>
        <w:sz w:val="22"/>
        <w:szCs w:val="22"/>
      </w:rPr>
      <w:t>diem”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2D" w:rsidRDefault="007431AF" w:rsidP="004C3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32D" w:rsidRDefault="00743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2D" w:rsidRDefault="007431AF" w:rsidP="004C33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332D" w:rsidRDefault="007431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431AF"/>
    <w:rsid w:val="00591073"/>
    <w:rsid w:val="007431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A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431AF"/>
    <w:pPr>
      <w:spacing w:before="75" w:after="75"/>
      <w:ind w:firstLine="375"/>
      <w:jc w:val="both"/>
    </w:pPr>
    <w:rPr>
      <w:sz w:val="24"/>
      <w:lang w:eastAsia="lv-LV"/>
    </w:rPr>
  </w:style>
  <w:style w:type="paragraph" w:styleId="Header">
    <w:name w:val="header"/>
    <w:basedOn w:val="Normal"/>
    <w:link w:val="HeaderChar"/>
    <w:rsid w:val="007431AF"/>
    <w:pPr>
      <w:tabs>
        <w:tab w:val="center" w:pos="4320"/>
        <w:tab w:val="right" w:pos="8640"/>
      </w:tabs>
    </w:pPr>
  </w:style>
  <w:style w:type="character" w:customStyle="1" w:styleId="HeaderChar">
    <w:name w:val="Header Char"/>
    <w:basedOn w:val="DefaultParagraphFont"/>
    <w:link w:val="Header"/>
    <w:rsid w:val="007431AF"/>
    <w:rPr>
      <w:rFonts w:ascii="Times New Roman" w:eastAsia="Times New Roman" w:hAnsi="Times New Roman" w:cs="Times New Roman"/>
      <w:sz w:val="28"/>
      <w:szCs w:val="24"/>
    </w:rPr>
  </w:style>
  <w:style w:type="character" w:styleId="PageNumber">
    <w:name w:val="page number"/>
    <w:basedOn w:val="DefaultParagraphFont"/>
    <w:rsid w:val="007431AF"/>
  </w:style>
  <w:style w:type="paragraph" w:styleId="Title">
    <w:name w:val="Title"/>
    <w:basedOn w:val="Normal"/>
    <w:link w:val="TitleChar"/>
    <w:qFormat/>
    <w:rsid w:val="007431AF"/>
    <w:pPr>
      <w:jc w:val="center"/>
    </w:pPr>
    <w:rPr>
      <w:rFonts w:eastAsia="Calibri"/>
      <w:b/>
      <w:bCs/>
      <w:sz w:val="24"/>
    </w:rPr>
  </w:style>
  <w:style w:type="character" w:customStyle="1" w:styleId="TitleChar">
    <w:name w:val="Title Char"/>
    <w:basedOn w:val="DefaultParagraphFont"/>
    <w:link w:val="Title"/>
    <w:rsid w:val="007431AF"/>
    <w:rPr>
      <w:rFonts w:ascii="Times New Roman" w:eastAsia="Calibri" w:hAnsi="Times New Roman" w:cs="Times New Roman"/>
      <w:b/>
      <w:bCs/>
      <w:sz w:val="24"/>
      <w:szCs w:val="24"/>
    </w:rPr>
  </w:style>
  <w:style w:type="paragraph" w:styleId="Footer">
    <w:name w:val="footer"/>
    <w:basedOn w:val="Normal"/>
    <w:link w:val="FooterChar"/>
    <w:rsid w:val="007431AF"/>
    <w:pPr>
      <w:tabs>
        <w:tab w:val="center" w:pos="4320"/>
        <w:tab w:val="right" w:pos="8640"/>
      </w:tabs>
    </w:pPr>
  </w:style>
  <w:style w:type="character" w:customStyle="1" w:styleId="FooterChar">
    <w:name w:val="Footer Char"/>
    <w:basedOn w:val="DefaultParagraphFont"/>
    <w:link w:val="Footer"/>
    <w:rsid w:val="007431AF"/>
    <w:rPr>
      <w:rFonts w:ascii="Times New Roman" w:eastAsia="Times New Roman" w:hAnsi="Times New Roman" w:cs="Times New Roman"/>
      <w:sz w:val="28"/>
      <w:szCs w:val="24"/>
    </w:rPr>
  </w:style>
  <w:style w:type="paragraph" w:styleId="BodyTextIndent">
    <w:name w:val="Body Text Indent"/>
    <w:basedOn w:val="Normal"/>
    <w:link w:val="BodyTextIndentChar"/>
    <w:rsid w:val="007431AF"/>
    <w:pPr>
      <w:spacing w:after="120"/>
      <w:ind w:left="283"/>
    </w:pPr>
    <w:rPr>
      <w:sz w:val="24"/>
      <w:lang w:eastAsia="lv-LV"/>
    </w:rPr>
  </w:style>
  <w:style w:type="character" w:customStyle="1" w:styleId="BodyTextIndentChar">
    <w:name w:val="Body Text Indent Char"/>
    <w:basedOn w:val="DefaultParagraphFont"/>
    <w:link w:val="BodyTextIndent"/>
    <w:rsid w:val="007431AF"/>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7431AF"/>
    <w:rPr>
      <w:rFonts w:ascii="Consolas" w:eastAsia="Calibri" w:hAnsi="Consolas"/>
      <w:sz w:val="21"/>
      <w:szCs w:val="21"/>
    </w:rPr>
  </w:style>
  <w:style w:type="character" w:customStyle="1" w:styleId="PlainTextChar">
    <w:name w:val="Plain Text Char"/>
    <w:basedOn w:val="DefaultParagraphFont"/>
    <w:link w:val="PlainText"/>
    <w:uiPriority w:val="99"/>
    <w:rsid w:val="007431A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2553</Words>
  <Characters>1456</Characters>
  <Application>Microsoft Office Word</Application>
  <DocSecurity>0</DocSecurity>
  <Lines>12</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2013-07-12T06:33:00Z</dcterms:created>
  <dcterms:modified xsi:type="dcterms:W3CDTF">2013-07-12T06:34:00Z</dcterms:modified>
</cp:coreProperties>
</file>