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1D" w:rsidRDefault="00B32318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Projekts</w:t>
      </w:r>
    </w:p>
    <w:p w:rsidR="00EB441D" w:rsidRDefault="00EB441D">
      <w:pPr>
        <w:jc w:val="center"/>
        <w:rPr>
          <w:sz w:val="28"/>
          <w:szCs w:val="28"/>
        </w:rPr>
      </w:pPr>
    </w:p>
    <w:p w:rsidR="00EB441D" w:rsidRDefault="00B32318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EB441D" w:rsidRDefault="00EB441D">
      <w:pPr>
        <w:jc w:val="center"/>
        <w:rPr>
          <w:sz w:val="28"/>
          <w:szCs w:val="28"/>
        </w:rPr>
      </w:pPr>
    </w:p>
    <w:p w:rsidR="00EB441D" w:rsidRDefault="00B32318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201</w:t>
      </w:r>
      <w:r w:rsidR="0023106F">
        <w:rPr>
          <w:sz w:val="28"/>
          <w:szCs w:val="28"/>
        </w:rPr>
        <w:t>1</w:t>
      </w:r>
      <w:r>
        <w:rPr>
          <w:sz w:val="28"/>
          <w:szCs w:val="28"/>
        </w:rPr>
        <w:t>. gada _____________                                        Noteikumi Nr._____</w:t>
      </w:r>
    </w:p>
    <w:p w:rsidR="00EB441D" w:rsidRDefault="00B32318">
      <w:pPr>
        <w:rPr>
          <w:sz w:val="28"/>
          <w:szCs w:val="28"/>
        </w:rPr>
      </w:pPr>
      <w:r>
        <w:rPr>
          <w:sz w:val="28"/>
          <w:szCs w:val="28"/>
        </w:rPr>
        <w:t>Rīgā                                                                                 (prot. Nr._____.§)</w:t>
      </w:r>
    </w:p>
    <w:p w:rsidR="00EB441D" w:rsidRDefault="00EB441D"/>
    <w:p w:rsidR="00EB441D" w:rsidRDefault="00EB441D"/>
    <w:p w:rsidR="00EB441D" w:rsidRDefault="00B3231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2009.gada 15.decembra noteikumos Nr.1465 „</w:t>
      </w:r>
      <w:r>
        <w:rPr>
          <w:b/>
          <w:color w:val="auto"/>
          <w:sz w:val="28"/>
          <w:szCs w:val="28"/>
        </w:rPr>
        <w:t xml:space="preserve">Noteikumi par darbības programmas "Infrastruktūra un pakalpojumi" papildinājuma 3.4.1.3.aktivitāti "Bioloģiskās daudzveidības saglabāšanas </w:t>
      </w:r>
      <w:proofErr w:type="spellStart"/>
      <w:r>
        <w:rPr>
          <w:b/>
          <w:i/>
          <w:color w:val="auto"/>
          <w:sz w:val="28"/>
          <w:szCs w:val="28"/>
        </w:rPr>
        <w:t>ex</w:t>
      </w:r>
      <w:proofErr w:type="spellEnd"/>
      <w:r>
        <w:rPr>
          <w:b/>
          <w:i/>
          <w:color w:val="auto"/>
          <w:sz w:val="28"/>
          <w:szCs w:val="28"/>
        </w:rPr>
        <w:t xml:space="preserve"> situ</w:t>
      </w:r>
      <w:r>
        <w:rPr>
          <w:b/>
          <w:color w:val="auto"/>
          <w:sz w:val="28"/>
          <w:szCs w:val="28"/>
        </w:rPr>
        <w:t xml:space="preserve"> infrastruktūras izveide”</w:t>
      </w:r>
      <w:r>
        <w:rPr>
          <w:b/>
          <w:sz w:val="28"/>
          <w:szCs w:val="28"/>
        </w:rPr>
        <w:t>”</w:t>
      </w:r>
    </w:p>
    <w:p w:rsidR="00EB441D" w:rsidRDefault="00EB441D">
      <w:pPr>
        <w:jc w:val="center"/>
        <w:rPr>
          <w:b/>
        </w:rPr>
      </w:pPr>
    </w:p>
    <w:p w:rsidR="00EB441D" w:rsidRDefault="00B32318">
      <w:pPr>
        <w:tabs>
          <w:tab w:val="left" w:pos="5760"/>
        </w:tabs>
        <w:ind w:firstLine="5940"/>
        <w:jc w:val="right"/>
        <w:rPr>
          <w:sz w:val="28"/>
          <w:szCs w:val="28"/>
        </w:rPr>
      </w:pPr>
      <w:r>
        <w:rPr>
          <w:sz w:val="28"/>
          <w:szCs w:val="28"/>
        </w:rPr>
        <w:t>Izdoti saskaņā ar Eiropas Savienības struktūrfondu un</w:t>
      </w:r>
    </w:p>
    <w:p w:rsidR="00EB441D" w:rsidRDefault="00B32318">
      <w:pPr>
        <w:tabs>
          <w:tab w:val="left" w:pos="5760"/>
        </w:tabs>
        <w:ind w:firstLine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Kohēzijas fonda </w:t>
      </w:r>
    </w:p>
    <w:p w:rsidR="00EB441D" w:rsidRDefault="00B32318">
      <w:pPr>
        <w:tabs>
          <w:tab w:val="left" w:pos="5760"/>
        </w:tabs>
        <w:ind w:firstLine="5940"/>
        <w:jc w:val="right"/>
        <w:rPr>
          <w:sz w:val="28"/>
          <w:szCs w:val="28"/>
        </w:rPr>
      </w:pPr>
      <w:r>
        <w:rPr>
          <w:sz w:val="28"/>
          <w:szCs w:val="28"/>
        </w:rPr>
        <w:t>vadības likuma</w:t>
      </w:r>
    </w:p>
    <w:p w:rsidR="00EB441D" w:rsidRDefault="00B323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18.panta 10.punktu </w:t>
      </w:r>
    </w:p>
    <w:p w:rsidR="00EB441D" w:rsidRDefault="00EB441D">
      <w:pPr>
        <w:jc w:val="right"/>
        <w:rPr>
          <w:sz w:val="28"/>
          <w:szCs w:val="28"/>
        </w:rPr>
      </w:pPr>
    </w:p>
    <w:p w:rsidR="00EB441D" w:rsidRDefault="00B323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Ministru kabineta 2009.gada 15.decembra noteikumos Nr.1465 „Noteikumi par darbības programmas "Infrastruktūra un pakalpojumi" papildinājuma 3.4.1.3.aktivitāti "Bioloģiskās daudzveidības saglabāšanas </w:t>
      </w:r>
      <w:proofErr w:type="spellStart"/>
      <w:r>
        <w:rPr>
          <w:i/>
          <w:sz w:val="28"/>
          <w:szCs w:val="28"/>
        </w:rPr>
        <w:t>ex</w:t>
      </w:r>
      <w:proofErr w:type="spellEnd"/>
      <w:r>
        <w:rPr>
          <w:i/>
          <w:sz w:val="28"/>
          <w:szCs w:val="28"/>
        </w:rPr>
        <w:t xml:space="preserve"> situ</w:t>
      </w:r>
      <w:r>
        <w:rPr>
          <w:sz w:val="28"/>
          <w:szCs w:val="28"/>
        </w:rPr>
        <w:t xml:space="preserve"> infrastruktūras izveide”” (Latvijas Vēstnesis, 2009, 200.nr.; 2010, 66.nr.) šādus grozījumus: </w:t>
      </w:r>
    </w:p>
    <w:p w:rsidR="00EB441D" w:rsidRDefault="00EB441D">
      <w:pPr>
        <w:ind w:firstLine="720"/>
        <w:jc w:val="both"/>
        <w:rPr>
          <w:sz w:val="28"/>
          <w:szCs w:val="28"/>
        </w:rPr>
      </w:pPr>
    </w:p>
    <w:p w:rsidR="00EB441D" w:rsidRDefault="00B32318">
      <w:pPr>
        <w:pStyle w:val="ListParagraph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Aizstāt noteikumu tekstā vārdus „Vides ministrija” (attiecīgā locījumā) ar vārdiem „Vides aizsardzības un reģionālās attīstības ministrija” (attiecīgā locījumā);</w:t>
      </w:r>
    </w:p>
    <w:p w:rsidR="00EB441D" w:rsidRDefault="00EB441D">
      <w:pPr>
        <w:pStyle w:val="ListParagraph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EB441D" w:rsidRDefault="00B32318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Izteikt 7.5. apakšpunktu šādā redakcijā:</w:t>
      </w:r>
    </w:p>
    <w:p w:rsidR="00EB441D" w:rsidRDefault="00B32318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„7.5. </w:t>
      </w:r>
      <w:r>
        <w:rPr>
          <w:color w:val="000000"/>
          <w:sz w:val="28"/>
          <w:szCs w:val="28"/>
        </w:rPr>
        <w:t xml:space="preserve">publicitātes pasākumu izmaksas, ja attiecīgie </w:t>
      </w:r>
      <w:r>
        <w:rPr>
          <w:sz w:val="28"/>
          <w:szCs w:val="28"/>
        </w:rPr>
        <w:t xml:space="preserve">publicitātes pasākumi </w:t>
      </w:r>
      <w:r>
        <w:rPr>
          <w:color w:val="000000"/>
          <w:sz w:val="28"/>
          <w:szCs w:val="28"/>
        </w:rPr>
        <w:t>nepārsniedz obligātās prasības, ko nosaka normatīvie akti par Eiropas Savienības fondu līdzfinansēto projektu publicitātes un vizuālās identitātes prasību nodrošināšanu;”;</w:t>
      </w:r>
    </w:p>
    <w:p w:rsidR="00EB441D" w:rsidRDefault="00EB441D">
      <w:pPr>
        <w:ind w:firstLine="709"/>
        <w:jc w:val="both"/>
        <w:rPr>
          <w:color w:val="000000"/>
          <w:sz w:val="28"/>
          <w:szCs w:val="28"/>
        </w:rPr>
      </w:pPr>
    </w:p>
    <w:p w:rsidR="00EB441D" w:rsidRDefault="00B32318">
      <w:pPr>
        <w:ind w:left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 Izteikt 7.</w:t>
      </w:r>
      <w:r>
        <w:rPr>
          <w:color w:val="000000"/>
          <w:position w:val="1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punktu </w:t>
      </w:r>
      <w:r>
        <w:rPr>
          <w:bCs/>
          <w:sz w:val="28"/>
          <w:szCs w:val="28"/>
        </w:rPr>
        <w:t>šādā redakcijā:</w:t>
      </w:r>
    </w:p>
    <w:p w:rsidR="00EB441D" w:rsidRDefault="00B323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„7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</w:t>
      </w:r>
      <w:r>
        <w:rPr>
          <w:sz w:val="20"/>
        </w:rPr>
        <w:t xml:space="preserve"> </w:t>
      </w:r>
      <w:r>
        <w:rPr>
          <w:sz w:val="28"/>
          <w:szCs w:val="28"/>
        </w:rPr>
        <w:t>Projektu sagatavošanas izmaksas, autoruzraudzības un būvuzraudzības izmaksas, kā arī publicitātes pasākumu izmaksas (šo noteikumu 7.1., 7.2. un 7.5.apakšpunkts) nav attiecināmas, ja tās ir radušās, pamatojoties uz darba līgumu.</w:t>
      </w:r>
      <w:r>
        <w:rPr>
          <w:color w:val="000000"/>
          <w:sz w:val="28"/>
          <w:szCs w:val="28"/>
        </w:rPr>
        <w:t>”;</w:t>
      </w:r>
    </w:p>
    <w:p w:rsidR="00EB441D" w:rsidRDefault="00EB441D">
      <w:pPr>
        <w:ind w:left="709"/>
        <w:jc w:val="both"/>
        <w:rPr>
          <w:bCs/>
          <w:sz w:val="28"/>
          <w:szCs w:val="28"/>
        </w:rPr>
      </w:pPr>
    </w:p>
    <w:p w:rsidR="00EB441D" w:rsidRDefault="00B32318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Izteikt 10. punktu šādā redakcijā:</w:t>
      </w:r>
    </w:p>
    <w:p w:rsidR="00EB441D" w:rsidRDefault="00B32318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„10. </w:t>
      </w:r>
      <w:r>
        <w:rPr>
          <w:sz w:val="28"/>
          <w:szCs w:val="28"/>
        </w:rPr>
        <w:t>Projekta izmaks</w:t>
      </w:r>
      <w:r>
        <w:rPr>
          <w:rFonts w:ascii="TimesNewRoman" w:hAnsi="TimesNewRoman" w:cs="TimesNewRoman"/>
          <w:sz w:val="28"/>
          <w:szCs w:val="28"/>
        </w:rPr>
        <w:t>ā</w:t>
      </w:r>
      <w:r>
        <w:rPr>
          <w:sz w:val="28"/>
          <w:szCs w:val="28"/>
        </w:rPr>
        <w:t>s iek</w:t>
      </w:r>
      <w:r>
        <w:rPr>
          <w:rFonts w:ascii="TimesNewRoman" w:hAnsi="TimesNewRoman" w:cs="TimesNewRoman"/>
          <w:sz w:val="28"/>
          <w:szCs w:val="28"/>
        </w:rPr>
        <w:t>ļ</w:t>
      </w:r>
      <w:r>
        <w:rPr>
          <w:sz w:val="28"/>
          <w:szCs w:val="28"/>
        </w:rPr>
        <w:t>auj tikai šo noteikumu 7</w:t>
      </w:r>
      <w:r w:rsidRPr="00130C04">
        <w:rPr>
          <w:sz w:val="28"/>
          <w:szCs w:val="28"/>
        </w:rPr>
        <w:t>.</w:t>
      </w:r>
      <w:r w:rsidR="00293D98" w:rsidRPr="00130C04">
        <w:rPr>
          <w:sz w:val="28"/>
          <w:szCs w:val="28"/>
        </w:rPr>
        <w:t xml:space="preserve"> un 9.</w:t>
      </w:r>
      <w:r w:rsidRPr="00130C04">
        <w:rPr>
          <w:sz w:val="28"/>
          <w:szCs w:val="28"/>
        </w:rPr>
        <w:t>punkt</w:t>
      </w:r>
      <w:r w:rsidRPr="00130C04">
        <w:rPr>
          <w:rFonts w:ascii="TimesNewRoman" w:hAnsi="TimesNewRoman" w:cs="TimesNewRoman"/>
          <w:sz w:val="28"/>
          <w:szCs w:val="28"/>
        </w:rPr>
        <w:t>ā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sz w:val="28"/>
          <w:szCs w:val="28"/>
        </w:rPr>
        <w:t>min</w:t>
      </w:r>
      <w:r>
        <w:rPr>
          <w:rFonts w:ascii="TimesNewRoman" w:hAnsi="TimesNewRoman" w:cs="TimesNewRoman"/>
          <w:sz w:val="28"/>
          <w:szCs w:val="28"/>
        </w:rPr>
        <w:t>ē</w:t>
      </w:r>
      <w:r>
        <w:rPr>
          <w:sz w:val="28"/>
          <w:szCs w:val="28"/>
        </w:rPr>
        <w:t>t</w:t>
      </w:r>
      <w:r>
        <w:rPr>
          <w:rFonts w:ascii="TimesNewRoman" w:hAnsi="TimesNewRoman" w:cs="TimesNewRoman"/>
          <w:sz w:val="28"/>
          <w:szCs w:val="28"/>
        </w:rPr>
        <w:t>ā</w:t>
      </w:r>
      <w:r>
        <w:rPr>
          <w:sz w:val="28"/>
          <w:szCs w:val="28"/>
        </w:rPr>
        <w:t>s izmaksas.”;</w:t>
      </w:r>
    </w:p>
    <w:p w:rsidR="00EB441D" w:rsidRDefault="00EB441D">
      <w:pPr>
        <w:ind w:left="709"/>
        <w:jc w:val="both"/>
        <w:rPr>
          <w:color w:val="000000"/>
          <w:sz w:val="28"/>
          <w:szCs w:val="28"/>
        </w:rPr>
      </w:pPr>
    </w:p>
    <w:p w:rsidR="00EB441D" w:rsidRDefault="00B32318">
      <w:pPr>
        <w:ind w:left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bCs/>
          <w:sz w:val="28"/>
          <w:szCs w:val="28"/>
        </w:rPr>
        <w:t xml:space="preserve"> Izteikt 22. punktu šādā redakcijā:</w:t>
      </w:r>
    </w:p>
    <w:p w:rsidR="00EB441D" w:rsidRDefault="00B32318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„</w:t>
      </w:r>
      <w:r>
        <w:rPr>
          <w:color w:val="000000"/>
          <w:sz w:val="28"/>
          <w:szCs w:val="28"/>
        </w:rPr>
        <w:t xml:space="preserve">22. Ja uzaicinātais projekta iesniedzējs neiesniedz projekta iesniegumu noteiktajā termiņā vai ir pieņemts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rPr>
            <w:color w:val="000000"/>
            <w:sz w:val="28"/>
            <w:szCs w:val="28"/>
          </w:rPr>
          <w:t>lēmums</w:t>
        </w:r>
      </w:smartTag>
      <w:r>
        <w:rPr>
          <w:color w:val="000000"/>
          <w:sz w:val="28"/>
          <w:szCs w:val="28"/>
        </w:rPr>
        <w:t xml:space="preserve"> par tā noraidīšanu, atbildīgā iestāde</w:t>
      </w:r>
      <w:r w:rsidR="00F20F99">
        <w:rPr>
          <w:color w:val="000000"/>
          <w:sz w:val="28"/>
          <w:szCs w:val="28"/>
        </w:rPr>
        <w:t xml:space="preserve"> </w:t>
      </w:r>
      <w:r w:rsidR="00F20F99" w:rsidRPr="00130C04">
        <w:rPr>
          <w:color w:val="000000"/>
          <w:sz w:val="28"/>
          <w:szCs w:val="28"/>
        </w:rPr>
        <w:t>atkārtotu</w:t>
      </w:r>
      <w:r>
        <w:rPr>
          <w:color w:val="000000"/>
          <w:sz w:val="28"/>
          <w:szCs w:val="28"/>
        </w:rPr>
        <w:t xml:space="preserve"> uzaicinājumu nosūta </w:t>
      </w:r>
      <w:r w:rsidRPr="00F20F99">
        <w:rPr>
          <w:color w:val="000000"/>
          <w:sz w:val="28"/>
          <w:szCs w:val="28"/>
        </w:rPr>
        <w:t>ne vēlāk kā</w:t>
      </w:r>
      <w:r>
        <w:rPr>
          <w:color w:val="000000"/>
          <w:sz w:val="28"/>
          <w:szCs w:val="28"/>
        </w:rPr>
        <w:t xml:space="preserve"> pēc sešiem mēnešiem. Projekta iesniedzējs var tikt uzaicināts iesniegt projekta iesniegumu trīs reizes atbilstoši aktivitātei pieejamajam Eiropas Reģionālās attīstības fonda finansējumam.”;</w:t>
      </w:r>
    </w:p>
    <w:p w:rsidR="00EB441D" w:rsidRDefault="00EB441D">
      <w:pPr>
        <w:ind w:firstLine="709"/>
        <w:jc w:val="both"/>
        <w:rPr>
          <w:color w:val="000000"/>
          <w:sz w:val="28"/>
          <w:szCs w:val="28"/>
        </w:rPr>
      </w:pPr>
    </w:p>
    <w:p w:rsidR="00EB441D" w:rsidRDefault="00B32318">
      <w:pPr>
        <w:ind w:left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bCs/>
          <w:sz w:val="28"/>
          <w:szCs w:val="28"/>
        </w:rPr>
        <w:t>Izteikt 30.4. apakšpunktu šādā redakcijā:</w:t>
      </w:r>
    </w:p>
    <w:p w:rsidR="00EB441D" w:rsidRDefault="00B32318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„30.</w:t>
      </w:r>
      <w:r>
        <w:rPr>
          <w:bCs/>
          <w:sz w:val="28"/>
          <w:szCs w:val="28"/>
        </w:rPr>
        <w:t xml:space="preserve">4. precizēt attiecināmās izmaksas un izmaiņas kopējā attiecināmo izmaksu summā atbilstoši šo noteikumu </w:t>
      </w:r>
      <w:r w:rsidRPr="0052646D">
        <w:rPr>
          <w:bCs/>
          <w:sz w:val="28"/>
          <w:szCs w:val="28"/>
        </w:rPr>
        <w:t>7. ,7</w:t>
      </w:r>
      <w:r w:rsidRPr="0052646D">
        <w:rPr>
          <w:bCs/>
          <w:sz w:val="28"/>
          <w:szCs w:val="28"/>
          <w:vertAlign w:val="superscript"/>
        </w:rPr>
        <w:t>1</w:t>
      </w:r>
      <w:r w:rsidRPr="0052646D">
        <w:rPr>
          <w:bCs/>
          <w:sz w:val="28"/>
          <w:szCs w:val="28"/>
        </w:rPr>
        <w:t xml:space="preserve">. un </w:t>
      </w:r>
      <w:r>
        <w:rPr>
          <w:bCs/>
          <w:sz w:val="28"/>
          <w:szCs w:val="28"/>
        </w:rPr>
        <w:t>9. punktam;”;</w:t>
      </w:r>
    </w:p>
    <w:p w:rsidR="00EB441D" w:rsidRDefault="00EB441D">
      <w:pPr>
        <w:ind w:firstLine="709"/>
        <w:jc w:val="both"/>
        <w:rPr>
          <w:bCs/>
          <w:sz w:val="28"/>
          <w:szCs w:val="28"/>
        </w:rPr>
      </w:pPr>
    </w:p>
    <w:p w:rsidR="00EB441D" w:rsidRDefault="00B323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sz w:val="28"/>
          <w:szCs w:val="28"/>
        </w:rPr>
        <w:t xml:space="preserve"> Izteikt noteikumu </w:t>
      </w:r>
      <w:r w:rsidR="00446F2D" w:rsidRPr="00130C04">
        <w:rPr>
          <w:sz w:val="28"/>
          <w:szCs w:val="28"/>
        </w:rPr>
        <w:t>2</w:t>
      </w:r>
      <w:r w:rsidRPr="00130C04">
        <w:rPr>
          <w:sz w:val="28"/>
          <w:szCs w:val="28"/>
        </w:rPr>
        <w:t>.pielikuma</w:t>
      </w:r>
      <w:r>
        <w:rPr>
          <w:sz w:val="28"/>
          <w:szCs w:val="28"/>
        </w:rPr>
        <w:t xml:space="preserve"> 7.2. apakšpunktu šādā redakcijā:</w:t>
      </w:r>
    </w:p>
    <w:p w:rsidR="00EB441D" w:rsidRDefault="00B32318">
      <w:pPr>
        <w:widowControl/>
        <w:autoSpaceDE/>
        <w:autoSpaceDN/>
        <w:adjustRightInd/>
        <w:jc w:val="both"/>
      </w:pPr>
      <w:r>
        <w:rPr>
          <w:b/>
          <w:szCs w:val="24"/>
        </w:rPr>
        <w:t>„</w:t>
      </w:r>
      <w:r>
        <w:rPr>
          <w:sz w:val="28"/>
          <w:szCs w:val="28"/>
        </w:rPr>
        <w:t>7.2. Projekta budžeta kopsavilkums, tai skaitā indikatīvais projekta attiecināmo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izmaksu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>
          <w:rPr>
            <w:sz w:val="28"/>
            <w:szCs w:val="28"/>
          </w:rPr>
          <w:t>plāns</w:t>
        </w:r>
      </w:smartTag>
      <w:r>
        <w:t>:</w:t>
      </w:r>
    </w:p>
    <w:p w:rsidR="00EB441D" w:rsidRDefault="00EB441D">
      <w:pPr>
        <w:widowControl/>
        <w:autoSpaceDE/>
        <w:autoSpaceDN/>
        <w:adjustRightInd/>
        <w:jc w:val="both"/>
        <w:rPr>
          <w:b/>
        </w:rPr>
      </w:pPr>
    </w:p>
    <w:tbl>
      <w:tblPr>
        <w:tblW w:w="4942" w:type="pct"/>
        <w:tblLayout w:type="fixed"/>
        <w:tblLook w:val="0000"/>
      </w:tblPr>
      <w:tblGrid>
        <w:gridCol w:w="676"/>
        <w:gridCol w:w="4110"/>
        <w:gridCol w:w="1843"/>
        <w:gridCol w:w="1276"/>
        <w:gridCol w:w="1274"/>
      </w:tblGrid>
      <w:tr w:rsidR="00EB441D">
        <w:trPr>
          <w:cantSplit/>
          <w:trHeight w:val="315"/>
        </w:trPr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1D" w:rsidRDefault="00B323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Nr.p.k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2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1D" w:rsidRDefault="00B32318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Izmaksu pozīcijas nosaukums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EB441D" w:rsidRDefault="00B32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Daudzums</w:t>
            </w:r>
          </w:p>
        </w:tc>
        <w:tc>
          <w:tcPr>
            <w:tcW w:w="1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441D" w:rsidRDefault="00B32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summa</w:t>
            </w:r>
          </w:p>
        </w:tc>
      </w:tr>
      <w:tr w:rsidR="00EB441D">
        <w:trPr>
          <w:cantSplit/>
          <w:trHeight w:val="315"/>
        </w:trPr>
        <w:tc>
          <w:tcPr>
            <w:tcW w:w="3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1D" w:rsidRDefault="00EB441D">
            <w:pPr>
              <w:jc w:val="center"/>
              <w:rPr>
                <w:b/>
                <w:bCs/>
              </w:rPr>
            </w:pPr>
          </w:p>
        </w:tc>
        <w:tc>
          <w:tcPr>
            <w:tcW w:w="2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1D" w:rsidRDefault="00EB441D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441D" w:rsidRDefault="00EB441D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B441D" w:rsidRDefault="00B32318">
            <w:pPr>
              <w:jc w:val="center"/>
              <w:rPr>
                <w:b/>
                <w:bCs/>
              </w:rPr>
            </w:pP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smartTag w:uri="urn:schemas-microsoft-com:office:smarttags" w:element="PersonName">
                <w:smartTagPr>
                  <w:attr w:name="currency_id" w:val="48"/>
                  <w:attr w:name="currency_key" w:val="LVL"/>
                  <w:attr w:name="currency_value" w:val="1"/>
                  <w:attr w:name="currency_text" w:val="LVL"/>
                </w:smartTagPr>
                <w:r>
                  <w:rPr>
                    <w:b/>
                    <w:bCs/>
                  </w:rPr>
                  <w:t>LVL</w:t>
                </w:r>
              </w:smartTag>
            </w:smartTag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41D" w:rsidRDefault="00B32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EB441D">
        <w:trPr>
          <w:trHeight w:val="41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B32318">
            <w:r>
              <w:t>1.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B32318">
            <w:r>
              <w:t>Projektu sagatavošanas izmaksas – tehniskās specifikācijas un iepirkumu dokumentācijas izstrāde, projekta īstenošanas risku, alternatīvu analīze, būvprojekta izstrādes un ar to saistītās būvekspertīzes izmaksas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B32318">
            <w:r>
              <w:t> </w:t>
            </w:r>
          </w:p>
          <w:p w:rsidR="00EB441D" w:rsidRDefault="00EB441D"/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B32318">
            <w:pPr>
              <w:jc w:val="right"/>
            </w:pPr>
            <w: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B32318">
            <w:pPr>
              <w:jc w:val="right"/>
            </w:pPr>
            <w:r>
              <w:t> </w:t>
            </w:r>
          </w:p>
        </w:tc>
      </w:tr>
      <w:tr w:rsidR="00EB441D">
        <w:trPr>
          <w:trHeight w:val="33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B32318">
            <w:r>
              <w:t>2.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B32318">
            <w:r>
              <w:t>Autoruzraudzības un būvuzraudzības izmaksas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EB441D"/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EB441D">
            <w:pPr>
              <w:jc w:val="right"/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EB441D">
            <w:pPr>
              <w:jc w:val="right"/>
            </w:pPr>
          </w:p>
        </w:tc>
      </w:tr>
      <w:tr w:rsidR="00EB441D">
        <w:trPr>
          <w:trHeight w:val="33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B32318">
            <w:r>
              <w:t>3.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B32318">
            <w:r>
              <w:t xml:space="preserve">Būvdarbu izmaksas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EB441D"/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EB441D">
            <w:pPr>
              <w:jc w:val="right"/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EB441D">
            <w:pPr>
              <w:jc w:val="right"/>
            </w:pPr>
          </w:p>
        </w:tc>
      </w:tr>
      <w:tr w:rsidR="00EB441D">
        <w:trPr>
          <w:trHeight w:val="393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B32318">
            <w:r>
              <w:t>4.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B32318">
            <w:r>
              <w:t>Piegāžu līgumu izmaksas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EB441D"/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B32318">
            <w:pPr>
              <w:jc w:val="right"/>
            </w:pPr>
            <w: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B32318">
            <w:pPr>
              <w:jc w:val="right"/>
            </w:pPr>
            <w:r>
              <w:t> </w:t>
            </w:r>
          </w:p>
        </w:tc>
      </w:tr>
      <w:tr w:rsidR="00EB441D">
        <w:trPr>
          <w:trHeight w:val="393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B32318">
            <w:r>
              <w:t>5.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Pr="00582C0E" w:rsidRDefault="00B32318">
            <w:r w:rsidRPr="00582C0E">
              <w:rPr>
                <w:szCs w:val="24"/>
              </w:rPr>
              <w:t>Publicitātes pasākumu izmaksas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EB441D"/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EB441D">
            <w:pPr>
              <w:jc w:val="right"/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41D" w:rsidRDefault="00EB441D">
            <w:pPr>
              <w:jc w:val="right"/>
            </w:pPr>
          </w:p>
        </w:tc>
      </w:tr>
      <w:tr w:rsidR="00EB441D">
        <w:trPr>
          <w:trHeight w:val="31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41D" w:rsidRDefault="00EB441D">
            <w:pPr>
              <w:jc w:val="right"/>
            </w:pPr>
          </w:p>
        </w:tc>
        <w:tc>
          <w:tcPr>
            <w:tcW w:w="2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441D" w:rsidRDefault="00B3231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KOPĀ, tai skaitā finanšu rezerve neparedzētajiem izdevumiem no būvdarbu un piegāžu līgumu attiecināmajām izmaksām līdz 5%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441D" w:rsidRDefault="00EB441D">
            <w:pPr>
              <w:jc w:val="right"/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441D" w:rsidRDefault="00B32318">
            <w: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441D" w:rsidRDefault="00B32318">
            <w:r>
              <w:t> 100%”</w:t>
            </w:r>
          </w:p>
        </w:tc>
      </w:tr>
    </w:tbl>
    <w:p w:rsidR="00EB441D" w:rsidRDefault="00EB441D">
      <w:pPr>
        <w:ind w:firstLine="709"/>
        <w:jc w:val="both"/>
        <w:rPr>
          <w:bCs/>
          <w:sz w:val="28"/>
          <w:szCs w:val="28"/>
        </w:rPr>
      </w:pPr>
    </w:p>
    <w:p w:rsidR="00EB441D" w:rsidRDefault="00B32318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9E7D96" w:rsidRDefault="00B32318">
      <w:pPr>
        <w:tabs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EB441D" w:rsidRDefault="00B32318">
      <w:pPr>
        <w:tabs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R.Vējonis</w:t>
      </w:r>
      <w:proofErr w:type="spellEnd"/>
    </w:p>
    <w:p w:rsidR="00EB441D" w:rsidRDefault="00EB441D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</w:p>
    <w:p w:rsidR="00EB441D" w:rsidRDefault="00EB441D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</w:p>
    <w:p w:rsidR="00EB441D" w:rsidRDefault="00EB441D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</w:p>
    <w:p w:rsidR="009E7D96" w:rsidRDefault="009E7D96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</w:p>
    <w:p w:rsidR="00EB441D" w:rsidRDefault="00B32318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493C89" w:rsidRDefault="00B32318">
      <w:pPr>
        <w:tabs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EB441D" w:rsidRDefault="00B32318">
      <w:pPr>
        <w:tabs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R.Vējonis</w:t>
      </w:r>
      <w:proofErr w:type="spellEnd"/>
    </w:p>
    <w:p w:rsidR="00EB441D" w:rsidRDefault="00EB441D">
      <w:pPr>
        <w:jc w:val="both"/>
        <w:rPr>
          <w:sz w:val="28"/>
          <w:szCs w:val="28"/>
        </w:rPr>
      </w:pPr>
    </w:p>
    <w:p w:rsidR="00493C89" w:rsidRDefault="00493C89">
      <w:pPr>
        <w:jc w:val="both"/>
        <w:rPr>
          <w:sz w:val="28"/>
          <w:szCs w:val="28"/>
        </w:rPr>
      </w:pPr>
    </w:p>
    <w:p w:rsidR="00EB441D" w:rsidRDefault="00B32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EB441D" w:rsidRDefault="00B32318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Puķītis</w:t>
      </w:r>
    </w:p>
    <w:p w:rsidR="00EB441D" w:rsidRDefault="00EB441D">
      <w:pPr>
        <w:jc w:val="both"/>
      </w:pPr>
    </w:p>
    <w:p w:rsidR="00EB441D" w:rsidRDefault="00EB441D">
      <w:pPr>
        <w:jc w:val="both"/>
      </w:pPr>
    </w:p>
    <w:p w:rsidR="00EB441D" w:rsidRDefault="00EB441D">
      <w:pPr>
        <w:jc w:val="both"/>
      </w:pPr>
    </w:p>
    <w:p w:rsidR="00EB441D" w:rsidRDefault="00EB441D">
      <w:pPr>
        <w:jc w:val="both"/>
      </w:pPr>
    </w:p>
    <w:p w:rsidR="00EB441D" w:rsidRDefault="00592118">
      <w:pPr>
        <w:jc w:val="both"/>
        <w:rPr>
          <w:sz w:val="20"/>
        </w:rPr>
      </w:pPr>
      <w:r>
        <w:rPr>
          <w:sz w:val="20"/>
        </w:rPr>
        <w:t>13</w:t>
      </w:r>
      <w:r w:rsidR="00B32318">
        <w:rPr>
          <w:sz w:val="20"/>
        </w:rPr>
        <w:t>.0</w:t>
      </w:r>
      <w:r w:rsidR="006D6329">
        <w:rPr>
          <w:sz w:val="20"/>
        </w:rPr>
        <w:t>5</w:t>
      </w:r>
      <w:r w:rsidR="00B32318">
        <w:rPr>
          <w:sz w:val="20"/>
        </w:rPr>
        <w:t>.2011</w:t>
      </w:r>
      <w:r w:rsidR="00B32318" w:rsidRPr="00486745">
        <w:rPr>
          <w:sz w:val="20"/>
        </w:rPr>
        <w:t>. 9:</w:t>
      </w:r>
      <w:r w:rsidR="00C425DC">
        <w:rPr>
          <w:sz w:val="20"/>
        </w:rPr>
        <w:t>26</w:t>
      </w:r>
    </w:p>
    <w:p w:rsidR="00EB441D" w:rsidRDefault="002014FD">
      <w:pPr>
        <w:rPr>
          <w:sz w:val="20"/>
        </w:rPr>
      </w:pPr>
      <w:fldSimple w:instr=" NUMWORDS   \* MERGEFORMAT ">
        <w:r w:rsidR="00592118" w:rsidRPr="00592118">
          <w:rPr>
            <w:noProof/>
            <w:sz w:val="20"/>
          </w:rPr>
          <w:t>391</w:t>
        </w:r>
      </w:fldSimple>
    </w:p>
    <w:p w:rsidR="00EB441D" w:rsidRPr="00486745" w:rsidRDefault="00B32318">
      <w:pPr>
        <w:jc w:val="both"/>
        <w:rPr>
          <w:sz w:val="20"/>
        </w:rPr>
      </w:pPr>
      <w:r w:rsidRPr="00486745">
        <w:rPr>
          <w:sz w:val="20"/>
        </w:rPr>
        <w:t>Sarmīte Kļaviņa</w:t>
      </w:r>
    </w:p>
    <w:p w:rsidR="00EB441D" w:rsidRPr="00486745" w:rsidRDefault="00B32318">
      <w:pPr>
        <w:jc w:val="both"/>
        <w:rPr>
          <w:sz w:val="20"/>
        </w:rPr>
      </w:pPr>
      <w:r w:rsidRPr="00486745">
        <w:rPr>
          <w:sz w:val="20"/>
        </w:rPr>
        <w:t>Investīciju departamenta</w:t>
      </w:r>
    </w:p>
    <w:p w:rsidR="00EB441D" w:rsidRPr="00486745" w:rsidRDefault="00B32318">
      <w:pPr>
        <w:jc w:val="both"/>
        <w:rPr>
          <w:sz w:val="20"/>
        </w:rPr>
      </w:pPr>
      <w:r w:rsidRPr="00486745">
        <w:rPr>
          <w:sz w:val="20"/>
        </w:rPr>
        <w:t>Investīciju stratēģijas nodaļas vecākā referente</w:t>
      </w:r>
    </w:p>
    <w:p w:rsidR="00EB441D" w:rsidRDefault="00B32318">
      <w:pPr>
        <w:jc w:val="both"/>
      </w:pPr>
      <w:r w:rsidRPr="00486745">
        <w:rPr>
          <w:sz w:val="20"/>
        </w:rPr>
        <w:t xml:space="preserve">66016758; </w:t>
      </w:r>
      <w:hyperlink r:id="rId7" w:history="1">
        <w:r w:rsidRPr="00486745">
          <w:rPr>
            <w:rStyle w:val="Hyperlink"/>
            <w:sz w:val="20"/>
          </w:rPr>
          <w:t>sarmite.klavina@vidm.gov.lv</w:t>
        </w:r>
      </w:hyperlink>
      <w:r>
        <w:rPr>
          <w:sz w:val="20"/>
        </w:rPr>
        <w:t xml:space="preserve"> </w:t>
      </w:r>
      <w:r>
        <w:t xml:space="preserve"> </w:t>
      </w:r>
    </w:p>
    <w:p w:rsidR="00486745" w:rsidRDefault="00486745">
      <w:pPr>
        <w:jc w:val="both"/>
      </w:pPr>
    </w:p>
    <w:p w:rsidR="00486745" w:rsidRPr="00486745" w:rsidRDefault="00486745">
      <w:pPr>
        <w:jc w:val="both"/>
        <w:rPr>
          <w:sz w:val="20"/>
        </w:rPr>
      </w:pPr>
      <w:r w:rsidRPr="00486745">
        <w:rPr>
          <w:sz w:val="20"/>
        </w:rPr>
        <w:t>Austra Auziņa</w:t>
      </w:r>
    </w:p>
    <w:p w:rsidR="00486745" w:rsidRPr="00486745" w:rsidRDefault="00486745" w:rsidP="00486745">
      <w:pPr>
        <w:jc w:val="both"/>
        <w:rPr>
          <w:sz w:val="20"/>
        </w:rPr>
      </w:pPr>
      <w:r w:rsidRPr="00486745">
        <w:rPr>
          <w:sz w:val="20"/>
        </w:rPr>
        <w:t>Investīciju departamenta</w:t>
      </w:r>
    </w:p>
    <w:p w:rsidR="00486745" w:rsidRPr="00486745" w:rsidRDefault="00486745" w:rsidP="00486745">
      <w:pPr>
        <w:jc w:val="both"/>
        <w:rPr>
          <w:sz w:val="20"/>
        </w:rPr>
      </w:pPr>
      <w:r w:rsidRPr="00486745">
        <w:rPr>
          <w:sz w:val="20"/>
        </w:rPr>
        <w:t>Investīciju stratēģijas nodaļas vecākā referente</w:t>
      </w:r>
    </w:p>
    <w:p w:rsidR="00486745" w:rsidRPr="00486745" w:rsidRDefault="002014FD">
      <w:pPr>
        <w:jc w:val="both"/>
        <w:rPr>
          <w:sz w:val="20"/>
        </w:rPr>
      </w:pPr>
      <w:hyperlink r:id="rId8" w:history="1">
        <w:r w:rsidR="00486745" w:rsidRPr="00486745">
          <w:rPr>
            <w:rStyle w:val="Hyperlink"/>
            <w:sz w:val="20"/>
          </w:rPr>
          <w:t>austra.auzina@vidm.gov.lv</w:t>
        </w:r>
      </w:hyperlink>
    </w:p>
    <w:p w:rsidR="00486745" w:rsidRDefault="00486745">
      <w:pPr>
        <w:jc w:val="both"/>
      </w:pPr>
    </w:p>
    <w:sectPr w:rsidR="00486745" w:rsidSect="00EB441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15" w:rsidRDefault="00737915">
      <w:r>
        <w:separator/>
      </w:r>
    </w:p>
  </w:endnote>
  <w:endnote w:type="continuationSeparator" w:id="0">
    <w:p w:rsidR="00737915" w:rsidRDefault="0073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1D" w:rsidRDefault="00592118">
    <w:pPr>
      <w:jc w:val="both"/>
      <w:rPr>
        <w:sz w:val="20"/>
      </w:rPr>
    </w:pPr>
    <w:r>
      <w:rPr>
        <w:sz w:val="20"/>
      </w:rPr>
      <w:t>VARAMNot_13</w:t>
    </w:r>
    <w:r w:rsidR="0076668A">
      <w:rPr>
        <w:sz w:val="20"/>
      </w:rPr>
      <w:t>05</w:t>
    </w:r>
    <w:r w:rsidR="00B32318">
      <w:rPr>
        <w:sz w:val="20"/>
      </w:rPr>
      <w:t>11_groz1465; Grozījumi Ministru kabineta noteikumos Nr. 1465 „</w:t>
    </w:r>
    <w:r w:rsidR="00B32318">
      <w:rPr>
        <w:bCs/>
        <w:sz w:val="20"/>
      </w:rPr>
      <w:t xml:space="preserve">Noteikumi par darbības programmas „Infrastruktūra un pakalpojumi” papildinājuma 3.4.1.3. aktivitāti </w:t>
    </w:r>
    <w:r w:rsidR="00B32318">
      <w:rPr>
        <w:sz w:val="20"/>
      </w:rPr>
      <w:t xml:space="preserve">„Bioloģiskās daudzveidības saglabāšanas </w:t>
    </w:r>
    <w:proofErr w:type="spellStart"/>
    <w:r w:rsidR="00B32318">
      <w:rPr>
        <w:sz w:val="20"/>
      </w:rPr>
      <w:t>ex</w:t>
    </w:r>
    <w:proofErr w:type="spellEnd"/>
    <w:r w:rsidR="00B32318">
      <w:rPr>
        <w:sz w:val="20"/>
      </w:rPr>
      <w:t xml:space="preserve"> situ infrastruktūras izveide””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1D" w:rsidRDefault="00592118">
    <w:pPr>
      <w:jc w:val="both"/>
      <w:rPr>
        <w:sz w:val="20"/>
      </w:rPr>
    </w:pPr>
    <w:r>
      <w:rPr>
        <w:sz w:val="20"/>
      </w:rPr>
      <w:t>VARAMNot_13</w:t>
    </w:r>
    <w:r w:rsidR="0076668A">
      <w:rPr>
        <w:sz w:val="20"/>
      </w:rPr>
      <w:t>05</w:t>
    </w:r>
    <w:r w:rsidR="00B32318">
      <w:rPr>
        <w:sz w:val="20"/>
      </w:rPr>
      <w:t>11_groz1465; Grozījumi Ministru kabineta noteikumos Nr. 1465 „</w:t>
    </w:r>
    <w:r w:rsidR="00B32318">
      <w:rPr>
        <w:bCs/>
        <w:sz w:val="20"/>
      </w:rPr>
      <w:t xml:space="preserve">Noteikumi par darbības programmas „Infrastruktūra un pakalpojumi” papildinājuma 3.4.1.3. aktivitāti </w:t>
    </w:r>
    <w:r w:rsidR="00B32318">
      <w:rPr>
        <w:sz w:val="20"/>
      </w:rPr>
      <w:t xml:space="preserve">„Bioloģiskās daudzveidības saglabāšanas </w:t>
    </w:r>
    <w:proofErr w:type="spellStart"/>
    <w:r w:rsidR="00B32318">
      <w:rPr>
        <w:sz w:val="20"/>
      </w:rPr>
      <w:t>ex</w:t>
    </w:r>
    <w:proofErr w:type="spellEnd"/>
    <w:r w:rsidR="00B32318">
      <w:rPr>
        <w:sz w:val="20"/>
      </w:rPr>
      <w:t xml:space="preserve"> situ infrastruktūras izveide””</w:t>
    </w:r>
  </w:p>
  <w:p w:rsidR="00EB441D" w:rsidRDefault="00EB44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15" w:rsidRDefault="00737915">
      <w:r>
        <w:separator/>
      </w:r>
    </w:p>
  </w:footnote>
  <w:footnote w:type="continuationSeparator" w:id="0">
    <w:p w:rsidR="00737915" w:rsidRDefault="00737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1D" w:rsidRDefault="002014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23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318">
      <w:rPr>
        <w:rStyle w:val="PageNumber"/>
        <w:noProof/>
      </w:rPr>
      <w:t>1</w:t>
    </w:r>
    <w:r>
      <w:rPr>
        <w:rStyle w:val="PageNumber"/>
      </w:rPr>
      <w:fldChar w:fldCharType="end"/>
    </w:r>
  </w:p>
  <w:p w:rsidR="00EB441D" w:rsidRDefault="00EB44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1D" w:rsidRDefault="002014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23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C0E">
      <w:rPr>
        <w:rStyle w:val="PageNumber"/>
        <w:noProof/>
      </w:rPr>
      <w:t>2</w:t>
    </w:r>
    <w:r>
      <w:rPr>
        <w:rStyle w:val="PageNumber"/>
      </w:rPr>
      <w:fldChar w:fldCharType="end"/>
    </w:r>
  </w:p>
  <w:p w:rsidR="00EB441D" w:rsidRDefault="00EB44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27D"/>
    <w:multiLevelType w:val="hybridMultilevel"/>
    <w:tmpl w:val="F3ACC382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93128"/>
    <w:multiLevelType w:val="multilevel"/>
    <w:tmpl w:val="F9303C38"/>
    <w:lvl w:ilvl="0">
      <w:start w:val="2"/>
      <w:numFmt w:val="upperRoman"/>
      <w:lvlText w:val="%1."/>
      <w:lvlJc w:val="right"/>
      <w:pPr>
        <w:tabs>
          <w:tab w:val="num" w:pos="284"/>
        </w:tabs>
        <w:ind w:left="170" w:firstLine="0"/>
      </w:pPr>
      <w:rPr>
        <w:rFonts w:hint="default"/>
        <w:b/>
        <w:sz w:val="24"/>
        <w:szCs w:val="24"/>
      </w:rPr>
    </w:lvl>
    <w:lvl w:ilvl="1">
      <w:start w:val="4"/>
      <w:numFmt w:val="decimal"/>
      <w:lvlText w:val="%2."/>
      <w:lvlJc w:val="right"/>
      <w:pPr>
        <w:tabs>
          <w:tab w:val="num" w:pos="114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2.%3."/>
      <w:lvlJc w:val="right"/>
      <w:pPr>
        <w:tabs>
          <w:tab w:val="num" w:pos="2094"/>
        </w:tabs>
        <w:ind w:left="198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6629EF"/>
    <w:multiLevelType w:val="hybridMultilevel"/>
    <w:tmpl w:val="9858DA5A"/>
    <w:lvl w:ilvl="0" w:tplc="042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7445D"/>
    <w:multiLevelType w:val="multilevel"/>
    <w:tmpl w:val="AEC66F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1A81BBD"/>
    <w:multiLevelType w:val="multilevel"/>
    <w:tmpl w:val="782A6BE4"/>
    <w:lvl w:ilvl="0">
      <w:start w:val="1"/>
      <w:numFmt w:val="upperRoman"/>
      <w:lvlText w:val="%1."/>
      <w:lvlJc w:val="right"/>
      <w:pPr>
        <w:tabs>
          <w:tab w:val="num" w:pos="284"/>
        </w:tabs>
        <w:ind w:left="17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114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2.%3."/>
      <w:lvlJc w:val="right"/>
      <w:pPr>
        <w:tabs>
          <w:tab w:val="num" w:pos="1418"/>
        </w:tabs>
        <w:ind w:left="1304" w:firstLine="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378124B"/>
    <w:multiLevelType w:val="hybridMultilevel"/>
    <w:tmpl w:val="B3345A4A"/>
    <w:lvl w:ilvl="0" w:tplc="437C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CBA02">
      <w:numFmt w:val="none"/>
      <w:lvlText w:val=""/>
      <w:lvlJc w:val="left"/>
      <w:pPr>
        <w:tabs>
          <w:tab w:val="num" w:pos="360"/>
        </w:tabs>
      </w:pPr>
    </w:lvl>
    <w:lvl w:ilvl="2" w:tplc="89480DDA">
      <w:numFmt w:val="none"/>
      <w:lvlText w:val=""/>
      <w:lvlJc w:val="left"/>
      <w:pPr>
        <w:tabs>
          <w:tab w:val="num" w:pos="360"/>
        </w:tabs>
      </w:pPr>
    </w:lvl>
    <w:lvl w:ilvl="3" w:tplc="E0C234E8">
      <w:numFmt w:val="none"/>
      <w:lvlText w:val=""/>
      <w:lvlJc w:val="left"/>
      <w:pPr>
        <w:tabs>
          <w:tab w:val="num" w:pos="360"/>
        </w:tabs>
      </w:pPr>
    </w:lvl>
    <w:lvl w:ilvl="4" w:tplc="312E2E98">
      <w:numFmt w:val="none"/>
      <w:lvlText w:val=""/>
      <w:lvlJc w:val="left"/>
      <w:pPr>
        <w:tabs>
          <w:tab w:val="num" w:pos="360"/>
        </w:tabs>
      </w:pPr>
    </w:lvl>
    <w:lvl w:ilvl="5" w:tplc="FA10C482">
      <w:numFmt w:val="none"/>
      <w:lvlText w:val=""/>
      <w:lvlJc w:val="left"/>
      <w:pPr>
        <w:tabs>
          <w:tab w:val="num" w:pos="360"/>
        </w:tabs>
      </w:pPr>
    </w:lvl>
    <w:lvl w:ilvl="6" w:tplc="5A7EEA18">
      <w:numFmt w:val="none"/>
      <w:lvlText w:val=""/>
      <w:lvlJc w:val="left"/>
      <w:pPr>
        <w:tabs>
          <w:tab w:val="num" w:pos="360"/>
        </w:tabs>
      </w:pPr>
    </w:lvl>
    <w:lvl w:ilvl="7" w:tplc="4E5801D6">
      <w:numFmt w:val="none"/>
      <w:lvlText w:val=""/>
      <w:lvlJc w:val="left"/>
      <w:pPr>
        <w:tabs>
          <w:tab w:val="num" w:pos="360"/>
        </w:tabs>
      </w:pPr>
    </w:lvl>
    <w:lvl w:ilvl="8" w:tplc="DC9CCD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9B4488"/>
    <w:multiLevelType w:val="hybridMultilevel"/>
    <w:tmpl w:val="FB94E8D2"/>
    <w:lvl w:ilvl="0" w:tplc="DB9A4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05B6C"/>
    <w:multiLevelType w:val="hybridMultilevel"/>
    <w:tmpl w:val="80A47F70"/>
    <w:lvl w:ilvl="0" w:tplc="E02A266C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6C531CE"/>
    <w:multiLevelType w:val="multilevel"/>
    <w:tmpl w:val="FDDA2D1E"/>
    <w:lvl w:ilvl="0">
      <w:start w:val="2"/>
      <w:numFmt w:val="upperRoman"/>
      <w:lvlText w:val="%1."/>
      <w:lvlJc w:val="right"/>
      <w:pPr>
        <w:tabs>
          <w:tab w:val="num" w:pos="284"/>
        </w:tabs>
        <w:ind w:left="170" w:firstLine="0"/>
      </w:pPr>
      <w:rPr>
        <w:rFonts w:hint="default"/>
        <w:b/>
        <w:sz w:val="24"/>
        <w:szCs w:val="24"/>
      </w:rPr>
    </w:lvl>
    <w:lvl w:ilvl="1">
      <w:start w:val="8"/>
      <w:numFmt w:val="decimal"/>
      <w:lvlText w:val="%2."/>
      <w:lvlJc w:val="right"/>
      <w:pPr>
        <w:tabs>
          <w:tab w:val="num" w:pos="851"/>
        </w:tabs>
        <w:ind w:left="737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2.%3."/>
      <w:lvlJc w:val="right"/>
      <w:pPr>
        <w:tabs>
          <w:tab w:val="num" w:pos="1418"/>
        </w:tabs>
        <w:ind w:left="1304" w:firstLine="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7AB3A2D"/>
    <w:multiLevelType w:val="multilevel"/>
    <w:tmpl w:val="1C343C7C"/>
    <w:lvl w:ilvl="0">
      <w:start w:val="4"/>
      <w:numFmt w:val="upperRoman"/>
      <w:lvlText w:val="%1."/>
      <w:lvlJc w:val="right"/>
      <w:pPr>
        <w:tabs>
          <w:tab w:val="num" w:pos="284"/>
        </w:tabs>
        <w:ind w:left="170" w:firstLine="0"/>
      </w:pPr>
      <w:rPr>
        <w:rFonts w:hint="default"/>
        <w:b/>
        <w:sz w:val="24"/>
        <w:szCs w:val="24"/>
      </w:rPr>
    </w:lvl>
    <w:lvl w:ilvl="1">
      <w:start w:val="15"/>
      <w:numFmt w:val="decimal"/>
      <w:lvlText w:val="%2."/>
      <w:lvlJc w:val="right"/>
      <w:pPr>
        <w:tabs>
          <w:tab w:val="num" w:pos="851"/>
        </w:tabs>
        <w:ind w:left="737" w:firstLine="0"/>
      </w:pPr>
      <w:rPr>
        <w:rFonts w:hint="default"/>
        <w:sz w:val="24"/>
        <w:szCs w:val="24"/>
      </w:rPr>
    </w:lvl>
    <w:lvl w:ilvl="2">
      <w:start w:val="1"/>
      <w:numFmt w:val="decimal"/>
      <w:lvlText w:val="%2.%3."/>
      <w:lvlJc w:val="right"/>
      <w:pPr>
        <w:tabs>
          <w:tab w:val="num" w:pos="1418"/>
        </w:tabs>
        <w:ind w:left="1304" w:firstLine="0"/>
      </w:pPr>
      <w:rPr>
        <w:rFonts w:hint="default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8F22720"/>
    <w:multiLevelType w:val="hybridMultilevel"/>
    <w:tmpl w:val="3FA4F264"/>
    <w:lvl w:ilvl="0" w:tplc="76528E68">
      <w:start w:val="15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3CC24C50">
      <w:start w:val="1"/>
      <w:numFmt w:val="bullet"/>
      <w:lvlText w:val="•"/>
      <w:lvlJc w:val="left"/>
      <w:pPr>
        <w:tabs>
          <w:tab w:val="num" w:pos="1817"/>
        </w:tabs>
        <w:ind w:left="1817" w:hanging="360"/>
      </w:pPr>
      <w:rPr>
        <w:rFonts w:ascii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1">
    <w:nsid w:val="1F94297A"/>
    <w:multiLevelType w:val="multilevel"/>
    <w:tmpl w:val="A1723224"/>
    <w:lvl w:ilvl="0">
      <w:start w:val="5"/>
      <w:numFmt w:val="upperRoman"/>
      <w:lvlText w:val="%1."/>
      <w:lvlJc w:val="right"/>
      <w:pPr>
        <w:tabs>
          <w:tab w:val="num" w:pos="284"/>
        </w:tabs>
        <w:ind w:left="170" w:firstLine="0"/>
      </w:pPr>
      <w:rPr>
        <w:rFonts w:hint="default"/>
        <w:b/>
        <w:sz w:val="24"/>
        <w:szCs w:val="24"/>
      </w:rPr>
    </w:lvl>
    <w:lvl w:ilvl="1">
      <w:start w:val="28"/>
      <w:numFmt w:val="decimal"/>
      <w:lvlText w:val="%2."/>
      <w:lvlJc w:val="right"/>
      <w:pPr>
        <w:tabs>
          <w:tab w:val="num" w:pos="851"/>
        </w:tabs>
        <w:ind w:left="737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2.%3."/>
      <w:lvlJc w:val="right"/>
      <w:pPr>
        <w:tabs>
          <w:tab w:val="num" w:pos="1418"/>
        </w:tabs>
        <w:ind w:left="1304" w:firstLine="0"/>
      </w:pPr>
      <w:rPr>
        <w:rFonts w:hint="default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1601242"/>
    <w:multiLevelType w:val="multilevel"/>
    <w:tmpl w:val="3598738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AC7DDD"/>
    <w:multiLevelType w:val="multilevel"/>
    <w:tmpl w:val="CA0E07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2C81A93"/>
    <w:multiLevelType w:val="multilevel"/>
    <w:tmpl w:val="1CE85FD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8A046B"/>
    <w:multiLevelType w:val="multilevel"/>
    <w:tmpl w:val="90D0FD06"/>
    <w:lvl w:ilvl="0">
      <w:start w:val="5"/>
      <w:numFmt w:val="upperRoman"/>
      <w:lvlText w:val="%1."/>
      <w:lvlJc w:val="right"/>
      <w:pPr>
        <w:tabs>
          <w:tab w:val="num" w:pos="284"/>
        </w:tabs>
        <w:ind w:left="170" w:firstLine="0"/>
      </w:pPr>
      <w:rPr>
        <w:rFonts w:hint="default"/>
        <w:b/>
        <w:sz w:val="24"/>
        <w:szCs w:val="24"/>
      </w:rPr>
    </w:lvl>
    <w:lvl w:ilvl="1">
      <w:start w:val="18"/>
      <w:numFmt w:val="decimal"/>
      <w:lvlText w:val="%2."/>
      <w:lvlJc w:val="right"/>
      <w:pPr>
        <w:tabs>
          <w:tab w:val="num" w:pos="851"/>
        </w:tabs>
        <w:ind w:left="737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2.%3."/>
      <w:lvlJc w:val="right"/>
      <w:pPr>
        <w:tabs>
          <w:tab w:val="num" w:pos="1418"/>
        </w:tabs>
        <w:ind w:left="1304" w:firstLine="0"/>
      </w:pPr>
      <w:rPr>
        <w:rFonts w:hint="default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E5240B7"/>
    <w:multiLevelType w:val="hybridMultilevel"/>
    <w:tmpl w:val="C9E27C1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154794"/>
    <w:multiLevelType w:val="multilevel"/>
    <w:tmpl w:val="659ED28C"/>
    <w:lvl w:ilvl="0">
      <w:start w:val="3"/>
      <w:numFmt w:val="upperRoman"/>
      <w:lvlText w:val="%1."/>
      <w:lvlJc w:val="right"/>
      <w:pPr>
        <w:tabs>
          <w:tab w:val="num" w:pos="284"/>
        </w:tabs>
        <w:ind w:left="170" w:firstLine="0"/>
      </w:pPr>
      <w:rPr>
        <w:rFonts w:hint="default"/>
        <w:b/>
        <w:sz w:val="24"/>
        <w:szCs w:val="24"/>
      </w:rPr>
    </w:lvl>
    <w:lvl w:ilvl="1">
      <w:start w:val="9"/>
      <w:numFmt w:val="decimal"/>
      <w:lvlText w:val="%2."/>
      <w:lvlJc w:val="right"/>
      <w:pPr>
        <w:tabs>
          <w:tab w:val="num" w:pos="851"/>
        </w:tabs>
        <w:ind w:left="737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2.%3."/>
      <w:lvlJc w:val="right"/>
      <w:pPr>
        <w:tabs>
          <w:tab w:val="num" w:pos="1418"/>
        </w:tabs>
        <w:ind w:left="1304" w:firstLine="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BCB2C22"/>
    <w:multiLevelType w:val="hybridMultilevel"/>
    <w:tmpl w:val="374E3D0E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07986"/>
    <w:multiLevelType w:val="multilevel"/>
    <w:tmpl w:val="705E22F4"/>
    <w:lvl w:ilvl="0">
      <w:start w:val="3"/>
      <w:numFmt w:val="upperRoman"/>
      <w:lvlText w:val="%1."/>
      <w:lvlJc w:val="right"/>
      <w:pPr>
        <w:tabs>
          <w:tab w:val="num" w:pos="284"/>
        </w:tabs>
        <w:ind w:left="170" w:firstLine="0"/>
      </w:pPr>
      <w:rPr>
        <w:rFonts w:hint="default"/>
        <w:b/>
      </w:rPr>
    </w:lvl>
    <w:lvl w:ilvl="1">
      <w:start w:val="17"/>
      <w:numFmt w:val="decimal"/>
      <w:lvlText w:val="%2."/>
      <w:lvlJc w:val="right"/>
      <w:pPr>
        <w:tabs>
          <w:tab w:val="num" w:pos="851"/>
        </w:tabs>
        <w:ind w:left="737" w:firstLine="0"/>
      </w:pPr>
      <w:rPr>
        <w:rFonts w:hint="default"/>
        <w:sz w:val="24"/>
        <w:szCs w:val="24"/>
      </w:rPr>
    </w:lvl>
    <w:lvl w:ilvl="2">
      <w:start w:val="1"/>
      <w:numFmt w:val="decimal"/>
      <w:lvlText w:val="%2.%3."/>
      <w:lvlJc w:val="right"/>
      <w:pPr>
        <w:tabs>
          <w:tab w:val="num" w:pos="1418"/>
        </w:tabs>
        <w:ind w:left="1304" w:firstLine="0"/>
      </w:pPr>
      <w:rPr>
        <w:rFonts w:hint="default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D2E4264"/>
    <w:multiLevelType w:val="hybridMultilevel"/>
    <w:tmpl w:val="F05EE6F8"/>
    <w:lvl w:ilvl="0" w:tplc="7FA44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DA010A"/>
    <w:multiLevelType w:val="hybridMultilevel"/>
    <w:tmpl w:val="C76C34E8"/>
    <w:lvl w:ilvl="0" w:tplc="281286F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3EF326C6"/>
    <w:multiLevelType w:val="hybridMultilevel"/>
    <w:tmpl w:val="53B2287A"/>
    <w:lvl w:ilvl="0" w:tplc="73367EB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825EA8">
      <w:start w:val="6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/>
        <w:sz w:val="24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053C90"/>
    <w:multiLevelType w:val="hybridMultilevel"/>
    <w:tmpl w:val="55CA7B5A"/>
    <w:lvl w:ilvl="0" w:tplc="C76C26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411260"/>
    <w:multiLevelType w:val="hybridMultilevel"/>
    <w:tmpl w:val="9D7AD09E"/>
    <w:lvl w:ilvl="0" w:tplc="BD388E92">
      <w:start w:val="1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1AEC33A8">
      <w:numFmt w:val="none"/>
      <w:lvlText w:val=""/>
      <w:lvlJc w:val="left"/>
      <w:pPr>
        <w:tabs>
          <w:tab w:val="num" w:pos="360"/>
        </w:tabs>
      </w:pPr>
    </w:lvl>
    <w:lvl w:ilvl="2" w:tplc="1BAE5E2C">
      <w:numFmt w:val="none"/>
      <w:lvlText w:val=""/>
      <w:lvlJc w:val="left"/>
      <w:pPr>
        <w:tabs>
          <w:tab w:val="num" w:pos="360"/>
        </w:tabs>
      </w:pPr>
    </w:lvl>
    <w:lvl w:ilvl="3" w:tplc="56347332">
      <w:numFmt w:val="none"/>
      <w:lvlText w:val=""/>
      <w:lvlJc w:val="left"/>
      <w:pPr>
        <w:tabs>
          <w:tab w:val="num" w:pos="360"/>
        </w:tabs>
      </w:pPr>
    </w:lvl>
    <w:lvl w:ilvl="4" w:tplc="C15427D6">
      <w:numFmt w:val="none"/>
      <w:lvlText w:val=""/>
      <w:lvlJc w:val="left"/>
      <w:pPr>
        <w:tabs>
          <w:tab w:val="num" w:pos="360"/>
        </w:tabs>
      </w:pPr>
    </w:lvl>
    <w:lvl w:ilvl="5" w:tplc="9836FE32">
      <w:numFmt w:val="none"/>
      <w:lvlText w:val=""/>
      <w:lvlJc w:val="left"/>
      <w:pPr>
        <w:tabs>
          <w:tab w:val="num" w:pos="360"/>
        </w:tabs>
      </w:pPr>
    </w:lvl>
    <w:lvl w:ilvl="6" w:tplc="57A03006">
      <w:numFmt w:val="none"/>
      <w:lvlText w:val=""/>
      <w:lvlJc w:val="left"/>
      <w:pPr>
        <w:tabs>
          <w:tab w:val="num" w:pos="360"/>
        </w:tabs>
      </w:pPr>
    </w:lvl>
    <w:lvl w:ilvl="7" w:tplc="9BBE6F28">
      <w:numFmt w:val="none"/>
      <w:lvlText w:val=""/>
      <w:lvlJc w:val="left"/>
      <w:pPr>
        <w:tabs>
          <w:tab w:val="num" w:pos="360"/>
        </w:tabs>
      </w:pPr>
    </w:lvl>
    <w:lvl w:ilvl="8" w:tplc="D08AC2A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F3F6C55"/>
    <w:multiLevelType w:val="hybridMultilevel"/>
    <w:tmpl w:val="899C9324"/>
    <w:lvl w:ilvl="0" w:tplc="0426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5D5D28"/>
    <w:multiLevelType w:val="multilevel"/>
    <w:tmpl w:val="782A6BE4"/>
    <w:lvl w:ilvl="0">
      <w:start w:val="1"/>
      <w:numFmt w:val="upperRoman"/>
      <w:lvlText w:val="%1."/>
      <w:lvlJc w:val="right"/>
      <w:pPr>
        <w:tabs>
          <w:tab w:val="num" w:pos="284"/>
        </w:tabs>
        <w:ind w:left="17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114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2.%3."/>
      <w:lvlJc w:val="right"/>
      <w:pPr>
        <w:tabs>
          <w:tab w:val="num" w:pos="1418"/>
        </w:tabs>
        <w:ind w:left="1304" w:firstLine="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53764B4"/>
    <w:multiLevelType w:val="hybridMultilevel"/>
    <w:tmpl w:val="4F504820"/>
    <w:lvl w:ilvl="0" w:tplc="0426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7F386A"/>
    <w:multiLevelType w:val="multilevel"/>
    <w:tmpl w:val="0D3AB406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7B1B67"/>
    <w:multiLevelType w:val="hybridMultilevel"/>
    <w:tmpl w:val="A4BC3322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BA6796"/>
    <w:multiLevelType w:val="multilevel"/>
    <w:tmpl w:val="2D9E942A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DEA6976"/>
    <w:multiLevelType w:val="multilevel"/>
    <w:tmpl w:val="2D9E942A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6764BE1"/>
    <w:multiLevelType w:val="hybridMultilevel"/>
    <w:tmpl w:val="13563EBC"/>
    <w:lvl w:ilvl="0" w:tplc="76528E68">
      <w:start w:val="1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>
    <w:nsid w:val="76C9533A"/>
    <w:multiLevelType w:val="hybridMultilevel"/>
    <w:tmpl w:val="6F36E7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6B2071"/>
    <w:multiLevelType w:val="multilevel"/>
    <w:tmpl w:val="7FF8AA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795E6AA0"/>
    <w:multiLevelType w:val="multilevel"/>
    <w:tmpl w:val="BA92184A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A961DB5"/>
    <w:multiLevelType w:val="multilevel"/>
    <w:tmpl w:val="7FBA79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7B345F89"/>
    <w:multiLevelType w:val="multilevel"/>
    <w:tmpl w:val="9D2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BD15F6F"/>
    <w:multiLevelType w:val="multilevel"/>
    <w:tmpl w:val="A1723224"/>
    <w:lvl w:ilvl="0">
      <w:start w:val="5"/>
      <w:numFmt w:val="upperRoman"/>
      <w:lvlText w:val="%1."/>
      <w:lvlJc w:val="right"/>
      <w:pPr>
        <w:tabs>
          <w:tab w:val="num" w:pos="284"/>
        </w:tabs>
        <w:ind w:left="170" w:firstLine="0"/>
      </w:pPr>
      <w:rPr>
        <w:rFonts w:hint="default"/>
        <w:b/>
        <w:sz w:val="24"/>
        <w:szCs w:val="24"/>
      </w:rPr>
    </w:lvl>
    <w:lvl w:ilvl="1">
      <w:start w:val="28"/>
      <w:numFmt w:val="decimal"/>
      <w:lvlText w:val="%2."/>
      <w:lvlJc w:val="right"/>
      <w:pPr>
        <w:tabs>
          <w:tab w:val="num" w:pos="851"/>
        </w:tabs>
        <w:ind w:left="737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2.%3."/>
      <w:lvlJc w:val="right"/>
      <w:pPr>
        <w:tabs>
          <w:tab w:val="num" w:pos="1418"/>
        </w:tabs>
        <w:ind w:left="1304" w:firstLine="0"/>
      </w:pPr>
      <w:rPr>
        <w:rFonts w:hint="default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8"/>
  </w:num>
  <w:num w:numId="4">
    <w:abstractNumId w:val="19"/>
  </w:num>
  <w:num w:numId="5">
    <w:abstractNumId w:val="15"/>
  </w:num>
  <w:num w:numId="6">
    <w:abstractNumId w:val="26"/>
  </w:num>
  <w:num w:numId="7">
    <w:abstractNumId w:val="1"/>
  </w:num>
  <w:num w:numId="8">
    <w:abstractNumId w:val="17"/>
  </w:num>
  <w:num w:numId="9">
    <w:abstractNumId w:val="11"/>
  </w:num>
  <w:num w:numId="10">
    <w:abstractNumId w:val="29"/>
  </w:num>
  <w:num w:numId="11">
    <w:abstractNumId w:val="32"/>
  </w:num>
  <w:num w:numId="12">
    <w:abstractNumId w:val="10"/>
  </w:num>
  <w:num w:numId="13">
    <w:abstractNumId w:val="22"/>
  </w:num>
  <w:num w:numId="14">
    <w:abstractNumId w:val="14"/>
  </w:num>
  <w:num w:numId="15">
    <w:abstractNumId w:val="12"/>
  </w:num>
  <w:num w:numId="16">
    <w:abstractNumId w:val="28"/>
  </w:num>
  <w:num w:numId="17">
    <w:abstractNumId w:val="35"/>
  </w:num>
  <w:num w:numId="18">
    <w:abstractNumId w:val="31"/>
  </w:num>
  <w:num w:numId="19">
    <w:abstractNumId w:val="30"/>
  </w:num>
  <w:num w:numId="20">
    <w:abstractNumId w:val="25"/>
  </w:num>
  <w:num w:numId="21">
    <w:abstractNumId w:val="2"/>
  </w:num>
  <w:num w:numId="22">
    <w:abstractNumId w:val="4"/>
  </w:num>
  <w:num w:numId="23">
    <w:abstractNumId w:val="27"/>
  </w:num>
  <w:num w:numId="24">
    <w:abstractNumId w:val="36"/>
  </w:num>
  <w:num w:numId="25">
    <w:abstractNumId w:val="24"/>
  </w:num>
  <w:num w:numId="26">
    <w:abstractNumId w:val="5"/>
  </w:num>
  <w:num w:numId="27">
    <w:abstractNumId w:val="37"/>
  </w:num>
  <w:num w:numId="28">
    <w:abstractNumId w:val="3"/>
  </w:num>
  <w:num w:numId="29">
    <w:abstractNumId w:val="13"/>
  </w:num>
  <w:num w:numId="30">
    <w:abstractNumId w:val="34"/>
  </w:num>
  <w:num w:numId="31">
    <w:abstractNumId w:val="20"/>
  </w:num>
  <w:num w:numId="32">
    <w:abstractNumId w:val="0"/>
  </w:num>
  <w:num w:numId="33">
    <w:abstractNumId w:val="18"/>
  </w:num>
  <w:num w:numId="34">
    <w:abstractNumId w:val="21"/>
  </w:num>
  <w:num w:numId="35">
    <w:abstractNumId w:val="16"/>
  </w:num>
  <w:num w:numId="36">
    <w:abstractNumId w:val="33"/>
  </w:num>
  <w:num w:numId="37">
    <w:abstractNumId w:val="23"/>
  </w:num>
  <w:num w:numId="38">
    <w:abstractNumId w:val="7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8A0"/>
    <w:rsid w:val="000508A0"/>
    <w:rsid w:val="00130C04"/>
    <w:rsid w:val="002014FD"/>
    <w:rsid w:val="0023106F"/>
    <w:rsid w:val="00261482"/>
    <w:rsid w:val="00293D98"/>
    <w:rsid w:val="0032578C"/>
    <w:rsid w:val="003F32F9"/>
    <w:rsid w:val="0044044E"/>
    <w:rsid w:val="00446F2D"/>
    <w:rsid w:val="00486745"/>
    <w:rsid w:val="00493C89"/>
    <w:rsid w:val="0052646D"/>
    <w:rsid w:val="00572545"/>
    <w:rsid w:val="00582C0E"/>
    <w:rsid w:val="00592118"/>
    <w:rsid w:val="006D6329"/>
    <w:rsid w:val="00737915"/>
    <w:rsid w:val="0076668A"/>
    <w:rsid w:val="009E7D96"/>
    <w:rsid w:val="00AC2B66"/>
    <w:rsid w:val="00B32318"/>
    <w:rsid w:val="00B95C8A"/>
    <w:rsid w:val="00BD67CF"/>
    <w:rsid w:val="00C425DC"/>
    <w:rsid w:val="00D2047E"/>
    <w:rsid w:val="00D573BD"/>
    <w:rsid w:val="00E433CE"/>
    <w:rsid w:val="00EB441D"/>
    <w:rsid w:val="00F2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urn:schemas-microsoft-com:office:smarttags" w:name="PersonName"/>
  <w:smartTagType w:namespaceuri="schemas-tilde-lv/tildestengine" w:name="veidnes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41D"/>
    <w:pPr>
      <w:widowControl w:val="0"/>
      <w:autoSpaceDE w:val="0"/>
      <w:autoSpaceDN w:val="0"/>
      <w:adjustRightInd w:val="0"/>
    </w:pPr>
    <w:rPr>
      <w:sz w:val="24"/>
      <w:lang w:val="lv-LV" w:eastAsia="lv-LV"/>
    </w:rPr>
  </w:style>
  <w:style w:type="paragraph" w:styleId="Heading1">
    <w:name w:val="heading 1"/>
    <w:basedOn w:val="Normal"/>
    <w:next w:val="Normal"/>
    <w:qFormat/>
    <w:rsid w:val="00EB441D"/>
    <w:pPr>
      <w:keepNext/>
      <w:autoSpaceDE/>
      <w:autoSpaceDN/>
      <w:adjustRightInd/>
      <w:ind w:firstLine="426"/>
      <w:jc w:val="both"/>
      <w:outlineLvl w:val="0"/>
    </w:pPr>
    <w:rPr>
      <w:b/>
      <w:i/>
      <w:szCs w:val="24"/>
      <w:lang w:eastAsia="en-US"/>
    </w:rPr>
  </w:style>
  <w:style w:type="paragraph" w:styleId="Heading2">
    <w:name w:val="heading 2"/>
    <w:basedOn w:val="Normal"/>
    <w:next w:val="Normal"/>
    <w:qFormat/>
    <w:rsid w:val="00EB441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44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441D"/>
  </w:style>
  <w:style w:type="paragraph" w:styleId="BalloonText">
    <w:name w:val="Balloon Text"/>
    <w:basedOn w:val="Normal"/>
    <w:semiHidden/>
    <w:rsid w:val="00EB4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441D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EB441D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qFormat/>
    <w:rsid w:val="00EB441D"/>
    <w:pPr>
      <w:widowControl/>
      <w:autoSpaceDE/>
      <w:autoSpaceDN/>
      <w:adjustRightInd/>
      <w:jc w:val="center"/>
    </w:pPr>
    <w:rPr>
      <w:sz w:val="36"/>
      <w:szCs w:val="24"/>
      <w:lang w:eastAsia="en-US"/>
    </w:rPr>
  </w:style>
  <w:style w:type="paragraph" w:styleId="BodyText2">
    <w:name w:val="Body Text 2"/>
    <w:basedOn w:val="Normal"/>
    <w:rsid w:val="00EB441D"/>
    <w:pPr>
      <w:widowControl/>
      <w:autoSpaceDE/>
      <w:autoSpaceDN/>
      <w:adjustRightInd/>
      <w:jc w:val="both"/>
    </w:pPr>
    <w:rPr>
      <w:sz w:val="26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EB441D"/>
    <w:rPr>
      <w:sz w:val="16"/>
      <w:szCs w:val="16"/>
    </w:rPr>
  </w:style>
  <w:style w:type="paragraph" w:styleId="CommentText">
    <w:name w:val="annotation text"/>
    <w:basedOn w:val="Normal"/>
    <w:semiHidden/>
    <w:rsid w:val="00EB441D"/>
    <w:pPr>
      <w:widowControl/>
      <w:autoSpaceDE/>
      <w:autoSpaceDN/>
      <w:adjustRightInd/>
    </w:pPr>
  </w:style>
  <w:style w:type="paragraph" w:customStyle="1" w:styleId="RakstzCharCharRakstzCharCharRakstz">
    <w:name w:val="Rakstz. Char Char Rakstz. Char Char Rakstz."/>
    <w:basedOn w:val="Normal"/>
    <w:rsid w:val="00EB441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customStyle="1" w:styleId="naislab">
    <w:name w:val="naislab"/>
    <w:basedOn w:val="Normal"/>
    <w:rsid w:val="00EB441D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abulasgalva">
    <w:name w:val="Tabulas galva"/>
    <w:basedOn w:val="BodyText"/>
    <w:rsid w:val="00EB441D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basedOn w:val="Normal"/>
    <w:next w:val="Normal"/>
    <w:link w:val="FootnoteTextChar"/>
    <w:autoRedefine/>
    <w:rsid w:val="00EB441D"/>
    <w:pPr>
      <w:widowControl/>
      <w:autoSpaceDE/>
      <w:autoSpaceDN/>
      <w:adjustRightInd/>
      <w:spacing w:after="60"/>
      <w:ind w:right="-694"/>
      <w:jc w:val="both"/>
    </w:pPr>
    <w:rPr>
      <w:szCs w:val="24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B441D"/>
    <w:rPr>
      <w:sz w:val="24"/>
      <w:szCs w:val="24"/>
      <w:lang w:val="en-AU" w:eastAsia="en-US" w:bidi="ar-SA"/>
    </w:rPr>
  </w:style>
  <w:style w:type="character" w:styleId="FootnoteReference">
    <w:name w:val="footnote reference"/>
    <w:aliases w:val="Footnote Reference Number"/>
    <w:basedOn w:val="DefaultParagraphFont"/>
    <w:rsid w:val="00EB441D"/>
    <w:rPr>
      <w:vertAlign w:val="superscript"/>
    </w:rPr>
  </w:style>
  <w:style w:type="paragraph" w:customStyle="1" w:styleId="Teksts">
    <w:name w:val="Teksts"/>
    <w:basedOn w:val="Normal"/>
    <w:rsid w:val="00EB441D"/>
    <w:pPr>
      <w:widowControl/>
      <w:tabs>
        <w:tab w:val="num" w:pos="1571"/>
      </w:tabs>
      <w:autoSpaceDE/>
      <w:autoSpaceDN/>
      <w:adjustRightInd/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rsid w:val="00EB441D"/>
    <w:pPr>
      <w:widowControl/>
      <w:autoSpaceDE/>
      <w:autoSpaceDN/>
      <w:adjustRightInd/>
      <w:spacing w:after="120"/>
    </w:pPr>
    <w:rPr>
      <w:szCs w:val="24"/>
    </w:rPr>
  </w:style>
  <w:style w:type="paragraph" w:customStyle="1" w:styleId="nais1">
    <w:name w:val="nais1"/>
    <w:basedOn w:val="Normal"/>
    <w:rsid w:val="00EB441D"/>
    <w:pPr>
      <w:widowControl/>
      <w:autoSpaceDE/>
      <w:autoSpaceDN/>
      <w:adjustRightInd/>
      <w:spacing w:before="75" w:after="75"/>
      <w:ind w:left="450" w:firstLine="375"/>
      <w:jc w:val="both"/>
    </w:pPr>
    <w:rPr>
      <w:szCs w:val="24"/>
    </w:rPr>
  </w:style>
  <w:style w:type="paragraph" w:customStyle="1" w:styleId="StyleEE-numbering12pt">
    <w:name w:val="Style EE-numbering + 12 pt"/>
    <w:basedOn w:val="Normal"/>
    <w:autoRedefine/>
    <w:rsid w:val="00EB441D"/>
    <w:pPr>
      <w:widowControl/>
      <w:tabs>
        <w:tab w:val="left" w:pos="1"/>
      </w:tabs>
      <w:autoSpaceDE/>
      <w:autoSpaceDN/>
      <w:adjustRightInd/>
      <w:ind w:firstLine="709"/>
      <w:jc w:val="both"/>
    </w:pPr>
    <w:rPr>
      <w:noProof/>
      <w:color w:val="000000"/>
      <w:sz w:val="28"/>
      <w:szCs w:val="28"/>
    </w:rPr>
  </w:style>
  <w:style w:type="paragraph" w:customStyle="1" w:styleId="naiskr">
    <w:name w:val="naiskr"/>
    <w:basedOn w:val="Normal"/>
    <w:rsid w:val="00EB441D"/>
    <w:pPr>
      <w:widowControl/>
      <w:autoSpaceDE/>
      <w:autoSpaceDN/>
      <w:adjustRightInd/>
      <w:spacing w:before="75" w:after="75"/>
    </w:pPr>
    <w:rPr>
      <w:szCs w:val="24"/>
    </w:rPr>
  </w:style>
  <w:style w:type="paragraph" w:customStyle="1" w:styleId="naisc">
    <w:name w:val="naisc"/>
    <w:basedOn w:val="Normal"/>
    <w:rsid w:val="00EB441D"/>
    <w:pPr>
      <w:widowControl/>
      <w:autoSpaceDE/>
      <w:autoSpaceDN/>
      <w:adjustRightInd/>
      <w:spacing w:before="75" w:after="75"/>
      <w:jc w:val="center"/>
    </w:pPr>
    <w:rPr>
      <w:szCs w:val="24"/>
    </w:rPr>
  </w:style>
  <w:style w:type="character" w:styleId="Hyperlink">
    <w:name w:val="Hyperlink"/>
    <w:basedOn w:val="DefaultParagraphFont"/>
    <w:rsid w:val="00EB441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EB441D"/>
    <w:rPr>
      <w:b/>
      <w:bCs/>
    </w:rPr>
  </w:style>
  <w:style w:type="character" w:customStyle="1" w:styleId="c4">
    <w:name w:val="c4"/>
    <w:basedOn w:val="DefaultParagraphFont"/>
    <w:rsid w:val="00EB441D"/>
  </w:style>
  <w:style w:type="paragraph" w:styleId="EndnoteText">
    <w:name w:val="endnote text"/>
    <w:basedOn w:val="Normal"/>
    <w:link w:val="EndnoteTextChar"/>
    <w:rsid w:val="00EB441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B441D"/>
  </w:style>
  <w:style w:type="character" w:styleId="EndnoteReference">
    <w:name w:val="endnote reference"/>
    <w:basedOn w:val="DefaultParagraphFont"/>
    <w:rsid w:val="00EB441D"/>
    <w:rPr>
      <w:vertAlign w:val="superscript"/>
    </w:rPr>
  </w:style>
  <w:style w:type="paragraph" w:styleId="BodyTextIndent">
    <w:name w:val="Body Text Indent"/>
    <w:basedOn w:val="Normal"/>
    <w:rsid w:val="00EB441D"/>
    <w:pPr>
      <w:spacing w:after="120"/>
      <w:ind w:left="283"/>
    </w:pPr>
  </w:style>
  <w:style w:type="paragraph" w:customStyle="1" w:styleId="Default">
    <w:name w:val="Default"/>
    <w:rsid w:val="00EB441D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rsid w:val="00EB441D"/>
    <w:rPr>
      <w:sz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rsid w:val="00EB441D"/>
    <w:rPr>
      <w:sz w:val="24"/>
      <w:lang w:val="lv-LV" w:eastAsia="lv-LV" w:bidi="ar-SA"/>
    </w:rPr>
  </w:style>
  <w:style w:type="paragraph" w:customStyle="1" w:styleId="naisnod">
    <w:name w:val="naisnod"/>
    <w:basedOn w:val="Normal"/>
    <w:rsid w:val="00EB441D"/>
    <w:pPr>
      <w:widowControl/>
      <w:autoSpaceDE/>
      <w:autoSpaceDN/>
      <w:adjustRightInd/>
      <w:spacing w:before="150" w:after="150"/>
      <w:jc w:val="center"/>
    </w:pPr>
    <w:rPr>
      <w:b/>
      <w:bCs/>
      <w:szCs w:val="24"/>
    </w:rPr>
  </w:style>
  <w:style w:type="paragraph" w:styleId="ListParagraph">
    <w:name w:val="List Paragraph"/>
    <w:basedOn w:val="Normal"/>
    <w:qFormat/>
    <w:rsid w:val="00EB441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009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9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a.auzina@vid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mite.klavina@vid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"Grozījumi Ministru kabineta noteikumos Nr. 1465 „Noteikumi par darbības programmas „Infrastruktūra un pakalpojumi” papildinājuma 3.4.1.3. aktivitāti „Bioloģiskās daudzveidības saglabāšanas ex situ infrastruktūras izveide””</vt:lpstr>
    </vt:vector>
  </TitlesOfParts>
  <Company>VARAM</Company>
  <LinksUpToDate>false</LinksUpToDate>
  <CharactersWithSpaces>3721</CharactersWithSpaces>
  <SharedDoc>false</SharedDoc>
  <HLinks>
    <vt:vector size="6" baseType="variant">
      <vt:variant>
        <vt:i4>6684753</vt:i4>
      </vt:variant>
      <vt:variant>
        <vt:i4>3</vt:i4>
      </vt:variant>
      <vt:variant>
        <vt:i4>0</vt:i4>
      </vt:variant>
      <vt:variant>
        <vt:i4>5</vt:i4>
      </vt:variant>
      <vt:variant>
        <vt:lpwstr>mailto:sarmite.klavina@vidm.gov.lv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"Grozījumi Ministru kabineta noteikumos Nr. 1465 „Noteikumi par darbības programmas „Infrastruktūra un pakalpojumi” papildinājuma 3.4.1.3. aktivitāti „Bioloģiskās daudzveidības saglabāšanas ex situ infrastruktūras izveide””</dc:title>
  <dc:subject>grozījumi</dc:subject>
  <dc:creator>Sarmīte Kļaviņa- Investīciju depart.nod.vecākā referente</dc:creator>
  <dc:description>sarmite.klavina@varam.gov.lv_x000d_
66016758</dc:description>
  <cp:lastModifiedBy>austraa</cp:lastModifiedBy>
  <cp:revision>20</cp:revision>
  <cp:lastPrinted>2010-03-17T06:39:00Z</cp:lastPrinted>
  <dcterms:created xsi:type="dcterms:W3CDTF">2011-05-05T07:57:00Z</dcterms:created>
  <dcterms:modified xsi:type="dcterms:W3CDTF">2011-05-13T07:27:00Z</dcterms:modified>
</cp:coreProperties>
</file>