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0" w:rsidRPr="001333EB" w:rsidRDefault="009C5DD0" w:rsidP="005F28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1333EB">
        <w:rPr>
          <w:rFonts w:ascii="Times New Roman" w:hAnsi="Times New Roman"/>
          <w:sz w:val="28"/>
          <w:szCs w:val="28"/>
          <w:lang w:eastAsia="lv-LV"/>
        </w:rPr>
        <w:t>2.pielikums</w:t>
      </w:r>
    </w:p>
    <w:p w:rsidR="009C5DD0" w:rsidRPr="001333EB" w:rsidRDefault="009C5DD0" w:rsidP="005F28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1333EB">
        <w:rPr>
          <w:rFonts w:ascii="Times New Roman" w:hAnsi="Times New Roman"/>
          <w:sz w:val="28"/>
          <w:szCs w:val="28"/>
          <w:lang w:eastAsia="lv-LV"/>
        </w:rPr>
        <w:t>Ministru kabineta</w:t>
      </w:r>
    </w:p>
    <w:p w:rsidR="009C5DD0" w:rsidRPr="001333EB" w:rsidRDefault="009C5DD0" w:rsidP="005F28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1333EB">
        <w:rPr>
          <w:rFonts w:ascii="Times New Roman" w:hAnsi="Times New Roman"/>
          <w:sz w:val="28"/>
          <w:szCs w:val="28"/>
          <w:lang w:eastAsia="lv-LV"/>
        </w:rPr>
        <w:t>2012.gada</w:t>
      </w:r>
      <w:r>
        <w:rPr>
          <w:rFonts w:ascii="Times New Roman" w:hAnsi="Times New Roman"/>
          <w:sz w:val="28"/>
          <w:szCs w:val="28"/>
          <w:lang w:eastAsia="lv-LV"/>
        </w:rPr>
        <w:t xml:space="preserve"> 27.marta</w:t>
      </w:r>
      <w:r w:rsidRPr="001333EB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                  </w:t>
      </w:r>
    </w:p>
    <w:p w:rsidR="009C5DD0" w:rsidRPr="001333EB" w:rsidRDefault="009C5DD0" w:rsidP="005F28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1333EB">
        <w:rPr>
          <w:rFonts w:ascii="Times New Roman" w:hAnsi="Times New Roman"/>
          <w:sz w:val="28"/>
          <w:szCs w:val="28"/>
          <w:lang w:eastAsia="lv-LV"/>
        </w:rPr>
        <w:t>noteikumiem Nr.</w:t>
      </w:r>
      <w:r>
        <w:rPr>
          <w:rFonts w:ascii="Times New Roman" w:hAnsi="Times New Roman"/>
          <w:sz w:val="28"/>
          <w:szCs w:val="28"/>
          <w:lang w:eastAsia="lv-LV"/>
        </w:rPr>
        <w:t>217          </w:t>
      </w:r>
    </w:p>
    <w:p w:rsidR="009C5DD0" w:rsidRPr="005A6C34" w:rsidRDefault="009C5DD0" w:rsidP="005F284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lv-LV"/>
        </w:rPr>
      </w:pPr>
    </w:p>
    <w:p w:rsidR="009C5DD0" w:rsidRPr="005A6C34" w:rsidRDefault="009C5DD0" w:rsidP="005F28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iCs/>
          <w:sz w:val="24"/>
          <w:szCs w:val="24"/>
          <w:lang w:eastAsia="lv-LV"/>
        </w:rPr>
        <w:t>1.tabula</w:t>
      </w:r>
    </w:p>
    <w:p w:rsidR="009C5DD0" w:rsidRPr="00B0255F" w:rsidRDefault="009C5DD0" w:rsidP="005F28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B0255F">
        <w:rPr>
          <w:rFonts w:ascii="Times New Roman" w:hAnsi="Times New Roman"/>
          <w:b/>
          <w:bCs/>
          <w:sz w:val="24"/>
          <w:szCs w:val="24"/>
          <w:lang w:eastAsia="lv-LV"/>
        </w:rPr>
        <w:t>Ikgadējai siltumnīcefekta gāzu inventarizācijai nepieciešamie dati par x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B0255F">
        <w:rPr>
          <w:rFonts w:ascii="Times New Roman" w:hAnsi="Times New Roman"/>
          <w:b/>
          <w:bCs/>
          <w:sz w:val="24"/>
          <w:szCs w:val="24"/>
          <w:lang w:eastAsia="lv-LV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B0255F">
        <w:rPr>
          <w:rFonts w:ascii="Times New Roman" w:hAnsi="Times New Roman"/>
          <w:b/>
          <w:bCs/>
          <w:sz w:val="24"/>
          <w:szCs w:val="24"/>
          <w:lang w:eastAsia="lv-LV"/>
        </w:rPr>
        <w:t>2 gadu un vēsturiskajiem gadiem saistībā ar izmaiņām datos un institūcijas, kas atbildīgas par datu sagatavošanu un sniegšanu</w:t>
      </w:r>
    </w:p>
    <w:p w:rsidR="009C5DD0" w:rsidRPr="005A6C34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4771"/>
        <w:gridCol w:w="2693"/>
      </w:tblGrid>
      <w:tr w:rsidR="009C5DD0" w:rsidRPr="00177378" w:rsidTr="005F284C">
        <w:trPr>
          <w:trHeight w:val="227"/>
        </w:trPr>
        <w:tc>
          <w:tcPr>
            <w:tcW w:w="5402" w:type="dxa"/>
            <w:vAlign w:val="center"/>
          </w:tcPr>
          <w:p w:rsidR="009C5DD0" w:rsidRPr="007B6B0B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B6B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Siltumnīcefekt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</w:t>
            </w:r>
            <w:r w:rsidRPr="007B6B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izraisošo gāzu avots un piesaistes kategorijas saskaņā ar konvencijas līgumslēdzēju pušu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iem"/>
              </w:smartTagPr>
              <w:r w:rsidRPr="007B6B0B">
                <w:rPr>
                  <w:rFonts w:ascii="Times New Roman" w:hAnsi="Times New Roman"/>
                  <w:bCs/>
                  <w:sz w:val="24"/>
                  <w:szCs w:val="24"/>
                  <w:lang w:eastAsia="lv-LV"/>
                </w:rPr>
                <w:t>lēmumiem</w:t>
              </w:r>
            </w:smartTag>
            <w:r w:rsidRPr="007B6B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(kopējā ziņošanas formāta kategorijas)</w:t>
            </w:r>
          </w:p>
        </w:tc>
        <w:tc>
          <w:tcPr>
            <w:tcW w:w="4771" w:type="dxa"/>
            <w:vAlign w:val="center"/>
          </w:tcPr>
          <w:p w:rsidR="009C5DD0" w:rsidRPr="007B6B0B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B6B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Darbības dati/parametrs</w:t>
            </w:r>
          </w:p>
        </w:tc>
        <w:tc>
          <w:tcPr>
            <w:tcW w:w="2693" w:type="dxa"/>
            <w:vAlign w:val="center"/>
          </w:tcPr>
          <w:p w:rsidR="009C5DD0" w:rsidRPr="007B6B0B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7B6B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Atbildīgās institūcijas/</w:t>
            </w:r>
          </w:p>
          <w:p w:rsidR="009C5DD0" w:rsidRPr="007B6B0B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B6B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datu avoti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Tabula 1.A(a) –</w:t>
            </w: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Enerģētikas nozares pamatdati, k</w:t>
            </w: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urināmā (degvielas) dati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1.A.1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Enerģētika: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 elektroenerģijas un siltumenerģijas 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b. naftas pārstrāde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 cietā kurinām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apstrāde un citas enerģētikas nozares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Energoresursu patēriņš saskaņā ar EUROSTAT ziņošanas formātu;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Centrālā statistikas pārvalde (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Latvijas Vides, ģeoloģi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jas un meteoroloģijas centrs (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1.A.2. Apstrādes rūpniecība: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 dzelzs un tērauda 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b. krāsaino metālu 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 ķīmiskā rūpniecība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 papīra masas, papīra izstrādājumu 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e. pārtikas rūpniecība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f. citas nozares un būvniecība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Energoresursu patēriņš saskaņā ar EUROSTAT ziņošanas formātu;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1.A.3. Transports: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a. v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ietējā aviācija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Degvielas patēriņš;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Lidmašīnu kustība Latvijas lidostās: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• p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acēluš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ās lidmašīnas (atsevišķi norāda datus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iekšzemes un starptautiskajā satiksmē)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;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• 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olaidušās lidmašīnas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(atsevišķi norāda datus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iekšzemes un starptautiskajā satiksmē)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b. ceļu transports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Degvielas patēriņš;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Minimālās un maksimālās vidējās mēneša temperatūras</w:t>
            </w:r>
          </w:p>
        </w:tc>
        <w:tc>
          <w:tcPr>
            <w:tcW w:w="2693" w:type="dxa"/>
          </w:tcPr>
          <w:p w:rsidR="009C5DD0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Transportlīdzekļu statistika: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vieglo automašīnu sadalījums –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pēc izlaides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gada, izmantotās degvielas veida,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dzinēja tilpuma (mazāki par 1,4 l; 1,4–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2,0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l un lielāki par 2,0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l);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kravas automašīnu sadalījums – pēc izlaides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gada, izmantotā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 degvielas veida, pilnās masas;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oto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ciklu sadalījums – pēc izlaides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gada un motora tilpuma.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Pārskats reizi trijos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gados par vidējiem gada nobraukumiem (km/gadā), viegl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ām automašīnām,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kravas automašīnām, autobusiem;</w:t>
            </w:r>
          </w:p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Satiksmes ministrija, valsts akciju sabiedrība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Ceļu satiksmes drošības direkcija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</w:p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Aprēķini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em izmanto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Eiropas Vides aģentūras izstrādāto </w:t>
            </w:r>
            <w:r w:rsidRPr="00CC400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COPERT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tam līdzvērtīgu modeli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c. d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zelzceļš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Degvielas patēriņš;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d. v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ietējā kuģniecība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Degvielas patēriņš;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CSP/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Saskaņā ar ekspertu pētījumu*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e. cita (norādīt kāda)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Degvielas patēriņš;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1.A.4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Citas nozares: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a. p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ārējie patērētāji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b. m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ājsaimniecība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c. lauksaimniecība/m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ežsaimniecība/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ivsaimniecība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Energoresursu patēriņš saskaņā ar EUROSTAT ziņošanas formātu;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5. Cita (norādīt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kāda, piemēram, militārā aviācija)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Energoresursu patēriņš saskaņā ar EUROSTAT ziņošanas formātu;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1.A(b) Kurināmā (d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egvielas) patēriņa aktivitātes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vispārējā pieeja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Energoresursu patēriņš saskaņā ar EUROSTAT ziņošanas formātu;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1.A(d) Rūpnieciskās izejvielas un kurināmā izmantošana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nolūkiem, kas nav saistīti ar enerģētiku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Energoresursu patēriņš saskaņā ar EUROSTAT ziņošanas formātu;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1.B.2. Kurināmā gaistošās emisijas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Valstī gadā izmantotais benzīna daudzums (TJ);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1.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 Starptautiskā aviācija un kuģniecība un daudzpusēji darījumi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Degvielas patēriņš;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2. Rūpnieciskie procesi/ražošana: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A.  Minerālie produkti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B.  Ķīmiskā rūpniecība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  Metālu 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  Citu produktu 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E.   Halogēnu saturošo ogļūdeņražu un SF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 xml:space="preserve">6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ražošana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F.   Halogēnu saturošo ogļūdeņražu un  SF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 xml:space="preserve">6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patēriņš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G.  Citi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-) Saražotā produkcija, t: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cementa klinkers,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krāsns putekļi, kaļķi, tērauds;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Izmantotās izejvielas, t:</w:t>
            </w:r>
          </w:p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kaļķakmens, dolomīts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māls, fluoršpats, soda, potašs, kokss un čuguns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Centrs/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Komersanti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-)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Izmantotais F-gāzu apjoms, kg</w:t>
            </w:r>
          </w:p>
        </w:tc>
        <w:tc>
          <w:tcPr>
            <w:tcW w:w="2693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Centrs/Zāļu valsts aģentūra/komersanti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-)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zmantotā bitumena daudzums</w:t>
            </w:r>
          </w:p>
        </w:tc>
        <w:tc>
          <w:tcPr>
            <w:tcW w:w="2693" w:type="dxa"/>
            <w:vMerge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C5DD0" w:rsidRDefault="009C5DD0">
      <w:r>
        <w:br w:type="page"/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4771"/>
        <w:gridCol w:w="2693"/>
      </w:tblGrid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-) 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aražotais pārtikas produktu un dzērienu daudzums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CSP, 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3. Šķīdinātāju un citu ķīmisko produktu lietošana: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 Krāsu pieli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etošana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 Attaukošana un sausā tīrīšana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C. Ķīmiskie produkti, 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ūpniecība</w:t>
            </w:r>
          </w:p>
          <w:p w:rsidR="009C5DD0" w:rsidRPr="005A6C34" w:rsidRDefault="009C5DD0" w:rsidP="003D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 Cita 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NMGOS saturošo ķīmisko vielu 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aražotais un importētais apjoms;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4. Lauksaimniecība: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 Lauksaimniecības dzīvnieku iekšēji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 (zarnu) fermentācijas procesi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B. Kūtsmēslu apsaimniekošana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. L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auksaimniecībā izmantojamā 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-) Lauksaimniecības dzīvnieku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putnu skaits kopā, vecuma grupās un pa novadiem, tūkstošos;</w:t>
            </w:r>
          </w:p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Lopu un putnu produktivitāte (vidējais piena izslaukums no govs, kg; vidējā olu ieguve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 vienas dējējvistas, skaits)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Slāpekļa (N) daudzums kūtsmēslos pēc lauksaimni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ecības dzīvnieku sugas, kg/gadā</w:t>
            </w:r>
          </w:p>
        </w:tc>
        <w:tc>
          <w:tcPr>
            <w:tcW w:w="2693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LLU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Kūtsmēslu apsaimniekošanas sist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ēmu veidi (%), reizi trīs gados</w:t>
            </w:r>
          </w:p>
        </w:tc>
        <w:tc>
          <w:tcPr>
            <w:tcW w:w="2693" w:type="dxa"/>
            <w:vMerge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Zemes kopplatība un tās sadalījums pēc zemes lietošanas mērķiem (tai skaitā kultivēt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ās pļavas un ganības), tūkst. ha</w:t>
            </w:r>
          </w:p>
        </w:tc>
        <w:tc>
          <w:tcPr>
            <w:tcW w:w="2693" w:type="dxa"/>
            <w:vMerge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1488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Sējumu platības,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ha;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Lauksaimniecības kultūru kopraža,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t;</w:t>
            </w:r>
          </w:p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Izmantotie slāpekļa minerālmēsli (pārrēķinot 100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% augu barības elementos,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t)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Organiski bagātās augsnes, ha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histosols)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LLU/Latvijas Valsts mežzinātnes institūts "Silava"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CSP, LLU, Latvijas Valsts mežzinātnes institūts "Silava"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LLU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5. Zemes izmantošana, zemes izmantošanas maiņa un mežsaimniecība (ZIZIMM):</w:t>
            </w:r>
          </w:p>
        </w:tc>
      </w:tr>
      <w:tr w:rsidR="009C5DD0" w:rsidRPr="00177378" w:rsidTr="005F284C">
        <w:trPr>
          <w:trHeight w:val="410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 Mežu 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A.1. Mežu zeme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atlikusī mežu 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A.2. Zeme, kas pārveidota par mežu zemi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B. Aramzeme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B.1. Aramzeme, atlikusī aramzeme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2. Zeme, kas pārveidota par aramzemi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 Ganības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C.1. Ganības, atlikušās ganības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C.2. Zeme, kas pārveidota par ganībām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 Mitraines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D.1. Mitraines, atlikušās mitraines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D.2. Zeme, kas pārveidota par mitraini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E. Apmetnes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E.1. Apmetnes, atlikušās apmetnes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E.2. Zeme, kas pārveidota par apmetnēm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F. Cita 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F.1. Cita zeme, atlikusī cita zeme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F.2. Zeme, kas pārveidota par citu zemi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G. Citi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Ievāktie meža produkti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Informācija par izmantoto pieeju, lai attēlotu zemju platības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par zemes lietojuma datubāzi (bāzēm), kuras izmantotas inventarizācijas sagatavošanai;</w:t>
            </w:r>
          </w:p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Zemes lietojuma definīcijas un pielietotās klasifikācijas sistēmas un to atbilstība/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sakritība ar ZIZIMM kategorijām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"Silava"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pēc saskaņošanas ar ZM</w:t>
            </w:r>
          </w:p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410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5A–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5G (saskaņā ar kopējā ziņošanas formāta kategorijām):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1. Zemes kopplatība un tās sadalījums pēc zemes lietošanas mērķiem,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CSP/ 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"Silava"</w:t>
            </w:r>
          </w:p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410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2. Oglekļa krājas izmaiņa dzīvajā biomasā:</w:t>
            </w:r>
          </w:p>
          <w:p w:rsidR="009C5DD0" w:rsidRPr="005A6C34" w:rsidRDefault="009C5DD0" w:rsidP="005F28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ieaugums,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t;</w:t>
            </w:r>
          </w:p>
          <w:p w:rsidR="009C5DD0" w:rsidRPr="005A6C34" w:rsidRDefault="009C5DD0" w:rsidP="005F28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udumi,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3. Neto oglekļa krājas izmaiņa atmirušajās organiskajās vielās,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4. Neto oglekļa krājas izmaiņa augsnē:</w:t>
            </w:r>
          </w:p>
          <w:p w:rsidR="009C5DD0" w:rsidRPr="005A6C34" w:rsidRDefault="009C5DD0" w:rsidP="005F28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minerālās augsnes,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t;</w:t>
            </w:r>
          </w:p>
          <w:p w:rsidR="009C5DD0" w:rsidRPr="005A6C34" w:rsidRDefault="009C5DD0" w:rsidP="005F28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organiskās augsnes, tūkst.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"Silava"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pēc saskaņošanas ar ZM</w:t>
            </w:r>
          </w:p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5DD0" w:rsidRPr="00177378" w:rsidTr="005F284C">
        <w:trPr>
          <w:trHeight w:val="410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5. Organiski bagātās augsnes, (5.B.1; 5.C.1), tūkst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LLU/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"Silava"</w:t>
            </w:r>
          </w:p>
        </w:tc>
      </w:tr>
      <w:tr w:rsidR="009C5DD0" w:rsidRPr="00177378" w:rsidTr="005F284C">
        <w:trPr>
          <w:trHeight w:val="410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Datu neprecizitāte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piesaistes un emisiju 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LLU/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"Silava"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5 (IV) Oglekļa dioksīda emisijas no kaļķošanas materiāla pielietošanas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lauksaimniecībā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Iestrādātie kaļķi:</w:t>
            </w:r>
          </w:p>
          <w:p w:rsidR="009C5DD0" w:rsidRPr="005A6C34" w:rsidRDefault="009C5DD0" w:rsidP="005F2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pavisam, tūkst.t;</w:t>
            </w:r>
          </w:p>
          <w:p w:rsidR="009C5DD0" w:rsidRPr="005A6C34" w:rsidRDefault="009C5DD0" w:rsidP="005F2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uz 1 ha kaļķotās platības, t;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"Silava"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5 (V) Biomasas dedzināšana pa 5.sadaļas kategorijām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Izdedzinātās mežu platības, ha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Izdedzinātās kūlas platības, ha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Valsts ugunsdzēsības un glābšanas dienests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Zaru atlieku dedzināšana mežā uz vietas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Latvijas Valsts mežzinātnes institūts "Silava" pēc saskaņošanas ar ZM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CSP, Valsts ugunsdzēsības un glābšanas dienests, Latvijas Valsts mežzinātnes institūts "Silava"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"Silava"</w:t>
            </w:r>
          </w:p>
        </w:tc>
      </w:tr>
      <w:tr w:rsidR="009C5DD0" w:rsidRPr="00177378" w:rsidTr="005F284C">
        <w:trPr>
          <w:trHeight w:val="227"/>
        </w:trPr>
        <w:tc>
          <w:tcPr>
            <w:tcW w:w="12866" w:type="dxa"/>
            <w:gridSpan w:val="3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6. Atkritumu apsaimniekošana: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 w:val="restart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A. Cieto atkritumu izgāztuves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B. Notekūdeņu apstrāde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C. Atkritumu sadedzināšana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D. Citi (kompostēšana)</w:t>
            </w: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Izgāztuvēs noglabāto atkritumu daud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zums un veids (no datubāzes "3 – Atkritumi")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BC5278">
        <w:trPr>
          <w:trHeight w:val="639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Dati par atgūto CH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4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metānu) no atkritumu izgāztuvēm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Centrs/komersanti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-) Pastāvīg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 iedzīvotāju skaits, tūkstoši;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Saražotās pārtikas rūpniecības produkcijas apjoms, tonnas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/gadā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CSP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pBdr>
                <w:between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-) Notekūdeņu attīrīšana, novadīto notekūdeņu daudzums un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piesārņojošo vielu emisija (no datubāzes "2 – Ūdens");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Sadedzinātais atkritumu daudzums un ve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ids, bez enerģijas atguves (no datubāzes "3 – Atkritumi");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-) Kompo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stētais atkritumu daudzums (no d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atu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bāzes "3 – Atkritumi")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-) Datu neprecizitāte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CSP, 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  <w:vMerge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71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Aprēķini</w:t>
            </w:r>
          </w:p>
        </w:tc>
        <w:tc>
          <w:tcPr>
            <w:tcW w:w="2693" w:type="dxa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Centrs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7. Pamatavotu noteikšana</w:t>
            </w:r>
          </w:p>
        </w:tc>
        <w:tc>
          <w:tcPr>
            <w:tcW w:w="7464" w:type="dxa"/>
            <w:gridSpan w:val="2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8. Pārrēķini (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skaidrojošā informācija)</w:t>
            </w:r>
          </w:p>
        </w:tc>
        <w:tc>
          <w:tcPr>
            <w:tcW w:w="7464" w:type="dxa"/>
            <w:gridSpan w:val="2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Iesaistītās institūcijas/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9C5DD0" w:rsidRPr="00177378" w:rsidTr="005F284C">
        <w:trPr>
          <w:trHeight w:val="227"/>
        </w:trPr>
        <w:tc>
          <w:tcPr>
            <w:tcW w:w="5402" w:type="dxa"/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Emisiju neprecizitātes</w:t>
            </w:r>
          </w:p>
        </w:tc>
        <w:tc>
          <w:tcPr>
            <w:tcW w:w="7464" w:type="dxa"/>
            <w:gridSpan w:val="2"/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Iesaistītās institūcijas/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VARAM</w:t>
            </w:r>
          </w:p>
        </w:tc>
      </w:tr>
    </w:tbl>
    <w:p w:rsidR="009C5DD0" w:rsidRPr="005A6C34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*Pētījums – j</w:t>
      </w:r>
      <w:r w:rsidRPr="005A6C34">
        <w:rPr>
          <w:rFonts w:ascii="Times New Roman" w:hAnsi="Times New Roman"/>
          <w:sz w:val="24"/>
          <w:szCs w:val="24"/>
          <w:lang w:eastAsia="lv-LV"/>
        </w:rPr>
        <w:t>a nav publicētu datu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9C5DD0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sz w:val="24"/>
          <w:szCs w:val="24"/>
          <w:lang w:eastAsia="lv-LV"/>
        </w:rPr>
        <w:t> </w:t>
      </w:r>
    </w:p>
    <w:p w:rsidR="009C5DD0" w:rsidRPr="005A6C34" w:rsidRDefault="009C5DD0" w:rsidP="005F28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iCs/>
          <w:sz w:val="24"/>
          <w:szCs w:val="24"/>
          <w:lang w:eastAsia="lv-LV"/>
        </w:rPr>
        <w:t>2.tabula</w:t>
      </w:r>
    </w:p>
    <w:p w:rsidR="009C5DD0" w:rsidRPr="00B0255F" w:rsidRDefault="009C5DD0" w:rsidP="005F28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lv-LV"/>
        </w:rPr>
      </w:pPr>
      <w:r w:rsidRPr="00B0255F">
        <w:rPr>
          <w:rFonts w:ascii="Times New Roman" w:hAnsi="Times New Roman"/>
          <w:b/>
          <w:bCs/>
          <w:iCs/>
          <w:sz w:val="24"/>
          <w:szCs w:val="24"/>
          <w:lang w:eastAsia="lv-LV"/>
        </w:rPr>
        <w:t>Ikgadējo rādītāju saraksts Lēmuma 280/2004/EK ietvaros Latvijas Republikas Centrālajai statistikas pārvaldei ziņošanai par x</w:t>
      </w:r>
      <w:r>
        <w:rPr>
          <w:rFonts w:ascii="Times New Roman" w:hAnsi="Times New Roman"/>
          <w:b/>
          <w:bCs/>
          <w:iCs/>
          <w:sz w:val="24"/>
          <w:szCs w:val="24"/>
          <w:lang w:eastAsia="lv-LV"/>
        </w:rPr>
        <w:t xml:space="preserve"> </w:t>
      </w:r>
      <w:r w:rsidRPr="00B0255F">
        <w:rPr>
          <w:rFonts w:ascii="Times New Roman" w:hAnsi="Times New Roman"/>
          <w:b/>
          <w:bCs/>
          <w:iCs/>
          <w:sz w:val="24"/>
          <w:szCs w:val="24"/>
          <w:lang w:eastAsia="lv-LV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  <w:lang w:eastAsia="lv-LV"/>
        </w:rPr>
        <w:t xml:space="preserve"> </w:t>
      </w:r>
      <w:r w:rsidRPr="00B0255F">
        <w:rPr>
          <w:rFonts w:ascii="Times New Roman" w:hAnsi="Times New Roman"/>
          <w:b/>
          <w:bCs/>
          <w:iCs/>
          <w:sz w:val="24"/>
          <w:szCs w:val="24"/>
          <w:lang w:eastAsia="lv-LV"/>
        </w:rPr>
        <w:t>2 gadu un vēsturiskajiem gadiem saistībā ar izmaiņām datos</w:t>
      </w:r>
    </w:p>
    <w:p w:rsidR="009C5DD0" w:rsidRPr="00B0255F" w:rsidRDefault="009C5DD0" w:rsidP="005F28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2520"/>
        <w:gridCol w:w="2820"/>
        <w:gridCol w:w="2985"/>
        <w:gridCol w:w="3900"/>
      </w:tblGrid>
      <w:tr w:rsidR="009C5DD0" w:rsidRPr="00177378" w:rsidTr="00D47673">
        <w:trPr>
          <w:trHeight w:val="62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DD0" w:rsidRPr="00B0255F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0255F"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DD0" w:rsidRPr="00B0255F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0255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Enerģētikas efektivitātes rādītāji saskaņā ar </w:t>
            </w:r>
            <w:r w:rsidRPr="00B0255F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Eurostat </w:t>
            </w:r>
            <w:r w:rsidRPr="00B0255F">
              <w:rPr>
                <w:rFonts w:ascii="Times New Roman" w:hAnsi="Times New Roman"/>
                <w:sz w:val="24"/>
                <w:szCs w:val="24"/>
                <w:lang w:eastAsia="lv-LV"/>
              </w:rPr>
              <w:t>nomenklatūru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DD0" w:rsidRPr="00B0255F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0255F">
              <w:rPr>
                <w:rFonts w:ascii="Times New Roman" w:hAnsi="Times New Roman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DD0" w:rsidRPr="00B0255F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0255F">
              <w:rPr>
                <w:rFonts w:ascii="Times New Roman" w:hAnsi="Times New Roman"/>
                <w:sz w:val="24"/>
                <w:szCs w:val="24"/>
                <w:lang w:eastAsia="lv-LV"/>
              </w:rPr>
              <w:t>Numerators/denominators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B0255F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0255F">
              <w:rPr>
                <w:rFonts w:ascii="Times New Roman" w:hAnsi="Times New Roman"/>
                <w:sz w:val="24"/>
                <w:szCs w:val="24"/>
                <w:lang w:eastAsia="lv-LV"/>
              </w:rPr>
              <w:t> Vadlīnijas/definīcijas (2) (3)</w:t>
            </w:r>
          </w:p>
        </w:tc>
      </w:tr>
      <w:tr w:rsidR="009C5DD0" w:rsidRPr="00177378" w:rsidTr="00D47673">
        <w:trPr>
          <w:trHeight w:val="62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MAKRO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Kopējā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intensitāt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 attiecībā uz IKP, t/milj. 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Iekšzemes koppr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odukts (IKP), mlj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rd.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Iekšzemes kopprodukts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salīdzināmās 2000.gada cenās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D47673">
        <w:trPr>
          <w:trHeight w:val="62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MAKRO B0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Enerģija saistībā ar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intensitāt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 attiecībā uz IKP, t/milj. 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IKP, mljrd. 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Iekšzemes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kopprodukts salīdzināmās 2000.gada cenās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 A1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Enerģija saistībā ar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rūpniecības intensitāti, t/milj.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Pievienotā bruto vē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rtība kopējai rūpniecībai, mlj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rd.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ruto vērtība salīdzināmās 2000.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gada cenās ražošana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 rūpnie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  <w:t>cības nozarēs (NACE 15–22, 24–37), būvniecībā (NACE 45), šahtās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raktuvēs (izņ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emot akmeņogļu šahtas un naftas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gāzes ieguvi)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(NACE 13–14)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</w:tbl>
    <w:p w:rsidR="009C5DD0" w:rsidRDefault="009C5DD0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2520"/>
        <w:gridCol w:w="2820"/>
        <w:gridCol w:w="2985"/>
        <w:gridCol w:w="3900"/>
      </w:tblGrid>
      <w:tr w:rsidR="009C5DD0" w:rsidRPr="00177378" w:rsidTr="00D47673">
        <w:trPr>
          <w:trHeight w:val="680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MĀJSAIMNIECĪBAS A.1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Specifiskas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mājsaimniecību emisijas, t/mājokli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BC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Kopējais mājokļu skaits, 1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Kopējais mājokļu skaits (EUROSTAT Būvju klasifikācija CC (turpmāk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CC) 11)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PAKALPOJUMI A0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komercsektora un institūciju sektora intensitāte, t/milj.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Pievienotā bruto vērtība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– pakalpojumi, mlj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rd.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bruto vērtība salīdzināmās 2000.gada cenās pakalpojumos</w:t>
            </w:r>
          </w:p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(NACE 41, 50, 51, 52, 55, 63, 64, 65, 66, 67, 70, 71, 72, 73, 74, 75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80, 85, 90, 91, 92, 93, 99)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PĀRVEIDOŠANA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Specifiskas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emisijas no valsts un pašražotāju elektrostacijām, t/TJ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Visi produkti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izlaide valsts un pašražotāju termoelektrostacijās, PJ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Saražotā bruto elektroenerģija un siltumenerģija (kas pārdota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trešajām pusēm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, ko rada valsts un pašražotāju termoelektrosta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  <w:t>cijas un termoelektrocentrāles. Nav ietvert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 izlaide tikai no spēkstacijām (a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vots: enerģijas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 A1.11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Kopējā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āte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dzelzs un tērauda rūpniecība, t/milj.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Pievienotā bruto vērtība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dzelzs un tērauda rūpniecība, mlj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rd.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bruto vērtība salīdzināmās 2000.gada cenās dzelzs un tērauda un dzelzs sakausējumu ražošanā (NACE 27.1), cauruļu ražošanā (NACE 27.2), cita veida dzelzs un tērauda pi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rmajā pārstrādes procesā (NACE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27.3), dzelzs liešanā (NACE 27.51) un tērauda liešanā (NACE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27.52)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 A1.2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Ar enerģētiku saistītā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intensitāte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ķīmijas rūpniecība, t/milj.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Pievienotā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bruto vērtība – ķīmijas rūpniecība, mlj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rd. 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bruto vērtība salīdzināmās 2000.gada cenās ķīmisk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 produktu ražošanā (NACE 24)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EE7089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 A1.3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Ar enerģētiku saistītā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intensitāte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stikla, keramikas un celtniecības materiālu rūpniecība, t/milj.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Pievienotā bruto vērtība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stikla, kera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  <w:t>mikas un celtn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iecības materiālu rūpniecība, mlj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rd.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bruto vērtība salīdzināmās 2000.gada cenās metālu nesaturošu miner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ālproduktu ražošanā (NACE 26)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 A1.4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Ar enerģ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ētiku saistītā CO</w:t>
            </w:r>
            <w:r w:rsidRPr="00397702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intensitāte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pārtikas, dzērienu un tabakas rūpniecībā, t/milj.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Pievienotā bruto vērtība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pārtikas, dzērienu un tabakas rūpniecīb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bruto vērtība salīdzināmās 2000.gada cenā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 pārtikas produktu un dzērienu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(NACE 15) un tabakas produktu (NACE 16) ražošanā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 A1.5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Ar enerģētiku saistītā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intensitāte –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papīra un drukas rūpniecībā, t/milj.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Pievienotā bruto vērtība – papīra un drukas rūpniecība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milj.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(EK2000)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Pievienotā bruto vērtība salīdzināmās 2000.gada cenās celulozes, papīra un papīra produktu ražošanā (NACE 21) un rakstīto mediju publicēšanā, drukā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šanā un pavairošanā (NACE 22) (avots: n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acionālie konti)</w:t>
            </w:r>
          </w:p>
        </w:tc>
      </w:tr>
      <w:tr w:rsidR="009C5DD0" w:rsidRPr="00177378" w:rsidTr="00EE7089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MĀJSAIMNIECĪBAS A0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Specifiskas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emisijas no mājsaimniecībām telpu apkuri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  <w:t>nāšanai, t/m</w:t>
            </w:r>
            <w:r w:rsidRPr="005A6C34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Dzīvojamā fonda kopējā platība milj.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Pr="005A6C34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Dzī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vojamā fonda kopējā platība (CC 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11)</w:t>
            </w:r>
          </w:p>
        </w:tc>
      </w:tr>
      <w:tr w:rsidR="009C5DD0" w:rsidRPr="00177378" w:rsidTr="00EE7089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PAKALPOJUMI B0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Specifiskas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emisijas no komercsektora un institucionālā sektora telpu apkurināšanai,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kg/m</w:t>
            </w:r>
            <w:r w:rsidRPr="005A6C34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Nedzīvojamo ēku kopējā platība, milj.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Pr="005A6C34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Nedzīvoja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mo ēku kopējā platība (CC 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12)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PĀRVEIDOŠANA d0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Specifiskas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emisijas no valsts elektrostacijām, t/TJ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Visu produktu izlaide valsts termoelektrostacijās, PJ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Bruto saražotā ele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ktroenerģija un siltumenerģija (kas pārdota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treš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ām pusēm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, ko rada valsts termoelektrostacijas un termoelektrocentrāles. Nav iekļaut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 izlaide tikai no spēkstacijām (avots: e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nerģētikas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PĀRVEIDOŠANA e0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Specifiskas CO</w:t>
            </w:r>
            <w:r w:rsidRPr="005A6C34">
              <w:rPr>
                <w:rFonts w:ascii="Times New Roman" w:hAnsi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emisijas no pašražotāju iekārtām, t/TJ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Visu produktu izlaide pašražotāju termoelektrostacijās, PJ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Bruto saražotā ele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ktroenerģija un siltumenerģija (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kas pārdota treš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ām pusēm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, ko rada pašražotāju termoelektrost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acijas un termoelektrocentrāles (avots: e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nerģētikas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PĀRVEIDOŠANA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Oglekļa intensitāte kopējā enerģijas ražošanā, t/TJ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Visu produktu izlaide valsts un pašražotāju elektrostacijās, PJ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Kopējā saražotā elektroenerģija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treš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ām pusēm pārdotā siltumenerģija, ko rada valsts un pašražotāju spēkstacijas un termoelektrocentrāles. Ietver elektroenerģijas ražošanu no atjaunojamiem ene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rģijas avotiem un kodolenerģiju (avots: e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nerģētikas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RŪPNIECĪBA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Kopējais enerģijas patēriņš no rūpniecības, PJ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Ietver galīgo enerģijas patēriņu no rūpniecības nozarēm visos enerģijas avotos (ieskaitot biomasu un elektroenerģijas patēr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iņu) (avots: enerģētikas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MĀJSAIMNIECĪBAS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Kopējais enerģijas patēriņš no mājsaimniecībām, PJ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Ietver mājsaimniecību galīgo enerģijas patēriņu no visiem enerģijas avotiem (ieskaitot biomas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 un elektroenerģijas patēriņu) (avots: e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nerģētik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Oglekļa intensitāte transporta jomā, t/TJ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Kopējais galīgais enerģijas patēriņš transporta jomā, PJ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Ietver galīgo enerģijas patēriņu no visiem enerģijas avotiem (ieskaitot biomas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 un elektroenerģijas patēriņu) (avots: e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nerģētikas bilance)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 E1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Vietējā gaisa transporta pasažieri, milj.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Personu 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kaits, neieskaitot lidojuma dežu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rējošos darbiniekus un kabīnes komandu, veicot ceļojumu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gaisā (tikai vietējā aviācija) (avots: transporta statistika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Piezīme.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Darbības datiem jāsaskan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ar emisiju datiem (ja iespējams)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 D0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Autotransporta kravu apgrozība uz ceļa, milj. tkm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Transportēto kravu tonnu un kilometru skaits vieglajos un smagajos transportlīdzekļos; viena tonna un kilometrs atbilst vienas tonnas transportēšanai p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 ceļu viena kilometra attālumā (avots: t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ransporta statistika)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Piezīme.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Darbības datiem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ir jāsaskan ar emisiju datiem (ja iespējams)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 C0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Pasažieru apgrozība ar automašīnām, milj. pasažierkilometru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Transportlīdzekļa nobraukto km skaits attiecībā uz vieglajie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 automobiļiem; viens pasažier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kilometrs ir viena pasažiera transpor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tēšana viena kilometra attālumā (a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vots: transporta statistika)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Piezīme. Darbības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datiem jāsaskan ar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emisiju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datiem (j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 iespējams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 C0</w:t>
            </w:r>
          </w:p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Vieglo automobiļu nobraukto kilometru skaits, milj.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Transportlīdzekļa kilometru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skaits vieglajiem automobiļiem (avots: t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ransporta statistika)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Piezīme: Darbības datiem jābūt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konsekventiem ar emisiju datiem (ja iespējams)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 B0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Ar dīzeļdegvielu darbināmo vieglo transportlīdzekļu skaits, milj. km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Transportlīdzekļa nobraukto km skaits attiecībā uz vieglajiem automobi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  <w:t>ļiem, ko darbina ar dīzeļdegvielu un kam piešķirtas atļaujas izmantot ceļus, kas atvērti sabiedrisk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ajam transportam (avots: t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ransporta statistika)</w:t>
            </w:r>
          </w:p>
        </w:tc>
      </w:tr>
      <w:tr w:rsidR="009C5DD0" w:rsidRPr="00177378" w:rsidTr="00D47673">
        <w:trPr>
          <w:trHeight w:val="794"/>
          <w:tblHeader/>
        </w:trPr>
        <w:tc>
          <w:tcPr>
            <w:tcW w:w="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TRANSPORTS B0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DD0" w:rsidRPr="005A6C34" w:rsidRDefault="009C5DD0" w:rsidP="005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 Ar benzīnu darbināmo vieglo transportlīdzekļu skaits, milj.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5DD0" w:rsidRPr="005A6C34" w:rsidRDefault="009C5DD0" w:rsidP="00EE708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Ar ben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zīnu darbināmo transportlīdzekļu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nobraukto km skaits attiecībā uz pasažieru mašīnām, kam ir atļaujas izmantot ceļus, kas piee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jami sabiedriskajam transportam (avots: t</w:t>
            </w:r>
            <w:r w:rsidRPr="005A6C34">
              <w:rPr>
                <w:rFonts w:ascii="Times New Roman" w:hAnsi="Times New Roman"/>
                <w:sz w:val="24"/>
                <w:szCs w:val="24"/>
                <w:lang w:eastAsia="lv-LV"/>
              </w:rPr>
              <w:t>ransporta statistika)</w:t>
            </w:r>
          </w:p>
        </w:tc>
      </w:tr>
    </w:tbl>
    <w:p w:rsidR="009C5DD0" w:rsidRPr="005A6C34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sz w:val="24"/>
          <w:szCs w:val="24"/>
          <w:lang w:eastAsia="lv-LV"/>
        </w:rPr>
        <w:t> </w:t>
      </w:r>
    </w:p>
    <w:p w:rsidR="009C5DD0" w:rsidRPr="005A6C34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sz w:val="24"/>
          <w:szCs w:val="24"/>
          <w:lang w:eastAsia="lv-LV"/>
        </w:rPr>
        <w:t>(1)  Dalībvalsts ziņo par numeratoru un denominatoru, ja tas nav ietverts KZF.</w:t>
      </w:r>
    </w:p>
    <w:p w:rsidR="009C5DD0" w:rsidRPr="005A6C34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sz w:val="24"/>
          <w:szCs w:val="24"/>
          <w:lang w:eastAsia="lv-LV"/>
        </w:rPr>
        <w:t>(2)  Dalībvalstij ir jāievēro šīs vadlīnijas. Ja tā nevar ievērot tieši šīs vadlīnijas vai ja numerators un denominators nav pilnībā konsekventi, dalībvalstij tas ir skaidri jānorāda.</w:t>
      </w:r>
    </w:p>
    <w:p w:rsidR="009C5DD0" w:rsidRPr="00B4383E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  <w:r w:rsidRPr="005A6C34">
        <w:rPr>
          <w:rFonts w:ascii="Times New Roman" w:hAnsi="Times New Roman"/>
          <w:sz w:val="24"/>
          <w:szCs w:val="24"/>
          <w:lang w:eastAsia="lv-LV"/>
        </w:rPr>
        <w:t>(3)  Atsauces uz IPCC avota kate</w:t>
      </w:r>
      <w:r>
        <w:rPr>
          <w:rFonts w:ascii="Times New Roman" w:hAnsi="Times New Roman"/>
          <w:sz w:val="24"/>
          <w:szCs w:val="24"/>
          <w:lang w:eastAsia="lv-LV"/>
        </w:rPr>
        <w:t>gorijām attiecas uz IPCC (1996.gads</w:t>
      </w:r>
      <w:r w:rsidRPr="005A6C34">
        <w:rPr>
          <w:rFonts w:ascii="Times New Roman" w:hAnsi="Times New Roman"/>
          <w:sz w:val="24"/>
          <w:szCs w:val="24"/>
          <w:lang w:eastAsia="lv-LV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  <w:lang w:eastAsia="lv-LV"/>
        </w:rPr>
        <w:t>Izskatītās 1996.</w:t>
      </w:r>
      <w:r w:rsidRPr="005A6C34">
        <w:rPr>
          <w:rFonts w:ascii="Times New Roman" w:hAnsi="Times New Roman"/>
          <w:i/>
          <w:iCs/>
          <w:sz w:val="24"/>
          <w:szCs w:val="24"/>
          <w:lang w:eastAsia="lv-LV"/>
        </w:rPr>
        <w:t>gada IPCC vadlīnijas attiecībā uz nacionālajām siltumnīcas efektu izraisošo gāzu inventarizācijām</w:t>
      </w:r>
      <w:r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</w:p>
    <w:p w:rsidR="009C5DD0" w:rsidRDefault="009C5DD0" w:rsidP="005F28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C5DD0" w:rsidRDefault="009C5DD0" w:rsidP="005F28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C5DD0" w:rsidRDefault="009C5DD0" w:rsidP="005F28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C5DD0" w:rsidRPr="00260839" w:rsidRDefault="009C5DD0" w:rsidP="005F28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 xml:space="preserve">Vides aizsardzības un </w:t>
      </w:r>
    </w:p>
    <w:p w:rsidR="009C5DD0" w:rsidRPr="00260839" w:rsidRDefault="009C5DD0" w:rsidP="005F284C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reģionālās attīstības ministrs</w:t>
      </w:r>
      <w:r w:rsidRPr="00260839">
        <w:rPr>
          <w:rFonts w:ascii="Times New Roman" w:hAnsi="Times New Roman"/>
          <w:sz w:val="28"/>
          <w:szCs w:val="28"/>
          <w:lang w:eastAsia="lv-LV"/>
        </w:rPr>
        <w:tab/>
        <w:t>E.Sprūdžs</w:t>
      </w:r>
    </w:p>
    <w:p w:rsidR="009C5DD0" w:rsidRPr="00260839" w:rsidRDefault="009C5DD0" w:rsidP="005F284C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5DD0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9C5DD0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9C5DD0" w:rsidRPr="00260839" w:rsidRDefault="009C5DD0" w:rsidP="005F284C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sectPr w:rsidR="009C5DD0" w:rsidRPr="00260839" w:rsidSect="003D66E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D0" w:rsidRDefault="009C5DD0" w:rsidP="00260839">
      <w:pPr>
        <w:spacing w:after="0" w:line="240" w:lineRule="auto"/>
      </w:pPr>
      <w:r>
        <w:separator/>
      </w:r>
    </w:p>
  </w:endnote>
  <w:endnote w:type="continuationSeparator" w:id="0">
    <w:p w:rsidR="009C5DD0" w:rsidRDefault="009C5DD0" w:rsidP="00260839">
      <w:pPr>
        <w:spacing w:after="0" w:line="240" w:lineRule="auto"/>
      </w:pPr>
      <w:r>
        <w:continuationSeparator/>
      </w:r>
    </w:p>
  </w:endnote>
  <w:endnote w:type="continuationNotice" w:id="1">
    <w:p w:rsidR="009C5DD0" w:rsidRDefault="009C5D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D0" w:rsidRPr="005F284C" w:rsidRDefault="009C5DD0">
    <w:pPr>
      <w:pStyle w:val="Footer"/>
      <w:rPr>
        <w:rFonts w:ascii="Times New Roman" w:hAnsi="Times New Roman"/>
        <w:sz w:val="16"/>
        <w:szCs w:val="16"/>
      </w:rPr>
    </w:pPr>
    <w:r w:rsidRPr="005F284C">
      <w:rPr>
        <w:rFonts w:ascii="Times New Roman" w:hAnsi="Times New Roman"/>
        <w:sz w:val="16"/>
        <w:szCs w:val="16"/>
      </w:rPr>
      <w:t>N0006_2p2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D0" w:rsidRPr="005F284C" w:rsidRDefault="009C5DD0">
    <w:pPr>
      <w:pStyle w:val="Footer"/>
      <w:rPr>
        <w:rFonts w:ascii="Times New Roman" w:hAnsi="Times New Roman"/>
        <w:sz w:val="16"/>
        <w:szCs w:val="16"/>
      </w:rPr>
    </w:pPr>
    <w:r w:rsidRPr="005F284C">
      <w:rPr>
        <w:rFonts w:ascii="Times New Roman" w:hAnsi="Times New Roman"/>
        <w:sz w:val="16"/>
        <w:szCs w:val="16"/>
      </w:rPr>
      <w:t>N0006_2p2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2164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D0" w:rsidRDefault="009C5DD0" w:rsidP="00260839">
      <w:pPr>
        <w:spacing w:after="0" w:line="240" w:lineRule="auto"/>
      </w:pPr>
      <w:r>
        <w:separator/>
      </w:r>
    </w:p>
  </w:footnote>
  <w:footnote w:type="continuationSeparator" w:id="0">
    <w:p w:rsidR="009C5DD0" w:rsidRDefault="009C5DD0" w:rsidP="00260839">
      <w:pPr>
        <w:spacing w:after="0" w:line="240" w:lineRule="auto"/>
      </w:pPr>
      <w:r>
        <w:continuationSeparator/>
      </w:r>
    </w:p>
  </w:footnote>
  <w:footnote w:type="continuationNotice" w:id="1">
    <w:p w:rsidR="009C5DD0" w:rsidRDefault="009C5DD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D0" w:rsidRPr="00D47673" w:rsidRDefault="009C5DD0">
    <w:pPr>
      <w:pStyle w:val="Header"/>
      <w:jc w:val="center"/>
      <w:rPr>
        <w:rFonts w:ascii="Times New Roman" w:hAnsi="Times New Roman"/>
        <w:sz w:val="24"/>
        <w:szCs w:val="24"/>
      </w:rPr>
    </w:pPr>
    <w:r w:rsidRPr="00D47673">
      <w:rPr>
        <w:rFonts w:ascii="Times New Roman" w:hAnsi="Times New Roman"/>
        <w:sz w:val="24"/>
        <w:szCs w:val="24"/>
      </w:rPr>
      <w:fldChar w:fldCharType="begin"/>
    </w:r>
    <w:r w:rsidRPr="00D47673">
      <w:rPr>
        <w:rFonts w:ascii="Times New Roman" w:hAnsi="Times New Roman"/>
        <w:sz w:val="24"/>
        <w:szCs w:val="24"/>
      </w:rPr>
      <w:instrText xml:space="preserve"> PAGE   \* MERGEFORMAT </w:instrText>
    </w:r>
    <w:r w:rsidRPr="00D4767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D47673">
      <w:rPr>
        <w:rFonts w:ascii="Times New Roman" w:hAnsi="Times New Roman"/>
        <w:sz w:val="24"/>
        <w:szCs w:val="24"/>
      </w:rPr>
      <w:fldChar w:fldCharType="end"/>
    </w:r>
  </w:p>
  <w:p w:rsidR="009C5DD0" w:rsidRDefault="009C5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D0" w:rsidRPr="001333EB" w:rsidRDefault="009C5DD0">
    <w:pPr>
      <w:pStyle w:val="Header"/>
      <w:jc w:val="center"/>
      <w:rPr>
        <w:rFonts w:ascii="Times New Roman" w:hAnsi="Times New Roman"/>
        <w:sz w:val="24"/>
        <w:szCs w:val="24"/>
      </w:rPr>
    </w:pPr>
  </w:p>
  <w:p w:rsidR="009C5DD0" w:rsidRDefault="009C5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7DB9"/>
    <w:multiLevelType w:val="multilevel"/>
    <w:tmpl w:val="DA1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3B90"/>
    <w:multiLevelType w:val="multilevel"/>
    <w:tmpl w:val="891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96C91"/>
    <w:multiLevelType w:val="multilevel"/>
    <w:tmpl w:val="9FA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839"/>
    <w:rsid w:val="00010451"/>
    <w:rsid w:val="00055F4D"/>
    <w:rsid w:val="000844A9"/>
    <w:rsid w:val="00087617"/>
    <w:rsid w:val="00096FA8"/>
    <w:rsid w:val="000C76DE"/>
    <w:rsid w:val="0013278B"/>
    <w:rsid w:val="001333EB"/>
    <w:rsid w:val="00177378"/>
    <w:rsid w:val="001A0965"/>
    <w:rsid w:val="001B0D1F"/>
    <w:rsid w:val="001B63CF"/>
    <w:rsid w:val="001F4B6C"/>
    <w:rsid w:val="00205960"/>
    <w:rsid w:val="002309AA"/>
    <w:rsid w:val="00237375"/>
    <w:rsid w:val="00260839"/>
    <w:rsid w:val="0027759B"/>
    <w:rsid w:val="002830B0"/>
    <w:rsid w:val="002C0C79"/>
    <w:rsid w:val="00301C68"/>
    <w:rsid w:val="00327CF8"/>
    <w:rsid w:val="003300CB"/>
    <w:rsid w:val="0034539C"/>
    <w:rsid w:val="003766FF"/>
    <w:rsid w:val="00397702"/>
    <w:rsid w:val="003D66ED"/>
    <w:rsid w:val="00404B13"/>
    <w:rsid w:val="00425E65"/>
    <w:rsid w:val="004C114E"/>
    <w:rsid w:val="00582064"/>
    <w:rsid w:val="00582075"/>
    <w:rsid w:val="005A5D69"/>
    <w:rsid w:val="005A6C34"/>
    <w:rsid w:val="005F284C"/>
    <w:rsid w:val="00603C1E"/>
    <w:rsid w:val="00657F6B"/>
    <w:rsid w:val="00685EB9"/>
    <w:rsid w:val="00711CA2"/>
    <w:rsid w:val="007A2EB3"/>
    <w:rsid w:val="007A346F"/>
    <w:rsid w:val="007B6B0B"/>
    <w:rsid w:val="007E39C7"/>
    <w:rsid w:val="00815816"/>
    <w:rsid w:val="00844E35"/>
    <w:rsid w:val="00965062"/>
    <w:rsid w:val="009A5A47"/>
    <w:rsid w:val="009C12E8"/>
    <w:rsid w:val="009C5DD0"/>
    <w:rsid w:val="00A00855"/>
    <w:rsid w:val="00A40241"/>
    <w:rsid w:val="00A60A38"/>
    <w:rsid w:val="00A64208"/>
    <w:rsid w:val="00A84910"/>
    <w:rsid w:val="00A84F0E"/>
    <w:rsid w:val="00A910EF"/>
    <w:rsid w:val="00AC252D"/>
    <w:rsid w:val="00B0255F"/>
    <w:rsid w:val="00B4383E"/>
    <w:rsid w:val="00B868C3"/>
    <w:rsid w:val="00BC5278"/>
    <w:rsid w:val="00BD02F0"/>
    <w:rsid w:val="00BD5D10"/>
    <w:rsid w:val="00C92CA8"/>
    <w:rsid w:val="00CC4008"/>
    <w:rsid w:val="00D07787"/>
    <w:rsid w:val="00D47673"/>
    <w:rsid w:val="00D97473"/>
    <w:rsid w:val="00DE0805"/>
    <w:rsid w:val="00E84F3E"/>
    <w:rsid w:val="00ED2C0D"/>
    <w:rsid w:val="00EE7089"/>
    <w:rsid w:val="00F54E58"/>
    <w:rsid w:val="00F637D6"/>
    <w:rsid w:val="00F70A19"/>
    <w:rsid w:val="00F71DAE"/>
    <w:rsid w:val="00FD124F"/>
    <w:rsid w:val="00FE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8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8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12</Pages>
  <Words>11142</Words>
  <Characters>6351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siltumnīcefekta gāzu emisijas vienību inventarizācijas nacionālo sistēmu" 2. pielikums</dc:title>
  <dc:subject/>
  <dc:creator>Kristīne Zommere-Rotčenkova</dc:creator>
  <cp:keywords/>
  <dc:description>kristine.zommere-rotcenkova@varam.gov.lv, 67026508</dc:description>
  <cp:lastModifiedBy>Erna Ivanova</cp:lastModifiedBy>
  <cp:revision>57</cp:revision>
  <cp:lastPrinted>2012-03-08T10:19:00Z</cp:lastPrinted>
  <dcterms:created xsi:type="dcterms:W3CDTF">2012-01-25T12:36:00Z</dcterms:created>
  <dcterms:modified xsi:type="dcterms:W3CDTF">2012-03-28T08:56:00Z</dcterms:modified>
</cp:coreProperties>
</file>