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40D" w:rsidRPr="009F5BAC" w:rsidRDefault="00A3340D" w:rsidP="00A3340D">
      <w:pPr>
        <w:spacing w:before="120" w:after="60"/>
        <w:ind w:left="720"/>
        <w:jc w:val="right"/>
        <w:rPr>
          <w:sz w:val="24"/>
        </w:rPr>
      </w:pPr>
    </w:p>
    <w:p w:rsidR="00A3340D" w:rsidRPr="009F5BAC" w:rsidRDefault="00A3340D" w:rsidP="00A3340D">
      <w:pPr>
        <w:spacing w:before="120" w:after="60"/>
        <w:ind w:left="720"/>
        <w:jc w:val="right"/>
        <w:rPr>
          <w:sz w:val="24"/>
        </w:rPr>
      </w:pPr>
    </w:p>
    <w:p w:rsidR="00A3340D" w:rsidRPr="009F5BAC" w:rsidRDefault="00A3340D" w:rsidP="00A3340D">
      <w:pPr>
        <w:spacing w:before="120" w:after="60"/>
        <w:ind w:left="720"/>
        <w:jc w:val="right"/>
        <w:rPr>
          <w:sz w:val="24"/>
        </w:rPr>
      </w:pPr>
    </w:p>
    <w:p w:rsidR="00A3340D" w:rsidRPr="009F5BAC" w:rsidRDefault="00A3340D" w:rsidP="00A3340D">
      <w:pPr>
        <w:spacing w:before="120" w:after="60"/>
        <w:ind w:left="720"/>
        <w:jc w:val="right"/>
        <w:rPr>
          <w:sz w:val="24"/>
        </w:rPr>
      </w:pPr>
    </w:p>
    <w:p w:rsidR="00A3340D" w:rsidRPr="009F5BAC" w:rsidRDefault="00A3340D" w:rsidP="00A3340D">
      <w:pPr>
        <w:spacing w:before="120" w:after="60"/>
        <w:ind w:left="720"/>
        <w:jc w:val="right"/>
        <w:rPr>
          <w:sz w:val="24"/>
        </w:rPr>
      </w:pPr>
    </w:p>
    <w:p w:rsidR="00A3340D" w:rsidRPr="009F5BAC" w:rsidRDefault="00A3340D" w:rsidP="00A3340D">
      <w:pPr>
        <w:spacing w:before="120" w:after="60"/>
        <w:ind w:left="720"/>
        <w:jc w:val="right"/>
        <w:rPr>
          <w:sz w:val="24"/>
        </w:rPr>
      </w:pPr>
    </w:p>
    <w:p w:rsidR="00A3340D" w:rsidRPr="009F5BAC" w:rsidRDefault="00A3340D" w:rsidP="00A3340D">
      <w:pPr>
        <w:spacing w:before="120" w:after="60"/>
        <w:ind w:left="720"/>
        <w:jc w:val="right"/>
        <w:rPr>
          <w:sz w:val="24"/>
        </w:rPr>
      </w:pPr>
    </w:p>
    <w:p w:rsidR="00A3340D" w:rsidRPr="009F5BAC" w:rsidRDefault="00A3340D" w:rsidP="00A3340D">
      <w:pPr>
        <w:spacing w:before="120" w:after="60"/>
        <w:ind w:left="720"/>
        <w:jc w:val="right"/>
        <w:rPr>
          <w:sz w:val="24"/>
        </w:rPr>
      </w:pPr>
    </w:p>
    <w:p w:rsidR="00A3340D" w:rsidRPr="009F5BAC" w:rsidRDefault="00A3340D" w:rsidP="00A3340D">
      <w:pPr>
        <w:spacing w:before="120" w:after="60"/>
        <w:ind w:left="720"/>
        <w:jc w:val="right"/>
        <w:rPr>
          <w:sz w:val="24"/>
        </w:rPr>
      </w:pPr>
    </w:p>
    <w:p w:rsidR="00A3340D" w:rsidRPr="009F5BAC" w:rsidRDefault="00A3340D" w:rsidP="00A3340D">
      <w:pPr>
        <w:spacing w:before="120" w:after="60"/>
        <w:ind w:left="720"/>
        <w:jc w:val="right"/>
        <w:rPr>
          <w:sz w:val="24"/>
        </w:rPr>
      </w:pPr>
    </w:p>
    <w:p w:rsidR="00C4159B" w:rsidRPr="009F5BAC" w:rsidRDefault="00C4159B" w:rsidP="00A3340D">
      <w:pPr>
        <w:spacing w:before="120" w:after="60"/>
        <w:ind w:left="1080"/>
        <w:jc w:val="center"/>
        <w:rPr>
          <w:b/>
          <w:sz w:val="24"/>
        </w:rPr>
      </w:pPr>
    </w:p>
    <w:p w:rsidR="00C4159B" w:rsidRPr="009F5BAC" w:rsidRDefault="00C4159B" w:rsidP="00A3340D">
      <w:pPr>
        <w:spacing w:before="120" w:after="60"/>
        <w:ind w:left="1080"/>
        <w:jc w:val="center"/>
        <w:rPr>
          <w:b/>
          <w:sz w:val="24"/>
        </w:rPr>
      </w:pPr>
    </w:p>
    <w:p w:rsidR="00C4159B" w:rsidRPr="009F5BAC" w:rsidRDefault="00C4159B" w:rsidP="00A3340D">
      <w:pPr>
        <w:spacing w:before="120" w:after="60"/>
        <w:ind w:left="1080"/>
        <w:jc w:val="center"/>
        <w:rPr>
          <w:b/>
          <w:sz w:val="24"/>
        </w:rPr>
      </w:pPr>
    </w:p>
    <w:p w:rsidR="00A3340D" w:rsidRPr="009F5BAC" w:rsidRDefault="00A3340D" w:rsidP="00A3340D">
      <w:pPr>
        <w:spacing w:before="120" w:after="60"/>
        <w:ind w:left="1080"/>
        <w:jc w:val="center"/>
        <w:rPr>
          <w:b/>
          <w:sz w:val="24"/>
        </w:rPr>
      </w:pPr>
      <w:r w:rsidRPr="009F5BAC">
        <w:rPr>
          <w:b/>
          <w:sz w:val="24"/>
        </w:rPr>
        <w:t xml:space="preserve">Ainavu politikas pamatnostādņu </w:t>
      </w:r>
    </w:p>
    <w:p w:rsidR="00A3340D" w:rsidRPr="009F5BAC" w:rsidRDefault="00A3340D" w:rsidP="00A3340D">
      <w:pPr>
        <w:spacing w:before="120" w:after="60"/>
        <w:ind w:left="1080"/>
        <w:jc w:val="center"/>
        <w:rPr>
          <w:b/>
          <w:sz w:val="24"/>
        </w:rPr>
      </w:pPr>
      <w:r w:rsidRPr="009F5BAC">
        <w:rPr>
          <w:b/>
          <w:sz w:val="24"/>
        </w:rPr>
        <w:t>2013.-2019.gadam kopsavilkums</w:t>
      </w:r>
    </w:p>
    <w:p w:rsidR="00C4159B" w:rsidRPr="009F5BAC" w:rsidRDefault="00C4159B" w:rsidP="00A3340D">
      <w:pPr>
        <w:spacing w:before="120" w:after="60"/>
        <w:ind w:left="1080"/>
        <w:jc w:val="center"/>
        <w:rPr>
          <w:sz w:val="24"/>
        </w:rPr>
      </w:pPr>
    </w:p>
    <w:p w:rsidR="00C4159B" w:rsidRPr="009F5BAC" w:rsidRDefault="00C4159B" w:rsidP="00A3340D">
      <w:pPr>
        <w:spacing w:before="120" w:after="60"/>
        <w:ind w:left="1080"/>
        <w:jc w:val="center"/>
        <w:rPr>
          <w:sz w:val="24"/>
        </w:rPr>
      </w:pPr>
    </w:p>
    <w:p w:rsidR="00C4159B" w:rsidRPr="009F5BAC" w:rsidRDefault="00C4159B" w:rsidP="00A3340D">
      <w:pPr>
        <w:spacing w:before="120" w:after="60"/>
        <w:ind w:left="1080"/>
        <w:jc w:val="center"/>
        <w:rPr>
          <w:sz w:val="24"/>
        </w:rPr>
      </w:pPr>
    </w:p>
    <w:p w:rsidR="00C4159B" w:rsidRPr="009F5BAC" w:rsidRDefault="00C4159B" w:rsidP="00A3340D">
      <w:pPr>
        <w:spacing w:before="120" w:after="60"/>
        <w:ind w:left="1080"/>
        <w:jc w:val="center"/>
        <w:rPr>
          <w:sz w:val="24"/>
        </w:rPr>
      </w:pPr>
    </w:p>
    <w:p w:rsidR="00C4159B" w:rsidRPr="009F5BAC" w:rsidRDefault="00C4159B" w:rsidP="00A3340D">
      <w:pPr>
        <w:spacing w:before="120" w:after="60"/>
        <w:ind w:left="1080"/>
        <w:jc w:val="center"/>
        <w:rPr>
          <w:sz w:val="24"/>
        </w:rPr>
      </w:pPr>
    </w:p>
    <w:p w:rsidR="00C4159B" w:rsidRPr="009F5BAC" w:rsidRDefault="00C4159B" w:rsidP="00A3340D">
      <w:pPr>
        <w:spacing w:before="120" w:after="60"/>
        <w:ind w:left="1080"/>
        <w:jc w:val="center"/>
        <w:rPr>
          <w:sz w:val="24"/>
        </w:rPr>
      </w:pPr>
    </w:p>
    <w:p w:rsidR="00C4159B" w:rsidRPr="009F5BAC" w:rsidRDefault="00C4159B" w:rsidP="00A3340D">
      <w:pPr>
        <w:spacing w:before="120" w:after="60"/>
        <w:ind w:left="1080"/>
        <w:jc w:val="center"/>
        <w:rPr>
          <w:sz w:val="24"/>
        </w:rPr>
      </w:pPr>
    </w:p>
    <w:p w:rsidR="00C4159B" w:rsidRPr="009F5BAC" w:rsidRDefault="00C4159B" w:rsidP="00A3340D">
      <w:pPr>
        <w:spacing w:before="120" w:after="60"/>
        <w:ind w:left="1080"/>
        <w:jc w:val="center"/>
        <w:rPr>
          <w:sz w:val="24"/>
        </w:rPr>
      </w:pPr>
    </w:p>
    <w:p w:rsidR="00C4159B" w:rsidRPr="009F5BAC" w:rsidRDefault="00C4159B" w:rsidP="00A3340D">
      <w:pPr>
        <w:spacing w:before="120" w:after="60"/>
        <w:ind w:left="1080"/>
        <w:jc w:val="center"/>
        <w:rPr>
          <w:sz w:val="24"/>
        </w:rPr>
      </w:pPr>
    </w:p>
    <w:p w:rsidR="00C4159B" w:rsidRPr="009F5BAC" w:rsidRDefault="00C4159B" w:rsidP="00A3340D">
      <w:pPr>
        <w:spacing w:before="120" w:after="60"/>
        <w:ind w:left="1080"/>
        <w:jc w:val="center"/>
        <w:rPr>
          <w:sz w:val="24"/>
        </w:rPr>
      </w:pPr>
    </w:p>
    <w:p w:rsidR="00C4159B" w:rsidRPr="009F5BAC" w:rsidRDefault="00C4159B" w:rsidP="00A3340D">
      <w:pPr>
        <w:spacing w:before="120" w:after="60"/>
        <w:ind w:left="1080"/>
        <w:jc w:val="center"/>
        <w:rPr>
          <w:sz w:val="24"/>
        </w:rPr>
      </w:pPr>
    </w:p>
    <w:p w:rsidR="00C4159B" w:rsidRPr="009F5BAC" w:rsidRDefault="00C4159B" w:rsidP="00A3340D">
      <w:pPr>
        <w:spacing w:before="120" w:after="60"/>
        <w:ind w:left="1080"/>
        <w:jc w:val="center"/>
        <w:rPr>
          <w:sz w:val="24"/>
        </w:rPr>
      </w:pPr>
    </w:p>
    <w:p w:rsidR="00C4159B" w:rsidRPr="009F5BAC" w:rsidRDefault="00C4159B" w:rsidP="00A3340D">
      <w:pPr>
        <w:spacing w:before="120" w:after="60"/>
        <w:ind w:left="1080"/>
        <w:jc w:val="center"/>
        <w:rPr>
          <w:sz w:val="24"/>
        </w:rPr>
      </w:pPr>
    </w:p>
    <w:p w:rsidR="00C4159B" w:rsidRPr="009F5BAC" w:rsidRDefault="00C4159B" w:rsidP="00A3340D">
      <w:pPr>
        <w:spacing w:before="120" w:after="60"/>
        <w:ind w:left="1080"/>
        <w:jc w:val="center"/>
        <w:rPr>
          <w:sz w:val="24"/>
        </w:rPr>
      </w:pPr>
    </w:p>
    <w:p w:rsidR="002B4B9A" w:rsidRPr="009F5BAC" w:rsidRDefault="00C4159B" w:rsidP="00C4159B">
      <w:pPr>
        <w:spacing w:before="120" w:after="60"/>
        <w:ind w:left="1080"/>
        <w:jc w:val="center"/>
        <w:rPr>
          <w:sz w:val="24"/>
        </w:rPr>
      </w:pPr>
      <w:r w:rsidRPr="009F5BAC">
        <w:rPr>
          <w:sz w:val="24"/>
        </w:rPr>
        <w:t>Rīga, 2013</w:t>
      </w:r>
    </w:p>
    <w:p w:rsidR="00813E4E" w:rsidRDefault="002B4B9A" w:rsidP="005D0FE6">
      <w:pPr>
        <w:spacing w:before="60" w:after="60"/>
        <w:ind w:firstLine="720"/>
        <w:rPr>
          <w:sz w:val="24"/>
          <w:u w:val="single"/>
        </w:rPr>
      </w:pPr>
      <w:r w:rsidRPr="009F5BAC">
        <w:rPr>
          <w:sz w:val="24"/>
          <w:u w:val="single"/>
        </w:rPr>
        <w:br w:type="page"/>
      </w:r>
    </w:p>
    <w:p w:rsidR="00813E4E" w:rsidRDefault="00813E4E" w:rsidP="005D0FE6">
      <w:pPr>
        <w:spacing w:before="60" w:after="60"/>
        <w:ind w:firstLine="720"/>
        <w:rPr>
          <w:sz w:val="24"/>
        </w:rPr>
      </w:pPr>
      <w:r w:rsidRPr="00765722">
        <w:rPr>
          <w:sz w:val="24"/>
        </w:rPr>
        <w:lastRenderedPageBreak/>
        <w:t>Ainavu politikas pamatnostādnes 2013.-2019.gadam</w:t>
      </w:r>
      <w:r w:rsidR="0075297F">
        <w:rPr>
          <w:sz w:val="24"/>
        </w:rPr>
        <w:t xml:space="preserve"> (turpmāk-</w:t>
      </w:r>
      <w:proofErr w:type="spellStart"/>
      <w:r w:rsidR="0075297F">
        <w:rPr>
          <w:sz w:val="24"/>
        </w:rPr>
        <w:t>pmatnostādnes</w:t>
      </w:r>
      <w:proofErr w:type="spellEnd"/>
      <w:r w:rsidR="0075297F">
        <w:rPr>
          <w:sz w:val="24"/>
        </w:rPr>
        <w:t>)</w:t>
      </w:r>
      <w:r w:rsidRPr="00765722">
        <w:rPr>
          <w:sz w:val="24"/>
        </w:rPr>
        <w:t xml:space="preserve"> ir</w:t>
      </w:r>
      <w:r w:rsidRPr="0075297F">
        <w:rPr>
          <w:sz w:val="24"/>
        </w:rPr>
        <w:t xml:space="preserve">  </w:t>
      </w:r>
      <w:r w:rsidRPr="009E63F1">
        <w:rPr>
          <w:sz w:val="24"/>
          <w:u w:val="single"/>
        </w:rPr>
        <w:t>Eiropas Padomes Ainavu konvencijas,</w:t>
      </w:r>
      <w:r w:rsidRPr="009E63F1">
        <w:rPr>
          <w:sz w:val="24"/>
        </w:rPr>
        <w:t xml:space="preserve"> kura Latvijā ir ratificēta 2007.gada </w:t>
      </w:r>
      <w:r w:rsidR="003553E4">
        <w:rPr>
          <w:sz w:val="24"/>
        </w:rPr>
        <w:t xml:space="preserve">29.martā, </w:t>
      </w:r>
      <w:r w:rsidRPr="009E63F1">
        <w:rPr>
          <w:sz w:val="24"/>
        </w:rPr>
        <w:t xml:space="preserve">pieņemot likumu „Par Eiropas ainavu konvenciju”, un </w:t>
      </w:r>
      <w:r w:rsidRPr="009E63F1">
        <w:rPr>
          <w:sz w:val="24"/>
          <w:u w:val="single"/>
        </w:rPr>
        <w:t>Latvijas ilgtspējīgas attīstības stratēģijas „Latvija 2030”</w:t>
      </w:r>
      <w:r w:rsidR="00510C46">
        <w:rPr>
          <w:sz w:val="24"/>
          <w:u w:val="single"/>
        </w:rPr>
        <w:t xml:space="preserve"> (turpmāk- „</w:t>
      </w:r>
      <w:r w:rsidR="00510C46" w:rsidRPr="009E63F1">
        <w:rPr>
          <w:sz w:val="24"/>
          <w:u w:val="single"/>
        </w:rPr>
        <w:t>Latvija 2030</w:t>
      </w:r>
      <w:r w:rsidR="00510C46">
        <w:rPr>
          <w:sz w:val="24"/>
          <w:u w:val="single"/>
        </w:rPr>
        <w:t>”)</w:t>
      </w:r>
      <w:r w:rsidRPr="009E63F1">
        <w:rPr>
          <w:sz w:val="24"/>
          <w:u w:val="single"/>
        </w:rPr>
        <w:t>,</w:t>
      </w:r>
      <w:r w:rsidRPr="009E63F1">
        <w:rPr>
          <w:sz w:val="24"/>
        </w:rPr>
        <w:t xml:space="preserve"> kuru Latvijas Republikas Saeima apstiprināja 2010.gada 10.jūnijā, īstenošanas instruments vidējā termiņā</w:t>
      </w:r>
      <w:r>
        <w:rPr>
          <w:sz w:val="24"/>
        </w:rPr>
        <w:t>. Tās paredz rīcības, kas atbilstoši iepriekšminētajiem dokumentiem ainavu jomā ir jāveic 2013.-2019.gadā.</w:t>
      </w:r>
    </w:p>
    <w:p w:rsidR="005D0FE6" w:rsidRPr="005D0FE6" w:rsidRDefault="005D0FE6" w:rsidP="00C4159B">
      <w:pPr>
        <w:spacing w:before="60" w:after="0"/>
        <w:ind w:firstLine="720"/>
        <w:rPr>
          <w:sz w:val="24"/>
        </w:rPr>
      </w:pPr>
      <w:r w:rsidRPr="005D0FE6">
        <w:rPr>
          <w:rFonts w:ascii="TimesNewRomanPS-ItalicMT" w:hAnsi="TimesNewRomanPS-ItalicMT" w:cs="TimesNewRomanPS-ItalicMT"/>
          <w:iCs/>
          <w:sz w:val="24"/>
        </w:rPr>
        <w:t>P</w:t>
      </w:r>
      <w:r w:rsidRPr="005D0FE6">
        <w:rPr>
          <w:sz w:val="24"/>
        </w:rPr>
        <w:t>amatnostādnes formulē problēmas, kuras esošajās nozaru politikās netiek risinātas vai arī tiek risinātas nepietiekami un, balstoties uz pakāpeniskuma principu,  nosaka tādus ainavu politikas  mērķus</w:t>
      </w:r>
      <w:r w:rsidR="00813E4E">
        <w:rPr>
          <w:sz w:val="24"/>
        </w:rPr>
        <w:t xml:space="preserve"> </w:t>
      </w:r>
      <w:r w:rsidRPr="005D0FE6">
        <w:rPr>
          <w:sz w:val="24"/>
        </w:rPr>
        <w:t xml:space="preserve">un uzdevumus, lai pamatnostādņu īstenošanas laikā </w:t>
      </w:r>
      <w:r w:rsidRPr="005D0FE6">
        <w:rPr>
          <w:rFonts w:ascii="TimesNewRomanPS-ItalicMT" w:hAnsi="TimesNewRomanPS-ItalicMT" w:cs="TimesNewRomanPS-ItalicMT"/>
          <w:iCs/>
          <w:sz w:val="24"/>
        </w:rPr>
        <w:t xml:space="preserve">nepalielinātu </w:t>
      </w:r>
      <w:r w:rsidRPr="005D0FE6">
        <w:rPr>
          <w:rFonts w:ascii="TimesNewRomanPS-ItalicMT" w:hAnsi="TimesNewRomanPS-ItalicMT" w:cs="TimesNewRomanPS-ItalicMT" w:hint="eastAsia"/>
          <w:iCs/>
          <w:sz w:val="24"/>
        </w:rPr>
        <w:t>administratīvo</w:t>
      </w:r>
      <w:r w:rsidRPr="005D0FE6">
        <w:rPr>
          <w:rFonts w:ascii="TimesNewRomanPS-ItalicMT" w:hAnsi="TimesNewRomanPS-ItalicMT" w:cs="TimesNewRomanPS-ItalicMT"/>
          <w:iCs/>
          <w:sz w:val="24"/>
        </w:rPr>
        <w:t xml:space="preserve"> slogu ne vietējām pašvaldībām, ne nozaru ministrijām.</w:t>
      </w:r>
    </w:p>
    <w:p w:rsidR="00A12D4D" w:rsidRDefault="00CF3482" w:rsidP="00C4159B">
      <w:pPr>
        <w:pStyle w:val="ListParagraph"/>
        <w:spacing w:before="60" w:after="0"/>
        <w:ind w:left="0" w:firstLine="720"/>
        <w:rPr>
          <w:sz w:val="24"/>
        </w:rPr>
      </w:pPr>
      <w:r w:rsidRPr="009F5BAC">
        <w:rPr>
          <w:sz w:val="24"/>
        </w:rPr>
        <w:t>Pēdējos 20 gados</w:t>
      </w:r>
      <w:r w:rsidR="00A12D4D" w:rsidRPr="009F5BAC">
        <w:rPr>
          <w:sz w:val="24"/>
        </w:rPr>
        <w:t xml:space="preserve"> nozīmīgu sociālekonomisko pārmaiņu rezultātā </w:t>
      </w:r>
      <w:r w:rsidRPr="009F5BAC">
        <w:rPr>
          <w:sz w:val="24"/>
          <w:u w:val="single"/>
        </w:rPr>
        <w:t>Latvijas ainav</w:t>
      </w:r>
      <w:r w:rsidR="00416130" w:rsidRPr="009F5BAC">
        <w:rPr>
          <w:sz w:val="24"/>
          <w:u w:val="single"/>
        </w:rPr>
        <w:t>as i</w:t>
      </w:r>
      <w:r w:rsidR="00A12D4D" w:rsidRPr="009F5BAC">
        <w:rPr>
          <w:sz w:val="24"/>
          <w:u w:val="single"/>
        </w:rPr>
        <w:t xml:space="preserve">r </w:t>
      </w:r>
      <w:r w:rsidRPr="009F5BAC">
        <w:rPr>
          <w:sz w:val="24"/>
          <w:u w:val="single"/>
        </w:rPr>
        <w:t>būtisk</w:t>
      </w:r>
      <w:r w:rsidR="00416130" w:rsidRPr="009F5BAC">
        <w:rPr>
          <w:sz w:val="24"/>
          <w:u w:val="single"/>
        </w:rPr>
        <w:t>i mainījušās</w:t>
      </w:r>
      <w:r w:rsidR="00813E4E">
        <w:rPr>
          <w:sz w:val="24"/>
          <w:u w:val="single"/>
        </w:rPr>
        <w:t xml:space="preserve"> un </w:t>
      </w:r>
      <w:r w:rsidR="00416130" w:rsidRPr="009F5BAC">
        <w:rPr>
          <w:sz w:val="24"/>
          <w:u w:val="single"/>
        </w:rPr>
        <w:t>ainavu s</w:t>
      </w:r>
      <w:r w:rsidRPr="009F5BAC">
        <w:rPr>
          <w:sz w:val="24"/>
          <w:u w:val="single"/>
        </w:rPr>
        <w:t>ociāl</w:t>
      </w:r>
      <w:r w:rsidR="00416130" w:rsidRPr="009F5BAC">
        <w:rPr>
          <w:sz w:val="24"/>
          <w:u w:val="single"/>
        </w:rPr>
        <w:t>ā</w:t>
      </w:r>
      <w:r w:rsidRPr="009F5BAC">
        <w:rPr>
          <w:sz w:val="24"/>
          <w:u w:val="single"/>
        </w:rPr>
        <w:t>, ekonomisk</w:t>
      </w:r>
      <w:r w:rsidR="00416130" w:rsidRPr="009F5BAC">
        <w:rPr>
          <w:sz w:val="24"/>
          <w:u w:val="single"/>
        </w:rPr>
        <w:t>ā</w:t>
      </w:r>
      <w:r w:rsidRPr="009F5BAC">
        <w:rPr>
          <w:sz w:val="24"/>
          <w:u w:val="single"/>
        </w:rPr>
        <w:t>, ekoloģisk</w:t>
      </w:r>
      <w:r w:rsidR="00416130" w:rsidRPr="009F5BAC">
        <w:rPr>
          <w:sz w:val="24"/>
          <w:u w:val="single"/>
        </w:rPr>
        <w:t>ā</w:t>
      </w:r>
      <w:r w:rsidRPr="009F5BAC">
        <w:rPr>
          <w:sz w:val="24"/>
          <w:u w:val="single"/>
        </w:rPr>
        <w:t xml:space="preserve"> un kultūrvēsturisk</w:t>
      </w:r>
      <w:r w:rsidR="00416130" w:rsidRPr="009F5BAC">
        <w:rPr>
          <w:sz w:val="24"/>
          <w:u w:val="single"/>
        </w:rPr>
        <w:t>ā</w:t>
      </w:r>
      <w:r w:rsidRPr="009F5BAC">
        <w:rPr>
          <w:sz w:val="24"/>
          <w:u w:val="single"/>
        </w:rPr>
        <w:t xml:space="preserve"> vērtīb</w:t>
      </w:r>
      <w:r w:rsidR="00416130" w:rsidRPr="009F5BAC">
        <w:rPr>
          <w:sz w:val="24"/>
          <w:u w:val="single"/>
        </w:rPr>
        <w:t>a</w:t>
      </w:r>
      <w:r w:rsidR="00813E4E">
        <w:rPr>
          <w:sz w:val="24"/>
          <w:u w:val="single"/>
        </w:rPr>
        <w:t xml:space="preserve"> un potenciāls </w:t>
      </w:r>
      <w:r w:rsidRPr="009F5BAC">
        <w:rPr>
          <w:sz w:val="24"/>
          <w:u w:val="single"/>
        </w:rPr>
        <w:t>cilvēku dzīves vides kvalitāt</w:t>
      </w:r>
      <w:r w:rsidR="00813E4E">
        <w:rPr>
          <w:sz w:val="24"/>
          <w:u w:val="single"/>
        </w:rPr>
        <w:t xml:space="preserve">es nodrošināšanai un saimnieciskās darbības attīstībai, </w:t>
      </w:r>
      <w:r w:rsidRPr="009F5BAC">
        <w:rPr>
          <w:sz w:val="24"/>
          <w:u w:val="single"/>
        </w:rPr>
        <w:t>it īpaši tūrisma</w:t>
      </w:r>
      <w:r w:rsidR="00813E4E">
        <w:rPr>
          <w:sz w:val="24"/>
          <w:u w:val="single"/>
        </w:rPr>
        <w:t xml:space="preserve"> jomā</w:t>
      </w:r>
      <w:r w:rsidRPr="009F5BAC">
        <w:rPr>
          <w:sz w:val="24"/>
          <w:u w:val="single"/>
        </w:rPr>
        <w:t>,</w:t>
      </w:r>
      <w:r w:rsidR="00A12D4D" w:rsidRPr="009F5BAC">
        <w:rPr>
          <w:sz w:val="24"/>
          <w:u w:val="single"/>
        </w:rPr>
        <w:t xml:space="preserve"> </w:t>
      </w:r>
      <w:r w:rsidR="00964867" w:rsidRPr="009F5BAC">
        <w:rPr>
          <w:sz w:val="24"/>
          <w:u w:val="single"/>
        </w:rPr>
        <w:t>ir apdraudēt</w:t>
      </w:r>
      <w:r w:rsidR="00813E4E">
        <w:rPr>
          <w:sz w:val="24"/>
          <w:u w:val="single"/>
        </w:rPr>
        <w:t xml:space="preserve">s. </w:t>
      </w:r>
      <w:r w:rsidR="00964867" w:rsidRPr="009F5BAC">
        <w:rPr>
          <w:sz w:val="24"/>
        </w:rPr>
        <w:t xml:space="preserve"> </w:t>
      </w:r>
    </w:p>
    <w:p w:rsidR="00352B24" w:rsidRPr="009F5BAC" w:rsidRDefault="00352B24" w:rsidP="00C4159B">
      <w:pPr>
        <w:pStyle w:val="ListParagraph"/>
        <w:spacing w:before="60" w:after="0"/>
        <w:ind w:left="0" w:firstLine="720"/>
        <w:rPr>
          <w:sz w:val="24"/>
        </w:rPr>
      </w:pPr>
      <w:r w:rsidRPr="009F5BAC">
        <w:rPr>
          <w:sz w:val="24"/>
        </w:rPr>
        <w:t xml:space="preserve">Savukārt </w:t>
      </w:r>
      <w:r w:rsidRPr="009F5BAC">
        <w:rPr>
          <w:sz w:val="24"/>
          <w:u w:val="single"/>
        </w:rPr>
        <w:t xml:space="preserve">esošā ainavu pārvaldība ir </w:t>
      </w:r>
      <w:proofErr w:type="spellStart"/>
      <w:r w:rsidRPr="009F5BAC">
        <w:rPr>
          <w:sz w:val="24"/>
          <w:u w:val="single"/>
        </w:rPr>
        <w:t>mazefektīva</w:t>
      </w:r>
      <w:proofErr w:type="spellEnd"/>
      <w:r w:rsidRPr="009F5BAC">
        <w:rPr>
          <w:sz w:val="24"/>
          <w:u w:val="single"/>
        </w:rPr>
        <w:t xml:space="preserve"> un nenodrošina mērķtiecīgu ainavu </w:t>
      </w:r>
      <w:r w:rsidR="003A3B26">
        <w:rPr>
          <w:sz w:val="24"/>
          <w:u w:val="single"/>
        </w:rPr>
        <w:t xml:space="preserve">potenciāla izmantošanu, ainavu </w:t>
      </w:r>
      <w:r w:rsidRPr="009F5BAC">
        <w:rPr>
          <w:sz w:val="24"/>
          <w:u w:val="single"/>
        </w:rPr>
        <w:t>kvalitātes uzlabošanu un ainavu pārvaldībā iesaistīto pušu sadarbību</w:t>
      </w:r>
      <w:r w:rsidRPr="009F5BAC">
        <w:rPr>
          <w:sz w:val="24"/>
        </w:rPr>
        <w:t xml:space="preserve">. </w:t>
      </w:r>
      <w:r w:rsidR="00271D51" w:rsidRPr="009F5BAC">
        <w:rPr>
          <w:sz w:val="24"/>
        </w:rPr>
        <w:t>T</w:t>
      </w:r>
      <w:r w:rsidRPr="009F5BAC">
        <w:rPr>
          <w:sz w:val="24"/>
        </w:rPr>
        <w:t>eritorijas attīstības plānošanas dokumentos ainavu saglabāšanas un attīstības jautājumi ir ietverti vispārīgā formā</w:t>
      </w:r>
      <w:r w:rsidR="005D0FE6">
        <w:rPr>
          <w:sz w:val="24"/>
        </w:rPr>
        <w:t>, t</w:t>
      </w:r>
      <w:r w:rsidRPr="009F5BAC">
        <w:rPr>
          <w:sz w:val="24"/>
        </w:rPr>
        <w:t xml:space="preserve">ūkst </w:t>
      </w:r>
      <w:r w:rsidR="00604CE3" w:rsidRPr="009F5BAC">
        <w:rPr>
          <w:sz w:val="24"/>
        </w:rPr>
        <w:t>ieteikumu</w:t>
      </w:r>
      <w:r w:rsidR="005D0FE6">
        <w:rPr>
          <w:sz w:val="24"/>
        </w:rPr>
        <w:t xml:space="preserve"> </w:t>
      </w:r>
      <w:r w:rsidRPr="009F5BAC">
        <w:rPr>
          <w:sz w:val="24"/>
        </w:rPr>
        <w:t>ainavu</w:t>
      </w:r>
      <w:r w:rsidR="005D0FE6">
        <w:rPr>
          <w:sz w:val="24"/>
        </w:rPr>
        <w:t xml:space="preserve"> ilgtspējīgai attīstībai</w:t>
      </w:r>
      <w:r w:rsidR="003A3B26">
        <w:rPr>
          <w:sz w:val="24"/>
        </w:rPr>
        <w:t xml:space="preserve">, lai to potenciāls tiktu izmantots maksimāli </w:t>
      </w:r>
      <w:r w:rsidR="005D0FE6">
        <w:rPr>
          <w:sz w:val="24"/>
        </w:rPr>
        <w:t>lietderīg</w:t>
      </w:r>
      <w:r w:rsidR="003A3B26">
        <w:rPr>
          <w:sz w:val="24"/>
        </w:rPr>
        <w:t xml:space="preserve">i. </w:t>
      </w:r>
      <w:r w:rsidR="00271D51" w:rsidRPr="009F5BAC">
        <w:rPr>
          <w:sz w:val="24"/>
        </w:rPr>
        <w:t>Turklāt lēmumu pieņemšanu par ainavu attīstību apgrūtina sabiedrības atšķirīgā izpratne</w:t>
      </w:r>
      <w:r w:rsidR="007428F1" w:rsidRPr="009F5BAC">
        <w:rPr>
          <w:sz w:val="24"/>
        </w:rPr>
        <w:t xml:space="preserve"> par ainavu </w:t>
      </w:r>
      <w:r w:rsidR="00813E4E">
        <w:rPr>
          <w:sz w:val="24"/>
        </w:rPr>
        <w:t xml:space="preserve">nozīmi un </w:t>
      </w:r>
      <w:r w:rsidR="007428F1" w:rsidRPr="009F5BAC">
        <w:rPr>
          <w:sz w:val="24"/>
        </w:rPr>
        <w:t>vērtību</w:t>
      </w:r>
      <w:r w:rsidR="00271D51" w:rsidRPr="009F5BAC">
        <w:rPr>
          <w:sz w:val="24"/>
        </w:rPr>
        <w:t>, kompetentu ainavu pārvaldības speciālistu trūkums un nepietiekam</w:t>
      </w:r>
      <w:r w:rsidR="00964867" w:rsidRPr="009F5BAC">
        <w:rPr>
          <w:sz w:val="24"/>
        </w:rPr>
        <w:t>a</w:t>
      </w:r>
      <w:r w:rsidR="00271D51" w:rsidRPr="009F5BAC">
        <w:rPr>
          <w:sz w:val="24"/>
        </w:rPr>
        <w:t xml:space="preserve"> ainavu pētniecība. </w:t>
      </w:r>
    </w:p>
    <w:p w:rsidR="00271D51" w:rsidRPr="009F5BAC" w:rsidRDefault="00271D51" w:rsidP="00C4159B">
      <w:pPr>
        <w:spacing w:before="60" w:after="0"/>
        <w:ind w:firstLine="720"/>
        <w:rPr>
          <w:sz w:val="24"/>
        </w:rPr>
      </w:pPr>
      <w:r w:rsidRPr="009F5BAC">
        <w:rPr>
          <w:sz w:val="24"/>
        </w:rPr>
        <w:t>L</w:t>
      </w:r>
      <w:r w:rsidR="00813E4E">
        <w:rPr>
          <w:sz w:val="24"/>
        </w:rPr>
        <w:t xml:space="preserve">īdz ar to Latvijas ainavu politikas mērķis ir:  </w:t>
      </w:r>
    </w:p>
    <w:p w:rsidR="00271D51" w:rsidRDefault="00271D51" w:rsidP="00C4159B">
      <w:pPr>
        <w:spacing w:before="60" w:after="0"/>
        <w:rPr>
          <w:sz w:val="24"/>
        </w:rPr>
      </w:pPr>
      <w:r w:rsidRPr="009F5BAC">
        <w:rPr>
          <w:b/>
          <w:sz w:val="24"/>
        </w:rPr>
        <w:t>Daudz</w:t>
      </w:r>
      <w:r w:rsidR="00CF4162" w:rsidRPr="009F5BAC">
        <w:rPr>
          <w:b/>
          <w:sz w:val="24"/>
        </w:rPr>
        <w:t xml:space="preserve">funkcionālas </w:t>
      </w:r>
      <w:r w:rsidRPr="009F5BAC">
        <w:rPr>
          <w:b/>
          <w:sz w:val="24"/>
        </w:rPr>
        <w:t>un kvalitatīvas ainavas, kas visā Latvijā uzlabo cilvēku dzīves kvalitāti</w:t>
      </w:r>
      <w:r w:rsidR="00964867" w:rsidRPr="009F5BAC">
        <w:rPr>
          <w:b/>
          <w:sz w:val="24"/>
        </w:rPr>
        <w:t xml:space="preserve">, </w:t>
      </w:r>
      <w:r w:rsidRPr="009F5BAC">
        <w:rPr>
          <w:b/>
          <w:sz w:val="24"/>
        </w:rPr>
        <w:t>veicina vietu, reģionu un valsts ekonomisko aktivitāti</w:t>
      </w:r>
      <w:r w:rsidR="00964867" w:rsidRPr="009F5BAC">
        <w:rPr>
          <w:b/>
          <w:sz w:val="24"/>
        </w:rPr>
        <w:t xml:space="preserve"> un </w:t>
      </w:r>
      <w:r w:rsidRPr="009F5BAC">
        <w:rPr>
          <w:b/>
          <w:sz w:val="24"/>
        </w:rPr>
        <w:t>atpazīstamību</w:t>
      </w:r>
      <w:r w:rsidR="005C4F4E" w:rsidRPr="009F5BAC">
        <w:rPr>
          <w:b/>
          <w:sz w:val="24"/>
        </w:rPr>
        <w:t xml:space="preserve">, kā arī </w:t>
      </w:r>
      <w:r w:rsidRPr="009F5BAC">
        <w:rPr>
          <w:b/>
          <w:sz w:val="24"/>
        </w:rPr>
        <w:t>nodrošina bioloģisko daudzveidību</w:t>
      </w:r>
      <w:r w:rsidRPr="009F5BAC">
        <w:rPr>
          <w:sz w:val="24"/>
        </w:rPr>
        <w:t xml:space="preserve">. </w:t>
      </w:r>
    </w:p>
    <w:p w:rsidR="009B18EB" w:rsidRDefault="009B18EB" w:rsidP="005D0FE6">
      <w:pPr>
        <w:pStyle w:val="FootnoteText"/>
        <w:spacing w:after="0"/>
        <w:ind w:firstLine="720"/>
        <w:rPr>
          <w:sz w:val="24"/>
          <w:szCs w:val="24"/>
          <w:lang w:val="lv-LV"/>
        </w:rPr>
      </w:pPr>
    </w:p>
    <w:p w:rsidR="007428F1" w:rsidRDefault="00271D51" w:rsidP="005D0FE6">
      <w:pPr>
        <w:pStyle w:val="FootnoteText"/>
        <w:spacing w:after="0"/>
        <w:ind w:firstLine="720"/>
        <w:rPr>
          <w:sz w:val="24"/>
          <w:szCs w:val="24"/>
          <w:lang w:val="lv-LV"/>
        </w:rPr>
      </w:pPr>
      <w:r w:rsidRPr="005D0FE6">
        <w:rPr>
          <w:sz w:val="24"/>
          <w:szCs w:val="24"/>
          <w:lang w:val="lv-LV"/>
        </w:rPr>
        <w:t xml:space="preserve">Lai sasniegtu </w:t>
      </w:r>
      <w:r w:rsidR="00AD1323" w:rsidRPr="005D0FE6">
        <w:rPr>
          <w:sz w:val="24"/>
          <w:szCs w:val="24"/>
          <w:lang w:val="lv-LV"/>
        </w:rPr>
        <w:t xml:space="preserve">šo </w:t>
      </w:r>
      <w:r w:rsidRPr="005D0FE6">
        <w:rPr>
          <w:sz w:val="24"/>
          <w:szCs w:val="24"/>
          <w:lang w:val="lv-LV"/>
        </w:rPr>
        <w:t xml:space="preserve">politikas mērķi, tiek izvirzīti </w:t>
      </w:r>
      <w:r w:rsidR="00D867DE" w:rsidRPr="005D0FE6">
        <w:rPr>
          <w:sz w:val="24"/>
          <w:szCs w:val="24"/>
          <w:lang w:val="lv-LV"/>
        </w:rPr>
        <w:t xml:space="preserve">trīs </w:t>
      </w:r>
      <w:proofErr w:type="spellStart"/>
      <w:r w:rsidRPr="005D0FE6">
        <w:rPr>
          <w:sz w:val="24"/>
          <w:szCs w:val="24"/>
          <w:lang w:val="lv-LV"/>
        </w:rPr>
        <w:t>apakšmērķi</w:t>
      </w:r>
      <w:proofErr w:type="spellEnd"/>
      <w:r w:rsidRPr="005D0FE6">
        <w:rPr>
          <w:sz w:val="24"/>
          <w:szCs w:val="24"/>
          <w:lang w:val="lv-LV"/>
        </w:rPr>
        <w:t xml:space="preserve"> un</w:t>
      </w:r>
      <w:r w:rsidR="00813E4E">
        <w:rPr>
          <w:sz w:val="24"/>
          <w:szCs w:val="24"/>
          <w:lang w:val="lv-LV"/>
        </w:rPr>
        <w:t xml:space="preserve"> virk</w:t>
      </w:r>
      <w:r w:rsidR="00C1359F">
        <w:rPr>
          <w:sz w:val="24"/>
          <w:szCs w:val="24"/>
          <w:lang w:val="lv-LV"/>
        </w:rPr>
        <w:t xml:space="preserve">ne uzdevumu, no kuriem galvenie ir ietverti </w:t>
      </w:r>
      <w:r w:rsidRPr="005D0FE6">
        <w:rPr>
          <w:sz w:val="24"/>
          <w:szCs w:val="24"/>
          <w:lang w:val="lv-LV"/>
        </w:rPr>
        <w:t>tabul</w:t>
      </w:r>
      <w:r w:rsidR="00C1359F">
        <w:rPr>
          <w:sz w:val="24"/>
          <w:szCs w:val="24"/>
          <w:lang w:val="lv-LV"/>
        </w:rPr>
        <w:t xml:space="preserve">ā. </w:t>
      </w:r>
      <w:r w:rsidRPr="005D0FE6">
        <w:rPr>
          <w:sz w:val="24"/>
          <w:szCs w:val="24"/>
          <w:lang w:val="lv-LV"/>
        </w:rPr>
        <w:t xml:space="preserve"> </w:t>
      </w:r>
    </w:p>
    <w:p w:rsidR="003B2F1C" w:rsidRPr="009F5BAC" w:rsidRDefault="003B2F1C" w:rsidP="005D0FE6">
      <w:pPr>
        <w:pStyle w:val="FootnoteText"/>
        <w:spacing w:after="0"/>
        <w:ind w:firstLine="720"/>
        <w:rPr>
          <w:sz w:val="24"/>
          <w:szCs w:val="24"/>
          <w:u w:val="single"/>
          <w:lang w:val="lv-LV"/>
        </w:rPr>
      </w:pPr>
    </w:p>
    <w:p w:rsidR="00624B5D" w:rsidRPr="009F5BAC" w:rsidRDefault="00624B5D" w:rsidP="007428F1">
      <w:pPr>
        <w:spacing w:before="120" w:after="0"/>
        <w:jc w:val="right"/>
        <w:rPr>
          <w:sz w:val="24"/>
        </w:rPr>
      </w:pPr>
      <w:r w:rsidRPr="009F5BAC">
        <w:rPr>
          <w:sz w:val="24"/>
        </w:rPr>
        <w:t>Tabula</w:t>
      </w:r>
    </w:p>
    <w:p w:rsidR="00624B5D" w:rsidRPr="009F5BAC" w:rsidRDefault="00624B5D" w:rsidP="00624B5D">
      <w:pPr>
        <w:spacing w:before="120" w:after="0"/>
        <w:jc w:val="center"/>
        <w:rPr>
          <w:b/>
          <w:sz w:val="24"/>
        </w:rPr>
      </w:pPr>
      <w:r w:rsidRPr="009F5BAC">
        <w:rPr>
          <w:b/>
          <w:sz w:val="24"/>
        </w:rPr>
        <w:t>Ainavu politikas mērķi, rīcības virzieni un galvenie uzdevumi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1985"/>
        <w:gridCol w:w="4019"/>
      </w:tblGrid>
      <w:tr w:rsidR="00BE716D" w:rsidRPr="009F5BAC" w:rsidTr="00DC65B3">
        <w:tc>
          <w:tcPr>
            <w:tcW w:w="2518" w:type="dxa"/>
          </w:tcPr>
          <w:p w:rsidR="00BE716D" w:rsidRPr="009F5BAC" w:rsidRDefault="00BE716D" w:rsidP="00F93070">
            <w:pPr>
              <w:spacing w:after="0"/>
              <w:rPr>
                <w:b/>
                <w:sz w:val="24"/>
              </w:rPr>
            </w:pPr>
            <w:proofErr w:type="spellStart"/>
            <w:r w:rsidRPr="009F5BAC">
              <w:rPr>
                <w:sz w:val="24"/>
              </w:rPr>
              <w:t>Apakšmērķis</w:t>
            </w:r>
            <w:proofErr w:type="spellEnd"/>
          </w:p>
        </w:tc>
        <w:tc>
          <w:tcPr>
            <w:tcW w:w="1985" w:type="dxa"/>
          </w:tcPr>
          <w:p w:rsidR="00BE716D" w:rsidRPr="009F5BAC" w:rsidRDefault="00BE716D" w:rsidP="00F93070">
            <w:pPr>
              <w:spacing w:after="0"/>
              <w:rPr>
                <w:b/>
                <w:sz w:val="24"/>
              </w:rPr>
            </w:pPr>
            <w:r w:rsidRPr="009F5BAC">
              <w:rPr>
                <w:rFonts w:ascii="TimesNewRomanPS-ItalicMT" w:eastAsia="Calibri" w:hAnsi="TimesNewRomanPS-ItalicMT" w:cs="TimesNewRomanPS-ItalicMT"/>
                <w:iCs/>
                <w:sz w:val="24"/>
              </w:rPr>
              <w:t>Rīcības virziens</w:t>
            </w:r>
          </w:p>
        </w:tc>
        <w:tc>
          <w:tcPr>
            <w:tcW w:w="4019" w:type="dxa"/>
          </w:tcPr>
          <w:p w:rsidR="00BE716D" w:rsidRPr="009F5BAC" w:rsidRDefault="00BE716D" w:rsidP="00F93070">
            <w:pPr>
              <w:spacing w:after="0"/>
              <w:rPr>
                <w:b/>
                <w:sz w:val="24"/>
              </w:rPr>
            </w:pPr>
            <w:r w:rsidRPr="009F5BAC">
              <w:rPr>
                <w:rFonts w:ascii="TimesNewRomanPS-ItalicMT" w:eastAsia="Calibri" w:hAnsi="TimesNewRomanPS-ItalicMT" w:cs="TimesNewRomanPS-ItalicMT"/>
                <w:iCs/>
                <w:sz w:val="24"/>
              </w:rPr>
              <w:t xml:space="preserve">Galvenie uzdevumi </w:t>
            </w:r>
          </w:p>
        </w:tc>
      </w:tr>
      <w:tr w:rsidR="009F5BAC" w:rsidRPr="009F5BAC" w:rsidTr="00DC65B3">
        <w:tc>
          <w:tcPr>
            <w:tcW w:w="2518" w:type="dxa"/>
          </w:tcPr>
          <w:p w:rsidR="009F5BAC" w:rsidRPr="009F5BAC" w:rsidRDefault="009F5BAC" w:rsidP="00C1359F">
            <w:pPr>
              <w:spacing w:after="0"/>
              <w:jc w:val="left"/>
              <w:rPr>
                <w:sz w:val="24"/>
              </w:rPr>
            </w:pPr>
            <w:r w:rsidRPr="009F5BAC">
              <w:rPr>
                <w:sz w:val="24"/>
              </w:rPr>
              <w:t>1.Īstenotas N</w:t>
            </w:r>
            <w:r w:rsidR="003B2F1C">
              <w:rPr>
                <w:sz w:val="24"/>
              </w:rPr>
              <w:t xml:space="preserve">acionālajā attīstības plānā 2014-2020.gadam </w:t>
            </w:r>
            <w:r w:rsidRPr="009F5BAC">
              <w:rPr>
                <w:sz w:val="24"/>
              </w:rPr>
              <w:t>un topošajos ZM</w:t>
            </w:r>
            <w:r w:rsidR="003B2F1C">
              <w:rPr>
                <w:rStyle w:val="FootnoteReference"/>
                <w:sz w:val="24"/>
              </w:rPr>
              <w:footnoteReference w:id="1"/>
            </w:r>
            <w:r w:rsidRPr="009F5BAC">
              <w:rPr>
                <w:sz w:val="24"/>
              </w:rPr>
              <w:t>, KM</w:t>
            </w:r>
            <w:r w:rsidR="003B2F1C">
              <w:rPr>
                <w:rStyle w:val="FootnoteReference"/>
                <w:sz w:val="24"/>
              </w:rPr>
              <w:footnoteReference w:id="2"/>
            </w:r>
            <w:r w:rsidRPr="009F5BAC">
              <w:rPr>
                <w:sz w:val="24"/>
              </w:rPr>
              <w:t>, VARAM</w:t>
            </w:r>
            <w:r w:rsidR="003B2F1C">
              <w:rPr>
                <w:rStyle w:val="FootnoteReference"/>
                <w:sz w:val="24"/>
              </w:rPr>
              <w:footnoteReference w:id="3"/>
            </w:r>
            <w:r w:rsidRPr="009F5BAC">
              <w:rPr>
                <w:sz w:val="24"/>
              </w:rPr>
              <w:t xml:space="preserve"> politikas plānošanas dokumentos noteiktās rīcības</w:t>
            </w:r>
            <w:r w:rsidR="00C1359F">
              <w:rPr>
                <w:sz w:val="24"/>
              </w:rPr>
              <w:t xml:space="preserve">, </w:t>
            </w:r>
            <w:r w:rsidR="00C1359F" w:rsidRPr="009F5BAC">
              <w:rPr>
                <w:sz w:val="24"/>
              </w:rPr>
              <w:t xml:space="preserve">kas vērstas uz  ainavu </w:t>
            </w:r>
            <w:r w:rsidR="00C1359F" w:rsidRPr="009F5BAC">
              <w:rPr>
                <w:sz w:val="24"/>
              </w:rPr>
              <w:lastRenderedPageBreak/>
              <w:t>kvalitātes uzlabošanu</w:t>
            </w:r>
            <w:r w:rsidR="00C1359F">
              <w:rPr>
                <w:sz w:val="24"/>
              </w:rPr>
              <w:t xml:space="preserve">. </w:t>
            </w:r>
            <w:r w:rsidRPr="009F5BAC">
              <w:rPr>
                <w:sz w:val="24"/>
              </w:rPr>
              <w:t xml:space="preserve"> </w:t>
            </w:r>
          </w:p>
        </w:tc>
        <w:tc>
          <w:tcPr>
            <w:tcW w:w="1985" w:type="dxa"/>
          </w:tcPr>
          <w:p w:rsidR="009F5BAC" w:rsidRPr="009F5BAC" w:rsidRDefault="009F5BAC" w:rsidP="000A5D69">
            <w:pPr>
              <w:spacing w:after="0"/>
              <w:jc w:val="left"/>
              <w:rPr>
                <w:sz w:val="24"/>
              </w:rPr>
            </w:pPr>
            <w:r w:rsidRPr="009F5BAC">
              <w:rPr>
                <w:sz w:val="24"/>
              </w:rPr>
              <w:lastRenderedPageBreak/>
              <w:t>1.</w:t>
            </w:r>
            <w:r w:rsidR="003B2F1C" w:rsidRPr="009F5BAC">
              <w:rPr>
                <w:sz w:val="24"/>
              </w:rPr>
              <w:t xml:space="preserve"> N</w:t>
            </w:r>
            <w:r w:rsidR="003B2F1C">
              <w:rPr>
                <w:sz w:val="24"/>
              </w:rPr>
              <w:t>acionālajā attīstības plānā 2014-2020.gadam</w:t>
            </w:r>
            <w:r w:rsidRPr="009F5BAC">
              <w:rPr>
                <w:sz w:val="24"/>
              </w:rPr>
              <w:t xml:space="preserve"> un citos politikas plānošanas dokumentos noteikto rīcību, kas vērstas uz  </w:t>
            </w:r>
            <w:r w:rsidRPr="009F5BAC">
              <w:rPr>
                <w:sz w:val="24"/>
              </w:rPr>
              <w:lastRenderedPageBreak/>
              <w:t>ainavu kvalitātes uzlabošanu</w:t>
            </w:r>
            <w:r w:rsidR="000A5D69">
              <w:rPr>
                <w:sz w:val="24"/>
              </w:rPr>
              <w:t xml:space="preserve">, </w:t>
            </w:r>
            <w:r w:rsidR="000A5D69" w:rsidRPr="009F5BAC">
              <w:rPr>
                <w:sz w:val="24"/>
              </w:rPr>
              <w:t xml:space="preserve"> īstenošana</w:t>
            </w:r>
            <w:r w:rsidR="000A5D69">
              <w:rPr>
                <w:sz w:val="24"/>
              </w:rPr>
              <w:t>.</w:t>
            </w:r>
          </w:p>
        </w:tc>
        <w:tc>
          <w:tcPr>
            <w:tcW w:w="4019" w:type="dxa"/>
          </w:tcPr>
          <w:p w:rsidR="009F5BAC" w:rsidRPr="009F5BAC" w:rsidRDefault="003A3B26" w:rsidP="00C1359F">
            <w:pPr>
              <w:spacing w:after="0"/>
              <w:rPr>
                <w:sz w:val="24"/>
              </w:rPr>
            </w:pPr>
            <w:r>
              <w:rPr>
                <w:sz w:val="24"/>
              </w:rPr>
              <w:lastRenderedPageBreak/>
              <w:t>Īstenot</w:t>
            </w:r>
            <w:r w:rsidR="00C1359F">
              <w:rPr>
                <w:sz w:val="24"/>
              </w:rPr>
              <w:t xml:space="preserve"> </w:t>
            </w:r>
            <w:r w:rsidR="003B2F1C" w:rsidRPr="009F5BAC">
              <w:rPr>
                <w:sz w:val="24"/>
              </w:rPr>
              <w:t>N</w:t>
            </w:r>
            <w:r w:rsidR="003B2F1C">
              <w:rPr>
                <w:sz w:val="24"/>
              </w:rPr>
              <w:t xml:space="preserve">acionālajā attīstības plānā 2014-2020.gadam </w:t>
            </w:r>
            <w:r w:rsidR="00C1359F">
              <w:rPr>
                <w:sz w:val="24"/>
              </w:rPr>
              <w:t xml:space="preserve">un citos politikas dokumentos noteiktās rīcības, </w:t>
            </w:r>
            <w:r w:rsidR="00C1359F" w:rsidRPr="009F5BAC">
              <w:rPr>
                <w:sz w:val="24"/>
              </w:rPr>
              <w:t xml:space="preserve">kas vērstas uz  ainavu kvalitātes </w:t>
            </w:r>
            <w:r w:rsidR="00C1359F">
              <w:rPr>
                <w:sz w:val="24"/>
              </w:rPr>
              <w:t xml:space="preserve">uzlabošanu. </w:t>
            </w:r>
          </w:p>
        </w:tc>
      </w:tr>
      <w:tr w:rsidR="00C1359F" w:rsidRPr="009F5BAC" w:rsidTr="009F5BAC">
        <w:trPr>
          <w:trHeight w:val="828"/>
        </w:trPr>
        <w:tc>
          <w:tcPr>
            <w:tcW w:w="2518" w:type="dxa"/>
            <w:vMerge w:val="restart"/>
          </w:tcPr>
          <w:p w:rsidR="00C1359F" w:rsidRPr="009F5BAC" w:rsidRDefault="00C1359F" w:rsidP="003553E4">
            <w:pPr>
              <w:jc w:val="left"/>
              <w:rPr>
                <w:sz w:val="24"/>
              </w:rPr>
            </w:pPr>
            <w:r w:rsidRPr="009F5BAC">
              <w:rPr>
                <w:sz w:val="24"/>
              </w:rPr>
              <w:lastRenderedPageBreak/>
              <w:t xml:space="preserve">2.Efektīva ainavu pārvaldība, kas vērsta </w:t>
            </w:r>
            <w:r w:rsidR="003553E4" w:rsidRPr="009F5BAC">
              <w:rPr>
                <w:sz w:val="24"/>
              </w:rPr>
              <w:t>ainavu politikas integrēšanu visu līmeņu teritorijas attīstības plānošanā</w:t>
            </w:r>
            <w:r w:rsidR="003553E4">
              <w:rPr>
                <w:sz w:val="24"/>
              </w:rPr>
              <w:t xml:space="preserve"> un </w:t>
            </w:r>
            <w:r w:rsidRPr="009F5BAC">
              <w:rPr>
                <w:sz w:val="24"/>
              </w:rPr>
              <w:t>labu sadarbību publiskās pārvaldes, izglītības, pētniecisko institūciju un sabiedrības starpā</w:t>
            </w:r>
            <w:r w:rsidR="003553E4">
              <w:rPr>
                <w:sz w:val="24"/>
              </w:rPr>
              <w:t>.</w:t>
            </w:r>
            <w:r w:rsidRPr="009F5BAC">
              <w:rPr>
                <w:sz w:val="24"/>
              </w:rPr>
              <w:t xml:space="preserve"> </w:t>
            </w:r>
          </w:p>
        </w:tc>
        <w:tc>
          <w:tcPr>
            <w:tcW w:w="1985" w:type="dxa"/>
            <w:vMerge w:val="restart"/>
          </w:tcPr>
          <w:p w:rsidR="00C1359F" w:rsidRPr="009F5BAC" w:rsidRDefault="00C1359F" w:rsidP="009F5BAC">
            <w:pPr>
              <w:jc w:val="left"/>
              <w:rPr>
                <w:sz w:val="24"/>
              </w:rPr>
            </w:pPr>
            <w:r w:rsidRPr="009F5BAC">
              <w:rPr>
                <w:sz w:val="24"/>
              </w:rPr>
              <w:t>2.Ainavu pārvaldības uzlabošana</w:t>
            </w:r>
            <w:r w:rsidR="000A5D69">
              <w:rPr>
                <w:sz w:val="24"/>
              </w:rPr>
              <w:t>.</w:t>
            </w:r>
            <w:r w:rsidRPr="009F5BAC">
              <w:rPr>
                <w:sz w:val="24"/>
              </w:rPr>
              <w:t xml:space="preserve"> </w:t>
            </w:r>
          </w:p>
        </w:tc>
        <w:tc>
          <w:tcPr>
            <w:tcW w:w="4019" w:type="dxa"/>
          </w:tcPr>
          <w:p w:rsidR="00C1359F" w:rsidRPr="009F5BAC" w:rsidRDefault="00C1359F" w:rsidP="00C1359F">
            <w:pPr>
              <w:spacing w:after="0"/>
              <w:rPr>
                <w:sz w:val="24"/>
              </w:rPr>
            </w:pPr>
            <w:r>
              <w:rPr>
                <w:sz w:val="24"/>
              </w:rPr>
              <w:t>Apzināt Latvijas ainavu potenciālu, novērtējot ainavas visā valsts teritorijā.</w:t>
            </w:r>
          </w:p>
        </w:tc>
      </w:tr>
      <w:tr w:rsidR="00C1359F" w:rsidRPr="009F5BAC" w:rsidTr="009F5BAC">
        <w:trPr>
          <w:trHeight w:val="828"/>
        </w:trPr>
        <w:tc>
          <w:tcPr>
            <w:tcW w:w="2518" w:type="dxa"/>
            <w:vMerge/>
          </w:tcPr>
          <w:p w:rsidR="00C1359F" w:rsidRPr="009F5BAC" w:rsidRDefault="00C1359F" w:rsidP="009F5BAC">
            <w:pPr>
              <w:spacing w:after="0"/>
              <w:jc w:val="left"/>
              <w:rPr>
                <w:b/>
                <w:sz w:val="24"/>
              </w:rPr>
            </w:pPr>
          </w:p>
        </w:tc>
        <w:tc>
          <w:tcPr>
            <w:tcW w:w="1985" w:type="dxa"/>
            <w:vMerge/>
          </w:tcPr>
          <w:p w:rsidR="00C1359F" w:rsidRPr="009F5BAC" w:rsidRDefault="00C1359F" w:rsidP="009F5BAC">
            <w:pPr>
              <w:spacing w:after="0"/>
              <w:jc w:val="left"/>
              <w:rPr>
                <w:b/>
                <w:sz w:val="24"/>
              </w:rPr>
            </w:pPr>
          </w:p>
        </w:tc>
        <w:tc>
          <w:tcPr>
            <w:tcW w:w="4019" w:type="dxa"/>
          </w:tcPr>
          <w:p w:rsidR="00C1359F" w:rsidRPr="009F5BAC" w:rsidRDefault="00C1359F" w:rsidP="002E0D06">
            <w:pPr>
              <w:spacing w:after="0"/>
              <w:rPr>
                <w:b/>
                <w:sz w:val="24"/>
              </w:rPr>
            </w:pPr>
            <w:r w:rsidRPr="009F5BAC">
              <w:rPr>
                <w:sz w:val="24"/>
              </w:rPr>
              <w:t xml:space="preserve">Noteikt nacionālas nozīmes ainaviski vērtīgās teritorijas un </w:t>
            </w:r>
            <w:r>
              <w:rPr>
                <w:sz w:val="24"/>
              </w:rPr>
              <w:t xml:space="preserve">izstrādāt </w:t>
            </w:r>
            <w:r w:rsidR="002E0D06">
              <w:rPr>
                <w:sz w:val="24"/>
              </w:rPr>
              <w:t xml:space="preserve">integrētas </w:t>
            </w:r>
            <w:r>
              <w:rPr>
                <w:sz w:val="24"/>
              </w:rPr>
              <w:t xml:space="preserve">vadlīnijas </w:t>
            </w:r>
            <w:r w:rsidR="002E0D06">
              <w:rPr>
                <w:sz w:val="24"/>
              </w:rPr>
              <w:t xml:space="preserve">konkrētu nacionālas nozīmes ainaviski vērtīgu teritoriju </w:t>
            </w:r>
            <w:r>
              <w:rPr>
                <w:sz w:val="24"/>
              </w:rPr>
              <w:t>attīstībai un plānošanai.</w:t>
            </w:r>
          </w:p>
        </w:tc>
      </w:tr>
      <w:tr w:rsidR="00C1359F" w:rsidRPr="009F5BAC" w:rsidTr="00862667">
        <w:trPr>
          <w:trHeight w:val="1639"/>
        </w:trPr>
        <w:tc>
          <w:tcPr>
            <w:tcW w:w="2518" w:type="dxa"/>
            <w:vMerge/>
          </w:tcPr>
          <w:p w:rsidR="00C1359F" w:rsidRPr="009F5BAC" w:rsidRDefault="00C1359F" w:rsidP="00F93070">
            <w:pPr>
              <w:spacing w:after="0"/>
              <w:jc w:val="left"/>
              <w:rPr>
                <w:b/>
                <w:sz w:val="24"/>
              </w:rPr>
            </w:pPr>
          </w:p>
        </w:tc>
        <w:tc>
          <w:tcPr>
            <w:tcW w:w="1985" w:type="dxa"/>
            <w:vMerge/>
          </w:tcPr>
          <w:p w:rsidR="00C1359F" w:rsidRPr="009F5BAC" w:rsidRDefault="00C1359F" w:rsidP="00F93070">
            <w:pPr>
              <w:spacing w:after="0"/>
              <w:jc w:val="left"/>
              <w:rPr>
                <w:b/>
                <w:sz w:val="24"/>
              </w:rPr>
            </w:pPr>
          </w:p>
        </w:tc>
        <w:tc>
          <w:tcPr>
            <w:tcW w:w="4019" w:type="dxa"/>
          </w:tcPr>
          <w:p w:rsidR="00C1359F" w:rsidRPr="009F5BAC" w:rsidRDefault="00C1359F" w:rsidP="00F93070">
            <w:pPr>
              <w:spacing w:after="0"/>
              <w:rPr>
                <w:sz w:val="24"/>
              </w:rPr>
            </w:pPr>
            <w:r w:rsidRPr="009F5BAC">
              <w:rPr>
                <w:sz w:val="24"/>
              </w:rPr>
              <w:t>Sagatavot elektronisku Latvijas ainavu atlantu.</w:t>
            </w:r>
          </w:p>
        </w:tc>
      </w:tr>
      <w:tr w:rsidR="009E4329" w:rsidRPr="009F5BAC" w:rsidTr="00DC65B3">
        <w:tc>
          <w:tcPr>
            <w:tcW w:w="2518" w:type="dxa"/>
            <w:vMerge w:val="restart"/>
          </w:tcPr>
          <w:p w:rsidR="009E4329" w:rsidRPr="009F5BAC" w:rsidRDefault="009F5BAC" w:rsidP="009F5BAC">
            <w:pPr>
              <w:jc w:val="left"/>
              <w:rPr>
                <w:sz w:val="24"/>
              </w:rPr>
            </w:pPr>
            <w:r w:rsidRPr="009F5BAC">
              <w:rPr>
                <w:sz w:val="24"/>
              </w:rPr>
              <w:t>3.</w:t>
            </w:r>
            <w:r w:rsidR="009E4329" w:rsidRPr="009F5BAC">
              <w:rPr>
                <w:sz w:val="24"/>
              </w:rPr>
              <w:t>Par ainavu jautājumiem informēta un izglītota sabiedrība, kompetenti ainavu pārvaldības speciālisti un pētnieki.</w:t>
            </w:r>
          </w:p>
        </w:tc>
        <w:tc>
          <w:tcPr>
            <w:tcW w:w="1985" w:type="dxa"/>
            <w:vMerge w:val="restart"/>
          </w:tcPr>
          <w:p w:rsidR="009E4329" w:rsidRPr="009F5BAC" w:rsidRDefault="009F5BAC" w:rsidP="009F5BAC">
            <w:pPr>
              <w:jc w:val="left"/>
              <w:rPr>
                <w:sz w:val="24"/>
              </w:rPr>
            </w:pPr>
            <w:r w:rsidRPr="009F5BAC">
              <w:rPr>
                <w:sz w:val="24"/>
              </w:rPr>
              <w:t>3.</w:t>
            </w:r>
            <w:r w:rsidR="009E4329" w:rsidRPr="009F5BAC">
              <w:rPr>
                <w:sz w:val="24"/>
              </w:rPr>
              <w:t xml:space="preserve"> Izpratnes par ainavu vērtību </w:t>
            </w:r>
            <w:r w:rsidRPr="009F5BAC">
              <w:rPr>
                <w:sz w:val="24"/>
              </w:rPr>
              <w:t xml:space="preserve">un zināšanu </w:t>
            </w:r>
            <w:r w:rsidR="009E4329" w:rsidRPr="009F5BAC">
              <w:rPr>
                <w:sz w:val="24"/>
              </w:rPr>
              <w:t>veidošana, speciālistu apmācības un pētniecības uzlabošana.</w:t>
            </w:r>
          </w:p>
        </w:tc>
        <w:tc>
          <w:tcPr>
            <w:tcW w:w="4019" w:type="dxa"/>
          </w:tcPr>
          <w:p w:rsidR="009E4329" w:rsidRPr="009F5BAC" w:rsidRDefault="009E4329" w:rsidP="009E4329">
            <w:pPr>
              <w:pStyle w:val="ListParagraph"/>
              <w:spacing w:after="0"/>
              <w:ind w:left="0"/>
              <w:rPr>
                <w:sz w:val="24"/>
              </w:rPr>
            </w:pPr>
            <w:r w:rsidRPr="009F5BAC">
              <w:rPr>
                <w:sz w:val="24"/>
              </w:rPr>
              <w:t>Pilnveidot VARAM tīmekļa vietnes sadaļu par Ainavu politiku</w:t>
            </w:r>
            <w:r w:rsidR="00D24C09" w:rsidRPr="009F5BAC">
              <w:rPr>
                <w:sz w:val="24"/>
              </w:rPr>
              <w:t>.</w:t>
            </w:r>
            <w:r w:rsidRPr="009F5BAC">
              <w:rPr>
                <w:sz w:val="24"/>
              </w:rPr>
              <w:t xml:space="preserve"> </w:t>
            </w:r>
          </w:p>
        </w:tc>
      </w:tr>
      <w:tr w:rsidR="009E4329" w:rsidRPr="009F5BAC" w:rsidTr="00DC65B3">
        <w:tc>
          <w:tcPr>
            <w:tcW w:w="2518" w:type="dxa"/>
            <w:vMerge/>
          </w:tcPr>
          <w:p w:rsidR="009E4329" w:rsidRPr="009F5BAC" w:rsidRDefault="009E4329" w:rsidP="00F93070">
            <w:pPr>
              <w:spacing w:after="0"/>
              <w:jc w:val="left"/>
              <w:rPr>
                <w:b/>
                <w:sz w:val="24"/>
              </w:rPr>
            </w:pPr>
          </w:p>
        </w:tc>
        <w:tc>
          <w:tcPr>
            <w:tcW w:w="1985" w:type="dxa"/>
            <w:vMerge/>
          </w:tcPr>
          <w:p w:rsidR="009E4329" w:rsidRPr="009F5BAC" w:rsidRDefault="009E4329" w:rsidP="00F93070">
            <w:pPr>
              <w:spacing w:after="0"/>
              <w:jc w:val="left"/>
              <w:rPr>
                <w:b/>
                <w:sz w:val="24"/>
              </w:rPr>
            </w:pPr>
          </w:p>
        </w:tc>
        <w:tc>
          <w:tcPr>
            <w:tcW w:w="4019" w:type="dxa"/>
          </w:tcPr>
          <w:p w:rsidR="009E4329" w:rsidRPr="009F5BAC" w:rsidRDefault="009E4329" w:rsidP="00C1359F">
            <w:pPr>
              <w:pStyle w:val="ListParagraph"/>
              <w:spacing w:after="0"/>
              <w:ind w:left="0"/>
              <w:rPr>
                <w:b/>
                <w:sz w:val="24"/>
              </w:rPr>
            </w:pPr>
            <w:r w:rsidRPr="009F5BAC">
              <w:rPr>
                <w:sz w:val="24"/>
              </w:rPr>
              <w:t>Izstrādāt metodiskas vadlīnijas par ainavu plānošanu reģionālajā un vietējā līmenī.</w:t>
            </w:r>
          </w:p>
        </w:tc>
      </w:tr>
      <w:tr w:rsidR="009E4329" w:rsidRPr="009F5BAC" w:rsidTr="00DC65B3">
        <w:trPr>
          <w:trHeight w:val="548"/>
        </w:trPr>
        <w:tc>
          <w:tcPr>
            <w:tcW w:w="2518" w:type="dxa"/>
            <w:vMerge/>
          </w:tcPr>
          <w:p w:rsidR="009E4329" w:rsidRPr="009F5BAC" w:rsidRDefault="009E4329" w:rsidP="00F93070">
            <w:pPr>
              <w:spacing w:after="0"/>
              <w:rPr>
                <w:b/>
                <w:sz w:val="24"/>
              </w:rPr>
            </w:pPr>
          </w:p>
        </w:tc>
        <w:tc>
          <w:tcPr>
            <w:tcW w:w="1985" w:type="dxa"/>
            <w:vMerge/>
          </w:tcPr>
          <w:p w:rsidR="009E4329" w:rsidRPr="009F5BAC" w:rsidRDefault="009E4329" w:rsidP="00F93070">
            <w:pPr>
              <w:spacing w:after="0"/>
              <w:rPr>
                <w:b/>
                <w:sz w:val="24"/>
              </w:rPr>
            </w:pPr>
          </w:p>
        </w:tc>
        <w:tc>
          <w:tcPr>
            <w:tcW w:w="4019" w:type="dxa"/>
          </w:tcPr>
          <w:p w:rsidR="009E4329" w:rsidRPr="009F5BAC" w:rsidRDefault="009E4329" w:rsidP="009E4329">
            <w:pPr>
              <w:spacing w:after="0"/>
              <w:rPr>
                <w:b/>
                <w:sz w:val="24"/>
              </w:rPr>
            </w:pPr>
            <w:r w:rsidRPr="009F5BAC">
              <w:rPr>
                <w:sz w:val="24"/>
              </w:rPr>
              <w:t>Sagatavot priekšlikumus par ainaviski vērtīgu teritoriju iekļaušanu Latvijas kultūras kanonā.</w:t>
            </w:r>
          </w:p>
        </w:tc>
      </w:tr>
      <w:tr w:rsidR="009E4329" w:rsidRPr="009F5BAC" w:rsidTr="00DC65B3">
        <w:trPr>
          <w:trHeight w:val="547"/>
        </w:trPr>
        <w:tc>
          <w:tcPr>
            <w:tcW w:w="2518" w:type="dxa"/>
            <w:vMerge/>
          </w:tcPr>
          <w:p w:rsidR="009E4329" w:rsidRPr="009F5BAC" w:rsidRDefault="009E4329" w:rsidP="00F93070">
            <w:pPr>
              <w:spacing w:after="0"/>
              <w:rPr>
                <w:b/>
                <w:sz w:val="24"/>
              </w:rPr>
            </w:pPr>
          </w:p>
        </w:tc>
        <w:tc>
          <w:tcPr>
            <w:tcW w:w="1985" w:type="dxa"/>
            <w:vMerge/>
          </w:tcPr>
          <w:p w:rsidR="009E4329" w:rsidRPr="009F5BAC" w:rsidRDefault="009E4329" w:rsidP="00F93070">
            <w:pPr>
              <w:spacing w:after="0"/>
              <w:rPr>
                <w:b/>
                <w:sz w:val="24"/>
              </w:rPr>
            </w:pPr>
          </w:p>
        </w:tc>
        <w:tc>
          <w:tcPr>
            <w:tcW w:w="4019" w:type="dxa"/>
          </w:tcPr>
          <w:p w:rsidR="009E4329" w:rsidRPr="009F5BAC" w:rsidRDefault="002243B8" w:rsidP="002243B8">
            <w:pPr>
              <w:spacing w:after="0"/>
              <w:rPr>
                <w:sz w:val="24"/>
              </w:rPr>
            </w:pPr>
            <w:r>
              <w:rPr>
                <w:sz w:val="24"/>
              </w:rPr>
              <w:t xml:space="preserve">Organizēt </w:t>
            </w:r>
            <w:r w:rsidR="00270FEF">
              <w:rPr>
                <w:sz w:val="24"/>
              </w:rPr>
              <w:t xml:space="preserve">izglītojošus </w:t>
            </w:r>
            <w:r>
              <w:rPr>
                <w:sz w:val="24"/>
              </w:rPr>
              <w:t>pasākumus s</w:t>
            </w:r>
            <w:r w:rsidRPr="009F5BAC">
              <w:rPr>
                <w:sz w:val="24"/>
              </w:rPr>
              <w:t>abiedrībai</w:t>
            </w:r>
            <w:r>
              <w:rPr>
                <w:sz w:val="24"/>
              </w:rPr>
              <w:t xml:space="preserve"> un ainavu pārvaldības </w:t>
            </w:r>
            <w:r w:rsidRPr="009F5BAC">
              <w:rPr>
                <w:sz w:val="24"/>
              </w:rPr>
              <w:t>speciālistiem</w:t>
            </w:r>
            <w:r>
              <w:rPr>
                <w:sz w:val="24"/>
              </w:rPr>
              <w:t xml:space="preserve"> par Eiropas Padomes un Latvijas ainavu politiku, uzsverot ainavu nozīmi un plānošanu. </w:t>
            </w:r>
          </w:p>
        </w:tc>
      </w:tr>
    </w:tbl>
    <w:p w:rsidR="00DC65B3" w:rsidRPr="009F5BAC" w:rsidRDefault="00DC65B3" w:rsidP="00474B1C">
      <w:pPr>
        <w:pStyle w:val="ListParagraph"/>
        <w:spacing w:after="60"/>
        <w:ind w:left="0"/>
        <w:rPr>
          <w:sz w:val="24"/>
        </w:rPr>
      </w:pPr>
    </w:p>
    <w:p w:rsidR="00F93070" w:rsidRDefault="00DE3522" w:rsidP="009B1BC5">
      <w:pPr>
        <w:pStyle w:val="ListParagraph"/>
        <w:spacing w:before="60" w:after="60"/>
        <w:ind w:left="0" w:firstLine="720"/>
        <w:rPr>
          <w:rFonts w:eastAsia="Calibri"/>
          <w:iCs/>
          <w:sz w:val="24"/>
        </w:rPr>
      </w:pPr>
      <w:r w:rsidRPr="009F5BAC">
        <w:rPr>
          <w:sz w:val="24"/>
        </w:rPr>
        <w:t>Īstenojot pamatnostādn</w:t>
      </w:r>
      <w:r w:rsidR="0077527B" w:rsidRPr="009F5BAC">
        <w:rPr>
          <w:sz w:val="24"/>
        </w:rPr>
        <w:t xml:space="preserve">es, </w:t>
      </w:r>
      <w:r w:rsidR="00BA5273" w:rsidRPr="009F5BAC">
        <w:rPr>
          <w:sz w:val="24"/>
        </w:rPr>
        <w:t>tiks</w:t>
      </w:r>
      <w:r w:rsidR="00A12D4D" w:rsidRPr="009F5BAC">
        <w:rPr>
          <w:rFonts w:eastAsia="Calibri"/>
          <w:iCs/>
          <w:sz w:val="24"/>
        </w:rPr>
        <w:t xml:space="preserve"> </w:t>
      </w:r>
      <w:r w:rsidR="00510C46">
        <w:rPr>
          <w:rFonts w:eastAsia="Calibri"/>
          <w:iCs/>
          <w:sz w:val="24"/>
        </w:rPr>
        <w:t xml:space="preserve">dots nozīmīgs ieguldījums </w:t>
      </w:r>
      <w:r w:rsidR="00510C46" w:rsidRPr="002F1B55">
        <w:rPr>
          <w:sz w:val="24"/>
        </w:rPr>
        <w:t>„Latvija 2030”</w:t>
      </w:r>
      <w:r w:rsidR="00510C46">
        <w:rPr>
          <w:sz w:val="24"/>
        </w:rPr>
        <w:t xml:space="preserve"> noteikto ilgtermiņa mērķu sasniegšanai par dabas un </w:t>
      </w:r>
      <w:proofErr w:type="spellStart"/>
      <w:r w:rsidR="00510C46">
        <w:rPr>
          <w:sz w:val="24"/>
        </w:rPr>
        <w:t>kultūrtelpas</w:t>
      </w:r>
      <w:proofErr w:type="spellEnd"/>
      <w:r w:rsidR="00510C46">
        <w:rPr>
          <w:sz w:val="24"/>
        </w:rPr>
        <w:t xml:space="preserve"> attīstību, kā arī sekmēta </w:t>
      </w:r>
      <w:r w:rsidR="00510C46">
        <w:rPr>
          <w:rFonts w:eastAsia="Calibri"/>
          <w:iCs/>
          <w:sz w:val="24"/>
        </w:rPr>
        <w:t>Latvijas telpiskās attīstības perspektīvas īstenošana</w:t>
      </w:r>
      <w:r w:rsidR="002726EF">
        <w:rPr>
          <w:rFonts w:eastAsia="Calibri"/>
          <w:iCs/>
          <w:sz w:val="24"/>
        </w:rPr>
        <w:t xml:space="preserve">: </w:t>
      </w:r>
      <w:r w:rsidR="00C01F17">
        <w:rPr>
          <w:rFonts w:eastAsia="Calibri"/>
          <w:iCs/>
          <w:sz w:val="24"/>
        </w:rPr>
        <w:t xml:space="preserve"> </w:t>
      </w:r>
    </w:p>
    <w:p w:rsidR="00510C46" w:rsidRDefault="00510C46" w:rsidP="002726EF">
      <w:pPr>
        <w:spacing w:before="60" w:after="60"/>
        <w:rPr>
          <w:sz w:val="24"/>
          <w:u w:val="single"/>
        </w:rPr>
      </w:pPr>
      <w:r w:rsidRPr="00C21192">
        <w:rPr>
          <w:rFonts w:eastAsia="Calibri"/>
          <w:iCs/>
          <w:sz w:val="24"/>
        </w:rPr>
        <w:t>-</w:t>
      </w:r>
      <w:r w:rsidR="002726EF">
        <w:rPr>
          <w:rFonts w:eastAsia="Calibri"/>
          <w:iCs/>
          <w:sz w:val="24"/>
        </w:rPr>
        <w:t xml:space="preserve"> </w:t>
      </w:r>
      <w:r w:rsidRPr="00C21192">
        <w:rPr>
          <w:rFonts w:eastAsia="Calibri"/>
          <w:iCs/>
          <w:sz w:val="24"/>
        </w:rPr>
        <w:t>novērtēts Latvijas ainavu potenciāls</w:t>
      </w:r>
      <w:r w:rsidR="002726EF">
        <w:rPr>
          <w:rFonts w:eastAsia="Calibri"/>
          <w:iCs/>
          <w:sz w:val="24"/>
        </w:rPr>
        <w:t xml:space="preserve"> un </w:t>
      </w:r>
      <w:r w:rsidR="00381F89" w:rsidRPr="009F5BAC">
        <w:rPr>
          <w:sz w:val="24"/>
          <w:u w:val="single"/>
        </w:rPr>
        <w:t xml:space="preserve">noteiktas </w:t>
      </w:r>
      <w:r w:rsidR="00C21192">
        <w:rPr>
          <w:sz w:val="24"/>
          <w:u w:val="single"/>
        </w:rPr>
        <w:t xml:space="preserve">ainaviski vērtīgas teritorijas </w:t>
      </w:r>
      <w:r>
        <w:rPr>
          <w:sz w:val="24"/>
          <w:u w:val="single"/>
        </w:rPr>
        <w:t>ar nozīmīgu ainavisku potenciālu valsts, reģionu un pašvaldību  attīstībai</w:t>
      </w:r>
      <w:r w:rsidR="00C21192">
        <w:rPr>
          <w:sz w:val="24"/>
          <w:u w:val="single"/>
        </w:rPr>
        <w:t>;</w:t>
      </w:r>
    </w:p>
    <w:p w:rsidR="00DC6613" w:rsidRDefault="00C21192" w:rsidP="002726EF">
      <w:pPr>
        <w:pStyle w:val="ListParagraph"/>
        <w:spacing w:before="60" w:after="60"/>
        <w:ind w:left="0"/>
        <w:rPr>
          <w:sz w:val="24"/>
          <w:u w:val="single"/>
        </w:rPr>
      </w:pPr>
      <w:r w:rsidRPr="002726EF">
        <w:rPr>
          <w:sz w:val="24"/>
        </w:rPr>
        <w:t>-</w:t>
      </w:r>
      <w:r w:rsidR="002726EF" w:rsidRPr="002726EF">
        <w:rPr>
          <w:sz w:val="24"/>
        </w:rPr>
        <w:t xml:space="preserve"> </w:t>
      </w:r>
      <w:r w:rsidR="00381F89" w:rsidRPr="009F5BAC">
        <w:rPr>
          <w:sz w:val="24"/>
          <w:u w:val="single"/>
        </w:rPr>
        <w:t>sagatavot</w:t>
      </w:r>
      <w:r w:rsidR="00D604B0">
        <w:rPr>
          <w:sz w:val="24"/>
          <w:u w:val="single"/>
        </w:rPr>
        <w:t xml:space="preserve">as integrētas vadlīnijas </w:t>
      </w:r>
      <w:r w:rsidR="00270FEF">
        <w:rPr>
          <w:sz w:val="24"/>
          <w:u w:val="single"/>
        </w:rPr>
        <w:t xml:space="preserve">konkrētu </w:t>
      </w:r>
      <w:r>
        <w:rPr>
          <w:sz w:val="24"/>
          <w:u w:val="single"/>
        </w:rPr>
        <w:t xml:space="preserve">ainaviski vērtīgo </w:t>
      </w:r>
      <w:r w:rsidR="009E63F1" w:rsidRPr="009F5BAC">
        <w:rPr>
          <w:sz w:val="24"/>
          <w:u w:val="single"/>
        </w:rPr>
        <w:t xml:space="preserve">teritoriju </w:t>
      </w:r>
      <w:r w:rsidR="009E4329" w:rsidRPr="009F5BAC">
        <w:rPr>
          <w:sz w:val="24"/>
          <w:u w:val="single"/>
        </w:rPr>
        <w:t>att</w:t>
      </w:r>
      <w:r w:rsidR="009E63F1" w:rsidRPr="009F5BAC">
        <w:rPr>
          <w:sz w:val="24"/>
          <w:u w:val="single"/>
        </w:rPr>
        <w:t>īstībai</w:t>
      </w:r>
      <w:r w:rsidR="00DC6613">
        <w:rPr>
          <w:sz w:val="24"/>
          <w:u w:val="single"/>
        </w:rPr>
        <w:t>;</w:t>
      </w:r>
    </w:p>
    <w:p w:rsidR="009E63F1" w:rsidRPr="009F5BAC" w:rsidRDefault="002726EF" w:rsidP="002726EF">
      <w:pPr>
        <w:pStyle w:val="ListParagraph"/>
        <w:spacing w:before="60" w:after="60"/>
        <w:ind w:left="0"/>
        <w:rPr>
          <w:sz w:val="24"/>
          <w:u w:val="single"/>
        </w:rPr>
      </w:pPr>
      <w:r w:rsidRPr="002726EF">
        <w:rPr>
          <w:sz w:val="24"/>
        </w:rPr>
        <w:t>-</w:t>
      </w:r>
      <w:r>
        <w:rPr>
          <w:sz w:val="24"/>
        </w:rPr>
        <w:t xml:space="preserve"> </w:t>
      </w:r>
      <w:r>
        <w:rPr>
          <w:sz w:val="24"/>
          <w:u w:val="single"/>
        </w:rPr>
        <w:t>uzlabota sadarbība</w:t>
      </w:r>
      <w:r w:rsidRPr="002726EF">
        <w:rPr>
          <w:sz w:val="24"/>
        </w:rPr>
        <w:t xml:space="preserve"> publiskās</w:t>
      </w:r>
      <w:r w:rsidRPr="009F5BAC">
        <w:rPr>
          <w:sz w:val="24"/>
        </w:rPr>
        <w:t xml:space="preserve"> pārvaldes, izglītības, pētniecisko institūciju un sabiedrības starpā</w:t>
      </w:r>
      <w:r w:rsidR="00270FEF" w:rsidRPr="00270FEF">
        <w:rPr>
          <w:sz w:val="24"/>
        </w:rPr>
        <w:t xml:space="preserve"> </w:t>
      </w:r>
      <w:r w:rsidR="00270FEF">
        <w:rPr>
          <w:sz w:val="24"/>
        </w:rPr>
        <w:t>ainavu pārvaldības jomā</w:t>
      </w:r>
      <w:r>
        <w:rPr>
          <w:sz w:val="24"/>
        </w:rPr>
        <w:t>;</w:t>
      </w:r>
    </w:p>
    <w:p w:rsidR="00474B1C" w:rsidRPr="009F5BAC" w:rsidRDefault="00C21192" w:rsidP="002726EF">
      <w:pPr>
        <w:pStyle w:val="ListParagraph"/>
        <w:spacing w:before="60" w:after="60"/>
        <w:ind w:left="0"/>
        <w:rPr>
          <w:rFonts w:eastAsia="Calibri"/>
          <w:iCs/>
          <w:sz w:val="24"/>
        </w:rPr>
      </w:pPr>
      <w:r>
        <w:rPr>
          <w:rFonts w:eastAsia="Calibri"/>
          <w:iCs/>
          <w:sz w:val="24"/>
        </w:rPr>
        <w:t xml:space="preserve">- </w:t>
      </w:r>
      <w:r w:rsidR="00474B1C" w:rsidRPr="009F5BAC">
        <w:rPr>
          <w:rFonts w:eastAsia="Calibri"/>
          <w:iCs/>
          <w:sz w:val="24"/>
        </w:rPr>
        <w:t xml:space="preserve">īstenoti </w:t>
      </w:r>
      <w:r w:rsidR="00474B1C" w:rsidRPr="003A3B26">
        <w:rPr>
          <w:rFonts w:eastAsia="Calibri"/>
          <w:iCs/>
          <w:sz w:val="24"/>
          <w:u w:val="single"/>
        </w:rPr>
        <w:t>pasākumi, lai veidotu sabiedrības izpratni par ainav</w:t>
      </w:r>
      <w:r w:rsidR="00D849D4" w:rsidRPr="003A3B26">
        <w:rPr>
          <w:rFonts w:eastAsia="Calibri"/>
          <w:iCs/>
          <w:sz w:val="24"/>
          <w:u w:val="single"/>
        </w:rPr>
        <w:t xml:space="preserve">u </w:t>
      </w:r>
      <w:r w:rsidR="00C01F17" w:rsidRPr="003A3B26">
        <w:rPr>
          <w:rFonts w:eastAsia="Calibri"/>
          <w:iCs/>
          <w:sz w:val="24"/>
          <w:u w:val="single"/>
        </w:rPr>
        <w:t>nozīmi</w:t>
      </w:r>
      <w:r>
        <w:rPr>
          <w:rFonts w:eastAsia="Calibri"/>
          <w:iCs/>
          <w:sz w:val="24"/>
          <w:u w:val="single"/>
        </w:rPr>
        <w:t xml:space="preserve"> un vērtību</w:t>
      </w:r>
      <w:r w:rsidR="00C01F17" w:rsidRPr="003A3B26">
        <w:rPr>
          <w:rFonts w:eastAsia="Calibri"/>
          <w:iCs/>
          <w:sz w:val="24"/>
          <w:u w:val="single"/>
        </w:rPr>
        <w:t xml:space="preserve">, </w:t>
      </w:r>
      <w:r>
        <w:rPr>
          <w:rFonts w:eastAsia="Calibri"/>
          <w:iCs/>
          <w:sz w:val="24"/>
          <w:u w:val="single"/>
        </w:rPr>
        <w:t xml:space="preserve">uzlabotu sabiedrības un </w:t>
      </w:r>
      <w:r w:rsidR="00DC6613">
        <w:rPr>
          <w:rFonts w:eastAsia="Calibri"/>
          <w:iCs/>
          <w:sz w:val="24"/>
          <w:u w:val="single"/>
        </w:rPr>
        <w:t xml:space="preserve">ainavu pārvaldības </w:t>
      </w:r>
      <w:r>
        <w:rPr>
          <w:rFonts w:eastAsia="Calibri"/>
          <w:iCs/>
          <w:sz w:val="24"/>
          <w:u w:val="single"/>
        </w:rPr>
        <w:t xml:space="preserve">speciālistu zināšanas par ainavām un to pārvaldību, kā arī veicinātu </w:t>
      </w:r>
      <w:r w:rsidR="00474B1C" w:rsidRPr="003A3B26">
        <w:rPr>
          <w:rFonts w:eastAsia="Calibri"/>
          <w:iCs/>
          <w:sz w:val="24"/>
          <w:u w:val="single"/>
        </w:rPr>
        <w:t xml:space="preserve"> </w:t>
      </w:r>
      <w:r w:rsidR="009E63F1" w:rsidRPr="003A3B26">
        <w:rPr>
          <w:rFonts w:eastAsia="Calibri"/>
          <w:iCs/>
          <w:sz w:val="24"/>
          <w:u w:val="single"/>
        </w:rPr>
        <w:t>ainavu pētniecību</w:t>
      </w:r>
      <w:r w:rsidR="009E63F1" w:rsidRPr="009F5BAC">
        <w:rPr>
          <w:rFonts w:eastAsia="Calibri"/>
          <w:iCs/>
          <w:sz w:val="24"/>
        </w:rPr>
        <w:t xml:space="preserve">. </w:t>
      </w:r>
      <w:r w:rsidR="00381F89" w:rsidRPr="009F5BAC">
        <w:rPr>
          <w:rFonts w:eastAsia="Calibri"/>
          <w:iCs/>
          <w:sz w:val="24"/>
        </w:rPr>
        <w:t xml:space="preserve"> </w:t>
      </w:r>
    </w:p>
    <w:p w:rsidR="009A197A" w:rsidRPr="009F5BAC" w:rsidRDefault="009A197A" w:rsidP="009B1BC5">
      <w:pPr>
        <w:pStyle w:val="ListParagraph"/>
        <w:spacing w:before="60" w:after="0"/>
        <w:ind w:left="0" w:firstLine="720"/>
        <w:rPr>
          <w:sz w:val="24"/>
        </w:rPr>
      </w:pPr>
      <w:r w:rsidRPr="009F5BAC">
        <w:rPr>
          <w:sz w:val="24"/>
        </w:rPr>
        <w:t xml:space="preserve">Valsts budžeta finansētās institūcijas pamatnostādnes īsteno piešķirto valsts budžeta līdzekļu ietvaros. </w:t>
      </w:r>
      <w:r w:rsidR="00AB721E" w:rsidRPr="009F5BAC">
        <w:rPr>
          <w:sz w:val="24"/>
        </w:rPr>
        <w:t>Vietējās p</w:t>
      </w:r>
      <w:r w:rsidRPr="009F5BAC">
        <w:rPr>
          <w:sz w:val="24"/>
        </w:rPr>
        <w:t xml:space="preserve">ašvaldības pamatnostādnes īsteno </w:t>
      </w:r>
      <w:r w:rsidR="00AB721E" w:rsidRPr="009F5BAC">
        <w:rPr>
          <w:sz w:val="24"/>
        </w:rPr>
        <w:t xml:space="preserve">vietējo </w:t>
      </w:r>
      <w:r w:rsidRPr="009F5BAC">
        <w:rPr>
          <w:sz w:val="24"/>
        </w:rPr>
        <w:t>pašvaldību budžetu ietvaros</w:t>
      </w:r>
      <w:r w:rsidR="00AB721E" w:rsidRPr="009F5BAC">
        <w:rPr>
          <w:sz w:val="24"/>
        </w:rPr>
        <w:t xml:space="preserve">. Pamatnostādņu īstenošanai </w:t>
      </w:r>
      <w:r w:rsidR="005B0F12" w:rsidRPr="009F5BAC">
        <w:rPr>
          <w:sz w:val="24"/>
        </w:rPr>
        <w:t xml:space="preserve">gan nacionālajā, gan vietējā līmenī </w:t>
      </w:r>
      <w:r w:rsidR="00AB721E" w:rsidRPr="009F5BAC">
        <w:rPr>
          <w:sz w:val="24"/>
        </w:rPr>
        <w:t xml:space="preserve">var tikt </w:t>
      </w:r>
      <w:r w:rsidRPr="009F5BAC">
        <w:rPr>
          <w:sz w:val="24"/>
        </w:rPr>
        <w:t>piesaist</w:t>
      </w:r>
      <w:r w:rsidR="00AB721E" w:rsidRPr="009F5BAC">
        <w:rPr>
          <w:sz w:val="24"/>
        </w:rPr>
        <w:t xml:space="preserve">īti ārvalstu </w:t>
      </w:r>
      <w:r w:rsidR="009D527B" w:rsidRPr="009F5BAC">
        <w:rPr>
          <w:sz w:val="24"/>
        </w:rPr>
        <w:t>finanšu palīdzības instrumenti.</w:t>
      </w:r>
    </w:p>
    <w:p w:rsidR="002F1B55" w:rsidRDefault="009A197A" w:rsidP="009E63F1">
      <w:pPr>
        <w:spacing w:before="60" w:after="60"/>
        <w:ind w:firstLine="397"/>
        <w:rPr>
          <w:sz w:val="24"/>
        </w:rPr>
      </w:pPr>
      <w:r w:rsidRPr="009F5BAC">
        <w:rPr>
          <w:sz w:val="24"/>
        </w:rPr>
        <w:t xml:space="preserve">Par pamatnostādņu īstenošanu atbildīga ir </w:t>
      </w:r>
      <w:r w:rsidR="004A7836" w:rsidRPr="009F5BAC">
        <w:rPr>
          <w:sz w:val="24"/>
        </w:rPr>
        <w:t>V</w:t>
      </w:r>
      <w:r w:rsidR="003553E4">
        <w:rPr>
          <w:sz w:val="24"/>
        </w:rPr>
        <w:t xml:space="preserve">ides aizsardzības un reģionālās attīstības ministrija, </w:t>
      </w:r>
      <w:r w:rsidR="009E63F1" w:rsidRPr="009F5BAC">
        <w:rPr>
          <w:sz w:val="24"/>
        </w:rPr>
        <w:t xml:space="preserve">kas sadarbībā ar pamatnostādņu īstenošanā iesaistītajām </w:t>
      </w:r>
      <w:r w:rsidR="009E63F1" w:rsidRPr="009F5BAC">
        <w:rPr>
          <w:sz w:val="24"/>
        </w:rPr>
        <w:lastRenderedPageBreak/>
        <w:t xml:space="preserve">institūcijām, kā arī izglītības, pētniecības iestāžu un sabiedrības pārstāvjiem </w:t>
      </w:r>
      <w:r w:rsidR="002F1B55">
        <w:rPr>
          <w:sz w:val="24"/>
        </w:rPr>
        <w:t xml:space="preserve">sagatavo un iesniedz </w:t>
      </w:r>
      <w:r w:rsidR="002F1B55" w:rsidRPr="009F5BAC">
        <w:rPr>
          <w:sz w:val="24"/>
        </w:rPr>
        <w:t xml:space="preserve"> Ministru kabinetā </w:t>
      </w:r>
      <w:r w:rsidR="002F1B55">
        <w:rPr>
          <w:sz w:val="24"/>
        </w:rPr>
        <w:t>noteiktajā kārtībā:</w:t>
      </w:r>
    </w:p>
    <w:p w:rsidR="002F1B55" w:rsidRPr="00C01F17" w:rsidRDefault="002F1B55" w:rsidP="00C01F17">
      <w:pPr>
        <w:pStyle w:val="ListParagraph"/>
        <w:numPr>
          <w:ilvl w:val="0"/>
          <w:numId w:val="20"/>
        </w:numPr>
        <w:spacing w:before="60" w:after="60"/>
        <w:rPr>
          <w:sz w:val="24"/>
        </w:rPr>
      </w:pPr>
      <w:r w:rsidRPr="00C01F17">
        <w:rPr>
          <w:sz w:val="24"/>
        </w:rPr>
        <w:t xml:space="preserve">līdz 2017.gada 1.jūlijam  - informatīvo ziņojumu par </w:t>
      </w:r>
      <w:r w:rsidR="009E63F1" w:rsidRPr="00C01F17">
        <w:rPr>
          <w:sz w:val="24"/>
        </w:rPr>
        <w:t>pamatnostādņu īstenošan</w:t>
      </w:r>
      <w:r w:rsidRPr="00C01F17">
        <w:rPr>
          <w:sz w:val="24"/>
        </w:rPr>
        <w:t xml:space="preserve">u; </w:t>
      </w:r>
    </w:p>
    <w:p w:rsidR="009E63F1" w:rsidRPr="00C01F17" w:rsidRDefault="002F1B55" w:rsidP="00C01F17">
      <w:pPr>
        <w:pStyle w:val="ListParagraph"/>
        <w:numPr>
          <w:ilvl w:val="0"/>
          <w:numId w:val="20"/>
        </w:numPr>
        <w:spacing w:before="60" w:after="60"/>
        <w:rPr>
          <w:sz w:val="24"/>
        </w:rPr>
      </w:pPr>
      <w:r w:rsidRPr="00C01F17">
        <w:rPr>
          <w:sz w:val="24"/>
        </w:rPr>
        <w:t xml:space="preserve">līdz 2020.gada 1.jūlijam -  pamatnostādņu </w:t>
      </w:r>
      <w:r w:rsidR="009E63F1" w:rsidRPr="00C01F17">
        <w:rPr>
          <w:sz w:val="24"/>
        </w:rPr>
        <w:t xml:space="preserve"> </w:t>
      </w:r>
      <w:proofErr w:type="spellStart"/>
      <w:r w:rsidR="009E63F1" w:rsidRPr="00C01F17">
        <w:rPr>
          <w:i/>
          <w:sz w:val="24"/>
        </w:rPr>
        <w:t>ex-post</w:t>
      </w:r>
      <w:proofErr w:type="spellEnd"/>
      <w:r w:rsidR="009E63F1" w:rsidRPr="00C01F17">
        <w:rPr>
          <w:sz w:val="24"/>
        </w:rPr>
        <w:t xml:space="preserve"> novērtējumu</w:t>
      </w:r>
      <w:r w:rsidRPr="00C01F17">
        <w:rPr>
          <w:sz w:val="24"/>
        </w:rPr>
        <w:t xml:space="preserve">. </w:t>
      </w:r>
    </w:p>
    <w:p w:rsidR="009A197A" w:rsidRPr="009F5BAC" w:rsidRDefault="009A197A" w:rsidP="009B1BC5">
      <w:pPr>
        <w:spacing w:before="60" w:after="0"/>
        <w:ind w:firstLine="397"/>
        <w:rPr>
          <w:sz w:val="24"/>
        </w:rPr>
      </w:pPr>
    </w:p>
    <w:p w:rsidR="00BC7950" w:rsidRPr="009F5BAC" w:rsidRDefault="00BC7950" w:rsidP="009B1BC5">
      <w:pPr>
        <w:spacing w:before="60" w:after="0"/>
        <w:ind w:left="397"/>
        <w:rPr>
          <w:sz w:val="24"/>
        </w:rPr>
      </w:pPr>
    </w:p>
    <w:p w:rsidR="004A7836" w:rsidRPr="009F5BAC" w:rsidRDefault="004A7836" w:rsidP="009B1BC5">
      <w:pPr>
        <w:spacing w:before="60" w:after="0"/>
        <w:rPr>
          <w:b/>
          <w:bCs/>
          <w:sz w:val="24"/>
        </w:rPr>
      </w:pPr>
    </w:p>
    <w:p w:rsidR="004A7836" w:rsidRPr="009F5BAC" w:rsidRDefault="004A7836" w:rsidP="0010579B">
      <w:pPr>
        <w:rPr>
          <w:sz w:val="24"/>
        </w:rPr>
      </w:pPr>
      <w:r w:rsidRPr="009F5BAC">
        <w:rPr>
          <w:sz w:val="24"/>
        </w:rPr>
        <w:t>Vides aizsardzības un reģionālās attīstības ministrs</w:t>
      </w:r>
      <w:r w:rsidRPr="009F5BAC">
        <w:rPr>
          <w:sz w:val="24"/>
        </w:rPr>
        <w:tab/>
      </w:r>
      <w:r w:rsidR="009B1BC5" w:rsidRPr="009F5BAC">
        <w:rPr>
          <w:sz w:val="24"/>
        </w:rPr>
        <w:t xml:space="preserve">                       </w:t>
      </w:r>
      <w:r w:rsidR="00DA4751" w:rsidRPr="009F5BAC">
        <w:rPr>
          <w:sz w:val="24"/>
        </w:rPr>
        <w:t xml:space="preserve">     </w:t>
      </w:r>
      <w:r w:rsidR="0010579B" w:rsidRPr="009F5BAC">
        <w:rPr>
          <w:sz w:val="24"/>
        </w:rPr>
        <w:t xml:space="preserve">  </w:t>
      </w:r>
      <w:r w:rsidR="009B1BC5" w:rsidRPr="009F5BAC">
        <w:rPr>
          <w:sz w:val="24"/>
        </w:rPr>
        <w:t xml:space="preserve"> E. </w:t>
      </w:r>
      <w:proofErr w:type="spellStart"/>
      <w:r w:rsidR="009B1BC5" w:rsidRPr="009F5BAC">
        <w:rPr>
          <w:sz w:val="24"/>
        </w:rPr>
        <w:t>Sprūdžs</w:t>
      </w:r>
      <w:proofErr w:type="spellEnd"/>
      <w:r w:rsidRPr="009F5BAC">
        <w:rPr>
          <w:sz w:val="24"/>
        </w:rPr>
        <w:tab/>
      </w:r>
      <w:r w:rsidRPr="009F5BAC">
        <w:rPr>
          <w:sz w:val="24"/>
        </w:rPr>
        <w:tab/>
      </w:r>
      <w:r w:rsidRPr="009F5BAC">
        <w:rPr>
          <w:sz w:val="24"/>
        </w:rPr>
        <w:tab/>
      </w:r>
    </w:p>
    <w:p w:rsidR="00FD6F5E" w:rsidRPr="009F5BAC" w:rsidRDefault="00CF1676" w:rsidP="00CF1676">
      <w:pPr>
        <w:spacing w:after="0"/>
        <w:rPr>
          <w:sz w:val="24"/>
        </w:rPr>
      </w:pPr>
      <w:r w:rsidRPr="009F5BAC">
        <w:rPr>
          <w:sz w:val="24"/>
        </w:rPr>
        <w:t xml:space="preserve">Vīza: </w:t>
      </w:r>
    </w:p>
    <w:p w:rsidR="00E73468" w:rsidRPr="009F5BAC" w:rsidRDefault="00CF1676" w:rsidP="00CF1676">
      <w:pPr>
        <w:spacing w:after="0"/>
        <w:rPr>
          <w:sz w:val="24"/>
        </w:rPr>
      </w:pPr>
      <w:r w:rsidRPr="009F5BAC">
        <w:rPr>
          <w:sz w:val="24"/>
        </w:rPr>
        <w:t xml:space="preserve">Vides aizsardzības un reģionālās attīstības ministrijas </w:t>
      </w:r>
    </w:p>
    <w:p w:rsidR="009B1BC5" w:rsidRPr="009F5BAC" w:rsidRDefault="00CF1676" w:rsidP="00E73468">
      <w:pPr>
        <w:spacing w:after="0"/>
        <w:rPr>
          <w:sz w:val="24"/>
        </w:rPr>
      </w:pPr>
      <w:r w:rsidRPr="009F5BAC">
        <w:rPr>
          <w:sz w:val="24"/>
        </w:rPr>
        <w:t>valsts sekretār</w:t>
      </w:r>
      <w:r w:rsidR="00FD6F5E" w:rsidRPr="009F5BAC">
        <w:rPr>
          <w:sz w:val="24"/>
        </w:rPr>
        <w:t xml:space="preserve">s </w:t>
      </w:r>
      <w:r w:rsidRPr="009F5BAC">
        <w:rPr>
          <w:sz w:val="24"/>
        </w:rPr>
        <w:t xml:space="preserve"> </w:t>
      </w:r>
      <w:r w:rsidR="00E73468" w:rsidRPr="009F5BAC">
        <w:rPr>
          <w:sz w:val="24"/>
        </w:rPr>
        <w:tab/>
      </w:r>
      <w:r w:rsidR="00E73468" w:rsidRPr="009F5BAC">
        <w:rPr>
          <w:sz w:val="24"/>
        </w:rPr>
        <w:tab/>
      </w:r>
      <w:r w:rsidR="00E73468" w:rsidRPr="009F5BAC">
        <w:rPr>
          <w:sz w:val="24"/>
        </w:rPr>
        <w:tab/>
      </w:r>
      <w:r w:rsidR="00E73468" w:rsidRPr="009F5BAC">
        <w:rPr>
          <w:sz w:val="24"/>
        </w:rPr>
        <w:tab/>
      </w:r>
      <w:r w:rsidR="00E73468" w:rsidRPr="009F5BAC">
        <w:rPr>
          <w:sz w:val="24"/>
        </w:rPr>
        <w:tab/>
      </w:r>
      <w:r w:rsidR="00E73468" w:rsidRPr="009F5BAC">
        <w:rPr>
          <w:sz w:val="24"/>
        </w:rPr>
        <w:tab/>
      </w:r>
      <w:r w:rsidR="00E73468" w:rsidRPr="009F5BAC">
        <w:rPr>
          <w:sz w:val="24"/>
        </w:rPr>
        <w:tab/>
        <w:t xml:space="preserve">       </w:t>
      </w:r>
      <w:r w:rsidR="009B1BC5" w:rsidRPr="009F5BAC">
        <w:rPr>
          <w:sz w:val="24"/>
        </w:rPr>
        <w:t xml:space="preserve">A. </w:t>
      </w:r>
      <w:proofErr w:type="spellStart"/>
      <w:r w:rsidR="009B1BC5" w:rsidRPr="009F5BAC">
        <w:rPr>
          <w:sz w:val="24"/>
        </w:rPr>
        <w:t>Antonovs</w:t>
      </w:r>
      <w:proofErr w:type="spellEnd"/>
    </w:p>
    <w:p w:rsidR="00CF1676" w:rsidRPr="009F5BAC" w:rsidRDefault="00CF1676" w:rsidP="00E73468">
      <w:pPr>
        <w:spacing w:after="0"/>
        <w:rPr>
          <w:sz w:val="24"/>
        </w:rPr>
      </w:pPr>
      <w:r w:rsidRPr="009F5BAC">
        <w:rPr>
          <w:sz w:val="24"/>
        </w:rPr>
        <w:t xml:space="preserve"> </w:t>
      </w:r>
    </w:p>
    <w:p w:rsidR="005B1E95" w:rsidRPr="009F5BAC" w:rsidRDefault="005B1E95" w:rsidP="00624B5D">
      <w:pPr>
        <w:pStyle w:val="ListParagraph"/>
        <w:spacing w:after="0"/>
        <w:ind w:left="0"/>
        <w:rPr>
          <w:sz w:val="24"/>
        </w:rPr>
      </w:pPr>
    </w:p>
    <w:p w:rsidR="004E4191" w:rsidRDefault="004E4191" w:rsidP="00624B5D">
      <w:pPr>
        <w:pStyle w:val="ListParagraph"/>
        <w:spacing w:after="0"/>
        <w:ind w:left="0"/>
        <w:rPr>
          <w:sz w:val="24"/>
        </w:rPr>
      </w:pPr>
    </w:p>
    <w:p w:rsidR="00DC6613" w:rsidRDefault="00DC6613" w:rsidP="00624B5D">
      <w:pPr>
        <w:pStyle w:val="ListParagraph"/>
        <w:spacing w:after="0"/>
        <w:ind w:left="0"/>
        <w:rPr>
          <w:sz w:val="24"/>
        </w:rPr>
      </w:pPr>
    </w:p>
    <w:p w:rsidR="00DC6613" w:rsidRPr="009F5BAC" w:rsidRDefault="00DC6613" w:rsidP="00624B5D">
      <w:pPr>
        <w:pStyle w:val="ListParagraph"/>
        <w:spacing w:after="0"/>
        <w:ind w:left="0"/>
        <w:rPr>
          <w:sz w:val="24"/>
        </w:rPr>
      </w:pPr>
    </w:p>
    <w:p w:rsidR="004E4191" w:rsidRPr="009F5BAC" w:rsidRDefault="004E4191" w:rsidP="00624B5D">
      <w:pPr>
        <w:pStyle w:val="ListParagraph"/>
        <w:spacing w:after="0"/>
        <w:ind w:left="0"/>
        <w:rPr>
          <w:sz w:val="24"/>
        </w:rPr>
      </w:pPr>
    </w:p>
    <w:p w:rsidR="004E4191" w:rsidRPr="009F5BAC" w:rsidRDefault="004E4191" w:rsidP="00624B5D">
      <w:pPr>
        <w:pStyle w:val="ListParagraph"/>
        <w:spacing w:after="0"/>
        <w:ind w:left="0"/>
        <w:rPr>
          <w:sz w:val="24"/>
        </w:rPr>
      </w:pPr>
    </w:p>
    <w:p w:rsidR="00624B5D" w:rsidRPr="00DC6613" w:rsidRDefault="00C21192" w:rsidP="00624B5D">
      <w:pPr>
        <w:pStyle w:val="ListParagraph"/>
        <w:spacing w:after="0"/>
        <w:ind w:left="0"/>
        <w:rPr>
          <w:sz w:val="24"/>
        </w:rPr>
      </w:pPr>
      <w:r w:rsidRPr="00DC6613">
        <w:rPr>
          <w:sz w:val="24"/>
        </w:rPr>
        <w:t>2</w:t>
      </w:r>
      <w:r w:rsidR="00D604B0">
        <w:rPr>
          <w:sz w:val="24"/>
        </w:rPr>
        <w:t>5</w:t>
      </w:r>
      <w:r w:rsidRPr="00DC6613">
        <w:rPr>
          <w:sz w:val="24"/>
        </w:rPr>
        <w:t>.</w:t>
      </w:r>
      <w:r w:rsidR="002F1B55" w:rsidRPr="00DC6613">
        <w:rPr>
          <w:sz w:val="24"/>
        </w:rPr>
        <w:t>06.</w:t>
      </w:r>
      <w:r w:rsidR="00624B5D" w:rsidRPr="00DC6613">
        <w:rPr>
          <w:sz w:val="24"/>
        </w:rPr>
        <w:t>2013.</w:t>
      </w:r>
      <w:r w:rsidR="00A96C3D" w:rsidRPr="00DC6613">
        <w:rPr>
          <w:sz w:val="24"/>
        </w:rPr>
        <w:t xml:space="preserve"> </w:t>
      </w:r>
      <w:r w:rsidR="00D604B0">
        <w:rPr>
          <w:sz w:val="24"/>
        </w:rPr>
        <w:t>9:10</w:t>
      </w:r>
    </w:p>
    <w:p w:rsidR="00BC7950" w:rsidRPr="009F5BAC" w:rsidRDefault="00C21192" w:rsidP="009A197A">
      <w:pPr>
        <w:pStyle w:val="ListParagraph"/>
        <w:spacing w:after="0"/>
        <w:ind w:left="0"/>
        <w:rPr>
          <w:sz w:val="24"/>
        </w:rPr>
      </w:pPr>
      <w:r w:rsidRPr="00DC6613">
        <w:rPr>
          <w:sz w:val="24"/>
        </w:rPr>
        <w:t>6</w:t>
      </w:r>
      <w:r w:rsidR="002E0D06">
        <w:rPr>
          <w:sz w:val="24"/>
        </w:rPr>
        <w:t>72</w:t>
      </w:r>
    </w:p>
    <w:p w:rsidR="009A197A" w:rsidRPr="009F5BAC" w:rsidRDefault="009A197A" w:rsidP="009A197A">
      <w:pPr>
        <w:pStyle w:val="ListParagraph"/>
        <w:spacing w:after="0"/>
        <w:ind w:left="0"/>
        <w:rPr>
          <w:sz w:val="24"/>
        </w:rPr>
      </w:pPr>
      <w:r w:rsidRPr="009F5BAC">
        <w:rPr>
          <w:sz w:val="24"/>
        </w:rPr>
        <w:t>D.Granta</w:t>
      </w:r>
    </w:p>
    <w:p w:rsidR="008D01E7" w:rsidRPr="009F5BAC" w:rsidRDefault="009A197A" w:rsidP="001F160D">
      <w:pPr>
        <w:pStyle w:val="ListParagraph"/>
        <w:spacing w:after="0"/>
        <w:ind w:left="0"/>
        <w:rPr>
          <w:sz w:val="24"/>
        </w:rPr>
      </w:pPr>
      <w:r w:rsidRPr="009F5BAC">
        <w:rPr>
          <w:sz w:val="24"/>
        </w:rPr>
        <w:t>6</w:t>
      </w:r>
      <w:r w:rsidR="00F95A55" w:rsidRPr="009F5BAC">
        <w:rPr>
          <w:sz w:val="24"/>
        </w:rPr>
        <w:t>6016553</w:t>
      </w:r>
      <w:r w:rsidRPr="009F5BAC">
        <w:rPr>
          <w:sz w:val="24"/>
        </w:rPr>
        <w:t>, dace.granta@</w:t>
      </w:r>
      <w:r w:rsidR="00624B5D" w:rsidRPr="009F5BAC">
        <w:rPr>
          <w:sz w:val="24"/>
        </w:rPr>
        <w:t>varam.</w:t>
      </w:r>
      <w:r w:rsidRPr="009F5BAC">
        <w:rPr>
          <w:sz w:val="24"/>
        </w:rPr>
        <w:t>gov.lv</w:t>
      </w:r>
    </w:p>
    <w:p w:rsidR="009F5BAC" w:rsidRPr="009F5BAC" w:rsidRDefault="009F5BAC">
      <w:pPr>
        <w:pStyle w:val="ListParagraph"/>
        <w:spacing w:after="0"/>
        <w:ind w:left="0"/>
        <w:rPr>
          <w:sz w:val="24"/>
        </w:rPr>
      </w:pPr>
    </w:p>
    <w:sectPr w:rsidR="009F5BAC" w:rsidRPr="009F5BAC" w:rsidSect="00743A05">
      <w:headerReference w:type="default" r:id="rId8"/>
      <w:footerReference w:type="default" r:id="rId9"/>
      <w:headerReference w:type="first" r:id="rId10"/>
      <w:footerReference w:type="first" r:id="rId11"/>
      <w:pgSz w:w="11906" w:h="16838"/>
      <w:pgMar w:top="1440" w:right="1800" w:bottom="1440" w:left="1800"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89F" w:rsidRDefault="000F689F" w:rsidP="008D01E7">
      <w:pPr>
        <w:spacing w:after="0"/>
      </w:pPr>
      <w:r>
        <w:separator/>
      </w:r>
    </w:p>
  </w:endnote>
  <w:endnote w:type="continuationSeparator" w:id="0">
    <w:p w:rsidR="000F689F" w:rsidRDefault="000F689F" w:rsidP="008D01E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NewRomanPS-ItalicMT">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1E7" w:rsidRPr="00433EC3" w:rsidRDefault="00F93070" w:rsidP="00DD63F4">
    <w:pPr>
      <w:pStyle w:val="Footer"/>
      <w:tabs>
        <w:tab w:val="clear" w:pos="4153"/>
        <w:tab w:val="clear" w:pos="8306"/>
        <w:tab w:val="left" w:pos="2955"/>
      </w:tabs>
      <w:rPr>
        <w:sz w:val="24"/>
      </w:rPr>
    </w:pPr>
    <w:r w:rsidRPr="00433EC3">
      <w:rPr>
        <w:sz w:val="24"/>
      </w:rPr>
      <w:t>VARAM</w:t>
    </w:r>
    <w:r w:rsidR="00BD6025">
      <w:rPr>
        <w:sz w:val="24"/>
      </w:rPr>
      <w:t>pdsat_</w:t>
    </w:r>
    <w:r w:rsidR="002D64DF">
      <w:rPr>
        <w:sz w:val="24"/>
      </w:rPr>
      <w:t>2</w:t>
    </w:r>
    <w:r w:rsidR="00D604B0">
      <w:rPr>
        <w:sz w:val="24"/>
      </w:rPr>
      <w:t>1</w:t>
    </w:r>
    <w:r w:rsidR="00BD6025">
      <w:rPr>
        <w:sz w:val="24"/>
      </w:rPr>
      <w:t>0</w:t>
    </w:r>
    <w:r w:rsidR="00D867DE">
      <w:rPr>
        <w:sz w:val="24"/>
      </w:rPr>
      <w:t>6</w:t>
    </w:r>
    <w:r w:rsidR="00BD6025">
      <w:rPr>
        <w:sz w:val="24"/>
      </w:rPr>
      <w:t>2013</w:t>
    </w:r>
    <w:r w:rsidR="00DD63F4" w:rsidRPr="00433EC3">
      <w:rPr>
        <w:sz w:val="24"/>
      </w:rPr>
      <w:t>_</w:t>
    </w:r>
    <w:r w:rsidR="00BD6025">
      <w:rPr>
        <w:sz w:val="24"/>
      </w:rPr>
      <w:t xml:space="preserve">ain; Ainavu politikas pamatnostādņu 2013.-2019.gadam kopsavilkums </w:t>
    </w:r>
    <w:r w:rsidR="00DD63F4" w:rsidRPr="00433EC3">
      <w:rPr>
        <w:sz w:val="24"/>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A05" w:rsidRDefault="00743A05">
    <w:pPr>
      <w:pStyle w:val="Footer"/>
    </w:pPr>
  </w:p>
  <w:p w:rsidR="00D91067" w:rsidRPr="00A3340D" w:rsidRDefault="00D91067">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89F" w:rsidRDefault="000F689F" w:rsidP="008D01E7">
      <w:pPr>
        <w:spacing w:after="0"/>
      </w:pPr>
      <w:r>
        <w:separator/>
      </w:r>
    </w:p>
  </w:footnote>
  <w:footnote w:type="continuationSeparator" w:id="0">
    <w:p w:rsidR="000F689F" w:rsidRDefault="000F689F" w:rsidP="008D01E7">
      <w:pPr>
        <w:spacing w:after="0"/>
      </w:pPr>
      <w:r>
        <w:continuationSeparator/>
      </w:r>
    </w:p>
  </w:footnote>
  <w:footnote w:id="1">
    <w:p w:rsidR="003B2F1C" w:rsidRPr="003B2F1C" w:rsidRDefault="003B2F1C" w:rsidP="003B2F1C">
      <w:pPr>
        <w:pStyle w:val="FootnoteText"/>
        <w:spacing w:after="0"/>
      </w:pPr>
      <w:r w:rsidRPr="003B2F1C">
        <w:rPr>
          <w:rStyle w:val="FootnoteReference"/>
        </w:rPr>
        <w:footnoteRef/>
      </w:r>
      <w:r w:rsidRPr="003B2F1C">
        <w:t xml:space="preserve"> </w:t>
      </w:r>
      <w:proofErr w:type="spellStart"/>
      <w:r w:rsidRPr="003B2F1C">
        <w:t>Lauku</w:t>
      </w:r>
      <w:proofErr w:type="spellEnd"/>
      <w:r w:rsidRPr="003B2F1C">
        <w:t xml:space="preserve"> </w:t>
      </w:r>
      <w:proofErr w:type="spellStart"/>
      <w:r w:rsidRPr="003B2F1C">
        <w:t>attīstības</w:t>
      </w:r>
      <w:proofErr w:type="spellEnd"/>
      <w:r w:rsidRPr="003B2F1C">
        <w:t xml:space="preserve"> </w:t>
      </w:r>
      <w:proofErr w:type="spellStart"/>
      <w:r w:rsidRPr="003B2F1C">
        <w:t>programm</w:t>
      </w:r>
      <w:r>
        <w:t>a</w:t>
      </w:r>
      <w:proofErr w:type="spellEnd"/>
      <w:r w:rsidRPr="003B2F1C">
        <w:t xml:space="preserve"> 2014.- 2020.gadam</w:t>
      </w:r>
    </w:p>
  </w:footnote>
  <w:footnote w:id="2">
    <w:p w:rsidR="003B2F1C" w:rsidRPr="003B2F1C" w:rsidRDefault="003B2F1C" w:rsidP="003B2F1C">
      <w:pPr>
        <w:pStyle w:val="FootnoteText"/>
        <w:spacing w:after="0"/>
        <w:rPr>
          <w:lang w:val="lv-LV"/>
        </w:rPr>
      </w:pPr>
      <w:r w:rsidRPr="003B2F1C">
        <w:rPr>
          <w:rStyle w:val="FootnoteReference"/>
        </w:rPr>
        <w:footnoteRef/>
      </w:r>
      <w:r w:rsidRPr="003B2F1C">
        <w:t xml:space="preserve"> </w:t>
      </w:r>
      <w:proofErr w:type="spellStart"/>
      <w:r w:rsidRPr="003B2F1C">
        <w:t>Kultūrpolitikas</w:t>
      </w:r>
      <w:proofErr w:type="spellEnd"/>
      <w:r w:rsidRPr="003B2F1C">
        <w:t xml:space="preserve"> </w:t>
      </w:r>
      <w:proofErr w:type="spellStart"/>
      <w:r w:rsidR="00C1359F" w:rsidRPr="00C1359F">
        <w:t>pamatnostādnēs</w:t>
      </w:r>
      <w:proofErr w:type="spellEnd"/>
      <w:r w:rsidR="00C1359F" w:rsidRPr="003B2F1C">
        <w:t xml:space="preserve"> </w:t>
      </w:r>
      <w:r w:rsidRPr="003B2F1C">
        <w:t>„</w:t>
      </w:r>
      <w:proofErr w:type="spellStart"/>
      <w:r w:rsidRPr="003B2F1C">
        <w:t>Radošā</w:t>
      </w:r>
      <w:proofErr w:type="spellEnd"/>
      <w:r w:rsidRPr="003B2F1C">
        <w:t xml:space="preserve"> </w:t>
      </w:r>
      <w:proofErr w:type="spellStart"/>
      <w:r w:rsidRPr="003B2F1C">
        <w:t>Latvija</w:t>
      </w:r>
      <w:proofErr w:type="spellEnd"/>
      <w:r w:rsidRPr="003B2F1C">
        <w:t>” 2014.-2020.gadam</w:t>
      </w:r>
    </w:p>
  </w:footnote>
  <w:footnote w:id="3">
    <w:p w:rsidR="003B2F1C" w:rsidRPr="003B2F1C" w:rsidRDefault="003B2F1C" w:rsidP="003B2F1C">
      <w:pPr>
        <w:pStyle w:val="FootnoteText"/>
        <w:spacing w:after="0"/>
        <w:rPr>
          <w:lang w:val="lv-LV"/>
        </w:rPr>
      </w:pPr>
      <w:r w:rsidRPr="003B2F1C">
        <w:rPr>
          <w:rStyle w:val="FootnoteReference"/>
        </w:rPr>
        <w:footnoteRef/>
      </w:r>
      <w:r w:rsidRPr="003B2F1C">
        <w:t xml:space="preserve"> Vides </w:t>
      </w:r>
      <w:proofErr w:type="spellStart"/>
      <w:r w:rsidRPr="003B2F1C">
        <w:t>politikas</w:t>
      </w:r>
      <w:proofErr w:type="spellEnd"/>
      <w:r w:rsidRPr="003B2F1C">
        <w:t xml:space="preserve"> </w:t>
      </w:r>
      <w:proofErr w:type="spellStart"/>
      <w:r w:rsidRPr="003B2F1C">
        <w:t>pamatnostādn</w:t>
      </w:r>
      <w:r>
        <w:t>e</w:t>
      </w:r>
      <w:r w:rsidRPr="003B2F1C">
        <w:t>s</w:t>
      </w:r>
      <w:proofErr w:type="spellEnd"/>
      <w:r w:rsidRPr="003B2F1C">
        <w:t xml:space="preserve"> 2014.-2020.gadam</w:t>
      </w:r>
      <w:r w:rsidR="00C1359F">
        <w:t xml:space="preserve">, </w:t>
      </w:r>
      <w:proofErr w:type="spellStart"/>
      <w:r w:rsidR="00C1359F">
        <w:t>Reģionālās</w:t>
      </w:r>
      <w:proofErr w:type="spellEnd"/>
      <w:r w:rsidR="00C1359F">
        <w:t xml:space="preserve"> </w:t>
      </w:r>
      <w:proofErr w:type="spellStart"/>
      <w:r w:rsidR="00C1359F">
        <w:t>politikas</w:t>
      </w:r>
      <w:proofErr w:type="spellEnd"/>
      <w:r w:rsidR="00C1359F">
        <w:t xml:space="preserve"> </w:t>
      </w:r>
      <w:proofErr w:type="spellStart"/>
      <w:r w:rsidR="00C1359F">
        <w:t>pamatnostādnes</w:t>
      </w:r>
      <w:proofErr w:type="spellEnd"/>
      <w:r w:rsidR="00C1359F">
        <w:t xml:space="preserve">  2014.-2020.gadam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4FD" w:rsidRDefault="008579F0">
    <w:pPr>
      <w:pStyle w:val="Header"/>
      <w:jc w:val="center"/>
    </w:pPr>
    <w:fldSimple w:instr=" PAGE   \* MERGEFORMAT ">
      <w:r w:rsidR="002E0D06">
        <w:rPr>
          <w:noProof/>
        </w:rPr>
        <w:t>4</w:t>
      </w:r>
    </w:fldSimple>
  </w:p>
  <w:p w:rsidR="00FD5892" w:rsidRDefault="00FD58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A05" w:rsidRDefault="00743A05" w:rsidP="00743A0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320B"/>
    <w:multiLevelType w:val="multilevel"/>
    <w:tmpl w:val="0C06A140"/>
    <w:lvl w:ilvl="0">
      <w:start w:val="1"/>
      <w:numFmt w:val="decimal"/>
      <w:lvlText w:val="%1."/>
      <w:lvlJc w:val="left"/>
      <w:pPr>
        <w:ind w:left="720" w:hanging="360"/>
      </w:pPr>
      <w:rPr>
        <w:rFonts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0B672F3"/>
    <w:multiLevelType w:val="multilevel"/>
    <w:tmpl w:val="2878F4E6"/>
    <w:lvl w:ilvl="0">
      <w:start w:val="1"/>
      <w:numFmt w:val="decimal"/>
      <w:lvlText w:val="%1."/>
      <w:lvlJc w:val="left"/>
      <w:pPr>
        <w:ind w:left="360" w:hanging="360"/>
      </w:pPr>
      <w:rPr>
        <w:rFonts w:hint="default"/>
      </w:rPr>
    </w:lvl>
    <w:lvl w:ilvl="1">
      <w:start w:val="3"/>
      <w:numFmt w:val="decimal"/>
      <w:isLgl/>
      <w:lvlText w:val="%1.%2."/>
      <w:lvlJc w:val="left"/>
      <w:pPr>
        <w:ind w:left="540" w:hanging="540"/>
      </w:pPr>
      <w:rPr>
        <w:rFonts w:hint="default"/>
      </w:rPr>
    </w:lvl>
    <w:lvl w:ilvl="2">
      <w:start w:val="2"/>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2">
    <w:nsid w:val="020E7807"/>
    <w:multiLevelType w:val="hybridMultilevel"/>
    <w:tmpl w:val="929AA118"/>
    <w:lvl w:ilvl="0" w:tplc="0426000F">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80F4920"/>
    <w:multiLevelType w:val="hybridMultilevel"/>
    <w:tmpl w:val="4080DB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DD43523"/>
    <w:multiLevelType w:val="hybridMultilevel"/>
    <w:tmpl w:val="84DA1092"/>
    <w:lvl w:ilvl="0" w:tplc="AA6EC274">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0F8102DB"/>
    <w:multiLevelType w:val="hybridMultilevel"/>
    <w:tmpl w:val="809C4630"/>
    <w:lvl w:ilvl="0" w:tplc="FEE2EDC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nsid w:val="11400881"/>
    <w:multiLevelType w:val="hybridMultilevel"/>
    <w:tmpl w:val="D94818E6"/>
    <w:lvl w:ilvl="0" w:tplc="0426000F">
      <w:start w:val="1"/>
      <w:numFmt w:val="decimal"/>
      <w:lvlText w:val="%1."/>
      <w:lvlJc w:val="left"/>
      <w:pPr>
        <w:ind w:left="64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1604B5E"/>
    <w:multiLevelType w:val="hybridMultilevel"/>
    <w:tmpl w:val="3804578E"/>
    <w:lvl w:ilvl="0" w:tplc="C0DE9E70">
      <w:start w:val="1"/>
      <w:numFmt w:val="bullet"/>
      <w:lvlText w:val=""/>
      <w:lvlJc w:val="left"/>
      <w:pPr>
        <w:ind w:left="720" w:hanging="360"/>
      </w:pPr>
      <w:rPr>
        <w:rFonts w:ascii="Symbol" w:hAnsi="Symbol" w:hint="default"/>
      </w:rPr>
    </w:lvl>
    <w:lvl w:ilvl="1" w:tplc="04260001">
      <w:start w:val="1"/>
      <w:numFmt w:val="bullet"/>
      <w:lvlText w:val=""/>
      <w:lvlJc w:val="left"/>
      <w:pPr>
        <w:ind w:left="1211"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18E2A98"/>
    <w:multiLevelType w:val="multilevel"/>
    <w:tmpl w:val="94A64606"/>
    <w:lvl w:ilvl="0">
      <w:start w:val="1"/>
      <w:numFmt w:val="decimal"/>
      <w:lvlText w:val="%1."/>
      <w:lvlJc w:val="left"/>
      <w:pPr>
        <w:ind w:left="720" w:hanging="360"/>
      </w:pPr>
      <w:rPr>
        <w:rFonts w:hint="default"/>
        <w:b w:val="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3BF1E58"/>
    <w:multiLevelType w:val="hybridMultilevel"/>
    <w:tmpl w:val="505E7A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5A01AD2"/>
    <w:multiLevelType w:val="hybridMultilevel"/>
    <w:tmpl w:val="1BF046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0817F28"/>
    <w:multiLevelType w:val="hybridMultilevel"/>
    <w:tmpl w:val="DD98A2B8"/>
    <w:lvl w:ilvl="0" w:tplc="AF3AF23E">
      <w:start w:val="12"/>
      <w:numFmt w:val="bullet"/>
      <w:lvlText w:val="-"/>
      <w:lvlJc w:val="left"/>
      <w:pPr>
        <w:ind w:left="757" w:hanging="360"/>
      </w:pPr>
      <w:rPr>
        <w:rFonts w:ascii="Times New Roman" w:eastAsia="Times New Roman" w:hAnsi="Times New Roman" w:cs="Times New Roman"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12">
    <w:nsid w:val="328839CF"/>
    <w:multiLevelType w:val="hybridMultilevel"/>
    <w:tmpl w:val="DD4683EA"/>
    <w:lvl w:ilvl="0" w:tplc="C0DE9E70">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7C1142A"/>
    <w:multiLevelType w:val="hybridMultilevel"/>
    <w:tmpl w:val="4B4C1EBC"/>
    <w:lvl w:ilvl="0" w:tplc="19C01D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7D038F"/>
    <w:multiLevelType w:val="hybridMultilevel"/>
    <w:tmpl w:val="7C30CAE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nsid w:val="434159A3"/>
    <w:multiLevelType w:val="hybridMultilevel"/>
    <w:tmpl w:val="4AB4605E"/>
    <w:lvl w:ilvl="0" w:tplc="0AC219AC">
      <w:start w:val="1"/>
      <w:numFmt w:val="decimal"/>
      <w:lvlText w:val="%1."/>
      <w:lvlJc w:val="left"/>
      <w:pPr>
        <w:ind w:left="720" w:hanging="360"/>
      </w:pPr>
      <w:rPr>
        <w:rFonts w:ascii="TimesNewRomanPS-ItalicMT" w:eastAsia="Calibri" w:hAnsi="TimesNewRomanPS-ItalicMT" w:cs="TimesNewRomanPS-Italic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FF67BC"/>
    <w:multiLevelType w:val="hybridMultilevel"/>
    <w:tmpl w:val="6C067A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0B422B5"/>
    <w:multiLevelType w:val="hybridMultilevel"/>
    <w:tmpl w:val="81F4D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3883636"/>
    <w:multiLevelType w:val="hybridMultilevel"/>
    <w:tmpl w:val="989C3922"/>
    <w:lvl w:ilvl="0" w:tplc="73DADB0A">
      <w:start w:val="1"/>
      <w:numFmt w:val="decimal"/>
      <w:lvlText w:val="%1."/>
      <w:lvlJc w:val="left"/>
      <w:pPr>
        <w:ind w:left="1845" w:hanging="1125"/>
      </w:pPr>
      <w:rPr>
        <w:rFonts w:ascii="Times New Roman" w:hAnsi="Times New Roman"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6C401817"/>
    <w:multiLevelType w:val="hybridMultilevel"/>
    <w:tmpl w:val="7082A700"/>
    <w:lvl w:ilvl="0" w:tplc="B5E484F6">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18"/>
  </w:num>
  <w:num w:numId="3">
    <w:abstractNumId w:val="16"/>
  </w:num>
  <w:num w:numId="4">
    <w:abstractNumId w:val="10"/>
  </w:num>
  <w:num w:numId="5">
    <w:abstractNumId w:val="1"/>
  </w:num>
  <w:num w:numId="6">
    <w:abstractNumId w:val="9"/>
  </w:num>
  <w:num w:numId="7">
    <w:abstractNumId w:val="3"/>
  </w:num>
  <w:num w:numId="8">
    <w:abstractNumId w:val="19"/>
  </w:num>
  <w:num w:numId="9">
    <w:abstractNumId w:val="6"/>
  </w:num>
  <w:num w:numId="10">
    <w:abstractNumId w:val="5"/>
  </w:num>
  <w:num w:numId="11">
    <w:abstractNumId w:val="2"/>
  </w:num>
  <w:num w:numId="12">
    <w:abstractNumId w:val="12"/>
  </w:num>
  <w:num w:numId="13">
    <w:abstractNumId w:val="7"/>
  </w:num>
  <w:num w:numId="14">
    <w:abstractNumId w:val="4"/>
  </w:num>
  <w:num w:numId="15">
    <w:abstractNumId w:val="0"/>
  </w:num>
  <w:num w:numId="16">
    <w:abstractNumId w:val="8"/>
  </w:num>
  <w:num w:numId="17">
    <w:abstractNumId w:val="14"/>
  </w:num>
  <w:num w:numId="18">
    <w:abstractNumId w:val="17"/>
  </w:num>
  <w:num w:numId="19">
    <w:abstractNumId w:val="13"/>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2B4B9A"/>
    <w:rsid w:val="00046CFA"/>
    <w:rsid w:val="000508F5"/>
    <w:rsid w:val="0008699C"/>
    <w:rsid w:val="00087574"/>
    <w:rsid w:val="000945F3"/>
    <w:rsid w:val="00096EBE"/>
    <w:rsid w:val="000A5D69"/>
    <w:rsid w:val="000F689F"/>
    <w:rsid w:val="0010579B"/>
    <w:rsid w:val="00120689"/>
    <w:rsid w:val="001429FB"/>
    <w:rsid w:val="001431B5"/>
    <w:rsid w:val="001461A2"/>
    <w:rsid w:val="001504FD"/>
    <w:rsid w:val="001B0ED1"/>
    <w:rsid w:val="001B4852"/>
    <w:rsid w:val="001C0CB1"/>
    <w:rsid w:val="001D43F3"/>
    <w:rsid w:val="001D5B16"/>
    <w:rsid w:val="001F160D"/>
    <w:rsid w:val="0021383F"/>
    <w:rsid w:val="002243B8"/>
    <w:rsid w:val="002467B7"/>
    <w:rsid w:val="00261C40"/>
    <w:rsid w:val="00270FEF"/>
    <w:rsid w:val="00271D51"/>
    <w:rsid w:val="002726EF"/>
    <w:rsid w:val="002849D3"/>
    <w:rsid w:val="00287138"/>
    <w:rsid w:val="002921D7"/>
    <w:rsid w:val="002A375F"/>
    <w:rsid w:val="002B4B9A"/>
    <w:rsid w:val="002B536D"/>
    <w:rsid w:val="002C3EFC"/>
    <w:rsid w:val="002D64DF"/>
    <w:rsid w:val="002E0D06"/>
    <w:rsid w:val="002F1B55"/>
    <w:rsid w:val="002F57B2"/>
    <w:rsid w:val="00310B54"/>
    <w:rsid w:val="00317AAA"/>
    <w:rsid w:val="0033551D"/>
    <w:rsid w:val="003356E5"/>
    <w:rsid w:val="0035000A"/>
    <w:rsid w:val="00352B24"/>
    <w:rsid w:val="003553E4"/>
    <w:rsid w:val="0036133E"/>
    <w:rsid w:val="00363693"/>
    <w:rsid w:val="00381F89"/>
    <w:rsid w:val="0038782D"/>
    <w:rsid w:val="00392A36"/>
    <w:rsid w:val="003A3B26"/>
    <w:rsid w:val="003B2F1C"/>
    <w:rsid w:val="003D020F"/>
    <w:rsid w:val="003D4840"/>
    <w:rsid w:val="003E20E7"/>
    <w:rsid w:val="00402D51"/>
    <w:rsid w:val="00406376"/>
    <w:rsid w:val="00407A6C"/>
    <w:rsid w:val="00416130"/>
    <w:rsid w:val="00433EC3"/>
    <w:rsid w:val="00455FD0"/>
    <w:rsid w:val="00462B4E"/>
    <w:rsid w:val="00474B1C"/>
    <w:rsid w:val="0047555A"/>
    <w:rsid w:val="00481E8A"/>
    <w:rsid w:val="004A3C15"/>
    <w:rsid w:val="004A7836"/>
    <w:rsid w:val="004C4DEB"/>
    <w:rsid w:val="004E4191"/>
    <w:rsid w:val="004E6D02"/>
    <w:rsid w:val="004F6E86"/>
    <w:rsid w:val="00510C46"/>
    <w:rsid w:val="00517420"/>
    <w:rsid w:val="005450DB"/>
    <w:rsid w:val="0055253C"/>
    <w:rsid w:val="00557968"/>
    <w:rsid w:val="005648DC"/>
    <w:rsid w:val="0056510F"/>
    <w:rsid w:val="005A78A0"/>
    <w:rsid w:val="005B0F12"/>
    <w:rsid w:val="005B1E95"/>
    <w:rsid w:val="005C4F4E"/>
    <w:rsid w:val="005D0FE6"/>
    <w:rsid w:val="005D4424"/>
    <w:rsid w:val="005D77AC"/>
    <w:rsid w:val="005E0CA4"/>
    <w:rsid w:val="005F0A04"/>
    <w:rsid w:val="005F61E4"/>
    <w:rsid w:val="00602AA5"/>
    <w:rsid w:val="00604CE3"/>
    <w:rsid w:val="00611C5F"/>
    <w:rsid w:val="00624B5D"/>
    <w:rsid w:val="00625FFB"/>
    <w:rsid w:val="00627D1E"/>
    <w:rsid w:val="006458F7"/>
    <w:rsid w:val="00647212"/>
    <w:rsid w:val="00660A09"/>
    <w:rsid w:val="00695FD5"/>
    <w:rsid w:val="006A547F"/>
    <w:rsid w:val="006C5B95"/>
    <w:rsid w:val="006F1655"/>
    <w:rsid w:val="00701EFF"/>
    <w:rsid w:val="00706892"/>
    <w:rsid w:val="00725D23"/>
    <w:rsid w:val="0072638F"/>
    <w:rsid w:val="007428F1"/>
    <w:rsid w:val="00743A05"/>
    <w:rsid w:val="0075297F"/>
    <w:rsid w:val="00763527"/>
    <w:rsid w:val="00770DC8"/>
    <w:rsid w:val="0077527B"/>
    <w:rsid w:val="0078414A"/>
    <w:rsid w:val="007A46FB"/>
    <w:rsid w:val="007C336F"/>
    <w:rsid w:val="007D37F1"/>
    <w:rsid w:val="007F164C"/>
    <w:rsid w:val="007F21F7"/>
    <w:rsid w:val="008016CC"/>
    <w:rsid w:val="00813E4E"/>
    <w:rsid w:val="008239AA"/>
    <w:rsid w:val="00837082"/>
    <w:rsid w:val="00840A62"/>
    <w:rsid w:val="00840F3A"/>
    <w:rsid w:val="008579F0"/>
    <w:rsid w:val="00870165"/>
    <w:rsid w:val="0088477D"/>
    <w:rsid w:val="00886BB3"/>
    <w:rsid w:val="00891635"/>
    <w:rsid w:val="008964C9"/>
    <w:rsid w:val="008B3104"/>
    <w:rsid w:val="008B6DD0"/>
    <w:rsid w:val="008C2853"/>
    <w:rsid w:val="008D01E7"/>
    <w:rsid w:val="008D780D"/>
    <w:rsid w:val="008F29D1"/>
    <w:rsid w:val="008F6371"/>
    <w:rsid w:val="00907E02"/>
    <w:rsid w:val="00945DDF"/>
    <w:rsid w:val="00957BED"/>
    <w:rsid w:val="00964867"/>
    <w:rsid w:val="009803AB"/>
    <w:rsid w:val="009A197A"/>
    <w:rsid w:val="009A3C1C"/>
    <w:rsid w:val="009B18EB"/>
    <w:rsid w:val="009B1BC5"/>
    <w:rsid w:val="009D527B"/>
    <w:rsid w:val="009D74F9"/>
    <w:rsid w:val="009E4329"/>
    <w:rsid w:val="009E56E8"/>
    <w:rsid w:val="009E58B7"/>
    <w:rsid w:val="009E63F1"/>
    <w:rsid w:val="009E67E5"/>
    <w:rsid w:val="009F5BAC"/>
    <w:rsid w:val="009F7536"/>
    <w:rsid w:val="00A12D4D"/>
    <w:rsid w:val="00A230E5"/>
    <w:rsid w:val="00A231C5"/>
    <w:rsid w:val="00A27777"/>
    <w:rsid w:val="00A30C56"/>
    <w:rsid w:val="00A3340D"/>
    <w:rsid w:val="00A37CD0"/>
    <w:rsid w:val="00A421FD"/>
    <w:rsid w:val="00A76069"/>
    <w:rsid w:val="00A878D4"/>
    <w:rsid w:val="00A90670"/>
    <w:rsid w:val="00A9342E"/>
    <w:rsid w:val="00A96C3D"/>
    <w:rsid w:val="00AB611B"/>
    <w:rsid w:val="00AB6326"/>
    <w:rsid w:val="00AB721E"/>
    <w:rsid w:val="00AC12D1"/>
    <w:rsid w:val="00AC3FD8"/>
    <w:rsid w:val="00AD1323"/>
    <w:rsid w:val="00AE687F"/>
    <w:rsid w:val="00B136E7"/>
    <w:rsid w:val="00B359FD"/>
    <w:rsid w:val="00B6003E"/>
    <w:rsid w:val="00B660E6"/>
    <w:rsid w:val="00B667C8"/>
    <w:rsid w:val="00B80C1E"/>
    <w:rsid w:val="00B86351"/>
    <w:rsid w:val="00BA5273"/>
    <w:rsid w:val="00BA5E3F"/>
    <w:rsid w:val="00BC49C4"/>
    <w:rsid w:val="00BC4E7D"/>
    <w:rsid w:val="00BC742B"/>
    <w:rsid w:val="00BC7950"/>
    <w:rsid w:val="00BD3481"/>
    <w:rsid w:val="00BD6025"/>
    <w:rsid w:val="00BE716D"/>
    <w:rsid w:val="00BF0F31"/>
    <w:rsid w:val="00C01F17"/>
    <w:rsid w:val="00C1359F"/>
    <w:rsid w:val="00C160C1"/>
    <w:rsid w:val="00C21192"/>
    <w:rsid w:val="00C32B61"/>
    <w:rsid w:val="00C34D09"/>
    <w:rsid w:val="00C37F78"/>
    <w:rsid w:val="00C4159B"/>
    <w:rsid w:val="00C66DA6"/>
    <w:rsid w:val="00C86626"/>
    <w:rsid w:val="00C974A8"/>
    <w:rsid w:val="00CA211F"/>
    <w:rsid w:val="00CB3FC5"/>
    <w:rsid w:val="00CB55CC"/>
    <w:rsid w:val="00CB77BA"/>
    <w:rsid w:val="00CE62C8"/>
    <w:rsid w:val="00CF1676"/>
    <w:rsid w:val="00CF3420"/>
    <w:rsid w:val="00CF3482"/>
    <w:rsid w:val="00CF4162"/>
    <w:rsid w:val="00D1162B"/>
    <w:rsid w:val="00D1332E"/>
    <w:rsid w:val="00D24C09"/>
    <w:rsid w:val="00D3252B"/>
    <w:rsid w:val="00D604B0"/>
    <w:rsid w:val="00D71311"/>
    <w:rsid w:val="00D849D4"/>
    <w:rsid w:val="00D867DE"/>
    <w:rsid w:val="00D91067"/>
    <w:rsid w:val="00DA4751"/>
    <w:rsid w:val="00DB65E7"/>
    <w:rsid w:val="00DC5CFF"/>
    <w:rsid w:val="00DC65B3"/>
    <w:rsid w:val="00DC6613"/>
    <w:rsid w:val="00DD20CD"/>
    <w:rsid w:val="00DD63F4"/>
    <w:rsid w:val="00DE3522"/>
    <w:rsid w:val="00E078F5"/>
    <w:rsid w:val="00E20600"/>
    <w:rsid w:val="00E44A1C"/>
    <w:rsid w:val="00E56D3C"/>
    <w:rsid w:val="00E60988"/>
    <w:rsid w:val="00E715D3"/>
    <w:rsid w:val="00E73468"/>
    <w:rsid w:val="00E81AD9"/>
    <w:rsid w:val="00EB121B"/>
    <w:rsid w:val="00EB3730"/>
    <w:rsid w:val="00ED08BE"/>
    <w:rsid w:val="00ED4F88"/>
    <w:rsid w:val="00F04509"/>
    <w:rsid w:val="00F5018B"/>
    <w:rsid w:val="00F50F67"/>
    <w:rsid w:val="00F62BA9"/>
    <w:rsid w:val="00F92428"/>
    <w:rsid w:val="00F93070"/>
    <w:rsid w:val="00F95A55"/>
    <w:rsid w:val="00FB021E"/>
    <w:rsid w:val="00FC38C5"/>
    <w:rsid w:val="00FD5892"/>
    <w:rsid w:val="00FD6F5E"/>
    <w:rsid w:val="00FE150C"/>
    <w:rsid w:val="00FE1D8B"/>
    <w:rsid w:val="00FE4C06"/>
    <w:rsid w:val="00FF1BC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B9A"/>
    <w:pPr>
      <w:spacing w:after="120"/>
      <w:jc w:val="both"/>
    </w:pPr>
    <w:rPr>
      <w:rFonts w:ascii="Times New Roman" w:eastAsia="Times New Roman" w:hAnsi="Times New Roman"/>
      <w:sz w:val="28"/>
      <w:szCs w:val="24"/>
      <w:lang w:val="lv-LV" w:eastAsia="lv-LV"/>
    </w:rPr>
  </w:style>
  <w:style w:type="paragraph" w:styleId="Heading1">
    <w:name w:val="heading 1"/>
    <w:basedOn w:val="Normal"/>
    <w:next w:val="Normal"/>
    <w:link w:val="Heading1Char"/>
    <w:uiPriority w:val="9"/>
    <w:qFormat/>
    <w:rsid w:val="00D867DE"/>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autoRedefine/>
    <w:uiPriority w:val="9"/>
    <w:qFormat/>
    <w:rsid w:val="00352B24"/>
    <w:pPr>
      <w:keepNext/>
      <w:outlineLvl w:val="1"/>
    </w:pPr>
    <w:rPr>
      <w:b/>
      <w:bCs/>
      <w:iCs/>
      <w:sz w:val="24"/>
      <w:u w:val="single"/>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B4B9A"/>
    <w:pPr>
      <w:ind w:left="720"/>
    </w:pPr>
  </w:style>
  <w:style w:type="paragraph" w:styleId="Header">
    <w:name w:val="header"/>
    <w:basedOn w:val="Normal"/>
    <w:link w:val="HeaderChar"/>
    <w:uiPriority w:val="99"/>
    <w:unhideWhenUsed/>
    <w:rsid w:val="008D01E7"/>
    <w:pPr>
      <w:tabs>
        <w:tab w:val="center" w:pos="4153"/>
        <w:tab w:val="right" w:pos="8306"/>
      </w:tabs>
    </w:pPr>
  </w:style>
  <w:style w:type="character" w:customStyle="1" w:styleId="HeaderChar">
    <w:name w:val="Header Char"/>
    <w:basedOn w:val="DefaultParagraphFont"/>
    <w:link w:val="Header"/>
    <w:uiPriority w:val="99"/>
    <w:rsid w:val="008D01E7"/>
    <w:rPr>
      <w:rFonts w:ascii="Times New Roman" w:eastAsia="Times New Roman" w:hAnsi="Times New Roman"/>
      <w:sz w:val="28"/>
      <w:szCs w:val="24"/>
    </w:rPr>
  </w:style>
  <w:style w:type="paragraph" w:styleId="Footer">
    <w:name w:val="footer"/>
    <w:basedOn w:val="Normal"/>
    <w:link w:val="FooterChar"/>
    <w:uiPriority w:val="99"/>
    <w:unhideWhenUsed/>
    <w:rsid w:val="008D01E7"/>
    <w:pPr>
      <w:tabs>
        <w:tab w:val="center" w:pos="4153"/>
        <w:tab w:val="right" w:pos="8306"/>
      </w:tabs>
    </w:pPr>
  </w:style>
  <w:style w:type="character" w:customStyle="1" w:styleId="FooterChar">
    <w:name w:val="Footer Char"/>
    <w:basedOn w:val="DefaultParagraphFont"/>
    <w:link w:val="Footer"/>
    <w:uiPriority w:val="99"/>
    <w:rsid w:val="008D01E7"/>
    <w:rPr>
      <w:rFonts w:ascii="Times New Roman" w:eastAsia="Times New Roman" w:hAnsi="Times New Roman"/>
      <w:sz w:val="28"/>
      <w:szCs w:val="24"/>
    </w:rPr>
  </w:style>
  <w:style w:type="paragraph" w:styleId="BalloonText">
    <w:name w:val="Balloon Text"/>
    <w:basedOn w:val="Normal"/>
    <w:link w:val="BalloonTextChar"/>
    <w:uiPriority w:val="99"/>
    <w:semiHidden/>
    <w:unhideWhenUsed/>
    <w:rsid w:val="008D01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1E7"/>
    <w:rPr>
      <w:rFonts w:ascii="Tahoma" w:eastAsia="Times New Roman" w:hAnsi="Tahoma" w:cs="Tahoma"/>
      <w:sz w:val="16"/>
      <w:szCs w:val="16"/>
    </w:rPr>
  </w:style>
  <w:style w:type="paragraph" w:styleId="FootnoteText">
    <w:name w:val="footnote text"/>
    <w:aliases w:val="Footnote Text Char1 Char,Footnote Text Char Char Char,Footnote Text Char1 Char Char1 Char,Footnote Text Char Char Char Char Char,Footnote Text Char Char Char Char Char Char Char Char"/>
    <w:basedOn w:val="Normal"/>
    <w:link w:val="FootnoteTextChar"/>
    <w:unhideWhenUsed/>
    <w:rsid w:val="008964C9"/>
    <w:rPr>
      <w:sz w:val="20"/>
      <w:szCs w:val="20"/>
      <w:lang w:val="en-US" w:eastAsia="en-US" w:bidi="en-US"/>
    </w:rPr>
  </w:style>
  <w:style w:type="character" w:customStyle="1" w:styleId="FootnoteTextChar">
    <w:name w:val="Footnote Text Char"/>
    <w:aliases w:val="Footnote Text Char1 Char Char,Footnote Text Char Char Char Char,Footnote Text Char1 Char Char1 Char Char,Footnote Text Char Char Char Char Char Char,Footnote Text Char Char Char Char Char Char Char Char Char"/>
    <w:basedOn w:val="DefaultParagraphFont"/>
    <w:link w:val="FootnoteText"/>
    <w:rsid w:val="008964C9"/>
    <w:rPr>
      <w:rFonts w:ascii="Times New Roman" w:eastAsia="Times New Roman" w:hAnsi="Times New Roman"/>
      <w:lang w:val="en-US" w:eastAsia="en-US" w:bidi="en-US"/>
    </w:rPr>
  </w:style>
  <w:style w:type="character" w:styleId="FootnoteReference">
    <w:name w:val="footnote reference"/>
    <w:aliases w:val="Footnote Reference Number,Footnote symbol"/>
    <w:basedOn w:val="DefaultParagraphFont"/>
    <w:uiPriority w:val="99"/>
    <w:unhideWhenUsed/>
    <w:rsid w:val="008964C9"/>
    <w:rPr>
      <w:vertAlign w:val="superscript"/>
    </w:rPr>
  </w:style>
  <w:style w:type="table" w:styleId="TableGrid">
    <w:name w:val="Table Grid"/>
    <w:basedOn w:val="TableNormal"/>
    <w:uiPriority w:val="59"/>
    <w:rsid w:val="00BE71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isf">
    <w:name w:val="naisf"/>
    <w:basedOn w:val="Normal"/>
    <w:rsid w:val="004A7836"/>
    <w:pPr>
      <w:spacing w:before="100" w:beforeAutospacing="1" w:after="100" w:afterAutospacing="1"/>
    </w:pPr>
    <w:rPr>
      <w:sz w:val="24"/>
    </w:rPr>
  </w:style>
  <w:style w:type="character" w:styleId="PageNumber">
    <w:name w:val="page number"/>
    <w:basedOn w:val="DefaultParagraphFont"/>
    <w:rsid w:val="00BA5273"/>
  </w:style>
  <w:style w:type="character" w:customStyle="1" w:styleId="FootnoteTextChar2">
    <w:name w:val="Footnote Text Char2"/>
    <w:aliases w:val="Footnote Text Char1 Char Char1,Footnote Text Char Char Char Char1,Footnote Text Char1 Char Char1 Char Char1,Footnote Text Char Char Char Char Char Char1,Footnote Text Char Char Char Char Char Char Char Char Char1"/>
    <w:basedOn w:val="DefaultParagraphFont"/>
    <w:locked/>
    <w:rsid w:val="00A3340D"/>
    <w:rPr>
      <w:rFonts w:ascii="Times New Roman" w:hAnsi="Times New Roman" w:cs="Times New Roman"/>
      <w:lang w:val="en-US" w:eastAsia="en-US"/>
    </w:rPr>
  </w:style>
  <w:style w:type="character" w:customStyle="1" w:styleId="Heading2Char">
    <w:name w:val="Heading 2 Char"/>
    <w:basedOn w:val="DefaultParagraphFont"/>
    <w:link w:val="Heading2"/>
    <w:uiPriority w:val="9"/>
    <w:rsid w:val="00352B24"/>
    <w:rPr>
      <w:rFonts w:ascii="Times New Roman" w:eastAsia="Times New Roman" w:hAnsi="Times New Roman"/>
      <w:b/>
      <w:bCs/>
      <w:iCs/>
      <w:sz w:val="24"/>
      <w:szCs w:val="24"/>
      <w:u w:val="single"/>
    </w:rPr>
  </w:style>
  <w:style w:type="character" w:customStyle="1" w:styleId="Heading1Char">
    <w:name w:val="Heading 1 Char"/>
    <w:basedOn w:val="DefaultParagraphFont"/>
    <w:link w:val="Heading1"/>
    <w:rsid w:val="00D867DE"/>
    <w:rPr>
      <w:rFonts w:asciiTheme="majorHAnsi" w:eastAsiaTheme="majorEastAsia" w:hAnsiTheme="majorHAnsi" w:cstheme="majorBidi"/>
      <w:b/>
      <w:bCs/>
      <w:color w:val="365F91" w:themeColor="accent1" w:themeShade="BF"/>
      <w:sz w:val="28"/>
      <w:szCs w:val="28"/>
      <w:lang w:val="lv-LV" w:eastAsia="lv-LV"/>
    </w:rPr>
  </w:style>
  <w:style w:type="character" w:customStyle="1" w:styleId="ListParagraphChar">
    <w:name w:val="List Paragraph Char"/>
    <w:link w:val="ListParagraph"/>
    <w:uiPriority w:val="34"/>
    <w:locked/>
    <w:rsid w:val="00D867DE"/>
    <w:rPr>
      <w:rFonts w:ascii="Times New Roman" w:eastAsia="Times New Roman" w:hAnsi="Times New Roman"/>
      <w:sz w:val="28"/>
      <w:szCs w:val="24"/>
      <w:lang w:val="lv-LV" w:eastAsia="lv-LV"/>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A6169C-8511-4115-A2EF-F59097A65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689</Words>
  <Characters>5216</Characters>
  <Application>Microsoft Office Word</Application>
  <DocSecurity>0</DocSecurity>
  <Lines>200</Lines>
  <Paragraphs>54</Paragraphs>
  <ScaleCrop>false</ScaleCrop>
  <HeadingPairs>
    <vt:vector size="2" baseType="variant">
      <vt:variant>
        <vt:lpstr>Title</vt:lpstr>
      </vt:variant>
      <vt:variant>
        <vt:i4>1</vt:i4>
      </vt:variant>
    </vt:vector>
  </HeadingPairs>
  <TitlesOfParts>
    <vt:vector size="1" baseType="lpstr">
      <vt:lpstr>VARAMpdsat_15032013_ain</vt:lpstr>
    </vt:vector>
  </TitlesOfParts>
  <Company>VARAM</Company>
  <LinksUpToDate>false</LinksUpToDate>
  <CharactersWithSpaces>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VARAMpdsat_21062013_ain</dc:title>
  <dc:subject>pamatnostādņu projekta kopsavilkums</dc:subject>
  <dc:creator>Dace Granta</dc:creator>
  <cp:keywords>Ainavu politika</cp:keywords>
  <dc:description>dace.granta@varam.gov.lv;  tālrunis 66016553</dc:description>
  <cp:lastModifiedBy>DaceGranta</cp:lastModifiedBy>
  <cp:revision>2</cp:revision>
  <cp:lastPrinted>2013-06-25T06:06:00Z</cp:lastPrinted>
  <dcterms:created xsi:type="dcterms:W3CDTF">2013-06-25T06:10:00Z</dcterms:created>
  <dcterms:modified xsi:type="dcterms:W3CDTF">2013-06-25T06:10:00Z</dcterms:modified>
  <cp:category>politikas plānošanas dokuments</cp:category>
  <cp:contentStatus>projekts</cp:contentStatus>
</cp:coreProperties>
</file>