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6EC04" w14:textId="77777777" w:rsidR="00D96F7E" w:rsidRDefault="00D96F7E" w:rsidP="00D96F7E">
      <w:pPr>
        <w:jc w:val="center"/>
        <w:rPr>
          <w:sz w:val="28"/>
          <w:szCs w:val="28"/>
        </w:rPr>
      </w:pPr>
    </w:p>
    <w:p w14:paraId="0BE93AAF" w14:textId="77777777" w:rsidR="00D96F7E" w:rsidRDefault="00D96F7E" w:rsidP="00D96F7E">
      <w:pPr>
        <w:jc w:val="center"/>
        <w:rPr>
          <w:sz w:val="28"/>
          <w:szCs w:val="28"/>
        </w:rPr>
      </w:pPr>
    </w:p>
    <w:p w14:paraId="35674838" w14:textId="77777777" w:rsidR="00D96F7E" w:rsidRDefault="00D96F7E" w:rsidP="00D96F7E">
      <w:pPr>
        <w:jc w:val="center"/>
        <w:rPr>
          <w:sz w:val="28"/>
          <w:szCs w:val="28"/>
        </w:rPr>
      </w:pPr>
    </w:p>
    <w:p w14:paraId="564A6296" w14:textId="77777777" w:rsidR="00D96F7E" w:rsidRDefault="00D96F7E" w:rsidP="00D96F7E">
      <w:pPr>
        <w:jc w:val="center"/>
        <w:rPr>
          <w:sz w:val="28"/>
          <w:szCs w:val="28"/>
        </w:rPr>
      </w:pPr>
    </w:p>
    <w:p w14:paraId="4569248A" w14:textId="77777777" w:rsidR="00D96F7E" w:rsidRDefault="00D96F7E" w:rsidP="00D96F7E">
      <w:pPr>
        <w:jc w:val="center"/>
        <w:rPr>
          <w:sz w:val="28"/>
          <w:szCs w:val="28"/>
        </w:rPr>
      </w:pPr>
    </w:p>
    <w:p w14:paraId="6DAB9DFE" w14:textId="77777777" w:rsidR="00D96F7E" w:rsidRDefault="00D96F7E" w:rsidP="00D96F7E">
      <w:pPr>
        <w:jc w:val="center"/>
        <w:rPr>
          <w:sz w:val="28"/>
          <w:szCs w:val="28"/>
        </w:rPr>
      </w:pPr>
    </w:p>
    <w:p w14:paraId="7EB4F0F3" w14:textId="77777777" w:rsidR="00D96F7E" w:rsidRDefault="00D96F7E" w:rsidP="00D96F7E">
      <w:pPr>
        <w:jc w:val="center"/>
        <w:rPr>
          <w:sz w:val="28"/>
          <w:szCs w:val="28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D96F7E" w:rsidRPr="002A1D53" w14:paraId="2155D0D8" w14:textId="77777777" w:rsidTr="00193E4A">
        <w:trPr>
          <w:cantSplit/>
        </w:trPr>
        <w:tc>
          <w:tcPr>
            <w:tcW w:w="3967" w:type="dxa"/>
            <w:hideMark/>
          </w:tcPr>
          <w:p w14:paraId="7E8CA005" w14:textId="77777777" w:rsidR="00D96F7E" w:rsidRPr="002A1D53" w:rsidRDefault="00D96F7E" w:rsidP="00D96F7E">
            <w:pPr>
              <w:rPr>
                <w:sz w:val="28"/>
                <w:szCs w:val="28"/>
              </w:rPr>
            </w:pPr>
            <w:r w:rsidRPr="002A1D53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  <w:hideMark/>
          </w:tcPr>
          <w:p w14:paraId="73E3E8DB" w14:textId="714C043D" w:rsidR="00D96F7E" w:rsidRPr="002A1D53" w:rsidRDefault="00D96F7E" w:rsidP="00D96F7E">
            <w:pPr>
              <w:rPr>
                <w:sz w:val="28"/>
                <w:szCs w:val="28"/>
              </w:rPr>
            </w:pPr>
            <w:r w:rsidRPr="002A1D53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  <w:hideMark/>
          </w:tcPr>
          <w:p w14:paraId="0969224E" w14:textId="43BA594E" w:rsidR="00D96F7E" w:rsidRPr="002A1D53" w:rsidRDefault="00D96F7E" w:rsidP="00D96F7E">
            <w:pPr>
              <w:jc w:val="right"/>
              <w:rPr>
                <w:sz w:val="28"/>
                <w:szCs w:val="28"/>
              </w:rPr>
            </w:pPr>
            <w:r w:rsidRPr="002A1D5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2A1D53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                    </w:t>
            </w:r>
          </w:p>
        </w:tc>
      </w:tr>
    </w:tbl>
    <w:p w14:paraId="7439C562" w14:textId="77777777" w:rsidR="00D96F7E" w:rsidRDefault="00D96F7E" w:rsidP="00D96F7E">
      <w:pPr>
        <w:tabs>
          <w:tab w:val="left" w:pos="6804"/>
        </w:tabs>
        <w:ind w:firstLine="709"/>
        <w:rPr>
          <w:sz w:val="28"/>
          <w:szCs w:val="28"/>
        </w:rPr>
      </w:pPr>
    </w:p>
    <w:p w14:paraId="5F00E7CA" w14:textId="77777777" w:rsidR="00D96F7E" w:rsidRPr="00CE7B6E" w:rsidRDefault="00D96F7E" w:rsidP="00D96F7E">
      <w:pPr>
        <w:tabs>
          <w:tab w:val="left" w:pos="6804"/>
        </w:tabs>
        <w:ind w:firstLine="709"/>
        <w:rPr>
          <w:sz w:val="28"/>
          <w:szCs w:val="28"/>
        </w:rPr>
      </w:pPr>
    </w:p>
    <w:p w14:paraId="4009B08F" w14:textId="4E874F56" w:rsidR="00F23795" w:rsidRPr="00D96F7E" w:rsidRDefault="00F23795" w:rsidP="00D96F7E">
      <w:pPr>
        <w:jc w:val="center"/>
        <w:rPr>
          <w:b/>
          <w:sz w:val="28"/>
          <w:szCs w:val="28"/>
        </w:rPr>
      </w:pPr>
      <w:r w:rsidRPr="00D96F7E">
        <w:rPr>
          <w:b/>
          <w:sz w:val="28"/>
          <w:szCs w:val="28"/>
        </w:rPr>
        <w:t>.§</w:t>
      </w:r>
    </w:p>
    <w:p w14:paraId="6B4426E2" w14:textId="77777777" w:rsidR="004065D7" w:rsidRPr="00C23629" w:rsidRDefault="004065D7" w:rsidP="00D96F7E">
      <w:pPr>
        <w:jc w:val="center"/>
        <w:rPr>
          <w:sz w:val="28"/>
          <w:szCs w:val="28"/>
        </w:rPr>
      </w:pPr>
    </w:p>
    <w:p w14:paraId="4009B090" w14:textId="373A200E" w:rsidR="007B1459" w:rsidRPr="007B1459" w:rsidRDefault="007B1459" w:rsidP="00D96F7E">
      <w:pPr>
        <w:pStyle w:val="NoSpacing"/>
        <w:jc w:val="center"/>
        <w:rPr>
          <w:b/>
          <w:sz w:val="28"/>
          <w:szCs w:val="28"/>
        </w:rPr>
      </w:pPr>
      <w:r w:rsidRPr="007B1459">
        <w:rPr>
          <w:b/>
          <w:sz w:val="28"/>
          <w:szCs w:val="28"/>
        </w:rPr>
        <w:t>Informatīvais ziņojums</w:t>
      </w:r>
    </w:p>
    <w:p w14:paraId="4009B091" w14:textId="77777777" w:rsidR="007B1459" w:rsidRPr="007B1459" w:rsidRDefault="007B1459" w:rsidP="00D96F7E">
      <w:pPr>
        <w:pStyle w:val="NoSpacing"/>
        <w:jc w:val="center"/>
        <w:rPr>
          <w:b/>
          <w:sz w:val="28"/>
          <w:szCs w:val="28"/>
        </w:rPr>
      </w:pPr>
      <w:r w:rsidRPr="007B1459">
        <w:rPr>
          <w:b/>
          <w:sz w:val="28"/>
          <w:szCs w:val="28"/>
        </w:rPr>
        <w:t>par 2011.gada neto zaudējumu apmēru un rašanās cēloņiem</w:t>
      </w:r>
    </w:p>
    <w:p w14:paraId="4009B092" w14:textId="38365CF2" w:rsidR="007B1459" w:rsidRPr="007B1459" w:rsidRDefault="007B1459" w:rsidP="00D96F7E">
      <w:pPr>
        <w:pStyle w:val="NoSpacing"/>
        <w:jc w:val="center"/>
        <w:rPr>
          <w:b/>
          <w:sz w:val="28"/>
          <w:szCs w:val="28"/>
        </w:rPr>
      </w:pPr>
      <w:r w:rsidRPr="007B1459">
        <w:rPr>
          <w:b/>
          <w:sz w:val="28"/>
          <w:szCs w:val="28"/>
        </w:rPr>
        <w:t xml:space="preserve">VSIA </w:t>
      </w:r>
      <w:r w:rsidR="00D96F7E">
        <w:rPr>
          <w:b/>
          <w:sz w:val="28"/>
          <w:szCs w:val="28"/>
        </w:rPr>
        <w:t>"</w:t>
      </w:r>
      <w:r w:rsidRPr="007B1459">
        <w:rPr>
          <w:b/>
          <w:sz w:val="28"/>
          <w:szCs w:val="28"/>
        </w:rPr>
        <w:t>Latvijas Vides, ģeoloģijas un meteoroloģijas centrs</w:t>
      </w:r>
      <w:r w:rsidR="00D96F7E">
        <w:rPr>
          <w:b/>
          <w:sz w:val="28"/>
          <w:szCs w:val="28"/>
        </w:rPr>
        <w:t>"</w:t>
      </w:r>
      <w:r w:rsidRPr="007B1459">
        <w:rPr>
          <w:b/>
          <w:sz w:val="28"/>
          <w:szCs w:val="28"/>
        </w:rPr>
        <w:t xml:space="preserve"> un</w:t>
      </w:r>
    </w:p>
    <w:p w14:paraId="4009B093" w14:textId="6BE629D8" w:rsidR="007B1459" w:rsidRPr="007B1459" w:rsidRDefault="007B1459" w:rsidP="00D96F7E">
      <w:pPr>
        <w:pStyle w:val="NoSpacing"/>
        <w:jc w:val="center"/>
        <w:rPr>
          <w:b/>
          <w:sz w:val="28"/>
          <w:szCs w:val="28"/>
        </w:rPr>
      </w:pPr>
      <w:r w:rsidRPr="007B1459">
        <w:rPr>
          <w:b/>
          <w:sz w:val="28"/>
          <w:szCs w:val="28"/>
        </w:rPr>
        <w:t xml:space="preserve">VAS </w:t>
      </w:r>
      <w:r w:rsidR="00D96F7E">
        <w:rPr>
          <w:b/>
          <w:sz w:val="28"/>
          <w:szCs w:val="28"/>
        </w:rPr>
        <w:t>"</w:t>
      </w:r>
      <w:r w:rsidRPr="007B1459">
        <w:rPr>
          <w:b/>
          <w:sz w:val="28"/>
          <w:szCs w:val="28"/>
        </w:rPr>
        <w:t>Elektroniskie sakari</w:t>
      </w:r>
      <w:r w:rsidR="00D96F7E">
        <w:rPr>
          <w:b/>
          <w:sz w:val="28"/>
          <w:szCs w:val="28"/>
        </w:rPr>
        <w:t>"</w:t>
      </w:r>
      <w:r w:rsidRPr="007B1459">
        <w:rPr>
          <w:b/>
          <w:sz w:val="28"/>
          <w:szCs w:val="28"/>
        </w:rPr>
        <w:t xml:space="preserve"> un priekšlikumiem turpmākai rīcībai</w:t>
      </w:r>
    </w:p>
    <w:p w14:paraId="4D8F69C7" w14:textId="11D9D482" w:rsidR="00B90701" w:rsidRPr="00D96F7E" w:rsidRDefault="00B90701" w:rsidP="00D96F7E">
      <w:pPr>
        <w:ind w:firstLine="709"/>
        <w:rPr>
          <w:b/>
          <w:sz w:val="24"/>
          <w:szCs w:val="28"/>
        </w:rPr>
      </w:pPr>
      <w:r w:rsidRPr="00D96F7E">
        <w:rPr>
          <w:b/>
          <w:sz w:val="24"/>
          <w:szCs w:val="28"/>
        </w:rPr>
        <w:t>TA-2095</w:t>
      </w:r>
    </w:p>
    <w:p w14:paraId="4009B094" w14:textId="033FD8CE" w:rsidR="00F23795" w:rsidRDefault="00F23795" w:rsidP="00D96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 w:rsidR="00D96F7E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________________________________</w:t>
      </w:r>
    </w:p>
    <w:p w14:paraId="4009B095" w14:textId="2520C388" w:rsidR="00F23795" w:rsidRPr="00D96F7E" w:rsidRDefault="00CB4954" w:rsidP="00D96F7E">
      <w:pPr>
        <w:jc w:val="center"/>
        <w:rPr>
          <w:sz w:val="24"/>
          <w:szCs w:val="28"/>
        </w:rPr>
      </w:pPr>
      <w:r w:rsidRPr="00D96F7E">
        <w:rPr>
          <w:sz w:val="24"/>
          <w:szCs w:val="28"/>
        </w:rPr>
        <w:t>(</w:t>
      </w:r>
      <w:r w:rsidR="004065D7" w:rsidRPr="00D96F7E">
        <w:rPr>
          <w:sz w:val="24"/>
          <w:szCs w:val="28"/>
        </w:rPr>
        <w:t>...</w:t>
      </w:r>
      <w:r w:rsidRPr="00D96F7E">
        <w:rPr>
          <w:sz w:val="24"/>
          <w:szCs w:val="28"/>
        </w:rPr>
        <w:t>)</w:t>
      </w:r>
    </w:p>
    <w:p w14:paraId="436D061E" w14:textId="77777777" w:rsidR="00D96F7E" w:rsidRDefault="00D96F7E" w:rsidP="00D96F7E">
      <w:pPr>
        <w:pStyle w:val="NoSpacing"/>
        <w:ind w:firstLine="720"/>
        <w:rPr>
          <w:sz w:val="28"/>
          <w:szCs w:val="28"/>
        </w:rPr>
      </w:pPr>
    </w:p>
    <w:p w14:paraId="4009B096" w14:textId="77777777" w:rsidR="003D67C0" w:rsidRDefault="003D67C0" w:rsidP="00193E4A">
      <w:pPr>
        <w:pStyle w:val="NoSpacing"/>
        <w:ind w:firstLine="720"/>
        <w:jc w:val="both"/>
        <w:rPr>
          <w:sz w:val="28"/>
          <w:szCs w:val="28"/>
        </w:rPr>
      </w:pPr>
      <w:r w:rsidRPr="0086413A">
        <w:rPr>
          <w:sz w:val="28"/>
          <w:szCs w:val="28"/>
        </w:rPr>
        <w:t>1. Pieņemt zināšanai vides aizsardzības un reģionālās attīstības ministra iesniegto informatīvo ziņojumu.</w:t>
      </w:r>
    </w:p>
    <w:p w14:paraId="4009B098" w14:textId="5FB6718B" w:rsidR="003D67C0" w:rsidRPr="00AF4460" w:rsidRDefault="003D67C0" w:rsidP="00D96F7E">
      <w:pPr>
        <w:pStyle w:val="NoSpacing"/>
        <w:ind w:firstLine="720"/>
        <w:jc w:val="both"/>
        <w:rPr>
          <w:sz w:val="28"/>
          <w:szCs w:val="28"/>
        </w:rPr>
      </w:pPr>
      <w:r w:rsidRPr="00AF4460">
        <w:rPr>
          <w:sz w:val="28"/>
          <w:szCs w:val="28"/>
        </w:rPr>
        <w:t xml:space="preserve">2. </w:t>
      </w:r>
      <w:r w:rsidR="00632D95">
        <w:rPr>
          <w:sz w:val="28"/>
          <w:szCs w:val="28"/>
        </w:rPr>
        <w:t xml:space="preserve">Vides aizsardzības un reģionālās attīstības ministrijai kā </w:t>
      </w:r>
      <w:r w:rsidR="00193E4A">
        <w:rPr>
          <w:sz w:val="28"/>
          <w:szCs w:val="28"/>
        </w:rPr>
        <w:t>valsts sabiedrības ar ierobežotu atbildību</w:t>
      </w:r>
      <w:r w:rsidR="00632D95">
        <w:rPr>
          <w:sz w:val="28"/>
          <w:szCs w:val="28"/>
        </w:rPr>
        <w:t xml:space="preserve"> </w:t>
      </w:r>
      <w:r w:rsidR="00D96F7E">
        <w:rPr>
          <w:sz w:val="28"/>
          <w:szCs w:val="28"/>
        </w:rPr>
        <w:t>"</w:t>
      </w:r>
      <w:r w:rsidR="00632D95">
        <w:rPr>
          <w:sz w:val="28"/>
          <w:szCs w:val="28"/>
        </w:rPr>
        <w:t>Latvijas Vides</w:t>
      </w:r>
      <w:r w:rsidR="00B90701">
        <w:rPr>
          <w:sz w:val="28"/>
          <w:szCs w:val="28"/>
        </w:rPr>
        <w:t>, ģeoloģijas un meteoroloģijas centrs</w:t>
      </w:r>
      <w:r w:rsidR="00D96F7E">
        <w:rPr>
          <w:sz w:val="28"/>
          <w:szCs w:val="28"/>
        </w:rPr>
        <w:t>"</w:t>
      </w:r>
      <w:r w:rsidR="00B90701">
        <w:rPr>
          <w:sz w:val="28"/>
          <w:szCs w:val="28"/>
        </w:rPr>
        <w:t xml:space="preserve"> un </w:t>
      </w:r>
      <w:r w:rsidR="00193E4A">
        <w:rPr>
          <w:sz w:val="28"/>
          <w:szCs w:val="28"/>
        </w:rPr>
        <w:t>valsts akciju sabiedrības</w:t>
      </w:r>
      <w:r w:rsidR="00B90701">
        <w:rPr>
          <w:sz w:val="28"/>
          <w:szCs w:val="28"/>
        </w:rPr>
        <w:t xml:space="preserve"> </w:t>
      </w:r>
      <w:r w:rsidR="00D96F7E">
        <w:rPr>
          <w:sz w:val="28"/>
          <w:szCs w:val="28"/>
        </w:rPr>
        <w:t>"</w:t>
      </w:r>
      <w:r w:rsidR="00B90701">
        <w:rPr>
          <w:sz w:val="28"/>
          <w:szCs w:val="28"/>
        </w:rPr>
        <w:t>Elektroniskie sakari</w:t>
      </w:r>
      <w:r w:rsidR="00D96F7E">
        <w:rPr>
          <w:sz w:val="28"/>
          <w:szCs w:val="28"/>
        </w:rPr>
        <w:t>"</w:t>
      </w:r>
      <w:r w:rsidR="00B90701">
        <w:rPr>
          <w:sz w:val="28"/>
          <w:szCs w:val="28"/>
        </w:rPr>
        <w:t xml:space="preserve"> </w:t>
      </w:r>
      <w:r w:rsidR="00BB4EFC">
        <w:rPr>
          <w:sz w:val="28"/>
          <w:szCs w:val="28"/>
        </w:rPr>
        <w:t xml:space="preserve">kapitāla daļu turētājai </w:t>
      </w:r>
      <w:r w:rsidR="00B90701">
        <w:rPr>
          <w:sz w:val="28"/>
          <w:szCs w:val="28"/>
        </w:rPr>
        <w:t xml:space="preserve">nodrošināt </w:t>
      </w:r>
      <w:r w:rsidRPr="00AF4460">
        <w:rPr>
          <w:sz w:val="28"/>
          <w:szCs w:val="28"/>
        </w:rPr>
        <w:t xml:space="preserve">informatīvajā ziņojumā </w:t>
      </w:r>
      <w:r w:rsidR="00B90701">
        <w:rPr>
          <w:sz w:val="28"/>
          <w:szCs w:val="28"/>
        </w:rPr>
        <w:t>minēto priekšlikumu</w:t>
      </w:r>
      <w:r w:rsidRPr="00AF4460">
        <w:rPr>
          <w:sz w:val="28"/>
          <w:szCs w:val="28"/>
        </w:rPr>
        <w:t xml:space="preserve"> </w:t>
      </w:r>
      <w:r w:rsidR="00B90701">
        <w:rPr>
          <w:sz w:val="28"/>
          <w:szCs w:val="28"/>
        </w:rPr>
        <w:t>īstenošanu</w:t>
      </w:r>
      <w:r w:rsidR="00193E4A">
        <w:rPr>
          <w:sz w:val="28"/>
          <w:szCs w:val="28"/>
        </w:rPr>
        <w:t>, lai novērstu</w:t>
      </w:r>
      <w:r w:rsidR="00B90701">
        <w:rPr>
          <w:sz w:val="28"/>
          <w:szCs w:val="28"/>
        </w:rPr>
        <w:t xml:space="preserve"> </w:t>
      </w:r>
      <w:r w:rsidR="00193E4A">
        <w:rPr>
          <w:sz w:val="28"/>
          <w:szCs w:val="28"/>
        </w:rPr>
        <w:t>valsts sabiedrības ar ierobežotu atbildību</w:t>
      </w:r>
      <w:r w:rsidR="00AF4460" w:rsidRPr="00AF4460">
        <w:rPr>
          <w:sz w:val="28"/>
          <w:szCs w:val="28"/>
        </w:rPr>
        <w:t xml:space="preserve"> </w:t>
      </w:r>
      <w:r w:rsidR="00D96F7E">
        <w:rPr>
          <w:sz w:val="28"/>
          <w:szCs w:val="28"/>
        </w:rPr>
        <w:t>"</w:t>
      </w:r>
      <w:r w:rsidR="00AF4460" w:rsidRPr="00AF4460">
        <w:rPr>
          <w:sz w:val="28"/>
          <w:szCs w:val="28"/>
        </w:rPr>
        <w:t>Latvijas Vides, ģeoloģijas un meteoroloģijas centrs</w:t>
      </w:r>
      <w:r w:rsidR="00D96F7E">
        <w:rPr>
          <w:sz w:val="28"/>
          <w:szCs w:val="28"/>
        </w:rPr>
        <w:t>"</w:t>
      </w:r>
      <w:r w:rsidR="00AF4460" w:rsidRPr="00AF4460">
        <w:rPr>
          <w:sz w:val="28"/>
          <w:szCs w:val="28"/>
        </w:rPr>
        <w:t xml:space="preserve"> un</w:t>
      </w:r>
      <w:r w:rsidR="00AF4460">
        <w:rPr>
          <w:sz w:val="28"/>
          <w:szCs w:val="28"/>
        </w:rPr>
        <w:t xml:space="preserve"> </w:t>
      </w:r>
      <w:r w:rsidR="00193E4A">
        <w:rPr>
          <w:sz w:val="28"/>
          <w:szCs w:val="28"/>
        </w:rPr>
        <w:t>valsts akciju sabiedrības</w:t>
      </w:r>
      <w:r w:rsidR="00AF4460" w:rsidRPr="00AF4460">
        <w:rPr>
          <w:sz w:val="28"/>
          <w:szCs w:val="28"/>
        </w:rPr>
        <w:t xml:space="preserve"> </w:t>
      </w:r>
      <w:r w:rsidR="00D96F7E">
        <w:rPr>
          <w:sz w:val="28"/>
          <w:szCs w:val="28"/>
        </w:rPr>
        <w:t>"</w:t>
      </w:r>
      <w:r w:rsidR="00AF4460" w:rsidRPr="00AF4460">
        <w:rPr>
          <w:sz w:val="28"/>
          <w:szCs w:val="28"/>
        </w:rPr>
        <w:t>Elektroniskie sakari</w:t>
      </w:r>
      <w:r w:rsidR="00D96F7E">
        <w:rPr>
          <w:sz w:val="28"/>
          <w:szCs w:val="28"/>
        </w:rPr>
        <w:t>"</w:t>
      </w:r>
      <w:r w:rsidR="00423B9B">
        <w:rPr>
          <w:sz w:val="28"/>
          <w:szCs w:val="28"/>
        </w:rPr>
        <w:t xml:space="preserve"> </w:t>
      </w:r>
      <w:r w:rsidR="00423B9B" w:rsidRPr="00AF4460">
        <w:rPr>
          <w:sz w:val="28"/>
          <w:szCs w:val="28"/>
        </w:rPr>
        <w:t>zaudējumu rašanās cēloņu</w:t>
      </w:r>
      <w:r w:rsidR="00193E4A">
        <w:rPr>
          <w:sz w:val="28"/>
          <w:szCs w:val="28"/>
        </w:rPr>
        <w:t>s</w:t>
      </w:r>
      <w:r w:rsidR="00395933">
        <w:rPr>
          <w:sz w:val="28"/>
          <w:szCs w:val="28"/>
        </w:rPr>
        <w:t>.</w:t>
      </w:r>
    </w:p>
    <w:p w14:paraId="4009B099" w14:textId="77777777" w:rsidR="00F23795" w:rsidRDefault="00F23795" w:rsidP="00D96F7E">
      <w:pPr>
        <w:pStyle w:val="BodyTextIndent"/>
        <w:rPr>
          <w:sz w:val="28"/>
          <w:szCs w:val="28"/>
        </w:rPr>
      </w:pPr>
    </w:p>
    <w:p w14:paraId="489077FB" w14:textId="77777777" w:rsidR="00D96F7E" w:rsidRDefault="00D96F7E" w:rsidP="00D96F7E">
      <w:pPr>
        <w:pStyle w:val="BodyTextIndent"/>
        <w:rPr>
          <w:sz w:val="28"/>
          <w:szCs w:val="28"/>
        </w:rPr>
      </w:pPr>
    </w:p>
    <w:p w14:paraId="6957A2CF" w14:textId="77777777" w:rsidR="00D96F7E" w:rsidRPr="00D96F7E" w:rsidRDefault="00D96F7E" w:rsidP="00D96F7E">
      <w:pPr>
        <w:pStyle w:val="BodyTextIndent"/>
        <w:tabs>
          <w:tab w:val="left" w:pos="6804"/>
        </w:tabs>
        <w:rPr>
          <w:sz w:val="28"/>
          <w:szCs w:val="28"/>
        </w:rPr>
      </w:pPr>
    </w:p>
    <w:p w14:paraId="4009B09A" w14:textId="241F65EF" w:rsidR="00F23795" w:rsidRPr="00D96F7E" w:rsidRDefault="00F23795" w:rsidP="00D96F7E">
      <w:pPr>
        <w:tabs>
          <w:tab w:val="left" w:pos="6804"/>
        </w:tabs>
        <w:ind w:firstLine="709"/>
        <w:rPr>
          <w:sz w:val="28"/>
          <w:szCs w:val="28"/>
        </w:rPr>
      </w:pPr>
      <w:r w:rsidRPr="00D96F7E">
        <w:rPr>
          <w:sz w:val="28"/>
          <w:szCs w:val="28"/>
        </w:rPr>
        <w:t xml:space="preserve">Ministru prezidents </w:t>
      </w:r>
      <w:r w:rsidRPr="00D96F7E">
        <w:rPr>
          <w:sz w:val="28"/>
          <w:szCs w:val="28"/>
        </w:rPr>
        <w:tab/>
      </w:r>
      <w:bookmarkStart w:id="0" w:name="_GoBack"/>
      <w:bookmarkEnd w:id="0"/>
      <w:r w:rsidRPr="00D96F7E">
        <w:rPr>
          <w:sz w:val="28"/>
          <w:szCs w:val="28"/>
        </w:rPr>
        <w:t>V.Dombrovskis</w:t>
      </w:r>
    </w:p>
    <w:p w14:paraId="077D485E" w14:textId="77777777" w:rsidR="00FD11EE" w:rsidRPr="00D96F7E" w:rsidRDefault="00FD11EE" w:rsidP="00D96F7E">
      <w:pPr>
        <w:pStyle w:val="Heading1"/>
        <w:tabs>
          <w:tab w:val="left" w:pos="6804"/>
        </w:tabs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D96F7E">
        <w:rPr>
          <w:rFonts w:ascii="Times New Roman" w:hAnsi="Times New Roman"/>
          <w:b w:val="0"/>
          <w:sz w:val="28"/>
          <w:szCs w:val="28"/>
        </w:rPr>
        <w:tab/>
      </w:r>
    </w:p>
    <w:p w14:paraId="620DDC1A" w14:textId="77777777" w:rsidR="00D96F7E" w:rsidRPr="00D96F7E" w:rsidRDefault="00D96F7E" w:rsidP="00D96F7E">
      <w:pPr>
        <w:tabs>
          <w:tab w:val="left" w:pos="6804"/>
        </w:tabs>
        <w:ind w:firstLine="709"/>
        <w:rPr>
          <w:sz w:val="28"/>
          <w:szCs w:val="28"/>
        </w:rPr>
      </w:pPr>
    </w:p>
    <w:p w14:paraId="48C1C9C8" w14:textId="77777777" w:rsidR="00D96F7E" w:rsidRPr="00D96F7E" w:rsidRDefault="00D96F7E" w:rsidP="00D96F7E">
      <w:pPr>
        <w:tabs>
          <w:tab w:val="left" w:pos="6804"/>
        </w:tabs>
        <w:ind w:firstLine="709"/>
        <w:rPr>
          <w:sz w:val="28"/>
          <w:szCs w:val="28"/>
        </w:rPr>
      </w:pPr>
    </w:p>
    <w:p w14:paraId="4009B09C" w14:textId="193EE655" w:rsidR="00F23795" w:rsidRPr="00D96F7E" w:rsidRDefault="00F23795" w:rsidP="00D96F7E">
      <w:pPr>
        <w:pStyle w:val="Heading1"/>
        <w:tabs>
          <w:tab w:val="left" w:pos="6804"/>
        </w:tabs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D96F7E">
        <w:rPr>
          <w:rFonts w:ascii="Times New Roman" w:hAnsi="Times New Roman"/>
          <w:b w:val="0"/>
          <w:sz w:val="28"/>
          <w:szCs w:val="28"/>
        </w:rPr>
        <w:t xml:space="preserve">Valsts kancelejas direktore </w:t>
      </w:r>
      <w:r w:rsidRPr="00D96F7E">
        <w:rPr>
          <w:rFonts w:ascii="Times New Roman" w:hAnsi="Times New Roman"/>
          <w:b w:val="0"/>
          <w:sz w:val="28"/>
          <w:szCs w:val="28"/>
        </w:rPr>
        <w:tab/>
        <w:t>E.Dreimane</w:t>
      </w:r>
    </w:p>
    <w:sectPr w:rsidR="00F23795" w:rsidRPr="00D96F7E" w:rsidSect="00D96F7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9B0B7" w14:textId="77777777" w:rsidR="00193E4A" w:rsidRDefault="00193E4A" w:rsidP="00B70477">
      <w:r>
        <w:separator/>
      </w:r>
    </w:p>
  </w:endnote>
  <w:endnote w:type="continuationSeparator" w:id="0">
    <w:p w14:paraId="4009B0B8" w14:textId="77777777" w:rsidR="00193E4A" w:rsidRDefault="00193E4A" w:rsidP="00B7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9B0BD" w14:textId="77777777" w:rsidR="00193E4A" w:rsidRPr="00AF4460" w:rsidRDefault="00193E4A" w:rsidP="00AF4460">
    <w:pPr>
      <w:pStyle w:val="NoSpacing"/>
    </w:pPr>
    <w:r w:rsidRPr="00AF4460">
      <w:t>VARAMProt_</w:t>
    </w:r>
    <w:r>
      <w:t>0510</w:t>
    </w:r>
    <w:r w:rsidRPr="00AF4460">
      <w:t>12_</w:t>
    </w:r>
    <w:r>
      <w:t>LVGMC_ES</w:t>
    </w:r>
    <w:r w:rsidRPr="00AF4460">
      <w:t>; Informatīvais ziņojums</w:t>
    </w:r>
    <w:r>
      <w:t xml:space="preserve"> </w:t>
    </w:r>
    <w:r w:rsidRPr="00AF4460">
      <w:t>par 2011.gada neto zaudē</w:t>
    </w:r>
    <w:r>
      <w:t xml:space="preserve">jumu apmēru un rašanās cēloņiem </w:t>
    </w:r>
    <w:r w:rsidRPr="00AF4460">
      <w:t>VSIA „Latvijas Vides, ģeoloģijas un meteoroloģi</w:t>
    </w:r>
    <w:r>
      <w:t xml:space="preserve">jas centrs” un </w:t>
    </w:r>
    <w:r w:rsidRPr="00AF4460">
      <w:t>VAS „Elektroniskie sakari” un priekšlikumiem turpmākai rīcībai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9B0BE" w14:textId="6718FB21" w:rsidR="00193E4A" w:rsidRPr="00D96F7E" w:rsidRDefault="00193E4A" w:rsidP="00AF4460">
    <w:pPr>
      <w:pStyle w:val="NoSpacing"/>
      <w:rPr>
        <w:sz w:val="16"/>
      </w:rPr>
    </w:pPr>
    <w:r w:rsidRPr="00D96F7E">
      <w:rPr>
        <w:sz w:val="16"/>
      </w:rPr>
      <w:t>2095z2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9B0B5" w14:textId="77777777" w:rsidR="00193E4A" w:rsidRDefault="00193E4A" w:rsidP="00B70477">
      <w:r>
        <w:separator/>
      </w:r>
    </w:p>
  </w:footnote>
  <w:footnote w:type="continuationSeparator" w:id="0">
    <w:p w14:paraId="4009B0B6" w14:textId="77777777" w:rsidR="00193E4A" w:rsidRDefault="00193E4A" w:rsidP="00B70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9B0B9" w14:textId="77777777" w:rsidR="00193E4A" w:rsidRDefault="00193E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9B0BA" w14:textId="77777777" w:rsidR="00193E4A" w:rsidRDefault="00193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9B0BB" w14:textId="77777777" w:rsidR="00193E4A" w:rsidRPr="00B320E5" w:rsidRDefault="00193E4A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320E5">
      <w:rPr>
        <w:rStyle w:val="PageNumber"/>
        <w:sz w:val="24"/>
        <w:szCs w:val="24"/>
      </w:rPr>
      <w:fldChar w:fldCharType="begin"/>
    </w:r>
    <w:r w:rsidRPr="00B320E5">
      <w:rPr>
        <w:rStyle w:val="PageNumber"/>
        <w:sz w:val="24"/>
        <w:szCs w:val="24"/>
      </w:rPr>
      <w:instrText xml:space="preserve">PAGE  </w:instrText>
    </w:r>
    <w:r w:rsidRPr="00B320E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320E5">
      <w:rPr>
        <w:rStyle w:val="PageNumber"/>
        <w:sz w:val="24"/>
        <w:szCs w:val="24"/>
      </w:rPr>
      <w:fldChar w:fldCharType="end"/>
    </w:r>
  </w:p>
  <w:p w14:paraId="4009B0BC" w14:textId="77777777" w:rsidR="00193E4A" w:rsidRDefault="00193E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3AE8B" w14:textId="77777777" w:rsidR="00193E4A" w:rsidRPr="00D96F7E" w:rsidRDefault="00193E4A">
    <w:pPr>
      <w:pStyle w:val="Header"/>
      <w:pBdr>
        <w:bottom w:val="single" w:sz="4" w:space="1" w:color="auto"/>
      </w:pBdr>
      <w:jc w:val="center"/>
      <w:rPr>
        <w:sz w:val="36"/>
      </w:rPr>
    </w:pPr>
    <w:r w:rsidRPr="00D96F7E">
      <w:rPr>
        <w:b/>
        <w:bCs/>
        <w:sz w:val="28"/>
      </w:rPr>
      <w:t>MINISTRU KABINETA SĒDES PROTOKOLLĒMUMS</w:t>
    </w:r>
  </w:p>
  <w:p w14:paraId="78BBD80B" w14:textId="77777777" w:rsidR="00193E4A" w:rsidRPr="00D96F7E" w:rsidRDefault="00193E4A">
    <w:pPr>
      <w:pStyle w:val="Header"/>
      <w:rPr>
        <w:sz w:val="28"/>
      </w:rPr>
    </w:pPr>
  </w:p>
  <w:p w14:paraId="1FAEA437" w14:textId="3AFA30EC" w:rsidR="00193E4A" w:rsidRDefault="00193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1BF1"/>
    <w:multiLevelType w:val="hybridMultilevel"/>
    <w:tmpl w:val="0742AB00"/>
    <w:lvl w:ilvl="0" w:tplc="21946FB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795"/>
    <w:rsid w:val="0004307D"/>
    <w:rsid w:val="00154C29"/>
    <w:rsid w:val="00193E4A"/>
    <w:rsid w:val="00395933"/>
    <w:rsid w:val="003D67C0"/>
    <w:rsid w:val="004065D7"/>
    <w:rsid w:val="00423B9B"/>
    <w:rsid w:val="00437C72"/>
    <w:rsid w:val="00493775"/>
    <w:rsid w:val="005C46AF"/>
    <w:rsid w:val="005F67FC"/>
    <w:rsid w:val="00632D95"/>
    <w:rsid w:val="006A0F53"/>
    <w:rsid w:val="007A0B16"/>
    <w:rsid w:val="007B1459"/>
    <w:rsid w:val="007F41D1"/>
    <w:rsid w:val="00803B6A"/>
    <w:rsid w:val="0086413A"/>
    <w:rsid w:val="008F44B8"/>
    <w:rsid w:val="00967EA2"/>
    <w:rsid w:val="00AF4460"/>
    <w:rsid w:val="00B1068C"/>
    <w:rsid w:val="00B377F1"/>
    <w:rsid w:val="00B70477"/>
    <w:rsid w:val="00B90701"/>
    <w:rsid w:val="00BB4EFC"/>
    <w:rsid w:val="00C12AD1"/>
    <w:rsid w:val="00C23F90"/>
    <w:rsid w:val="00CB4954"/>
    <w:rsid w:val="00D96F7E"/>
    <w:rsid w:val="00E66714"/>
    <w:rsid w:val="00EA0009"/>
    <w:rsid w:val="00F00E9F"/>
    <w:rsid w:val="00F23795"/>
    <w:rsid w:val="00F83E09"/>
    <w:rsid w:val="00F86B0E"/>
    <w:rsid w:val="00F93C49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B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3795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2379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23795"/>
    <w:pPr>
      <w:keepNext/>
      <w:ind w:left="540" w:firstLine="27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7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237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23795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F23795"/>
    <w:pPr>
      <w:jc w:val="both"/>
    </w:pPr>
  </w:style>
  <w:style w:type="character" w:customStyle="1" w:styleId="BodyTextChar">
    <w:name w:val="Body Text Char"/>
    <w:basedOn w:val="DefaultParagraphFont"/>
    <w:link w:val="BodyText"/>
    <w:rsid w:val="00F23795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23795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2379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237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379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F23795"/>
    <w:rPr>
      <w:rFonts w:cs="Times New Roman"/>
    </w:rPr>
  </w:style>
  <w:style w:type="paragraph" w:styleId="Footer">
    <w:name w:val="footer"/>
    <w:basedOn w:val="Normal"/>
    <w:link w:val="FooterChar"/>
    <w:rsid w:val="00F237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2379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2379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7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3795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uiPriority w:val="22"/>
    <w:qFormat/>
    <w:rsid w:val="00CB4954"/>
    <w:rPr>
      <w:b/>
      <w:bCs/>
    </w:rPr>
  </w:style>
  <w:style w:type="paragraph" w:styleId="NoSpacing">
    <w:name w:val="No Spacing"/>
    <w:uiPriority w:val="1"/>
    <w:qFormat/>
    <w:rsid w:val="007B1459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32D95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1163-DCFD-4177-86EE-4E6AE32A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2011.gada neto zaudējumu apmēru un rašanās cēloņiem VSIA „Latvijas Vides, ģeoloģijas un meteoroloģijas centrs” un VAS „Elektroniskie sakari” un priekšlikumiem turpmākai rīcībai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2011.gada neto zaudējumu apmēru un rašanās cēloņiem VSIA „Latvijas Vides, ģeoloģijas un meteoroloģijas centrs” un VAS „Elektroniskie sakari” un priekšlikumiem turpmākai rīcībai</dc:title>
  <dc:subject>MK Protokollēmums</dc:subject>
  <dc:creator>Aina Stašāne</dc:creator>
  <cp:keywords/>
  <dc:description>aina.stasane@varam.gov.lv
67026537</dc:description>
  <cp:lastModifiedBy>Aija Antenišķe</cp:lastModifiedBy>
  <cp:revision>20</cp:revision>
  <cp:lastPrinted>2012-11-07T07:42:00Z</cp:lastPrinted>
  <dcterms:created xsi:type="dcterms:W3CDTF">2012-10-05T12:15:00Z</dcterms:created>
  <dcterms:modified xsi:type="dcterms:W3CDTF">2012-11-07T07:44:00Z</dcterms:modified>
</cp:coreProperties>
</file>