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62" w:rsidRPr="005161C2" w:rsidRDefault="00906462">
      <w:pPr>
        <w:tabs>
          <w:tab w:val="left" w:pos="6663"/>
        </w:tabs>
        <w:rPr>
          <w:sz w:val="28"/>
          <w:szCs w:val="28"/>
        </w:rPr>
      </w:pPr>
    </w:p>
    <w:p w:rsidR="00906462" w:rsidRPr="005161C2" w:rsidRDefault="00906462">
      <w:pPr>
        <w:tabs>
          <w:tab w:val="left" w:pos="6663"/>
        </w:tabs>
        <w:rPr>
          <w:sz w:val="28"/>
          <w:szCs w:val="28"/>
        </w:rPr>
      </w:pPr>
    </w:p>
    <w:p w:rsidR="00906462" w:rsidRPr="005161C2" w:rsidRDefault="00906462">
      <w:pPr>
        <w:tabs>
          <w:tab w:val="left" w:pos="6663"/>
        </w:tabs>
        <w:rPr>
          <w:sz w:val="28"/>
          <w:szCs w:val="28"/>
        </w:rPr>
      </w:pPr>
    </w:p>
    <w:p w:rsidR="00906462" w:rsidRPr="005161C2" w:rsidRDefault="00906462">
      <w:pPr>
        <w:tabs>
          <w:tab w:val="left" w:pos="6663"/>
        </w:tabs>
        <w:rPr>
          <w:sz w:val="28"/>
          <w:szCs w:val="28"/>
        </w:rPr>
      </w:pPr>
    </w:p>
    <w:p w:rsidR="00906462" w:rsidRPr="005161C2" w:rsidRDefault="00906462">
      <w:pPr>
        <w:tabs>
          <w:tab w:val="left" w:pos="6663"/>
        </w:tabs>
        <w:rPr>
          <w:sz w:val="28"/>
          <w:szCs w:val="28"/>
        </w:rPr>
      </w:pPr>
    </w:p>
    <w:p w:rsidR="00906462" w:rsidRPr="005161C2" w:rsidRDefault="00906462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</w:t>
      </w:r>
      <w:r>
        <w:rPr>
          <w:sz w:val="28"/>
          <w:szCs w:val="28"/>
        </w:rPr>
        <w:t>19. jūlijā</w:t>
      </w:r>
      <w:r w:rsidRPr="005161C2">
        <w:rPr>
          <w:sz w:val="28"/>
          <w:szCs w:val="28"/>
        </w:rPr>
        <w:t xml:space="preserve"> 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332</w:t>
      </w:r>
    </w:p>
    <w:p w:rsidR="00906462" w:rsidRPr="005161C2" w:rsidRDefault="00906462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Rīgā</w:t>
      </w:r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44 22</w:t>
      </w:r>
      <w:r w:rsidRPr="005161C2">
        <w:rPr>
          <w:sz w:val="28"/>
          <w:szCs w:val="28"/>
        </w:rPr>
        <w:t>.§)</w:t>
      </w:r>
    </w:p>
    <w:p w:rsidR="00906462" w:rsidRPr="00B52ED2" w:rsidRDefault="00906462" w:rsidP="002D351D">
      <w:pPr>
        <w:pStyle w:val="Header"/>
        <w:rPr>
          <w:b/>
          <w:bCs/>
          <w:sz w:val="28"/>
          <w:szCs w:val="28"/>
        </w:rPr>
      </w:pPr>
    </w:p>
    <w:p w:rsidR="00906462" w:rsidRPr="00B52ED2" w:rsidRDefault="00906462" w:rsidP="002D351D">
      <w:pPr>
        <w:pStyle w:val="Header"/>
        <w:jc w:val="center"/>
        <w:rPr>
          <w:b/>
          <w:sz w:val="28"/>
          <w:szCs w:val="28"/>
        </w:rPr>
      </w:pPr>
      <w:r w:rsidRPr="00B52ED2">
        <w:rPr>
          <w:b/>
          <w:bCs/>
          <w:sz w:val="28"/>
          <w:szCs w:val="28"/>
        </w:rPr>
        <w:t>Grozījumi Latvijas Stratēģiskās attīstības plānā 2010.–2013.gadam</w:t>
      </w:r>
    </w:p>
    <w:p w:rsidR="00906462" w:rsidRDefault="00906462" w:rsidP="00661F25">
      <w:pPr>
        <w:pStyle w:val="BodyText"/>
        <w:ind w:firstLine="720"/>
        <w:jc w:val="both"/>
        <w:rPr>
          <w:b w:val="0"/>
          <w:szCs w:val="28"/>
        </w:rPr>
      </w:pPr>
    </w:p>
    <w:p w:rsidR="00906462" w:rsidRPr="00B52ED2" w:rsidRDefault="00906462" w:rsidP="00661F25">
      <w:pPr>
        <w:pStyle w:val="BodyTex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1. </w:t>
      </w:r>
      <w:r w:rsidRPr="00B52ED2">
        <w:rPr>
          <w:b w:val="0"/>
          <w:szCs w:val="28"/>
        </w:rPr>
        <w:t xml:space="preserve">Izdarīt Latvijas Stratēģiskās attīstības plānā 2010.–2013.gadam (apstiprināts ar Ministru kabineta 2010.gada 9.aprīļa rīkojumu Nr.203 </w:t>
      </w:r>
      <w:r>
        <w:rPr>
          <w:b w:val="0"/>
          <w:szCs w:val="28"/>
        </w:rPr>
        <w:t>"</w:t>
      </w:r>
      <w:r w:rsidRPr="00B52ED2">
        <w:rPr>
          <w:b w:val="0"/>
          <w:szCs w:val="28"/>
        </w:rPr>
        <w:t xml:space="preserve">Par Latvijas Stratēģiskās attīstības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Pr="00B52ED2">
          <w:rPr>
            <w:b w:val="0"/>
            <w:szCs w:val="28"/>
          </w:rPr>
          <w:t>plānu</w:t>
        </w:r>
      </w:smartTag>
      <w:r w:rsidRPr="00B52ED2">
        <w:rPr>
          <w:b w:val="0"/>
          <w:szCs w:val="28"/>
        </w:rPr>
        <w:t xml:space="preserve"> 2010.–2013.gadam</w:t>
      </w:r>
      <w:r>
        <w:rPr>
          <w:b w:val="0"/>
          <w:szCs w:val="28"/>
        </w:rPr>
        <w:t>"</w:t>
      </w:r>
      <w:r w:rsidRPr="00B52ED2">
        <w:rPr>
          <w:b w:val="0"/>
          <w:szCs w:val="28"/>
        </w:rPr>
        <w:t xml:space="preserve"> (Latvijas Vēstnesis, 2010, 60.nr.)) </w:t>
      </w:r>
      <w:r>
        <w:rPr>
          <w:b w:val="0"/>
          <w:szCs w:val="28"/>
        </w:rPr>
        <w:t xml:space="preserve">(turpmāk − plāns) </w:t>
      </w:r>
      <w:r w:rsidRPr="00B52ED2">
        <w:rPr>
          <w:b w:val="0"/>
          <w:szCs w:val="28"/>
        </w:rPr>
        <w:t>šādus grozījumus:</w:t>
      </w:r>
    </w:p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izteikt 1.</w:t>
      </w:r>
      <w:r w:rsidRPr="00B52ED2">
        <w:rPr>
          <w:sz w:val="28"/>
          <w:szCs w:val="28"/>
        </w:rPr>
        <w:t>pielikum</w:t>
      </w:r>
      <w:r>
        <w:rPr>
          <w:sz w:val="28"/>
          <w:szCs w:val="28"/>
        </w:rPr>
        <w:t xml:space="preserve">a </w:t>
      </w:r>
      <w:r w:rsidRPr="00B52ED2">
        <w:rPr>
          <w:sz w:val="28"/>
          <w:szCs w:val="28"/>
        </w:rPr>
        <w:t xml:space="preserve">prioritātes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52ED2">
        <w:rPr>
          <w:sz w:val="28"/>
          <w:szCs w:val="28"/>
        </w:rPr>
        <w:t>Sociālā drošība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</w:t>
      </w:r>
      <w:r w:rsidRPr="008E4C70">
        <w:rPr>
          <w:sz w:val="28"/>
          <w:szCs w:val="28"/>
        </w:rPr>
        <w:t>rindu "Reģionu atšķirību mazināšana</w:t>
      </w:r>
      <w:r w:rsidRPr="005101FE">
        <w:rPr>
          <w:sz w:val="28"/>
          <w:szCs w:val="28"/>
        </w:rPr>
        <w:t>"</w:t>
      </w:r>
      <w:r>
        <w:rPr>
          <w:sz w:val="28"/>
          <w:szCs w:val="28"/>
        </w:rPr>
        <w:t xml:space="preserve"> šādā redakcijā</w:t>
      </w:r>
      <w:r w:rsidRPr="00B52ED2">
        <w:rPr>
          <w:sz w:val="28"/>
          <w:szCs w:val="28"/>
        </w:rPr>
        <w:t>:</w:t>
      </w: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48"/>
        <w:gridCol w:w="3522"/>
        <w:gridCol w:w="954"/>
        <w:gridCol w:w="1372"/>
        <w:gridCol w:w="480"/>
        <w:gridCol w:w="480"/>
        <w:gridCol w:w="480"/>
        <w:gridCol w:w="595"/>
      </w:tblGrid>
      <w:tr w:rsidR="00906462" w:rsidRPr="006E1F51" w:rsidTr="006E1F51">
        <w:tc>
          <w:tcPr>
            <w:tcW w:w="64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573DC0">
            <w:pPr>
              <w:pStyle w:val="NoSpacing"/>
              <w:jc w:val="both"/>
              <w:rPr>
                <w:szCs w:val="24"/>
                <w:lang w:val="lv-LV"/>
              </w:rPr>
            </w:pPr>
            <w:r w:rsidRPr="00E95436">
              <w:rPr>
                <w:sz w:val="28"/>
                <w:szCs w:val="28"/>
                <w:lang w:val="lv-LV"/>
              </w:rPr>
              <w:t>"</w:t>
            </w:r>
            <w:r w:rsidRPr="005101FE">
              <w:rPr>
                <w:b/>
                <w:i/>
                <w:szCs w:val="24"/>
                <w:lang w:val="lv-LV"/>
              </w:rPr>
              <w:t>Reģionu atšķirību mazināšana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102D3A">
            <w:pPr>
              <w:pStyle w:val="NoSpacing"/>
              <w:rPr>
                <w:szCs w:val="24"/>
                <w:lang w:val="lv-LV"/>
              </w:rPr>
            </w:pPr>
            <w:r w:rsidRPr="006E1F51">
              <w:rPr>
                <w:szCs w:val="24"/>
                <w:lang w:val="lv-LV"/>
              </w:rPr>
              <w:t>Reģionālā IKP uz 1 iedz. izkliede, %</w:t>
            </w:r>
            <w:r w:rsidRPr="006E1F51">
              <w:rPr>
                <w:szCs w:val="24"/>
                <w:vertAlign w:val="superscript"/>
                <w:lang w:val="lv-LV"/>
              </w:rPr>
              <w:t>1</w:t>
            </w:r>
            <w:r w:rsidRPr="006E1F51">
              <w:rPr>
                <w:szCs w:val="24"/>
                <w:lang w:val="lv-LV"/>
              </w:rPr>
              <w:t xml:space="preserve"> (NUTS 3)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573DC0">
            <w:pPr>
              <w:pStyle w:val="NoSpacing"/>
              <w:jc w:val="both"/>
              <w:rPr>
                <w:szCs w:val="24"/>
                <w:lang w:val="lv-LV"/>
              </w:rPr>
            </w:pPr>
            <w:r w:rsidRPr="006E1F51">
              <w:rPr>
                <w:szCs w:val="24"/>
                <w:lang w:val="lv-LV"/>
              </w:rPr>
              <w:t>VARAM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6462" w:rsidRPr="006E1F51" w:rsidRDefault="00906462" w:rsidP="005101FE">
            <w:pPr>
              <w:pStyle w:val="NoSpacing"/>
              <w:rPr>
                <w:szCs w:val="24"/>
                <w:lang w:val="lv-LV"/>
              </w:rPr>
            </w:pPr>
            <w:r w:rsidRPr="006E1F51">
              <w:rPr>
                <w:szCs w:val="24"/>
                <w:lang w:val="lv-LV"/>
              </w:rPr>
              <w:t>45,6 (2007.g.)</w:t>
            </w:r>
            <w:r w:rsidRPr="006E1F51">
              <w:rPr>
                <w:szCs w:val="24"/>
                <w:lang w:val="lv-LV"/>
              </w:rPr>
              <w:br/>
              <w:t>(ES-27 32,7 2007.g.)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102D3A">
            <w:pPr>
              <w:pStyle w:val="NoSpacing"/>
              <w:jc w:val="center"/>
              <w:rPr>
                <w:szCs w:val="24"/>
              </w:rPr>
            </w:pPr>
            <w:r w:rsidRPr="006E1F51">
              <w:rPr>
                <w:szCs w:val="24"/>
                <w:lang w:val="lv-LV"/>
              </w:rPr>
              <w:t>45,</w:t>
            </w:r>
            <w:r w:rsidRPr="006E1F51">
              <w:rPr>
                <w:szCs w:val="24"/>
              </w:rPr>
              <w:t>6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102D3A">
            <w:pPr>
              <w:jc w:val="center"/>
              <w:rPr>
                <w:szCs w:val="24"/>
              </w:rPr>
            </w:pPr>
            <w:r w:rsidRPr="006E1F51">
              <w:rPr>
                <w:szCs w:val="24"/>
              </w:rPr>
              <w:t>45,6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102D3A">
            <w:pPr>
              <w:jc w:val="center"/>
              <w:rPr>
                <w:szCs w:val="24"/>
              </w:rPr>
            </w:pPr>
            <w:r w:rsidRPr="006E1F51">
              <w:rPr>
                <w:szCs w:val="24"/>
              </w:rPr>
              <w:t>45,6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06462" w:rsidRPr="006E1F51" w:rsidRDefault="00906462" w:rsidP="00102D3A">
            <w:pPr>
              <w:jc w:val="center"/>
              <w:rPr>
                <w:szCs w:val="24"/>
              </w:rPr>
            </w:pPr>
            <w:r w:rsidRPr="006E1F51">
              <w:rPr>
                <w:szCs w:val="24"/>
              </w:rPr>
              <w:t>45,6</w:t>
            </w:r>
            <w:r w:rsidRPr="00E95436">
              <w:rPr>
                <w:sz w:val="28"/>
                <w:szCs w:val="28"/>
              </w:rPr>
              <w:t>"</w:t>
            </w:r>
          </w:p>
        </w:tc>
      </w:tr>
    </w:tbl>
    <w:p w:rsidR="00906462" w:rsidRPr="00B52ED2" w:rsidRDefault="00906462" w:rsidP="00573DC0">
      <w:pPr>
        <w:pStyle w:val="ListParagraph"/>
        <w:ind w:left="1152"/>
        <w:jc w:val="both"/>
        <w:rPr>
          <w:sz w:val="28"/>
          <w:szCs w:val="28"/>
        </w:rPr>
      </w:pPr>
    </w:p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52ED2">
        <w:rPr>
          <w:sz w:val="28"/>
          <w:szCs w:val="28"/>
        </w:rPr>
        <w:t xml:space="preserve">izteikt </w:t>
      </w:r>
      <w:r>
        <w:rPr>
          <w:sz w:val="28"/>
          <w:szCs w:val="28"/>
        </w:rPr>
        <w:t>1.</w:t>
      </w:r>
      <w:r w:rsidRPr="00B52ED2">
        <w:rPr>
          <w:sz w:val="28"/>
          <w:szCs w:val="28"/>
        </w:rPr>
        <w:t>pielikum</w:t>
      </w:r>
      <w:r>
        <w:rPr>
          <w:sz w:val="28"/>
          <w:szCs w:val="28"/>
        </w:rPr>
        <w:t>a prioritātes "</w:t>
      </w:r>
      <w:r w:rsidRPr="00B52ED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52ED2">
        <w:rPr>
          <w:sz w:val="28"/>
          <w:szCs w:val="28"/>
        </w:rPr>
        <w:t>Sociālā drošība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</w:t>
      </w:r>
      <w:r w:rsidRPr="008E4C70">
        <w:rPr>
          <w:sz w:val="28"/>
          <w:szCs w:val="28"/>
        </w:rPr>
        <w:t>rindu "Fiziskā drošība"</w:t>
      </w:r>
      <w:r w:rsidRPr="00B52ED2">
        <w:rPr>
          <w:sz w:val="28"/>
          <w:szCs w:val="28"/>
        </w:rPr>
        <w:t xml:space="preserve"> šādā redakcijā:</w:t>
      </w:r>
    </w:p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81"/>
        <w:gridCol w:w="3565"/>
        <w:gridCol w:w="953"/>
        <w:gridCol w:w="1415"/>
        <w:gridCol w:w="480"/>
        <w:gridCol w:w="480"/>
        <w:gridCol w:w="480"/>
        <w:gridCol w:w="577"/>
      </w:tblGrid>
      <w:tr w:rsidR="00906462" w:rsidRPr="006E1F51" w:rsidTr="005101FE">
        <w:tc>
          <w:tcPr>
            <w:tcW w:w="64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5101FE">
            <w:pPr>
              <w:pStyle w:val="NoSpacing"/>
              <w:jc w:val="both"/>
              <w:rPr>
                <w:szCs w:val="24"/>
                <w:lang w:val="lv-LV"/>
              </w:rPr>
            </w:pPr>
            <w:r w:rsidRPr="00E95436">
              <w:rPr>
                <w:sz w:val="28"/>
                <w:szCs w:val="28"/>
                <w:lang w:val="lv-LV"/>
              </w:rPr>
              <w:t>"</w:t>
            </w:r>
            <w:r w:rsidRPr="005101FE">
              <w:rPr>
                <w:b/>
                <w:i/>
                <w:szCs w:val="24"/>
                <w:lang w:val="lv-LV"/>
              </w:rPr>
              <w:t>Fiziskā drošība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5101FE" w:rsidRDefault="00906462" w:rsidP="005101FE">
            <w:pPr>
              <w:pStyle w:val="NoSpacing"/>
              <w:rPr>
                <w:szCs w:val="24"/>
                <w:lang w:val="lv-LV"/>
              </w:rPr>
            </w:pPr>
            <w:r w:rsidRPr="005101FE">
              <w:rPr>
                <w:szCs w:val="24"/>
              </w:rPr>
              <w:t>Noziegumu skaits uz 10 000 iedz.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5101FE">
            <w:pPr>
              <w:pStyle w:val="NoSpacing"/>
              <w:jc w:val="both"/>
              <w:rPr>
                <w:szCs w:val="24"/>
                <w:lang w:val="lv-LV"/>
              </w:rPr>
            </w:pPr>
            <w:r w:rsidRPr="00F57BA7">
              <w:rPr>
                <w:szCs w:val="24"/>
              </w:rPr>
              <w:t>IeM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5101FE">
            <w:pPr>
              <w:pStyle w:val="NoSpacing"/>
              <w:rPr>
                <w:szCs w:val="24"/>
                <w:lang w:val="lv-LV"/>
              </w:rPr>
            </w:pPr>
            <w:r w:rsidRPr="00F57BA7">
              <w:rPr>
                <w:szCs w:val="24"/>
              </w:rPr>
              <w:t>254 (2008.g.)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5101FE">
            <w:pPr>
              <w:pStyle w:val="NoSpacing"/>
              <w:jc w:val="center"/>
              <w:rPr>
                <w:szCs w:val="24"/>
              </w:rPr>
            </w:pPr>
            <w:r w:rsidRPr="00F57BA7">
              <w:rPr>
                <w:szCs w:val="24"/>
              </w:rPr>
              <w:t>270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5101FE">
            <w:pPr>
              <w:jc w:val="center"/>
              <w:rPr>
                <w:szCs w:val="24"/>
              </w:rPr>
            </w:pPr>
            <w:r w:rsidRPr="00F57BA7">
              <w:rPr>
                <w:szCs w:val="24"/>
                <w:lang w:eastAsia="lv-LV"/>
              </w:rPr>
              <w:t>270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6E1F51" w:rsidRDefault="00906462" w:rsidP="005101FE">
            <w:pPr>
              <w:jc w:val="center"/>
              <w:rPr>
                <w:szCs w:val="24"/>
              </w:rPr>
            </w:pPr>
            <w:r w:rsidRPr="00F57BA7">
              <w:rPr>
                <w:szCs w:val="24"/>
                <w:lang w:eastAsia="lv-LV"/>
              </w:rPr>
              <w:t>265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06462" w:rsidRPr="006E1F51" w:rsidRDefault="00906462" w:rsidP="005101FE">
            <w:pPr>
              <w:jc w:val="center"/>
              <w:rPr>
                <w:szCs w:val="24"/>
              </w:rPr>
            </w:pPr>
            <w:r w:rsidRPr="00F57BA7">
              <w:rPr>
                <w:szCs w:val="24"/>
                <w:lang w:eastAsia="lv-LV"/>
              </w:rPr>
              <w:t>260</w:t>
            </w:r>
            <w:r w:rsidRPr="00E95436">
              <w:rPr>
                <w:sz w:val="28"/>
                <w:szCs w:val="28"/>
              </w:rPr>
              <w:t>"</w:t>
            </w:r>
          </w:p>
        </w:tc>
      </w:tr>
    </w:tbl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52ED2">
        <w:rPr>
          <w:sz w:val="28"/>
          <w:szCs w:val="28"/>
        </w:rPr>
        <w:t xml:space="preserve">izteikt </w:t>
      </w:r>
      <w:r>
        <w:rPr>
          <w:sz w:val="28"/>
          <w:szCs w:val="28"/>
        </w:rPr>
        <w:t>1.</w:t>
      </w:r>
      <w:r w:rsidRPr="00B52ED2">
        <w:rPr>
          <w:sz w:val="28"/>
          <w:szCs w:val="28"/>
        </w:rPr>
        <w:t>pielikum</w:t>
      </w:r>
      <w:r>
        <w:rPr>
          <w:sz w:val="28"/>
          <w:szCs w:val="28"/>
        </w:rPr>
        <w:t xml:space="preserve">a </w:t>
      </w:r>
      <w:r w:rsidRPr="00B52ED2">
        <w:rPr>
          <w:sz w:val="28"/>
          <w:szCs w:val="28"/>
        </w:rPr>
        <w:t>prioritāt</w:t>
      </w:r>
      <w:r>
        <w:rPr>
          <w:sz w:val="28"/>
          <w:szCs w:val="28"/>
        </w:rPr>
        <w:t>i</w:t>
      </w:r>
      <w:r w:rsidRPr="00B52ED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52ED2">
        <w:rPr>
          <w:sz w:val="28"/>
          <w:szCs w:val="28"/>
        </w:rPr>
        <w:t xml:space="preserve">Publiskās pārvaldes </w:t>
      </w:r>
      <w:r w:rsidRPr="008E4C70">
        <w:rPr>
          <w:sz w:val="28"/>
          <w:szCs w:val="28"/>
        </w:rPr>
        <w:t>reformas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šādā redakcijā:</w:t>
      </w:r>
      <w:r>
        <w:rPr>
          <w:sz w:val="28"/>
          <w:szCs w:val="28"/>
        </w:rPr>
        <w:t xml:space="preserve"> </w:t>
      </w:r>
    </w:p>
    <w:p w:rsidR="00906462" w:rsidRPr="00B52ED2" w:rsidRDefault="00906462" w:rsidP="00573DC0">
      <w:pPr>
        <w:pStyle w:val="ListParagraph"/>
        <w:ind w:left="1152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40"/>
        <w:gridCol w:w="3507"/>
        <w:gridCol w:w="467"/>
        <w:gridCol w:w="1342"/>
        <w:gridCol w:w="640"/>
        <w:gridCol w:w="640"/>
        <w:gridCol w:w="640"/>
        <w:gridCol w:w="755"/>
      </w:tblGrid>
      <w:tr w:rsidR="00906462" w:rsidRPr="005101FE" w:rsidTr="005101FE">
        <w:tc>
          <w:tcPr>
            <w:tcW w:w="5000" w:type="pct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906462" w:rsidRPr="005101FE" w:rsidRDefault="00906462" w:rsidP="005101FE">
            <w:pPr>
              <w:pStyle w:val="NoSpacing"/>
              <w:jc w:val="both"/>
              <w:rPr>
                <w:szCs w:val="24"/>
              </w:rPr>
            </w:pPr>
            <w:r w:rsidRPr="00E95436">
              <w:rPr>
                <w:sz w:val="28"/>
                <w:szCs w:val="28"/>
              </w:rPr>
              <w:t>"</w:t>
            </w:r>
            <w:r w:rsidRPr="00E95436">
              <w:rPr>
                <w:b/>
                <w:szCs w:val="24"/>
              </w:rPr>
              <w:t>3. Publiskās pārvaldes efektivitāte</w:t>
            </w:r>
          </w:p>
        </w:tc>
      </w:tr>
      <w:tr w:rsidR="00906462" w:rsidRPr="005101FE" w:rsidTr="005101FE">
        <w:tc>
          <w:tcPr>
            <w:tcW w:w="62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E95436" w:rsidRDefault="00906462" w:rsidP="00E95436">
            <w:pPr>
              <w:pStyle w:val="NoSpacing"/>
              <w:rPr>
                <w:b/>
                <w:i/>
                <w:szCs w:val="24"/>
              </w:rPr>
            </w:pPr>
            <w:r w:rsidRPr="00E95436">
              <w:rPr>
                <w:b/>
                <w:i/>
                <w:szCs w:val="24"/>
                <w:lang w:val="lv-LV"/>
              </w:rPr>
              <w:t>Valsts pārvaldes efektivit</w:t>
            </w:r>
            <w:r w:rsidRPr="00E95436">
              <w:rPr>
                <w:b/>
                <w:i/>
                <w:szCs w:val="24"/>
              </w:rPr>
              <w:t>āte</w:t>
            </w:r>
          </w:p>
        </w:tc>
        <w:tc>
          <w:tcPr>
            <w:tcW w:w="1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5101FE" w:rsidRDefault="00906462" w:rsidP="00102D3A">
            <w:pPr>
              <w:pStyle w:val="NoSpacing"/>
              <w:rPr>
                <w:szCs w:val="24"/>
              </w:rPr>
            </w:pPr>
            <w:r w:rsidRPr="005101FE">
              <w:rPr>
                <w:szCs w:val="24"/>
              </w:rPr>
              <w:t>Valsts pārvaldes efektivitātes indekss, %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5101FE" w:rsidRDefault="00906462" w:rsidP="00573DC0">
            <w:pPr>
              <w:pStyle w:val="NoSpacing"/>
              <w:jc w:val="both"/>
              <w:rPr>
                <w:szCs w:val="24"/>
              </w:rPr>
            </w:pPr>
            <w:r w:rsidRPr="005101FE">
              <w:rPr>
                <w:szCs w:val="24"/>
              </w:rPr>
              <w:t>VK, FM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6462" w:rsidRPr="005101FE" w:rsidRDefault="00906462" w:rsidP="00573DC0">
            <w:pPr>
              <w:pStyle w:val="NoSpacing"/>
              <w:jc w:val="both"/>
              <w:rPr>
                <w:szCs w:val="24"/>
              </w:rPr>
            </w:pPr>
            <w:r w:rsidRPr="005101FE">
              <w:rPr>
                <w:szCs w:val="24"/>
              </w:rPr>
              <w:t>70 % (0,63) (2008.g.)</w:t>
            </w:r>
            <w:r w:rsidRPr="005101FE">
              <w:rPr>
                <w:szCs w:val="24"/>
              </w:rPr>
              <w:br/>
              <w:t> (Lietuvā 73</w:t>
            </w:r>
            <w:r>
              <w:rPr>
                <w:szCs w:val="24"/>
              </w:rPr>
              <w:t> </w:t>
            </w:r>
            <w:r w:rsidRPr="005101FE">
              <w:rPr>
                <w:szCs w:val="24"/>
              </w:rPr>
              <w:t>% (0,68), Igaunijā 86</w:t>
            </w:r>
            <w:r>
              <w:rPr>
                <w:szCs w:val="24"/>
              </w:rPr>
              <w:t> </w:t>
            </w:r>
            <w:r w:rsidRPr="005101FE">
              <w:rPr>
                <w:szCs w:val="24"/>
              </w:rPr>
              <w:t>% (1,24) 2008.g.)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5101FE" w:rsidRDefault="00906462" w:rsidP="00102D3A">
            <w:pPr>
              <w:pStyle w:val="NoSpacing"/>
              <w:jc w:val="center"/>
              <w:rPr>
                <w:szCs w:val="24"/>
              </w:rPr>
            </w:pPr>
            <w:r w:rsidRPr="005101FE">
              <w:rPr>
                <w:szCs w:val="24"/>
              </w:rPr>
              <w:t>72 % (0,80)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5101FE" w:rsidRDefault="00906462" w:rsidP="00102D3A">
            <w:pPr>
              <w:pStyle w:val="NoSpacing"/>
              <w:jc w:val="center"/>
              <w:rPr>
                <w:szCs w:val="24"/>
              </w:rPr>
            </w:pPr>
            <w:r w:rsidRPr="005101FE">
              <w:rPr>
                <w:szCs w:val="24"/>
              </w:rPr>
              <w:t>75 % (0,91)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462" w:rsidRPr="005101FE" w:rsidRDefault="00906462" w:rsidP="00102D3A">
            <w:pPr>
              <w:pStyle w:val="NoSpacing"/>
              <w:jc w:val="center"/>
              <w:rPr>
                <w:szCs w:val="24"/>
              </w:rPr>
            </w:pPr>
            <w:r w:rsidRPr="005101FE">
              <w:rPr>
                <w:szCs w:val="24"/>
              </w:rPr>
              <w:t>80 % (1,03)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06462" w:rsidRPr="005101FE" w:rsidRDefault="00906462" w:rsidP="00102D3A">
            <w:pPr>
              <w:pStyle w:val="NoSpacing"/>
              <w:jc w:val="center"/>
              <w:rPr>
                <w:szCs w:val="24"/>
              </w:rPr>
            </w:pPr>
            <w:r w:rsidRPr="005101FE">
              <w:rPr>
                <w:szCs w:val="24"/>
              </w:rPr>
              <w:t>84 % (1,15)</w:t>
            </w:r>
            <w:r w:rsidRPr="00A51EE5">
              <w:rPr>
                <w:sz w:val="28"/>
                <w:szCs w:val="28"/>
              </w:rPr>
              <w:t>"</w:t>
            </w:r>
          </w:p>
        </w:tc>
      </w:tr>
    </w:tbl>
    <w:p w:rsidR="00906462" w:rsidRPr="00B52ED2" w:rsidRDefault="00906462" w:rsidP="00573DC0">
      <w:pPr>
        <w:pStyle w:val="ListParagraph"/>
        <w:ind w:left="1152"/>
        <w:jc w:val="both"/>
        <w:rPr>
          <w:sz w:val="28"/>
          <w:szCs w:val="28"/>
        </w:rPr>
      </w:pP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aizstāt </w:t>
      </w:r>
      <w:r w:rsidRPr="00B52ED2">
        <w:rPr>
          <w:sz w:val="28"/>
          <w:szCs w:val="28"/>
        </w:rPr>
        <w:t>2.pielikum</w:t>
      </w:r>
      <w:r>
        <w:rPr>
          <w:sz w:val="28"/>
          <w:szCs w:val="28"/>
        </w:rPr>
        <w:t>a</w:t>
      </w:r>
      <w:r w:rsidRPr="00B52ED2">
        <w:rPr>
          <w:sz w:val="28"/>
          <w:szCs w:val="28"/>
        </w:rPr>
        <w:t xml:space="preserve"> </w:t>
      </w:r>
      <w:r>
        <w:rPr>
          <w:sz w:val="28"/>
          <w:szCs w:val="28"/>
        </w:rPr>
        <w:t>1.1.1.</w:t>
      </w:r>
      <w:r w:rsidRPr="00B52ED2">
        <w:rPr>
          <w:sz w:val="28"/>
          <w:szCs w:val="28"/>
        </w:rPr>
        <w:t xml:space="preserve">apakšpunkta </w:t>
      </w:r>
      <w:r>
        <w:rPr>
          <w:sz w:val="28"/>
          <w:szCs w:val="28"/>
        </w:rPr>
        <w:t>ailē</w:t>
      </w:r>
      <w:r w:rsidRPr="00B52ED2">
        <w:rPr>
          <w:sz w:val="28"/>
          <w:szCs w:val="28"/>
        </w:rPr>
        <w:t xml:space="preserve"> </w:t>
      </w:r>
      <w:r w:rsidRPr="007C2C1E">
        <w:rPr>
          <w:sz w:val="28"/>
          <w:szCs w:val="28"/>
        </w:rPr>
        <w:t>"Politikas rezultāts 2013.gadā"</w:t>
      </w:r>
      <w:r>
        <w:rPr>
          <w:sz w:val="28"/>
          <w:szCs w:val="28"/>
        </w:rPr>
        <w:t xml:space="preserve"> skaitļus un simbolu </w:t>
      </w:r>
      <w:r w:rsidRPr="008E4C70">
        <w:rPr>
          <w:sz w:val="28"/>
          <w:szCs w:val="28"/>
          <w:lang w:eastAsia="lv-LV"/>
        </w:rPr>
        <w:t>"2009.g. − 10,0 %</w:t>
      </w:r>
      <w:r w:rsidRPr="008E4C70">
        <w:rPr>
          <w:sz w:val="28"/>
          <w:szCs w:val="28"/>
        </w:rPr>
        <w:t>" ar skaitļiem un simbolu "</w:t>
      </w:r>
      <w:r w:rsidRPr="008E4C70">
        <w:rPr>
          <w:sz w:val="28"/>
          <w:szCs w:val="28"/>
          <w:lang w:eastAsia="lv-LV"/>
        </w:rPr>
        <w:t xml:space="preserve">2009.g. − </w:t>
      </w:r>
      <w:r w:rsidRPr="008E4C70">
        <w:rPr>
          <w:sz w:val="28"/>
          <w:szCs w:val="28"/>
        </w:rPr>
        <w:t>9,6 %";</w:t>
      </w: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B52ED2">
        <w:rPr>
          <w:sz w:val="28"/>
          <w:szCs w:val="28"/>
        </w:rPr>
        <w:t>papildināt 2.pielikum</w:t>
      </w:r>
      <w:r>
        <w:rPr>
          <w:sz w:val="28"/>
          <w:szCs w:val="28"/>
        </w:rPr>
        <w:t>a</w:t>
      </w:r>
      <w:r w:rsidRPr="00B52ED2">
        <w:rPr>
          <w:sz w:val="28"/>
          <w:szCs w:val="28"/>
        </w:rPr>
        <w:t xml:space="preserve"> </w:t>
      </w:r>
      <w:r>
        <w:rPr>
          <w:sz w:val="28"/>
          <w:szCs w:val="28"/>
        </w:rPr>
        <w:t>1.1.1.</w:t>
      </w:r>
      <w:r w:rsidRPr="00B52ED2">
        <w:rPr>
          <w:sz w:val="28"/>
          <w:szCs w:val="28"/>
        </w:rPr>
        <w:t xml:space="preserve">apakšpunkta aili </w:t>
      </w:r>
      <w:r w:rsidRPr="007C2C1E">
        <w:rPr>
          <w:sz w:val="28"/>
          <w:szCs w:val="28"/>
        </w:rPr>
        <w:t>"</w:t>
      </w:r>
      <w:r w:rsidRPr="007C2C1E">
        <w:rPr>
          <w:sz w:val="28"/>
          <w:szCs w:val="28"/>
          <w:lang w:eastAsia="lv-LV"/>
        </w:rPr>
        <w:t>Galvenā atbildīgā un  iesaistītās institūcijas"</w:t>
      </w:r>
      <w:r w:rsidRPr="00B52ED2">
        <w:rPr>
          <w:sz w:val="28"/>
          <w:szCs w:val="28"/>
        </w:rPr>
        <w:t xml:space="preserve"> ar saīsinājumu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LM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;</w:t>
      </w:r>
    </w:p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B52ED2">
        <w:rPr>
          <w:sz w:val="28"/>
          <w:szCs w:val="28"/>
        </w:rPr>
        <w:t>izteikt 2.pielikum</w:t>
      </w:r>
      <w:r>
        <w:rPr>
          <w:sz w:val="28"/>
          <w:szCs w:val="28"/>
        </w:rPr>
        <w:t>a</w:t>
      </w:r>
      <w:r w:rsidRPr="00B52ED2">
        <w:rPr>
          <w:sz w:val="28"/>
          <w:szCs w:val="28"/>
        </w:rPr>
        <w:t xml:space="preserve"> 1.1.1.1.apakšpunktu šādā redakcijā:</w:t>
      </w: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</w:p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51EE5">
        <w:rPr>
          <w:b/>
          <w:sz w:val="28"/>
          <w:szCs w:val="28"/>
        </w:rPr>
        <w:t>1.1.1.1.</w:t>
      </w:r>
      <w:r>
        <w:rPr>
          <w:sz w:val="28"/>
          <w:szCs w:val="28"/>
        </w:rPr>
        <w:t> </w:t>
      </w:r>
      <w:r w:rsidRPr="00733F27">
        <w:rPr>
          <w:b/>
          <w:sz w:val="28"/>
          <w:szCs w:val="28"/>
        </w:rPr>
        <w:t>Fiskālās atbildības palielināšana</w:t>
      </w:r>
      <w:r w:rsidRPr="00B52ED2">
        <w:rPr>
          <w:sz w:val="28"/>
          <w:szCs w:val="28"/>
        </w:rPr>
        <w:t>. Tiks atbalstīts fiskālās disciplīnas likumprojekts, kas noteiks fiskālās disciplīnas pamatprincipus un fiskālos nosacījumus</w:t>
      </w:r>
      <w:r>
        <w:rPr>
          <w:sz w:val="28"/>
          <w:szCs w:val="28"/>
        </w:rPr>
        <w:t>,</w:t>
      </w:r>
      <w:r w:rsidRPr="00B52ED2">
        <w:rPr>
          <w:sz w:val="28"/>
          <w:szCs w:val="28"/>
        </w:rPr>
        <w:t xml:space="preserve"> nodrošinot preciklisku fiskālo politiku. Galvenais fiskālās disciplīnas </w:t>
      </w:r>
      <w:r>
        <w:rPr>
          <w:sz w:val="28"/>
          <w:szCs w:val="28"/>
        </w:rPr>
        <w:t>īstenošanas</w:t>
      </w:r>
      <w:r w:rsidRPr="00B52ED2">
        <w:rPr>
          <w:sz w:val="28"/>
          <w:szCs w:val="28"/>
        </w:rPr>
        <w:t xml:space="preserve"> instruments būs saistošs vidēja termiņa budžeta ietvars, kas tiks nostiprināts kā likums.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;</w:t>
      </w: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</w:p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izteikt</w:t>
      </w:r>
      <w:r w:rsidRPr="00B52ED2">
        <w:rPr>
          <w:sz w:val="28"/>
          <w:szCs w:val="28"/>
        </w:rPr>
        <w:t xml:space="preserve"> 2.pielikum</w:t>
      </w:r>
      <w:r>
        <w:rPr>
          <w:sz w:val="28"/>
          <w:szCs w:val="28"/>
        </w:rPr>
        <w:t>a</w:t>
      </w:r>
      <w:r w:rsidRPr="00B52ED2">
        <w:rPr>
          <w:sz w:val="28"/>
          <w:szCs w:val="28"/>
        </w:rPr>
        <w:t xml:space="preserve"> 1.2.1.apakšpunkta </w:t>
      </w:r>
      <w:r w:rsidRPr="008E4C70">
        <w:rPr>
          <w:sz w:val="28"/>
          <w:szCs w:val="28"/>
        </w:rPr>
        <w:t>aili "Politikas rezultāts 2013.gadā" šādā redakcijā</w:t>
      </w:r>
      <w:r>
        <w:rPr>
          <w:sz w:val="28"/>
          <w:szCs w:val="28"/>
        </w:rPr>
        <w:t>:</w:t>
      </w:r>
    </w:p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0"/>
      </w:tblGrid>
      <w:tr w:rsidR="00906462" w:rsidTr="00ED724E">
        <w:tc>
          <w:tcPr>
            <w:tcW w:w="6000" w:type="dxa"/>
          </w:tcPr>
          <w:p w:rsidR="00906462" w:rsidRPr="00ED724E" w:rsidRDefault="00906462" w:rsidP="00733F27">
            <w:pPr>
              <w:rPr>
                <w:szCs w:val="24"/>
                <w:lang w:eastAsia="lv-LV"/>
              </w:rPr>
            </w:pPr>
            <w:r w:rsidRPr="00ED724E">
              <w:rPr>
                <w:sz w:val="28"/>
                <w:szCs w:val="28"/>
                <w:lang w:eastAsia="lv-LV"/>
              </w:rPr>
              <w:t>"</w:t>
            </w:r>
            <w:r w:rsidRPr="00ED724E">
              <w:rPr>
                <w:szCs w:val="24"/>
                <w:lang w:eastAsia="lv-LV"/>
              </w:rPr>
              <w:t xml:space="preserve">2013.gadā Pasaules Bankas </w:t>
            </w:r>
            <w:r w:rsidRPr="00ED724E">
              <w:rPr>
                <w:i/>
                <w:iCs/>
                <w:szCs w:val="24"/>
                <w:lang w:eastAsia="lv-LV"/>
              </w:rPr>
              <w:t>Doing Business</w:t>
            </w:r>
            <w:r w:rsidRPr="00ED724E">
              <w:rPr>
                <w:szCs w:val="24"/>
                <w:lang w:eastAsia="lv-LV"/>
              </w:rPr>
              <w:t xml:space="preserve"> indeksa reitingā vismaz</w:t>
            </w:r>
            <w:r w:rsidRPr="00ED724E">
              <w:rPr>
                <w:b/>
                <w:bCs/>
                <w:szCs w:val="24"/>
                <w:lang w:eastAsia="lv-LV"/>
              </w:rPr>
              <w:t xml:space="preserve"> 30.vieta šādās jomās:</w:t>
            </w:r>
          </w:p>
          <w:p w:rsidR="00906462" w:rsidRPr="00ED724E" w:rsidRDefault="00906462" w:rsidP="00733F27">
            <w:pPr>
              <w:rPr>
                <w:szCs w:val="24"/>
                <w:lang w:eastAsia="lv-LV"/>
              </w:rPr>
            </w:pPr>
            <w:r w:rsidRPr="00ED724E">
              <w:rPr>
                <w:szCs w:val="24"/>
                <w:lang w:eastAsia="lv-LV"/>
              </w:rPr>
              <w:t>-  uzņēmējdarbības uzsākšana (2009.g. 51.v.);</w:t>
            </w:r>
          </w:p>
          <w:p w:rsidR="00906462" w:rsidRPr="00ED724E" w:rsidRDefault="00906462" w:rsidP="00733F27">
            <w:pPr>
              <w:rPr>
                <w:szCs w:val="24"/>
                <w:lang w:eastAsia="lv-LV"/>
              </w:rPr>
            </w:pPr>
            <w:r w:rsidRPr="00ED724E">
              <w:rPr>
                <w:szCs w:val="24"/>
                <w:lang w:eastAsia="lv-LV"/>
              </w:rPr>
              <w:t>-  būvniecības atļauju saņemšana (2009.g. 7</w:t>
            </w:r>
            <w:r>
              <w:rPr>
                <w:szCs w:val="24"/>
                <w:lang w:eastAsia="lv-LV"/>
              </w:rPr>
              <w:t>7</w:t>
            </w:r>
            <w:r w:rsidRPr="00ED724E">
              <w:rPr>
                <w:szCs w:val="24"/>
                <w:lang w:eastAsia="lv-LV"/>
              </w:rPr>
              <w:t>.v.);</w:t>
            </w:r>
          </w:p>
          <w:p w:rsidR="00906462" w:rsidRPr="00ED724E" w:rsidRDefault="00906462" w:rsidP="00733F27">
            <w:pPr>
              <w:rPr>
                <w:szCs w:val="24"/>
                <w:lang w:eastAsia="lv-LV"/>
              </w:rPr>
            </w:pPr>
            <w:r w:rsidRPr="00ED724E">
              <w:rPr>
                <w:szCs w:val="24"/>
                <w:lang w:eastAsia="lv-LV"/>
              </w:rPr>
              <w:t>-  administratīvais slogs, maksājot nodokļus (2009.g. 56.v.)</w:t>
            </w:r>
            <w:r>
              <w:rPr>
                <w:szCs w:val="24"/>
                <w:lang w:eastAsia="lv-LV"/>
              </w:rPr>
              <w:t>;</w:t>
            </w:r>
          </w:p>
          <w:p w:rsidR="00906462" w:rsidRPr="00ED724E" w:rsidRDefault="00906462" w:rsidP="00ED724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D724E">
              <w:rPr>
                <w:szCs w:val="24"/>
                <w:lang w:eastAsia="lv-LV"/>
              </w:rPr>
              <w:t>-  nekustamā īpašuma reģistrācija (2009.g. 61.v.)</w:t>
            </w:r>
            <w:r w:rsidRPr="00ED724E">
              <w:rPr>
                <w:sz w:val="28"/>
                <w:szCs w:val="28"/>
                <w:lang w:eastAsia="lv-LV"/>
              </w:rPr>
              <w:t>"</w:t>
            </w:r>
          </w:p>
        </w:tc>
      </w:tr>
    </w:tbl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B52ED2">
        <w:rPr>
          <w:sz w:val="28"/>
          <w:szCs w:val="28"/>
        </w:rPr>
        <w:t>svītrot 2.pielikum</w:t>
      </w:r>
      <w:r>
        <w:rPr>
          <w:sz w:val="28"/>
          <w:szCs w:val="28"/>
        </w:rPr>
        <w:t>a</w:t>
      </w:r>
      <w:r w:rsidRPr="00B52ED2">
        <w:rPr>
          <w:sz w:val="28"/>
          <w:szCs w:val="28"/>
        </w:rPr>
        <w:t xml:space="preserve"> 1.2.2.apakšpunkta ailē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Galvenā atbildīgā un iesaistītās institūcijas</w:t>
      </w:r>
      <w:r>
        <w:rPr>
          <w:sz w:val="28"/>
          <w:szCs w:val="28"/>
        </w:rPr>
        <w:t xml:space="preserve">" </w:t>
      </w:r>
      <w:r w:rsidRPr="00B52ED2">
        <w:rPr>
          <w:sz w:val="28"/>
          <w:szCs w:val="28"/>
        </w:rPr>
        <w:t xml:space="preserve">saīsinājumu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FM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; </w:t>
      </w:r>
    </w:p>
    <w:p w:rsidR="00906462" w:rsidRDefault="00906462" w:rsidP="00102D3A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1.9. </w:t>
      </w:r>
      <w:r w:rsidRPr="00B52ED2">
        <w:rPr>
          <w:sz w:val="28"/>
          <w:szCs w:val="28"/>
          <w:lang w:val="lv-LV"/>
        </w:rPr>
        <w:t xml:space="preserve">papildināt </w:t>
      </w:r>
      <w:r w:rsidRPr="008E4C70">
        <w:rPr>
          <w:sz w:val="28"/>
          <w:szCs w:val="28"/>
          <w:lang w:val="lv-LV"/>
        </w:rPr>
        <w:t>2.pielikumu ar 1.2.2.6.apakšpunktu</w:t>
      </w:r>
      <w:r w:rsidRPr="00B52ED2">
        <w:rPr>
          <w:sz w:val="28"/>
          <w:szCs w:val="28"/>
          <w:lang w:val="lv-LV"/>
        </w:rPr>
        <w:t xml:space="preserve"> šādā redakcijā:</w:t>
      </w:r>
    </w:p>
    <w:p w:rsidR="00906462" w:rsidRDefault="00906462" w:rsidP="00102D3A">
      <w:pPr>
        <w:pStyle w:val="NoSpacing"/>
        <w:ind w:firstLine="720"/>
        <w:jc w:val="both"/>
        <w:rPr>
          <w:sz w:val="28"/>
          <w:szCs w:val="28"/>
          <w:lang w:val="lv-LV"/>
        </w:rPr>
      </w:pPr>
    </w:p>
    <w:p w:rsidR="00906462" w:rsidRDefault="00906462" w:rsidP="00102D3A">
      <w:pPr>
        <w:pStyle w:val="NoSpacing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Pr="00750441">
        <w:rPr>
          <w:b/>
          <w:sz w:val="28"/>
          <w:szCs w:val="28"/>
          <w:lang w:val="lv-LV"/>
        </w:rPr>
        <w:t>1.2.2.</w:t>
      </w:r>
      <w:r>
        <w:rPr>
          <w:b/>
          <w:sz w:val="28"/>
          <w:szCs w:val="28"/>
          <w:lang w:val="lv-LV"/>
        </w:rPr>
        <w:t>6</w:t>
      </w:r>
      <w:r w:rsidRPr="00750441">
        <w:rPr>
          <w:b/>
          <w:sz w:val="28"/>
          <w:szCs w:val="28"/>
          <w:lang w:val="lv-LV"/>
        </w:rPr>
        <w:t>. Izstrādāt un īstenot ārvalstu tiešo investīciju piesaistes stratēģiju</w:t>
      </w:r>
      <w:r>
        <w:rPr>
          <w:b/>
          <w:sz w:val="28"/>
          <w:szCs w:val="28"/>
          <w:lang w:val="lv-LV"/>
        </w:rPr>
        <w:t xml:space="preserve"> </w:t>
      </w:r>
      <w:r w:rsidRPr="00D7775E">
        <w:rPr>
          <w:sz w:val="28"/>
          <w:szCs w:val="28"/>
          <w:lang w:val="lv-LV"/>
        </w:rPr>
        <w:t>(3.pielikumā skatīt 1.2.2.8.apakšpunktu)</w:t>
      </w:r>
      <w:r w:rsidRPr="00750441">
        <w:rPr>
          <w:b/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  <w:r w:rsidRPr="00B52ED2">
        <w:rPr>
          <w:sz w:val="28"/>
          <w:szCs w:val="28"/>
          <w:lang w:val="lv-LV"/>
        </w:rPr>
        <w:t>;</w:t>
      </w:r>
    </w:p>
    <w:p w:rsidR="00906462" w:rsidRPr="00B52ED2" w:rsidRDefault="00906462" w:rsidP="00102D3A">
      <w:pPr>
        <w:pStyle w:val="NoSpacing"/>
        <w:ind w:firstLine="720"/>
        <w:jc w:val="both"/>
        <w:rPr>
          <w:sz w:val="28"/>
          <w:szCs w:val="28"/>
          <w:lang w:val="lv-LV"/>
        </w:rPr>
      </w:pP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 w:rsidRPr="00692D74">
        <w:rPr>
          <w:sz w:val="28"/>
          <w:szCs w:val="28"/>
        </w:rPr>
        <w:t>1.10. aizstāt 2.pielikuma 1.3.2.1.apakšpunktā vārdu "centus" ar vārdu "centrus";</w:t>
      </w:r>
      <w:r>
        <w:rPr>
          <w:sz w:val="28"/>
          <w:szCs w:val="28"/>
        </w:rPr>
        <w:t xml:space="preserve"> </w:t>
      </w: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Pr="00B52ED2">
        <w:rPr>
          <w:sz w:val="28"/>
          <w:szCs w:val="28"/>
        </w:rPr>
        <w:t xml:space="preserve">aizstāt </w:t>
      </w:r>
      <w:r w:rsidRPr="007C2C1E">
        <w:rPr>
          <w:sz w:val="28"/>
          <w:szCs w:val="28"/>
        </w:rPr>
        <w:t xml:space="preserve">2.pielikuma </w:t>
      </w:r>
      <w:r w:rsidRPr="00B52ED2">
        <w:rPr>
          <w:sz w:val="28"/>
          <w:szCs w:val="28"/>
        </w:rPr>
        <w:t>2.1.1.apakšpunkta ail</w:t>
      </w:r>
      <w:r>
        <w:rPr>
          <w:sz w:val="28"/>
          <w:szCs w:val="28"/>
        </w:rPr>
        <w:t>es</w:t>
      </w:r>
      <w:r w:rsidRPr="00B52ED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Politikas rezultāts 2013.gadā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2.punktā skaitli </w:t>
      </w:r>
      <w:r>
        <w:rPr>
          <w:sz w:val="28"/>
          <w:szCs w:val="28"/>
        </w:rPr>
        <w:t xml:space="preserve">un simbolu </w:t>
      </w:r>
      <w:r w:rsidRPr="00572FC5">
        <w:rPr>
          <w:sz w:val="28"/>
          <w:szCs w:val="28"/>
        </w:rPr>
        <w:t xml:space="preserve">"40 %" ar skaitli </w:t>
      </w:r>
      <w:r>
        <w:rPr>
          <w:sz w:val="28"/>
          <w:szCs w:val="28"/>
        </w:rPr>
        <w:t xml:space="preserve">un simbolu </w:t>
      </w:r>
      <w:r w:rsidRPr="00572FC5">
        <w:rPr>
          <w:sz w:val="28"/>
          <w:szCs w:val="28"/>
        </w:rPr>
        <w:t>"30 %";</w:t>
      </w:r>
      <w:r>
        <w:rPr>
          <w:sz w:val="28"/>
          <w:szCs w:val="28"/>
        </w:rPr>
        <w:t xml:space="preserve"> </w:t>
      </w: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1.12. </w:t>
      </w:r>
      <w:r w:rsidRPr="00B52ED2">
        <w:rPr>
          <w:sz w:val="28"/>
          <w:szCs w:val="28"/>
        </w:rPr>
        <w:t xml:space="preserve">aizstāt </w:t>
      </w:r>
      <w:r w:rsidRPr="007C2C1E">
        <w:rPr>
          <w:sz w:val="28"/>
          <w:szCs w:val="28"/>
        </w:rPr>
        <w:t xml:space="preserve">2.pielikuma </w:t>
      </w:r>
      <w:r w:rsidRPr="00B52ED2">
        <w:rPr>
          <w:sz w:val="28"/>
          <w:szCs w:val="28"/>
        </w:rPr>
        <w:t>2.1.3.apakšpunkta ail</w:t>
      </w:r>
      <w:r>
        <w:rPr>
          <w:sz w:val="28"/>
          <w:szCs w:val="28"/>
        </w:rPr>
        <w:t>es</w:t>
      </w:r>
      <w:r w:rsidRPr="00B52ED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Politikas rezultāts 2013.gadā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4.punktā skaitļus</w:t>
      </w:r>
      <w:r>
        <w:rPr>
          <w:sz w:val="28"/>
          <w:szCs w:val="28"/>
        </w:rPr>
        <w:t xml:space="preserve"> un simbolu</w:t>
      </w:r>
      <w:r w:rsidRPr="00B52ED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2010.g.</w:t>
      </w:r>
      <w:r>
        <w:rPr>
          <w:sz w:val="28"/>
          <w:szCs w:val="28"/>
        </w:rPr>
        <w:t xml:space="preserve"> </w:t>
      </w:r>
      <w:r w:rsidRPr="00B52ED2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B52ED2">
        <w:rPr>
          <w:sz w:val="28"/>
          <w:szCs w:val="28"/>
        </w:rPr>
        <w:t>%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ar skaitļiem </w:t>
      </w:r>
      <w:r>
        <w:rPr>
          <w:sz w:val="28"/>
          <w:szCs w:val="28"/>
        </w:rPr>
        <w:t>un simbolu "</w:t>
      </w:r>
      <w:r w:rsidRPr="00B52ED2">
        <w:rPr>
          <w:sz w:val="28"/>
          <w:szCs w:val="28"/>
        </w:rPr>
        <w:t>2011.g. 12,7</w:t>
      </w:r>
      <w:r>
        <w:rPr>
          <w:sz w:val="28"/>
          <w:szCs w:val="28"/>
        </w:rPr>
        <w:t> </w:t>
      </w:r>
      <w:r w:rsidRPr="00B52ED2">
        <w:rPr>
          <w:sz w:val="28"/>
          <w:szCs w:val="28"/>
        </w:rPr>
        <w:t>%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; </w:t>
      </w: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1.13. </w:t>
      </w:r>
      <w:r w:rsidRPr="00B52ED2">
        <w:rPr>
          <w:sz w:val="28"/>
          <w:szCs w:val="28"/>
        </w:rPr>
        <w:t xml:space="preserve">svītrot </w:t>
      </w:r>
      <w:r w:rsidRPr="007C2C1E">
        <w:rPr>
          <w:sz w:val="28"/>
          <w:szCs w:val="28"/>
        </w:rPr>
        <w:t xml:space="preserve">2.pielikuma </w:t>
      </w:r>
      <w:r w:rsidRPr="00B52ED2">
        <w:rPr>
          <w:sz w:val="28"/>
          <w:szCs w:val="28"/>
        </w:rPr>
        <w:t xml:space="preserve">2.1.3.apakšpunkta ailē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Galvenā atbildīgā un iesaistītās institūcijas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saīsinājumu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VARAM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;</w:t>
      </w:r>
    </w:p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1.14. </w:t>
      </w:r>
      <w:r w:rsidRPr="00B52ED2">
        <w:rPr>
          <w:sz w:val="28"/>
          <w:szCs w:val="28"/>
        </w:rPr>
        <w:t xml:space="preserve">papildināt </w:t>
      </w:r>
      <w:r w:rsidRPr="007C2C1E">
        <w:rPr>
          <w:sz w:val="28"/>
          <w:szCs w:val="28"/>
        </w:rPr>
        <w:t xml:space="preserve">2.pielikuma </w:t>
      </w:r>
      <w:r w:rsidRPr="00B52ED2">
        <w:rPr>
          <w:sz w:val="28"/>
          <w:szCs w:val="28"/>
        </w:rPr>
        <w:t xml:space="preserve">2.1.3.apakšpunkta aili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Galvenā atbildīgā un iesaistītās institūcijas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ar saīsinājumu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SM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; </w:t>
      </w:r>
    </w:p>
    <w:p w:rsidR="00906462" w:rsidRDefault="00906462" w:rsidP="00750441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1.15. </w:t>
      </w:r>
      <w:r w:rsidRPr="00B52ED2">
        <w:rPr>
          <w:sz w:val="28"/>
          <w:szCs w:val="28"/>
        </w:rPr>
        <w:t xml:space="preserve">aizstāt </w:t>
      </w:r>
      <w:r w:rsidRPr="007C2C1E">
        <w:rPr>
          <w:sz w:val="28"/>
          <w:szCs w:val="28"/>
        </w:rPr>
        <w:t xml:space="preserve">2.pielikuma </w:t>
      </w:r>
      <w:r>
        <w:rPr>
          <w:sz w:val="28"/>
          <w:szCs w:val="28"/>
        </w:rPr>
        <w:t>3.1.1.</w:t>
      </w:r>
      <w:r w:rsidRPr="00B52ED2">
        <w:rPr>
          <w:sz w:val="28"/>
          <w:szCs w:val="28"/>
        </w:rPr>
        <w:t xml:space="preserve">apakšpunkta </w:t>
      </w:r>
      <w:r>
        <w:rPr>
          <w:sz w:val="28"/>
          <w:szCs w:val="28"/>
        </w:rPr>
        <w:t>ailē "</w:t>
      </w:r>
      <w:r w:rsidRPr="00B52ED2">
        <w:rPr>
          <w:sz w:val="28"/>
          <w:szCs w:val="28"/>
        </w:rPr>
        <w:t>Politikas rezultāts 2013.gadā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skaitli </w:t>
      </w:r>
      <w:r>
        <w:rPr>
          <w:sz w:val="28"/>
          <w:szCs w:val="28"/>
        </w:rPr>
        <w:t>un simbolu "</w:t>
      </w:r>
      <w:r w:rsidRPr="00B52ED2">
        <w:rPr>
          <w:sz w:val="28"/>
          <w:szCs w:val="28"/>
        </w:rPr>
        <w:t>44,7</w:t>
      </w:r>
      <w:r>
        <w:rPr>
          <w:sz w:val="28"/>
          <w:szCs w:val="28"/>
        </w:rPr>
        <w:t> </w:t>
      </w:r>
      <w:r w:rsidRPr="00B52ED2">
        <w:rPr>
          <w:sz w:val="28"/>
          <w:szCs w:val="28"/>
        </w:rPr>
        <w:t>%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ar skaitli </w:t>
      </w:r>
      <w:r>
        <w:rPr>
          <w:sz w:val="28"/>
          <w:szCs w:val="28"/>
        </w:rPr>
        <w:t>un simbolu "</w:t>
      </w:r>
      <w:r w:rsidRPr="00B52ED2">
        <w:rPr>
          <w:sz w:val="28"/>
          <w:szCs w:val="28"/>
        </w:rPr>
        <w:t>42,9</w:t>
      </w:r>
      <w:r>
        <w:rPr>
          <w:sz w:val="28"/>
          <w:szCs w:val="28"/>
        </w:rPr>
        <w:t> </w:t>
      </w:r>
      <w:r w:rsidRPr="00B52ED2">
        <w:rPr>
          <w:sz w:val="28"/>
          <w:szCs w:val="28"/>
        </w:rPr>
        <w:t>%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;</w:t>
      </w:r>
    </w:p>
    <w:p w:rsidR="00906462" w:rsidRPr="00B52ED2" w:rsidRDefault="00906462" w:rsidP="00750441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1.16. </w:t>
      </w:r>
      <w:r w:rsidRPr="00B52ED2">
        <w:rPr>
          <w:sz w:val="28"/>
          <w:szCs w:val="28"/>
        </w:rPr>
        <w:t xml:space="preserve">papildināt </w:t>
      </w:r>
      <w:r w:rsidRPr="007C2C1E">
        <w:rPr>
          <w:sz w:val="28"/>
          <w:szCs w:val="28"/>
        </w:rPr>
        <w:t xml:space="preserve">2.pielikuma </w:t>
      </w:r>
      <w:r>
        <w:rPr>
          <w:sz w:val="28"/>
          <w:szCs w:val="28"/>
        </w:rPr>
        <w:t>3.1.1.</w:t>
      </w:r>
      <w:r w:rsidRPr="00B52ED2">
        <w:rPr>
          <w:sz w:val="28"/>
          <w:szCs w:val="28"/>
        </w:rPr>
        <w:t xml:space="preserve">apakšpunkta aili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Galvenā atbildīgā un iesaistītās institūcijas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ar saīsinājumu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EM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;</w:t>
      </w:r>
    </w:p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 izteikt </w:t>
      </w:r>
      <w:r w:rsidRPr="007C2C1E">
        <w:rPr>
          <w:sz w:val="28"/>
          <w:szCs w:val="28"/>
        </w:rPr>
        <w:t xml:space="preserve">2.pielikuma </w:t>
      </w:r>
      <w:r>
        <w:rPr>
          <w:sz w:val="28"/>
          <w:szCs w:val="28"/>
        </w:rPr>
        <w:t>3.1.1.4.</w:t>
      </w:r>
      <w:r w:rsidRPr="00B52ED2">
        <w:rPr>
          <w:sz w:val="28"/>
          <w:szCs w:val="28"/>
        </w:rPr>
        <w:t>apakšpunktu šādā redakcijā:</w:t>
      </w: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</w:p>
    <w:p w:rsidR="00906462" w:rsidRDefault="00906462" w:rsidP="00102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50441">
        <w:rPr>
          <w:b/>
          <w:sz w:val="28"/>
          <w:szCs w:val="28"/>
        </w:rPr>
        <w:t>3.1.1.4. Izstrādāt valsts un pašvaldību kapitālsabiedrību kompe</w:t>
      </w:r>
      <w:r>
        <w:rPr>
          <w:b/>
          <w:sz w:val="28"/>
          <w:szCs w:val="28"/>
        </w:rPr>
        <w:softHyphen/>
      </w:r>
      <w:r w:rsidRPr="00750441">
        <w:rPr>
          <w:b/>
          <w:sz w:val="28"/>
          <w:szCs w:val="28"/>
        </w:rPr>
        <w:t xml:space="preserve">tentas un profesionālas pārvaldības </w:t>
      </w:r>
      <w:r w:rsidRPr="00692D74">
        <w:rPr>
          <w:b/>
          <w:sz w:val="28"/>
          <w:szCs w:val="28"/>
        </w:rPr>
        <w:t>modeli, lai nodrošinātu</w:t>
      </w:r>
      <w:r w:rsidRPr="00750441">
        <w:rPr>
          <w:b/>
          <w:sz w:val="28"/>
          <w:szCs w:val="28"/>
        </w:rPr>
        <w:t xml:space="preserve"> valsts un pašvaldību uzņēmumu kapitāla daļu efektīv</w:t>
      </w:r>
      <w:r>
        <w:rPr>
          <w:b/>
          <w:sz w:val="28"/>
          <w:szCs w:val="28"/>
        </w:rPr>
        <w:t>u</w:t>
      </w:r>
      <w:r w:rsidRPr="00750441">
        <w:rPr>
          <w:b/>
          <w:sz w:val="28"/>
          <w:szCs w:val="28"/>
        </w:rPr>
        <w:t xml:space="preserve"> pārvaldi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06462" w:rsidRPr="00B52ED2" w:rsidRDefault="00906462" w:rsidP="00102D3A">
      <w:pPr>
        <w:ind w:firstLine="720"/>
        <w:jc w:val="both"/>
        <w:rPr>
          <w:sz w:val="28"/>
          <w:szCs w:val="28"/>
        </w:rPr>
      </w:pP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1.18. </w:t>
      </w:r>
      <w:r w:rsidRPr="00B52ED2">
        <w:rPr>
          <w:sz w:val="28"/>
          <w:szCs w:val="28"/>
        </w:rPr>
        <w:t xml:space="preserve">svītrot </w:t>
      </w:r>
      <w:r w:rsidRPr="007C2C1E">
        <w:rPr>
          <w:sz w:val="28"/>
          <w:szCs w:val="28"/>
        </w:rPr>
        <w:t xml:space="preserve">2.pielikuma </w:t>
      </w:r>
      <w:r w:rsidRPr="00B52ED2">
        <w:rPr>
          <w:sz w:val="28"/>
          <w:szCs w:val="28"/>
        </w:rPr>
        <w:t>3.1.1.5.apakšpunktu;</w:t>
      </w:r>
    </w:p>
    <w:p w:rsidR="0090646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1.19. </w:t>
      </w:r>
      <w:r w:rsidRPr="00B52ED2">
        <w:rPr>
          <w:sz w:val="28"/>
          <w:szCs w:val="28"/>
        </w:rPr>
        <w:t xml:space="preserve">papildināt </w:t>
      </w:r>
      <w:r w:rsidRPr="007C2C1E">
        <w:rPr>
          <w:sz w:val="28"/>
          <w:szCs w:val="28"/>
        </w:rPr>
        <w:t>2.pielikum</w:t>
      </w:r>
      <w:r>
        <w:rPr>
          <w:sz w:val="28"/>
          <w:szCs w:val="28"/>
        </w:rPr>
        <w:t>u</w:t>
      </w:r>
      <w:r w:rsidRPr="007C2C1E">
        <w:rPr>
          <w:sz w:val="28"/>
          <w:szCs w:val="28"/>
        </w:rPr>
        <w:t xml:space="preserve"> </w:t>
      </w:r>
      <w:r w:rsidRPr="00B52ED2">
        <w:rPr>
          <w:sz w:val="28"/>
          <w:szCs w:val="28"/>
        </w:rPr>
        <w:t>ar 3.1.2.2.apakšpunktu šādā redakcijā:</w:t>
      </w:r>
    </w:p>
    <w:p w:rsidR="00906462" w:rsidRPr="00B52ED2" w:rsidRDefault="00906462" w:rsidP="00102D3A">
      <w:pPr>
        <w:pStyle w:val="ListParagraph"/>
        <w:ind w:left="0" w:firstLine="720"/>
        <w:jc w:val="both"/>
        <w:rPr>
          <w:sz w:val="28"/>
          <w:szCs w:val="28"/>
        </w:rPr>
      </w:pPr>
    </w:p>
    <w:p w:rsidR="00906462" w:rsidRDefault="00906462" w:rsidP="00102D3A">
      <w:pPr>
        <w:pStyle w:val="ListParagraph"/>
        <w:ind w:lef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50441">
        <w:rPr>
          <w:b/>
          <w:sz w:val="28"/>
          <w:szCs w:val="28"/>
        </w:rPr>
        <w:t>3.1.2.2. Ieviest vienas pieturas aģentūras reģionālajā (pašvaldību) līmenī, kas strādā tieši ar klientiem, bet atbalsta funkcijas centralizēt un, ciktāl iespējams, nodot privātiem partneriem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;</w:t>
      </w:r>
    </w:p>
    <w:p w:rsidR="00906462" w:rsidRPr="00B52ED2" w:rsidRDefault="00906462" w:rsidP="00102D3A">
      <w:pPr>
        <w:pStyle w:val="ListParagraph"/>
        <w:ind w:left="120" w:firstLine="600"/>
        <w:jc w:val="both"/>
        <w:rPr>
          <w:sz w:val="28"/>
          <w:szCs w:val="28"/>
        </w:rPr>
      </w:pPr>
    </w:p>
    <w:p w:rsidR="00906462" w:rsidRDefault="00906462" w:rsidP="00102D3A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1.20. </w:t>
      </w:r>
      <w:r w:rsidRPr="00B52ED2">
        <w:rPr>
          <w:sz w:val="28"/>
          <w:szCs w:val="28"/>
        </w:rPr>
        <w:t xml:space="preserve">papildināt </w:t>
      </w:r>
      <w:r w:rsidRPr="007C2C1E">
        <w:rPr>
          <w:sz w:val="28"/>
          <w:szCs w:val="28"/>
        </w:rPr>
        <w:t>2.pielikum</w:t>
      </w:r>
      <w:r>
        <w:rPr>
          <w:sz w:val="28"/>
          <w:szCs w:val="28"/>
        </w:rPr>
        <w:t>a</w:t>
      </w:r>
      <w:r w:rsidRPr="007C2C1E">
        <w:rPr>
          <w:sz w:val="28"/>
          <w:szCs w:val="28"/>
        </w:rPr>
        <w:t xml:space="preserve"> </w:t>
      </w:r>
      <w:r>
        <w:rPr>
          <w:sz w:val="28"/>
          <w:szCs w:val="28"/>
        </w:rPr>
        <w:t>3.3.2.</w:t>
      </w:r>
      <w:r w:rsidRPr="00B52ED2">
        <w:rPr>
          <w:sz w:val="28"/>
          <w:szCs w:val="28"/>
        </w:rPr>
        <w:t xml:space="preserve">apakšpunkta aili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Galvenā atbildīgā un iesaistītās institūcijas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 xml:space="preserve"> ar saīsinājumiem </w:t>
      </w:r>
      <w:r>
        <w:rPr>
          <w:sz w:val="28"/>
          <w:szCs w:val="28"/>
        </w:rPr>
        <w:t>"</w:t>
      </w:r>
      <w:r w:rsidRPr="00B52ED2">
        <w:rPr>
          <w:sz w:val="28"/>
          <w:szCs w:val="28"/>
        </w:rPr>
        <w:t>VARAM, SM</w:t>
      </w:r>
      <w:r>
        <w:rPr>
          <w:sz w:val="28"/>
          <w:szCs w:val="28"/>
        </w:rPr>
        <w:t>".</w:t>
      </w:r>
    </w:p>
    <w:p w:rsidR="00906462" w:rsidRDefault="00906462" w:rsidP="00102D3A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</w:p>
    <w:p w:rsidR="00906462" w:rsidRPr="00B52ED2" w:rsidRDefault="00906462" w:rsidP="00102D3A">
      <w:pPr>
        <w:pStyle w:val="ListParagraph"/>
        <w:spacing w:before="12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Vides aizsardzības un reģionālās attīstības ministrijai nedēļas laikā iesniegt precizēto plānu Valsts kancelejā.</w:t>
      </w:r>
    </w:p>
    <w:p w:rsidR="00906462" w:rsidRPr="00B52ED2" w:rsidRDefault="00906462" w:rsidP="00573DC0">
      <w:pPr>
        <w:pStyle w:val="ListParagraph"/>
        <w:ind w:left="1152"/>
        <w:jc w:val="both"/>
        <w:rPr>
          <w:sz w:val="28"/>
          <w:szCs w:val="28"/>
        </w:rPr>
      </w:pPr>
    </w:p>
    <w:p w:rsidR="00906462" w:rsidRPr="00B52ED2" w:rsidRDefault="00906462" w:rsidP="00822845">
      <w:pPr>
        <w:jc w:val="both"/>
        <w:rPr>
          <w:sz w:val="28"/>
          <w:szCs w:val="28"/>
        </w:rPr>
      </w:pPr>
    </w:p>
    <w:p w:rsidR="00906462" w:rsidRPr="00B52ED2" w:rsidRDefault="00906462" w:rsidP="00FE0A24">
      <w:pPr>
        <w:pStyle w:val="NoSpacing"/>
        <w:ind w:left="426"/>
        <w:rPr>
          <w:sz w:val="28"/>
          <w:szCs w:val="28"/>
          <w:lang w:val="lv-LV"/>
        </w:rPr>
      </w:pPr>
    </w:p>
    <w:p w:rsidR="00906462" w:rsidRDefault="00906462" w:rsidP="00102D3A">
      <w:pPr>
        <w:pStyle w:val="NoSpacing"/>
        <w:tabs>
          <w:tab w:val="left" w:pos="6720"/>
        </w:tabs>
        <w:ind w:left="426"/>
        <w:rPr>
          <w:sz w:val="28"/>
          <w:szCs w:val="28"/>
          <w:lang w:val="lv-LV"/>
        </w:rPr>
      </w:pPr>
      <w:r w:rsidRPr="00B52ED2">
        <w:rPr>
          <w:sz w:val="28"/>
          <w:szCs w:val="28"/>
          <w:lang w:val="lv-LV"/>
        </w:rPr>
        <w:t>Ministru prezident</w:t>
      </w:r>
      <w:r>
        <w:rPr>
          <w:sz w:val="28"/>
          <w:szCs w:val="28"/>
          <w:lang w:val="lv-LV"/>
        </w:rPr>
        <w:t>a vietā −</w:t>
      </w:r>
    </w:p>
    <w:p w:rsidR="00906462" w:rsidRPr="006835E5" w:rsidRDefault="00906462" w:rsidP="006835E5">
      <w:pPr>
        <w:pStyle w:val="NoSpacing"/>
        <w:tabs>
          <w:tab w:val="left" w:pos="6720"/>
        </w:tabs>
        <w:ind w:left="426"/>
        <w:rPr>
          <w:sz w:val="28"/>
          <w:szCs w:val="28"/>
          <w:lang w:val="lv-LV"/>
        </w:rPr>
      </w:pPr>
      <w:r w:rsidRPr="006835E5">
        <w:rPr>
          <w:sz w:val="28"/>
          <w:szCs w:val="28"/>
          <w:lang w:val="lv-LV"/>
        </w:rPr>
        <w:t xml:space="preserve">Ministru prezidenta biedrs, </w:t>
      </w:r>
    </w:p>
    <w:p w:rsidR="00906462" w:rsidRPr="006835E5" w:rsidRDefault="00906462" w:rsidP="006835E5">
      <w:pPr>
        <w:pStyle w:val="NoSpacing"/>
        <w:tabs>
          <w:tab w:val="left" w:pos="6840"/>
        </w:tabs>
        <w:ind w:left="426"/>
        <w:rPr>
          <w:sz w:val="28"/>
          <w:szCs w:val="28"/>
          <w:lang w:val="lv-LV"/>
        </w:rPr>
      </w:pPr>
      <w:r w:rsidRPr="006835E5">
        <w:rPr>
          <w:sz w:val="28"/>
          <w:szCs w:val="28"/>
          <w:lang w:val="lv-LV"/>
        </w:rPr>
        <w:t>aizsardzības ministrs</w:t>
      </w:r>
      <w:r w:rsidRPr="006835E5">
        <w:rPr>
          <w:sz w:val="28"/>
          <w:szCs w:val="28"/>
          <w:lang w:val="lv-LV"/>
        </w:rPr>
        <w:tab/>
        <w:t>A.Pabriks</w:t>
      </w:r>
    </w:p>
    <w:p w:rsidR="00906462" w:rsidRPr="00B52ED2" w:rsidRDefault="00906462" w:rsidP="006835E5">
      <w:pPr>
        <w:pStyle w:val="NoSpacing"/>
        <w:tabs>
          <w:tab w:val="left" w:pos="6840"/>
        </w:tabs>
        <w:ind w:left="426"/>
        <w:rPr>
          <w:sz w:val="28"/>
          <w:szCs w:val="28"/>
          <w:lang w:val="lv-LV"/>
        </w:rPr>
      </w:pPr>
    </w:p>
    <w:p w:rsidR="00906462" w:rsidRPr="00B52ED2" w:rsidRDefault="00906462" w:rsidP="006835E5">
      <w:pPr>
        <w:pStyle w:val="NoSpacing"/>
        <w:tabs>
          <w:tab w:val="left" w:pos="6840"/>
        </w:tabs>
        <w:ind w:left="426"/>
        <w:rPr>
          <w:sz w:val="28"/>
          <w:szCs w:val="28"/>
          <w:lang w:val="lv-LV"/>
        </w:rPr>
      </w:pPr>
    </w:p>
    <w:p w:rsidR="00906462" w:rsidRDefault="00906462" w:rsidP="006835E5">
      <w:pPr>
        <w:pStyle w:val="NoSpacing"/>
        <w:tabs>
          <w:tab w:val="left" w:pos="6840"/>
        </w:tabs>
        <w:ind w:left="426"/>
        <w:rPr>
          <w:sz w:val="28"/>
          <w:szCs w:val="28"/>
          <w:lang w:val="lv-LV"/>
        </w:rPr>
      </w:pPr>
    </w:p>
    <w:p w:rsidR="00906462" w:rsidRPr="00B52ED2" w:rsidRDefault="00906462" w:rsidP="006835E5">
      <w:pPr>
        <w:pStyle w:val="NoSpacing"/>
        <w:tabs>
          <w:tab w:val="left" w:pos="6840"/>
        </w:tabs>
        <w:ind w:left="426"/>
        <w:rPr>
          <w:sz w:val="28"/>
          <w:szCs w:val="28"/>
          <w:lang w:val="lv-LV"/>
        </w:rPr>
      </w:pPr>
    </w:p>
    <w:p w:rsidR="00906462" w:rsidRPr="00B52ED2" w:rsidRDefault="00906462" w:rsidP="006835E5">
      <w:pPr>
        <w:pStyle w:val="NoSpacing"/>
        <w:tabs>
          <w:tab w:val="left" w:pos="6840"/>
        </w:tabs>
        <w:ind w:firstLine="426"/>
        <w:rPr>
          <w:sz w:val="28"/>
          <w:szCs w:val="28"/>
          <w:lang w:val="lv-LV"/>
        </w:rPr>
      </w:pPr>
      <w:r w:rsidRPr="00B52ED2">
        <w:rPr>
          <w:sz w:val="28"/>
          <w:szCs w:val="28"/>
          <w:lang w:val="lv-LV"/>
        </w:rPr>
        <w:t>Vides aizsardzības un</w:t>
      </w:r>
    </w:p>
    <w:p w:rsidR="00906462" w:rsidRPr="00B52ED2" w:rsidRDefault="00906462" w:rsidP="006835E5">
      <w:pPr>
        <w:pStyle w:val="NoSpacing"/>
        <w:tabs>
          <w:tab w:val="left" w:pos="6840"/>
        </w:tabs>
        <w:ind w:left="426"/>
        <w:rPr>
          <w:sz w:val="28"/>
          <w:szCs w:val="28"/>
        </w:rPr>
      </w:pPr>
      <w:r w:rsidRPr="006835E5">
        <w:rPr>
          <w:sz w:val="28"/>
          <w:szCs w:val="28"/>
          <w:lang w:val="lv-LV"/>
        </w:rPr>
        <w:t>reģionālās</w:t>
      </w:r>
      <w:r w:rsidRPr="00B52ED2">
        <w:rPr>
          <w:sz w:val="28"/>
          <w:szCs w:val="28"/>
        </w:rPr>
        <w:t xml:space="preserve"> attīstības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R.Vējonis</w:t>
      </w:r>
    </w:p>
    <w:sectPr w:rsidR="00906462" w:rsidRPr="00B52ED2" w:rsidSect="00102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62" w:rsidRDefault="00906462" w:rsidP="000B118E">
      <w:r>
        <w:separator/>
      </w:r>
    </w:p>
  </w:endnote>
  <w:endnote w:type="continuationSeparator" w:id="0">
    <w:p w:rsidR="00906462" w:rsidRDefault="00906462" w:rsidP="000B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62" w:rsidRDefault="00906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62" w:rsidRPr="00102D3A" w:rsidRDefault="00906462">
    <w:pPr>
      <w:pStyle w:val="Footer"/>
      <w:rPr>
        <w:sz w:val="16"/>
        <w:szCs w:val="16"/>
      </w:rPr>
    </w:pPr>
    <w:r w:rsidRPr="00102D3A">
      <w:rPr>
        <w:sz w:val="16"/>
        <w:szCs w:val="16"/>
      </w:rPr>
      <w:t>R1538_1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62" w:rsidRPr="00102D3A" w:rsidRDefault="00906462">
    <w:pPr>
      <w:pStyle w:val="Footer"/>
      <w:rPr>
        <w:sz w:val="16"/>
        <w:szCs w:val="16"/>
      </w:rPr>
    </w:pPr>
    <w:r w:rsidRPr="00102D3A">
      <w:rPr>
        <w:sz w:val="16"/>
        <w:szCs w:val="16"/>
      </w:rPr>
      <w:t>R1538_1</w:t>
    </w:r>
    <w:r>
      <w:rPr>
        <w:sz w:val="16"/>
        <w:szCs w:val="16"/>
      </w:rPr>
      <w:t xml:space="preserve"> v_sk. = </w:t>
    </w:r>
    <w:fldSimple w:instr=" NUMWORDS  \* MERGEFORMAT ">
      <w:r w:rsidRPr="006835E5">
        <w:rPr>
          <w:noProof/>
          <w:sz w:val="16"/>
          <w:szCs w:val="16"/>
        </w:rPr>
        <w:t>526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62" w:rsidRDefault="00906462" w:rsidP="000B118E">
      <w:r>
        <w:separator/>
      </w:r>
    </w:p>
  </w:footnote>
  <w:footnote w:type="continuationSeparator" w:id="0">
    <w:p w:rsidR="00906462" w:rsidRDefault="00906462" w:rsidP="000B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62" w:rsidRDefault="009064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62" w:rsidRDefault="00906462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906462" w:rsidRDefault="009064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62" w:rsidRDefault="00906462" w:rsidP="00102D3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C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3276A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005E9D"/>
    <w:multiLevelType w:val="hybridMultilevel"/>
    <w:tmpl w:val="38406C9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C2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5B70F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AE3112"/>
    <w:multiLevelType w:val="hybridMultilevel"/>
    <w:tmpl w:val="45AAEC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8A53C7"/>
    <w:multiLevelType w:val="hybridMultilevel"/>
    <w:tmpl w:val="CE2021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A871EA"/>
    <w:multiLevelType w:val="hybridMultilevel"/>
    <w:tmpl w:val="C29671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0547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6C45DB2"/>
    <w:multiLevelType w:val="multilevel"/>
    <w:tmpl w:val="E1621D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>
    <w:nsid w:val="575522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93334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CF610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7C41D63"/>
    <w:multiLevelType w:val="hybridMultilevel"/>
    <w:tmpl w:val="1136C0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285D78"/>
    <w:multiLevelType w:val="hybridMultilevel"/>
    <w:tmpl w:val="F5EE5A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CF73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93256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54D"/>
    <w:rsid w:val="00006F17"/>
    <w:rsid w:val="000140EA"/>
    <w:rsid w:val="000229B7"/>
    <w:rsid w:val="00040F5C"/>
    <w:rsid w:val="00043A4F"/>
    <w:rsid w:val="000550F1"/>
    <w:rsid w:val="00085F1A"/>
    <w:rsid w:val="00096FDC"/>
    <w:rsid w:val="000B118E"/>
    <w:rsid w:val="000B2B7C"/>
    <w:rsid w:val="000C1E90"/>
    <w:rsid w:val="000C2256"/>
    <w:rsid w:val="000C2D18"/>
    <w:rsid w:val="000F0231"/>
    <w:rsid w:val="000F5C6E"/>
    <w:rsid w:val="000F627C"/>
    <w:rsid w:val="000F7013"/>
    <w:rsid w:val="001000B3"/>
    <w:rsid w:val="001019B7"/>
    <w:rsid w:val="00102D3A"/>
    <w:rsid w:val="00117FD2"/>
    <w:rsid w:val="0012252E"/>
    <w:rsid w:val="00125CA3"/>
    <w:rsid w:val="00125F79"/>
    <w:rsid w:val="00132B16"/>
    <w:rsid w:val="00137F95"/>
    <w:rsid w:val="001550A1"/>
    <w:rsid w:val="00161D1B"/>
    <w:rsid w:val="001723B0"/>
    <w:rsid w:val="00172456"/>
    <w:rsid w:val="00185BDE"/>
    <w:rsid w:val="001923DE"/>
    <w:rsid w:val="001A11BB"/>
    <w:rsid w:val="001A2293"/>
    <w:rsid w:val="001A5E24"/>
    <w:rsid w:val="001A7247"/>
    <w:rsid w:val="001B7BDD"/>
    <w:rsid w:val="001B7BF6"/>
    <w:rsid w:val="001B7E69"/>
    <w:rsid w:val="001E1B71"/>
    <w:rsid w:val="001F01A0"/>
    <w:rsid w:val="001F5958"/>
    <w:rsid w:val="001F7476"/>
    <w:rsid w:val="001F7747"/>
    <w:rsid w:val="00202AA8"/>
    <w:rsid w:val="00203E28"/>
    <w:rsid w:val="00216621"/>
    <w:rsid w:val="00223FD6"/>
    <w:rsid w:val="00232116"/>
    <w:rsid w:val="0025422A"/>
    <w:rsid w:val="00255D89"/>
    <w:rsid w:val="00263A3A"/>
    <w:rsid w:val="00283D91"/>
    <w:rsid w:val="002908BA"/>
    <w:rsid w:val="002910BD"/>
    <w:rsid w:val="002A0AFA"/>
    <w:rsid w:val="002C3EA0"/>
    <w:rsid w:val="002D351D"/>
    <w:rsid w:val="002D3753"/>
    <w:rsid w:val="002E0447"/>
    <w:rsid w:val="002E7CFE"/>
    <w:rsid w:val="002F52F9"/>
    <w:rsid w:val="003019C0"/>
    <w:rsid w:val="00311D3E"/>
    <w:rsid w:val="0031332B"/>
    <w:rsid w:val="00316148"/>
    <w:rsid w:val="00316520"/>
    <w:rsid w:val="00331583"/>
    <w:rsid w:val="0033577C"/>
    <w:rsid w:val="00337647"/>
    <w:rsid w:val="00343CC4"/>
    <w:rsid w:val="00367749"/>
    <w:rsid w:val="00376193"/>
    <w:rsid w:val="003816B6"/>
    <w:rsid w:val="003923E3"/>
    <w:rsid w:val="003A7348"/>
    <w:rsid w:val="003B3496"/>
    <w:rsid w:val="003B48F1"/>
    <w:rsid w:val="003D0B31"/>
    <w:rsid w:val="003E1C98"/>
    <w:rsid w:val="003E2B32"/>
    <w:rsid w:val="003E2C6D"/>
    <w:rsid w:val="003E6993"/>
    <w:rsid w:val="003E6A61"/>
    <w:rsid w:val="003E74BF"/>
    <w:rsid w:val="0040139B"/>
    <w:rsid w:val="004016A6"/>
    <w:rsid w:val="00404116"/>
    <w:rsid w:val="004057CD"/>
    <w:rsid w:val="00421A0D"/>
    <w:rsid w:val="00437944"/>
    <w:rsid w:val="00445C3A"/>
    <w:rsid w:val="0045156A"/>
    <w:rsid w:val="0046147D"/>
    <w:rsid w:val="004640F4"/>
    <w:rsid w:val="004656E0"/>
    <w:rsid w:val="00466FCC"/>
    <w:rsid w:val="0048721E"/>
    <w:rsid w:val="00487926"/>
    <w:rsid w:val="004963A9"/>
    <w:rsid w:val="004B7B79"/>
    <w:rsid w:val="004B7BC4"/>
    <w:rsid w:val="004C24F4"/>
    <w:rsid w:val="004C6C98"/>
    <w:rsid w:val="004D0C99"/>
    <w:rsid w:val="004E5B9B"/>
    <w:rsid w:val="004F053B"/>
    <w:rsid w:val="005101FE"/>
    <w:rsid w:val="005161C2"/>
    <w:rsid w:val="00522B86"/>
    <w:rsid w:val="005255D7"/>
    <w:rsid w:val="0052777E"/>
    <w:rsid w:val="00543BBF"/>
    <w:rsid w:val="00572FC5"/>
    <w:rsid w:val="00573597"/>
    <w:rsid w:val="00573DC0"/>
    <w:rsid w:val="00575DF1"/>
    <w:rsid w:val="005864A0"/>
    <w:rsid w:val="00596C94"/>
    <w:rsid w:val="005A62A1"/>
    <w:rsid w:val="005B37F0"/>
    <w:rsid w:val="005B48D9"/>
    <w:rsid w:val="005B7F8B"/>
    <w:rsid w:val="005D37B8"/>
    <w:rsid w:val="005E1872"/>
    <w:rsid w:val="005F2767"/>
    <w:rsid w:val="005F49A5"/>
    <w:rsid w:val="00603B6E"/>
    <w:rsid w:val="0061731F"/>
    <w:rsid w:val="006202B1"/>
    <w:rsid w:val="00621479"/>
    <w:rsid w:val="006244EB"/>
    <w:rsid w:val="006412C4"/>
    <w:rsid w:val="006418CC"/>
    <w:rsid w:val="00645A39"/>
    <w:rsid w:val="00656DE2"/>
    <w:rsid w:val="00661F25"/>
    <w:rsid w:val="00662379"/>
    <w:rsid w:val="00666944"/>
    <w:rsid w:val="006835E5"/>
    <w:rsid w:val="00685AD5"/>
    <w:rsid w:val="006900D6"/>
    <w:rsid w:val="00692D74"/>
    <w:rsid w:val="00694EF0"/>
    <w:rsid w:val="006A0B62"/>
    <w:rsid w:val="006A19EE"/>
    <w:rsid w:val="006A2018"/>
    <w:rsid w:val="006A473D"/>
    <w:rsid w:val="006B0D97"/>
    <w:rsid w:val="006B2831"/>
    <w:rsid w:val="006B2E77"/>
    <w:rsid w:val="006B5B8D"/>
    <w:rsid w:val="006B5E54"/>
    <w:rsid w:val="006C0AC5"/>
    <w:rsid w:val="006D5A7C"/>
    <w:rsid w:val="006D71F2"/>
    <w:rsid w:val="006E1F51"/>
    <w:rsid w:val="006E221F"/>
    <w:rsid w:val="006E7C0A"/>
    <w:rsid w:val="006E7FD9"/>
    <w:rsid w:val="0071441A"/>
    <w:rsid w:val="00733F27"/>
    <w:rsid w:val="00734668"/>
    <w:rsid w:val="00735CB0"/>
    <w:rsid w:val="00741368"/>
    <w:rsid w:val="007423B6"/>
    <w:rsid w:val="00750441"/>
    <w:rsid w:val="00771F8F"/>
    <w:rsid w:val="00773D98"/>
    <w:rsid w:val="00785806"/>
    <w:rsid w:val="00790559"/>
    <w:rsid w:val="007927AE"/>
    <w:rsid w:val="00794161"/>
    <w:rsid w:val="00796558"/>
    <w:rsid w:val="007976A7"/>
    <w:rsid w:val="007C2C1E"/>
    <w:rsid w:val="007C71A1"/>
    <w:rsid w:val="007D74CE"/>
    <w:rsid w:val="008054E7"/>
    <w:rsid w:val="008124BD"/>
    <w:rsid w:val="008154B4"/>
    <w:rsid w:val="00822845"/>
    <w:rsid w:val="00832C77"/>
    <w:rsid w:val="00836641"/>
    <w:rsid w:val="008452AC"/>
    <w:rsid w:val="00850463"/>
    <w:rsid w:val="0087377F"/>
    <w:rsid w:val="00881485"/>
    <w:rsid w:val="00883013"/>
    <w:rsid w:val="00884F9F"/>
    <w:rsid w:val="00887427"/>
    <w:rsid w:val="00890319"/>
    <w:rsid w:val="00892D4C"/>
    <w:rsid w:val="00893E88"/>
    <w:rsid w:val="008D44D0"/>
    <w:rsid w:val="008E05A3"/>
    <w:rsid w:val="008E4C70"/>
    <w:rsid w:val="008E6CA1"/>
    <w:rsid w:val="008E775F"/>
    <w:rsid w:val="00906462"/>
    <w:rsid w:val="00907481"/>
    <w:rsid w:val="009102D6"/>
    <w:rsid w:val="00910468"/>
    <w:rsid w:val="00917458"/>
    <w:rsid w:val="00923D64"/>
    <w:rsid w:val="009248DF"/>
    <w:rsid w:val="009260FF"/>
    <w:rsid w:val="00930155"/>
    <w:rsid w:val="0093491E"/>
    <w:rsid w:val="00942EE4"/>
    <w:rsid w:val="00965A7C"/>
    <w:rsid w:val="009661DB"/>
    <w:rsid w:val="0098683A"/>
    <w:rsid w:val="009B208B"/>
    <w:rsid w:val="009C358B"/>
    <w:rsid w:val="00A13D70"/>
    <w:rsid w:val="00A23888"/>
    <w:rsid w:val="00A512CC"/>
    <w:rsid w:val="00A51EE5"/>
    <w:rsid w:val="00A637A0"/>
    <w:rsid w:val="00A75A41"/>
    <w:rsid w:val="00A76C13"/>
    <w:rsid w:val="00A84834"/>
    <w:rsid w:val="00AB23C9"/>
    <w:rsid w:val="00AD024C"/>
    <w:rsid w:val="00B004C6"/>
    <w:rsid w:val="00B00EF1"/>
    <w:rsid w:val="00B038B5"/>
    <w:rsid w:val="00B075D1"/>
    <w:rsid w:val="00B1148C"/>
    <w:rsid w:val="00B136D1"/>
    <w:rsid w:val="00B13A05"/>
    <w:rsid w:val="00B25A35"/>
    <w:rsid w:val="00B310F3"/>
    <w:rsid w:val="00B35D17"/>
    <w:rsid w:val="00B36449"/>
    <w:rsid w:val="00B41061"/>
    <w:rsid w:val="00B46AC4"/>
    <w:rsid w:val="00B51795"/>
    <w:rsid w:val="00B52ED2"/>
    <w:rsid w:val="00B55843"/>
    <w:rsid w:val="00B61BF9"/>
    <w:rsid w:val="00B62A6B"/>
    <w:rsid w:val="00B66E3E"/>
    <w:rsid w:val="00B67283"/>
    <w:rsid w:val="00B7619D"/>
    <w:rsid w:val="00B81FA5"/>
    <w:rsid w:val="00B955C1"/>
    <w:rsid w:val="00BB127C"/>
    <w:rsid w:val="00BB7369"/>
    <w:rsid w:val="00BB7CF8"/>
    <w:rsid w:val="00BC2AA9"/>
    <w:rsid w:val="00BC7486"/>
    <w:rsid w:val="00BD39AA"/>
    <w:rsid w:val="00BE3DBB"/>
    <w:rsid w:val="00BF3948"/>
    <w:rsid w:val="00BF5E56"/>
    <w:rsid w:val="00C11A6C"/>
    <w:rsid w:val="00C12DF9"/>
    <w:rsid w:val="00C30602"/>
    <w:rsid w:val="00C313DC"/>
    <w:rsid w:val="00C414E9"/>
    <w:rsid w:val="00C41705"/>
    <w:rsid w:val="00C549C4"/>
    <w:rsid w:val="00C56D01"/>
    <w:rsid w:val="00CB20DD"/>
    <w:rsid w:val="00CB39E9"/>
    <w:rsid w:val="00CC13FA"/>
    <w:rsid w:val="00CC3E21"/>
    <w:rsid w:val="00CD426F"/>
    <w:rsid w:val="00CF2803"/>
    <w:rsid w:val="00D055B2"/>
    <w:rsid w:val="00D059C2"/>
    <w:rsid w:val="00D10CF6"/>
    <w:rsid w:val="00D10D89"/>
    <w:rsid w:val="00D10E33"/>
    <w:rsid w:val="00D1215C"/>
    <w:rsid w:val="00D25B4A"/>
    <w:rsid w:val="00D40A3D"/>
    <w:rsid w:val="00D41038"/>
    <w:rsid w:val="00D42513"/>
    <w:rsid w:val="00D427EF"/>
    <w:rsid w:val="00D51088"/>
    <w:rsid w:val="00D55AAF"/>
    <w:rsid w:val="00D64B0C"/>
    <w:rsid w:val="00D676D0"/>
    <w:rsid w:val="00D67B6A"/>
    <w:rsid w:val="00D71FC8"/>
    <w:rsid w:val="00D722AB"/>
    <w:rsid w:val="00D7775E"/>
    <w:rsid w:val="00D84DCA"/>
    <w:rsid w:val="00D94104"/>
    <w:rsid w:val="00DB65D2"/>
    <w:rsid w:val="00DE146A"/>
    <w:rsid w:val="00DE55E0"/>
    <w:rsid w:val="00DE654D"/>
    <w:rsid w:val="00E054B3"/>
    <w:rsid w:val="00E1082F"/>
    <w:rsid w:val="00E16F6D"/>
    <w:rsid w:val="00E20AA5"/>
    <w:rsid w:val="00E25F1C"/>
    <w:rsid w:val="00E264C5"/>
    <w:rsid w:val="00E71F35"/>
    <w:rsid w:val="00E8417A"/>
    <w:rsid w:val="00E846D3"/>
    <w:rsid w:val="00E95436"/>
    <w:rsid w:val="00EC2524"/>
    <w:rsid w:val="00EC661B"/>
    <w:rsid w:val="00ED1E14"/>
    <w:rsid w:val="00ED275F"/>
    <w:rsid w:val="00ED4F7C"/>
    <w:rsid w:val="00ED724E"/>
    <w:rsid w:val="00EE0375"/>
    <w:rsid w:val="00EE59DC"/>
    <w:rsid w:val="00F04548"/>
    <w:rsid w:val="00F240CD"/>
    <w:rsid w:val="00F34920"/>
    <w:rsid w:val="00F5333B"/>
    <w:rsid w:val="00F57107"/>
    <w:rsid w:val="00F5710C"/>
    <w:rsid w:val="00F57BA7"/>
    <w:rsid w:val="00F60724"/>
    <w:rsid w:val="00F61BE3"/>
    <w:rsid w:val="00F652B0"/>
    <w:rsid w:val="00F670C1"/>
    <w:rsid w:val="00F77BCF"/>
    <w:rsid w:val="00FA2929"/>
    <w:rsid w:val="00FA50CD"/>
    <w:rsid w:val="00FB5FF7"/>
    <w:rsid w:val="00FC2C77"/>
    <w:rsid w:val="00FC6BD0"/>
    <w:rsid w:val="00FC6C82"/>
    <w:rsid w:val="00FC752B"/>
    <w:rsid w:val="00FD77AC"/>
    <w:rsid w:val="00FE0A24"/>
    <w:rsid w:val="00FE320E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6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5E5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3B6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B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E5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3B6E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ListParagraph">
    <w:name w:val="List Paragraph"/>
    <w:basedOn w:val="Normal"/>
    <w:uiPriority w:val="99"/>
    <w:qFormat/>
    <w:rsid w:val="00603B6E"/>
    <w:pPr>
      <w:ind w:left="720"/>
      <w:contextualSpacing/>
    </w:pPr>
  </w:style>
  <w:style w:type="paragraph" w:customStyle="1" w:styleId="Virsraksts1">
    <w:name w:val="Virsraksts 1"/>
    <w:basedOn w:val="Heading1"/>
    <w:link w:val="Virsraksts1Char"/>
    <w:uiPriority w:val="99"/>
    <w:rsid w:val="00603B6E"/>
    <w:pPr>
      <w:jc w:val="center"/>
    </w:pPr>
    <w:rPr>
      <w:rFonts w:ascii="Times New Roman" w:hAnsi="Times New Roman"/>
      <w:sz w:val="24"/>
      <w:szCs w:val="24"/>
      <w:lang w:eastAsia="lv-LV"/>
    </w:rPr>
  </w:style>
  <w:style w:type="character" w:customStyle="1" w:styleId="Virsraksts1Char">
    <w:name w:val="Virsraksts 1 Char"/>
    <w:basedOn w:val="Heading1Char"/>
    <w:link w:val="Virsraksts1"/>
    <w:uiPriority w:val="99"/>
    <w:locked/>
    <w:rsid w:val="00603B6E"/>
    <w:rPr>
      <w:sz w:val="24"/>
      <w:szCs w:val="24"/>
    </w:rPr>
  </w:style>
  <w:style w:type="paragraph" w:customStyle="1" w:styleId="nORM12">
    <w:name w:val="nORM12"/>
    <w:basedOn w:val="Normal"/>
    <w:link w:val="nORM12Char"/>
    <w:uiPriority w:val="99"/>
    <w:rsid w:val="00603B6E"/>
    <w:rPr>
      <w:rFonts w:eastAsia="Times New Roman"/>
      <w:szCs w:val="20"/>
    </w:rPr>
  </w:style>
  <w:style w:type="character" w:customStyle="1" w:styleId="nORM12Char">
    <w:name w:val="nORM12 Char"/>
    <w:basedOn w:val="DefaultParagraphFont"/>
    <w:link w:val="nORM12"/>
    <w:uiPriority w:val="99"/>
    <w:locked/>
    <w:rsid w:val="00603B6E"/>
    <w:rPr>
      <w:rFonts w:eastAsia="Times New Roman"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D44D0"/>
    <w:pPr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44D0"/>
    <w:rPr>
      <w:rFonts w:eastAsia="Times New Roman"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0B11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18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B11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18E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61F25"/>
    <w:rPr>
      <w:rFonts w:cs="Times New Roman"/>
    </w:rPr>
  </w:style>
  <w:style w:type="table" w:styleId="TableGrid">
    <w:name w:val="Table Grid"/>
    <w:basedOn w:val="TableNormal"/>
    <w:uiPriority w:val="99"/>
    <w:rsid w:val="00C12D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22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0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55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E25F1C"/>
    <w:rPr>
      <w:rFonts w:eastAsia="Times New Roman"/>
      <w:sz w:val="24"/>
      <w:szCs w:val="20"/>
      <w:lang w:val="en-AU"/>
    </w:rPr>
  </w:style>
  <w:style w:type="character" w:customStyle="1" w:styleId="xdtextboxctrl117ms-xedit-plaintext">
    <w:name w:val="xdtextbox ctrl117 ms-xedit-plaintext"/>
    <w:basedOn w:val="DefaultParagraphFont"/>
    <w:uiPriority w:val="99"/>
    <w:rsid w:val="00223FD6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F61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1BE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1BE3"/>
    <w:rPr>
      <w:b/>
      <w:bCs/>
    </w:rPr>
  </w:style>
  <w:style w:type="paragraph" w:customStyle="1" w:styleId="tvhtml">
    <w:name w:val="tv_html"/>
    <w:basedOn w:val="Normal"/>
    <w:uiPriority w:val="99"/>
    <w:rsid w:val="006E7C0A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0026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6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6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3</Pages>
  <Words>2840</Words>
  <Characters>1619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et-jerma</dc:creator>
  <cp:keywords/>
  <dc:description/>
  <cp:lastModifiedBy>Erna Ivanova</cp:lastModifiedBy>
  <cp:revision>23</cp:revision>
  <cp:lastPrinted>2011-07-15T10:38:00Z</cp:lastPrinted>
  <dcterms:created xsi:type="dcterms:W3CDTF">2011-05-27T12:34:00Z</dcterms:created>
  <dcterms:modified xsi:type="dcterms:W3CDTF">2011-07-20T06:44:00Z</dcterms:modified>
</cp:coreProperties>
</file>