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47" w:rsidRPr="0083550A" w:rsidRDefault="00600747" w:rsidP="00600747">
      <w:pPr>
        <w:jc w:val="center"/>
        <w:rPr>
          <w:b/>
        </w:rPr>
      </w:pPr>
      <w:r w:rsidRPr="0083550A">
        <w:rPr>
          <w:b/>
        </w:rPr>
        <w:t>INFORMATĪVAIS ZIŅOJUMS</w:t>
      </w:r>
    </w:p>
    <w:p w:rsidR="00600747" w:rsidRDefault="00600747" w:rsidP="00600747">
      <w:pPr>
        <w:jc w:val="center"/>
      </w:pPr>
    </w:p>
    <w:p w:rsidR="00600747" w:rsidRDefault="00600747" w:rsidP="0021791A">
      <w:pPr>
        <w:jc w:val="center"/>
        <w:rPr>
          <w:b/>
        </w:rPr>
      </w:pPr>
      <w:r w:rsidRPr="00600747">
        <w:rPr>
          <w:b/>
        </w:rPr>
        <w:t xml:space="preserve"> „Par Latvijas nacionālo pozīciju</w:t>
      </w:r>
      <w:r w:rsidR="002717BC">
        <w:rPr>
          <w:b/>
        </w:rPr>
        <w:t xml:space="preserve"> </w:t>
      </w:r>
      <w:r w:rsidRPr="00600747">
        <w:rPr>
          <w:b/>
        </w:rPr>
        <w:t>par tematiskajiem mērķiem Baltijas jūras reģiona programmā 2014.-2020.gadam”</w:t>
      </w:r>
    </w:p>
    <w:p w:rsidR="0021791A" w:rsidRPr="0021791A" w:rsidRDefault="0021791A" w:rsidP="0021791A">
      <w:pPr>
        <w:jc w:val="center"/>
        <w:rPr>
          <w:b/>
        </w:rPr>
      </w:pPr>
    </w:p>
    <w:p w:rsidR="0021791A" w:rsidRPr="0021791A" w:rsidRDefault="00600747" w:rsidP="0021791A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1791A">
        <w:rPr>
          <w:rFonts w:ascii="Times New Roman" w:hAnsi="Times New Roman"/>
          <w:b/>
          <w:sz w:val="24"/>
          <w:szCs w:val="24"/>
        </w:rPr>
        <w:t xml:space="preserve">ES tiesību </w:t>
      </w:r>
      <w:smartTag w:uri="schemas-tilde-lv/tildestengine" w:element="veidnes">
        <w:smartTagPr>
          <w:attr w:name="text" w:val="akta"/>
          <w:attr w:name="id" w:val="-1"/>
          <w:attr w:name="baseform" w:val="akt|s"/>
        </w:smartTagPr>
        <w:r w:rsidRPr="0021791A">
          <w:rPr>
            <w:rFonts w:ascii="Times New Roman" w:hAnsi="Times New Roman"/>
            <w:b/>
            <w:sz w:val="24"/>
            <w:szCs w:val="24"/>
          </w:rPr>
          <w:t>akta</w:t>
        </w:r>
      </w:smartTag>
      <w:r w:rsidRPr="0021791A">
        <w:rPr>
          <w:rFonts w:ascii="Times New Roman" w:hAnsi="Times New Roman"/>
          <w:b/>
          <w:sz w:val="24"/>
          <w:szCs w:val="24"/>
        </w:rPr>
        <w:t xml:space="preserve"> projekta/izskatāmā jautājuma īss apraksts</w:t>
      </w:r>
    </w:p>
    <w:p w:rsidR="00600747" w:rsidRPr="00604BE0" w:rsidRDefault="00600747" w:rsidP="00600747">
      <w:pPr>
        <w:tabs>
          <w:tab w:val="left" w:pos="0"/>
        </w:tabs>
        <w:spacing w:after="120"/>
        <w:ind w:right="227"/>
        <w:jc w:val="both"/>
        <w:rPr>
          <w:rStyle w:val="at4"/>
        </w:rPr>
      </w:pPr>
      <w:r w:rsidRPr="00604BE0">
        <w:t xml:space="preserve">2011.gada 6.oktobrī Eiropas Komisija (turpmāk – EK) ir publicējusi </w:t>
      </w:r>
      <w:r w:rsidRPr="00604BE0">
        <w:rPr>
          <w:rStyle w:val="at2"/>
        </w:rPr>
        <w:t>Eiropas Parlamenta un Padomes regulas projektu par īpašiem noteikumiem par atbalstu no Eiropas Reģionālās attīstības fonda saistībā ar Eiropas Teritoriālās sadarbības mērķi (turpmāk – ETS regulas projekts).</w:t>
      </w:r>
      <w:r w:rsidRPr="00604BE0">
        <w:rPr>
          <w:rStyle w:val="at4"/>
        </w:rPr>
        <w:t xml:space="preserve"> </w:t>
      </w:r>
    </w:p>
    <w:p w:rsidR="00600747" w:rsidRDefault="00600747" w:rsidP="00600747">
      <w:pPr>
        <w:tabs>
          <w:tab w:val="left" w:pos="0"/>
        </w:tabs>
        <w:spacing w:after="120"/>
        <w:ind w:right="227"/>
        <w:jc w:val="both"/>
        <w:rPr>
          <w:rStyle w:val="at2"/>
        </w:rPr>
      </w:pPr>
      <w:r w:rsidRPr="00604BE0">
        <w:rPr>
          <w:rStyle w:val="at2"/>
        </w:rPr>
        <w:t>ETS regulas projekts paredz īpašus noteikumus Eiropas Reģionālās attīstības fonda (turpmāk – ERAF) atbalstam attiecībā uz Eiropas Teritoriālās s</w:t>
      </w:r>
      <w:r>
        <w:rPr>
          <w:rStyle w:val="at2"/>
        </w:rPr>
        <w:t>adarbības mērķi (turpmāk – ETS)</w:t>
      </w:r>
      <w:r w:rsidRPr="00604BE0">
        <w:rPr>
          <w:rStyle w:val="at2"/>
        </w:rPr>
        <w:t xml:space="preserve"> 2014.-2020.gada plānošanas period</w:t>
      </w:r>
      <w:r>
        <w:rPr>
          <w:rStyle w:val="at2"/>
        </w:rPr>
        <w:t>ā,</w:t>
      </w:r>
      <w:r w:rsidRPr="00604BE0">
        <w:rPr>
          <w:rStyle w:val="at2"/>
        </w:rPr>
        <w:t xml:space="preserve"> nosakot ETS sadarbības elementus, teritoriālā pārklājuma un finansēšanas nosacījumus, tematisko koncentrāciju un kopējo indikatoru sistēmu, kā arī ietver programmēšanas, vadības, uzraudzības un kontroles aspektus. </w:t>
      </w:r>
    </w:p>
    <w:p w:rsidR="00600747" w:rsidRDefault="00600747" w:rsidP="00600747">
      <w:pPr>
        <w:tabs>
          <w:tab w:val="left" w:pos="0"/>
        </w:tabs>
        <w:ind w:right="227"/>
        <w:jc w:val="both"/>
      </w:pPr>
      <w:r>
        <w:rPr>
          <w:rStyle w:val="at2"/>
        </w:rPr>
        <w:t xml:space="preserve">Atbilstoši ETS regulas projekta </w:t>
      </w:r>
      <w:r>
        <w:rPr>
          <w:color w:val="000000"/>
          <w:lang w:eastAsia="lv-LV"/>
        </w:rPr>
        <w:t xml:space="preserve">5. un 6.pantam ETS programmas atbalsta tematiskus mērķus un ieguldījumu prioritātes, kas ir noteikti </w:t>
      </w:r>
      <w:r w:rsidRPr="00604BE0">
        <w:rPr>
          <w:rStyle w:val="at2"/>
        </w:rPr>
        <w:t>Eiropas Parlamenta un Padomes regulas projekt</w:t>
      </w:r>
      <w:r>
        <w:rPr>
          <w:rStyle w:val="at2"/>
        </w:rPr>
        <w:t>a</w:t>
      </w:r>
      <w:r w:rsidRPr="00604BE0">
        <w:rPr>
          <w:rStyle w:val="at2"/>
        </w:rPr>
        <w:t xml:space="preserve">, ar ko paredz kopīgus noteikumus par Eiropas Reģionālās attīstības fondu, Eiropas Sociālo fondu, Kohēzijas fondu, Eiropas Lauksaimniecības fondu lauku attīstībai </w:t>
      </w:r>
      <w:r>
        <w:rPr>
          <w:rStyle w:val="at2"/>
        </w:rPr>
        <w:t xml:space="preserve">(turpmāk – ELFLA) </w:t>
      </w:r>
      <w:r w:rsidRPr="00604BE0">
        <w:rPr>
          <w:rStyle w:val="at2"/>
        </w:rPr>
        <w:t>un Eiropas Jūrlietu un zivsaimniecības fondu</w:t>
      </w:r>
      <w:r>
        <w:rPr>
          <w:rStyle w:val="at2"/>
        </w:rPr>
        <w:t xml:space="preserve"> (turpmāk – EJZF)</w:t>
      </w:r>
      <w:r w:rsidRPr="00604BE0">
        <w:rPr>
          <w:rStyle w:val="at2"/>
        </w:rPr>
        <w:t>, uz kuriem attiecas vienotais stratēģiskais ietvars, un vispārīgus noteikumus par Eiropas Reģionālās attīstības fondu, Eiropas Sociālo fondu un Kohēzijas fondu un atceļ Regulu (EK) Nr. 1083/2006 (turpmāk – KNR)</w:t>
      </w:r>
      <w:r>
        <w:t xml:space="preserve"> 9.pantā un</w:t>
      </w:r>
      <w:r w:rsidRPr="00604BE0">
        <w:t xml:space="preserve"> </w:t>
      </w:r>
      <w:r w:rsidRPr="00604BE0">
        <w:rPr>
          <w:rStyle w:val="at2"/>
        </w:rPr>
        <w:t>Eiropas Parlamenta un Padomes regulas projekt</w:t>
      </w:r>
      <w:r>
        <w:rPr>
          <w:rStyle w:val="at2"/>
        </w:rPr>
        <w:t>a</w:t>
      </w:r>
      <w:r w:rsidRPr="00604BE0">
        <w:rPr>
          <w:rStyle w:val="at2"/>
        </w:rPr>
        <w:t xml:space="preserve"> </w:t>
      </w:r>
      <w:r w:rsidRPr="00604BE0">
        <w:rPr>
          <w:bCs/>
          <w:lang w:eastAsia="lv-LV"/>
        </w:rPr>
        <w:t>par īpašiem noteikumiem attiecībā uz Eiropas Reģionālās attīstības fondu un mērķi “Ieguldījums izaugsmei un nodarbinātībai” un</w:t>
      </w:r>
      <w:r w:rsidRPr="00604BE0">
        <w:rPr>
          <w:rStyle w:val="at2"/>
        </w:rPr>
        <w:t xml:space="preserve"> par Regulas (EK) Nr. 1080/2006 atcelšanu (turpmāk – ERAF regula)</w:t>
      </w:r>
      <w:r>
        <w:t xml:space="preserve"> 5.pantā:</w:t>
      </w:r>
    </w:p>
    <w:p w:rsidR="0021791A" w:rsidRDefault="0021791A" w:rsidP="00600747">
      <w:pPr>
        <w:tabs>
          <w:tab w:val="left" w:pos="0"/>
        </w:tabs>
        <w:ind w:right="227"/>
        <w:jc w:val="both"/>
      </w:pPr>
    </w:p>
    <w:p w:rsidR="00600747" w:rsidRPr="00021DD0" w:rsidRDefault="00600747" w:rsidP="0021791A">
      <w:pPr>
        <w:tabs>
          <w:tab w:val="left" w:pos="426"/>
          <w:tab w:val="left" w:pos="709"/>
        </w:tabs>
        <w:ind w:right="141"/>
        <w:jc w:val="both"/>
        <w:rPr>
          <w:color w:val="000000"/>
          <w:lang w:eastAsia="lv-LV"/>
        </w:rPr>
      </w:pPr>
      <w:r w:rsidRPr="00021DD0">
        <w:rPr>
          <w:color w:val="000000"/>
          <w:lang w:eastAsia="lv-LV"/>
        </w:rPr>
        <w:t>(1)</w:t>
      </w:r>
      <w:r w:rsidRPr="00021DD0">
        <w:rPr>
          <w:color w:val="000000"/>
          <w:lang w:eastAsia="lv-LV"/>
        </w:rPr>
        <w:tab/>
        <w:t>nostiprināt pētniecību, tehnoloģiju attīstību un inovāciju;</w:t>
      </w:r>
    </w:p>
    <w:p w:rsidR="00600747" w:rsidRPr="00021DD0" w:rsidRDefault="00600747" w:rsidP="0021791A">
      <w:pPr>
        <w:tabs>
          <w:tab w:val="left" w:pos="426"/>
          <w:tab w:val="left" w:pos="709"/>
        </w:tabs>
        <w:ind w:right="141"/>
        <w:jc w:val="both"/>
        <w:rPr>
          <w:color w:val="000000"/>
          <w:lang w:eastAsia="lv-LV"/>
        </w:rPr>
      </w:pPr>
      <w:r w:rsidRPr="00021DD0">
        <w:rPr>
          <w:color w:val="000000"/>
          <w:lang w:eastAsia="lv-LV"/>
        </w:rPr>
        <w:t>(2)</w:t>
      </w:r>
      <w:r w:rsidRPr="00021DD0">
        <w:rPr>
          <w:color w:val="000000"/>
          <w:lang w:eastAsia="lv-LV"/>
        </w:rPr>
        <w:tab/>
        <w:t>uzlabot informācijas un komunikācijas tehnoloģiju pieejamību, izmantošanu un kvalitāti;</w:t>
      </w:r>
    </w:p>
    <w:p w:rsidR="00600747" w:rsidRPr="00021DD0" w:rsidRDefault="00600747" w:rsidP="0021791A">
      <w:pPr>
        <w:tabs>
          <w:tab w:val="left" w:pos="426"/>
          <w:tab w:val="left" w:pos="709"/>
        </w:tabs>
        <w:ind w:right="141"/>
        <w:jc w:val="both"/>
        <w:rPr>
          <w:color w:val="000000"/>
          <w:lang w:eastAsia="lv-LV"/>
        </w:rPr>
      </w:pPr>
      <w:r w:rsidRPr="00021DD0">
        <w:rPr>
          <w:color w:val="000000"/>
          <w:lang w:eastAsia="lv-LV"/>
        </w:rPr>
        <w:t>(3)</w:t>
      </w:r>
      <w:r w:rsidRPr="00021DD0">
        <w:rPr>
          <w:color w:val="000000"/>
          <w:lang w:eastAsia="lv-LV"/>
        </w:rPr>
        <w:tab/>
        <w:t>uzlabot mazo un vidējo uzņēmumu, kā arī lauksaimniecības nozares (attiecībā uz ELFLA) un zivsaimniecības un akvakultūras nozares (attiecībā uz EJZF) konkurētspēju;</w:t>
      </w:r>
    </w:p>
    <w:p w:rsidR="00600747" w:rsidRPr="00021DD0" w:rsidRDefault="00600747" w:rsidP="0021791A">
      <w:pPr>
        <w:tabs>
          <w:tab w:val="left" w:pos="426"/>
          <w:tab w:val="left" w:pos="709"/>
        </w:tabs>
        <w:ind w:right="141"/>
        <w:jc w:val="both"/>
        <w:rPr>
          <w:color w:val="000000"/>
          <w:lang w:eastAsia="lv-LV"/>
        </w:rPr>
      </w:pPr>
      <w:r w:rsidRPr="00021DD0">
        <w:rPr>
          <w:color w:val="000000"/>
          <w:lang w:eastAsia="lv-LV"/>
        </w:rPr>
        <w:t>(4)</w:t>
      </w:r>
      <w:r w:rsidRPr="00021DD0">
        <w:rPr>
          <w:color w:val="000000"/>
          <w:lang w:eastAsia="lv-LV"/>
        </w:rPr>
        <w:tab/>
        <w:t>atbalstīt pāreju uz ekonomiku, kura rada mazas oglekļa emisijas visās nozarēs;</w:t>
      </w:r>
    </w:p>
    <w:p w:rsidR="00600747" w:rsidRPr="00021DD0" w:rsidRDefault="00600747" w:rsidP="0021791A">
      <w:pPr>
        <w:tabs>
          <w:tab w:val="left" w:pos="426"/>
          <w:tab w:val="left" w:pos="709"/>
        </w:tabs>
        <w:ind w:right="141"/>
        <w:jc w:val="both"/>
        <w:rPr>
          <w:color w:val="000000"/>
          <w:lang w:eastAsia="lv-LV"/>
        </w:rPr>
      </w:pPr>
      <w:r w:rsidRPr="00021DD0">
        <w:rPr>
          <w:color w:val="000000"/>
          <w:lang w:eastAsia="lv-LV"/>
        </w:rPr>
        <w:t>(5)</w:t>
      </w:r>
      <w:r w:rsidRPr="00021DD0">
        <w:rPr>
          <w:color w:val="000000"/>
          <w:lang w:eastAsia="lv-LV"/>
        </w:rPr>
        <w:tab/>
        <w:t>veicināt pielāgošanos klimata pārmaiņām, riska novēršanu un pārvaldību;</w:t>
      </w:r>
    </w:p>
    <w:p w:rsidR="00600747" w:rsidRPr="00021DD0" w:rsidRDefault="00600747" w:rsidP="0021791A">
      <w:pPr>
        <w:tabs>
          <w:tab w:val="left" w:pos="426"/>
          <w:tab w:val="left" w:pos="709"/>
        </w:tabs>
        <w:ind w:right="141"/>
        <w:jc w:val="both"/>
        <w:rPr>
          <w:color w:val="000000"/>
          <w:lang w:eastAsia="lv-LV"/>
        </w:rPr>
      </w:pPr>
      <w:r w:rsidRPr="00021DD0">
        <w:rPr>
          <w:color w:val="000000"/>
          <w:lang w:eastAsia="lv-LV"/>
        </w:rPr>
        <w:t>(6)</w:t>
      </w:r>
      <w:r w:rsidRPr="00021DD0">
        <w:rPr>
          <w:color w:val="000000"/>
          <w:lang w:eastAsia="lv-LV"/>
        </w:rPr>
        <w:tab/>
        <w:t>aizsargāt vidi un veicināt resursu izmantošanas efektivitāti;</w:t>
      </w:r>
    </w:p>
    <w:p w:rsidR="00600747" w:rsidRPr="00021DD0" w:rsidRDefault="00600747" w:rsidP="0021791A">
      <w:pPr>
        <w:tabs>
          <w:tab w:val="left" w:pos="426"/>
          <w:tab w:val="left" w:pos="709"/>
        </w:tabs>
        <w:ind w:right="141"/>
        <w:jc w:val="both"/>
        <w:rPr>
          <w:color w:val="000000"/>
          <w:lang w:eastAsia="lv-LV"/>
        </w:rPr>
      </w:pPr>
      <w:r w:rsidRPr="00021DD0">
        <w:rPr>
          <w:color w:val="000000"/>
          <w:lang w:eastAsia="lv-LV"/>
        </w:rPr>
        <w:t>(7)</w:t>
      </w:r>
      <w:r w:rsidRPr="00021DD0">
        <w:rPr>
          <w:color w:val="000000"/>
          <w:lang w:eastAsia="lv-LV"/>
        </w:rPr>
        <w:tab/>
        <w:t>veicināt ilgtspējīgu transportu un novērst trūkumus galvenajās tīkla infrastruktūrās;</w:t>
      </w:r>
    </w:p>
    <w:p w:rsidR="00600747" w:rsidRPr="00021DD0" w:rsidRDefault="00600747" w:rsidP="0021791A">
      <w:pPr>
        <w:tabs>
          <w:tab w:val="left" w:pos="426"/>
          <w:tab w:val="left" w:pos="709"/>
        </w:tabs>
        <w:ind w:right="141"/>
        <w:jc w:val="both"/>
        <w:rPr>
          <w:color w:val="000000"/>
          <w:lang w:eastAsia="lv-LV"/>
        </w:rPr>
      </w:pPr>
      <w:r w:rsidRPr="00021DD0">
        <w:rPr>
          <w:color w:val="000000"/>
          <w:lang w:eastAsia="lv-LV"/>
        </w:rPr>
        <w:t>(8)</w:t>
      </w:r>
      <w:r w:rsidRPr="00021DD0">
        <w:rPr>
          <w:color w:val="000000"/>
          <w:lang w:eastAsia="lv-LV"/>
        </w:rPr>
        <w:tab/>
        <w:t>veicināt nodarbinātību un atbalstīt darbaspēka mobilitāti;</w:t>
      </w:r>
    </w:p>
    <w:p w:rsidR="00600747" w:rsidRPr="00021DD0" w:rsidRDefault="00600747" w:rsidP="0021791A">
      <w:pPr>
        <w:tabs>
          <w:tab w:val="left" w:pos="426"/>
          <w:tab w:val="left" w:pos="709"/>
        </w:tabs>
        <w:ind w:right="141"/>
        <w:jc w:val="both"/>
        <w:rPr>
          <w:color w:val="000000"/>
          <w:lang w:eastAsia="lv-LV"/>
        </w:rPr>
      </w:pPr>
      <w:r w:rsidRPr="00021DD0">
        <w:rPr>
          <w:color w:val="000000"/>
          <w:lang w:eastAsia="lv-LV"/>
        </w:rPr>
        <w:t>(9)</w:t>
      </w:r>
      <w:r w:rsidRPr="00021DD0">
        <w:rPr>
          <w:color w:val="000000"/>
          <w:lang w:eastAsia="lv-LV"/>
        </w:rPr>
        <w:tab/>
        <w:t>veicināt sociālo iekļaušanu un apkarot nabadzību;</w:t>
      </w:r>
    </w:p>
    <w:p w:rsidR="00600747" w:rsidRPr="00021DD0" w:rsidRDefault="00600747" w:rsidP="0021791A">
      <w:pPr>
        <w:tabs>
          <w:tab w:val="left" w:pos="426"/>
          <w:tab w:val="left" w:pos="709"/>
        </w:tabs>
        <w:ind w:right="141"/>
        <w:jc w:val="both"/>
        <w:rPr>
          <w:color w:val="000000"/>
          <w:lang w:eastAsia="lv-LV"/>
        </w:rPr>
      </w:pPr>
      <w:r w:rsidRPr="00021DD0">
        <w:rPr>
          <w:color w:val="000000"/>
          <w:lang w:eastAsia="lv-LV"/>
        </w:rPr>
        <w:t>(10)</w:t>
      </w:r>
      <w:r w:rsidRPr="00021DD0">
        <w:rPr>
          <w:color w:val="000000"/>
          <w:lang w:eastAsia="lv-LV"/>
        </w:rPr>
        <w:tab/>
        <w:t>ieguldīt izglītībā, prasmēs un mūžizglītībā;</w:t>
      </w:r>
    </w:p>
    <w:p w:rsidR="00600747" w:rsidRDefault="00600747" w:rsidP="0021791A">
      <w:pPr>
        <w:tabs>
          <w:tab w:val="left" w:pos="426"/>
          <w:tab w:val="left" w:pos="709"/>
        </w:tabs>
        <w:ind w:right="141"/>
        <w:jc w:val="both"/>
        <w:rPr>
          <w:color w:val="000000"/>
          <w:lang w:eastAsia="lv-LV"/>
        </w:rPr>
      </w:pPr>
      <w:r w:rsidRPr="00021DD0">
        <w:rPr>
          <w:color w:val="000000"/>
          <w:lang w:eastAsia="lv-LV"/>
        </w:rPr>
        <w:t>(11)</w:t>
      </w:r>
      <w:r w:rsidRPr="00021DD0">
        <w:rPr>
          <w:color w:val="000000"/>
          <w:lang w:eastAsia="lv-LV"/>
        </w:rPr>
        <w:tab/>
        <w:t>uzlabot institucionālās spējas un efektīvu valsts pārvaldi.</w:t>
      </w:r>
    </w:p>
    <w:p w:rsidR="0021791A" w:rsidRDefault="00600747" w:rsidP="0021791A">
      <w:pPr>
        <w:tabs>
          <w:tab w:val="left" w:pos="0"/>
        </w:tabs>
        <w:spacing w:before="100" w:beforeAutospacing="1" w:after="100" w:afterAutospacing="1"/>
        <w:ind w:right="141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>2012.gadā tika uzsākts ETS mērķa</w:t>
      </w:r>
      <w:r w:rsidRPr="00021DD0">
        <w:rPr>
          <w:color w:val="000000"/>
          <w:lang w:eastAsia="lv-LV"/>
        </w:rPr>
        <w:t xml:space="preserve"> Baltijas jūras reģiona transnacionālās sadarbības programmas (turpmāk – BJR programma) 2014.-2020.gadam</w:t>
      </w:r>
      <w:r>
        <w:rPr>
          <w:color w:val="000000"/>
          <w:lang w:eastAsia="lv-LV"/>
        </w:rPr>
        <w:t xml:space="preserve"> sagatavošanas process – tika izveidota Apvienotā Programmēšanas komiteja (turpmāk – APK), kas sastāv no pārstāvjiem no </w:t>
      </w:r>
      <w:r w:rsidRPr="00021DD0">
        <w:rPr>
          <w:color w:val="000000"/>
          <w:lang w:eastAsia="lv-LV"/>
        </w:rPr>
        <w:t>Igaunija</w:t>
      </w:r>
      <w:r>
        <w:rPr>
          <w:color w:val="000000"/>
          <w:lang w:eastAsia="lv-LV"/>
        </w:rPr>
        <w:t>s</w:t>
      </w:r>
      <w:r w:rsidRPr="00021DD0">
        <w:rPr>
          <w:color w:val="000000"/>
          <w:lang w:eastAsia="lv-LV"/>
        </w:rPr>
        <w:t>, Latvija</w:t>
      </w:r>
      <w:r>
        <w:rPr>
          <w:color w:val="000000"/>
          <w:lang w:eastAsia="lv-LV"/>
        </w:rPr>
        <w:t>s</w:t>
      </w:r>
      <w:r w:rsidRPr="00021DD0">
        <w:rPr>
          <w:color w:val="000000"/>
          <w:lang w:eastAsia="lv-LV"/>
        </w:rPr>
        <w:t>, Lietuva</w:t>
      </w:r>
      <w:r>
        <w:rPr>
          <w:color w:val="000000"/>
          <w:lang w:eastAsia="lv-LV"/>
        </w:rPr>
        <w:t>s</w:t>
      </w:r>
      <w:r w:rsidRPr="00021DD0">
        <w:rPr>
          <w:color w:val="000000"/>
          <w:lang w:eastAsia="lv-LV"/>
        </w:rPr>
        <w:t>, Dānija</w:t>
      </w:r>
      <w:r>
        <w:rPr>
          <w:color w:val="000000"/>
          <w:lang w:eastAsia="lv-LV"/>
        </w:rPr>
        <w:t>s</w:t>
      </w:r>
      <w:r w:rsidRPr="00021DD0">
        <w:rPr>
          <w:color w:val="000000"/>
          <w:lang w:eastAsia="lv-LV"/>
        </w:rPr>
        <w:t>, Polija</w:t>
      </w:r>
      <w:r>
        <w:rPr>
          <w:color w:val="000000"/>
          <w:lang w:eastAsia="lv-LV"/>
        </w:rPr>
        <w:t>s</w:t>
      </w:r>
      <w:r w:rsidRPr="00021DD0">
        <w:rPr>
          <w:color w:val="000000"/>
          <w:lang w:eastAsia="lv-LV"/>
        </w:rPr>
        <w:t>, Vācija</w:t>
      </w:r>
      <w:r>
        <w:rPr>
          <w:color w:val="000000"/>
          <w:lang w:eastAsia="lv-LV"/>
        </w:rPr>
        <w:t>s</w:t>
      </w:r>
      <w:r w:rsidRPr="00021DD0">
        <w:rPr>
          <w:color w:val="000000"/>
          <w:lang w:eastAsia="lv-LV"/>
        </w:rPr>
        <w:t>, Zviedrija</w:t>
      </w:r>
      <w:r>
        <w:rPr>
          <w:color w:val="000000"/>
          <w:lang w:eastAsia="lv-LV"/>
        </w:rPr>
        <w:t>s</w:t>
      </w:r>
      <w:r w:rsidRPr="00021DD0">
        <w:rPr>
          <w:color w:val="000000"/>
          <w:lang w:eastAsia="lv-LV"/>
        </w:rPr>
        <w:t xml:space="preserve"> un Somija</w:t>
      </w:r>
      <w:r>
        <w:rPr>
          <w:color w:val="000000"/>
          <w:lang w:eastAsia="lv-LV"/>
        </w:rPr>
        <w:t>s, kā arī partnervalstīm</w:t>
      </w:r>
      <w:r w:rsidRPr="00021DD0">
        <w:rPr>
          <w:color w:val="000000"/>
          <w:lang w:eastAsia="lv-LV"/>
        </w:rPr>
        <w:t xml:space="preserve"> – Norvēģija</w:t>
      </w:r>
      <w:r>
        <w:rPr>
          <w:color w:val="000000"/>
          <w:lang w:eastAsia="lv-LV"/>
        </w:rPr>
        <w:t>s</w:t>
      </w:r>
      <w:r w:rsidRPr="00021DD0">
        <w:rPr>
          <w:color w:val="000000"/>
          <w:lang w:eastAsia="lv-LV"/>
        </w:rPr>
        <w:t>, Baltkrievija</w:t>
      </w:r>
      <w:r>
        <w:rPr>
          <w:color w:val="000000"/>
          <w:lang w:eastAsia="lv-LV"/>
        </w:rPr>
        <w:t>s</w:t>
      </w:r>
      <w:r w:rsidRPr="00021DD0">
        <w:rPr>
          <w:color w:val="000000"/>
          <w:lang w:eastAsia="lv-LV"/>
        </w:rPr>
        <w:t xml:space="preserve"> un Krievijas Federācija</w:t>
      </w:r>
      <w:r>
        <w:rPr>
          <w:color w:val="000000"/>
          <w:lang w:eastAsia="lv-LV"/>
        </w:rPr>
        <w:t xml:space="preserve">s. Pēc APK vienošanās esošās BJR programmas 2007.-2013.gadam Apvienotais tehniskais </w:t>
      </w:r>
      <w:r>
        <w:rPr>
          <w:color w:val="000000"/>
          <w:lang w:eastAsia="lv-LV"/>
        </w:rPr>
        <w:lastRenderedPageBreak/>
        <w:t xml:space="preserve">sekretariāts sagatavoja darba plānu </w:t>
      </w:r>
      <w:proofErr w:type="spellStart"/>
      <w:r w:rsidRPr="00DA5B02">
        <w:rPr>
          <w:i/>
          <w:color w:val="000000"/>
          <w:lang w:eastAsia="lv-LV"/>
        </w:rPr>
        <w:t>ex-ante</w:t>
      </w:r>
      <w:proofErr w:type="spellEnd"/>
      <w:r>
        <w:rPr>
          <w:color w:val="000000"/>
          <w:lang w:eastAsia="lv-LV"/>
        </w:rPr>
        <w:t xml:space="preserve"> izvērtējumam, kā arī veica </w:t>
      </w:r>
      <w:r w:rsidRPr="00021DD0">
        <w:rPr>
          <w:color w:val="000000"/>
          <w:lang w:eastAsia="lv-LV"/>
        </w:rPr>
        <w:t>BJR starptautisko organizāciju/ES Stratēģijas Baltijas jūras reģionam ieviesēju aptauj</w:t>
      </w:r>
      <w:r>
        <w:rPr>
          <w:color w:val="000000"/>
          <w:lang w:eastAsia="lv-LV"/>
        </w:rPr>
        <w:t>u</w:t>
      </w:r>
      <w:r w:rsidRPr="00021DD0">
        <w:rPr>
          <w:color w:val="000000"/>
          <w:lang w:eastAsia="lv-LV"/>
        </w:rPr>
        <w:t>.</w:t>
      </w:r>
    </w:p>
    <w:p w:rsidR="00600747" w:rsidRPr="007B1E77" w:rsidRDefault="00600747" w:rsidP="0021791A">
      <w:pPr>
        <w:tabs>
          <w:tab w:val="left" w:pos="0"/>
        </w:tabs>
        <w:spacing w:before="100" w:beforeAutospacing="1" w:after="100" w:afterAutospacing="1"/>
        <w:ind w:right="227"/>
        <w:jc w:val="both"/>
        <w:rPr>
          <w:rStyle w:val="at2"/>
          <w:color w:val="000000"/>
          <w:lang w:eastAsia="lv-LV"/>
        </w:rPr>
      </w:pPr>
      <w:r>
        <w:rPr>
          <w:color w:val="000000"/>
          <w:lang w:eastAsia="lv-LV"/>
        </w:rPr>
        <w:t xml:space="preserve">2012.gada rudenī </w:t>
      </w:r>
      <w:r w:rsidRPr="00021DD0">
        <w:rPr>
          <w:color w:val="000000"/>
          <w:lang w:eastAsia="lv-LV"/>
        </w:rPr>
        <w:t xml:space="preserve">tika uzsākta </w:t>
      </w:r>
      <w:r>
        <w:rPr>
          <w:color w:val="000000"/>
          <w:lang w:eastAsia="lv-LV"/>
        </w:rPr>
        <w:t>APK</w:t>
      </w:r>
      <w:r w:rsidRPr="00021DD0">
        <w:rPr>
          <w:color w:val="000000"/>
          <w:lang w:eastAsia="lv-LV"/>
        </w:rPr>
        <w:t xml:space="preserve"> diskusija par tematisko koncentrāciju un iespējamiem tematiskajiem mērķiem atbilstoši </w:t>
      </w:r>
      <w:r>
        <w:rPr>
          <w:color w:val="000000"/>
          <w:lang w:eastAsia="lv-LV"/>
        </w:rPr>
        <w:t xml:space="preserve">ETS regulas projekta nosacījumiem. </w:t>
      </w:r>
      <w:r w:rsidRPr="00CA7482">
        <w:t xml:space="preserve">Ņemot vērā ETS programmu ieviešanas īpatnības un </w:t>
      </w:r>
      <w:proofErr w:type="spellStart"/>
      <w:r w:rsidRPr="00CA7482">
        <w:t>daudzvalstu</w:t>
      </w:r>
      <w:proofErr w:type="spellEnd"/>
      <w:r w:rsidRPr="00CA7482">
        <w:t xml:space="preserve"> kontekstu, tematiskie mērķi un ieguldījumu prioritātes var krasi atšķirties dažādos ES reģionos un dalībvalstīs atkarībā no to attīstības līmeņa un nacionālām vajadzībām.</w:t>
      </w:r>
      <w:r w:rsidRPr="00604BE0">
        <w:t xml:space="preserve"> </w:t>
      </w:r>
      <w:r w:rsidRPr="00CA7482">
        <w:t xml:space="preserve">Jāatzīmē, ka atbilstoši ETS regulas projekta 5.1.punkta aktuālai redakcijai vismaz 80% no ERAF piešķīruma transnacionālās sadarbības programmai koncentrē ne vairāk kā četriem tematiskajiem mērķiem. Turklāt jaunajā plānošanas periodā transnacionālās sadarbības programmas noteikti atbalstīs </w:t>
      </w:r>
      <w:proofErr w:type="spellStart"/>
      <w:r w:rsidRPr="00CA7482">
        <w:t>makroreģionālo</w:t>
      </w:r>
      <w:proofErr w:type="spellEnd"/>
      <w:r w:rsidRPr="00CA7482">
        <w:t xml:space="preserve"> stratēģiju ieviešanu un koordinēšanu.</w:t>
      </w:r>
      <w:r>
        <w:t xml:space="preserve">  </w:t>
      </w:r>
    </w:p>
    <w:p w:rsidR="00600747" w:rsidRDefault="00600747" w:rsidP="0021791A">
      <w:pPr>
        <w:spacing w:before="100" w:beforeAutospacing="1" w:after="100" w:afterAutospacing="1"/>
        <w:jc w:val="both"/>
        <w:rPr>
          <w:color w:val="000000"/>
          <w:lang w:eastAsia="lv-LV"/>
        </w:rPr>
      </w:pPr>
      <w:r w:rsidRPr="007B1E77">
        <w:rPr>
          <w:color w:val="000000"/>
          <w:lang w:eastAsia="lv-LV"/>
        </w:rPr>
        <w:t>Līdz 2012.gada novembrim dalībvalstis un partnervalstis ti</w:t>
      </w:r>
      <w:r>
        <w:rPr>
          <w:color w:val="000000"/>
          <w:lang w:eastAsia="lv-LV"/>
        </w:rPr>
        <w:t>ek</w:t>
      </w:r>
      <w:r w:rsidRPr="007B1E77">
        <w:rPr>
          <w:color w:val="000000"/>
          <w:lang w:eastAsia="lv-LV"/>
        </w:rPr>
        <w:t xml:space="preserve"> aicinātas sniegt sākotnējo nacionālo viedokli par jaunās BJR programmas tematisko fokusu, iezīmējot prioritārus tematiskos mērķus, par kuriem notiks kopējā diskusija starp dalībvalstīm</w:t>
      </w:r>
      <w:r w:rsidRPr="00021DD0">
        <w:rPr>
          <w:color w:val="000000"/>
          <w:lang w:eastAsia="lv-LV"/>
        </w:rPr>
        <w:t>, part</w:t>
      </w:r>
      <w:r>
        <w:rPr>
          <w:color w:val="000000"/>
          <w:lang w:eastAsia="lv-LV"/>
        </w:rPr>
        <w:t xml:space="preserve">nervalstīm un Eiropas Komisiju APK </w:t>
      </w:r>
      <w:r w:rsidRPr="00021DD0">
        <w:rPr>
          <w:color w:val="000000"/>
          <w:lang w:eastAsia="lv-LV"/>
        </w:rPr>
        <w:t xml:space="preserve">sanāksmē </w:t>
      </w:r>
      <w:r>
        <w:rPr>
          <w:color w:val="000000"/>
          <w:lang w:eastAsia="lv-LV"/>
        </w:rPr>
        <w:t>2012.gada</w:t>
      </w:r>
      <w:r w:rsidRPr="00021DD0">
        <w:rPr>
          <w:color w:val="000000"/>
          <w:lang w:eastAsia="lv-LV"/>
        </w:rPr>
        <w:t xml:space="preserve"> 28.novembrī </w:t>
      </w:r>
      <w:r>
        <w:rPr>
          <w:color w:val="000000"/>
          <w:lang w:eastAsia="lv-LV"/>
        </w:rPr>
        <w:t>Rīgā, Latvijā.</w:t>
      </w:r>
    </w:p>
    <w:p w:rsidR="0021791A" w:rsidRDefault="00600747" w:rsidP="0021791A">
      <w:pPr>
        <w:pStyle w:val="EntEmet"/>
        <w:numPr>
          <w:ilvl w:val="0"/>
          <w:numId w:val="9"/>
        </w:numPr>
        <w:tabs>
          <w:tab w:val="clear" w:pos="567"/>
        </w:tabs>
        <w:ind w:hanging="720"/>
        <w:jc w:val="both"/>
        <w:rPr>
          <w:b/>
        </w:rPr>
      </w:pPr>
      <w:r w:rsidRPr="0083550A">
        <w:rPr>
          <w:b/>
        </w:rPr>
        <w:t xml:space="preserve">Latvijas Republikas pozīcija </w:t>
      </w:r>
    </w:p>
    <w:p w:rsidR="0021791A" w:rsidRPr="0021791A" w:rsidRDefault="0021791A" w:rsidP="0021791A">
      <w:pPr>
        <w:pStyle w:val="EntEmet"/>
        <w:tabs>
          <w:tab w:val="clear" w:pos="284"/>
        </w:tabs>
        <w:ind w:left="720"/>
        <w:jc w:val="both"/>
        <w:rPr>
          <w:b/>
        </w:rPr>
      </w:pPr>
    </w:p>
    <w:p w:rsidR="00600747" w:rsidRDefault="00600747" w:rsidP="00F3231E">
      <w:pPr>
        <w:spacing w:after="120"/>
        <w:ind w:right="206"/>
        <w:jc w:val="both"/>
        <w:rPr>
          <w:b/>
        </w:rPr>
      </w:pPr>
      <w:r w:rsidRPr="00C121D2">
        <w:rPr>
          <w:b/>
        </w:rPr>
        <w:t xml:space="preserve">Sākotnējā pozīcijā tiek iezīmēts Latvijas viedoklis par </w:t>
      </w:r>
      <w:r w:rsidRPr="007B1E77">
        <w:rPr>
          <w:color w:val="000000"/>
          <w:lang w:eastAsia="lv-LV"/>
        </w:rPr>
        <w:t xml:space="preserve">jaunās </w:t>
      </w:r>
      <w:r>
        <w:rPr>
          <w:color w:val="000000"/>
          <w:lang w:eastAsia="lv-LV"/>
        </w:rPr>
        <w:t xml:space="preserve">2014.-2020.gada </w:t>
      </w:r>
      <w:r w:rsidRPr="007B1E77">
        <w:rPr>
          <w:color w:val="000000"/>
          <w:lang w:eastAsia="lv-LV"/>
        </w:rPr>
        <w:t>BJR programmas tematisko fokusu, iezīmējot prioritārus tematiskos mērķus</w:t>
      </w:r>
      <w:r>
        <w:rPr>
          <w:color w:val="000000"/>
          <w:lang w:eastAsia="lv-LV"/>
        </w:rPr>
        <w:t>, kas balstās uz Latvijas  vajadzībām.</w:t>
      </w:r>
    </w:p>
    <w:p w:rsidR="00600747" w:rsidRDefault="00600747" w:rsidP="00F3231E">
      <w:pPr>
        <w:spacing w:after="120"/>
        <w:ind w:right="206"/>
        <w:jc w:val="both"/>
        <w:rPr>
          <w:b/>
        </w:rPr>
      </w:pPr>
      <w:r>
        <w:rPr>
          <w:b/>
        </w:rPr>
        <w:t>Lai izvērtētu, kādiem tematiskiem mērķiem no Latvijas puses būtu jāsaņem finansējums no BJR programm</w:t>
      </w:r>
      <w:r w:rsidR="00383BEB">
        <w:rPr>
          <w:b/>
        </w:rPr>
        <w:t xml:space="preserve">as periodā pēc 2013.gada, tika </w:t>
      </w:r>
      <w:r>
        <w:rPr>
          <w:b/>
        </w:rPr>
        <w:t xml:space="preserve">veikti sekojoši analīzes posmi: </w:t>
      </w:r>
    </w:p>
    <w:p w:rsidR="00600747" w:rsidRPr="00C00F02" w:rsidRDefault="00600747" w:rsidP="00F3231E">
      <w:pPr>
        <w:pStyle w:val="ListParagraph"/>
        <w:numPr>
          <w:ilvl w:val="0"/>
          <w:numId w:val="7"/>
        </w:numPr>
        <w:tabs>
          <w:tab w:val="left" w:pos="284"/>
        </w:tabs>
        <w:spacing w:after="120" w:line="240" w:lineRule="auto"/>
        <w:ind w:right="206" w:hanging="862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C00F02">
        <w:rPr>
          <w:rFonts w:ascii="Times New Roman" w:hAnsi="Times New Roman"/>
          <w:color w:val="000000"/>
          <w:sz w:val="24"/>
          <w:szCs w:val="24"/>
          <w:lang w:eastAsia="lv-LV"/>
        </w:rPr>
        <w:t>Jaunās BJR programmas sagatavošanas procesā tika veikta:</w:t>
      </w:r>
    </w:p>
    <w:p w:rsidR="00600747" w:rsidRPr="004D4F8B" w:rsidRDefault="00600747" w:rsidP="00383BEB">
      <w:pPr>
        <w:pStyle w:val="ListParagraph"/>
        <w:numPr>
          <w:ilvl w:val="0"/>
          <w:numId w:val="8"/>
        </w:numPr>
        <w:spacing w:after="120" w:line="240" w:lineRule="auto"/>
        <w:ind w:left="851" w:right="206" w:hanging="284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proofErr w:type="spellStart"/>
      <w:r w:rsidRPr="00C00F02">
        <w:rPr>
          <w:rFonts w:ascii="Times New Roman" w:hAnsi="Times New Roman"/>
          <w:i/>
          <w:color w:val="000000"/>
          <w:sz w:val="24"/>
          <w:szCs w:val="24"/>
          <w:lang w:eastAsia="lv-LV"/>
        </w:rPr>
        <w:t>ex-ante</w:t>
      </w:r>
      <w:proofErr w:type="spellEnd"/>
      <w:r w:rsidRPr="00C00F0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novērtējuma reģionālā stratēģiskā analīze,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kuras ietvaros tika kvantitatīvi un kvalitatīvi izvērtēta tematisko mērķu atbilstība programmas teritorijai aktuālajiem stratēģiskās plānošanas dokumentiem;</w:t>
      </w:r>
    </w:p>
    <w:p w:rsidR="00600747" w:rsidRDefault="00600747" w:rsidP="00383BEB">
      <w:pPr>
        <w:pStyle w:val="ListParagraph"/>
        <w:numPr>
          <w:ilvl w:val="0"/>
          <w:numId w:val="8"/>
        </w:numPr>
        <w:spacing w:after="120" w:line="240" w:lineRule="auto"/>
        <w:ind w:left="851" w:right="206" w:hanging="284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C00F02">
        <w:rPr>
          <w:rFonts w:ascii="Times New Roman" w:hAnsi="Times New Roman"/>
          <w:color w:val="000000"/>
          <w:sz w:val="24"/>
          <w:szCs w:val="24"/>
          <w:lang w:eastAsia="lv-LV"/>
        </w:rPr>
        <w:t>esošo 83 projektu darbību/papildus nepieciešamo aktivitāšu (</w:t>
      </w:r>
      <w:proofErr w:type="spellStart"/>
      <w:r w:rsidRPr="00C00F02">
        <w:rPr>
          <w:rFonts w:ascii="Times New Roman" w:hAnsi="Times New Roman"/>
          <w:i/>
          <w:color w:val="000000"/>
          <w:sz w:val="24"/>
          <w:szCs w:val="24"/>
          <w:lang w:eastAsia="lv-LV"/>
        </w:rPr>
        <w:t>follow-up</w:t>
      </w:r>
      <w:proofErr w:type="spellEnd"/>
      <w:r w:rsidRPr="00C00F02">
        <w:rPr>
          <w:rFonts w:ascii="Times New Roman" w:hAnsi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C00F02">
        <w:rPr>
          <w:rFonts w:ascii="Times New Roman" w:hAnsi="Times New Roman"/>
          <w:i/>
          <w:color w:val="000000"/>
          <w:sz w:val="24"/>
          <w:szCs w:val="24"/>
          <w:lang w:eastAsia="lv-LV"/>
        </w:rPr>
        <w:t>activities</w:t>
      </w:r>
      <w:proofErr w:type="spellEnd"/>
      <w:r w:rsidRPr="00C00F02">
        <w:rPr>
          <w:rFonts w:ascii="Times New Roman" w:hAnsi="Times New Roman"/>
          <w:color w:val="000000"/>
          <w:sz w:val="24"/>
          <w:szCs w:val="24"/>
          <w:lang w:eastAsia="lv-LV"/>
        </w:rPr>
        <w:t>) izvērtēšana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, sagrupējot pašreiz īstenotos projektus atbilstoši Eiropas Komisijas piedāvātajiem tematiskajiem mērķiem, kā arī nosakot tās ieguldījumu prioritātes, kuru īstenošanai nepieciešami papildus ieguldījumi nākotnē;</w:t>
      </w:r>
    </w:p>
    <w:p w:rsidR="00600747" w:rsidRDefault="00600747" w:rsidP="00383BEB">
      <w:pPr>
        <w:pStyle w:val="ListParagraph"/>
        <w:numPr>
          <w:ilvl w:val="0"/>
          <w:numId w:val="8"/>
        </w:numPr>
        <w:spacing w:after="120" w:line="240" w:lineRule="auto"/>
        <w:ind w:left="851" w:right="206" w:hanging="284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C00F0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BJR starptautisko organizāciju/ES Stratēģijas Baltijas j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ūras reģionam ieviesēju aptauja, kuras ietvaros 24 starptautiskās organizācijas sniedza viedokli par īstenojamo projektu veidiem,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pilotieguldījumu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nepieciešamību, potenciālajām sadarbības tēmām ar Krieviju un Baltkrieviju, kā arī tematiskajiem mērķiem un ieguldījumu prioritātēm programmas teritorijā.  </w:t>
      </w:r>
      <w:r w:rsidRPr="00C00F0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</w:p>
    <w:p w:rsidR="00600747" w:rsidRPr="005F5C76" w:rsidRDefault="00600747" w:rsidP="00F3231E">
      <w:pPr>
        <w:spacing w:after="120"/>
        <w:ind w:right="206"/>
        <w:jc w:val="both"/>
        <w:rPr>
          <w:color w:val="000000"/>
          <w:lang w:eastAsia="lv-LV"/>
        </w:rPr>
      </w:pPr>
      <w:r w:rsidRPr="005F5C76">
        <w:rPr>
          <w:color w:val="000000"/>
          <w:lang w:eastAsia="lv-LV"/>
        </w:rPr>
        <w:t>BJR programmas ATS</w:t>
      </w:r>
      <w:r w:rsidR="00383BEB">
        <w:rPr>
          <w:color w:val="000000"/>
          <w:lang w:eastAsia="lv-LV"/>
        </w:rPr>
        <w:t xml:space="preserve"> apkopojis</w:t>
      </w:r>
      <w:r w:rsidRPr="005F5C76">
        <w:rPr>
          <w:color w:val="000000"/>
          <w:lang w:eastAsia="lv-LV"/>
        </w:rPr>
        <w:t xml:space="preserve"> augstākminēto darbību rezultātus un sniedzis sākotnējo priekšlikumu par jaunās BJR programmas tematisko fokusu, ņemot vērā tādus aspektus, kā programmas projektu plānoto rezultātu sasniegšanas līmenis</w:t>
      </w:r>
      <w:r>
        <w:rPr>
          <w:color w:val="000000"/>
          <w:lang w:eastAsia="lv-LV"/>
        </w:rPr>
        <w:t xml:space="preserve"> </w:t>
      </w:r>
      <w:r w:rsidRPr="005F5C76">
        <w:rPr>
          <w:color w:val="000000"/>
          <w:lang w:eastAsia="lv-LV"/>
        </w:rPr>
        <w:t>iezīmējot attiecīgos tematisko mērķu potenciāla līmeņus:</w:t>
      </w:r>
    </w:p>
    <w:tbl>
      <w:tblPr>
        <w:tblW w:w="8234" w:type="dxa"/>
        <w:tblInd w:w="96" w:type="dxa"/>
        <w:tblLayout w:type="fixed"/>
        <w:tblLook w:val="04A0"/>
      </w:tblPr>
      <w:tblGrid>
        <w:gridCol w:w="1560"/>
        <w:gridCol w:w="6674"/>
      </w:tblGrid>
      <w:tr w:rsidR="00600747" w:rsidRPr="00767DA9" w:rsidTr="00F3231E">
        <w:trPr>
          <w:trHeight w:val="40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Mērķa numurs</w:t>
            </w:r>
          </w:p>
        </w:tc>
        <w:tc>
          <w:tcPr>
            <w:tcW w:w="6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Tematiskais mērķis</w:t>
            </w:r>
          </w:p>
        </w:tc>
      </w:tr>
      <w:tr w:rsidR="00600747" w:rsidRPr="00767DA9" w:rsidTr="00F3231E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ECB5"/>
            <w:vAlign w:val="center"/>
            <w:hideMark/>
          </w:tcPr>
          <w:p w:rsidR="00600747" w:rsidRPr="00767DA9" w:rsidRDefault="00600747" w:rsidP="00E04E71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nostiprināt pētniecību, tehnoloģiju attīstību un inovācijas</w:t>
            </w:r>
          </w:p>
        </w:tc>
      </w:tr>
      <w:tr w:rsidR="00600747" w:rsidRPr="00767DA9" w:rsidTr="00F3231E">
        <w:trPr>
          <w:trHeight w:val="4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ECB5"/>
            <w:vAlign w:val="center"/>
            <w:hideMark/>
          </w:tcPr>
          <w:p w:rsidR="00600747" w:rsidRPr="00767DA9" w:rsidRDefault="00600747" w:rsidP="00E04E71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aizsargāt vidi un veicināt resursu izmantošanas efektivitāti</w:t>
            </w:r>
          </w:p>
        </w:tc>
      </w:tr>
      <w:tr w:rsidR="00600747" w:rsidRPr="00767DA9" w:rsidTr="00F3231E">
        <w:trPr>
          <w:trHeight w:val="39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ECB5"/>
            <w:vAlign w:val="center"/>
            <w:hideMark/>
          </w:tcPr>
          <w:p w:rsidR="00600747" w:rsidRPr="00767DA9" w:rsidRDefault="00600747" w:rsidP="00E04E71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lastRenderedPageBreak/>
              <w:t>7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veicināt ilgtspējīgu transportu un novērst trūkumus galvenajās tīkla infrastruktūrās</w:t>
            </w:r>
          </w:p>
        </w:tc>
      </w:tr>
      <w:tr w:rsidR="00600747" w:rsidRPr="00767DA9" w:rsidTr="00F3231E">
        <w:trPr>
          <w:trHeight w:val="55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0747" w:rsidRPr="00767DA9" w:rsidRDefault="00600747" w:rsidP="00E04E71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uzlabot mazo un vidējo uzņēmumu, kā arī lauksaimniecības nozares (attiecībā uz ELFLA) un zivsaimniecības un akvakultūras nozares (attiecībā uz EJZF) konkurētspēju</w:t>
            </w:r>
          </w:p>
        </w:tc>
      </w:tr>
      <w:tr w:rsidR="00600747" w:rsidRPr="00767DA9" w:rsidTr="00F3231E">
        <w:trPr>
          <w:trHeight w:val="4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0747" w:rsidRPr="00767DA9" w:rsidRDefault="00600747" w:rsidP="00E04E71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atbalstīt pāreju uz ekonomiku, kura rada mazas oglekļa emisijas visās nozarēs</w:t>
            </w:r>
          </w:p>
        </w:tc>
      </w:tr>
      <w:tr w:rsidR="00600747" w:rsidRPr="00767DA9" w:rsidTr="00F3231E">
        <w:trPr>
          <w:trHeight w:val="4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0747" w:rsidRPr="00767DA9" w:rsidRDefault="00600747" w:rsidP="00E04E71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veicināt pielāgošanos klimata pārmaiņām, riska novēršanu un pārvaldību</w:t>
            </w:r>
          </w:p>
        </w:tc>
      </w:tr>
      <w:tr w:rsidR="00600747" w:rsidRPr="00767DA9" w:rsidTr="00F3231E">
        <w:trPr>
          <w:trHeight w:val="42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0747" w:rsidRPr="00767DA9" w:rsidRDefault="00600747" w:rsidP="00E04E71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uzlabot institucionālās spējas un efektīvu valsts pārvaldi</w:t>
            </w:r>
          </w:p>
        </w:tc>
      </w:tr>
      <w:tr w:rsidR="00600747" w:rsidRPr="00767DA9" w:rsidTr="00F3231E">
        <w:trPr>
          <w:trHeight w:val="4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0747" w:rsidRPr="00767DA9" w:rsidRDefault="00600747" w:rsidP="00E04E71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uzlabot informācijas un komunikācijas tehnoloģiju pieejamību, izmantošanu un kvalitāti;</w:t>
            </w:r>
          </w:p>
        </w:tc>
      </w:tr>
      <w:tr w:rsidR="00600747" w:rsidRPr="00767DA9" w:rsidTr="00F3231E">
        <w:trPr>
          <w:trHeight w:val="4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0747" w:rsidRPr="00767DA9" w:rsidRDefault="00600747" w:rsidP="00E04E71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veicināt nodarbinātību un atbalstīt darbaspēka mobilitāti</w:t>
            </w:r>
          </w:p>
        </w:tc>
      </w:tr>
      <w:tr w:rsidR="00600747" w:rsidRPr="00767DA9" w:rsidTr="00F3231E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0747" w:rsidRPr="00767DA9" w:rsidRDefault="00600747" w:rsidP="00E04E71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veicināt sociālo iekļaušanu un apkarot nabadzību</w:t>
            </w:r>
          </w:p>
        </w:tc>
      </w:tr>
      <w:tr w:rsidR="00600747" w:rsidRPr="00767DA9" w:rsidTr="00F3231E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0747" w:rsidRPr="00767DA9" w:rsidRDefault="00600747" w:rsidP="00E04E71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ieguldīt izglītībā, prasmēs un mūžizglītībā</w:t>
            </w:r>
          </w:p>
        </w:tc>
      </w:tr>
      <w:tr w:rsidR="00600747" w:rsidRPr="00767DA9" w:rsidTr="00F3231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47" w:rsidRPr="00767DA9" w:rsidRDefault="00600747" w:rsidP="007D5EAE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47" w:rsidRPr="00767DA9" w:rsidRDefault="00600747" w:rsidP="007D5EAE">
            <w:pPr>
              <w:rPr>
                <w:sz w:val="20"/>
                <w:szCs w:val="20"/>
                <w:lang w:eastAsia="lv-LV"/>
              </w:rPr>
            </w:pPr>
          </w:p>
        </w:tc>
      </w:tr>
      <w:tr w:rsidR="00600747" w:rsidRPr="00767DA9" w:rsidTr="00F3231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EECB5"/>
            <w:vAlign w:val="center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augstākā prioritāte</w:t>
            </w:r>
          </w:p>
        </w:tc>
      </w:tr>
      <w:tr w:rsidR="00600747" w:rsidRPr="00767DA9" w:rsidTr="00F3231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izvērtēšanai/diskusijai</w:t>
            </w:r>
          </w:p>
        </w:tc>
      </w:tr>
      <w:tr w:rsidR="00600747" w:rsidRPr="00767DA9" w:rsidTr="00F3231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47" w:rsidRPr="00767DA9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767DA9">
              <w:rPr>
                <w:b/>
                <w:bCs/>
                <w:sz w:val="20"/>
                <w:szCs w:val="20"/>
                <w:lang w:eastAsia="lv-LV"/>
              </w:rPr>
              <w:t>zemā prioritāte</w:t>
            </w:r>
          </w:p>
        </w:tc>
      </w:tr>
    </w:tbl>
    <w:p w:rsidR="00600747" w:rsidRDefault="00600747" w:rsidP="00600747">
      <w:pPr>
        <w:spacing w:after="120"/>
        <w:ind w:left="142" w:right="206"/>
        <w:jc w:val="both"/>
        <w:rPr>
          <w:color w:val="000000"/>
          <w:lang w:eastAsia="lv-LV"/>
        </w:rPr>
      </w:pPr>
    </w:p>
    <w:p w:rsidR="00F3231E" w:rsidRPr="0075686A" w:rsidRDefault="00600747" w:rsidP="00A37F5E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 w:rsidRPr="00F3231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VARAM apkopoja Latvijas nozaru ministriju, plānošanas reģionu, </w:t>
      </w:r>
      <w:r w:rsidRPr="00F3231E">
        <w:rPr>
          <w:rFonts w:ascii="Times New Roman" w:hAnsi="Times New Roman"/>
          <w:sz w:val="24"/>
          <w:szCs w:val="24"/>
        </w:rPr>
        <w:t>Latvijas Pašvaldību savienības un Latvijas Lielo pilsētu asociācijas</w:t>
      </w:r>
      <w:r w:rsidRPr="00F3231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sniegtos priekšlikumus par svarīgākajiem tematiskajiem mērķiem jaunai BJR programmai. Pēc balsu vairākuma</w:t>
      </w:r>
      <w:r w:rsidRPr="0075686A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, </w:t>
      </w:r>
      <w:r w:rsidRPr="0075686A">
        <w:rPr>
          <w:rFonts w:ascii="Times New Roman" w:hAnsi="Times New Roman"/>
          <w:b/>
          <w:color w:val="000000"/>
          <w:sz w:val="24"/>
          <w:szCs w:val="24"/>
          <w:u w:val="single"/>
          <w:lang w:eastAsia="lv-LV"/>
        </w:rPr>
        <w:t>kā prioritārās tēmas tika noteiktas:</w:t>
      </w:r>
      <w:r w:rsidRPr="0075686A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</w:p>
    <w:p w:rsidR="00F3231E" w:rsidRPr="0075686A" w:rsidRDefault="00F3231E" w:rsidP="00F3231E">
      <w:pPr>
        <w:pStyle w:val="ListParagraph"/>
        <w:spacing w:after="0" w:line="240" w:lineRule="auto"/>
        <w:ind w:left="862" w:right="142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377F9C" w:rsidRPr="0075686A" w:rsidRDefault="00600747" w:rsidP="007E6849">
      <w:pPr>
        <w:tabs>
          <w:tab w:val="left" w:pos="426"/>
        </w:tabs>
        <w:ind w:right="141"/>
        <w:jc w:val="both"/>
        <w:rPr>
          <w:color w:val="000000"/>
          <w:lang w:eastAsia="lv-LV"/>
        </w:rPr>
      </w:pPr>
      <w:r w:rsidRPr="0075686A">
        <w:rPr>
          <w:color w:val="000000"/>
          <w:lang w:eastAsia="lv-LV"/>
        </w:rPr>
        <w:t xml:space="preserve">(3) „Uzlabot mazo un vidējo uzņēmumu, kā arī lauksaimniecības nozares (attiecībā uz ELFLA) un zivsaimniecības un akvakultūras nozares (attiecībā uz EJZF) konkurētspēju” </w:t>
      </w:r>
    </w:p>
    <w:p w:rsidR="00600747" w:rsidRPr="0075686A" w:rsidRDefault="00600747" w:rsidP="00600747">
      <w:pPr>
        <w:ind w:right="142"/>
        <w:jc w:val="both"/>
        <w:rPr>
          <w:bCs/>
          <w:lang w:eastAsia="lv-LV"/>
        </w:rPr>
      </w:pPr>
      <w:r w:rsidRPr="0075686A">
        <w:rPr>
          <w:color w:val="000000"/>
          <w:lang w:eastAsia="lv-LV"/>
        </w:rPr>
        <w:t>(1) „</w:t>
      </w:r>
      <w:r w:rsidRPr="0075686A">
        <w:rPr>
          <w:bCs/>
          <w:lang w:eastAsia="lv-LV"/>
        </w:rPr>
        <w:t xml:space="preserve">Nostiprināt pētniecību, tehnoloģiju attīstību un inovācijas” </w:t>
      </w:r>
    </w:p>
    <w:p w:rsidR="0075686A" w:rsidRPr="0075686A" w:rsidRDefault="00600747" w:rsidP="0075686A">
      <w:pPr>
        <w:ind w:right="142"/>
        <w:jc w:val="both"/>
        <w:rPr>
          <w:color w:val="000000"/>
          <w:lang w:eastAsia="lv-LV"/>
        </w:rPr>
      </w:pPr>
      <w:r w:rsidRPr="0075686A">
        <w:rPr>
          <w:color w:val="000000"/>
          <w:lang w:eastAsia="lv-LV"/>
        </w:rPr>
        <w:t xml:space="preserve">(7) „Veicināt ilgtspējīgu transportu un novērst trūkumus galvenajās tīkla infrastruktūrās” </w:t>
      </w:r>
    </w:p>
    <w:p w:rsidR="007E6849" w:rsidRPr="0075686A" w:rsidRDefault="00600747" w:rsidP="0075686A">
      <w:pPr>
        <w:ind w:right="142"/>
        <w:jc w:val="both"/>
        <w:rPr>
          <w:color w:val="000000"/>
          <w:lang w:eastAsia="lv-LV"/>
        </w:rPr>
      </w:pPr>
      <w:r w:rsidRPr="0075686A">
        <w:rPr>
          <w:color w:val="000000"/>
          <w:lang w:eastAsia="lv-LV"/>
        </w:rPr>
        <w:t xml:space="preserve">(6) „Aizsargāt vidi un veicināt resursu efektivitāti” </w:t>
      </w:r>
    </w:p>
    <w:p w:rsidR="00600747" w:rsidRPr="0075686A" w:rsidRDefault="00600747" w:rsidP="00815574">
      <w:pPr>
        <w:ind w:right="142"/>
        <w:jc w:val="both"/>
        <w:rPr>
          <w:color w:val="000000"/>
          <w:lang w:eastAsia="lv-LV"/>
        </w:rPr>
      </w:pPr>
      <w:r w:rsidRPr="0075686A">
        <w:rPr>
          <w:color w:val="000000"/>
          <w:lang w:eastAsia="lv-LV"/>
        </w:rPr>
        <w:t xml:space="preserve">(10) „Ieguldīt izglītībā, prasmēs un mūžizglītībā” </w:t>
      </w:r>
    </w:p>
    <w:p w:rsidR="00600747" w:rsidRDefault="00600747" w:rsidP="0075686A">
      <w:pPr>
        <w:tabs>
          <w:tab w:val="left" w:pos="426"/>
        </w:tabs>
        <w:ind w:right="141"/>
        <w:jc w:val="both"/>
        <w:rPr>
          <w:color w:val="000000"/>
          <w:lang w:eastAsia="lv-LV"/>
        </w:rPr>
      </w:pPr>
    </w:p>
    <w:p w:rsidR="00600747" w:rsidRDefault="00600747" w:rsidP="00A37F5E">
      <w:pPr>
        <w:pStyle w:val="ListParagraph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line="240" w:lineRule="auto"/>
        <w:ind w:left="0" w:right="141" w:firstLine="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711EC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Papildus tika veikta analīze par visu tematisko mērķu un izteikto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priekšlikumu par BJR programmas</w:t>
      </w:r>
      <w:r w:rsidRPr="00711EC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atbalsta virzienu atbilstīb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u Nacionālā attīstības plāna 2014.-2020.gadam projekta (turpmāk - NAP 2020) rīcības virzieniem. T</w:t>
      </w:r>
      <w:r w:rsidRPr="00711EC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ika konstatēts, ka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gan tematiskie mērķi, gan priekšlikums BJR programmas iespējamie atbalsta virzieni pilnībā atbilst NAP2020 ietvertajiem mērķiem un rīcības virzieniem.</w:t>
      </w:r>
    </w:p>
    <w:p w:rsidR="00600747" w:rsidRPr="00A37F5E" w:rsidRDefault="00600747" w:rsidP="00A37F5E">
      <w:pPr>
        <w:pStyle w:val="ListParagraph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993"/>
        </w:tabs>
        <w:spacing w:line="240" w:lineRule="auto"/>
        <w:ind w:left="0" w:right="141" w:firstLine="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711EC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Balstoties uz 3 iepriekš minēto punktu analīzes </w:t>
      </w:r>
      <w:r w:rsidRPr="005047C1">
        <w:rPr>
          <w:rFonts w:ascii="Times New Roman" w:hAnsi="Times New Roman"/>
          <w:color w:val="000000"/>
          <w:sz w:val="24"/>
          <w:szCs w:val="24"/>
          <w:lang w:eastAsia="lv-LV"/>
        </w:rPr>
        <w:t>rezultātiem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,</w:t>
      </w:r>
      <w:r w:rsidRPr="005047C1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tika veikts Latvijas ietvaros izteikto interešu attiecībā uz BJR programmu salīdzinājums ar E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iropas </w:t>
      </w:r>
      <w:r w:rsidRPr="005047C1">
        <w:rPr>
          <w:rFonts w:ascii="Times New Roman" w:hAnsi="Times New Roman"/>
          <w:color w:val="000000"/>
          <w:sz w:val="24"/>
          <w:szCs w:val="24"/>
          <w:lang w:eastAsia="lv-LV"/>
        </w:rPr>
        <w:t>K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omisija</w:t>
      </w:r>
      <w:r w:rsidR="00A37F5E">
        <w:rPr>
          <w:rFonts w:ascii="Times New Roman" w:hAnsi="Times New Roman"/>
          <w:color w:val="000000"/>
          <w:sz w:val="24"/>
          <w:szCs w:val="24"/>
          <w:lang w:eastAsia="lv-LV"/>
        </w:rPr>
        <w:t>s</w:t>
      </w:r>
      <w:r w:rsidRPr="005047C1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pozīciju</w:t>
      </w:r>
      <w:r w:rsidRPr="005047C1">
        <w:rPr>
          <w:rFonts w:ascii="Times New Roman" w:hAnsi="Times New Roman"/>
          <w:sz w:val="24"/>
          <w:szCs w:val="24"/>
        </w:rPr>
        <w:t xml:space="preserve"> </w:t>
      </w:r>
      <w:r w:rsidR="00A37F5E">
        <w:rPr>
          <w:rFonts w:ascii="Times New Roman" w:hAnsi="Times New Roman"/>
          <w:sz w:val="24"/>
          <w:szCs w:val="24"/>
        </w:rPr>
        <w:t>par Partnerības līguma</w:t>
      </w:r>
      <w:r>
        <w:rPr>
          <w:rFonts w:ascii="Times New Roman" w:hAnsi="Times New Roman"/>
          <w:sz w:val="24"/>
          <w:szCs w:val="24"/>
        </w:rPr>
        <w:t xml:space="preserve"> ar Latviju izstrādi un programmām Latvijā </w:t>
      </w:r>
      <w:r w:rsidRPr="005047C1">
        <w:rPr>
          <w:rFonts w:ascii="Times New Roman" w:hAnsi="Times New Roman"/>
          <w:sz w:val="24"/>
          <w:szCs w:val="24"/>
        </w:rPr>
        <w:t>2014.-2020.</w:t>
      </w:r>
      <w:r>
        <w:rPr>
          <w:rFonts w:ascii="Times New Roman" w:hAnsi="Times New Roman"/>
          <w:sz w:val="24"/>
          <w:szCs w:val="24"/>
        </w:rPr>
        <w:t xml:space="preserve">gadu </w:t>
      </w:r>
      <w:r w:rsidRPr="005047C1">
        <w:rPr>
          <w:rFonts w:ascii="Times New Roman" w:hAnsi="Times New Roman"/>
          <w:sz w:val="24"/>
          <w:szCs w:val="24"/>
        </w:rPr>
        <w:t>periodam</w:t>
      </w:r>
      <w:r>
        <w:rPr>
          <w:rFonts w:ascii="Times New Roman" w:hAnsi="Times New Roman"/>
          <w:sz w:val="24"/>
          <w:szCs w:val="24"/>
        </w:rPr>
        <w:t xml:space="preserve"> (turpmāk – EK pozīcija)</w:t>
      </w:r>
      <w:r w:rsidRPr="005047C1">
        <w:rPr>
          <w:rFonts w:ascii="Times New Roman" w:hAnsi="Times New Roman"/>
          <w:sz w:val="24"/>
          <w:szCs w:val="24"/>
        </w:rPr>
        <w:t xml:space="preserve"> </w:t>
      </w:r>
      <w:r w:rsidRPr="005047C1">
        <w:rPr>
          <w:rFonts w:ascii="Times New Roman" w:hAnsi="Times New Roman"/>
          <w:color w:val="000000"/>
          <w:sz w:val="24"/>
          <w:szCs w:val="24"/>
          <w:lang w:eastAsia="lv-LV"/>
        </w:rPr>
        <w:t>un tajā minētajiem ETS investīciju virzieniem Latvijā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:rsidR="00600747" w:rsidRDefault="00600747" w:rsidP="00514F37">
      <w:pPr>
        <w:spacing w:before="240"/>
        <w:ind w:right="141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 xml:space="preserve">Pamatojoties uz iepriekšminēto izvērtējumu, </w:t>
      </w:r>
      <w:r w:rsidRPr="00B73FF7">
        <w:rPr>
          <w:b/>
          <w:color w:val="000000"/>
          <w:lang w:eastAsia="lv-LV"/>
        </w:rPr>
        <w:t>VARAM ierosina atbalstīt šādus tematiskos mērķus kā Latvijas sākotnējo pozīciju</w:t>
      </w:r>
      <w:r>
        <w:rPr>
          <w:color w:val="000000"/>
          <w:lang w:eastAsia="lv-LV"/>
        </w:rPr>
        <w:t xml:space="preserve"> sarunu uzsākšanai ar BJR programmas dalībvalstīm par programmas tematisko fokusu:</w:t>
      </w:r>
    </w:p>
    <w:p w:rsidR="00514F37" w:rsidRDefault="00514F37" w:rsidP="00600747">
      <w:pPr>
        <w:spacing w:before="240"/>
        <w:ind w:left="142" w:right="141"/>
        <w:jc w:val="both"/>
        <w:rPr>
          <w:color w:val="000000"/>
          <w:lang w:eastAsia="lv-LV"/>
        </w:rPr>
      </w:pPr>
    </w:p>
    <w:tbl>
      <w:tblPr>
        <w:tblW w:w="8943" w:type="dxa"/>
        <w:tblInd w:w="96" w:type="dxa"/>
        <w:tblLayout w:type="fixed"/>
        <w:tblLook w:val="04A0"/>
      </w:tblPr>
      <w:tblGrid>
        <w:gridCol w:w="887"/>
        <w:gridCol w:w="2244"/>
        <w:gridCol w:w="3118"/>
        <w:gridCol w:w="2694"/>
      </w:tblGrid>
      <w:tr w:rsidR="00600747" w:rsidRPr="006B2C27" w:rsidTr="00E04E71">
        <w:trPr>
          <w:trHeight w:val="767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0747" w:rsidRPr="006B2C27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6B2C27">
              <w:rPr>
                <w:b/>
                <w:bCs/>
                <w:sz w:val="20"/>
                <w:szCs w:val="20"/>
                <w:lang w:eastAsia="lv-LV"/>
              </w:rPr>
              <w:lastRenderedPageBreak/>
              <w:t>Mērķa numurs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0747" w:rsidRPr="006B2C27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6B2C27">
              <w:rPr>
                <w:b/>
                <w:bCs/>
                <w:sz w:val="20"/>
                <w:szCs w:val="20"/>
                <w:lang w:eastAsia="lv-LV"/>
              </w:rPr>
              <w:t>Tematiskais mērķis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00747" w:rsidRPr="006B2C27" w:rsidRDefault="00600747" w:rsidP="007D5EAE">
            <w:pPr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color w:val="000000"/>
                <w:sz w:val="20"/>
                <w:szCs w:val="20"/>
                <w:lang w:eastAsia="lv-LV"/>
              </w:rPr>
              <w:t>NAP</w:t>
            </w:r>
            <w:r w:rsidRPr="00D345BD">
              <w:rPr>
                <w:b/>
                <w:color w:val="000000"/>
                <w:sz w:val="20"/>
                <w:szCs w:val="20"/>
                <w:lang w:eastAsia="lv-LV"/>
              </w:rPr>
              <w:t xml:space="preserve"> 2020 rīcības virzieni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600747" w:rsidRDefault="00600747" w:rsidP="007D5EAE">
            <w:pPr>
              <w:rPr>
                <w:b/>
                <w:color w:val="000000"/>
                <w:sz w:val="20"/>
                <w:szCs w:val="20"/>
                <w:lang w:eastAsia="lv-LV"/>
              </w:rPr>
            </w:pPr>
          </w:p>
          <w:p w:rsidR="00600747" w:rsidRPr="001D1201" w:rsidRDefault="00600747" w:rsidP="007D5EAE">
            <w:pPr>
              <w:rPr>
                <w:b/>
                <w:caps/>
                <w:sz w:val="20"/>
                <w:szCs w:val="20"/>
              </w:rPr>
            </w:pPr>
            <w:r w:rsidRPr="001D1201">
              <w:rPr>
                <w:b/>
                <w:color w:val="000000"/>
                <w:sz w:val="20"/>
                <w:szCs w:val="20"/>
                <w:lang w:eastAsia="lv-LV"/>
              </w:rPr>
              <w:t>EK pozīcija</w:t>
            </w:r>
          </w:p>
        </w:tc>
      </w:tr>
      <w:tr w:rsidR="00600747" w:rsidRPr="006B2C27" w:rsidTr="00E04E71">
        <w:trPr>
          <w:trHeight w:val="245"/>
        </w:trPr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ECB5"/>
            <w:vAlign w:val="center"/>
            <w:hideMark/>
          </w:tcPr>
          <w:p w:rsidR="00600747" w:rsidRPr="006B2C27" w:rsidRDefault="00600747" w:rsidP="00514F37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6B2C27">
              <w:rPr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747" w:rsidRPr="006B2C27" w:rsidRDefault="00600747" w:rsidP="007D5EAE">
            <w:pPr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U</w:t>
            </w:r>
            <w:r w:rsidRPr="006B2C27">
              <w:rPr>
                <w:b/>
                <w:bCs/>
                <w:sz w:val="20"/>
                <w:szCs w:val="20"/>
                <w:lang w:eastAsia="lv-LV"/>
              </w:rPr>
              <w:t>zlabot mazo un vidējo uzņēmumu, kā arī lauksaimniecības nozares (attiecībā uz ELFLA) un zivsaimniecības un akvakultūras nozares (attiecībā uz EJZF) konkurētspēju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747" w:rsidRPr="006B2C27" w:rsidRDefault="00600747" w:rsidP="007D5EAE">
            <w:pPr>
              <w:spacing w:after="40"/>
              <w:jc w:val="both"/>
              <w:rPr>
                <w:sz w:val="20"/>
                <w:szCs w:val="20"/>
              </w:rPr>
            </w:pPr>
            <w:r w:rsidRPr="006B2C27">
              <w:rPr>
                <w:sz w:val="20"/>
                <w:szCs w:val="20"/>
              </w:rPr>
              <w:t>Rīcības virziens „Attīstīta pētniecība un inovācija”</w:t>
            </w:r>
          </w:p>
          <w:p w:rsidR="00600747" w:rsidRPr="006B2C27" w:rsidRDefault="00600747" w:rsidP="007D5EAE">
            <w:pPr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747" w:rsidRDefault="00600747" w:rsidP="007D5E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Pētniecības un tehnoloģijas attīstība un inovācijas, tehnoloģiju un zināšanu pārnese, īpaši, kas vērsti uz MVU.</w:t>
            </w:r>
          </w:p>
          <w:p w:rsidR="00600747" w:rsidRDefault="00600747" w:rsidP="007D5EAE">
            <w:pPr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  <w:r w:rsidRPr="00DB378C">
              <w:rPr>
                <w:rFonts w:ascii="TimesNewRoman" w:hAnsi="TimesNewRoman" w:cs="TimesNewRoman"/>
                <w:sz w:val="20"/>
                <w:szCs w:val="20"/>
                <w:lang w:eastAsia="lv-LV"/>
              </w:rPr>
              <w:t>Ir atbalstāms ES BJR Stratēģijas kontekstā</w:t>
            </w:r>
            <w:r>
              <w:rPr>
                <w:rFonts w:ascii="TimesNewRoman" w:hAnsi="TimesNewRoman" w:cs="TimesNewRoman"/>
                <w:sz w:val="20"/>
                <w:szCs w:val="20"/>
                <w:lang w:eastAsia="lv-LV"/>
              </w:rPr>
              <w:t>.</w:t>
            </w:r>
          </w:p>
          <w:p w:rsidR="00600747" w:rsidRPr="00DB378C" w:rsidRDefault="00600747" w:rsidP="007D5EAE">
            <w:pPr>
              <w:spacing w:after="40"/>
              <w:jc w:val="both"/>
              <w:rPr>
                <w:sz w:val="20"/>
                <w:szCs w:val="20"/>
              </w:rPr>
            </w:pPr>
          </w:p>
        </w:tc>
      </w:tr>
      <w:tr w:rsidR="00600747" w:rsidRPr="006B2C27" w:rsidTr="00E04E71">
        <w:trPr>
          <w:trHeight w:val="407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ECB5"/>
            <w:vAlign w:val="center"/>
            <w:hideMark/>
          </w:tcPr>
          <w:p w:rsidR="00600747" w:rsidRPr="006B2C27" w:rsidRDefault="00600747" w:rsidP="00514F37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6B2C27">
              <w:rPr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7" w:rsidRPr="006B2C27" w:rsidRDefault="00600747" w:rsidP="007D5EAE">
            <w:pPr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N</w:t>
            </w:r>
            <w:r w:rsidRPr="006B2C27">
              <w:rPr>
                <w:b/>
                <w:bCs/>
                <w:sz w:val="20"/>
                <w:szCs w:val="20"/>
                <w:lang w:eastAsia="lv-LV"/>
              </w:rPr>
              <w:t xml:space="preserve">ostiprināt pētniecību, tehnoloģiju attīstību un inovācijas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7" w:rsidRPr="006B2C27" w:rsidRDefault="00600747" w:rsidP="007D5EAE">
            <w:pPr>
              <w:spacing w:after="40"/>
              <w:jc w:val="both"/>
              <w:rPr>
                <w:sz w:val="20"/>
                <w:szCs w:val="20"/>
              </w:rPr>
            </w:pPr>
            <w:r w:rsidRPr="006B2C27">
              <w:rPr>
                <w:sz w:val="20"/>
                <w:szCs w:val="20"/>
              </w:rPr>
              <w:t>Rīcības virziens „Attīstīta pētniecība un inovācija”</w:t>
            </w:r>
          </w:p>
          <w:p w:rsidR="00600747" w:rsidRPr="006B2C27" w:rsidRDefault="00600747" w:rsidP="007D5EAE">
            <w:pPr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6B2C27">
              <w:rPr>
                <w:sz w:val="20"/>
                <w:szCs w:val="20"/>
              </w:rPr>
              <w:t>Netieši rīcības virziens „Augstražīga un eksportspējīga ražošana un starptautiski konkurētspējīgi pakalpojumi”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747" w:rsidRDefault="00600747" w:rsidP="007D5EAE">
            <w:pPr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Pētniecības un tehnoloģijas attīstība un inovācijas, tehnoloģiju un zināšanu pārnese, īpaši, kas vērsti uz MVU.</w:t>
            </w:r>
          </w:p>
          <w:p w:rsidR="00600747" w:rsidRDefault="00600747" w:rsidP="007D5EAE">
            <w:pPr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</w:p>
          <w:p w:rsidR="00600747" w:rsidRPr="004D6F76" w:rsidRDefault="00600747" w:rsidP="007D5EAE">
            <w:pPr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  <w:r w:rsidRPr="00DB378C">
              <w:rPr>
                <w:rFonts w:ascii="TimesNewRoman" w:hAnsi="TimesNewRoman" w:cs="TimesNewRoman"/>
                <w:sz w:val="20"/>
                <w:szCs w:val="20"/>
                <w:lang w:eastAsia="lv-LV"/>
              </w:rPr>
              <w:t>Ir atbalstāms ES BJR Stratēģijas kontekstā</w:t>
            </w:r>
          </w:p>
        </w:tc>
      </w:tr>
      <w:tr w:rsidR="00600747" w:rsidRPr="006B2C27" w:rsidTr="00E04E71">
        <w:trPr>
          <w:trHeight w:val="407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ECB5"/>
            <w:vAlign w:val="center"/>
            <w:hideMark/>
          </w:tcPr>
          <w:p w:rsidR="00600747" w:rsidRPr="006B2C27" w:rsidRDefault="00600747" w:rsidP="00514F37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6B2C27">
              <w:rPr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7" w:rsidRPr="006B2C27" w:rsidRDefault="00600747" w:rsidP="007D5EAE">
            <w:pPr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A</w:t>
            </w:r>
            <w:r w:rsidRPr="006B2C27">
              <w:rPr>
                <w:b/>
                <w:bCs/>
                <w:sz w:val="20"/>
                <w:szCs w:val="20"/>
                <w:lang w:eastAsia="lv-LV"/>
              </w:rPr>
              <w:t>izsargāt vidi un veicināt resursu izmantošanas efektivitāti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7" w:rsidRPr="006B2C27" w:rsidRDefault="00600747" w:rsidP="007D5EAE">
            <w:pPr>
              <w:spacing w:after="40"/>
              <w:jc w:val="both"/>
              <w:rPr>
                <w:sz w:val="20"/>
                <w:szCs w:val="20"/>
              </w:rPr>
            </w:pPr>
            <w:r w:rsidRPr="006B2C27">
              <w:rPr>
                <w:sz w:val="20"/>
                <w:szCs w:val="20"/>
              </w:rPr>
              <w:t>Rīcības virziens „Energoefektivitāte un enerģijas ražošana”</w:t>
            </w:r>
          </w:p>
          <w:p w:rsidR="00600747" w:rsidRPr="006B2C27" w:rsidRDefault="00600747" w:rsidP="007D5EAE">
            <w:pPr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6B2C27">
              <w:rPr>
                <w:sz w:val="20"/>
                <w:szCs w:val="20"/>
              </w:rPr>
              <w:t>Rīcības virziens „Augstražīga un eksportspējīga ražošana un starptautiski konkurētspējīgi pakalpojumi”, mērķis 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747" w:rsidRDefault="00600747" w:rsidP="007D5EA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  <w:lang w:eastAsia="lv-LV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eastAsia="lv-LV"/>
              </w:rPr>
              <w:t xml:space="preserve">Cieto atkritumu un notekūdeņu pārvaldības uzlabošana un kopīgu risinājumu meklēšana Baltijas jūras piesārņojuma samazināšanai, tai skaitā jūras drošību, krastu un piekrastes zonu </w:t>
            </w:r>
            <w:r>
              <w:rPr>
                <w:rFonts w:ascii="TimesNewRoman" w:hAnsi="TimesNewRoman" w:cs="TimesNewRoman" w:hint="eastAsia"/>
                <w:sz w:val="20"/>
                <w:szCs w:val="20"/>
                <w:lang w:eastAsia="lv-LV"/>
              </w:rPr>
              <w:t>ilgtspējīgu</w:t>
            </w:r>
            <w:r>
              <w:rPr>
                <w:rFonts w:ascii="TimesNewRoman" w:hAnsi="TimesNewRoman" w:cs="TimesNewRoman"/>
                <w:sz w:val="20"/>
                <w:szCs w:val="20"/>
                <w:lang w:eastAsia="lv-LV"/>
              </w:rPr>
              <w:t xml:space="preserve"> attīstību.</w:t>
            </w:r>
          </w:p>
          <w:p w:rsidR="00600747" w:rsidRPr="006B2C27" w:rsidRDefault="00600747" w:rsidP="007D5EAE">
            <w:pPr>
              <w:spacing w:after="40"/>
              <w:jc w:val="both"/>
              <w:rPr>
                <w:sz w:val="20"/>
                <w:szCs w:val="20"/>
              </w:rPr>
            </w:pPr>
            <w:r w:rsidRPr="00DB378C">
              <w:rPr>
                <w:rFonts w:ascii="TimesNewRoman" w:hAnsi="TimesNewRoman" w:cs="TimesNewRoman"/>
                <w:sz w:val="20"/>
                <w:szCs w:val="20"/>
                <w:lang w:eastAsia="lv-LV"/>
              </w:rPr>
              <w:t>Ir atbalstāms ES BJR Stratēģijas kontekstā</w:t>
            </w:r>
          </w:p>
        </w:tc>
      </w:tr>
      <w:tr w:rsidR="00600747" w:rsidRPr="006B2C27" w:rsidTr="00E04E71">
        <w:trPr>
          <w:trHeight w:val="372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ECB5"/>
            <w:vAlign w:val="center"/>
            <w:hideMark/>
          </w:tcPr>
          <w:p w:rsidR="00600747" w:rsidRPr="006B2C27" w:rsidRDefault="00600747" w:rsidP="00514F37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6B2C27">
              <w:rPr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747" w:rsidRPr="006B2C27" w:rsidRDefault="00600747" w:rsidP="007D5EAE">
            <w:pPr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Pr="006B2C27">
              <w:rPr>
                <w:b/>
                <w:bCs/>
                <w:sz w:val="20"/>
                <w:szCs w:val="20"/>
                <w:lang w:eastAsia="lv-LV"/>
              </w:rPr>
              <w:t>eicināt ilgtspējīgu transportu un novērst trūkumus galvenajās tīkla infrastruktūrās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0747" w:rsidRPr="006B2C27" w:rsidRDefault="00600747" w:rsidP="007D5EAE">
            <w:pPr>
              <w:spacing w:after="40"/>
              <w:jc w:val="both"/>
              <w:rPr>
                <w:sz w:val="20"/>
                <w:szCs w:val="20"/>
              </w:rPr>
            </w:pPr>
            <w:r w:rsidRPr="006B2C27">
              <w:rPr>
                <w:sz w:val="20"/>
                <w:szCs w:val="20"/>
              </w:rPr>
              <w:t>Rīcības virziens „Pakalpojumu pieejamība līdzvērtīgāku darba iespēju un dzīves apstākļu radīšanai”, Mērķis 1</w:t>
            </w:r>
          </w:p>
          <w:p w:rsidR="00600747" w:rsidRPr="006B2C27" w:rsidRDefault="00600747" w:rsidP="007D5EAE">
            <w:pPr>
              <w:spacing w:after="40"/>
              <w:jc w:val="both"/>
              <w:rPr>
                <w:sz w:val="20"/>
                <w:szCs w:val="20"/>
              </w:rPr>
            </w:pPr>
            <w:r w:rsidRPr="006B2C27">
              <w:rPr>
                <w:sz w:val="20"/>
                <w:szCs w:val="20"/>
              </w:rPr>
              <w:t>Rīcības virziens „Izcila uzņēmējdarbības vide”, Mērķis 2</w:t>
            </w:r>
          </w:p>
          <w:p w:rsidR="00600747" w:rsidRPr="006B2C27" w:rsidRDefault="00600747" w:rsidP="007D5EAE">
            <w:pPr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6B2C27">
              <w:rPr>
                <w:sz w:val="20"/>
                <w:szCs w:val="20"/>
              </w:rPr>
              <w:t>Rīcības virziens „Pakalpojumu pieejamība līdzvērtīgāku darba iespēju un dzīves apstākļu radīšanai”, Mērķis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0747" w:rsidRDefault="00600747" w:rsidP="007D5EAE">
            <w:pPr>
              <w:spacing w:after="40"/>
              <w:jc w:val="both"/>
              <w:rPr>
                <w:rFonts w:ascii="TimesNewRoman" w:hAnsi="TimesNewRoman" w:cs="TimesNewRoman"/>
                <w:sz w:val="20"/>
                <w:szCs w:val="20"/>
                <w:lang w:eastAsia="lv-LV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eastAsia="lv-LV"/>
              </w:rPr>
              <w:t xml:space="preserve">Pārrobežu sadarbība jāīsteno ilgtspējīga transporta jomā attīstot TEN-T tīklus, kā arī novēršot nelīdzsvarotu transporta pakalpojuma </w:t>
            </w:r>
            <w:r>
              <w:rPr>
                <w:rFonts w:ascii="TimesNewRoman" w:hAnsi="TimesNewRoman" w:cs="TimesNewRoman" w:hint="eastAsia"/>
                <w:sz w:val="20"/>
                <w:szCs w:val="20"/>
                <w:lang w:eastAsia="lv-LV"/>
              </w:rPr>
              <w:t>pieejam</w:t>
            </w:r>
            <w:r>
              <w:rPr>
                <w:rFonts w:ascii="TimesNewRoman" w:hAnsi="TimesNewRoman" w:cs="TimesNewRoman"/>
                <w:sz w:val="20"/>
                <w:szCs w:val="20"/>
                <w:lang w:eastAsia="lv-LV"/>
              </w:rPr>
              <w:t xml:space="preserve">ību un pudeles kakla efektus. </w:t>
            </w:r>
          </w:p>
          <w:p w:rsidR="00600747" w:rsidRPr="006B2C27" w:rsidRDefault="00600747" w:rsidP="007D5EAE">
            <w:pPr>
              <w:spacing w:after="40"/>
              <w:jc w:val="both"/>
              <w:rPr>
                <w:sz w:val="20"/>
                <w:szCs w:val="20"/>
              </w:rPr>
            </w:pPr>
            <w:r w:rsidRPr="00DB378C">
              <w:rPr>
                <w:rFonts w:ascii="TimesNewRoman" w:hAnsi="TimesNewRoman" w:cs="TimesNewRoman"/>
                <w:sz w:val="20"/>
                <w:szCs w:val="20"/>
                <w:lang w:eastAsia="lv-LV"/>
              </w:rPr>
              <w:t>Ir atbalstāms ES BJR Stratēģijas kontekstā</w:t>
            </w:r>
          </w:p>
        </w:tc>
      </w:tr>
      <w:tr w:rsidR="00600747" w:rsidRPr="006B2C27" w:rsidTr="00E04E71">
        <w:trPr>
          <w:trHeight w:val="372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ECB5"/>
            <w:vAlign w:val="center"/>
            <w:hideMark/>
          </w:tcPr>
          <w:p w:rsidR="00600747" w:rsidRPr="006B2C27" w:rsidRDefault="00600747" w:rsidP="00514F37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6B2C27">
              <w:rPr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747" w:rsidRPr="006B2C27" w:rsidRDefault="00600747" w:rsidP="007D5EAE">
            <w:pPr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I</w:t>
            </w:r>
            <w:r w:rsidRPr="006B2C27">
              <w:rPr>
                <w:b/>
                <w:bCs/>
                <w:sz w:val="20"/>
                <w:szCs w:val="20"/>
                <w:lang w:eastAsia="lv-LV"/>
              </w:rPr>
              <w:t>eguldīt izglītībā, prasmēs un mūžizglītībā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0747" w:rsidRPr="006B2C27" w:rsidRDefault="00600747" w:rsidP="007D5EAE">
            <w:pPr>
              <w:spacing w:after="40"/>
              <w:jc w:val="both"/>
              <w:rPr>
                <w:sz w:val="20"/>
                <w:szCs w:val="20"/>
              </w:rPr>
            </w:pPr>
            <w:r w:rsidRPr="006B2C27">
              <w:rPr>
                <w:sz w:val="20"/>
                <w:szCs w:val="20"/>
              </w:rPr>
              <w:t>Rīcības virziens „Kompetenču attīstība”, Mērķis 1</w:t>
            </w:r>
          </w:p>
          <w:p w:rsidR="00600747" w:rsidRPr="006B2C27" w:rsidRDefault="00600747" w:rsidP="007D5EAE">
            <w:pPr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A14025">
              <w:rPr>
                <w:sz w:val="20"/>
                <w:szCs w:val="20"/>
              </w:rPr>
              <w:t>Rīcības virziens „Kompetenču attīstība”, Mērķis 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0747" w:rsidRPr="006B2C27" w:rsidRDefault="00600747" w:rsidP="007D5EAE">
            <w:pPr>
              <w:spacing w:after="40"/>
              <w:jc w:val="both"/>
              <w:rPr>
                <w:sz w:val="20"/>
                <w:szCs w:val="20"/>
              </w:rPr>
            </w:pPr>
            <w:r w:rsidRPr="00DB378C">
              <w:rPr>
                <w:rFonts w:ascii="TimesNewRoman" w:hAnsi="TimesNewRoman" w:cs="TimesNewRoman"/>
                <w:sz w:val="20"/>
                <w:szCs w:val="20"/>
                <w:lang w:eastAsia="lv-LV"/>
              </w:rPr>
              <w:t>Ir atbalstāms ES BJR Stratēģijas kontekstā</w:t>
            </w:r>
          </w:p>
        </w:tc>
      </w:tr>
    </w:tbl>
    <w:p w:rsidR="00E04E71" w:rsidRDefault="00E04E71" w:rsidP="00600747">
      <w:pPr>
        <w:jc w:val="both"/>
        <w:rPr>
          <w:color w:val="000000"/>
          <w:lang w:eastAsia="lv-LV"/>
        </w:rPr>
      </w:pPr>
    </w:p>
    <w:p w:rsidR="00600747" w:rsidRDefault="00600747" w:rsidP="00600747">
      <w:pPr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>Nacionālā pozīcija un augstākminētie secinājumi tiks prezentēti BJR programmas dalībvalstīm APK sanāksmē š.g. 28.novembrī Rīgā.</w:t>
      </w:r>
    </w:p>
    <w:p w:rsidR="00D97875" w:rsidRPr="0083550A" w:rsidRDefault="00D97875" w:rsidP="00514F37">
      <w:pPr>
        <w:jc w:val="both"/>
        <w:rPr>
          <w:lang w:eastAsia="fr-BE"/>
        </w:rPr>
      </w:pPr>
    </w:p>
    <w:p w:rsidR="00514F37" w:rsidRPr="0083550A" w:rsidRDefault="00514F37" w:rsidP="00514F37">
      <w:pPr>
        <w:jc w:val="both"/>
        <w:rPr>
          <w:lang w:eastAsia="fr-BE"/>
        </w:rPr>
      </w:pPr>
      <w:r w:rsidRPr="0083550A">
        <w:rPr>
          <w:lang w:eastAsia="fr-BE"/>
        </w:rPr>
        <w:t>Vides aizsardzības un reģionālās</w:t>
      </w:r>
    </w:p>
    <w:p w:rsidR="00514F37" w:rsidRDefault="00514F37" w:rsidP="00514F37">
      <w:pPr>
        <w:jc w:val="both"/>
      </w:pPr>
      <w:r w:rsidRPr="0083550A">
        <w:rPr>
          <w:lang w:eastAsia="fr-BE"/>
        </w:rPr>
        <w:t>attīstības m</w:t>
      </w:r>
      <w:r w:rsidRPr="0083550A">
        <w:t>inistr</w:t>
      </w:r>
      <w:r>
        <w:t xml:space="preserve">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91A">
        <w:t xml:space="preserve">  </w:t>
      </w:r>
      <w:proofErr w:type="spellStart"/>
      <w:r>
        <w:t>E.Sprūdžs</w:t>
      </w:r>
      <w:proofErr w:type="spellEnd"/>
    </w:p>
    <w:p w:rsidR="00514F37" w:rsidRPr="0083550A" w:rsidRDefault="00514F37" w:rsidP="00514F37">
      <w:pPr>
        <w:jc w:val="both"/>
        <w:rPr>
          <w:lang w:eastAsia="fr-BE"/>
        </w:rPr>
      </w:pPr>
      <w:r w:rsidRPr="0083550A">
        <w:tab/>
      </w:r>
      <w:r w:rsidRPr="0083550A">
        <w:tab/>
      </w:r>
      <w:r w:rsidRPr="0083550A">
        <w:tab/>
      </w:r>
      <w:r w:rsidRPr="0083550A">
        <w:tab/>
      </w:r>
      <w:r w:rsidRPr="0083550A">
        <w:tab/>
      </w:r>
    </w:p>
    <w:p w:rsidR="00514F37" w:rsidRPr="0083550A" w:rsidRDefault="00514F37" w:rsidP="00514F37">
      <w:pPr>
        <w:jc w:val="both"/>
        <w:rPr>
          <w:lang w:eastAsia="fr-BE"/>
        </w:rPr>
      </w:pPr>
      <w:r w:rsidRPr="0083550A">
        <w:t xml:space="preserve">Vīza: Vides </w:t>
      </w:r>
      <w:r w:rsidRPr="0083550A">
        <w:rPr>
          <w:lang w:eastAsia="fr-BE"/>
        </w:rPr>
        <w:t>aizsardzības un reģionālās</w:t>
      </w:r>
    </w:p>
    <w:p w:rsidR="00D97875" w:rsidRPr="0075686A" w:rsidRDefault="00514F37" w:rsidP="00514F37">
      <w:pPr>
        <w:jc w:val="both"/>
        <w:rPr>
          <w:lang w:eastAsia="fr-BE"/>
        </w:rPr>
      </w:pPr>
      <w:r w:rsidRPr="0083550A">
        <w:rPr>
          <w:lang w:eastAsia="fr-BE"/>
        </w:rPr>
        <w:t>attīstības</w:t>
      </w:r>
      <w:r w:rsidRPr="0083550A">
        <w:t xml:space="preserve"> ministrijas valsts sekretārs</w:t>
      </w:r>
      <w:r w:rsidRPr="0083550A">
        <w:tab/>
      </w:r>
      <w:r w:rsidRPr="0083550A">
        <w:tab/>
      </w:r>
      <w:r w:rsidRPr="0083550A">
        <w:tab/>
        <w:t xml:space="preserve">      </w:t>
      </w:r>
      <w:r>
        <w:t xml:space="preserve">                          </w:t>
      </w:r>
      <w:r w:rsidRPr="0083550A">
        <w:t xml:space="preserve"> </w:t>
      </w:r>
      <w:r w:rsidR="0021791A">
        <w:t xml:space="preserve"> </w:t>
      </w:r>
      <w:r w:rsidRPr="0083550A">
        <w:t>A.Antonovs</w:t>
      </w:r>
    </w:p>
    <w:p w:rsidR="00D97875" w:rsidRDefault="00D97875" w:rsidP="00514F37">
      <w:pPr>
        <w:jc w:val="both"/>
        <w:rPr>
          <w:sz w:val="20"/>
          <w:szCs w:val="20"/>
        </w:rPr>
      </w:pPr>
    </w:p>
    <w:p w:rsidR="00514F37" w:rsidRPr="001D1AC5" w:rsidRDefault="00E557A7" w:rsidP="00514F37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514F37">
        <w:rPr>
          <w:sz w:val="20"/>
          <w:szCs w:val="20"/>
        </w:rPr>
        <w:t>.11</w:t>
      </w:r>
      <w:r w:rsidR="00514F37" w:rsidRPr="001D1AC5">
        <w:rPr>
          <w:sz w:val="20"/>
          <w:szCs w:val="20"/>
        </w:rPr>
        <w:t xml:space="preserve">.12. </w:t>
      </w:r>
      <w:r w:rsidR="00514F37">
        <w:rPr>
          <w:sz w:val="20"/>
          <w:szCs w:val="20"/>
        </w:rPr>
        <w:t>10:56</w:t>
      </w:r>
    </w:p>
    <w:p w:rsidR="00514F37" w:rsidRPr="001D1AC5" w:rsidRDefault="00E04E71" w:rsidP="00514F37">
      <w:pPr>
        <w:jc w:val="both"/>
        <w:rPr>
          <w:sz w:val="20"/>
          <w:szCs w:val="20"/>
        </w:rPr>
      </w:pPr>
      <w:r>
        <w:rPr>
          <w:sz w:val="20"/>
          <w:szCs w:val="20"/>
        </w:rPr>
        <w:t>1 318</w:t>
      </w:r>
    </w:p>
    <w:p w:rsidR="00514F37" w:rsidRPr="0041681E" w:rsidRDefault="00514F37" w:rsidP="00514F37">
      <w:pPr>
        <w:jc w:val="both"/>
        <w:rPr>
          <w:sz w:val="20"/>
          <w:szCs w:val="20"/>
        </w:rPr>
      </w:pPr>
      <w:r w:rsidRPr="001D1AC5">
        <w:rPr>
          <w:sz w:val="20"/>
          <w:szCs w:val="20"/>
        </w:rPr>
        <w:t>A.Djakova</w:t>
      </w:r>
    </w:p>
    <w:p w:rsidR="00514F37" w:rsidRDefault="00514F37" w:rsidP="00600747">
      <w:pPr>
        <w:jc w:val="both"/>
      </w:pPr>
      <w:r w:rsidRPr="0041681E">
        <w:rPr>
          <w:sz w:val="20"/>
          <w:szCs w:val="20"/>
        </w:rPr>
        <w:t>6</w:t>
      </w:r>
      <w:r>
        <w:rPr>
          <w:sz w:val="20"/>
          <w:szCs w:val="20"/>
        </w:rPr>
        <w:t>702473</w:t>
      </w:r>
      <w:r w:rsidRPr="0041681E">
        <w:rPr>
          <w:sz w:val="20"/>
          <w:szCs w:val="20"/>
        </w:rPr>
        <w:t xml:space="preserve">, </w:t>
      </w:r>
      <w:hyperlink r:id="rId8" w:history="1">
        <w:r w:rsidRPr="009B76F2">
          <w:rPr>
            <w:rStyle w:val="Hyperlink"/>
            <w:sz w:val="20"/>
            <w:szCs w:val="20"/>
          </w:rPr>
          <w:t>anna.djakova@varam.gov.lv</w:t>
        </w:r>
      </w:hyperlink>
    </w:p>
    <w:sectPr w:rsidR="00514F37" w:rsidSect="0081557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67" w:rsidRDefault="00C87F67" w:rsidP="007E6849">
      <w:r>
        <w:separator/>
      </w:r>
    </w:p>
  </w:endnote>
  <w:endnote w:type="continuationSeparator" w:id="0">
    <w:p w:rsidR="00C87F67" w:rsidRDefault="00C87F67" w:rsidP="007E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49" w:rsidRPr="007E6849" w:rsidRDefault="00E557A7">
    <w:pPr>
      <w:pStyle w:val="Footer"/>
      <w:rPr>
        <w:sz w:val="20"/>
        <w:szCs w:val="20"/>
      </w:rPr>
    </w:pPr>
    <w:r>
      <w:rPr>
        <w:sz w:val="20"/>
        <w:szCs w:val="20"/>
      </w:rPr>
      <w:t>VARAMZino_22</w:t>
    </w:r>
    <w:r w:rsidR="007E6849" w:rsidRPr="007E6849">
      <w:rPr>
        <w:sz w:val="20"/>
        <w:szCs w:val="20"/>
      </w:rPr>
      <w:t xml:space="preserve">1112_BJR; Par Latvijas nacionālo pozīciju </w:t>
    </w:r>
    <w:r w:rsidR="002717BC">
      <w:rPr>
        <w:sz w:val="20"/>
        <w:szCs w:val="20"/>
      </w:rPr>
      <w:t xml:space="preserve"> Nr.1 </w:t>
    </w:r>
    <w:r w:rsidR="007E6849" w:rsidRPr="007E6849">
      <w:rPr>
        <w:sz w:val="20"/>
        <w:szCs w:val="20"/>
      </w:rPr>
      <w:t>par tematiskajiem mērķiem Baltijas jūras reģiona programmā 2014.-2020.gadam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18" w:rsidRPr="007E6849" w:rsidRDefault="00E557A7" w:rsidP="002A1A18">
    <w:pPr>
      <w:pStyle w:val="Footer"/>
      <w:rPr>
        <w:sz w:val="20"/>
        <w:szCs w:val="20"/>
      </w:rPr>
    </w:pPr>
    <w:r>
      <w:rPr>
        <w:sz w:val="20"/>
        <w:szCs w:val="20"/>
      </w:rPr>
      <w:t>VARAMZino_22</w:t>
    </w:r>
    <w:r w:rsidR="002A1A18" w:rsidRPr="007E6849">
      <w:rPr>
        <w:sz w:val="20"/>
        <w:szCs w:val="20"/>
      </w:rPr>
      <w:t xml:space="preserve">1112_BJR; </w:t>
    </w:r>
    <w:r w:rsidR="000F59AB">
      <w:rPr>
        <w:sz w:val="20"/>
        <w:szCs w:val="20"/>
      </w:rPr>
      <w:t xml:space="preserve">Par Latvijas nacionālo pozīciju </w:t>
    </w:r>
    <w:r w:rsidR="002717BC">
      <w:rPr>
        <w:sz w:val="20"/>
        <w:szCs w:val="20"/>
      </w:rPr>
      <w:t xml:space="preserve"> </w:t>
    </w:r>
    <w:r w:rsidR="002A1A18" w:rsidRPr="007E6849">
      <w:rPr>
        <w:sz w:val="20"/>
        <w:szCs w:val="20"/>
      </w:rPr>
      <w:t>par tematiskajiem mērķiem Baltijas jūras reģiona programmā 2014.-2020.gadam</w:t>
    </w:r>
  </w:p>
  <w:p w:rsidR="002A1A18" w:rsidRDefault="002A1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67" w:rsidRDefault="00C87F67" w:rsidP="007E6849">
      <w:r>
        <w:separator/>
      </w:r>
    </w:p>
  </w:footnote>
  <w:footnote w:type="continuationSeparator" w:id="0">
    <w:p w:rsidR="00C87F67" w:rsidRDefault="00C87F67" w:rsidP="007E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2158"/>
      <w:docPartObj>
        <w:docPartGallery w:val="Page Numbers (Top of Page)"/>
        <w:docPartUnique/>
      </w:docPartObj>
    </w:sdtPr>
    <w:sdtContent>
      <w:p w:rsidR="00514F37" w:rsidRDefault="00DE3164">
        <w:pPr>
          <w:pStyle w:val="Header"/>
          <w:jc w:val="center"/>
        </w:pPr>
        <w:fldSimple w:instr=" PAGE   \* MERGEFORMAT ">
          <w:r w:rsidR="007F0373">
            <w:rPr>
              <w:noProof/>
            </w:rPr>
            <w:t>4</w:t>
          </w:r>
        </w:fldSimple>
      </w:p>
    </w:sdtContent>
  </w:sdt>
  <w:p w:rsidR="00514F37" w:rsidRDefault="00514F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6D29"/>
    <w:multiLevelType w:val="hybridMultilevel"/>
    <w:tmpl w:val="18EA32FA"/>
    <w:lvl w:ilvl="0" w:tplc="042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D463344"/>
    <w:multiLevelType w:val="hybridMultilevel"/>
    <w:tmpl w:val="FCEA5808"/>
    <w:lvl w:ilvl="0" w:tplc="695EBE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1B3283"/>
    <w:multiLevelType w:val="hybridMultilevel"/>
    <w:tmpl w:val="114E431E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875E71"/>
    <w:multiLevelType w:val="hybridMultilevel"/>
    <w:tmpl w:val="7E723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45B63"/>
    <w:multiLevelType w:val="hybridMultilevel"/>
    <w:tmpl w:val="4CDE5F9A"/>
    <w:lvl w:ilvl="0" w:tplc="042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76D00A5"/>
    <w:multiLevelType w:val="hybridMultilevel"/>
    <w:tmpl w:val="CF4A060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E54A4"/>
    <w:multiLevelType w:val="hybridMultilevel"/>
    <w:tmpl w:val="980A4854"/>
    <w:lvl w:ilvl="0" w:tplc="042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93EF5"/>
    <w:multiLevelType w:val="hybridMultilevel"/>
    <w:tmpl w:val="0106A29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278D9"/>
    <w:multiLevelType w:val="hybridMultilevel"/>
    <w:tmpl w:val="6CB24DA6"/>
    <w:lvl w:ilvl="0" w:tplc="3AE6FDE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747"/>
    <w:rsid w:val="0003719D"/>
    <w:rsid w:val="00044F82"/>
    <w:rsid w:val="000F59AB"/>
    <w:rsid w:val="0021791A"/>
    <w:rsid w:val="002717BC"/>
    <w:rsid w:val="002A1A18"/>
    <w:rsid w:val="002B2ED5"/>
    <w:rsid w:val="002D3925"/>
    <w:rsid w:val="002F4746"/>
    <w:rsid w:val="00377F9C"/>
    <w:rsid w:val="00383BEB"/>
    <w:rsid w:val="003873BF"/>
    <w:rsid w:val="003A4992"/>
    <w:rsid w:val="00415049"/>
    <w:rsid w:val="004A1B08"/>
    <w:rsid w:val="00514F37"/>
    <w:rsid w:val="00600747"/>
    <w:rsid w:val="006911D5"/>
    <w:rsid w:val="006F748D"/>
    <w:rsid w:val="00706AEE"/>
    <w:rsid w:val="0075686A"/>
    <w:rsid w:val="007B320F"/>
    <w:rsid w:val="007E6849"/>
    <w:rsid w:val="007F0373"/>
    <w:rsid w:val="00815574"/>
    <w:rsid w:val="00934C66"/>
    <w:rsid w:val="00A37F5E"/>
    <w:rsid w:val="00A954CB"/>
    <w:rsid w:val="00AD7232"/>
    <w:rsid w:val="00B16F0C"/>
    <w:rsid w:val="00BB2C47"/>
    <w:rsid w:val="00BD676B"/>
    <w:rsid w:val="00C87F67"/>
    <w:rsid w:val="00D230B6"/>
    <w:rsid w:val="00D874F3"/>
    <w:rsid w:val="00D95BF3"/>
    <w:rsid w:val="00D97875"/>
    <w:rsid w:val="00DD2467"/>
    <w:rsid w:val="00DE3164"/>
    <w:rsid w:val="00DF5C52"/>
    <w:rsid w:val="00E04E71"/>
    <w:rsid w:val="00E34F4E"/>
    <w:rsid w:val="00E557A7"/>
    <w:rsid w:val="00EE185B"/>
    <w:rsid w:val="00F3231E"/>
    <w:rsid w:val="00F36222"/>
    <w:rsid w:val="00F6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47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2">
    <w:name w:val="a__t2"/>
    <w:rsid w:val="00600747"/>
  </w:style>
  <w:style w:type="character" w:customStyle="1" w:styleId="at4">
    <w:name w:val="a__t4"/>
    <w:rsid w:val="00600747"/>
  </w:style>
  <w:style w:type="paragraph" w:customStyle="1" w:styleId="EntEmet">
    <w:name w:val="EntEmet"/>
    <w:basedOn w:val="Normal"/>
    <w:rsid w:val="0060074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eastAsia="fr-BE"/>
    </w:rPr>
  </w:style>
  <w:style w:type="paragraph" w:styleId="ListParagraph">
    <w:name w:val="List Paragraph"/>
    <w:basedOn w:val="Normal"/>
    <w:uiPriority w:val="34"/>
    <w:qFormat/>
    <w:rsid w:val="0060074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600747"/>
  </w:style>
  <w:style w:type="paragraph" w:styleId="Header">
    <w:name w:val="header"/>
    <w:basedOn w:val="Normal"/>
    <w:link w:val="HeaderChar"/>
    <w:uiPriority w:val="99"/>
    <w:unhideWhenUsed/>
    <w:rsid w:val="007E68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8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68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84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14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jakov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08779-4744-4C54-8F06-7B4FF793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9667</Characters>
  <Application>Microsoft Office Word</Application>
  <DocSecurity>0</DocSecurity>
  <Lines>264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VARAMZino_081112_BJR; Par Latvijas nacionālo pozīciju par tematiskajiem mērķiem Baltijas jūras reģiona programmā 2014.-2020.gadam</vt:lpstr>
    </vt:vector>
  </TitlesOfParts>
  <Company>VARAM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VARAMZino_081112_BJR; Par Latvijas nacionālo pozīciju par tematiskajiem mērķiem Baltijas jūras reģiona programmā 2014.-2020.gadam</dc:title>
  <dc:subject>Informatīvais ziņojums</dc:subject>
  <dc:creator>IlgaGruseva</dc:creator>
  <cp:lastModifiedBy>IlgaGruseva</cp:lastModifiedBy>
  <cp:revision>4</cp:revision>
  <dcterms:created xsi:type="dcterms:W3CDTF">2012-11-07T13:34:00Z</dcterms:created>
  <dcterms:modified xsi:type="dcterms:W3CDTF">2012-11-22T06:39:00Z</dcterms:modified>
</cp:coreProperties>
</file>