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C5" w:rsidRPr="00C30C06" w:rsidRDefault="00004AC5" w:rsidP="00004AC5">
      <w:pPr>
        <w:pStyle w:val="NoSpacing"/>
        <w:jc w:val="right"/>
        <w:rPr>
          <w:rFonts w:ascii="Times New Roman" w:hAnsi="Times New Roman" w:cs="Times New Roman"/>
          <w:b/>
        </w:rPr>
      </w:pPr>
      <w:bookmarkStart w:id="0" w:name="_Toc351048096"/>
      <w:bookmarkStart w:id="1" w:name="_GoBack"/>
      <w:bookmarkEnd w:id="1"/>
      <w:r w:rsidRPr="00C30C06">
        <w:rPr>
          <w:rFonts w:ascii="Times New Roman" w:hAnsi="Times New Roman" w:cs="Times New Roman"/>
          <w:b/>
        </w:rPr>
        <w:t>Informatīvā ziņojuma „Par risinājumiem teritorijas</w:t>
      </w:r>
    </w:p>
    <w:p w:rsidR="003B67F0" w:rsidRDefault="00004AC5" w:rsidP="00004AC5">
      <w:pPr>
        <w:pStyle w:val="NoSpacing"/>
        <w:jc w:val="right"/>
        <w:rPr>
          <w:rFonts w:ascii="Times New Roman" w:hAnsi="Times New Roman" w:cs="Times New Roman"/>
          <w:b/>
        </w:rPr>
      </w:pPr>
      <w:r w:rsidRPr="00C30C06">
        <w:rPr>
          <w:rFonts w:ascii="Times New Roman" w:hAnsi="Times New Roman" w:cs="Times New Roman"/>
          <w:b/>
        </w:rPr>
        <w:t xml:space="preserve"> attīstības pilnveidošanai, kā arī turpmākai pielietošanai</w:t>
      </w:r>
    </w:p>
    <w:p w:rsidR="003B67F0" w:rsidRPr="00C30C06" w:rsidRDefault="00004AC5" w:rsidP="003B67F0">
      <w:pPr>
        <w:pStyle w:val="NoSpacing"/>
        <w:jc w:val="right"/>
        <w:rPr>
          <w:rFonts w:ascii="Times New Roman" w:hAnsi="Times New Roman" w:cs="Times New Roman"/>
          <w:b/>
        </w:rPr>
      </w:pPr>
      <w:r w:rsidRPr="00C30C06">
        <w:rPr>
          <w:rFonts w:ascii="Times New Roman" w:hAnsi="Times New Roman" w:cs="Times New Roman"/>
          <w:b/>
        </w:rPr>
        <w:t xml:space="preserve"> E</w:t>
      </w:r>
      <w:r w:rsidR="003B67F0">
        <w:rPr>
          <w:rFonts w:ascii="Times New Roman" w:hAnsi="Times New Roman" w:cs="Times New Roman"/>
          <w:b/>
        </w:rPr>
        <w:t xml:space="preserve">iropas </w:t>
      </w:r>
      <w:r w:rsidRPr="00C30C06">
        <w:rPr>
          <w:rFonts w:ascii="Times New Roman" w:hAnsi="Times New Roman" w:cs="Times New Roman"/>
          <w:b/>
        </w:rPr>
        <w:t>S</w:t>
      </w:r>
      <w:r w:rsidR="003B67F0">
        <w:rPr>
          <w:rFonts w:ascii="Times New Roman" w:hAnsi="Times New Roman" w:cs="Times New Roman"/>
          <w:b/>
        </w:rPr>
        <w:t>avienības</w:t>
      </w:r>
      <w:r w:rsidR="003B67F0" w:rsidRPr="003B67F0">
        <w:rPr>
          <w:rFonts w:ascii="Times New Roman" w:hAnsi="Times New Roman" w:cs="Times New Roman"/>
          <w:b/>
        </w:rPr>
        <w:t xml:space="preserve"> </w:t>
      </w:r>
      <w:r w:rsidR="003B67F0" w:rsidRPr="00C30C06">
        <w:rPr>
          <w:rFonts w:ascii="Times New Roman" w:hAnsi="Times New Roman" w:cs="Times New Roman"/>
          <w:b/>
        </w:rPr>
        <w:t>fondu 2014.-</w:t>
      </w:r>
      <w:r w:rsidR="003B67F0">
        <w:rPr>
          <w:rFonts w:ascii="Times New Roman" w:hAnsi="Times New Roman" w:cs="Times New Roman"/>
          <w:b/>
        </w:rPr>
        <w:t>2020.gadam plānošanas periodā” 2</w:t>
      </w:r>
      <w:r w:rsidR="003B67F0" w:rsidRPr="00C30C06">
        <w:rPr>
          <w:rFonts w:ascii="Times New Roman" w:hAnsi="Times New Roman" w:cs="Times New Roman"/>
          <w:b/>
        </w:rPr>
        <w:t>.pielikums</w:t>
      </w:r>
    </w:p>
    <w:p w:rsidR="003B67F0" w:rsidRDefault="003B67F0" w:rsidP="003B67F0">
      <w:pPr>
        <w:jc w:val="center"/>
        <w:rPr>
          <w:rFonts w:cs="Times New Roman"/>
          <w:b/>
          <w:sz w:val="28"/>
          <w:szCs w:val="28"/>
        </w:rPr>
      </w:pPr>
    </w:p>
    <w:p w:rsidR="00004AC5" w:rsidRPr="00C30C06" w:rsidRDefault="00004AC5" w:rsidP="00004AC5">
      <w:pPr>
        <w:pStyle w:val="NoSpacing"/>
        <w:jc w:val="right"/>
        <w:rPr>
          <w:rFonts w:ascii="Times New Roman" w:hAnsi="Times New Roman" w:cs="Times New Roman"/>
          <w:b/>
        </w:rPr>
      </w:pPr>
    </w:p>
    <w:p w:rsidR="00004AC5" w:rsidRDefault="00004AC5" w:rsidP="003B67F0">
      <w:pPr>
        <w:pStyle w:val="NoSpacing"/>
        <w:jc w:val="right"/>
        <w:rPr>
          <w:rFonts w:cs="Times New Roman"/>
          <w:b/>
          <w:sz w:val="28"/>
          <w:szCs w:val="28"/>
        </w:rPr>
      </w:pPr>
      <w:r w:rsidRPr="00C30C06">
        <w:rPr>
          <w:rFonts w:ascii="Times New Roman" w:hAnsi="Times New Roman" w:cs="Times New Roman"/>
          <w:b/>
        </w:rPr>
        <w:t xml:space="preserve"> </w:t>
      </w:r>
      <w:bookmarkEnd w:id="0"/>
    </w:p>
    <w:p w:rsidR="00004AC5" w:rsidRDefault="00004AC5" w:rsidP="00004AC5">
      <w:pPr>
        <w:jc w:val="center"/>
        <w:rPr>
          <w:rFonts w:cs="Times New Roman"/>
          <w:b/>
          <w:sz w:val="28"/>
          <w:szCs w:val="28"/>
        </w:rPr>
      </w:pPr>
      <w:r>
        <w:rPr>
          <w:rFonts w:cs="Times New Roman"/>
          <w:b/>
          <w:sz w:val="28"/>
          <w:szCs w:val="28"/>
        </w:rPr>
        <w:t>Alternatīvā teritorijas attīstības indeksa rādītāju izvēles pamatojuma analīze</w:t>
      </w:r>
    </w:p>
    <w:tbl>
      <w:tblPr>
        <w:tblStyle w:val="TableGrid"/>
        <w:tblW w:w="0" w:type="auto"/>
        <w:tblLook w:val="04A0" w:firstRow="1" w:lastRow="0" w:firstColumn="1" w:lastColumn="0" w:noHBand="0" w:noVBand="1"/>
      </w:tblPr>
      <w:tblGrid>
        <w:gridCol w:w="556"/>
        <w:gridCol w:w="6236"/>
        <w:gridCol w:w="6236"/>
      </w:tblGrid>
      <w:tr w:rsidR="00004AC5" w:rsidRPr="00DE16B2" w:rsidTr="00F53194">
        <w:tc>
          <w:tcPr>
            <w:tcW w:w="534" w:type="dxa"/>
          </w:tcPr>
          <w:p w:rsidR="00004AC5" w:rsidRPr="00DE16B2" w:rsidRDefault="00004AC5" w:rsidP="00F53194">
            <w:pPr>
              <w:rPr>
                <w:rFonts w:cs="Times New Roman"/>
                <w:b/>
              </w:rPr>
            </w:pPr>
            <w:r w:rsidRPr="00DE16B2">
              <w:rPr>
                <w:rFonts w:cs="Times New Roman"/>
                <w:b/>
              </w:rPr>
              <w:t>Nr.</w:t>
            </w:r>
          </w:p>
        </w:tc>
        <w:tc>
          <w:tcPr>
            <w:tcW w:w="6236" w:type="dxa"/>
          </w:tcPr>
          <w:p w:rsidR="00004AC5" w:rsidRPr="00DE16B2" w:rsidRDefault="00004AC5" w:rsidP="00F53194">
            <w:pPr>
              <w:rPr>
                <w:rFonts w:cs="Times New Roman"/>
                <w:b/>
              </w:rPr>
            </w:pPr>
            <w:r w:rsidRPr="00DE16B2">
              <w:rPr>
                <w:rFonts w:cs="Times New Roman"/>
                <w:b/>
              </w:rPr>
              <w:t>Rādītājs</w:t>
            </w:r>
          </w:p>
        </w:tc>
        <w:tc>
          <w:tcPr>
            <w:tcW w:w="6236" w:type="dxa"/>
          </w:tcPr>
          <w:p w:rsidR="00004AC5" w:rsidRPr="00DE16B2" w:rsidRDefault="00004AC5" w:rsidP="00F53194">
            <w:pPr>
              <w:rPr>
                <w:rFonts w:cs="Times New Roman"/>
                <w:b/>
              </w:rPr>
            </w:pPr>
            <w:r>
              <w:rPr>
                <w:rFonts w:cs="Times New Roman"/>
                <w:b/>
              </w:rPr>
              <w:t>Izvēles pamatojums</w:t>
            </w:r>
          </w:p>
        </w:tc>
      </w:tr>
      <w:tr w:rsidR="00004AC5" w:rsidRPr="00DE16B2" w:rsidTr="00F53194">
        <w:tc>
          <w:tcPr>
            <w:tcW w:w="534" w:type="dxa"/>
          </w:tcPr>
          <w:p w:rsidR="00004AC5" w:rsidRPr="00DE16B2" w:rsidRDefault="00004AC5" w:rsidP="00004AC5">
            <w:pPr>
              <w:pStyle w:val="ListParagraph"/>
              <w:numPr>
                <w:ilvl w:val="0"/>
                <w:numId w:val="1"/>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Ekonomiski aktīvo individuālo komersantu un komercsabiedrību skaits uz 1000 iedz.</w:t>
            </w:r>
          </w:p>
        </w:tc>
        <w:tc>
          <w:tcPr>
            <w:tcW w:w="6236" w:type="dxa"/>
          </w:tcPr>
          <w:p w:rsidR="00004AC5" w:rsidRDefault="00004AC5" w:rsidP="00F53194">
            <w:pPr>
              <w:rPr>
                <w:rFonts w:cs="Times New Roman"/>
              </w:rPr>
            </w:pPr>
            <w:r>
              <w:rPr>
                <w:rFonts w:cs="Times New Roman"/>
              </w:rPr>
              <w:t>Esošā teritorijas attīstības indeksa viens no lielākajiem mīnusiem ir rādītāja, kas raksturo ekonomisko aktivitāti, trūkums. Piedāvātais rādītājs šo problēmu risina, turklāt būtiski ir tas, ka vienlaicīgi tiek risināta klasiskā problēma, ka uzņēmumu skaits pats par sevi neko neparāda (nav zināms vai tas ir ekonomiski aktīvs, vai tā juridiskā adrese vispār sakrīt ar faktisko darbības vietu). CSP apkopotā statistika nodrošina:</w:t>
            </w:r>
          </w:p>
          <w:p w:rsidR="00004AC5" w:rsidRDefault="00004AC5" w:rsidP="00F53194">
            <w:pPr>
              <w:rPr>
                <w:rFonts w:cs="Times New Roman"/>
              </w:rPr>
            </w:pPr>
            <w:r>
              <w:rPr>
                <w:rFonts w:cs="Times New Roman"/>
              </w:rPr>
              <w:t xml:space="preserve">a) Statistikā tiek iekļauti tikai ekonomiski aktīvie uzņēmumi, tātad pārskata gadā ražoja produkciju, </w:t>
            </w:r>
            <w:r w:rsidRPr="00511115">
              <w:rPr>
                <w:rFonts w:cs="Times New Roman"/>
              </w:rPr>
              <w:t>sniedza pakalpojumus vai nodarbināja</w:t>
            </w:r>
            <w:r>
              <w:rPr>
                <w:rFonts w:cs="Times New Roman"/>
              </w:rPr>
              <w:t xml:space="preserve"> cilvēkus</w:t>
            </w:r>
          </w:p>
          <w:p w:rsidR="00004AC5" w:rsidRPr="00DE16B2" w:rsidRDefault="00004AC5" w:rsidP="00F53194">
            <w:pPr>
              <w:rPr>
                <w:rFonts w:cs="Times New Roman"/>
              </w:rPr>
            </w:pPr>
            <w:r>
              <w:rPr>
                <w:rFonts w:cs="Times New Roman"/>
              </w:rPr>
              <w:t xml:space="preserve">b) Piederība teritoriālajam līmenim tiek noteikta pēc uzņēmumu faktiskās darbības vietas </w:t>
            </w:r>
          </w:p>
        </w:tc>
      </w:tr>
      <w:tr w:rsidR="00004AC5" w:rsidRPr="00DE16B2" w:rsidTr="00F53194">
        <w:tc>
          <w:tcPr>
            <w:tcW w:w="534" w:type="dxa"/>
          </w:tcPr>
          <w:p w:rsidR="00004AC5" w:rsidRPr="00DE16B2" w:rsidRDefault="00004AC5" w:rsidP="00004AC5">
            <w:pPr>
              <w:pStyle w:val="ListParagraph"/>
              <w:numPr>
                <w:ilvl w:val="0"/>
                <w:numId w:val="1"/>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Reģistrēto uzņēmumu skaits uz 1000 iedzīvotājiem</w:t>
            </w:r>
          </w:p>
        </w:tc>
        <w:tc>
          <w:tcPr>
            <w:tcW w:w="6236" w:type="dxa"/>
          </w:tcPr>
          <w:p w:rsidR="00004AC5" w:rsidRPr="00DE16B2" w:rsidRDefault="00004AC5" w:rsidP="00F53194">
            <w:pPr>
              <w:rPr>
                <w:rFonts w:cs="Times New Roman"/>
              </w:rPr>
            </w:pPr>
            <w:r>
              <w:rPr>
                <w:rFonts w:cs="Times New Roman"/>
              </w:rPr>
              <w:t>Papildus rādītājs ekonomiskās aktivitātes raksturošanai, vairāk domāts, lai raksturotu uzņēmējdarbības uzsākšanas tendences.</w:t>
            </w:r>
          </w:p>
        </w:tc>
      </w:tr>
      <w:tr w:rsidR="00004AC5" w:rsidRPr="00DE16B2" w:rsidTr="00F53194">
        <w:tc>
          <w:tcPr>
            <w:tcW w:w="534" w:type="dxa"/>
          </w:tcPr>
          <w:p w:rsidR="00004AC5" w:rsidRPr="00DE16B2" w:rsidRDefault="00004AC5" w:rsidP="00004AC5">
            <w:pPr>
              <w:pStyle w:val="ListParagraph"/>
              <w:numPr>
                <w:ilvl w:val="0"/>
                <w:numId w:val="1"/>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Bezdarba līmenis, %</w:t>
            </w:r>
          </w:p>
        </w:tc>
        <w:tc>
          <w:tcPr>
            <w:tcW w:w="6236" w:type="dxa"/>
          </w:tcPr>
          <w:p w:rsidR="00004AC5" w:rsidRPr="00DE16B2" w:rsidRDefault="00004AC5" w:rsidP="00F53194">
            <w:pPr>
              <w:rPr>
                <w:rFonts w:cs="Times New Roman"/>
              </w:rPr>
            </w:pPr>
            <w:r>
              <w:rPr>
                <w:rFonts w:cs="Times New Roman"/>
              </w:rPr>
              <w:t>Klasisks sociālekonomisko attīstību raksturojošs rādītājs, kas vienlīdz norāda uz darba tirgus situāciju (pieprasījumu/piedāvājuma atbilstība; darba apstākļi, alga; u.c.), gan uz potenciālām nevēlamām sociālām sekām.</w:t>
            </w:r>
          </w:p>
        </w:tc>
      </w:tr>
      <w:tr w:rsidR="00004AC5" w:rsidRPr="00DE16B2" w:rsidTr="00F53194">
        <w:tc>
          <w:tcPr>
            <w:tcW w:w="534" w:type="dxa"/>
          </w:tcPr>
          <w:p w:rsidR="00004AC5" w:rsidRPr="00DE16B2" w:rsidRDefault="00004AC5" w:rsidP="00004AC5">
            <w:pPr>
              <w:pStyle w:val="ListParagraph"/>
              <w:numPr>
                <w:ilvl w:val="0"/>
                <w:numId w:val="1"/>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Trūcīgo personu īpatsvars iedzīvotāju kopskaitā, %</w:t>
            </w:r>
          </w:p>
        </w:tc>
        <w:tc>
          <w:tcPr>
            <w:tcW w:w="6236" w:type="dxa"/>
          </w:tcPr>
          <w:p w:rsidR="00004AC5" w:rsidRPr="00DE16B2" w:rsidRDefault="00004AC5" w:rsidP="00F53194">
            <w:pPr>
              <w:rPr>
                <w:rFonts w:cs="Times New Roman"/>
              </w:rPr>
            </w:pPr>
            <w:r>
              <w:rPr>
                <w:rFonts w:cs="Times New Roman"/>
              </w:rPr>
              <w:t xml:space="preserve">Rādītājs iekļauts, lai pilnīgāk raksturotu sociālo situāciju. </w:t>
            </w:r>
            <w:r>
              <w:rPr>
                <w:rFonts w:cs="Times New Roman"/>
              </w:rPr>
              <w:lastRenderedPageBreak/>
              <w:t xml:space="preserve">Ņemot vērā, ka Latvijā konstanti uz Eiropas Savienības fona ir viens no augstākajiem rādītājiem cilvēku īpatsvaram, kas dzīvo zem nabadzības riska sliekšņa, tad situācijas novērtēšana teritoriālā dalījumā ir īpaši būtiska. </w:t>
            </w:r>
          </w:p>
        </w:tc>
      </w:tr>
      <w:tr w:rsidR="00004AC5" w:rsidRPr="00DE16B2" w:rsidTr="00F53194">
        <w:tc>
          <w:tcPr>
            <w:tcW w:w="534" w:type="dxa"/>
          </w:tcPr>
          <w:p w:rsidR="00004AC5" w:rsidRPr="00DE16B2" w:rsidRDefault="00004AC5" w:rsidP="00004AC5">
            <w:pPr>
              <w:pStyle w:val="ListParagraph"/>
              <w:numPr>
                <w:ilvl w:val="0"/>
                <w:numId w:val="1"/>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Kopējais noziedzīgo nodarījumu skaits uz 1000 iedzīvotājiem</w:t>
            </w:r>
          </w:p>
        </w:tc>
        <w:tc>
          <w:tcPr>
            <w:tcW w:w="6236" w:type="dxa"/>
          </w:tcPr>
          <w:p w:rsidR="00004AC5" w:rsidRPr="00DE16B2" w:rsidRDefault="00004AC5" w:rsidP="00F53194">
            <w:pPr>
              <w:rPr>
                <w:rFonts w:cs="Times New Roman"/>
              </w:rPr>
            </w:pPr>
            <w:r>
              <w:rPr>
                <w:rFonts w:cs="Times New Roman"/>
              </w:rPr>
              <w:t>Rādītājs raksturo sabiedrības drošības līmeni – viens no nedaudzajiem rādītājiem, kas tiešā veidā aptver dzīves kvalitātes aspektu</w:t>
            </w:r>
            <w:r w:rsidR="00BF3233">
              <w:rPr>
                <w:rFonts w:cs="Times New Roman"/>
              </w:rPr>
              <w:t>.</w:t>
            </w:r>
          </w:p>
        </w:tc>
      </w:tr>
      <w:tr w:rsidR="00004AC5" w:rsidRPr="00DE16B2" w:rsidTr="00F53194">
        <w:tc>
          <w:tcPr>
            <w:tcW w:w="534" w:type="dxa"/>
          </w:tcPr>
          <w:p w:rsidR="00004AC5" w:rsidRPr="00DE16B2" w:rsidRDefault="00004AC5" w:rsidP="00004AC5">
            <w:pPr>
              <w:pStyle w:val="ListParagraph"/>
              <w:numPr>
                <w:ilvl w:val="0"/>
                <w:numId w:val="1"/>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Dabiskās kustības saldo uz 1000 iedzīvotājiem</w:t>
            </w:r>
          </w:p>
        </w:tc>
        <w:tc>
          <w:tcPr>
            <w:tcW w:w="6236" w:type="dxa"/>
          </w:tcPr>
          <w:p w:rsidR="00004AC5" w:rsidRDefault="00004AC5" w:rsidP="00F53194">
            <w:pPr>
              <w:rPr>
                <w:rFonts w:cs="Times New Roman"/>
              </w:rPr>
            </w:pPr>
            <w:r>
              <w:rPr>
                <w:rFonts w:cs="Times New Roman"/>
              </w:rPr>
              <w:t>Teritorijas attīstības indeksa autori līdz šim lietoja rādītāju „Patstāvīgo iedzīvotāju skaita izmaiņas pēdējo piecu gadu laikā”. Šāda izvēle no indeksu autoru puses sākotnēji tika pamatota ar to, ka rādītājs nodrošina stabilitāti interpretācijā, proti, iedzīvotāju skaita izmaiņas tik sīkā iedalījumā kā pagasts, viena gada ietvaros var rādīt pārsteidzīgus secinājumus par iedzīvotāju pieaugumu vai samazinājumu. Lai nodrošinātu stabilu interpretāciju, tika izvēlēts 5 gadu periods. Turklāt rādītājs vismaz filozofiski vairāk tika orientēts kā teritorijas pievilcības rādītājs – uz ko norāda iedzīvotāju pieaugums (imigrācija) vai samazinājums (emigrācija).</w:t>
            </w:r>
          </w:p>
          <w:p w:rsidR="00004AC5" w:rsidRDefault="00004AC5" w:rsidP="00F53194">
            <w:pPr>
              <w:rPr>
                <w:rFonts w:cs="Times New Roman"/>
              </w:rPr>
            </w:pPr>
          </w:p>
          <w:p w:rsidR="00004AC5" w:rsidRDefault="00004AC5" w:rsidP="00F53194">
            <w:pPr>
              <w:rPr>
                <w:rFonts w:cs="Times New Roman"/>
              </w:rPr>
            </w:pPr>
            <w:r>
              <w:rPr>
                <w:rFonts w:cs="Times New Roman"/>
              </w:rPr>
              <w:t>Taču neizbēgami šādā rādītājā tiek sajaukta gan dabiskās kustības komponente, gan migrācijas komponente. Tos nepieciešams izdalīt. Dabiskā kustība norāda uz teritorijas cilvēkresursu vispārēju saglabāšanos, cilvēku zaudēšana šādā veidā ir neatgriezeniska, līdz ar to šādam rādītājam ir jābūt būtiskai indeksa sastāvdaļai. Līdz ar to tam tiek piešķirts paaugstināts svars.</w:t>
            </w:r>
          </w:p>
          <w:p w:rsidR="00004AC5" w:rsidRPr="00DE16B2" w:rsidRDefault="00004AC5" w:rsidP="00F53194">
            <w:pPr>
              <w:rPr>
                <w:rFonts w:cs="Times New Roman"/>
              </w:rPr>
            </w:pPr>
            <w:r>
              <w:rPr>
                <w:rFonts w:cs="Times New Roman"/>
              </w:rPr>
              <w:t xml:space="preserve">Rādītājs var tikt skatīts viena gada ietvaros, ņemot vērā, ka novadu izveidošana nodrošina pēc iedzīvotāju skaita lielākas </w:t>
            </w:r>
            <w:r>
              <w:rPr>
                <w:rFonts w:cs="Times New Roman"/>
              </w:rPr>
              <w:lastRenderedPageBreak/>
              <w:t>teritorijas, līdz ar to mazinās risks, ka rādītājs var sniegt kļūdainu priekšstatu par teritorijā notiekošo.</w:t>
            </w:r>
          </w:p>
        </w:tc>
      </w:tr>
      <w:tr w:rsidR="00004AC5" w:rsidRPr="00DE16B2" w:rsidTr="00F53194">
        <w:tc>
          <w:tcPr>
            <w:tcW w:w="534" w:type="dxa"/>
          </w:tcPr>
          <w:p w:rsidR="00004AC5" w:rsidRPr="00DE16B2" w:rsidRDefault="00004AC5" w:rsidP="00004AC5">
            <w:pPr>
              <w:pStyle w:val="ListParagraph"/>
              <w:numPr>
                <w:ilvl w:val="0"/>
                <w:numId w:val="1"/>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Ilgtermiņa migrācijas saldo uz 1000 iedzīvotājiem</w:t>
            </w:r>
          </w:p>
        </w:tc>
        <w:tc>
          <w:tcPr>
            <w:tcW w:w="6236" w:type="dxa"/>
          </w:tcPr>
          <w:p w:rsidR="00004AC5" w:rsidRPr="00DE16B2" w:rsidRDefault="00004AC5" w:rsidP="00F53194">
            <w:pPr>
              <w:rPr>
                <w:rFonts w:cs="Times New Roman"/>
              </w:rPr>
            </w:pPr>
            <w:r>
              <w:rPr>
                <w:rFonts w:cs="Times New Roman"/>
              </w:rPr>
              <w:t>Kā minēts iepriekš rādītājs tiek atdalīts no dabiskās kustības rādītāja. Tā nozīme ir vairāk raksturot teritorijas pievilcību, ne cilvēkresursu saglabāšanos.</w:t>
            </w:r>
          </w:p>
        </w:tc>
      </w:tr>
      <w:tr w:rsidR="00004AC5" w:rsidRPr="00DE16B2" w:rsidTr="00F53194">
        <w:tc>
          <w:tcPr>
            <w:tcW w:w="534" w:type="dxa"/>
          </w:tcPr>
          <w:p w:rsidR="00004AC5" w:rsidRPr="00DE16B2" w:rsidRDefault="00004AC5" w:rsidP="00004AC5">
            <w:pPr>
              <w:pStyle w:val="ListParagraph"/>
              <w:numPr>
                <w:ilvl w:val="0"/>
                <w:numId w:val="1"/>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Iedzīvotāju skaits virs darbspējas vecuma uz 1000 darbspējas vecuma iedzīvotājiem (demogrāfiskā slodze jeb vecuma demogrāfiskā atkarība)</w:t>
            </w:r>
          </w:p>
        </w:tc>
        <w:tc>
          <w:tcPr>
            <w:tcW w:w="6236" w:type="dxa"/>
          </w:tcPr>
          <w:p w:rsidR="00004AC5" w:rsidRPr="00DE16B2" w:rsidRDefault="00004AC5" w:rsidP="00F53194">
            <w:pPr>
              <w:rPr>
                <w:rFonts w:cs="Times New Roman"/>
              </w:rPr>
            </w:pPr>
            <w:r>
              <w:rPr>
                <w:rFonts w:cs="Times New Roman"/>
              </w:rPr>
              <w:t>Gan eksperti, gan pašvaldības, gan paši teritorijas attīstības indeksa autori ir norādījuši, ka demogrāfiskās slodzes rādītājs, kas sevī ietver arī bērnu skaitu nav viennozīmīgi interpretējams, ņemot vērā, ka bērnu skaitu nevar interpretēt kā negatīvu faktoru. Līdz ar to, salīdzinot ar līdzšinējā teritorijas attīstības indeksā iekļauto, rādītājs ir modificēts, izslēdzot bērnu skaitu. Rādītāju sistēmās šo rādītāju mēdz dēvēt par „vecuma demogrāfisko atkarību”. Valsts līmenī šādam rādītājam ir ļoti konkrēta interpretācija, norādot uz to, kāds sociāls slogs gulstas uz darbspējīgajiem. Taču pašvaldības līmenī šis rādītājs ir grūtāk interpretējams, ņemot vērā, ka nav tiešas sasaistes starp teritorijā dzīvojošajiem darbaspējīgajiem un virs darba vecuma iedzīvotājiem, piemēram, no pensiju izmaksas viedokļa.</w:t>
            </w:r>
          </w:p>
        </w:tc>
      </w:tr>
      <w:tr w:rsidR="00004AC5" w:rsidRPr="00DE16B2" w:rsidTr="00F53194">
        <w:tc>
          <w:tcPr>
            <w:tcW w:w="534" w:type="dxa"/>
          </w:tcPr>
          <w:p w:rsidR="00004AC5" w:rsidRPr="00DE16B2" w:rsidRDefault="00004AC5" w:rsidP="00004AC5">
            <w:pPr>
              <w:pStyle w:val="ListParagraph"/>
              <w:numPr>
                <w:ilvl w:val="0"/>
                <w:numId w:val="1"/>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Iedzīvotāju ienākumu nodoklis uz 1.iedz. LVL</w:t>
            </w:r>
          </w:p>
        </w:tc>
        <w:tc>
          <w:tcPr>
            <w:tcW w:w="6236" w:type="dxa"/>
          </w:tcPr>
          <w:p w:rsidR="00004AC5" w:rsidRDefault="00004AC5" w:rsidP="00F53194">
            <w:pPr>
              <w:rPr>
                <w:rFonts w:cs="Times New Roman"/>
              </w:rPr>
            </w:pPr>
            <w:r>
              <w:rPr>
                <w:rFonts w:cs="Times New Roman"/>
              </w:rPr>
              <w:t>Līdzšinējā teritorijas attīstības indeksā ir iekļauts rādītājs „iedzīvotāju ienākuma nodokļa lielums uz 1.iedz.”, kura aprēķināšanai tiek izmantoti Valsts kases dati. Rādītājs rada vairākas interpretācijas grūtības:</w:t>
            </w:r>
          </w:p>
          <w:p w:rsidR="00004AC5" w:rsidRDefault="00004AC5" w:rsidP="00F53194">
            <w:pPr>
              <w:rPr>
                <w:rFonts w:cs="Times New Roman"/>
              </w:rPr>
            </w:pPr>
            <w:r>
              <w:rPr>
                <w:rFonts w:cs="Times New Roman"/>
              </w:rPr>
              <w:t>a) Ja tiek mēģināts norādīt, ka rādītājs raksturo pašvaldības finansiālo rīcībspēju (iedzīvotāju ienākumu nodoklis veido lielāko nodokļu ieņēmumu īpatsvaru), rodas jautāju</w:t>
            </w:r>
            <w:r w:rsidR="00BF3233">
              <w:rPr>
                <w:rFonts w:cs="Times New Roman"/>
              </w:rPr>
              <w:t>ms, kāpēc netiek ņemti vērā citi</w:t>
            </w:r>
            <w:r>
              <w:rPr>
                <w:rFonts w:cs="Times New Roman"/>
              </w:rPr>
              <w:t xml:space="preserve"> nodokļi, lai iegūtu pilnīgi precīzu novērtējumu</w:t>
            </w:r>
            <w:r w:rsidR="00BF3233">
              <w:rPr>
                <w:rFonts w:cs="Times New Roman"/>
              </w:rPr>
              <w:t>;</w:t>
            </w:r>
          </w:p>
          <w:p w:rsidR="00004AC5" w:rsidRDefault="00004AC5" w:rsidP="00F53194">
            <w:pPr>
              <w:rPr>
                <w:rFonts w:cs="Times New Roman"/>
              </w:rPr>
            </w:pPr>
            <w:r>
              <w:rPr>
                <w:rFonts w:cs="Times New Roman"/>
              </w:rPr>
              <w:t xml:space="preserve">b) Ja tiek mēģināts norādīt, ka rādītājs raksturo iedzīvotāju </w:t>
            </w:r>
            <w:r>
              <w:rPr>
                <w:rFonts w:cs="Times New Roman"/>
              </w:rPr>
              <w:lastRenderedPageBreak/>
              <w:t>ienākumu līmeni, problēmas rada tas, ka iedzīvotāju ienākumu daļa, kas tiek pārskaitīta pašvaldības budžetā faktiski gadu no gada sastāda apmēram 80% (pārējais tiek novirzīts valsts budžetam), t</w:t>
            </w:r>
            <w:r w:rsidR="002A08FB">
              <w:rPr>
                <w:rFonts w:cs="Times New Roman"/>
              </w:rPr>
              <w:t xml:space="preserve">urklāt atbilstoši </w:t>
            </w:r>
            <w:r w:rsidR="002A08FB">
              <w:rPr>
                <w:szCs w:val="24"/>
              </w:rPr>
              <w:t>MK 29.06.2004. noteikumiem</w:t>
            </w:r>
            <w:r w:rsidR="002A08FB" w:rsidRPr="00A647AF">
              <w:rPr>
                <w:szCs w:val="24"/>
              </w:rPr>
              <w:t xml:space="preserve"> Nr.573 </w:t>
            </w:r>
            <w:r w:rsidR="002A08FB">
              <w:rPr>
                <w:szCs w:val="24"/>
              </w:rPr>
              <w:t>„</w:t>
            </w:r>
            <w:r w:rsidR="002A08FB" w:rsidRPr="00A647AF">
              <w:rPr>
                <w:rFonts w:eastAsia="Times New Roman" w:cs="Times New Roman"/>
                <w:szCs w:val="24"/>
              </w:rPr>
              <w:t>Kārtība, kādā iedzīvotāju ienākuma nodokli, ar nodokli saistīto nokavējuma naudu un soda naudu ieskaita budžetā</w:t>
            </w:r>
            <w:r w:rsidR="002A08FB">
              <w:rPr>
                <w:rFonts w:eastAsia="Times New Roman" w:cs="Times New Roman"/>
                <w:szCs w:val="24"/>
              </w:rPr>
              <w:t>”</w:t>
            </w:r>
            <w:r>
              <w:rPr>
                <w:rFonts w:cs="Times New Roman"/>
              </w:rPr>
              <w:t xml:space="preserve"> </w:t>
            </w:r>
            <w:r w:rsidRPr="00B6304C">
              <w:rPr>
                <w:rFonts w:cs="Times New Roman"/>
              </w:rPr>
              <w:t xml:space="preserve">pašvaldības budžetā ieskaitāmo nodokļa ieņēmumu daļu nosaka, pamatojoties uz katras pašvaldības īpatsvara koeficientu kopējos valstī iekasētajos nodokļa ieņēmumos no nodokļa maksātāju taksācijas gada ienākumiem </w:t>
            </w:r>
            <w:r w:rsidRPr="00B6304C">
              <w:rPr>
                <w:rFonts w:cs="Times New Roman"/>
                <w:b/>
              </w:rPr>
              <w:t>pirms diviem gadiem</w:t>
            </w:r>
            <w:r>
              <w:rPr>
                <w:rFonts w:cs="Times New Roman"/>
                <w:b/>
              </w:rPr>
              <w:t>.</w:t>
            </w:r>
            <w:r>
              <w:rPr>
                <w:rFonts w:cs="Times New Roman"/>
              </w:rPr>
              <w:t xml:space="preserve"> Līdz ar to statistika, ja to interpretē kā iedzīvotāju ienākuma līmeņa raksturojumu, ir ar nobīdi laikā.</w:t>
            </w:r>
          </w:p>
          <w:p w:rsidR="00004AC5" w:rsidRDefault="00004AC5" w:rsidP="00F53194">
            <w:pPr>
              <w:rPr>
                <w:rFonts w:cs="Times New Roman"/>
              </w:rPr>
            </w:pPr>
            <w:r>
              <w:rPr>
                <w:rFonts w:cs="Times New Roman"/>
              </w:rPr>
              <w:t>Paralēli tam saglabājas problemātika ar to, ka ienākuma nodokļa apmērs tiek attiecināts pret visiem pašvaldības iedzīvotājiem,</w:t>
            </w:r>
            <w:proofErr w:type="gramStart"/>
            <w:r>
              <w:rPr>
                <w:rFonts w:cs="Times New Roman"/>
              </w:rPr>
              <w:t xml:space="preserve">  </w:t>
            </w:r>
            <w:proofErr w:type="gramEnd"/>
            <w:r>
              <w:rPr>
                <w:rFonts w:cs="Times New Roman"/>
              </w:rPr>
              <w:t>nevis pret strādājošajiem.</w:t>
            </w:r>
          </w:p>
          <w:p w:rsidR="00004AC5" w:rsidRDefault="00004AC5" w:rsidP="00F53194">
            <w:pPr>
              <w:rPr>
                <w:rFonts w:cs="Times New Roman"/>
              </w:rPr>
            </w:pPr>
          </w:p>
          <w:p w:rsidR="00004AC5" w:rsidRPr="00B6304C" w:rsidRDefault="00004AC5" w:rsidP="00F53194">
            <w:pPr>
              <w:rPr>
                <w:rFonts w:cs="Times New Roman"/>
              </w:rPr>
            </w:pPr>
            <w:r>
              <w:rPr>
                <w:rFonts w:cs="Times New Roman"/>
              </w:rPr>
              <w:t>Tiek piedāvāts rādītajam noteikt konkrētu un precīzāku interpretāciju, atsevišķi izdalot iedzīvotāju ienākumu raksturojumu un pašvaldības finansiālās rīcībspējas raksturojumu. Šī rādītāja gadījumā tiek izmantoti Valsts ieņēmuma dienesta dati par faktiski ieturēto iedzīvotāju ienākumu nodokli, kas raksturo iedzīvotāju ienākumu līmeni (neatrisināts gan paliek jautājums, ka ienākumu nodokļa summa tiek attiecināta pret visiem pašvaldības iedzīvotājiem).</w:t>
            </w:r>
          </w:p>
        </w:tc>
      </w:tr>
      <w:tr w:rsidR="00004AC5" w:rsidRPr="00DE16B2" w:rsidTr="00F53194">
        <w:tc>
          <w:tcPr>
            <w:tcW w:w="534" w:type="dxa"/>
          </w:tcPr>
          <w:p w:rsidR="00004AC5" w:rsidRPr="00DE16B2" w:rsidRDefault="00004AC5" w:rsidP="00004AC5">
            <w:pPr>
              <w:pStyle w:val="ListParagraph"/>
              <w:numPr>
                <w:ilvl w:val="0"/>
                <w:numId w:val="1"/>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Izlīdzinātie nodokļu ieņēmumi</w:t>
            </w:r>
            <w:r>
              <w:rPr>
                <w:rFonts w:cs="Times New Roman"/>
              </w:rPr>
              <w:t xml:space="preserve"> pašvaldības budžetā</w:t>
            </w:r>
            <w:r w:rsidRPr="00DE16B2">
              <w:rPr>
                <w:rFonts w:cs="Times New Roman"/>
              </w:rPr>
              <w:t xml:space="preserve"> uz 1.iedz. LVL</w:t>
            </w:r>
          </w:p>
        </w:tc>
        <w:tc>
          <w:tcPr>
            <w:tcW w:w="6236" w:type="dxa"/>
          </w:tcPr>
          <w:p w:rsidR="00004AC5" w:rsidRPr="00DE16B2" w:rsidRDefault="00004AC5" w:rsidP="00F53194">
            <w:pPr>
              <w:rPr>
                <w:rFonts w:cs="Times New Roman"/>
              </w:rPr>
            </w:pPr>
            <w:r>
              <w:rPr>
                <w:rFonts w:cs="Times New Roman"/>
              </w:rPr>
              <w:t xml:space="preserve">Rādītājs raksturo pašvaldību finansiālo rīcībspēju. </w:t>
            </w:r>
          </w:p>
        </w:tc>
      </w:tr>
    </w:tbl>
    <w:p w:rsidR="00004AC5" w:rsidRDefault="00004AC5" w:rsidP="00004AC5">
      <w:pPr>
        <w:rPr>
          <w:rFonts w:cs="Times New Roman"/>
          <w:b/>
          <w:szCs w:val="24"/>
        </w:rPr>
      </w:pPr>
    </w:p>
    <w:p w:rsidR="00004AC5" w:rsidRDefault="00004AC5" w:rsidP="00004AC5">
      <w:pPr>
        <w:jc w:val="center"/>
        <w:rPr>
          <w:rFonts w:cs="Times New Roman"/>
          <w:b/>
          <w:sz w:val="28"/>
          <w:szCs w:val="28"/>
        </w:rPr>
      </w:pPr>
      <w:bookmarkStart w:id="2" w:name="OLE_LINK5"/>
      <w:bookmarkStart w:id="3" w:name="OLE_LINK6"/>
    </w:p>
    <w:p w:rsidR="00BD29DE" w:rsidRDefault="00BD29DE" w:rsidP="00004AC5">
      <w:pPr>
        <w:jc w:val="center"/>
        <w:rPr>
          <w:rFonts w:cs="Times New Roman"/>
          <w:b/>
          <w:sz w:val="28"/>
          <w:szCs w:val="28"/>
        </w:rPr>
      </w:pPr>
    </w:p>
    <w:p w:rsidR="00004AC5" w:rsidRPr="00DE16B2" w:rsidRDefault="00004AC5" w:rsidP="00004AC5">
      <w:pPr>
        <w:jc w:val="center"/>
        <w:rPr>
          <w:rFonts w:cs="Times New Roman"/>
          <w:b/>
          <w:sz w:val="28"/>
          <w:szCs w:val="28"/>
        </w:rPr>
      </w:pPr>
      <w:r>
        <w:rPr>
          <w:rFonts w:cs="Times New Roman"/>
          <w:b/>
          <w:sz w:val="28"/>
          <w:szCs w:val="28"/>
        </w:rPr>
        <w:t>Alternatīvā teritorijas attīstības indeksa</w:t>
      </w:r>
      <w:bookmarkEnd w:id="2"/>
      <w:bookmarkEnd w:id="3"/>
      <w:r>
        <w:rPr>
          <w:rFonts w:cs="Times New Roman"/>
          <w:b/>
          <w:sz w:val="28"/>
          <w:szCs w:val="28"/>
        </w:rPr>
        <w:t xml:space="preserve"> r</w:t>
      </w:r>
      <w:r w:rsidRPr="00DE16B2">
        <w:rPr>
          <w:rFonts w:cs="Times New Roman"/>
          <w:b/>
          <w:sz w:val="28"/>
          <w:szCs w:val="28"/>
        </w:rPr>
        <w:t>ādītāju datu avotu un metodoloģijas pārskats</w:t>
      </w:r>
    </w:p>
    <w:tbl>
      <w:tblPr>
        <w:tblStyle w:val="TableGrid"/>
        <w:tblW w:w="0" w:type="auto"/>
        <w:tblLook w:val="04A0" w:firstRow="1" w:lastRow="0" w:firstColumn="1" w:lastColumn="0" w:noHBand="0" w:noVBand="1"/>
      </w:tblPr>
      <w:tblGrid>
        <w:gridCol w:w="556"/>
        <w:gridCol w:w="6224"/>
        <w:gridCol w:w="3738"/>
        <w:gridCol w:w="3656"/>
      </w:tblGrid>
      <w:tr w:rsidR="00004AC5" w:rsidRPr="00DE16B2" w:rsidTr="00F53194">
        <w:tc>
          <w:tcPr>
            <w:tcW w:w="534" w:type="dxa"/>
          </w:tcPr>
          <w:p w:rsidR="00004AC5" w:rsidRPr="00DE16B2" w:rsidRDefault="00004AC5" w:rsidP="00F53194">
            <w:pPr>
              <w:rPr>
                <w:rFonts w:cs="Times New Roman"/>
                <w:b/>
              </w:rPr>
            </w:pPr>
            <w:r w:rsidRPr="00DE16B2">
              <w:rPr>
                <w:rFonts w:cs="Times New Roman"/>
                <w:b/>
              </w:rPr>
              <w:t>Nr.</w:t>
            </w:r>
          </w:p>
        </w:tc>
        <w:tc>
          <w:tcPr>
            <w:tcW w:w="6236" w:type="dxa"/>
          </w:tcPr>
          <w:p w:rsidR="00004AC5" w:rsidRPr="00DE16B2" w:rsidRDefault="00004AC5" w:rsidP="00F53194">
            <w:pPr>
              <w:rPr>
                <w:rFonts w:cs="Times New Roman"/>
                <w:b/>
              </w:rPr>
            </w:pPr>
            <w:r w:rsidRPr="00DE16B2">
              <w:rPr>
                <w:rFonts w:cs="Times New Roman"/>
                <w:b/>
              </w:rPr>
              <w:t>Rādītājs</w:t>
            </w:r>
          </w:p>
        </w:tc>
        <w:tc>
          <w:tcPr>
            <w:tcW w:w="3743" w:type="dxa"/>
          </w:tcPr>
          <w:p w:rsidR="00004AC5" w:rsidRPr="00DE16B2" w:rsidRDefault="00004AC5" w:rsidP="00F53194">
            <w:pPr>
              <w:rPr>
                <w:rFonts w:cs="Times New Roman"/>
                <w:b/>
              </w:rPr>
            </w:pPr>
            <w:r w:rsidRPr="00DE16B2">
              <w:rPr>
                <w:rFonts w:cs="Times New Roman"/>
                <w:b/>
              </w:rPr>
              <w:t>Datu avots, gads</w:t>
            </w:r>
          </w:p>
        </w:tc>
        <w:tc>
          <w:tcPr>
            <w:tcW w:w="3661" w:type="dxa"/>
          </w:tcPr>
          <w:p w:rsidR="00004AC5" w:rsidRPr="00DE16B2" w:rsidRDefault="00004AC5" w:rsidP="00F53194">
            <w:pPr>
              <w:rPr>
                <w:rFonts w:cs="Times New Roman"/>
                <w:b/>
              </w:rPr>
            </w:pPr>
            <w:r w:rsidRPr="00DE16B2">
              <w:rPr>
                <w:rFonts w:cs="Times New Roman"/>
                <w:b/>
              </w:rPr>
              <w:t>Metodoloģijas piezīmes</w:t>
            </w:r>
          </w:p>
        </w:tc>
      </w:tr>
      <w:tr w:rsidR="00004AC5" w:rsidRPr="00DE16B2" w:rsidTr="00F53194">
        <w:tc>
          <w:tcPr>
            <w:tcW w:w="534" w:type="dxa"/>
          </w:tcPr>
          <w:p w:rsidR="00004AC5" w:rsidRPr="00DE16B2" w:rsidRDefault="00004AC5" w:rsidP="00004AC5">
            <w:pPr>
              <w:pStyle w:val="ListParagraph"/>
              <w:numPr>
                <w:ilvl w:val="0"/>
                <w:numId w:val="2"/>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Ekonomiski aktīvo individuālo komersantu un komercsabiedrību skaits uz 1000 iedz.</w:t>
            </w:r>
          </w:p>
        </w:tc>
        <w:tc>
          <w:tcPr>
            <w:tcW w:w="3743" w:type="dxa"/>
          </w:tcPr>
          <w:p w:rsidR="00004AC5" w:rsidRPr="00DE16B2" w:rsidRDefault="00004AC5" w:rsidP="00F53194">
            <w:pPr>
              <w:rPr>
                <w:rFonts w:cs="Times New Roman"/>
              </w:rPr>
            </w:pPr>
            <w:r w:rsidRPr="00DE16B2">
              <w:rPr>
                <w:rFonts w:cs="Times New Roman"/>
              </w:rPr>
              <w:t>1)Centrālā statistikas pārvaldes (CSP) provizoriskie dati</w:t>
            </w:r>
            <w:proofErr w:type="gramStart"/>
            <w:r w:rsidRPr="00DE16B2">
              <w:rPr>
                <w:rFonts w:cs="Times New Roman"/>
              </w:rPr>
              <w:t xml:space="preserve">  </w:t>
            </w:r>
            <w:proofErr w:type="gramEnd"/>
            <w:r w:rsidRPr="00DE16B2">
              <w:rPr>
                <w:rFonts w:cs="Times New Roman"/>
              </w:rPr>
              <w:t xml:space="preserve">par ekonomiski aktīvajiem individuālajiem komersantiem un komercsabiedrībām; dati par 2011.g. </w:t>
            </w:r>
          </w:p>
          <w:p w:rsidR="00004AC5" w:rsidRPr="00DE16B2" w:rsidRDefault="00004AC5" w:rsidP="00F53194">
            <w:pPr>
              <w:rPr>
                <w:rFonts w:cs="Times New Roman"/>
              </w:rPr>
            </w:pPr>
            <w:r w:rsidRPr="00DE16B2">
              <w:rPr>
                <w:rFonts w:cs="Times New Roman"/>
              </w:rPr>
              <w:t>2) CSP dati par gada vidējo iedzīvotāju skaitu 2011.g.; pārrēķināti dati pēc tautas skaitīšanas rezultātiem</w:t>
            </w:r>
          </w:p>
          <w:p w:rsidR="00004AC5" w:rsidRPr="00DE16B2" w:rsidRDefault="00004AC5" w:rsidP="00F53194">
            <w:pPr>
              <w:rPr>
                <w:rFonts w:cs="Times New Roman"/>
              </w:rPr>
            </w:pPr>
            <w:r>
              <w:rPr>
                <w:rFonts w:cs="Times New Roman"/>
              </w:rPr>
              <w:t>2) VARAM</w:t>
            </w:r>
            <w:r w:rsidRPr="00DE16B2">
              <w:rPr>
                <w:rFonts w:cs="Times New Roman"/>
              </w:rPr>
              <w:t xml:space="preserve"> aprēķins</w:t>
            </w:r>
          </w:p>
        </w:tc>
        <w:tc>
          <w:tcPr>
            <w:tcW w:w="3661" w:type="dxa"/>
          </w:tcPr>
          <w:p w:rsidR="00004AC5" w:rsidRPr="00DE16B2" w:rsidRDefault="00004AC5" w:rsidP="00F53194">
            <w:pPr>
              <w:rPr>
                <w:rFonts w:cs="Times New Roman"/>
              </w:rPr>
            </w:pPr>
            <w:r w:rsidRPr="00DE16B2">
              <w:rPr>
                <w:rFonts w:cs="Times New Roman"/>
              </w:rPr>
              <w:t>Individuālo komersantu un komercsabiedrību piederība novadam tiek noteikta pēc tā faktiskās darbības vietas</w:t>
            </w:r>
          </w:p>
          <w:p w:rsidR="00004AC5" w:rsidRPr="00DE16B2" w:rsidRDefault="00004AC5" w:rsidP="00F53194">
            <w:pPr>
              <w:rPr>
                <w:rFonts w:cs="Times New Roman"/>
              </w:rPr>
            </w:pPr>
          </w:p>
          <w:p w:rsidR="00004AC5" w:rsidRPr="00DE16B2" w:rsidRDefault="00004AC5" w:rsidP="00F53194">
            <w:pPr>
              <w:rPr>
                <w:rFonts w:cs="Times New Roman"/>
              </w:rPr>
            </w:pPr>
          </w:p>
        </w:tc>
      </w:tr>
      <w:tr w:rsidR="00004AC5" w:rsidRPr="00DE16B2" w:rsidTr="00F53194">
        <w:tc>
          <w:tcPr>
            <w:tcW w:w="534" w:type="dxa"/>
          </w:tcPr>
          <w:p w:rsidR="00004AC5" w:rsidRPr="00DE16B2" w:rsidRDefault="00004AC5" w:rsidP="00004AC5">
            <w:pPr>
              <w:pStyle w:val="ListParagraph"/>
              <w:numPr>
                <w:ilvl w:val="0"/>
                <w:numId w:val="2"/>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Reģistrēto uzņēmumu skaits uz 1000 iedzīvotājiem</w:t>
            </w:r>
          </w:p>
        </w:tc>
        <w:tc>
          <w:tcPr>
            <w:tcW w:w="3743" w:type="dxa"/>
          </w:tcPr>
          <w:p w:rsidR="00004AC5" w:rsidRPr="00DE16B2" w:rsidRDefault="00004AC5" w:rsidP="00F53194">
            <w:pPr>
              <w:rPr>
                <w:rFonts w:cs="Times New Roman"/>
              </w:rPr>
            </w:pPr>
            <w:r w:rsidRPr="00DE16B2">
              <w:rPr>
                <w:rFonts w:cs="Times New Roman"/>
              </w:rPr>
              <w:t>1) Lursoft dati par reģistrētajiem uzņēmumiem; dati par 2011.g.</w:t>
            </w:r>
          </w:p>
          <w:p w:rsidR="00004AC5" w:rsidRPr="00DE16B2" w:rsidRDefault="00004AC5" w:rsidP="00F53194">
            <w:pPr>
              <w:rPr>
                <w:rFonts w:cs="Times New Roman"/>
              </w:rPr>
            </w:pPr>
            <w:r w:rsidRPr="00DE16B2">
              <w:rPr>
                <w:rFonts w:cs="Times New Roman"/>
              </w:rPr>
              <w:t>2) CSP dati par gada vidējo iedzīvotāju skaitu 2011.g.; pārrēķināti dati pēc tautas skaitīšanas rezultātiem</w:t>
            </w:r>
          </w:p>
          <w:p w:rsidR="00004AC5" w:rsidRPr="00DE16B2" w:rsidRDefault="00004AC5" w:rsidP="00F53194">
            <w:pPr>
              <w:rPr>
                <w:rFonts w:cs="Times New Roman"/>
              </w:rPr>
            </w:pPr>
            <w:r>
              <w:rPr>
                <w:rFonts w:cs="Times New Roman"/>
              </w:rPr>
              <w:t>3) VARAM</w:t>
            </w:r>
            <w:r w:rsidRPr="00DE16B2">
              <w:rPr>
                <w:rFonts w:cs="Times New Roman"/>
              </w:rPr>
              <w:t xml:space="preserve"> aprēķins.</w:t>
            </w:r>
          </w:p>
        </w:tc>
        <w:tc>
          <w:tcPr>
            <w:tcW w:w="3661" w:type="dxa"/>
          </w:tcPr>
          <w:p w:rsidR="00004AC5" w:rsidRPr="00DE16B2" w:rsidRDefault="00004AC5" w:rsidP="00F53194">
            <w:pPr>
              <w:rPr>
                <w:rFonts w:cs="Times New Roman"/>
              </w:rPr>
            </w:pPr>
            <w:r w:rsidRPr="00DE16B2">
              <w:rPr>
                <w:rFonts w:cs="Times New Roman"/>
              </w:rPr>
              <w:t>Reģistrēto uzņēmumu piederība novadam tiek noteikta pēc tā juridiskās adreses.</w:t>
            </w:r>
          </w:p>
          <w:p w:rsidR="00004AC5" w:rsidRPr="00DE16B2" w:rsidRDefault="00004AC5" w:rsidP="00F53194">
            <w:pPr>
              <w:rPr>
                <w:rFonts w:cs="Times New Roman"/>
              </w:rPr>
            </w:pPr>
          </w:p>
        </w:tc>
      </w:tr>
      <w:tr w:rsidR="00004AC5" w:rsidRPr="00DE16B2" w:rsidTr="00F53194">
        <w:tc>
          <w:tcPr>
            <w:tcW w:w="534" w:type="dxa"/>
          </w:tcPr>
          <w:p w:rsidR="00004AC5" w:rsidRPr="00DE16B2" w:rsidRDefault="00004AC5" w:rsidP="00004AC5">
            <w:pPr>
              <w:pStyle w:val="ListParagraph"/>
              <w:numPr>
                <w:ilvl w:val="0"/>
                <w:numId w:val="2"/>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Bezdarba līmenis, %</w:t>
            </w:r>
          </w:p>
        </w:tc>
        <w:tc>
          <w:tcPr>
            <w:tcW w:w="3743" w:type="dxa"/>
          </w:tcPr>
          <w:p w:rsidR="00004AC5" w:rsidRPr="00DE16B2" w:rsidRDefault="00004AC5" w:rsidP="00F53194">
            <w:pPr>
              <w:rPr>
                <w:rFonts w:cs="Times New Roman"/>
              </w:rPr>
            </w:pPr>
            <w:r w:rsidRPr="00DE16B2">
              <w:rPr>
                <w:rFonts w:cs="Times New Roman"/>
              </w:rPr>
              <w:t>1) NVA dati par bezdarbnieku skaitu uz 31.12.2011</w:t>
            </w:r>
          </w:p>
          <w:p w:rsidR="00004AC5" w:rsidRPr="00DE16B2" w:rsidRDefault="00004AC5" w:rsidP="00F53194">
            <w:pPr>
              <w:rPr>
                <w:rFonts w:cs="Times New Roman"/>
              </w:rPr>
            </w:pPr>
            <w:r w:rsidRPr="00DE16B2">
              <w:rPr>
                <w:rFonts w:cs="Times New Roman"/>
              </w:rPr>
              <w:t>2) PMLP dati par iedzīvotāju skaitu darbspējas vecumā 01.01.2012</w:t>
            </w:r>
          </w:p>
          <w:p w:rsidR="00004AC5" w:rsidRPr="00DE16B2" w:rsidRDefault="00004AC5" w:rsidP="00F53194">
            <w:pPr>
              <w:rPr>
                <w:rFonts w:cs="Times New Roman"/>
              </w:rPr>
            </w:pPr>
            <w:r w:rsidRPr="00DE16B2">
              <w:rPr>
                <w:rFonts w:cs="Times New Roman"/>
              </w:rPr>
              <w:t>3) VRAA aprēķins</w:t>
            </w:r>
          </w:p>
        </w:tc>
        <w:tc>
          <w:tcPr>
            <w:tcW w:w="3661" w:type="dxa"/>
          </w:tcPr>
          <w:p w:rsidR="00004AC5" w:rsidRPr="00DE16B2" w:rsidRDefault="00004AC5" w:rsidP="00F53194">
            <w:pPr>
              <w:rPr>
                <w:rFonts w:cs="Times New Roman"/>
              </w:rPr>
            </w:pPr>
            <w:r w:rsidRPr="00DE16B2">
              <w:rPr>
                <w:rFonts w:cs="Times New Roman"/>
              </w:rPr>
              <w:t>Bezdarbnieka piederība novadam tiek noteikta pēc tā deklarētās dzīvesvietas.</w:t>
            </w:r>
          </w:p>
          <w:p w:rsidR="00004AC5" w:rsidRPr="00DE16B2" w:rsidRDefault="00004AC5" w:rsidP="00F53194">
            <w:pPr>
              <w:rPr>
                <w:rFonts w:cs="Times New Roman"/>
              </w:rPr>
            </w:pPr>
            <w:r w:rsidRPr="00DE16B2">
              <w:rPr>
                <w:rFonts w:cs="Times New Roman"/>
              </w:rPr>
              <w:t xml:space="preserve">Šeit arī jāņem vērā apstāklis, ka klasiski bezdarba līmenis tiek aprēķināts, bezdarbnieku skaitu </w:t>
            </w:r>
            <w:r w:rsidRPr="00DE16B2">
              <w:rPr>
                <w:rFonts w:cs="Times New Roman"/>
              </w:rPr>
              <w:lastRenderedPageBreak/>
              <w:t xml:space="preserve">attiecinot pret ekonomiski aktīvo iedzīvotāju skaitu. Ņemot vērā, ka CSP ekonomisko aktīvo iedzīvotāju skaitu izlases veidā nosaka tikai reģiona līmenī, tiek izmantots darbspējīgo iedzīvotāju skaits.  </w:t>
            </w:r>
          </w:p>
          <w:p w:rsidR="00004AC5" w:rsidRPr="00DE16B2" w:rsidRDefault="00004AC5" w:rsidP="00F53194">
            <w:pPr>
              <w:rPr>
                <w:rFonts w:cs="Times New Roman"/>
              </w:rPr>
            </w:pPr>
            <w:r w:rsidRPr="00DE16B2">
              <w:rPr>
                <w:rFonts w:cs="Times New Roman"/>
              </w:rPr>
              <w:t>Līdz ar to īpaša uzmanība ir jāpievēršas, izmantojot bezdarba līmeņa statistiku no NVA mājaslapas, jo bezdarba līmenis novada dalījumā tiek aprēķināts pret darbspējīgo iedzīvotāju skaitu, taču bezdarba līmenis reģiona un valsts dalījumā tiek aprēķināts pret ekonomiski aktīvo iedzīvotāju skaitu.</w:t>
            </w:r>
          </w:p>
          <w:p w:rsidR="00004AC5" w:rsidRPr="00DE16B2" w:rsidRDefault="00004AC5" w:rsidP="00F53194">
            <w:pPr>
              <w:rPr>
                <w:rFonts w:cs="Times New Roman"/>
              </w:rPr>
            </w:pPr>
          </w:p>
        </w:tc>
      </w:tr>
      <w:tr w:rsidR="00004AC5" w:rsidRPr="00DE16B2" w:rsidTr="00F53194">
        <w:tc>
          <w:tcPr>
            <w:tcW w:w="534" w:type="dxa"/>
          </w:tcPr>
          <w:p w:rsidR="00004AC5" w:rsidRPr="00DE16B2" w:rsidRDefault="00004AC5" w:rsidP="00004AC5">
            <w:pPr>
              <w:pStyle w:val="ListParagraph"/>
              <w:numPr>
                <w:ilvl w:val="0"/>
                <w:numId w:val="2"/>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Trūcīgo personu īpatsvars iedzīvotāju kopskaitā, %</w:t>
            </w:r>
          </w:p>
        </w:tc>
        <w:tc>
          <w:tcPr>
            <w:tcW w:w="3743" w:type="dxa"/>
          </w:tcPr>
          <w:p w:rsidR="00004AC5" w:rsidRPr="00DE16B2" w:rsidRDefault="00004AC5" w:rsidP="00F53194">
            <w:pPr>
              <w:rPr>
                <w:rFonts w:cs="Times New Roman"/>
              </w:rPr>
            </w:pPr>
            <w:r w:rsidRPr="00DE16B2">
              <w:rPr>
                <w:rFonts w:cs="Times New Roman"/>
              </w:rPr>
              <w:t>1) Labklājības ministrijas dati par trūcīgo personu skaitu; dati par 2011.g.</w:t>
            </w:r>
          </w:p>
          <w:p w:rsidR="00004AC5" w:rsidRPr="00DE16B2" w:rsidRDefault="00004AC5" w:rsidP="00F53194">
            <w:pPr>
              <w:rPr>
                <w:rFonts w:cs="Times New Roman"/>
              </w:rPr>
            </w:pPr>
            <w:r w:rsidRPr="00DE16B2">
              <w:rPr>
                <w:rFonts w:cs="Times New Roman"/>
              </w:rPr>
              <w:t>2) CSP dati par gada vidējo iedzīvotāju skaitu 2011.g.; pārrēķināti dati pēc tautas skaitīšanas rezultātiem</w:t>
            </w:r>
          </w:p>
          <w:p w:rsidR="00004AC5" w:rsidRPr="00DE16B2" w:rsidRDefault="00004AC5" w:rsidP="00F53194">
            <w:pPr>
              <w:rPr>
                <w:rFonts w:cs="Times New Roman"/>
              </w:rPr>
            </w:pPr>
            <w:r>
              <w:rPr>
                <w:rFonts w:cs="Times New Roman"/>
              </w:rPr>
              <w:t>3) VARAM</w:t>
            </w:r>
            <w:r w:rsidRPr="00DE16B2">
              <w:rPr>
                <w:rFonts w:cs="Times New Roman"/>
              </w:rPr>
              <w:t xml:space="preserve"> aprēķins</w:t>
            </w:r>
          </w:p>
          <w:p w:rsidR="00004AC5" w:rsidRPr="00DE16B2" w:rsidRDefault="00004AC5" w:rsidP="00F53194">
            <w:pPr>
              <w:rPr>
                <w:rFonts w:cs="Times New Roman"/>
              </w:rPr>
            </w:pPr>
          </w:p>
        </w:tc>
        <w:tc>
          <w:tcPr>
            <w:tcW w:w="3661" w:type="dxa"/>
          </w:tcPr>
          <w:p w:rsidR="00004AC5" w:rsidRPr="00DE16B2" w:rsidRDefault="00004AC5" w:rsidP="00F53194">
            <w:pPr>
              <w:rPr>
                <w:rFonts w:cs="Times New Roman"/>
              </w:rPr>
            </w:pPr>
            <w:r w:rsidRPr="00DE16B2">
              <w:rPr>
                <w:rFonts w:cs="Times New Roman"/>
              </w:rPr>
              <w:t>Pie trūcīgām personām tiek pieskaitītas personas, kurām gada ietvaros bija spēkā trūcīgas personas statuss un kuras kaut vienu reizi ir saņēmušas kaut vienu pašvaldības pabalstu</w:t>
            </w:r>
            <w:r>
              <w:rPr>
                <w:rFonts w:cs="Times New Roman"/>
              </w:rPr>
              <w:t>. Trūcīgās personas</w:t>
            </w:r>
            <w:r w:rsidRPr="00DE16B2">
              <w:rPr>
                <w:rFonts w:cs="Times New Roman"/>
              </w:rPr>
              <w:t xml:space="preserve"> piederība novadam tiek noteikta pēc tā deklarētās dzīvesvietas.</w:t>
            </w:r>
          </w:p>
          <w:p w:rsidR="00004AC5" w:rsidRPr="00DE16B2" w:rsidRDefault="00004AC5" w:rsidP="00F53194">
            <w:pPr>
              <w:rPr>
                <w:rFonts w:cs="Times New Roman"/>
              </w:rPr>
            </w:pPr>
          </w:p>
        </w:tc>
      </w:tr>
      <w:tr w:rsidR="00004AC5" w:rsidRPr="00DE16B2" w:rsidTr="00F53194">
        <w:tc>
          <w:tcPr>
            <w:tcW w:w="534" w:type="dxa"/>
          </w:tcPr>
          <w:p w:rsidR="00004AC5" w:rsidRPr="00DE16B2" w:rsidRDefault="00004AC5" w:rsidP="00004AC5">
            <w:pPr>
              <w:pStyle w:val="ListParagraph"/>
              <w:numPr>
                <w:ilvl w:val="0"/>
                <w:numId w:val="2"/>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Kopējais noziedzīgo nodarījumu skaits uz 1000 iedzīvotājiem</w:t>
            </w:r>
          </w:p>
        </w:tc>
        <w:tc>
          <w:tcPr>
            <w:tcW w:w="3743" w:type="dxa"/>
          </w:tcPr>
          <w:p w:rsidR="00004AC5" w:rsidRPr="00DE16B2" w:rsidRDefault="00004AC5" w:rsidP="00F53194">
            <w:pPr>
              <w:rPr>
                <w:rFonts w:cs="Times New Roman"/>
              </w:rPr>
            </w:pPr>
            <w:r w:rsidRPr="00DE16B2">
              <w:rPr>
                <w:rFonts w:cs="Times New Roman"/>
              </w:rPr>
              <w:t xml:space="preserve">1) Iekšlietu ministrijas Informācijas </w:t>
            </w:r>
            <w:r w:rsidRPr="00DE16B2">
              <w:rPr>
                <w:rFonts w:cs="Times New Roman"/>
              </w:rPr>
              <w:lastRenderedPageBreak/>
              <w:t>centra dati par kopējo noziedzīgo nodarījumu skaitu; dati par 2010.g.</w:t>
            </w:r>
          </w:p>
          <w:p w:rsidR="00004AC5" w:rsidRPr="00DE16B2" w:rsidRDefault="00004AC5" w:rsidP="00F53194">
            <w:pPr>
              <w:rPr>
                <w:rFonts w:cs="Times New Roman"/>
              </w:rPr>
            </w:pPr>
            <w:r w:rsidRPr="00DE16B2">
              <w:rPr>
                <w:rFonts w:cs="Times New Roman"/>
              </w:rPr>
              <w:t>2) CSP dati par gada vidējo iedzīvotāju skaitu 2010.g.;</w:t>
            </w:r>
            <w:proofErr w:type="gramStart"/>
            <w:r w:rsidRPr="00DE16B2">
              <w:rPr>
                <w:rFonts w:cs="Times New Roman"/>
              </w:rPr>
              <w:t xml:space="preserve">  </w:t>
            </w:r>
            <w:proofErr w:type="gramEnd"/>
            <w:r w:rsidRPr="00DE16B2">
              <w:rPr>
                <w:rFonts w:cs="Times New Roman"/>
              </w:rPr>
              <w:t>vēl nepārrēķināti dati pēc tautas skaitīšanas rezultātiem</w:t>
            </w:r>
          </w:p>
          <w:p w:rsidR="00004AC5" w:rsidRPr="00DE16B2" w:rsidRDefault="00004AC5" w:rsidP="00F53194">
            <w:pPr>
              <w:rPr>
                <w:rFonts w:cs="Times New Roman"/>
              </w:rPr>
            </w:pPr>
            <w:r>
              <w:rPr>
                <w:rFonts w:cs="Times New Roman"/>
              </w:rPr>
              <w:t>3)VARAM</w:t>
            </w:r>
            <w:r w:rsidRPr="00DE16B2">
              <w:rPr>
                <w:rFonts w:cs="Times New Roman"/>
              </w:rPr>
              <w:t xml:space="preserve"> aprēķins</w:t>
            </w:r>
          </w:p>
          <w:p w:rsidR="00004AC5" w:rsidRPr="00DE16B2" w:rsidRDefault="00004AC5" w:rsidP="00F53194">
            <w:pPr>
              <w:rPr>
                <w:rFonts w:cs="Times New Roman"/>
                <w:i/>
              </w:rPr>
            </w:pPr>
          </w:p>
        </w:tc>
        <w:tc>
          <w:tcPr>
            <w:tcW w:w="3661" w:type="dxa"/>
          </w:tcPr>
          <w:p w:rsidR="00004AC5" w:rsidRPr="00DE16B2" w:rsidRDefault="00004AC5" w:rsidP="00F53194">
            <w:pPr>
              <w:rPr>
                <w:rFonts w:cs="Times New Roman"/>
              </w:rPr>
            </w:pPr>
            <w:r w:rsidRPr="00DE16B2">
              <w:rPr>
                <w:rFonts w:cs="Times New Roman"/>
              </w:rPr>
              <w:lastRenderedPageBreak/>
              <w:t xml:space="preserve">Tiek ņemts vērā kopējais </w:t>
            </w:r>
            <w:r w:rsidRPr="00DE16B2">
              <w:rPr>
                <w:rFonts w:cs="Times New Roman"/>
              </w:rPr>
              <w:lastRenderedPageBreak/>
              <w:t>noziedzīgo nodarījumu skaits, neizdalot kādu īpašu noziedzīgo nodarījumu.</w:t>
            </w:r>
          </w:p>
        </w:tc>
      </w:tr>
      <w:tr w:rsidR="00004AC5" w:rsidRPr="00DE16B2" w:rsidTr="00F53194">
        <w:tc>
          <w:tcPr>
            <w:tcW w:w="534" w:type="dxa"/>
          </w:tcPr>
          <w:p w:rsidR="00004AC5" w:rsidRPr="00DE16B2" w:rsidRDefault="00004AC5" w:rsidP="00004AC5">
            <w:pPr>
              <w:pStyle w:val="ListParagraph"/>
              <w:numPr>
                <w:ilvl w:val="0"/>
                <w:numId w:val="2"/>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Dabiskās kustības saldo uz 1000 iedzīvotājiem</w:t>
            </w:r>
          </w:p>
        </w:tc>
        <w:tc>
          <w:tcPr>
            <w:tcW w:w="3743" w:type="dxa"/>
          </w:tcPr>
          <w:p w:rsidR="00004AC5" w:rsidRPr="00DE16B2" w:rsidRDefault="00004AC5" w:rsidP="00F53194">
            <w:pPr>
              <w:rPr>
                <w:rFonts w:cs="Times New Roman"/>
              </w:rPr>
            </w:pPr>
            <w:r w:rsidRPr="00DE16B2">
              <w:rPr>
                <w:rFonts w:cs="Times New Roman"/>
              </w:rPr>
              <w:t>1) CSP dati par dabiskās kustības saldo; dati par 2011.g.; vēl nepārrēķināti dati pēc tautas skaitīšanas rezultātiem</w:t>
            </w:r>
          </w:p>
          <w:p w:rsidR="00004AC5" w:rsidRPr="00DE16B2" w:rsidRDefault="00004AC5" w:rsidP="00F53194">
            <w:pPr>
              <w:rPr>
                <w:rFonts w:cs="Times New Roman"/>
              </w:rPr>
            </w:pPr>
            <w:r w:rsidRPr="00DE16B2">
              <w:rPr>
                <w:rFonts w:cs="Times New Roman"/>
              </w:rPr>
              <w:t>2) CSP dati par gada vidējo iedzīvotāju skaitu 2011.g.; pārrēķināti dati pēc tautas skaitīšanas rezultātiem</w:t>
            </w:r>
          </w:p>
          <w:p w:rsidR="00004AC5" w:rsidRDefault="00004AC5" w:rsidP="00F53194">
            <w:pPr>
              <w:rPr>
                <w:rFonts w:cs="Times New Roman"/>
              </w:rPr>
            </w:pPr>
            <w:r>
              <w:rPr>
                <w:rFonts w:cs="Times New Roman"/>
              </w:rPr>
              <w:t>3) VARAM</w:t>
            </w:r>
            <w:r w:rsidRPr="00DE16B2">
              <w:rPr>
                <w:rFonts w:cs="Times New Roman"/>
              </w:rPr>
              <w:t xml:space="preserve"> aprēķins</w:t>
            </w:r>
          </w:p>
          <w:p w:rsidR="00004AC5" w:rsidRPr="00DE16B2" w:rsidRDefault="00004AC5" w:rsidP="00F53194">
            <w:pPr>
              <w:rPr>
                <w:rFonts w:cs="Times New Roman"/>
              </w:rPr>
            </w:pPr>
          </w:p>
        </w:tc>
        <w:tc>
          <w:tcPr>
            <w:tcW w:w="3661" w:type="dxa"/>
          </w:tcPr>
          <w:p w:rsidR="00004AC5" w:rsidRPr="00DE16B2" w:rsidRDefault="00004AC5" w:rsidP="00F53194">
            <w:pPr>
              <w:rPr>
                <w:rFonts w:cs="Times New Roman"/>
              </w:rPr>
            </w:pPr>
          </w:p>
        </w:tc>
      </w:tr>
      <w:tr w:rsidR="00004AC5" w:rsidRPr="00DE16B2" w:rsidTr="00F53194">
        <w:tc>
          <w:tcPr>
            <w:tcW w:w="534" w:type="dxa"/>
          </w:tcPr>
          <w:p w:rsidR="00004AC5" w:rsidRPr="00DE16B2" w:rsidRDefault="00004AC5" w:rsidP="00004AC5">
            <w:pPr>
              <w:pStyle w:val="ListParagraph"/>
              <w:numPr>
                <w:ilvl w:val="0"/>
                <w:numId w:val="2"/>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Ilgtermiņa migrācijas saldo uz 1000 iedzīvotājiem</w:t>
            </w:r>
          </w:p>
        </w:tc>
        <w:tc>
          <w:tcPr>
            <w:tcW w:w="3743" w:type="dxa"/>
          </w:tcPr>
          <w:p w:rsidR="00004AC5" w:rsidRPr="00DE16B2" w:rsidRDefault="00004AC5" w:rsidP="00F53194">
            <w:pPr>
              <w:rPr>
                <w:rFonts w:cs="Times New Roman"/>
              </w:rPr>
            </w:pPr>
            <w:r w:rsidRPr="00DE16B2">
              <w:rPr>
                <w:rFonts w:cs="Times New Roman"/>
              </w:rPr>
              <w:t>1) CSP dati par dabiskās kustības saldo; dati par 2010.g.; vēl nepārrēķināti dati pēc tautas skaitīšanas rezultātiem</w:t>
            </w:r>
          </w:p>
          <w:p w:rsidR="00004AC5" w:rsidRPr="00DE16B2" w:rsidRDefault="00004AC5" w:rsidP="00F53194">
            <w:pPr>
              <w:rPr>
                <w:rFonts w:cs="Times New Roman"/>
              </w:rPr>
            </w:pPr>
            <w:r w:rsidRPr="00DE16B2">
              <w:rPr>
                <w:rFonts w:cs="Times New Roman"/>
              </w:rPr>
              <w:t>2) CSP dati par gada vidējo iedzīvotāju skaitu 2010.g.; vēl nepārrēķināti dati pēc tautas skaitīšanas rezultātiem</w:t>
            </w:r>
          </w:p>
          <w:p w:rsidR="00004AC5" w:rsidRPr="00DE16B2" w:rsidRDefault="00004AC5" w:rsidP="00F53194">
            <w:pPr>
              <w:rPr>
                <w:rFonts w:cs="Times New Roman"/>
              </w:rPr>
            </w:pPr>
            <w:r>
              <w:rPr>
                <w:rFonts w:cs="Times New Roman"/>
              </w:rPr>
              <w:t>3) VARAM</w:t>
            </w:r>
            <w:r w:rsidRPr="00DE16B2">
              <w:rPr>
                <w:rFonts w:cs="Times New Roman"/>
              </w:rPr>
              <w:t xml:space="preserve"> aprēķins</w:t>
            </w:r>
          </w:p>
        </w:tc>
        <w:tc>
          <w:tcPr>
            <w:tcW w:w="3661" w:type="dxa"/>
          </w:tcPr>
          <w:p w:rsidR="00004AC5" w:rsidRPr="00DE16B2" w:rsidRDefault="00004AC5" w:rsidP="00F53194">
            <w:pPr>
              <w:rPr>
                <w:rFonts w:cs="Times New Roman"/>
              </w:rPr>
            </w:pPr>
            <w:r w:rsidRPr="00DE16B2">
              <w:rPr>
                <w:rFonts w:cs="Times New Roman"/>
              </w:rPr>
              <w:t>Ilgtermiņa migrācijas rādītājā tiek ņemta vērā gan starptautiskā ilgtermiņa migrācija, gan iekšzemes ilgtermiņa migrācija. Persona tiek uzskatīta par emigrējušu vai imigrējušu,</w:t>
            </w:r>
            <w:proofErr w:type="gramStart"/>
            <w:r w:rsidRPr="00DE16B2">
              <w:rPr>
                <w:rFonts w:cs="Times New Roman"/>
              </w:rPr>
              <w:t xml:space="preserve">  </w:t>
            </w:r>
            <w:proofErr w:type="gramEnd"/>
            <w:r w:rsidRPr="00DE16B2">
              <w:rPr>
                <w:rFonts w:cs="Times New Roman"/>
              </w:rPr>
              <w:t xml:space="preserve">ja tā attiecīgajā teritorijā pastāvīgas dzīvesvietas nolūkā apmetas ilgāk par 1 gadu. Iekšzemes ilgtermiņa migrācijā tiek ņemta personu pārvietošanās starp </w:t>
            </w:r>
            <w:r w:rsidRPr="00DE16B2">
              <w:rPr>
                <w:rFonts w:cs="Times New Roman"/>
              </w:rPr>
              <w:lastRenderedPageBreak/>
              <w:t>administratīvām teritorijām.</w:t>
            </w:r>
          </w:p>
        </w:tc>
      </w:tr>
      <w:tr w:rsidR="00004AC5" w:rsidRPr="00DE16B2" w:rsidTr="00F53194">
        <w:tc>
          <w:tcPr>
            <w:tcW w:w="534" w:type="dxa"/>
          </w:tcPr>
          <w:p w:rsidR="00004AC5" w:rsidRPr="00DE16B2" w:rsidRDefault="00004AC5" w:rsidP="00004AC5">
            <w:pPr>
              <w:pStyle w:val="ListParagraph"/>
              <w:numPr>
                <w:ilvl w:val="0"/>
                <w:numId w:val="2"/>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Iedzīvotāju skaits virs darbspējas vecuma uz 1000 darbspējas vecuma iedzīvotājiem (demogrāfiskā slodze jeb vecuma demogrāfiskā atkarība)</w:t>
            </w:r>
          </w:p>
        </w:tc>
        <w:tc>
          <w:tcPr>
            <w:tcW w:w="3743" w:type="dxa"/>
          </w:tcPr>
          <w:p w:rsidR="00004AC5" w:rsidRPr="00DE16B2" w:rsidRDefault="00004AC5" w:rsidP="00F53194">
            <w:pPr>
              <w:rPr>
                <w:rFonts w:cs="Times New Roman"/>
              </w:rPr>
            </w:pPr>
            <w:r w:rsidRPr="00DE16B2">
              <w:rPr>
                <w:rFonts w:cs="Times New Roman"/>
              </w:rPr>
              <w:t>1) PMLP dati par iedzīvotāju skaitu virs darbspējas vecuma un darbspējas vecuma iedzīvotājiem uz 01.01.2012</w:t>
            </w:r>
          </w:p>
          <w:p w:rsidR="00004AC5" w:rsidRPr="00DE16B2" w:rsidRDefault="00004AC5" w:rsidP="00F53194">
            <w:pPr>
              <w:rPr>
                <w:rFonts w:cs="Times New Roman"/>
              </w:rPr>
            </w:pPr>
            <w:r>
              <w:rPr>
                <w:rFonts w:cs="Times New Roman"/>
              </w:rPr>
              <w:t>2) VARAM</w:t>
            </w:r>
            <w:r w:rsidRPr="00DE16B2">
              <w:rPr>
                <w:rFonts w:cs="Times New Roman"/>
              </w:rPr>
              <w:t xml:space="preserve"> aprēķins</w:t>
            </w:r>
          </w:p>
        </w:tc>
        <w:tc>
          <w:tcPr>
            <w:tcW w:w="3661" w:type="dxa"/>
          </w:tcPr>
          <w:p w:rsidR="00004AC5" w:rsidRPr="00DE16B2" w:rsidRDefault="00004AC5" w:rsidP="00F53194">
            <w:pPr>
              <w:rPr>
                <w:rFonts w:cs="Times New Roman"/>
              </w:rPr>
            </w:pPr>
          </w:p>
        </w:tc>
      </w:tr>
      <w:tr w:rsidR="00004AC5" w:rsidRPr="00DE16B2" w:rsidTr="00F53194">
        <w:tc>
          <w:tcPr>
            <w:tcW w:w="534" w:type="dxa"/>
          </w:tcPr>
          <w:p w:rsidR="00004AC5" w:rsidRPr="00DE16B2" w:rsidRDefault="00004AC5" w:rsidP="00004AC5">
            <w:pPr>
              <w:pStyle w:val="ListParagraph"/>
              <w:numPr>
                <w:ilvl w:val="0"/>
                <w:numId w:val="2"/>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Iedzīvotāju ienākumu nodoklis uz 1.iedz. LVL</w:t>
            </w:r>
          </w:p>
        </w:tc>
        <w:tc>
          <w:tcPr>
            <w:tcW w:w="3743" w:type="dxa"/>
          </w:tcPr>
          <w:p w:rsidR="00004AC5" w:rsidRPr="00DE16B2" w:rsidRDefault="00004AC5" w:rsidP="00F53194">
            <w:pPr>
              <w:rPr>
                <w:rFonts w:cs="Times New Roman"/>
              </w:rPr>
            </w:pPr>
            <w:r w:rsidRPr="00DE16B2">
              <w:rPr>
                <w:rFonts w:cs="Times New Roman"/>
              </w:rPr>
              <w:t>1) Valsts ieņēmuma dienesta dati par pārskata periodā faktiski ieturēto iedzīvotāju ienākuma</w:t>
            </w:r>
            <w:proofErr w:type="gramStart"/>
            <w:r w:rsidRPr="00DE16B2">
              <w:rPr>
                <w:rFonts w:cs="Times New Roman"/>
              </w:rPr>
              <w:t xml:space="preserve">  </w:t>
            </w:r>
            <w:proofErr w:type="gramEnd"/>
            <w:r w:rsidRPr="00DE16B2">
              <w:rPr>
                <w:rFonts w:cs="Times New Roman"/>
              </w:rPr>
              <w:t>nodokļa summu; dati par 2011.g.</w:t>
            </w:r>
          </w:p>
          <w:p w:rsidR="00004AC5" w:rsidRPr="00DE16B2" w:rsidRDefault="00004AC5" w:rsidP="00F53194">
            <w:pPr>
              <w:rPr>
                <w:rFonts w:cs="Times New Roman"/>
              </w:rPr>
            </w:pPr>
            <w:r w:rsidRPr="00DE16B2">
              <w:rPr>
                <w:rFonts w:cs="Times New Roman"/>
              </w:rPr>
              <w:t>2) PMLP dati par iedzīvotāju skaitu uz 01.01.2012.</w:t>
            </w:r>
          </w:p>
          <w:p w:rsidR="00004AC5" w:rsidRPr="00DE16B2" w:rsidRDefault="00004AC5" w:rsidP="00F53194">
            <w:pPr>
              <w:rPr>
                <w:rFonts w:cs="Times New Roman"/>
              </w:rPr>
            </w:pPr>
            <w:r>
              <w:rPr>
                <w:rFonts w:cs="Times New Roman"/>
              </w:rPr>
              <w:t>3) VARAM</w:t>
            </w:r>
            <w:r w:rsidRPr="00DE16B2">
              <w:rPr>
                <w:rFonts w:cs="Times New Roman"/>
              </w:rPr>
              <w:t xml:space="preserve"> aprēķins</w:t>
            </w:r>
          </w:p>
        </w:tc>
        <w:tc>
          <w:tcPr>
            <w:tcW w:w="3661" w:type="dxa"/>
          </w:tcPr>
          <w:p w:rsidR="00004AC5" w:rsidRPr="00DE16B2" w:rsidRDefault="00004AC5" w:rsidP="00F53194">
            <w:pPr>
              <w:rPr>
                <w:rFonts w:cs="Times New Roman"/>
              </w:rPr>
            </w:pPr>
            <w:r>
              <w:rPr>
                <w:rFonts w:cs="Times New Roman"/>
              </w:rPr>
              <w:t>Dati, ko Valsts ieņēmumu dienests</w:t>
            </w:r>
            <w:r w:rsidRPr="00DE16B2">
              <w:rPr>
                <w:rFonts w:cs="Times New Roman"/>
              </w:rPr>
              <w:t xml:space="preserve"> sagatavo atbilstoši </w:t>
            </w:r>
            <w:r>
              <w:rPr>
                <w:rFonts w:cs="Times New Roman"/>
              </w:rPr>
              <w:t>MK 14.11.2000.</w:t>
            </w:r>
            <w:r w:rsidRPr="00436188">
              <w:rPr>
                <w:rFonts w:cs="Times New Roman"/>
              </w:rPr>
              <w:t xml:space="preserve"> noteikumiem Nr.390</w:t>
            </w:r>
            <w:r w:rsidRPr="00DE16B2">
              <w:rPr>
                <w:rFonts w:cs="Times New Roman"/>
              </w:rPr>
              <w:t xml:space="preserve"> „Kārtība, kādā Valsts ieņēmumu dienests sniedz pašvaldībām informāciju par iedzīvotāju ienākuma nodokļa maksājumiem”.</w:t>
            </w:r>
          </w:p>
          <w:p w:rsidR="00004AC5" w:rsidRPr="00DE16B2" w:rsidRDefault="00004AC5" w:rsidP="00F53194">
            <w:pPr>
              <w:rPr>
                <w:rFonts w:cs="Times New Roman"/>
              </w:rPr>
            </w:pPr>
          </w:p>
        </w:tc>
      </w:tr>
      <w:tr w:rsidR="00004AC5" w:rsidRPr="00DE16B2" w:rsidTr="00F53194">
        <w:tc>
          <w:tcPr>
            <w:tcW w:w="534" w:type="dxa"/>
          </w:tcPr>
          <w:p w:rsidR="00004AC5" w:rsidRPr="00DE16B2" w:rsidRDefault="00004AC5" w:rsidP="00004AC5">
            <w:pPr>
              <w:pStyle w:val="ListParagraph"/>
              <w:numPr>
                <w:ilvl w:val="0"/>
                <w:numId w:val="2"/>
              </w:numPr>
              <w:spacing w:before="0" w:after="0"/>
              <w:contextualSpacing/>
            </w:pPr>
          </w:p>
        </w:tc>
        <w:tc>
          <w:tcPr>
            <w:tcW w:w="6236" w:type="dxa"/>
          </w:tcPr>
          <w:p w:rsidR="00004AC5" w:rsidRPr="00DE16B2" w:rsidRDefault="00004AC5" w:rsidP="00F53194">
            <w:pPr>
              <w:rPr>
                <w:rFonts w:cs="Times New Roman"/>
              </w:rPr>
            </w:pPr>
            <w:r w:rsidRPr="00DE16B2">
              <w:rPr>
                <w:rFonts w:cs="Times New Roman"/>
              </w:rPr>
              <w:t>Izlīdzinātie nodokļu ieņēmumi</w:t>
            </w:r>
            <w:r>
              <w:rPr>
                <w:rFonts w:cs="Times New Roman"/>
              </w:rPr>
              <w:t xml:space="preserve"> pašvaldības budžetā</w:t>
            </w:r>
            <w:r w:rsidRPr="00DE16B2">
              <w:rPr>
                <w:rFonts w:cs="Times New Roman"/>
              </w:rPr>
              <w:t xml:space="preserve"> uz 1.iedz. LVL</w:t>
            </w:r>
          </w:p>
        </w:tc>
        <w:tc>
          <w:tcPr>
            <w:tcW w:w="3743" w:type="dxa"/>
          </w:tcPr>
          <w:p w:rsidR="00004AC5" w:rsidRPr="00DE16B2" w:rsidRDefault="00004AC5" w:rsidP="00F53194">
            <w:pPr>
              <w:rPr>
                <w:rFonts w:cs="Times New Roman"/>
              </w:rPr>
            </w:pPr>
            <w:r w:rsidRPr="00DE16B2">
              <w:rPr>
                <w:rFonts w:cs="Times New Roman"/>
              </w:rPr>
              <w:t>1) Valsts kases dati par nodokļu ieņēmumiem; dati par 2011.g.</w:t>
            </w:r>
          </w:p>
          <w:p w:rsidR="00004AC5" w:rsidRPr="00DE16B2" w:rsidRDefault="00004AC5" w:rsidP="00F53194">
            <w:pPr>
              <w:rPr>
                <w:rFonts w:cs="Times New Roman"/>
              </w:rPr>
            </w:pPr>
            <w:r w:rsidRPr="00DE16B2">
              <w:rPr>
                <w:rFonts w:cs="Times New Roman"/>
              </w:rPr>
              <w:t>2) PMLP dati par iedzīvotāju skaitu uz 01.01.2012.</w:t>
            </w:r>
          </w:p>
          <w:p w:rsidR="00004AC5" w:rsidRPr="00DE16B2" w:rsidRDefault="00004AC5" w:rsidP="00F53194">
            <w:pPr>
              <w:rPr>
                <w:rFonts w:cs="Times New Roman"/>
              </w:rPr>
            </w:pPr>
            <w:r>
              <w:rPr>
                <w:rFonts w:cs="Times New Roman"/>
              </w:rPr>
              <w:t>3) VARAM</w:t>
            </w:r>
            <w:r w:rsidRPr="00DE16B2">
              <w:rPr>
                <w:rFonts w:cs="Times New Roman"/>
              </w:rPr>
              <w:t xml:space="preserve"> aprēķins</w:t>
            </w:r>
          </w:p>
          <w:p w:rsidR="00004AC5" w:rsidRPr="00DE16B2" w:rsidRDefault="00004AC5" w:rsidP="00F53194">
            <w:pPr>
              <w:rPr>
                <w:rFonts w:cs="Times New Roman"/>
              </w:rPr>
            </w:pPr>
          </w:p>
        </w:tc>
        <w:tc>
          <w:tcPr>
            <w:tcW w:w="3661" w:type="dxa"/>
          </w:tcPr>
          <w:p w:rsidR="00004AC5" w:rsidRPr="00DE16B2" w:rsidRDefault="00004AC5" w:rsidP="00F53194">
            <w:pPr>
              <w:rPr>
                <w:rFonts w:cs="Times New Roman"/>
              </w:rPr>
            </w:pPr>
            <w:r w:rsidRPr="00DE16B2">
              <w:rPr>
                <w:rFonts w:cs="Times New Roman"/>
              </w:rPr>
              <w:t>Ar izlīdzinātajiem nodokļu ieņēmumiem tiek saprasti nodokļu ieņēmumi pašvaldības budžetā, pieskaitot dotāciju vai atņemot iemaksu Pašvaldību finanšu izlīdzināšanas fondā</w:t>
            </w:r>
            <w:r>
              <w:rPr>
                <w:rFonts w:cs="Times New Roman"/>
              </w:rPr>
              <w:t>.</w:t>
            </w:r>
            <w:r w:rsidRPr="00DE16B2">
              <w:rPr>
                <w:rFonts w:cs="Times New Roman"/>
              </w:rPr>
              <w:t xml:space="preserve"> </w:t>
            </w:r>
          </w:p>
        </w:tc>
      </w:tr>
    </w:tbl>
    <w:p w:rsidR="0094023D" w:rsidRDefault="001428AE"/>
    <w:p w:rsidR="00004AC5" w:rsidRPr="00A047B4" w:rsidRDefault="00004AC5" w:rsidP="00004AC5">
      <w:pPr>
        <w:spacing w:after="0" w:line="240" w:lineRule="auto"/>
        <w:rPr>
          <w:rFonts w:eastAsia="Times New Roman" w:cs="Times New Roman"/>
          <w:szCs w:val="24"/>
        </w:rPr>
      </w:pPr>
      <w:r w:rsidRPr="00A047B4">
        <w:rPr>
          <w:rFonts w:eastAsia="Times New Roman" w:cs="Times New Roman"/>
          <w:szCs w:val="24"/>
        </w:rPr>
        <w:t>Iesniedzējs:</w:t>
      </w:r>
    </w:p>
    <w:p w:rsidR="00004AC5" w:rsidRPr="00A047B4" w:rsidRDefault="00004AC5" w:rsidP="00004AC5">
      <w:pPr>
        <w:spacing w:after="0" w:line="240" w:lineRule="auto"/>
        <w:rPr>
          <w:rFonts w:eastAsia="Times New Roman" w:cs="Times New Roman"/>
          <w:szCs w:val="24"/>
        </w:rPr>
      </w:pPr>
      <w:r w:rsidRPr="00A047B4">
        <w:rPr>
          <w:rFonts w:eastAsia="Times New Roman" w:cs="Times New Roman"/>
          <w:szCs w:val="24"/>
        </w:rPr>
        <w:t xml:space="preserve">Vides aizsardzības un reģionālās </w:t>
      </w:r>
    </w:p>
    <w:p w:rsidR="00004AC5" w:rsidRPr="00A047B4" w:rsidRDefault="00004AC5" w:rsidP="00004AC5">
      <w:pPr>
        <w:spacing w:after="0" w:line="240" w:lineRule="auto"/>
        <w:rPr>
          <w:rFonts w:eastAsia="Times New Roman" w:cs="Times New Roman"/>
          <w:szCs w:val="24"/>
        </w:rPr>
      </w:pPr>
      <w:r w:rsidRPr="00A047B4">
        <w:rPr>
          <w:rFonts w:eastAsia="Times New Roman" w:cs="Times New Roman"/>
          <w:szCs w:val="24"/>
        </w:rPr>
        <w:t>attīstības ministrs</w:t>
      </w:r>
      <w:r w:rsidRPr="00A047B4">
        <w:rPr>
          <w:rFonts w:eastAsia="Times New Roman" w:cs="Times New Roman"/>
          <w:szCs w:val="24"/>
        </w:rPr>
        <w:tab/>
      </w:r>
      <w:r w:rsidRPr="00A047B4">
        <w:rPr>
          <w:rFonts w:eastAsia="Times New Roman" w:cs="Times New Roman"/>
          <w:szCs w:val="24"/>
        </w:rPr>
        <w:tab/>
      </w:r>
      <w:r w:rsidRPr="00A047B4">
        <w:rPr>
          <w:rFonts w:eastAsia="Times New Roman" w:cs="Times New Roman"/>
          <w:szCs w:val="24"/>
        </w:rPr>
        <w:tab/>
      </w:r>
      <w:r w:rsidRPr="00A047B4">
        <w:rPr>
          <w:rFonts w:eastAsia="Times New Roman" w:cs="Times New Roman"/>
          <w:szCs w:val="24"/>
        </w:rPr>
        <w:tab/>
      </w:r>
      <w:r w:rsidRPr="00A047B4">
        <w:rPr>
          <w:rFonts w:eastAsia="Times New Roman" w:cs="Times New Roman"/>
          <w:szCs w:val="24"/>
        </w:rPr>
        <w:tab/>
      </w:r>
      <w:r w:rsidRPr="00A047B4">
        <w:rPr>
          <w:rFonts w:eastAsia="Times New Roman" w:cs="Times New Roman"/>
          <w:szCs w:val="24"/>
        </w:rPr>
        <w:tab/>
      </w:r>
      <w:r w:rsidRPr="00A047B4">
        <w:rPr>
          <w:rFonts w:eastAsia="Times New Roman" w:cs="Times New Roman"/>
          <w:szCs w:val="24"/>
        </w:rPr>
        <w:tab/>
      </w:r>
      <w:r w:rsidRPr="00A047B4">
        <w:rPr>
          <w:rFonts w:eastAsia="Times New Roman" w:cs="Times New Roman"/>
          <w:szCs w:val="24"/>
        </w:rPr>
        <w:tab/>
      </w:r>
      <w:proofErr w:type="gramStart"/>
      <w:r>
        <w:rPr>
          <w:rFonts w:eastAsia="Times New Roman" w:cs="Times New Roman"/>
          <w:szCs w:val="24"/>
        </w:rPr>
        <w:t xml:space="preserve">                                                                                     </w:t>
      </w:r>
      <w:proofErr w:type="spellStart"/>
      <w:proofErr w:type="gramEnd"/>
      <w:r w:rsidRPr="00A047B4">
        <w:rPr>
          <w:rFonts w:eastAsia="Times New Roman" w:cs="Times New Roman"/>
          <w:szCs w:val="24"/>
        </w:rPr>
        <w:t>E.Sprūdžs</w:t>
      </w:r>
      <w:proofErr w:type="spellEnd"/>
      <w:r w:rsidRPr="00A047B4">
        <w:rPr>
          <w:rFonts w:eastAsia="Times New Roman" w:cs="Times New Roman"/>
          <w:szCs w:val="24"/>
        </w:rPr>
        <w:tab/>
      </w:r>
    </w:p>
    <w:p w:rsidR="00004AC5" w:rsidRPr="00A047B4" w:rsidRDefault="00004AC5" w:rsidP="00004AC5">
      <w:pPr>
        <w:spacing w:after="0" w:line="240" w:lineRule="auto"/>
        <w:rPr>
          <w:rFonts w:eastAsia="Times New Roman" w:cs="Times New Roman"/>
          <w:szCs w:val="24"/>
        </w:rPr>
      </w:pPr>
    </w:p>
    <w:p w:rsidR="00004AC5" w:rsidRPr="00A047B4" w:rsidRDefault="00004AC5" w:rsidP="00004AC5">
      <w:pPr>
        <w:spacing w:after="0" w:line="240" w:lineRule="auto"/>
        <w:rPr>
          <w:rFonts w:eastAsia="Times New Roman" w:cs="Times New Roman"/>
          <w:szCs w:val="24"/>
        </w:rPr>
      </w:pPr>
      <w:r w:rsidRPr="00A047B4">
        <w:rPr>
          <w:rFonts w:eastAsia="Times New Roman" w:cs="Times New Roman"/>
          <w:szCs w:val="24"/>
        </w:rPr>
        <w:t>Vīza:</w:t>
      </w:r>
    </w:p>
    <w:p w:rsidR="00004AC5" w:rsidRPr="00A047B4" w:rsidRDefault="00004AC5" w:rsidP="00004AC5">
      <w:pPr>
        <w:spacing w:after="0" w:line="240" w:lineRule="auto"/>
        <w:rPr>
          <w:rFonts w:eastAsia="Times New Roman" w:cs="Times New Roman"/>
          <w:szCs w:val="24"/>
        </w:rPr>
      </w:pPr>
      <w:r w:rsidRPr="00A047B4">
        <w:rPr>
          <w:rFonts w:eastAsia="Times New Roman" w:cs="Times New Roman"/>
          <w:szCs w:val="24"/>
        </w:rPr>
        <w:t xml:space="preserve">Vides aizsardzības un reģionālās </w:t>
      </w:r>
    </w:p>
    <w:p w:rsidR="00004AC5" w:rsidRPr="00A047B4" w:rsidRDefault="00004AC5" w:rsidP="00004AC5">
      <w:pPr>
        <w:spacing w:after="0" w:line="240" w:lineRule="auto"/>
        <w:rPr>
          <w:rFonts w:eastAsia="Times New Roman" w:cs="Times New Roman"/>
          <w:szCs w:val="24"/>
        </w:rPr>
      </w:pPr>
      <w:r w:rsidRPr="00A047B4">
        <w:rPr>
          <w:rFonts w:eastAsia="Times New Roman" w:cs="Times New Roman"/>
          <w:szCs w:val="24"/>
        </w:rPr>
        <w:t>attīstības ministrijas valsts sekretārs</w:t>
      </w:r>
      <w:r w:rsidRPr="00A047B4">
        <w:rPr>
          <w:rFonts w:eastAsia="Times New Roman" w:cs="Times New Roman"/>
          <w:szCs w:val="24"/>
        </w:rPr>
        <w:tab/>
      </w:r>
      <w:r w:rsidRPr="00A047B4">
        <w:rPr>
          <w:rFonts w:eastAsia="Times New Roman" w:cs="Times New Roman"/>
          <w:szCs w:val="24"/>
        </w:rPr>
        <w:tab/>
      </w:r>
      <w:r w:rsidRPr="00A047B4">
        <w:rPr>
          <w:rFonts w:eastAsia="Times New Roman" w:cs="Times New Roman"/>
          <w:szCs w:val="24"/>
        </w:rPr>
        <w:tab/>
      </w:r>
      <w:r w:rsidRPr="00A047B4">
        <w:rPr>
          <w:rFonts w:eastAsia="Times New Roman" w:cs="Times New Roman"/>
          <w:szCs w:val="24"/>
        </w:rPr>
        <w:tab/>
      </w:r>
      <w:r w:rsidRPr="00A047B4">
        <w:rPr>
          <w:rFonts w:eastAsia="Times New Roman" w:cs="Times New Roman"/>
          <w:szCs w:val="24"/>
        </w:rPr>
        <w:tab/>
      </w:r>
      <w:proofErr w:type="gramStart"/>
      <w:r w:rsidRPr="00A047B4">
        <w:rPr>
          <w:rFonts w:eastAsia="Times New Roman" w:cs="Times New Roman"/>
          <w:szCs w:val="24"/>
        </w:rPr>
        <w:t xml:space="preserve">        </w:t>
      </w:r>
      <w:r>
        <w:rPr>
          <w:rFonts w:eastAsia="Times New Roman" w:cs="Times New Roman"/>
          <w:szCs w:val="24"/>
        </w:rPr>
        <w:t xml:space="preserve">                                                                                      </w:t>
      </w:r>
      <w:proofErr w:type="gramEnd"/>
      <w:r w:rsidRPr="00A047B4">
        <w:rPr>
          <w:rFonts w:eastAsia="Times New Roman" w:cs="Times New Roman"/>
          <w:szCs w:val="24"/>
        </w:rPr>
        <w:t>A.Antonovs</w:t>
      </w:r>
    </w:p>
    <w:p w:rsidR="00004AC5" w:rsidRPr="00A047B4" w:rsidRDefault="00004AC5" w:rsidP="00004AC5">
      <w:pPr>
        <w:spacing w:after="0" w:line="360" w:lineRule="auto"/>
        <w:rPr>
          <w:rFonts w:eastAsia="Times New Roman" w:cs="Times New Roman"/>
          <w:sz w:val="20"/>
          <w:szCs w:val="20"/>
          <w:lang w:val="fi-FI"/>
        </w:rPr>
      </w:pPr>
    </w:p>
    <w:p w:rsidR="00004AC5" w:rsidRPr="00A047B4" w:rsidRDefault="00004AC5" w:rsidP="00004AC5">
      <w:pPr>
        <w:spacing w:after="0" w:line="360" w:lineRule="auto"/>
        <w:rPr>
          <w:rFonts w:eastAsia="Times New Roman" w:cs="Times New Roman"/>
          <w:sz w:val="20"/>
          <w:szCs w:val="20"/>
          <w:lang w:val="fi-FI"/>
        </w:rPr>
      </w:pPr>
    </w:p>
    <w:p w:rsidR="00004AC5" w:rsidRPr="00A047B4" w:rsidRDefault="00004AC5" w:rsidP="00004AC5">
      <w:pPr>
        <w:spacing w:after="0" w:line="240" w:lineRule="auto"/>
        <w:rPr>
          <w:rFonts w:eastAsia="Times New Roman" w:cs="Times New Roman"/>
          <w:sz w:val="20"/>
          <w:szCs w:val="20"/>
        </w:rPr>
      </w:pPr>
      <w:r w:rsidRPr="00A047B4">
        <w:rPr>
          <w:rFonts w:eastAsia="Times New Roman" w:cs="Times New Roman"/>
          <w:sz w:val="20"/>
          <w:szCs w:val="20"/>
        </w:rPr>
        <w:fldChar w:fldCharType="begin"/>
      </w:r>
      <w:r w:rsidRPr="00A047B4">
        <w:rPr>
          <w:rFonts w:eastAsia="Times New Roman" w:cs="Times New Roman"/>
          <w:sz w:val="20"/>
          <w:szCs w:val="20"/>
        </w:rPr>
        <w:instrText xml:space="preserve"> DATE  \@ "yyyy.MM.dd. H:mm"  \* MERGEFORMAT </w:instrText>
      </w:r>
      <w:r w:rsidRPr="00A047B4">
        <w:rPr>
          <w:rFonts w:eastAsia="Times New Roman" w:cs="Times New Roman"/>
          <w:sz w:val="20"/>
          <w:szCs w:val="20"/>
        </w:rPr>
        <w:fldChar w:fldCharType="separate"/>
      </w:r>
      <w:r w:rsidR="001428AE">
        <w:rPr>
          <w:rFonts w:eastAsia="Times New Roman" w:cs="Times New Roman"/>
          <w:noProof/>
          <w:sz w:val="20"/>
          <w:szCs w:val="20"/>
        </w:rPr>
        <w:t>2013.06.12. 13:12</w:t>
      </w:r>
      <w:r w:rsidRPr="00A047B4">
        <w:rPr>
          <w:rFonts w:eastAsia="Times New Roman" w:cs="Times New Roman"/>
          <w:sz w:val="20"/>
          <w:szCs w:val="20"/>
        </w:rPr>
        <w:fldChar w:fldCharType="end"/>
      </w:r>
    </w:p>
    <w:p w:rsidR="00004AC5" w:rsidRPr="00A047B4" w:rsidRDefault="003B67F0" w:rsidP="00004AC5">
      <w:pPr>
        <w:spacing w:after="0" w:line="240" w:lineRule="auto"/>
        <w:rPr>
          <w:rFonts w:eastAsia="Times New Roman" w:cs="Times New Roman"/>
          <w:sz w:val="20"/>
          <w:szCs w:val="20"/>
        </w:rPr>
      </w:pPr>
      <w:r>
        <w:rPr>
          <w:rFonts w:eastAsia="Times New Roman" w:cs="Times New Roman"/>
          <w:sz w:val="20"/>
          <w:szCs w:val="20"/>
          <w:lang w:val="en-US"/>
        </w:rPr>
        <w:t>1 459</w:t>
      </w:r>
    </w:p>
    <w:p w:rsidR="00004AC5" w:rsidRPr="00A047B4" w:rsidRDefault="00004AC5" w:rsidP="00004AC5">
      <w:pPr>
        <w:spacing w:after="0" w:line="240" w:lineRule="auto"/>
        <w:rPr>
          <w:rFonts w:eastAsia="Times New Roman" w:cs="Times New Roman"/>
          <w:sz w:val="20"/>
          <w:szCs w:val="20"/>
        </w:rPr>
      </w:pPr>
      <w:proofErr w:type="spellStart"/>
      <w:r w:rsidRPr="00A047B4">
        <w:rPr>
          <w:rFonts w:eastAsia="Times New Roman" w:cs="Times New Roman"/>
          <w:sz w:val="20"/>
          <w:szCs w:val="20"/>
        </w:rPr>
        <w:t>Z.Hermansons</w:t>
      </w:r>
      <w:proofErr w:type="spellEnd"/>
    </w:p>
    <w:p w:rsidR="00004AC5" w:rsidRPr="00C30C06" w:rsidRDefault="00004AC5" w:rsidP="00004AC5">
      <w:pPr>
        <w:rPr>
          <w:rFonts w:cs="Times New Roman"/>
        </w:rPr>
      </w:pPr>
      <w:r w:rsidRPr="00A047B4">
        <w:rPr>
          <w:rFonts w:eastAsia="Times New Roman" w:cs="Times New Roman"/>
          <w:sz w:val="20"/>
          <w:szCs w:val="20"/>
        </w:rPr>
        <w:t>66016725,</w:t>
      </w:r>
      <w:proofErr w:type="gramStart"/>
      <w:r w:rsidRPr="00A047B4">
        <w:rPr>
          <w:rFonts w:eastAsia="Times New Roman" w:cs="Times New Roman"/>
          <w:sz w:val="20"/>
          <w:szCs w:val="20"/>
        </w:rPr>
        <w:t xml:space="preserve">  </w:t>
      </w:r>
      <w:proofErr w:type="gramEnd"/>
      <w:hyperlink r:id="rId9" w:history="1">
        <w:r w:rsidRPr="00A047B4">
          <w:rPr>
            <w:rFonts w:eastAsia="Times New Roman" w:cs="Times New Roman"/>
            <w:color w:val="0000FF"/>
            <w:sz w:val="20"/>
            <w:szCs w:val="20"/>
            <w:u w:val="single"/>
          </w:rPr>
          <w:t>Zintis.Hermansons@varam.gov.lv</w:t>
        </w:r>
      </w:hyperlink>
    </w:p>
    <w:p w:rsidR="00004AC5" w:rsidRDefault="00004AC5"/>
    <w:sectPr w:rsidR="00004AC5" w:rsidSect="00004AC5">
      <w:headerReference w:type="default" r:id="rId10"/>
      <w:footerReference w:type="default" r:id="rId11"/>
      <w:footerReference w:type="first" r:id="rId12"/>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C5" w:rsidRDefault="00004AC5" w:rsidP="00004AC5">
      <w:pPr>
        <w:spacing w:after="0" w:line="240" w:lineRule="auto"/>
      </w:pPr>
      <w:r>
        <w:separator/>
      </w:r>
    </w:p>
  </w:endnote>
  <w:endnote w:type="continuationSeparator" w:id="0">
    <w:p w:rsidR="00004AC5" w:rsidRDefault="00004AC5" w:rsidP="0000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C5" w:rsidRPr="00C30C06" w:rsidRDefault="00004AC5" w:rsidP="00004AC5">
    <w:pPr>
      <w:spacing w:line="240" w:lineRule="auto"/>
      <w:rPr>
        <w:rFonts w:eastAsia="Times New Roman" w:cs="Times New Roman"/>
        <w:bCs/>
        <w:sz w:val="20"/>
      </w:rPr>
    </w:pPr>
    <w:r w:rsidRPr="00C30C06">
      <w:rPr>
        <w:rFonts w:eastAsia="Times New Roman" w:cs="Times New Roman"/>
        <w:bCs/>
        <w:sz w:val="20"/>
      </w:rPr>
      <w:t>VARAMzin</w:t>
    </w:r>
    <w:r w:rsidR="001428AE">
      <w:rPr>
        <w:rFonts w:eastAsia="Times New Roman" w:cs="Times New Roman"/>
        <w:bCs/>
        <w:sz w:val="20"/>
      </w:rPr>
      <w:t>p02_12</w:t>
    </w:r>
    <w:r w:rsidR="00A068BD">
      <w:rPr>
        <w:rFonts w:eastAsia="Times New Roman" w:cs="Times New Roman"/>
        <w:bCs/>
        <w:sz w:val="20"/>
      </w:rPr>
      <w:t>06</w:t>
    </w:r>
    <w:r w:rsidRPr="00C30C06">
      <w:rPr>
        <w:rFonts w:eastAsia="Times New Roman" w:cs="Times New Roman"/>
        <w:bCs/>
        <w:sz w:val="20"/>
      </w:rPr>
      <w:t>13_TAI</w:t>
    </w:r>
    <w:r>
      <w:rPr>
        <w:rFonts w:eastAsia="Times New Roman" w:cs="Times New Roman"/>
        <w:bCs/>
        <w:sz w:val="20"/>
      </w:rPr>
      <w:t>; Informatīvā ziņojuma projekta</w:t>
    </w:r>
    <w:r w:rsidRPr="00C30C06">
      <w:rPr>
        <w:rFonts w:eastAsia="Times New Roman" w:cs="Times New Roman"/>
        <w:bCs/>
        <w:sz w:val="20"/>
      </w:rPr>
      <w:t xml:space="preserve"> </w:t>
    </w:r>
    <w:r w:rsidRPr="00C30C06">
      <w:rPr>
        <w:rFonts w:eastAsia="Times New Roman" w:cs="Times New Roman"/>
        <w:sz w:val="20"/>
      </w:rPr>
      <w:t>„Par risinājumiem teritorijas attīstības pilnveidošanai, kā arī turpmākai pielietošanai E</w:t>
    </w:r>
    <w:r w:rsidR="003B67F0">
      <w:rPr>
        <w:rFonts w:eastAsia="Times New Roman" w:cs="Times New Roman"/>
        <w:sz w:val="20"/>
      </w:rPr>
      <w:t xml:space="preserve">iropas </w:t>
    </w:r>
    <w:r w:rsidRPr="00C30C06">
      <w:rPr>
        <w:rFonts w:eastAsia="Times New Roman" w:cs="Times New Roman"/>
        <w:sz w:val="20"/>
      </w:rPr>
      <w:t>S</w:t>
    </w:r>
    <w:r w:rsidR="003B67F0">
      <w:rPr>
        <w:rFonts w:eastAsia="Times New Roman" w:cs="Times New Roman"/>
        <w:sz w:val="20"/>
      </w:rPr>
      <w:t>avienības</w:t>
    </w:r>
    <w:r w:rsidRPr="00C30C06">
      <w:rPr>
        <w:rFonts w:eastAsia="Times New Roman" w:cs="Times New Roman"/>
        <w:sz w:val="20"/>
      </w:rPr>
      <w:t xml:space="preserve"> fondu 2014.-2020.gadam plānošanas periodā”</w:t>
    </w:r>
    <w:r w:rsidR="00A068BD">
      <w:rPr>
        <w:rFonts w:eastAsia="Times New Roman" w:cs="Times New Roman"/>
        <w:sz w:val="20"/>
      </w:rPr>
      <w:t xml:space="preserve"> 2</w:t>
    </w:r>
    <w:r>
      <w:rPr>
        <w:rFonts w:eastAsia="Times New Roman" w:cs="Times New Roman"/>
        <w:sz w:val="20"/>
      </w:rPr>
      <w:t>.pielikums</w:t>
    </w:r>
  </w:p>
  <w:p w:rsidR="00004AC5" w:rsidRDefault="00004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C5" w:rsidRPr="00C30C06" w:rsidRDefault="00004AC5" w:rsidP="00004AC5">
    <w:pPr>
      <w:spacing w:line="240" w:lineRule="auto"/>
      <w:rPr>
        <w:rFonts w:eastAsia="Times New Roman" w:cs="Times New Roman"/>
        <w:bCs/>
        <w:sz w:val="20"/>
      </w:rPr>
    </w:pPr>
    <w:r w:rsidRPr="00C30C06">
      <w:rPr>
        <w:rFonts w:eastAsia="Times New Roman" w:cs="Times New Roman"/>
        <w:bCs/>
        <w:sz w:val="20"/>
      </w:rPr>
      <w:t>VARAMzin</w:t>
    </w:r>
    <w:r w:rsidR="001428AE">
      <w:rPr>
        <w:rFonts w:eastAsia="Times New Roman" w:cs="Times New Roman"/>
        <w:bCs/>
        <w:sz w:val="20"/>
      </w:rPr>
      <w:t>p02_12</w:t>
    </w:r>
    <w:r w:rsidR="00A068BD">
      <w:rPr>
        <w:rFonts w:eastAsia="Times New Roman" w:cs="Times New Roman"/>
        <w:bCs/>
        <w:sz w:val="20"/>
      </w:rPr>
      <w:t>06</w:t>
    </w:r>
    <w:r w:rsidRPr="00C30C06">
      <w:rPr>
        <w:rFonts w:eastAsia="Times New Roman" w:cs="Times New Roman"/>
        <w:bCs/>
        <w:sz w:val="20"/>
      </w:rPr>
      <w:t>13_TAI</w:t>
    </w:r>
    <w:r>
      <w:rPr>
        <w:rFonts w:eastAsia="Times New Roman" w:cs="Times New Roman"/>
        <w:bCs/>
        <w:sz w:val="20"/>
      </w:rPr>
      <w:t>; Informatīvā ziņojuma projekta</w:t>
    </w:r>
    <w:r w:rsidRPr="00C30C06">
      <w:rPr>
        <w:rFonts w:eastAsia="Times New Roman" w:cs="Times New Roman"/>
        <w:bCs/>
        <w:sz w:val="20"/>
      </w:rPr>
      <w:t xml:space="preserve"> </w:t>
    </w:r>
    <w:r w:rsidRPr="00C30C06">
      <w:rPr>
        <w:rFonts w:eastAsia="Times New Roman" w:cs="Times New Roman"/>
        <w:sz w:val="20"/>
      </w:rPr>
      <w:t>„Par risinājumiem teritorijas attīstības pilnveidošanai, kā arī turpmākai pielietošanai E</w:t>
    </w:r>
    <w:r w:rsidR="003B67F0">
      <w:rPr>
        <w:rFonts w:eastAsia="Times New Roman" w:cs="Times New Roman"/>
        <w:sz w:val="20"/>
      </w:rPr>
      <w:t xml:space="preserve">iropas </w:t>
    </w:r>
    <w:r w:rsidRPr="00C30C06">
      <w:rPr>
        <w:rFonts w:eastAsia="Times New Roman" w:cs="Times New Roman"/>
        <w:sz w:val="20"/>
      </w:rPr>
      <w:t>S</w:t>
    </w:r>
    <w:r w:rsidR="003B67F0">
      <w:rPr>
        <w:rFonts w:eastAsia="Times New Roman" w:cs="Times New Roman"/>
        <w:sz w:val="20"/>
      </w:rPr>
      <w:t>avienības</w:t>
    </w:r>
    <w:r w:rsidRPr="00C30C06">
      <w:rPr>
        <w:rFonts w:eastAsia="Times New Roman" w:cs="Times New Roman"/>
        <w:sz w:val="20"/>
      </w:rPr>
      <w:t xml:space="preserve"> fondu 2014.-2020.gadam plānošanas periodā”</w:t>
    </w:r>
    <w:r w:rsidR="00A068BD">
      <w:rPr>
        <w:rFonts w:eastAsia="Times New Roman" w:cs="Times New Roman"/>
        <w:sz w:val="20"/>
      </w:rPr>
      <w:t xml:space="preserve"> 2</w:t>
    </w:r>
    <w:r>
      <w:rPr>
        <w:rFonts w:eastAsia="Times New Roman" w:cs="Times New Roman"/>
        <w:sz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C5" w:rsidRDefault="00004AC5" w:rsidP="00004AC5">
      <w:pPr>
        <w:spacing w:after="0" w:line="240" w:lineRule="auto"/>
      </w:pPr>
      <w:r>
        <w:separator/>
      </w:r>
    </w:p>
  </w:footnote>
  <w:footnote w:type="continuationSeparator" w:id="0">
    <w:p w:rsidR="00004AC5" w:rsidRDefault="00004AC5" w:rsidP="00004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167868"/>
      <w:docPartObj>
        <w:docPartGallery w:val="Page Numbers (Top of Page)"/>
        <w:docPartUnique/>
      </w:docPartObj>
    </w:sdtPr>
    <w:sdtEndPr>
      <w:rPr>
        <w:noProof/>
        <w:sz w:val="20"/>
        <w:szCs w:val="20"/>
      </w:rPr>
    </w:sdtEndPr>
    <w:sdtContent>
      <w:p w:rsidR="00004AC5" w:rsidRPr="00004AC5" w:rsidRDefault="00004AC5">
        <w:pPr>
          <w:pStyle w:val="Header"/>
          <w:jc w:val="center"/>
          <w:rPr>
            <w:sz w:val="20"/>
            <w:szCs w:val="20"/>
          </w:rPr>
        </w:pPr>
        <w:r w:rsidRPr="00004AC5">
          <w:rPr>
            <w:sz w:val="20"/>
            <w:szCs w:val="20"/>
          </w:rPr>
          <w:fldChar w:fldCharType="begin"/>
        </w:r>
        <w:r w:rsidRPr="00004AC5">
          <w:rPr>
            <w:sz w:val="20"/>
            <w:szCs w:val="20"/>
          </w:rPr>
          <w:instrText xml:space="preserve"> PAGE   \* MERGEFORMAT </w:instrText>
        </w:r>
        <w:r w:rsidRPr="00004AC5">
          <w:rPr>
            <w:sz w:val="20"/>
            <w:szCs w:val="20"/>
          </w:rPr>
          <w:fldChar w:fldCharType="separate"/>
        </w:r>
        <w:r w:rsidR="001428AE">
          <w:rPr>
            <w:noProof/>
            <w:sz w:val="20"/>
            <w:szCs w:val="20"/>
          </w:rPr>
          <w:t>9</w:t>
        </w:r>
        <w:r w:rsidRPr="00004AC5">
          <w:rPr>
            <w:noProof/>
            <w:sz w:val="20"/>
            <w:szCs w:val="20"/>
          </w:rPr>
          <w:fldChar w:fldCharType="end"/>
        </w:r>
      </w:p>
    </w:sdtContent>
  </w:sdt>
  <w:p w:rsidR="00004AC5" w:rsidRDefault="00004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D7A"/>
    <w:multiLevelType w:val="hybridMultilevel"/>
    <w:tmpl w:val="DA5A2C7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696C30C3"/>
    <w:multiLevelType w:val="hybridMultilevel"/>
    <w:tmpl w:val="DA5A2C7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C5"/>
    <w:rsid w:val="00004AC5"/>
    <w:rsid w:val="00093E9B"/>
    <w:rsid w:val="001267D8"/>
    <w:rsid w:val="001428AE"/>
    <w:rsid w:val="002A08FB"/>
    <w:rsid w:val="003B67F0"/>
    <w:rsid w:val="007E6DC9"/>
    <w:rsid w:val="00A068BD"/>
    <w:rsid w:val="00AA103A"/>
    <w:rsid w:val="00BD29DE"/>
    <w:rsid w:val="00BF3233"/>
    <w:rsid w:val="00F63A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4AC5"/>
    <w:pPr>
      <w:jc w:val="both"/>
    </w:pPr>
    <w:rPr>
      <w:rFonts w:ascii="Times New Roman" w:eastAsiaTheme="minorEastAsia" w:hAnsi="Times New Roman"/>
      <w:sz w:val="24"/>
      <w:lang w:eastAsia="lv-LV"/>
    </w:rPr>
  </w:style>
  <w:style w:type="paragraph" w:styleId="Heading1">
    <w:name w:val="heading 1"/>
    <w:basedOn w:val="Normal"/>
    <w:next w:val="Normal"/>
    <w:link w:val="Heading1Char"/>
    <w:uiPriority w:val="9"/>
    <w:qFormat/>
    <w:rsid w:val="00004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AC5"/>
    <w:rPr>
      <w:rFonts w:asciiTheme="majorHAnsi" w:eastAsiaTheme="majorEastAsia" w:hAnsiTheme="majorHAnsi" w:cstheme="majorBidi"/>
      <w:b/>
      <w:bCs/>
      <w:color w:val="365F91" w:themeColor="accent1" w:themeShade="BF"/>
      <w:sz w:val="28"/>
      <w:szCs w:val="28"/>
      <w:lang w:eastAsia="lv-LV"/>
    </w:rPr>
  </w:style>
  <w:style w:type="paragraph" w:styleId="ListParagraph">
    <w:name w:val="List Paragraph"/>
    <w:basedOn w:val="Normal"/>
    <w:uiPriority w:val="34"/>
    <w:qFormat/>
    <w:rsid w:val="00004AC5"/>
    <w:pPr>
      <w:spacing w:before="240" w:after="120" w:line="240" w:lineRule="auto"/>
      <w:ind w:left="720"/>
    </w:pPr>
    <w:rPr>
      <w:rFonts w:eastAsia="Times New Roman" w:cs="Times New Roman"/>
      <w:szCs w:val="24"/>
    </w:rPr>
  </w:style>
  <w:style w:type="table" w:styleId="TableGrid">
    <w:name w:val="Table Grid"/>
    <w:basedOn w:val="TableNormal"/>
    <w:uiPriority w:val="59"/>
    <w:rsid w:val="00004AC5"/>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4AC5"/>
    <w:pPr>
      <w:spacing w:after="0" w:line="240" w:lineRule="auto"/>
    </w:pPr>
  </w:style>
  <w:style w:type="paragraph" w:styleId="Header">
    <w:name w:val="header"/>
    <w:basedOn w:val="Normal"/>
    <w:link w:val="HeaderChar"/>
    <w:uiPriority w:val="99"/>
    <w:unhideWhenUsed/>
    <w:rsid w:val="00004A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4AC5"/>
    <w:rPr>
      <w:rFonts w:ascii="Times New Roman" w:eastAsiaTheme="minorEastAsia" w:hAnsi="Times New Roman"/>
      <w:sz w:val="24"/>
      <w:lang w:eastAsia="lv-LV"/>
    </w:rPr>
  </w:style>
  <w:style w:type="paragraph" w:styleId="Footer">
    <w:name w:val="footer"/>
    <w:basedOn w:val="Normal"/>
    <w:link w:val="FooterChar"/>
    <w:uiPriority w:val="99"/>
    <w:unhideWhenUsed/>
    <w:rsid w:val="00004A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4AC5"/>
    <w:rPr>
      <w:rFonts w:ascii="Times New Roman" w:eastAsiaTheme="minorEastAsia" w:hAnsi="Times New Roman"/>
      <w:sz w:val="24"/>
      <w:lang w:eastAsia="lv-LV"/>
    </w:rPr>
  </w:style>
  <w:style w:type="paragraph" w:styleId="BalloonText">
    <w:name w:val="Balloon Text"/>
    <w:basedOn w:val="Normal"/>
    <w:link w:val="BalloonTextChar"/>
    <w:uiPriority w:val="99"/>
    <w:semiHidden/>
    <w:unhideWhenUsed/>
    <w:rsid w:val="00004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AC5"/>
    <w:rPr>
      <w:rFonts w:ascii="Tahoma" w:eastAsiaTheme="minorEastAsi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4AC5"/>
    <w:pPr>
      <w:jc w:val="both"/>
    </w:pPr>
    <w:rPr>
      <w:rFonts w:ascii="Times New Roman" w:eastAsiaTheme="minorEastAsia" w:hAnsi="Times New Roman"/>
      <w:sz w:val="24"/>
      <w:lang w:eastAsia="lv-LV"/>
    </w:rPr>
  </w:style>
  <w:style w:type="paragraph" w:styleId="Heading1">
    <w:name w:val="heading 1"/>
    <w:basedOn w:val="Normal"/>
    <w:next w:val="Normal"/>
    <w:link w:val="Heading1Char"/>
    <w:uiPriority w:val="9"/>
    <w:qFormat/>
    <w:rsid w:val="00004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AC5"/>
    <w:rPr>
      <w:rFonts w:asciiTheme="majorHAnsi" w:eastAsiaTheme="majorEastAsia" w:hAnsiTheme="majorHAnsi" w:cstheme="majorBidi"/>
      <w:b/>
      <w:bCs/>
      <w:color w:val="365F91" w:themeColor="accent1" w:themeShade="BF"/>
      <w:sz w:val="28"/>
      <w:szCs w:val="28"/>
      <w:lang w:eastAsia="lv-LV"/>
    </w:rPr>
  </w:style>
  <w:style w:type="paragraph" w:styleId="ListParagraph">
    <w:name w:val="List Paragraph"/>
    <w:basedOn w:val="Normal"/>
    <w:uiPriority w:val="34"/>
    <w:qFormat/>
    <w:rsid w:val="00004AC5"/>
    <w:pPr>
      <w:spacing w:before="240" w:after="120" w:line="240" w:lineRule="auto"/>
      <w:ind w:left="720"/>
    </w:pPr>
    <w:rPr>
      <w:rFonts w:eastAsia="Times New Roman" w:cs="Times New Roman"/>
      <w:szCs w:val="24"/>
    </w:rPr>
  </w:style>
  <w:style w:type="table" w:styleId="TableGrid">
    <w:name w:val="Table Grid"/>
    <w:basedOn w:val="TableNormal"/>
    <w:uiPriority w:val="59"/>
    <w:rsid w:val="00004AC5"/>
    <w:pPr>
      <w:spacing w:after="0" w:line="240" w:lineRule="auto"/>
    </w:pPr>
    <w:rPr>
      <w:rFonts w:eastAsiaTheme="minorEastAsia"/>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04AC5"/>
    <w:pPr>
      <w:spacing w:after="0" w:line="240" w:lineRule="auto"/>
    </w:pPr>
  </w:style>
  <w:style w:type="paragraph" w:styleId="Header">
    <w:name w:val="header"/>
    <w:basedOn w:val="Normal"/>
    <w:link w:val="HeaderChar"/>
    <w:uiPriority w:val="99"/>
    <w:unhideWhenUsed/>
    <w:rsid w:val="00004A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4AC5"/>
    <w:rPr>
      <w:rFonts w:ascii="Times New Roman" w:eastAsiaTheme="minorEastAsia" w:hAnsi="Times New Roman"/>
      <w:sz w:val="24"/>
      <w:lang w:eastAsia="lv-LV"/>
    </w:rPr>
  </w:style>
  <w:style w:type="paragraph" w:styleId="Footer">
    <w:name w:val="footer"/>
    <w:basedOn w:val="Normal"/>
    <w:link w:val="FooterChar"/>
    <w:uiPriority w:val="99"/>
    <w:unhideWhenUsed/>
    <w:rsid w:val="00004A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4AC5"/>
    <w:rPr>
      <w:rFonts w:ascii="Times New Roman" w:eastAsiaTheme="minorEastAsia" w:hAnsi="Times New Roman"/>
      <w:sz w:val="24"/>
      <w:lang w:eastAsia="lv-LV"/>
    </w:rPr>
  </w:style>
  <w:style w:type="paragraph" w:styleId="BalloonText">
    <w:name w:val="Balloon Text"/>
    <w:basedOn w:val="Normal"/>
    <w:link w:val="BalloonTextChar"/>
    <w:uiPriority w:val="99"/>
    <w:semiHidden/>
    <w:unhideWhenUsed/>
    <w:rsid w:val="00004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AC5"/>
    <w:rPr>
      <w:rFonts w:ascii="Tahoma" w:eastAsiaTheme="minorEastAsi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intis.Hermansons@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C8D1CA8-4EC1-4B92-B806-5C58D706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1384</Words>
  <Characters>10372</Characters>
  <Application>Microsoft Office Word</Application>
  <DocSecurity>0</DocSecurity>
  <Lines>493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Zintis Hermansons</dc:creator>
  <cp:lastModifiedBy>Zintis Hermansons</cp:lastModifiedBy>
  <cp:revision>7</cp:revision>
  <dcterms:created xsi:type="dcterms:W3CDTF">2013-03-21T15:21:00Z</dcterms:created>
  <dcterms:modified xsi:type="dcterms:W3CDTF">2013-06-12T10:13:00Z</dcterms:modified>
</cp:coreProperties>
</file>