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9E2" w:rsidRPr="000A69E2" w:rsidRDefault="000A69E2" w:rsidP="000A69E2">
      <w:pPr>
        <w:pStyle w:val="Footer"/>
        <w:jc w:val="center"/>
        <w:rPr>
          <w:b/>
          <w:sz w:val="28"/>
          <w:szCs w:val="28"/>
        </w:rPr>
      </w:pPr>
      <w:r w:rsidRPr="000A69E2">
        <w:rPr>
          <w:b/>
          <w:sz w:val="28"/>
          <w:szCs w:val="28"/>
        </w:rPr>
        <w:t xml:space="preserve">Informatīvais </w:t>
      </w:r>
      <w:smartTag w:uri="schemas-tilde-lv/tildestengine" w:element="veidnes">
        <w:smartTagPr>
          <w:attr w:name="text" w:val="ziņojums"/>
          <w:attr w:name="id" w:val="-1"/>
          <w:attr w:name="baseform" w:val="ziņojum|s"/>
        </w:smartTagPr>
        <w:r w:rsidRPr="000A69E2">
          <w:rPr>
            <w:b/>
            <w:sz w:val="28"/>
            <w:szCs w:val="28"/>
          </w:rPr>
          <w:t>ziņojums</w:t>
        </w:r>
      </w:smartTag>
      <w:r w:rsidRPr="000A69E2">
        <w:rPr>
          <w:b/>
          <w:sz w:val="28"/>
          <w:szCs w:val="28"/>
        </w:rPr>
        <w:t xml:space="preserve"> „Par maksimālajām konsultāciju pakalpojumu likmēm, kuras piemērojamas </w:t>
      </w:r>
      <w:r w:rsidRPr="000A69E2">
        <w:rPr>
          <w:b/>
          <w:bCs/>
          <w:sz w:val="28"/>
          <w:szCs w:val="28"/>
        </w:rPr>
        <w:t>darbības programmas „Infrastruktūra un pakalpojumi” papildinājuma</w:t>
      </w:r>
      <w:r w:rsidRPr="000A69E2">
        <w:rPr>
          <w:b/>
          <w:sz w:val="28"/>
          <w:szCs w:val="28"/>
        </w:rPr>
        <w:t xml:space="preserve"> </w:t>
      </w:r>
      <w:r w:rsidRPr="000A69E2">
        <w:rPr>
          <w:rStyle w:val="spelle"/>
          <w:b/>
          <w:sz w:val="28"/>
          <w:szCs w:val="28"/>
        </w:rPr>
        <w:t>3.2.2.1.1.apakšaktivitātes „Informācijas sistēmu un elektronisko pakalpojumu attīstība” projektu iepirkumos</w:t>
      </w:r>
      <w:r w:rsidRPr="000A69E2">
        <w:rPr>
          <w:b/>
          <w:sz w:val="28"/>
          <w:szCs w:val="28"/>
        </w:rPr>
        <w:t>”</w:t>
      </w:r>
    </w:p>
    <w:p w:rsidR="0084683F" w:rsidRPr="00106F91" w:rsidRDefault="0084683F" w:rsidP="00237357">
      <w:pPr>
        <w:tabs>
          <w:tab w:val="right" w:pos="2127"/>
          <w:tab w:val="left" w:pos="2410"/>
          <w:tab w:val="right" w:leader="underscore" w:pos="4820"/>
        </w:tabs>
        <w:ind w:left="-426"/>
        <w:jc w:val="center"/>
        <w:rPr>
          <w:rStyle w:val="spelle"/>
          <w:i/>
          <w:sz w:val="22"/>
          <w:szCs w:val="22"/>
        </w:rPr>
      </w:pPr>
    </w:p>
    <w:p w:rsidR="00912593" w:rsidRPr="00B34CB9" w:rsidRDefault="000F0888" w:rsidP="002F5BFA">
      <w:pPr>
        <w:ind w:firstLine="709"/>
        <w:jc w:val="both"/>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422.95pt;margin-top:47.05pt;width:54.95pt;height:18.7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" stroked="f">
            <v:textbox style="mso-fit-shape-to-text:t">
              <w:txbxContent>
                <w:p w:rsidR="00AA1BAF" w:rsidRPr="00091C04" w:rsidRDefault="00AA1BAF">
                  <w:pPr>
                    <w:rPr>
                      <w:sz w:val="20"/>
                      <w:szCs w:val="20"/>
                    </w:rPr>
                  </w:pPr>
                  <w:r w:rsidRPr="00091C04">
                    <w:rPr>
                      <w:b/>
                      <w:bCs/>
                      <w:sz w:val="20"/>
                      <w:szCs w:val="20"/>
                    </w:rPr>
                    <w:t>1.attēls</w:t>
                  </w:r>
                </w:p>
              </w:txbxContent>
            </v:textbox>
          </v:shape>
        </w:pict>
      </w:r>
      <w:r>
        <w:rPr>
          <w:noProof/>
          <w:sz w:val="28"/>
          <w:szCs w:val="28"/>
        </w:rPr>
        <w:pict>
          <v:shape id="Text Box 3" o:spid="_x0000_s1027" type="#_x0000_t202" style="position:absolute;left:0;text-align:left;margin-left:422.9pt;margin-top:240.4pt;width:54.95pt;height:18.7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" stroked="f">
            <v:textbox style="mso-fit-shape-to-text:t">
              <w:txbxContent>
                <w:p w:rsidR="00AA1BAF" w:rsidRPr="00091C04" w:rsidRDefault="00AA1BAF" w:rsidP="0071565F">
                  <w:pPr>
                    <w:rPr>
                      <w:sz w:val="20"/>
                      <w:szCs w:val="20"/>
                    </w:rPr>
                  </w:pPr>
                  <w:r>
                    <w:rPr>
                      <w:b/>
                      <w:bCs/>
                      <w:sz w:val="20"/>
                      <w:szCs w:val="20"/>
                    </w:rPr>
                    <w:t>2</w:t>
                  </w:r>
                  <w:r w:rsidRPr="00091C04">
                    <w:rPr>
                      <w:b/>
                      <w:bCs/>
                      <w:sz w:val="20"/>
                      <w:szCs w:val="20"/>
                    </w:rPr>
                    <w:t>.attēls</w:t>
                  </w:r>
                </w:p>
              </w:txbxContent>
            </v:textbox>
          </v:shape>
        </w:pict>
      </w:r>
      <w:r w:rsidR="00106F91" w:rsidRPr="00B34CB9">
        <w:rPr>
          <w:noProof/>
          <w:sz w:val="28"/>
          <w:szCs w:val="28"/>
        </w:rPr>
        <w:drawing>
          <wp:anchor distT="0" distB="0" distL="114300" distR="114300" simplePos="0" relativeHeight="251663360" behindDoc="0" locked="0" layoutInCell="1" allowOverlap="1">
            <wp:simplePos x="0" y="0"/>
            <wp:positionH relativeFrom="margin">
              <wp:posOffset>3051810</wp:posOffset>
            </wp:positionH>
            <wp:positionV relativeFrom="margin">
              <wp:posOffset>1633855</wp:posOffset>
            </wp:positionV>
            <wp:extent cx="3094990" cy="2561590"/>
            <wp:effectExtent l="19050" t="0" r="0" b="0"/>
            <wp:wrapSquare wrapText="bothSides"/>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912593" w:rsidRPr="00B34CB9">
        <w:rPr>
          <w:sz w:val="28"/>
          <w:szCs w:val="28"/>
        </w:rPr>
        <w:t xml:space="preserve">Saskaņā ar Ministru kabineta 2011.gada 8.marta </w:t>
      </w:r>
      <w:proofErr w:type="spellStart"/>
      <w:r w:rsidR="00912593" w:rsidRPr="00B34CB9">
        <w:rPr>
          <w:sz w:val="28"/>
          <w:szCs w:val="28"/>
        </w:rPr>
        <w:t>protokollēmumu</w:t>
      </w:r>
      <w:proofErr w:type="spellEnd"/>
      <w:r w:rsidR="00912593" w:rsidRPr="00B34CB9">
        <w:rPr>
          <w:sz w:val="28"/>
          <w:szCs w:val="28"/>
        </w:rPr>
        <w:t xml:space="preserve"> (prot. Nr.14 21.§) „Informatīvais ziņojums „Par ārvalstu finanšu resursu (Eiropas Savienības struktūrfondu un Kohēzijas fonda, Eiropas Ekonomikas zonas finanšu instrumenta, Norvēģijas valdības divpusējā finanšu instrumenta un Latvijas un Šveices sadarbības programmas) apguvi līdz 2010.gada 31.decembrim”” 6.punktu Vides aizsardzības un reģionālās attīstības ministrijai (turpmāk – VARAM) jāiesniedz Ministru kabinetā koalīcijas darba grupā par Eiropas Savienības fondu jautājumiem saskaņotu priekšlikumu, lai noteiktu finansējuma saņēmējiem saistošus nosacījumus pakalpojumu, tai skaitā pakalpojumu komponenšu attiecināmo izmaksu vienību limitiem, ietverot cilvēkstundu likmes, tai skaitā nodrošinot šo nosacījumu piemērošanu 3.2.2.1.1.apakšaktivitātes „Informācijas sistēmu un elektronisko pakalpojumu attīstība” (turpmāk – 3.2.2.1.1.apakšaktivitāte) projektiem, par kuru īstenošanu ir noslēgtas vienošanās un kuru ietvaros paredzētās izmaksas ir nesamērojami augstas.</w:t>
      </w:r>
    </w:p>
    <w:p w:rsidR="00912593" w:rsidRPr="00B34CB9" w:rsidRDefault="0071565F" w:rsidP="002F5BFA">
      <w:pPr>
        <w:ind w:firstLine="709"/>
        <w:jc w:val="both"/>
        <w:rPr>
          <w:sz w:val="28"/>
          <w:szCs w:val="28"/>
        </w:rPr>
      </w:pPr>
      <w:r w:rsidRPr="00B34CB9">
        <w:rPr>
          <w:noProof/>
          <w:sz w:val="28"/>
          <w:szCs w:val="28"/>
        </w:rPr>
        <w:drawing>
          <wp:anchor distT="0" distB="0" distL="114300" distR="114300" simplePos="0" relativeHeight="251661312" behindDoc="0" locked="0" layoutInCell="1" allowOverlap="1">
            <wp:simplePos x="0" y="0"/>
            <wp:positionH relativeFrom="margin">
              <wp:posOffset>3051810</wp:posOffset>
            </wp:positionH>
            <wp:positionV relativeFrom="margin">
              <wp:posOffset>4197350</wp:posOffset>
            </wp:positionV>
            <wp:extent cx="2941320" cy="4830445"/>
            <wp:effectExtent l="0" t="0" r="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EA1E47" w:rsidRPr="00B34CB9">
        <w:rPr>
          <w:sz w:val="28"/>
          <w:szCs w:val="28"/>
        </w:rPr>
        <w:t>Ņemot vērā M</w:t>
      </w:r>
      <w:r w:rsidR="00912593" w:rsidRPr="00B34CB9">
        <w:rPr>
          <w:sz w:val="28"/>
          <w:szCs w:val="28"/>
        </w:rPr>
        <w:t>inistru kabineta uzdoto, VARAM</w:t>
      </w:r>
      <w:r w:rsidR="00EA1E47" w:rsidRPr="00B34CB9">
        <w:rPr>
          <w:sz w:val="28"/>
          <w:szCs w:val="28"/>
        </w:rPr>
        <w:t xml:space="preserve"> ir apkopoju</w:t>
      </w:r>
      <w:r w:rsidR="00912593" w:rsidRPr="00B34CB9">
        <w:rPr>
          <w:sz w:val="28"/>
          <w:szCs w:val="28"/>
        </w:rPr>
        <w:t>s</w:t>
      </w:r>
      <w:r w:rsidR="00EA1E47" w:rsidRPr="00B34CB9">
        <w:rPr>
          <w:sz w:val="28"/>
          <w:szCs w:val="28"/>
        </w:rPr>
        <w:t>i</w:t>
      </w:r>
      <w:r w:rsidR="00912593" w:rsidRPr="00B34CB9">
        <w:rPr>
          <w:sz w:val="28"/>
          <w:szCs w:val="28"/>
        </w:rPr>
        <w:t xml:space="preserve"> 3.2.2.1.1.apakšaktivitātes projektu īstenotāju sniegto informāciju par veiktajiem iepirkumiem. Saskaņā ar iesniegto informāciju</w:t>
      </w:r>
      <w:r w:rsidR="00B12E48">
        <w:rPr>
          <w:sz w:val="28"/>
          <w:szCs w:val="28"/>
        </w:rPr>
        <w:t xml:space="preserve"> (uz 2011.gada 5.aprīli)</w:t>
      </w:r>
      <w:r w:rsidR="00912593" w:rsidRPr="00B34CB9">
        <w:rPr>
          <w:sz w:val="28"/>
          <w:szCs w:val="28"/>
        </w:rPr>
        <w:t xml:space="preserve"> 3.2.2.1.1.apakšaktivitātes ietvaros ir veiktas vairāk nekā </w:t>
      </w:r>
      <w:r w:rsidR="00912593" w:rsidRPr="00B34CB9">
        <w:rPr>
          <w:b/>
          <w:sz w:val="28"/>
          <w:szCs w:val="28"/>
        </w:rPr>
        <w:t>31</w:t>
      </w:r>
      <w:r w:rsidR="00337D94" w:rsidRPr="00B34CB9">
        <w:rPr>
          <w:b/>
          <w:sz w:val="28"/>
          <w:szCs w:val="28"/>
        </w:rPr>
        <w:t>9</w:t>
      </w:r>
      <w:r w:rsidR="00912593" w:rsidRPr="00B34CB9">
        <w:rPr>
          <w:sz w:val="28"/>
          <w:szCs w:val="28"/>
        </w:rPr>
        <w:t xml:space="preserve"> iepirkumu procedūras, </w:t>
      </w:r>
      <w:r w:rsidR="00B86A3E" w:rsidRPr="00B34CB9">
        <w:rPr>
          <w:sz w:val="28"/>
          <w:szCs w:val="28"/>
        </w:rPr>
        <w:t xml:space="preserve">no kurām </w:t>
      </w:r>
      <w:r w:rsidR="00B86A3E" w:rsidRPr="00B34CB9">
        <w:rPr>
          <w:b/>
          <w:sz w:val="28"/>
          <w:szCs w:val="28"/>
        </w:rPr>
        <w:t>3</w:t>
      </w:r>
      <w:r w:rsidR="00FA62D6" w:rsidRPr="00B34CB9">
        <w:rPr>
          <w:b/>
          <w:sz w:val="28"/>
          <w:szCs w:val="28"/>
        </w:rPr>
        <w:t>7</w:t>
      </w:r>
      <w:r w:rsidR="00B86A3E" w:rsidRPr="00B34CB9">
        <w:rPr>
          <w:sz w:val="28"/>
          <w:szCs w:val="28"/>
        </w:rPr>
        <w:t xml:space="preserve"> iepirkuma procedūras ir veiktas, ietverot konsultāciju pakalpojumus, kur atlīdzības pamatā ir noteiktas </w:t>
      </w:r>
      <w:r w:rsidR="00B86A3E" w:rsidRPr="00B34CB9">
        <w:rPr>
          <w:sz w:val="28"/>
          <w:szCs w:val="28"/>
        </w:rPr>
        <w:lastRenderedPageBreak/>
        <w:t>konsultāciju likmes.</w:t>
      </w:r>
    </w:p>
    <w:p w:rsidR="00B86A3E" w:rsidRPr="00B34CB9" w:rsidRDefault="00091C04" w:rsidP="002F5BFA">
      <w:pPr>
        <w:ind w:firstLine="709"/>
        <w:jc w:val="both"/>
        <w:rPr>
          <w:sz w:val="28"/>
          <w:szCs w:val="28"/>
        </w:rPr>
      </w:pPr>
      <w:r w:rsidRPr="00B34CB9">
        <w:rPr>
          <w:sz w:val="28"/>
          <w:szCs w:val="28"/>
        </w:rPr>
        <w:t xml:space="preserve">Kā redzams </w:t>
      </w:r>
      <w:r w:rsidR="003A727B" w:rsidRPr="00B34CB9">
        <w:rPr>
          <w:sz w:val="28"/>
          <w:szCs w:val="28"/>
        </w:rPr>
        <w:t>1.</w:t>
      </w:r>
      <w:r w:rsidRPr="00B34CB9">
        <w:rPr>
          <w:sz w:val="28"/>
          <w:szCs w:val="28"/>
        </w:rPr>
        <w:t xml:space="preserve">attēlā, </w:t>
      </w:r>
      <w:r w:rsidR="00D16F30">
        <w:rPr>
          <w:b/>
          <w:sz w:val="28"/>
          <w:szCs w:val="28"/>
        </w:rPr>
        <w:t>80</w:t>
      </w:r>
      <w:r w:rsidRPr="00B34CB9">
        <w:rPr>
          <w:b/>
          <w:sz w:val="28"/>
          <w:szCs w:val="28"/>
        </w:rPr>
        <w:t>%</w:t>
      </w:r>
      <w:bookmarkStart w:id="0" w:name="_GoBack"/>
      <w:bookmarkEnd w:id="0"/>
      <w:r w:rsidRPr="00B34CB9">
        <w:rPr>
          <w:sz w:val="28"/>
          <w:szCs w:val="28"/>
        </w:rPr>
        <w:t xml:space="preserve"> no visām iepirkuma procedūrām organizētas konkursa kārtībā – atklātā vai slēgtā</w:t>
      </w:r>
      <w:r w:rsidR="00337D94" w:rsidRPr="00B34CB9">
        <w:rPr>
          <w:sz w:val="28"/>
          <w:szCs w:val="28"/>
        </w:rPr>
        <w:t xml:space="preserve"> vai </w:t>
      </w:r>
      <w:r w:rsidR="00BC4431">
        <w:rPr>
          <w:sz w:val="28"/>
          <w:szCs w:val="28"/>
        </w:rPr>
        <w:t>Publisko iepirkumu likuma 8</w:t>
      </w:r>
      <w:r w:rsidR="00BC4431" w:rsidRPr="00BC4431">
        <w:rPr>
          <w:sz w:val="28"/>
          <w:szCs w:val="28"/>
          <w:vertAlign w:val="superscript"/>
        </w:rPr>
        <w:t>1</w:t>
      </w:r>
      <w:r w:rsidR="00BC4431">
        <w:rPr>
          <w:sz w:val="28"/>
          <w:szCs w:val="28"/>
        </w:rPr>
        <w:t>.panta kārtībā,</w:t>
      </w:r>
      <w:r w:rsidRPr="00B34CB9">
        <w:rPr>
          <w:sz w:val="28"/>
          <w:szCs w:val="28"/>
        </w:rPr>
        <w:t xml:space="preserve"> bet </w:t>
      </w:r>
      <w:r w:rsidR="00337D94" w:rsidRPr="00B34CB9">
        <w:rPr>
          <w:sz w:val="28"/>
          <w:szCs w:val="28"/>
        </w:rPr>
        <w:t>2</w:t>
      </w:r>
      <w:r w:rsidR="00D16F30">
        <w:rPr>
          <w:b/>
          <w:sz w:val="28"/>
          <w:szCs w:val="28"/>
        </w:rPr>
        <w:t>0</w:t>
      </w:r>
      <w:r w:rsidRPr="00B34CB9">
        <w:rPr>
          <w:b/>
          <w:sz w:val="28"/>
          <w:szCs w:val="28"/>
        </w:rPr>
        <w:t>%</w:t>
      </w:r>
      <w:r w:rsidR="003A727B" w:rsidRPr="00B34CB9">
        <w:rPr>
          <w:sz w:val="28"/>
          <w:szCs w:val="28"/>
        </w:rPr>
        <w:t xml:space="preserve"> iepirkumu procedūru ir veiktas Publisko iepirkumu likumā noteiktajā kārtībā, kas neparedz konkursa rīkošanu.</w:t>
      </w:r>
    </w:p>
    <w:p w:rsidR="003A727B" w:rsidRPr="00B34CB9" w:rsidRDefault="00FA62D6" w:rsidP="002F5BFA">
      <w:pPr>
        <w:ind w:firstLine="709"/>
        <w:jc w:val="both"/>
        <w:rPr>
          <w:sz w:val="28"/>
          <w:szCs w:val="28"/>
        </w:rPr>
      </w:pPr>
      <w:r w:rsidRPr="00B34CB9">
        <w:rPr>
          <w:b/>
          <w:sz w:val="28"/>
          <w:szCs w:val="28"/>
        </w:rPr>
        <w:t>4</w:t>
      </w:r>
      <w:r w:rsidR="00BD0BEA" w:rsidRPr="00B34CB9">
        <w:rPr>
          <w:b/>
          <w:sz w:val="28"/>
          <w:szCs w:val="28"/>
        </w:rPr>
        <w:t>6</w:t>
      </w:r>
      <w:r w:rsidRPr="00B34CB9">
        <w:rPr>
          <w:b/>
          <w:sz w:val="28"/>
          <w:szCs w:val="28"/>
        </w:rPr>
        <w:t>%</w:t>
      </w:r>
      <w:r w:rsidRPr="00B34CB9">
        <w:rPr>
          <w:sz w:val="28"/>
          <w:szCs w:val="28"/>
        </w:rPr>
        <w:t xml:space="preserve"> gadījumu</w:t>
      </w:r>
      <w:r w:rsidR="003A727B" w:rsidRPr="00B34CB9">
        <w:rPr>
          <w:b/>
          <w:sz w:val="28"/>
          <w:szCs w:val="28"/>
        </w:rPr>
        <w:t xml:space="preserve"> (17)</w:t>
      </w:r>
      <w:r w:rsidR="003A727B" w:rsidRPr="00B34CB9">
        <w:rPr>
          <w:sz w:val="28"/>
          <w:szCs w:val="28"/>
        </w:rPr>
        <w:t xml:space="preserve"> no iepirkuma procedūrām, kurās paredzētas konsultāciju pakalpojumu likmes, rīkotas kā sarunu procedūras</w:t>
      </w:r>
      <w:r w:rsidR="004D23B1">
        <w:rPr>
          <w:sz w:val="28"/>
          <w:szCs w:val="28"/>
        </w:rPr>
        <w:t xml:space="preserve"> par 4 619 116 latu</w:t>
      </w:r>
      <w:r w:rsidR="00C96CA7">
        <w:rPr>
          <w:sz w:val="28"/>
          <w:szCs w:val="28"/>
        </w:rPr>
        <w:t xml:space="preserve"> (20% naudas izteiksmē no </w:t>
      </w:r>
      <w:r w:rsidR="00C96CA7" w:rsidRPr="00C96CA7">
        <w:rPr>
          <w:sz w:val="28"/>
          <w:szCs w:val="28"/>
        </w:rPr>
        <w:t>22 909 846 latu 37 iepirkumu procedūru ietvaros)</w:t>
      </w:r>
      <w:r w:rsidR="003A727B" w:rsidRPr="00B34CB9">
        <w:rPr>
          <w:sz w:val="28"/>
          <w:szCs w:val="28"/>
        </w:rPr>
        <w:t xml:space="preserve">, </w:t>
      </w:r>
      <w:r w:rsidR="00D925DA" w:rsidRPr="00B34CB9">
        <w:rPr>
          <w:sz w:val="28"/>
          <w:szCs w:val="28"/>
        </w:rPr>
        <w:t>un</w:t>
      </w:r>
      <w:r w:rsidR="003A727B" w:rsidRPr="00B34CB9">
        <w:rPr>
          <w:sz w:val="28"/>
          <w:szCs w:val="28"/>
        </w:rPr>
        <w:t xml:space="preserve"> </w:t>
      </w:r>
      <w:r w:rsidR="003A727B" w:rsidRPr="00B34CB9">
        <w:rPr>
          <w:b/>
          <w:sz w:val="28"/>
          <w:szCs w:val="28"/>
        </w:rPr>
        <w:t>1</w:t>
      </w:r>
      <w:r w:rsidR="00A27C87" w:rsidRPr="00B34CB9">
        <w:rPr>
          <w:b/>
          <w:sz w:val="28"/>
          <w:szCs w:val="28"/>
        </w:rPr>
        <w:t>4</w:t>
      </w:r>
      <w:r w:rsidR="003A727B" w:rsidRPr="00B34CB9">
        <w:rPr>
          <w:sz w:val="28"/>
          <w:szCs w:val="28"/>
        </w:rPr>
        <w:t xml:space="preserve"> gadījumos (</w:t>
      </w:r>
      <w:r w:rsidR="001A0DA9" w:rsidRPr="00B34CB9">
        <w:rPr>
          <w:sz w:val="28"/>
          <w:szCs w:val="28"/>
        </w:rPr>
        <w:t xml:space="preserve">tajā skaitā </w:t>
      </w:r>
      <w:r w:rsidR="00A27C87" w:rsidRPr="00B34CB9">
        <w:rPr>
          <w:sz w:val="28"/>
          <w:szCs w:val="28"/>
        </w:rPr>
        <w:t>divos gadījumos</w:t>
      </w:r>
      <w:r w:rsidR="003A727B" w:rsidRPr="00B34CB9">
        <w:rPr>
          <w:sz w:val="28"/>
          <w:szCs w:val="28"/>
        </w:rPr>
        <w:t xml:space="preserve"> </w:t>
      </w:r>
      <w:r w:rsidR="00D925DA" w:rsidRPr="00B34CB9">
        <w:rPr>
          <w:sz w:val="28"/>
          <w:szCs w:val="28"/>
        </w:rPr>
        <w:t xml:space="preserve">arī slēgtā konkursā) </w:t>
      </w:r>
      <w:r w:rsidR="003A727B" w:rsidRPr="00B34CB9">
        <w:rPr>
          <w:sz w:val="28"/>
          <w:szCs w:val="28"/>
        </w:rPr>
        <w:t xml:space="preserve">maksimālā konsultāciju likme ir lielāka par </w:t>
      </w:r>
      <w:r w:rsidR="003A727B" w:rsidRPr="00B34CB9">
        <w:rPr>
          <w:b/>
          <w:sz w:val="28"/>
          <w:szCs w:val="28"/>
        </w:rPr>
        <w:t>45</w:t>
      </w:r>
      <w:r w:rsidR="003A727B" w:rsidRPr="00B34CB9">
        <w:rPr>
          <w:sz w:val="28"/>
          <w:szCs w:val="28"/>
        </w:rPr>
        <w:t xml:space="preserve"> latiem par vienu cilvēkstundu</w:t>
      </w:r>
      <w:r w:rsidR="00531337" w:rsidRPr="00B34CB9">
        <w:rPr>
          <w:sz w:val="28"/>
          <w:szCs w:val="28"/>
        </w:rPr>
        <w:t xml:space="preserve"> (2.attēls)</w:t>
      </w:r>
      <w:r w:rsidR="00D925DA" w:rsidRPr="00B34CB9">
        <w:rPr>
          <w:sz w:val="28"/>
          <w:szCs w:val="28"/>
        </w:rPr>
        <w:t>.</w:t>
      </w:r>
    </w:p>
    <w:p w:rsidR="00091C04" w:rsidRPr="00B34CB9" w:rsidRDefault="001A0DA9" w:rsidP="002F5BFA">
      <w:pPr>
        <w:ind w:firstLine="709"/>
        <w:jc w:val="both"/>
        <w:rPr>
          <w:sz w:val="28"/>
          <w:szCs w:val="28"/>
        </w:rPr>
      </w:pPr>
      <w:r w:rsidRPr="00B34CB9">
        <w:rPr>
          <w:sz w:val="28"/>
          <w:szCs w:val="28"/>
        </w:rPr>
        <w:t xml:space="preserve">Ņemot vērā apkopoto informāciju, jāsecina, ka </w:t>
      </w:r>
      <w:r w:rsidR="007D42EA">
        <w:rPr>
          <w:sz w:val="28"/>
          <w:szCs w:val="28"/>
        </w:rPr>
        <w:t>paaugstinātas</w:t>
      </w:r>
      <w:r w:rsidRPr="00B34CB9">
        <w:rPr>
          <w:sz w:val="28"/>
          <w:szCs w:val="28"/>
        </w:rPr>
        <w:t xml:space="preserve"> konsultāciju</w:t>
      </w:r>
      <w:r w:rsidR="00F44A66">
        <w:rPr>
          <w:sz w:val="28"/>
          <w:szCs w:val="28"/>
        </w:rPr>
        <w:t xml:space="preserve"> pakalpojumu</w:t>
      </w:r>
      <w:r w:rsidRPr="00B34CB9">
        <w:rPr>
          <w:sz w:val="28"/>
          <w:szCs w:val="28"/>
        </w:rPr>
        <w:t xml:space="preserve"> likmes nav sistemātiska parādība</w:t>
      </w:r>
      <w:r w:rsidR="00F44A66">
        <w:rPr>
          <w:sz w:val="28"/>
          <w:szCs w:val="28"/>
        </w:rPr>
        <w:t>, (</w:t>
      </w:r>
      <w:r w:rsidR="00F44A66" w:rsidRPr="0097673F">
        <w:rPr>
          <w:b/>
          <w:sz w:val="28"/>
          <w:szCs w:val="28"/>
        </w:rPr>
        <w:t>5%</w:t>
      </w:r>
      <w:r w:rsidR="00F44A66">
        <w:rPr>
          <w:sz w:val="28"/>
          <w:szCs w:val="28"/>
        </w:rPr>
        <w:t xml:space="preserve"> gadījumu no visām iepirkumu procedūrām </w:t>
      </w:r>
      <w:r w:rsidR="00F44A66" w:rsidRPr="00B34CB9">
        <w:rPr>
          <w:sz w:val="28"/>
          <w:szCs w:val="28"/>
        </w:rPr>
        <w:t>3.2.2.1.1.apakšaktivitātes ietvaros</w:t>
      </w:r>
      <w:r w:rsidR="00CD281C">
        <w:rPr>
          <w:sz w:val="28"/>
          <w:szCs w:val="28"/>
        </w:rPr>
        <w:t>, turklāt ņemtas vērā tikai maksimālās konsultāciju pakalpojumu likmes, kas norādītas konkrēta iepirkuma ietvaros</w:t>
      </w:r>
      <w:r w:rsidR="007D42EA">
        <w:rPr>
          <w:sz w:val="28"/>
          <w:szCs w:val="28"/>
        </w:rPr>
        <w:t>)</w:t>
      </w:r>
      <w:r w:rsidR="00CD281C">
        <w:rPr>
          <w:sz w:val="28"/>
          <w:szCs w:val="28"/>
        </w:rPr>
        <w:t>.</w:t>
      </w:r>
      <w:r w:rsidRPr="00B34CB9">
        <w:rPr>
          <w:sz w:val="28"/>
          <w:szCs w:val="28"/>
        </w:rPr>
        <w:t xml:space="preserve"> </w:t>
      </w:r>
      <w:r w:rsidR="007D42EA">
        <w:rPr>
          <w:sz w:val="28"/>
          <w:szCs w:val="28"/>
        </w:rPr>
        <w:t xml:space="preserve">Pieļaujot iespēju, ka var būt gadījumi, kad </w:t>
      </w:r>
      <w:proofErr w:type="spellStart"/>
      <w:r w:rsidR="007D42EA">
        <w:rPr>
          <w:sz w:val="28"/>
          <w:szCs w:val="28"/>
        </w:rPr>
        <w:t>konultāciju</w:t>
      </w:r>
      <w:proofErr w:type="spellEnd"/>
      <w:r w:rsidR="007D42EA">
        <w:rPr>
          <w:sz w:val="28"/>
          <w:szCs w:val="28"/>
        </w:rPr>
        <w:t xml:space="preserve"> pakalpojumu likme objektīvu apstākļu dēļ var būt lielākā par 45 latiem par vienu cilvēk stundu, </w:t>
      </w:r>
      <w:r w:rsidRPr="00B34CB9">
        <w:rPr>
          <w:sz w:val="28"/>
          <w:szCs w:val="28"/>
        </w:rPr>
        <w:t>nepieciešams risinājums, kas pieļauj</w:t>
      </w:r>
      <w:r w:rsidR="00394462" w:rsidRPr="00B34CB9">
        <w:rPr>
          <w:sz w:val="28"/>
          <w:szCs w:val="28"/>
        </w:rPr>
        <w:t xml:space="preserve"> paaugstinātu, bet tirgum atbilstošu konsultāciju pakalpojumu likmi par vienu cilvēkstundu. Vienlaikus gan jāatzīmē, ka paaugstinātas konsultāciju pakalpojumu likmes novērojamas gandrīz vienīgi tajās iepirkuma procedūrās, kurās paredzēta sarunu procedūra. Bet šis apstāklis var būt objektīvi saistīts ar to, ka konkrētu pakalpojumu bieži vien var piedāvāt tikai viens pakalpojumu sniedzējs, kurš nepiedāvā šo pakalpojumu par zemāku cenu.</w:t>
      </w:r>
    </w:p>
    <w:p w:rsidR="00EA7F31" w:rsidRPr="00B34CB9" w:rsidRDefault="00EA7F31" w:rsidP="00EA7F31">
      <w:pPr>
        <w:ind w:firstLine="709"/>
        <w:jc w:val="both"/>
        <w:rPr>
          <w:sz w:val="28"/>
          <w:szCs w:val="28"/>
        </w:rPr>
      </w:pPr>
      <w:r w:rsidRPr="00B34CB9">
        <w:rPr>
          <w:sz w:val="28"/>
          <w:szCs w:val="28"/>
        </w:rPr>
        <w:t>Risks noteikt neadekvātu pakalpojuma cenu cieši korelē ar sarunu procedūru, kura izvēlēta kā viena no iepirkuma procedūrām. Līdz ar to, ja tiktu aizliegta sarunu procedūra kā viena no iepirkuma procedūrām, konkursa principa piemērošana jau preventīvi novērstu pakalpojumu sniegšanu par tirgum neatbilstošu cenu.</w:t>
      </w:r>
    </w:p>
    <w:p w:rsidR="00432D57" w:rsidRPr="00B34CB9" w:rsidRDefault="00432D57" w:rsidP="002F5BFA">
      <w:pPr>
        <w:ind w:firstLine="709"/>
        <w:jc w:val="both"/>
        <w:rPr>
          <w:sz w:val="28"/>
          <w:szCs w:val="28"/>
        </w:rPr>
      </w:pPr>
    </w:p>
    <w:p w:rsidR="0023469E" w:rsidRPr="00B34CB9" w:rsidRDefault="00A266FC" w:rsidP="00237C73">
      <w:pPr>
        <w:ind w:firstLine="709"/>
        <w:jc w:val="both"/>
        <w:rPr>
          <w:sz w:val="28"/>
          <w:szCs w:val="28"/>
        </w:rPr>
      </w:pPr>
      <w:r w:rsidRPr="00B34CB9">
        <w:rPr>
          <w:sz w:val="28"/>
          <w:szCs w:val="28"/>
        </w:rPr>
        <w:t xml:space="preserve">2011.gada 15.aprīlī notika sanāksme starp VARAM, Finanšu ministriju un Centrālo finanšu un līgumu aģentūru par konsultāciju pakalpojumu likmju apmēru un par iespējamiem risinājumiem to ierobežošanai. </w:t>
      </w:r>
    </w:p>
    <w:p w:rsidR="007B52F0" w:rsidRPr="00B34CB9" w:rsidRDefault="007B52F0" w:rsidP="002F5BFA">
      <w:pPr>
        <w:ind w:firstLine="709"/>
        <w:jc w:val="both"/>
        <w:rPr>
          <w:sz w:val="28"/>
          <w:szCs w:val="28"/>
        </w:rPr>
      </w:pPr>
    </w:p>
    <w:p w:rsidR="00394462" w:rsidRPr="00B34CB9" w:rsidRDefault="00237C73" w:rsidP="002F5BFA">
      <w:pPr>
        <w:ind w:firstLine="709"/>
        <w:jc w:val="both"/>
        <w:rPr>
          <w:sz w:val="28"/>
          <w:szCs w:val="28"/>
        </w:rPr>
      </w:pPr>
      <w:r w:rsidRPr="00B34CB9">
        <w:rPr>
          <w:sz w:val="28"/>
          <w:szCs w:val="28"/>
        </w:rPr>
        <w:t>Sanāksmē tika izvērtēti dažādi i</w:t>
      </w:r>
      <w:r w:rsidR="00394462" w:rsidRPr="00B34CB9">
        <w:rPr>
          <w:sz w:val="28"/>
          <w:szCs w:val="28"/>
        </w:rPr>
        <w:t>espējamie risinājumi</w:t>
      </w:r>
      <w:r w:rsidR="000D3155" w:rsidRPr="00B34CB9">
        <w:rPr>
          <w:sz w:val="28"/>
          <w:szCs w:val="28"/>
        </w:rPr>
        <w:t>, lai izvairītos no tirgum neatbilstošu konsultācij</w:t>
      </w:r>
      <w:r w:rsidRPr="00B34CB9">
        <w:rPr>
          <w:sz w:val="28"/>
          <w:szCs w:val="28"/>
        </w:rPr>
        <w:t xml:space="preserve">u pakalpojumu likmju </w:t>
      </w:r>
      <w:proofErr w:type="spellStart"/>
      <w:r w:rsidRPr="00B34CB9">
        <w:rPr>
          <w:sz w:val="28"/>
          <w:szCs w:val="28"/>
        </w:rPr>
        <w:t>piemērošans</w:t>
      </w:r>
      <w:proofErr w:type="spellEnd"/>
      <w:r w:rsidR="000D3155" w:rsidRPr="00B34CB9">
        <w:rPr>
          <w:sz w:val="28"/>
          <w:szCs w:val="28"/>
        </w:rPr>
        <w:t xml:space="preserve"> Eiropas Savienības fondu projektos</w:t>
      </w:r>
      <w:r w:rsidR="00394462" w:rsidRPr="00B34CB9">
        <w:rPr>
          <w:sz w:val="28"/>
          <w:szCs w:val="28"/>
        </w:rPr>
        <w:t>:</w:t>
      </w:r>
    </w:p>
    <w:p w:rsidR="000D3155" w:rsidRPr="00B34CB9" w:rsidRDefault="00394462" w:rsidP="00394462">
      <w:pPr>
        <w:pStyle w:val="ListParagraph"/>
        <w:numPr>
          <w:ilvl w:val="0"/>
          <w:numId w:val="3"/>
        </w:numPr>
        <w:jc w:val="both"/>
        <w:rPr>
          <w:sz w:val="28"/>
          <w:szCs w:val="28"/>
        </w:rPr>
      </w:pPr>
      <w:r w:rsidRPr="00B34CB9">
        <w:rPr>
          <w:b/>
          <w:sz w:val="28"/>
          <w:szCs w:val="28"/>
        </w:rPr>
        <w:t>noteikt konsultāciju pakalpojumu likmju</w:t>
      </w:r>
      <w:r w:rsidRPr="00B34CB9">
        <w:rPr>
          <w:sz w:val="28"/>
          <w:szCs w:val="28"/>
        </w:rPr>
        <w:t xml:space="preserve"> </w:t>
      </w:r>
      <w:r w:rsidRPr="00B34CB9">
        <w:rPr>
          <w:b/>
          <w:sz w:val="28"/>
          <w:szCs w:val="28"/>
        </w:rPr>
        <w:t>griestus</w:t>
      </w:r>
      <w:r w:rsidRPr="00B34CB9">
        <w:rPr>
          <w:sz w:val="28"/>
          <w:szCs w:val="28"/>
        </w:rPr>
        <w:t>, piemēram, 45-60</w:t>
      </w:r>
      <w:r w:rsidR="000D3155" w:rsidRPr="00B34CB9">
        <w:rPr>
          <w:sz w:val="28"/>
          <w:szCs w:val="28"/>
        </w:rPr>
        <w:t xml:space="preserve"> latu robežās</w:t>
      </w:r>
      <w:r w:rsidR="00C54C9F" w:rsidRPr="00B34CB9">
        <w:rPr>
          <w:sz w:val="28"/>
          <w:szCs w:val="28"/>
        </w:rPr>
        <w:t>.</w:t>
      </w:r>
    </w:p>
    <w:p w:rsidR="00FE6994" w:rsidRPr="00B34CB9" w:rsidRDefault="000116AE" w:rsidP="00FE6994">
      <w:pPr>
        <w:pStyle w:val="ListParagraph"/>
        <w:ind w:left="1789"/>
        <w:jc w:val="both"/>
        <w:rPr>
          <w:sz w:val="28"/>
          <w:szCs w:val="28"/>
        </w:rPr>
      </w:pPr>
      <w:r w:rsidRPr="00B34CB9">
        <w:rPr>
          <w:i/>
          <w:sz w:val="28"/>
          <w:szCs w:val="28"/>
        </w:rPr>
        <w:t>Pozitīvie aspekti</w:t>
      </w:r>
      <w:r w:rsidRPr="00B34CB9">
        <w:rPr>
          <w:sz w:val="28"/>
          <w:szCs w:val="28"/>
        </w:rPr>
        <w:t xml:space="preserve">: </w:t>
      </w:r>
    </w:p>
    <w:p w:rsidR="00FE6994" w:rsidRPr="00B34CB9" w:rsidRDefault="00FE6994" w:rsidP="00FE6994">
      <w:pPr>
        <w:pStyle w:val="ListParagraph"/>
        <w:numPr>
          <w:ilvl w:val="0"/>
          <w:numId w:val="4"/>
        </w:numPr>
        <w:jc w:val="both"/>
        <w:rPr>
          <w:i/>
          <w:sz w:val="28"/>
          <w:szCs w:val="28"/>
        </w:rPr>
      </w:pPr>
      <w:r w:rsidRPr="00B34CB9">
        <w:rPr>
          <w:sz w:val="28"/>
          <w:szCs w:val="28"/>
        </w:rPr>
        <w:t>V</w:t>
      </w:r>
      <w:r w:rsidR="000116AE" w:rsidRPr="00B34CB9">
        <w:rPr>
          <w:sz w:val="28"/>
          <w:szCs w:val="28"/>
        </w:rPr>
        <w:t>ienkāršs nosacījums, kā ierobežot nepamatoti augstas pakalpojumu konsultāciju likmes</w:t>
      </w:r>
      <w:r w:rsidRPr="00B34CB9">
        <w:rPr>
          <w:i/>
          <w:sz w:val="28"/>
          <w:szCs w:val="28"/>
        </w:rPr>
        <w:t>.</w:t>
      </w:r>
    </w:p>
    <w:p w:rsidR="00FE6994" w:rsidRPr="00B34CB9" w:rsidRDefault="00FE6994" w:rsidP="00FE6994">
      <w:pPr>
        <w:pStyle w:val="ListParagraph"/>
        <w:ind w:left="1789"/>
        <w:jc w:val="both"/>
        <w:rPr>
          <w:sz w:val="28"/>
          <w:szCs w:val="28"/>
        </w:rPr>
      </w:pPr>
      <w:r w:rsidRPr="00B34CB9">
        <w:rPr>
          <w:i/>
          <w:sz w:val="28"/>
          <w:szCs w:val="28"/>
        </w:rPr>
        <w:t>Negatīvie aspekti</w:t>
      </w:r>
      <w:r w:rsidRPr="00B34CB9">
        <w:rPr>
          <w:sz w:val="28"/>
          <w:szCs w:val="28"/>
        </w:rPr>
        <w:t xml:space="preserve">: </w:t>
      </w:r>
    </w:p>
    <w:p w:rsidR="00FE6994" w:rsidRPr="00B34CB9" w:rsidRDefault="00FE6994" w:rsidP="00FE6994">
      <w:pPr>
        <w:pStyle w:val="ListParagraph"/>
        <w:numPr>
          <w:ilvl w:val="0"/>
          <w:numId w:val="4"/>
        </w:numPr>
        <w:jc w:val="both"/>
        <w:rPr>
          <w:sz w:val="28"/>
          <w:szCs w:val="28"/>
        </w:rPr>
      </w:pPr>
      <w:r w:rsidRPr="00B34CB9">
        <w:rPr>
          <w:sz w:val="28"/>
          <w:szCs w:val="28"/>
        </w:rPr>
        <w:t>konsultāciju pakalpojumu likmju griesti radīs ierobežojumus objektīvai tirgus cenai, kā rezultātā var aizkavēties projekta īstenošanas process.</w:t>
      </w:r>
    </w:p>
    <w:p w:rsidR="000116AE" w:rsidRPr="00B34CB9" w:rsidRDefault="00C54C9F" w:rsidP="00EA1E47">
      <w:pPr>
        <w:pStyle w:val="ListParagraph"/>
        <w:numPr>
          <w:ilvl w:val="0"/>
          <w:numId w:val="3"/>
        </w:numPr>
        <w:jc w:val="both"/>
        <w:rPr>
          <w:sz w:val="28"/>
          <w:szCs w:val="28"/>
        </w:rPr>
      </w:pPr>
      <w:r w:rsidRPr="00B34CB9">
        <w:rPr>
          <w:b/>
          <w:sz w:val="28"/>
          <w:szCs w:val="28"/>
        </w:rPr>
        <w:lastRenderedPageBreak/>
        <w:t>a</w:t>
      </w:r>
      <w:r w:rsidR="000116AE" w:rsidRPr="00B34CB9">
        <w:rPr>
          <w:b/>
          <w:sz w:val="28"/>
          <w:szCs w:val="28"/>
        </w:rPr>
        <w:t>tteikties no sarunu procedūras</w:t>
      </w:r>
      <w:r w:rsidRPr="00B34CB9">
        <w:rPr>
          <w:b/>
          <w:sz w:val="28"/>
          <w:szCs w:val="28"/>
        </w:rPr>
        <w:t xml:space="preserve"> </w:t>
      </w:r>
      <w:r w:rsidR="009B360D" w:rsidRPr="009B360D">
        <w:rPr>
          <w:b/>
          <w:sz w:val="28"/>
          <w:szCs w:val="28"/>
        </w:rPr>
        <w:t>Eiropas Savienības</w:t>
      </w:r>
      <w:r w:rsidRPr="00B34CB9">
        <w:rPr>
          <w:b/>
          <w:sz w:val="28"/>
          <w:szCs w:val="28"/>
        </w:rPr>
        <w:t xml:space="preserve"> fondu projektu īstenošanā</w:t>
      </w:r>
      <w:r w:rsidRPr="00B34CB9">
        <w:rPr>
          <w:sz w:val="28"/>
          <w:szCs w:val="28"/>
        </w:rPr>
        <w:t>, pieļaujot to tikai gadījumos, kad rezultātu nav devusi iepirkumu konkursa rīkošana.</w:t>
      </w:r>
    </w:p>
    <w:p w:rsidR="00FE6994" w:rsidRPr="00B34CB9" w:rsidRDefault="00FE6994" w:rsidP="00FE6994">
      <w:pPr>
        <w:pStyle w:val="ListParagraph"/>
        <w:ind w:left="1789"/>
        <w:jc w:val="both"/>
        <w:rPr>
          <w:i/>
          <w:sz w:val="28"/>
          <w:szCs w:val="28"/>
        </w:rPr>
      </w:pPr>
      <w:r w:rsidRPr="00B34CB9">
        <w:rPr>
          <w:i/>
          <w:sz w:val="28"/>
          <w:szCs w:val="28"/>
        </w:rPr>
        <w:t xml:space="preserve">Pozitīvie </w:t>
      </w:r>
      <w:r w:rsidR="00C54C9F" w:rsidRPr="00B34CB9">
        <w:rPr>
          <w:i/>
          <w:sz w:val="28"/>
          <w:szCs w:val="28"/>
        </w:rPr>
        <w:t xml:space="preserve">aspekti: </w:t>
      </w:r>
    </w:p>
    <w:p w:rsidR="00C54C9F" w:rsidRPr="00B34CB9" w:rsidRDefault="00FE6994" w:rsidP="00052104">
      <w:pPr>
        <w:pStyle w:val="ListParagraph"/>
        <w:numPr>
          <w:ilvl w:val="0"/>
          <w:numId w:val="4"/>
        </w:numPr>
        <w:jc w:val="both"/>
        <w:rPr>
          <w:sz w:val="28"/>
          <w:szCs w:val="28"/>
        </w:rPr>
      </w:pPr>
      <w:r w:rsidRPr="00B34CB9">
        <w:rPr>
          <w:sz w:val="28"/>
          <w:szCs w:val="28"/>
        </w:rPr>
        <w:t>vienkāršs nosacījums</w:t>
      </w:r>
      <w:r w:rsidR="00C54C9F" w:rsidRPr="00B34CB9">
        <w:rPr>
          <w:sz w:val="28"/>
          <w:szCs w:val="28"/>
        </w:rPr>
        <w:t>;</w:t>
      </w:r>
    </w:p>
    <w:p w:rsidR="00052104" w:rsidRPr="00B34CB9" w:rsidRDefault="00052104" w:rsidP="00052104">
      <w:pPr>
        <w:pStyle w:val="ListParagraph"/>
        <w:numPr>
          <w:ilvl w:val="0"/>
          <w:numId w:val="4"/>
        </w:numPr>
        <w:jc w:val="both"/>
        <w:rPr>
          <w:sz w:val="28"/>
          <w:szCs w:val="28"/>
        </w:rPr>
      </w:pPr>
      <w:r w:rsidRPr="00B34CB9">
        <w:rPr>
          <w:sz w:val="28"/>
          <w:szCs w:val="28"/>
        </w:rPr>
        <w:t>tiks veicināta tirgus konkurence</w:t>
      </w:r>
      <w:r w:rsidR="00774A77" w:rsidRPr="00B34CB9">
        <w:rPr>
          <w:sz w:val="28"/>
          <w:szCs w:val="28"/>
        </w:rPr>
        <w:t>;</w:t>
      </w:r>
    </w:p>
    <w:p w:rsidR="00052104" w:rsidRPr="00B34CB9" w:rsidRDefault="00FE6994" w:rsidP="00FE6994">
      <w:pPr>
        <w:pStyle w:val="ListParagraph"/>
        <w:ind w:left="1789"/>
        <w:jc w:val="both"/>
        <w:rPr>
          <w:i/>
          <w:sz w:val="28"/>
          <w:szCs w:val="28"/>
        </w:rPr>
      </w:pPr>
      <w:r w:rsidRPr="00B34CB9">
        <w:rPr>
          <w:i/>
          <w:sz w:val="28"/>
          <w:szCs w:val="28"/>
        </w:rPr>
        <w:t>Negatīvie</w:t>
      </w:r>
      <w:r w:rsidR="00C54C9F" w:rsidRPr="00B34CB9">
        <w:rPr>
          <w:i/>
          <w:sz w:val="28"/>
          <w:szCs w:val="28"/>
        </w:rPr>
        <w:t xml:space="preserve"> aspekti: </w:t>
      </w:r>
    </w:p>
    <w:p w:rsidR="00C54C9F" w:rsidRDefault="00774A77" w:rsidP="00052104">
      <w:pPr>
        <w:pStyle w:val="ListParagraph"/>
        <w:numPr>
          <w:ilvl w:val="0"/>
          <w:numId w:val="4"/>
        </w:numPr>
        <w:jc w:val="both"/>
        <w:rPr>
          <w:sz w:val="28"/>
          <w:szCs w:val="28"/>
        </w:rPr>
      </w:pPr>
      <w:r w:rsidRPr="00B34CB9">
        <w:rPr>
          <w:sz w:val="28"/>
          <w:szCs w:val="28"/>
        </w:rPr>
        <w:t xml:space="preserve">neatrisina problēmu, ja </w:t>
      </w:r>
      <w:r w:rsidR="005A6157" w:rsidRPr="00B34CB9">
        <w:rPr>
          <w:sz w:val="28"/>
          <w:szCs w:val="28"/>
        </w:rPr>
        <w:t>pastāv aizdomas, ka konsultāciju pakalpojumu likmes pēc konkursa</w:t>
      </w:r>
      <w:r w:rsidR="00465F51">
        <w:rPr>
          <w:sz w:val="28"/>
          <w:szCs w:val="28"/>
        </w:rPr>
        <w:t xml:space="preserve"> vai sarunu procedūras</w:t>
      </w:r>
      <w:r w:rsidR="005A6157" w:rsidRPr="00B34CB9">
        <w:rPr>
          <w:sz w:val="28"/>
          <w:szCs w:val="28"/>
        </w:rPr>
        <w:t xml:space="preserve"> rīkošanas vienalga nav atbilstošas tirgus cenai</w:t>
      </w:r>
      <w:r w:rsidR="00D706F4" w:rsidRPr="00B34CB9">
        <w:rPr>
          <w:sz w:val="28"/>
          <w:szCs w:val="28"/>
        </w:rPr>
        <w:t>;</w:t>
      </w:r>
    </w:p>
    <w:p w:rsidR="001025BE" w:rsidRPr="00B34CB9" w:rsidRDefault="001025BE" w:rsidP="001025BE">
      <w:pPr>
        <w:pStyle w:val="ListParagraph"/>
        <w:numPr>
          <w:ilvl w:val="0"/>
          <w:numId w:val="4"/>
        </w:numPr>
        <w:jc w:val="both"/>
        <w:rPr>
          <w:sz w:val="28"/>
          <w:szCs w:val="28"/>
        </w:rPr>
      </w:pPr>
      <w:r w:rsidRPr="001025BE">
        <w:rPr>
          <w:sz w:val="28"/>
          <w:szCs w:val="28"/>
        </w:rPr>
        <w:t>var būt objektīva situācija</w:t>
      </w:r>
      <w:r w:rsidRPr="00B34CB9">
        <w:rPr>
          <w:sz w:val="28"/>
          <w:szCs w:val="28"/>
        </w:rPr>
        <w:t>, kad rezultātu nav devusi iepirkumu konkursa rīkošana</w:t>
      </w:r>
      <w:r>
        <w:rPr>
          <w:sz w:val="28"/>
          <w:szCs w:val="28"/>
        </w:rPr>
        <w:t xml:space="preserve"> un atkārota iepirkuma konkursa rīkošana nav iespējama laika trūkuma dēļ</w:t>
      </w:r>
      <w:r w:rsidR="00134849">
        <w:rPr>
          <w:sz w:val="28"/>
          <w:szCs w:val="28"/>
        </w:rPr>
        <w:t>,</w:t>
      </w:r>
      <w:r>
        <w:rPr>
          <w:sz w:val="28"/>
          <w:szCs w:val="28"/>
        </w:rPr>
        <w:t xml:space="preserve"> </w:t>
      </w:r>
      <w:r w:rsidR="00134849">
        <w:rPr>
          <w:sz w:val="28"/>
          <w:szCs w:val="28"/>
        </w:rPr>
        <w:t>vai arī tirgus cenas dēļ.</w:t>
      </w:r>
    </w:p>
    <w:p w:rsidR="001025BE" w:rsidRPr="00B34CB9" w:rsidRDefault="001025BE" w:rsidP="00134849">
      <w:pPr>
        <w:pStyle w:val="ListParagraph"/>
        <w:ind w:left="2509"/>
        <w:jc w:val="both"/>
        <w:rPr>
          <w:sz w:val="28"/>
          <w:szCs w:val="28"/>
        </w:rPr>
      </w:pPr>
    </w:p>
    <w:p w:rsidR="001C74FF" w:rsidRPr="00B34CB9" w:rsidRDefault="001C74FF" w:rsidP="00EA1E47">
      <w:pPr>
        <w:pStyle w:val="ListParagraph"/>
        <w:numPr>
          <w:ilvl w:val="0"/>
          <w:numId w:val="3"/>
        </w:numPr>
        <w:jc w:val="both"/>
        <w:rPr>
          <w:sz w:val="28"/>
          <w:szCs w:val="28"/>
        </w:rPr>
      </w:pPr>
      <w:r w:rsidRPr="00B34CB9">
        <w:rPr>
          <w:sz w:val="28"/>
          <w:szCs w:val="28"/>
        </w:rPr>
        <w:t>ņemot vērā relatīvi nelielo gadījumu skaitu (</w:t>
      </w:r>
      <w:r w:rsidRPr="00B34CB9">
        <w:rPr>
          <w:b/>
          <w:sz w:val="28"/>
          <w:szCs w:val="28"/>
        </w:rPr>
        <w:t>5%</w:t>
      </w:r>
      <w:r w:rsidRPr="00B34CB9">
        <w:rPr>
          <w:sz w:val="28"/>
          <w:szCs w:val="28"/>
        </w:rPr>
        <w:t xml:space="preserve"> no kopējā iepirkumus skaita), kad konsultāciju li</w:t>
      </w:r>
      <w:r w:rsidR="000116AE" w:rsidRPr="00B34CB9">
        <w:rPr>
          <w:sz w:val="28"/>
          <w:szCs w:val="28"/>
        </w:rPr>
        <w:t>kmes varētu šķist</w:t>
      </w:r>
      <w:r w:rsidR="00D706F4" w:rsidRPr="00B34CB9">
        <w:rPr>
          <w:sz w:val="28"/>
          <w:szCs w:val="28"/>
        </w:rPr>
        <w:t xml:space="preserve"> nepamatoti</w:t>
      </w:r>
      <w:r w:rsidR="000116AE" w:rsidRPr="00B34CB9">
        <w:rPr>
          <w:sz w:val="28"/>
          <w:szCs w:val="28"/>
        </w:rPr>
        <w:t xml:space="preserve"> paaugstinātas</w:t>
      </w:r>
      <w:r w:rsidRPr="00B34CB9">
        <w:rPr>
          <w:sz w:val="28"/>
          <w:szCs w:val="28"/>
        </w:rPr>
        <w:t xml:space="preserve">, ir iespēja </w:t>
      </w:r>
      <w:r w:rsidRPr="00B34CB9">
        <w:rPr>
          <w:b/>
          <w:sz w:val="28"/>
          <w:szCs w:val="28"/>
        </w:rPr>
        <w:t>izvērtēt katru gadījumu individuāli</w:t>
      </w:r>
      <w:r w:rsidR="00EA1E47" w:rsidRPr="00B34CB9">
        <w:rPr>
          <w:sz w:val="28"/>
          <w:szCs w:val="28"/>
        </w:rPr>
        <w:t>,</w:t>
      </w:r>
      <w:r w:rsidR="007B52F0" w:rsidRPr="00B34CB9">
        <w:rPr>
          <w:sz w:val="28"/>
          <w:szCs w:val="28"/>
        </w:rPr>
        <w:t xml:space="preserve"> </w:t>
      </w:r>
      <w:r w:rsidR="005A6157" w:rsidRPr="00B34CB9">
        <w:rPr>
          <w:sz w:val="28"/>
          <w:szCs w:val="28"/>
        </w:rPr>
        <w:t>vienlaikus</w:t>
      </w:r>
      <w:r w:rsidR="00EA1E47" w:rsidRPr="00B34CB9">
        <w:rPr>
          <w:sz w:val="28"/>
          <w:szCs w:val="28"/>
        </w:rPr>
        <w:t xml:space="preserve"> </w:t>
      </w:r>
      <w:r w:rsidRPr="00B34CB9">
        <w:rPr>
          <w:sz w:val="28"/>
          <w:szCs w:val="28"/>
        </w:rPr>
        <w:t>n</w:t>
      </w:r>
      <w:r w:rsidR="00EA1E47" w:rsidRPr="00B34CB9">
        <w:rPr>
          <w:sz w:val="28"/>
          <w:szCs w:val="28"/>
        </w:rPr>
        <w:t>osakot</w:t>
      </w:r>
      <w:r w:rsidRPr="00B34CB9">
        <w:rPr>
          <w:sz w:val="28"/>
          <w:szCs w:val="28"/>
        </w:rPr>
        <w:t xml:space="preserve"> likmju griestus, kurus pārsniedzot, pirms līguma noslēgšanas ar konsultāciju pakalpojuma sniedzēju, konsultāciju</w:t>
      </w:r>
      <w:r w:rsidR="00D706F4" w:rsidRPr="00B34CB9">
        <w:rPr>
          <w:sz w:val="28"/>
          <w:szCs w:val="28"/>
        </w:rPr>
        <w:t xml:space="preserve"> pakalpojumu</w:t>
      </w:r>
      <w:r w:rsidRPr="00B34CB9">
        <w:rPr>
          <w:sz w:val="28"/>
          <w:szCs w:val="28"/>
        </w:rPr>
        <w:t xml:space="preserve"> likmes apmērs jāsaskaņo ar Eiropas</w:t>
      </w:r>
      <w:r w:rsidR="00EA1E47" w:rsidRPr="00B34CB9">
        <w:rPr>
          <w:sz w:val="28"/>
          <w:szCs w:val="28"/>
        </w:rPr>
        <w:t xml:space="preserve"> Savienības</w:t>
      </w:r>
      <w:r w:rsidRPr="00B34CB9">
        <w:rPr>
          <w:sz w:val="28"/>
          <w:szCs w:val="28"/>
        </w:rPr>
        <w:t xml:space="preserve"> fondu vadībā iesaistītajām institūcijām (sadarbības iestādi, atbildīgo iestādi vai vadošo iestādi).</w:t>
      </w:r>
    </w:p>
    <w:p w:rsidR="005A6157" w:rsidRPr="00B34CB9" w:rsidRDefault="005A6157" w:rsidP="005A6157">
      <w:pPr>
        <w:pStyle w:val="ListParagraph"/>
        <w:ind w:left="1789"/>
        <w:jc w:val="both"/>
        <w:rPr>
          <w:i/>
          <w:sz w:val="28"/>
          <w:szCs w:val="28"/>
        </w:rPr>
      </w:pPr>
      <w:r w:rsidRPr="00B34CB9">
        <w:rPr>
          <w:i/>
          <w:sz w:val="28"/>
          <w:szCs w:val="28"/>
        </w:rPr>
        <w:t xml:space="preserve">Pozitīvie aspekti: </w:t>
      </w:r>
    </w:p>
    <w:p w:rsidR="005A6157" w:rsidRPr="00B34CB9" w:rsidRDefault="005A6157" w:rsidP="005A6157">
      <w:pPr>
        <w:pStyle w:val="ListParagraph"/>
        <w:numPr>
          <w:ilvl w:val="0"/>
          <w:numId w:val="4"/>
        </w:numPr>
        <w:jc w:val="both"/>
        <w:rPr>
          <w:sz w:val="28"/>
          <w:szCs w:val="28"/>
        </w:rPr>
      </w:pPr>
      <w:r w:rsidRPr="00B34CB9">
        <w:rPr>
          <w:sz w:val="28"/>
          <w:szCs w:val="28"/>
        </w:rPr>
        <w:t xml:space="preserve">preventīvi tiek novērsta </w:t>
      </w:r>
      <w:r w:rsidR="00D706F4" w:rsidRPr="00B34CB9">
        <w:rPr>
          <w:sz w:val="28"/>
          <w:szCs w:val="28"/>
        </w:rPr>
        <w:t>tirgum neatbilstošu likmju noteikšana</w:t>
      </w:r>
      <w:r w:rsidRPr="00B34CB9">
        <w:rPr>
          <w:sz w:val="28"/>
          <w:szCs w:val="28"/>
        </w:rPr>
        <w:t>;</w:t>
      </w:r>
    </w:p>
    <w:p w:rsidR="005A6157" w:rsidRPr="00B34CB9" w:rsidRDefault="005A6157" w:rsidP="005A6157">
      <w:pPr>
        <w:pStyle w:val="ListParagraph"/>
        <w:ind w:left="1789"/>
        <w:jc w:val="both"/>
        <w:rPr>
          <w:i/>
          <w:sz w:val="28"/>
          <w:szCs w:val="28"/>
        </w:rPr>
      </w:pPr>
      <w:r w:rsidRPr="00B34CB9">
        <w:rPr>
          <w:i/>
          <w:sz w:val="28"/>
          <w:szCs w:val="28"/>
        </w:rPr>
        <w:t xml:space="preserve">Negatīvie aspekti: </w:t>
      </w:r>
    </w:p>
    <w:p w:rsidR="005A6157" w:rsidRPr="00B34CB9" w:rsidRDefault="00D706F4" w:rsidP="005A6157">
      <w:pPr>
        <w:pStyle w:val="ListParagraph"/>
        <w:numPr>
          <w:ilvl w:val="0"/>
          <w:numId w:val="4"/>
        </w:numPr>
        <w:jc w:val="both"/>
        <w:rPr>
          <w:sz w:val="28"/>
          <w:szCs w:val="28"/>
        </w:rPr>
      </w:pPr>
      <w:r w:rsidRPr="00B34CB9">
        <w:rPr>
          <w:sz w:val="28"/>
          <w:szCs w:val="28"/>
        </w:rPr>
        <w:t>palielinās administratīvais slogs;</w:t>
      </w:r>
    </w:p>
    <w:p w:rsidR="00D706F4" w:rsidRDefault="00D706F4" w:rsidP="005A6157">
      <w:pPr>
        <w:pStyle w:val="ListParagraph"/>
        <w:numPr>
          <w:ilvl w:val="0"/>
          <w:numId w:val="4"/>
        </w:numPr>
        <w:jc w:val="both"/>
        <w:rPr>
          <w:sz w:val="28"/>
          <w:szCs w:val="28"/>
        </w:rPr>
      </w:pPr>
      <w:r w:rsidRPr="00B34CB9">
        <w:rPr>
          <w:sz w:val="28"/>
          <w:szCs w:val="28"/>
        </w:rPr>
        <w:t>nepieciešama konsultāciju pakalpojumu likmes izvērtēšanas metodika vai ekspertu</w:t>
      </w:r>
      <w:r w:rsidR="00900A5F" w:rsidRPr="00B34CB9">
        <w:rPr>
          <w:sz w:val="28"/>
          <w:szCs w:val="28"/>
        </w:rPr>
        <w:t xml:space="preserve"> pakalpojumi.</w:t>
      </w:r>
    </w:p>
    <w:p w:rsidR="00465F51" w:rsidRPr="00B34CB9" w:rsidRDefault="00465F51" w:rsidP="00465F51">
      <w:pPr>
        <w:pStyle w:val="ListParagraph"/>
        <w:ind w:left="2509"/>
        <w:jc w:val="both"/>
        <w:rPr>
          <w:sz w:val="28"/>
          <w:szCs w:val="28"/>
        </w:rPr>
      </w:pPr>
    </w:p>
    <w:p w:rsidR="00465F51" w:rsidRPr="00B34CB9" w:rsidRDefault="00465F51" w:rsidP="00465F51">
      <w:pPr>
        <w:ind w:firstLine="709"/>
        <w:jc w:val="both"/>
        <w:rPr>
          <w:sz w:val="28"/>
          <w:szCs w:val="28"/>
        </w:rPr>
      </w:pPr>
      <w:r w:rsidRPr="00B34CB9">
        <w:rPr>
          <w:sz w:val="28"/>
          <w:szCs w:val="28"/>
        </w:rPr>
        <w:t>Lai noteiktu pakalpojumu izmaksu vienību limitus, pakalpojumiem nepieciešams noteikt vienas vai dažu komponenšu, kas ir pakalpojuma sniegšanas pamatā (piemēram, cilvēkstundas), izmaksu limitus.</w:t>
      </w:r>
    </w:p>
    <w:p w:rsidR="00465F51" w:rsidRPr="00B34CB9" w:rsidRDefault="00465F51" w:rsidP="00465F51">
      <w:pPr>
        <w:pStyle w:val="ListParagraph"/>
        <w:ind w:left="1789"/>
        <w:jc w:val="both"/>
        <w:rPr>
          <w:sz w:val="28"/>
          <w:szCs w:val="28"/>
        </w:rPr>
      </w:pPr>
      <w:r w:rsidRPr="00B34CB9">
        <w:rPr>
          <w:i/>
          <w:sz w:val="28"/>
          <w:szCs w:val="28"/>
        </w:rPr>
        <w:t>Pozitīvie aspekti</w:t>
      </w:r>
      <w:r w:rsidRPr="00B34CB9">
        <w:rPr>
          <w:sz w:val="28"/>
          <w:szCs w:val="28"/>
        </w:rPr>
        <w:t xml:space="preserve">: </w:t>
      </w:r>
    </w:p>
    <w:p w:rsidR="00465F51" w:rsidRPr="00B34CB9" w:rsidRDefault="00465F51" w:rsidP="00465F51">
      <w:pPr>
        <w:pStyle w:val="ListParagraph"/>
        <w:numPr>
          <w:ilvl w:val="0"/>
          <w:numId w:val="4"/>
        </w:numPr>
        <w:jc w:val="both"/>
        <w:rPr>
          <w:i/>
          <w:sz w:val="28"/>
          <w:szCs w:val="28"/>
        </w:rPr>
      </w:pPr>
      <w:r w:rsidRPr="00B34CB9">
        <w:rPr>
          <w:sz w:val="28"/>
          <w:szCs w:val="28"/>
        </w:rPr>
        <w:t>Prognozējama budžeta plānošana (jautājums par ietaupījumiem nav viennozīmīgs)</w:t>
      </w:r>
      <w:r w:rsidRPr="00B34CB9">
        <w:rPr>
          <w:i/>
          <w:sz w:val="28"/>
          <w:szCs w:val="28"/>
        </w:rPr>
        <w:t>.</w:t>
      </w:r>
    </w:p>
    <w:p w:rsidR="00465F51" w:rsidRPr="00B34CB9" w:rsidRDefault="00465F51" w:rsidP="00465F51">
      <w:pPr>
        <w:pStyle w:val="ListParagraph"/>
        <w:ind w:left="1789"/>
        <w:jc w:val="both"/>
        <w:rPr>
          <w:sz w:val="28"/>
          <w:szCs w:val="28"/>
        </w:rPr>
      </w:pPr>
      <w:r w:rsidRPr="00B34CB9">
        <w:rPr>
          <w:i/>
          <w:sz w:val="28"/>
          <w:szCs w:val="28"/>
        </w:rPr>
        <w:t>Negatīvie aspekti</w:t>
      </w:r>
      <w:r w:rsidRPr="00B34CB9">
        <w:rPr>
          <w:sz w:val="28"/>
          <w:szCs w:val="28"/>
        </w:rPr>
        <w:t xml:space="preserve">: </w:t>
      </w:r>
    </w:p>
    <w:p w:rsidR="00465F51" w:rsidRPr="00B34CB9" w:rsidRDefault="00465F51" w:rsidP="00465F51">
      <w:pPr>
        <w:pStyle w:val="ListParagraph"/>
        <w:numPr>
          <w:ilvl w:val="0"/>
          <w:numId w:val="4"/>
        </w:numPr>
        <w:jc w:val="both"/>
        <w:rPr>
          <w:sz w:val="28"/>
          <w:szCs w:val="28"/>
        </w:rPr>
      </w:pPr>
      <w:r w:rsidRPr="00B34CB9">
        <w:rPr>
          <w:sz w:val="28"/>
          <w:szCs w:val="28"/>
        </w:rPr>
        <w:t>Pakalpojumu izmaksu limiti sarežģītu un nestandarta pakalpojumu sniegšanā būs zemāki par tirgus cenu.</w:t>
      </w:r>
    </w:p>
    <w:p w:rsidR="00465F51" w:rsidRPr="00B34CB9" w:rsidRDefault="00465F51" w:rsidP="00465F51">
      <w:pPr>
        <w:pStyle w:val="ListParagraph"/>
        <w:numPr>
          <w:ilvl w:val="0"/>
          <w:numId w:val="4"/>
        </w:numPr>
        <w:jc w:val="both"/>
        <w:rPr>
          <w:sz w:val="28"/>
          <w:szCs w:val="28"/>
        </w:rPr>
      </w:pPr>
      <w:r w:rsidRPr="00B34CB9">
        <w:rPr>
          <w:sz w:val="28"/>
          <w:szCs w:val="28"/>
        </w:rPr>
        <w:t>Pakalpojuma saņēmējam ir gandrīz neiespējami izkontrolēt pakalpojuma sniedzēja patērētos resursus pakalpojuma sniegšanai.</w:t>
      </w:r>
    </w:p>
    <w:p w:rsidR="00465F51" w:rsidRPr="00B34CB9" w:rsidRDefault="00465F51" w:rsidP="00465F51">
      <w:pPr>
        <w:pStyle w:val="ListParagraph"/>
        <w:numPr>
          <w:ilvl w:val="0"/>
          <w:numId w:val="4"/>
        </w:numPr>
        <w:jc w:val="both"/>
        <w:rPr>
          <w:sz w:val="28"/>
          <w:szCs w:val="28"/>
        </w:rPr>
      </w:pPr>
      <w:r w:rsidRPr="00B34CB9">
        <w:rPr>
          <w:sz w:val="28"/>
          <w:szCs w:val="28"/>
        </w:rPr>
        <w:lastRenderedPageBreak/>
        <w:t>Pakalpojuma sniedzējiem rodas motivācija pielīdzināt pakalpojumu cenas maksimālajiem ierobežojumiem.</w:t>
      </w:r>
    </w:p>
    <w:p w:rsidR="00465F51" w:rsidRPr="00B34CB9" w:rsidRDefault="00465F51" w:rsidP="00465F51">
      <w:pPr>
        <w:pStyle w:val="ListParagraph"/>
        <w:numPr>
          <w:ilvl w:val="0"/>
          <w:numId w:val="4"/>
        </w:numPr>
        <w:jc w:val="both"/>
        <w:rPr>
          <w:sz w:val="28"/>
          <w:szCs w:val="28"/>
        </w:rPr>
      </w:pPr>
      <w:r w:rsidRPr="00B34CB9">
        <w:rPr>
          <w:sz w:val="28"/>
          <w:szCs w:val="28"/>
        </w:rPr>
        <w:t>Bieži vien nav iespējams noteikt nepieciešamos resursus pakalpojuma sniegšanai.</w:t>
      </w:r>
    </w:p>
    <w:p w:rsidR="00465F51" w:rsidRPr="00B34CB9" w:rsidRDefault="00465F51" w:rsidP="00465F51">
      <w:pPr>
        <w:pStyle w:val="ListParagraph"/>
        <w:numPr>
          <w:ilvl w:val="0"/>
          <w:numId w:val="4"/>
        </w:numPr>
        <w:jc w:val="both"/>
        <w:rPr>
          <w:sz w:val="28"/>
          <w:szCs w:val="28"/>
        </w:rPr>
      </w:pPr>
      <w:r w:rsidRPr="00B34CB9">
        <w:rPr>
          <w:sz w:val="28"/>
          <w:szCs w:val="28"/>
        </w:rPr>
        <w:t>Mainoties tirgus situācijai, pakalpojumu izmaksu limiti var nenodrošināt pakalpojumu sniegšanu atbilstoši tirgus cenai.</w:t>
      </w:r>
    </w:p>
    <w:p w:rsidR="00465F51" w:rsidRPr="00B34CB9" w:rsidRDefault="00465F51" w:rsidP="00465F51">
      <w:pPr>
        <w:ind w:firstLine="709"/>
        <w:jc w:val="both"/>
        <w:rPr>
          <w:sz w:val="28"/>
          <w:szCs w:val="28"/>
        </w:rPr>
      </w:pPr>
    </w:p>
    <w:p w:rsidR="00D706F4" w:rsidRPr="00B34CB9" w:rsidRDefault="00465F51" w:rsidP="00465F51">
      <w:pPr>
        <w:jc w:val="both"/>
        <w:rPr>
          <w:sz w:val="28"/>
          <w:szCs w:val="28"/>
        </w:rPr>
      </w:pPr>
      <w:r w:rsidRPr="00B34CB9">
        <w:rPr>
          <w:sz w:val="28"/>
          <w:szCs w:val="28"/>
        </w:rPr>
        <w:t xml:space="preserve">Ņemot vērā minēto attiecībā uz pakalpojumu izmaksu vienību limitiem, sanāksmes dalībnieki vienojās, ka pakalpojumu izmaksu vienību limitu noteikšana </w:t>
      </w:r>
      <w:r w:rsidR="00785538">
        <w:rPr>
          <w:sz w:val="28"/>
          <w:szCs w:val="28"/>
        </w:rPr>
        <w:t xml:space="preserve">pašreizējā situācijā </w:t>
      </w:r>
      <w:r w:rsidRPr="00B34CB9">
        <w:rPr>
          <w:sz w:val="28"/>
          <w:szCs w:val="28"/>
        </w:rPr>
        <w:t xml:space="preserve">nav lietderīga </w:t>
      </w:r>
      <w:r w:rsidR="00785538">
        <w:rPr>
          <w:sz w:val="28"/>
          <w:szCs w:val="28"/>
        </w:rPr>
        <w:t xml:space="preserve">un visticamāk </w:t>
      </w:r>
      <w:r w:rsidRPr="00B34CB9">
        <w:rPr>
          <w:sz w:val="28"/>
          <w:szCs w:val="28"/>
        </w:rPr>
        <w:t xml:space="preserve">konkursa </w:t>
      </w:r>
      <w:r w:rsidR="00B265ED">
        <w:rPr>
          <w:sz w:val="28"/>
          <w:szCs w:val="28"/>
        </w:rPr>
        <w:t>procedūras</w:t>
      </w:r>
      <w:r w:rsidRPr="00B34CB9">
        <w:rPr>
          <w:sz w:val="28"/>
          <w:szCs w:val="28"/>
        </w:rPr>
        <w:t xml:space="preserve"> piemērošana lielākajā daļā iepirkuma procedūru nodrošinās pakalpojuma cenu, kas atbilst tirgus cenai.</w:t>
      </w:r>
    </w:p>
    <w:p w:rsidR="00785538" w:rsidRDefault="00785538" w:rsidP="00237C73">
      <w:pPr>
        <w:ind w:firstLine="709"/>
        <w:jc w:val="both"/>
        <w:rPr>
          <w:sz w:val="28"/>
          <w:szCs w:val="28"/>
        </w:rPr>
      </w:pPr>
    </w:p>
    <w:p w:rsidR="00785538" w:rsidRPr="00785538" w:rsidRDefault="00785538" w:rsidP="00237C73">
      <w:pPr>
        <w:ind w:firstLine="709"/>
        <w:jc w:val="both"/>
        <w:rPr>
          <w:i/>
          <w:sz w:val="28"/>
          <w:szCs w:val="28"/>
          <w:u w:val="single"/>
        </w:rPr>
      </w:pPr>
      <w:r w:rsidRPr="00785538">
        <w:rPr>
          <w:i/>
          <w:sz w:val="28"/>
          <w:szCs w:val="28"/>
          <w:u w:val="single"/>
        </w:rPr>
        <w:t>Priekšlikums</w:t>
      </w:r>
    </w:p>
    <w:p w:rsidR="00237C73" w:rsidRPr="00B34CB9" w:rsidRDefault="00237C73" w:rsidP="00237C73">
      <w:pPr>
        <w:ind w:firstLine="709"/>
        <w:jc w:val="both"/>
        <w:rPr>
          <w:sz w:val="28"/>
          <w:szCs w:val="28"/>
        </w:rPr>
      </w:pPr>
      <w:r w:rsidRPr="00B34CB9">
        <w:rPr>
          <w:sz w:val="28"/>
          <w:szCs w:val="28"/>
        </w:rPr>
        <w:t>Ņemot vērā iepriekš minēto, sanāksmes dalībnieki vienojās par šādiem nosacījumiem</w:t>
      </w:r>
      <w:r w:rsidR="00B325D4">
        <w:rPr>
          <w:sz w:val="28"/>
          <w:szCs w:val="28"/>
        </w:rPr>
        <w:t xml:space="preserve"> visu 3.2.2.1.1.apaksātkvitātes kārtu projektiem</w:t>
      </w:r>
      <w:r w:rsidRPr="00B34CB9">
        <w:rPr>
          <w:sz w:val="28"/>
          <w:szCs w:val="28"/>
        </w:rPr>
        <w:t>, lai ierobežotu nepamatoti augstas konsultāciju pakalpojumu izmaksas:</w:t>
      </w:r>
    </w:p>
    <w:p w:rsidR="00E83956" w:rsidRPr="00E83956" w:rsidRDefault="00E83956" w:rsidP="00237C73">
      <w:pPr>
        <w:pStyle w:val="ListParagraph"/>
        <w:numPr>
          <w:ilvl w:val="0"/>
          <w:numId w:val="5"/>
        </w:numPr>
        <w:jc w:val="both"/>
        <w:rPr>
          <w:b/>
          <w:sz w:val="28"/>
          <w:szCs w:val="28"/>
        </w:rPr>
      </w:pPr>
      <w:r>
        <w:rPr>
          <w:sz w:val="28"/>
          <w:szCs w:val="28"/>
        </w:rPr>
        <w:t xml:space="preserve">noteikt, ka </w:t>
      </w:r>
      <w:r w:rsidR="00C62E16">
        <w:rPr>
          <w:sz w:val="28"/>
          <w:szCs w:val="28"/>
        </w:rPr>
        <w:t xml:space="preserve">turpmāk </w:t>
      </w:r>
      <w:r w:rsidRPr="001025BE">
        <w:rPr>
          <w:b/>
          <w:sz w:val="28"/>
          <w:szCs w:val="28"/>
        </w:rPr>
        <w:t>sarunu procedūras projektu iepirkumos nav pieļaujamas</w:t>
      </w:r>
      <w:r>
        <w:rPr>
          <w:sz w:val="28"/>
          <w:szCs w:val="28"/>
        </w:rPr>
        <w:t xml:space="preserve"> un </w:t>
      </w:r>
      <w:r w:rsidR="00C62E16" w:rsidRPr="00CA6BB9">
        <w:rPr>
          <w:sz w:val="28"/>
          <w:szCs w:val="28"/>
        </w:rPr>
        <w:t xml:space="preserve">izmaksas, kas radušās par sarunu procedūras rezultātā iepirktajiem pakalpojumiem, </w:t>
      </w:r>
      <w:r w:rsidR="00353B4C">
        <w:rPr>
          <w:sz w:val="28"/>
          <w:szCs w:val="28"/>
        </w:rPr>
        <w:t>nav attiecināmas</w:t>
      </w:r>
      <w:r>
        <w:rPr>
          <w:sz w:val="28"/>
          <w:szCs w:val="28"/>
        </w:rPr>
        <w:t>;</w:t>
      </w:r>
    </w:p>
    <w:p w:rsidR="00237C73" w:rsidRPr="00B34CB9" w:rsidRDefault="00237C73" w:rsidP="00237C73">
      <w:pPr>
        <w:pStyle w:val="ListParagraph"/>
        <w:numPr>
          <w:ilvl w:val="0"/>
          <w:numId w:val="5"/>
        </w:numPr>
        <w:jc w:val="both"/>
        <w:rPr>
          <w:b/>
          <w:sz w:val="28"/>
          <w:szCs w:val="28"/>
        </w:rPr>
      </w:pPr>
      <w:r w:rsidRPr="00B34CB9">
        <w:rPr>
          <w:sz w:val="28"/>
          <w:szCs w:val="28"/>
        </w:rPr>
        <w:t xml:space="preserve">iepirkumos, </w:t>
      </w:r>
      <w:r w:rsidR="00C62E16">
        <w:rPr>
          <w:sz w:val="28"/>
          <w:szCs w:val="28"/>
        </w:rPr>
        <w:t>kuros</w:t>
      </w:r>
      <w:r w:rsidR="00C62E16" w:rsidRPr="00566B8A">
        <w:rPr>
          <w:sz w:val="28"/>
          <w:szCs w:val="28"/>
        </w:rPr>
        <w:t xml:space="preserve"> </w:t>
      </w:r>
      <w:r w:rsidR="00C62E16" w:rsidRPr="00CA6BB9">
        <w:rPr>
          <w:sz w:val="28"/>
          <w:szCs w:val="28"/>
        </w:rPr>
        <w:t xml:space="preserve">iepirkuma procedūra </w:t>
      </w:r>
      <w:r w:rsidR="00C62E16">
        <w:rPr>
          <w:sz w:val="28"/>
          <w:szCs w:val="28"/>
        </w:rPr>
        <w:t>vēl nav</w:t>
      </w:r>
      <w:r w:rsidR="00C62E16" w:rsidRPr="00CA6BB9">
        <w:rPr>
          <w:sz w:val="28"/>
          <w:szCs w:val="28"/>
        </w:rPr>
        <w:t xml:space="preserve"> uzsākta</w:t>
      </w:r>
      <w:r w:rsidRPr="00B34CB9">
        <w:rPr>
          <w:sz w:val="28"/>
          <w:szCs w:val="28"/>
        </w:rPr>
        <w:t xml:space="preserve">, </w:t>
      </w:r>
      <w:r w:rsidRPr="00B34CB9">
        <w:rPr>
          <w:b/>
          <w:sz w:val="28"/>
          <w:szCs w:val="28"/>
        </w:rPr>
        <w:t>noteikt maksimālo konsultāciju pakalpojumu likmi 45 latu apmērā par cilvēkstundu</w:t>
      </w:r>
      <w:r w:rsidR="00844023">
        <w:rPr>
          <w:b/>
          <w:sz w:val="28"/>
          <w:szCs w:val="28"/>
        </w:rPr>
        <w:t xml:space="preserve">, </w:t>
      </w:r>
      <w:r w:rsidR="00844023" w:rsidRPr="008E3F42">
        <w:rPr>
          <w:sz w:val="28"/>
          <w:szCs w:val="28"/>
        </w:rPr>
        <w:t>kā tas</w:t>
      </w:r>
      <w:r w:rsidR="008E3F42" w:rsidRPr="008E3F42">
        <w:rPr>
          <w:sz w:val="28"/>
          <w:szCs w:val="28"/>
        </w:rPr>
        <w:t xml:space="preserve"> tika</w:t>
      </w:r>
      <w:r w:rsidR="00844023" w:rsidRPr="008E3F42">
        <w:rPr>
          <w:sz w:val="28"/>
          <w:szCs w:val="28"/>
        </w:rPr>
        <w:t xml:space="preserve"> noteikts</w:t>
      </w:r>
      <w:r w:rsidR="008E3F42">
        <w:rPr>
          <w:sz w:val="28"/>
          <w:szCs w:val="28"/>
        </w:rPr>
        <w:t xml:space="preserve"> </w:t>
      </w:r>
      <w:r w:rsidR="008E3F42" w:rsidRPr="008E3F42">
        <w:rPr>
          <w:sz w:val="28"/>
          <w:szCs w:val="28"/>
        </w:rPr>
        <w:t xml:space="preserve">attiecībā uz Izglītības un zinātnes ministrijas projektiem </w:t>
      </w:r>
      <w:r w:rsidR="008E3F42">
        <w:rPr>
          <w:sz w:val="28"/>
          <w:szCs w:val="28"/>
        </w:rPr>
        <w:t>ar</w:t>
      </w:r>
      <w:r w:rsidR="00844023" w:rsidRPr="008E3F42">
        <w:rPr>
          <w:sz w:val="28"/>
          <w:szCs w:val="28"/>
        </w:rPr>
        <w:t xml:space="preserve"> Ministru kabineta 2011.gada 22.marta </w:t>
      </w:r>
      <w:proofErr w:type="spellStart"/>
      <w:r w:rsidR="00844023" w:rsidRPr="008E3F42">
        <w:rPr>
          <w:sz w:val="28"/>
          <w:szCs w:val="28"/>
        </w:rPr>
        <w:t>protokollēmum</w:t>
      </w:r>
      <w:r w:rsidR="008E3F42">
        <w:rPr>
          <w:sz w:val="28"/>
          <w:szCs w:val="28"/>
        </w:rPr>
        <w:t>u</w:t>
      </w:r>
      <w:proofErr w:type="spellEnd"/>
      <w:r w:rsidR="008E3F42">
        <w:rPr>
          <w:sz w:val="28"/>
          <w:szCs w:val="28"/>
        </w:rPr>
        <w:t xml:space="preserve"> </w:t>
      </w:r>
      <w:r w:rsidR="00844023" w:rsidRPr="008E3F42">
        <w:rPr>
          <w:sz w:val="28"/>
          <w:szCs w:val="28"/>
        </w:rPr>
        <w:t>Nr.18</w:t>
      </w:r>
      <w:r w:rsidR="008E3F42">
        <w:rPr>
          <w:sz w:val="28"/>
          <w:szCs w:val="28"/>
        </w:rPr>
        <w:t xml:space="preserve"> </w:t>
      </w:r>
      <w:r w:rsidR="008E3F42" w:rsidRPr="008E3F42">
        <w:rPr>
          <w:sz w:val="28"/>
          <w:szCs w:val="28"/>
        </w:rPr>
        <w:t>40§</w:t>
      </w:r>
      <w:r w:rsidR="00885710">
        <w:rPr>
          <w:sz w:val="28"/>
          <w:szCs w:val="28"/>
        </w:rPr>
        <w:t>, veicot samaksu ar nodošanas-pieņemšanas aktu un nodrošinot izmaksu izsekojamību.</w:t>
      </w:r>
      <w:r w:rsidR="00885710" w:rsidRPr="00566B8A">
        <w:rPr>
          <w:sz w:val="28"/>
          <w:szCs w:val="28"/>
        </w:rPr>
        <w:t xml:space="preserve"> </w:t>
      </w:r>
      <w:r w:rsidR="00885710">
        <w:rPr>
          <w:sz w:val="28"/>
          <w:szCs w:val="28"/>
        </w:rPr>
        <w:t>Samaksu par cilvēkstundām veikt tikai par pakalpojumiem, kurus nav iespējams pasūtīt kā gabaldarbus. Samaksu veikt saskaņā ar līgumslēdzēju pušu parakstītu nodošanas-pieņemšanas aktu, kurā atspoguļota informācija par nostrādāto stundu skaitu, stundas likmi un padarītā darba saturu</w:t>
      </w:r>
      <w:r w:rsidRPr="008E3F42">
        <w:rPr>
          <w:sz w:val="28"/>
          <w:szCs w:val="28"/>
        </w:rPr>
        <w:t>;</w:t>
      </w:r>
    </w:p>
    <w:p w:rsidR="001025BE" w:rsidRDefault="001025BE" w:rsidP="001025BE">
      <w:pPr>
        <w:pStyle w:val="ListParagraph"/>
        <w:numPr>
          <w:ilvl w:val="0"/>
          <w:numId w:val="5"/>
        </w:numPr>
        <w:jc w:val="both"/>
        <w:rPr>
          <w:sz w:val="28"/>
          <w:szCs w:val="28"/>
        </w:rPr>
      </w:pPr>
      <w:r w:rsidRPr="001025BE">
        <w:rPr>
          <w:b/>
          <w:sz w:val="28"/>
          <w:szCs w:val="28"/>
        </w:rPr>
        <w:t>pakalpojumu izmaksas</w:t>
      </w:r>
      <w:r>
        <w:rPr>
          <w:sz w:val="28"/>
          <w:szCs w:val="28"/>
        </w:rPr>
        <w:t xml:space="preserve">, kuru samaksa veikta piemērojot cilvēkstundas likmi, </w:t>
      </w:r>
      <w:r w:rsidRPr="001025BE">
        <w:rPr>
          <w:b/>
          <w:sz w:val="28"/>
          <w:szCs w:val="28"/>
        </w:rPr>
        <w:t>nepārsniedz 5% no projekta kopējām tiešajām attiecināmajām izmaksām</w:t>
      </w:r>
      <w:r>
        <w:rPr>
          <w:sz w:val="28"/>
          <w:szCs w:val="28"/>
        </w:rPr>
        <w:t xml:space="preserve">. Nosacījums neattiecas uz finansējuma saņēmējiem, kuri noslēguši līgumus līdz </w:t>
      </w:r>
      <w:proofErr w:type="spellStart"/>
      <w:r>
        <w:rPr>
          <w:sz w:val="28"/>
          <w:szCs w:val="28"/>
        </w:rPr>
        <w:t>protokollēmuma</w:t>
      </w:r>
      <w:proofErr w:type="spellEnd"/>
      <w:r>
        <w:rPr>
          <w:sz w:val="28"/>
          <w:szCs w:val="28"/>
        </w:rPr>
        <w:t xml:space="preserve"> pieņemšanas dienai un kuriem saskaņā ar līguma nosacījumiem bez finansiālas</w:t>
      </w:r>
      <w:r w:rsidRPr="00AB6204">
        <w:rPr>
          <w:sz w:val="28"/>
          <w:szCs w:val="28"/>
        </w:rPr>
        <w:t xml:space="preserve"> </w:t>
      </w:r>
      <w:r>
        <w:rPr>
          <w:sz w:val="28"/>
          <w:szCs w:val="28"/>
        </w:rPr>
        <w:t xml:space="preserve">negatīvas ietekmes nav iespējams pakalpojumus turpmāk nepasūtīt; </w:t>
      </w:r>
    </w:p>
    <w:p w:rsidR="00237C73" w:rsidRPr="00B34CB9" w:rsidRDefault="001025BE" w:rsidP="001025BE">
      <w:pPr>
        <w:pStyle w:val="ListParagraph"/>
        <w:numPr>
          <w:ilvl w:val="0"/>
          <w:numId w:val="5"/>
        </w:numPr>
        <w:jc w:val="both"/>
        <w:rPr>
          <w:sz w:val="28"/>
          <w:szCs w:val="28"/>
        </w:rPr>
      </w:pPr>
      <w:r w:rsidRPr="001025BE">
        <w:rPr>
          <w:b/>
          <w:sz w:val="28"/>
          <w:szCs w:val="28"/>
        </w:rPr>
        <w:t>iepirkumu tehniskās specifikācijas izstrādes izmaksas nepārsniedz 5% no projekta tiešajām attiecināmajām izmaksām</w:t>
      </w:r>
      <w:r>
        <w:rPr>
          <w:sz w:val="28"/>
          <w:szCs w:val="28"/>
        </w:rPr>
        <w:t xml:space="preserve">. Nosacījums neattiecas uz finansējuma saņēmējiem, kuri noslēguši līgumus līdz </w:t>
      </w:r>
      <w:proofErr w:type="spellStart"/>
      <w:r>
        <w:rPr>
          <w:sz w:val="28"/>
          <w:szCs w:val="28"/>
        </w:rPr>
        <w:t>protokollēmuma</w:t>
      </w:r>
      <w:proofErr w:type="spellEnd"/>
      <w:r>
        <w:rPr>
          <w:sz w:val="28"/>
          <w:szCs w:val="28"/>
        </w:rPr>
        <w:t xml:space="preserve"> pieņemšanas dienai un kuriem saskaņā ar līguma nosacījumiem bez finansiālas negatīvas ietekmes nav iespējams pakalpojumus turpmāk nepasūtīt</w:t>
      </w:r>
      <w:r w:rsidR="00237C73" w:rsidRPr="00B34CB9">
        <w:rPr>
          <w:sz w:val="28"/>
          <w:szCs w:val="28"/>
        </w:rPr>
        <w:t>;</w:t>
      </w:r>
    </w:p>
    <w:p w:rsidR="00237C73" w:rsidRPr="00B34CB9" w:rsidRDefault="00237C73" w:rsidP="001025BE">
      <w:pPr>
        <w:pStyle w:val="ListParagraph"/>
        <w:numPr>
          <w:ilvl w:val="0"/>
          <w:numId w:val="5"/>
        </w:numPr>
        <w:jc w:val="both"/>
        <w:rPr>
          <w:sz w:val="28"/>
          <w:szCs w:val="28"/>
        </w:rPr>
      </w:pPr>
      <w:r w:rsidRPr="00B34CB9">
        <w:rPr>
          <w:sz w:val="28"/>
          <w:szCs w:val="28"/>
        </w:rPr>
        <w:t xml:space="preserve">iepirkumos, kur līgumi ar pakalpojumu sniedzējiem ir noslēgti un kur konsultāciju pakalpojumu likme pārsniedz 45 latus par cilvēkstundu, </w:t>
      </w:r>
      <w:r w:rsidRPr="00B34CB9">
        <w:rPr>
          <w:b/>
          <w:sz w:val="28"/>
          <w:szCs w:val="28"/>
        </w:rPr>
        <w:lastRenderedPageBreak/>
        <w:t>iespēju robežās noslēgto līgumu ietvaros vienoties par konsultāciju pakalpojumu likmes samazinājumu atbilstoši tirgus cenai</w:t>
      </w:r>
      <w:r w:rsidRPr="00B34CB9">
        <w:rPr>
          <w:sz w:val="28"/>
          <w:szCs w:val="28"/>
        </w:rPr>
        <w:t>.</w:t>
      </w:r>
    </w:p>
    <w:p w:rsidR="00237C73" w:rsidRPr="00B34CB9" w:rsidRDefault="00237C73" w:rsidP="00237C73">
      <w:pPr>
        <w:ind w:firstLine="709"/>
        <w:jc w:val="both"/>
        <w:rPr>
          <w:sz w:val="28"/>
          <w:szCs w:val="28"/>
        </w:rPr>
      </w:pPr>
    </w:p>
    <w:p w:rsidR="00E63FFB" w:rsidRPr="00B34CB9" w:rsidRDefault="00D47C5A" w:rsidP="00E63FFB">
      <w:pPr>
        <w:ind w:firstLine="709"/>
        <w:jc w:val="both"/>
        <w:rPr>
          <w:sz w:val="28"/>
          <w:szCs w:val="28"/>
        </w:rPr>
      </w:pPr>
      <w:r w:rsidRPr="00D47C5A">
        <w:rPr>
          <w:sz w:val="28"/>
          <w:szCs w:val="28"/>
        </w:rPr>
        <w:t xml:space="preserve">Informatīvais ziņojums šī gada </w:t>
      </w:r>
      <w:r w:rsidR="00844023">
        <w:rPr>
          <w:sz w:val="28"/>
          <w:szCs w:val="28"/>
        </w:rPr>
        <w:t>2</w:t>
      </w:r>
      <w:r w:rsidRPr="00D47C5A">
        <w:rPr>
          <w:sz w:val="28"/>
          <w:szCs w:val="28"/>
        </w:rPr>
        <w:t>1.aprīlīt tika izskatīts Koalīcijas partneru darba grup</w:t>
      </w:r>
      <w:r>
        <w:rPr>
          <w:sz w:val="28"/>
          <w:szCs w:val="28"/>
        </w:rPr>
        <w:t>ā</w:t>
      </w:r>
      <w:r w:rsidRPr="00D47C5A">
        <w:rPr>
          <w:sz w:val="28"/>
          <w:szCs w:val="28"/>
        </w:rPr>
        <w:t xml:space="preserve"> </w:t>
      </w:r>
      <w:r>
        <w:rPr>
          <w:sz w:val="28"/>
          <w:szCs w:val="28"/>
        </w:rPr>
        <w:t>„</w:t>
      </w:r>
      <w:r w:rsidRPr="00D47C5A">
        <w:rPr>
          <w:sz w:val="28"/>
          <w:szCs w:val="28"/>
        </w:rPr>
        <w:t>Par ES Struktūrfondu un Kohēzijas fonda jautājumiem</w:t>
      </w:r>
      <w:r>
        <w:rPr>
          <w:sz w:val="28"/>
          <w:szCs w:val="28"/>
        </w:rPr>
        <w:t>”</w:t>
      </w:r>
      <w:r w:rsidRPr="00D47C5A">
        <w:rPr>
          <w:sz w:val="28"/>
          <w:szCs w:val="28"/>
        </w:rPr>
        <w:t>, kurā tika konceptuāli atbalstīts</w:t>
      </w:r>
      <w:r>
        <w:rPr>
          <w:sz w:val="28"/>
          <w:szCs w:val="28"/>
        </w:rPr>
        <w:t>.</w:t>
      </w:r>
      <w:r w:rsidRPr="00D47C5A">
        <w:rPr>
          <w:sz w:val="28"/>
          <w:szCs w:val="28"/>
        </w:rPr>
        <w:t xml:space="preserve"> </w:t>
      </w:r>
    </w:p>
    <w:p w:rsidR="00635303" w:rsidRDefault="00635303">
      <w:pPr>
        <w:ind w:firstLine="709"/>
        <w:jc w:val="both"/>
        <w:rPr>
          <w:sz w:val="22"/>
          <w:szCs w:val="22"/>
        </w:rPr>
      </w:pPr>
    </w:p>
    <w:p w:rsidR="007C2456" w:rsidRPr="00B34CB9" w:rsidRDefault="007C2456" w:rsidP="00B34CB9">
      <w:pPr>
        <w:jc w:val="both"/>
        <w:rPr>
          <w:rStyle w:val="flexinput2"/>
          <w:sz w:val="28"/>
          <w:szCs w:val="28"/>
        </w:rPr>
      </w:pPr>
    </w:p>
    <w:p w:rsidR="00B34CB9" w:rsidRPr="00B34CB9" w:rsidRDefault="00B34CB9" w:rsidP="00B34CB9">
      <w:pPr>
        <w:jc w:val="both"/>
        <w:rPr>
          <w:rStyle w:val="flexinput2"/>
          <w:sz w:val="28"/>
          <w:szCs w:val="28"/>
        </w:rPr>
      </w:pPr>
      <w:r w:rsidRPr="00B34CB9">
        <w:rPr>
          <w:rStyle w:val="flexinput2"/>
          <w:sz w:val="28"/>
          <w:szCs w:val="28"/>
        </w:rPr>
        <w:t xml:space="preserve">Vides aizsardzības un reģionālās </w:t>
      </w:r>
    </w:p>
    <w:p w:rsidR="00AA1BAF" w:rsidRDefault="00B34CB9" w:rsidP="00B34CB9">
      <w:pPr>
        <w:jc w:val="both"/>
        <w:rPr>
          <w:rStyle w:val="flexinput2"/>
          <w:sz w:val="28"/>
          <w:szCs w:val="28"/>
        </w:rPr>
      </w:pPr>
      <w:r w:rsidRPr="00B34CB9">
        <w:rPr>
          <w:rStyle w:val="flexinput2"/>
          <w:sz w:val="28"/>
          <w:szCs w:val="28"/>
        </w:rPr>
        <w:t>attīstības ministr</w:t>
      </w:r>
      <w:r w:rsidR="00AA1BAF">
        <w:rPr>
          <w:rStyle w:val="flexinput2"/>
          <w:sz w:val="28"/>
          <w:szCs w:val="28"/>
        </w:rPr>
        <w:t>a vietā –</w:t>
      </w:r>
    </w:p>
    <w:p w:rsidR="00B34CB9" w:rsidRPr="00B34CB9" w:rsidRDefault="00AA1BAF" w:rsidP="00B34CB9">
      <w:pPr>
        <w:jc w:val="both"/>
        <w:rPr>
          <w:rStyle w:val="flexinput2"/>
          <w:sz w:val="28"/>
          <w:szCs w:val="28"/>
        </w:rPr>
      </w:pPr>
      <w:r>
        <w:rPr>
          <w:rStyle w:val="flexinput2"/>
          <w:sz w:val="28"/>
          <w:szCs w:val="28"/>
        </w:rPr>
        <w:t>satiksmes ministrs</w:t>
      </w:r>
      <w:r w:rsidR="00B34CB9" w:rsidRPr="00B34CB9">
        <w:rPr>
          <w:rStyle w:val="flexinput2"/>
          <w:sz w:val="28"/>
          <w:szCs w:val="28"/>
        </w:rPr>
        <w:tab/>
      </w:r>
      <w:r w:rsidR="00B34CB9" w:rsidRPr="00B34CB9">
        <w:rPr>
          <w:rStyle w:val="flexinput2"/>
          <w:sz w:val="28"/>
          <w:szCs w:val="28"/>
        </w:rPr>
        <w:tab/>
      </w:r>
      <w:r w:rsidR="00B34CB9" w:rsidRPr="00B34CB9">
        <w:rPr>
          <w:rStyle w:val="flexinput2"/>
          <w:sz w:val="28"/>
          <w:szCs w:val="28"/>
        </w:rPr>
        <w:tab/>
      </w:r>
      <w:r w:rsidR="00B34CB9" w:rsidRPr="00B34CB9">
        <w:rPr>
          <w:rStyle w:val="flexinput2"/>
          <w:sz w:val="28"/>
          <w:szCs w:val="28"/>
        </w:rPr>
        <w:tab/>
      </w:r>
      <w:r w:rsidR="00B34CB9" w:rsidRPr="00B34CB9">
        <w:rPr>
          <w:rStyle w:val="flexinput2"/>
          <w:sz w:val="28"/>
          <w:szCs w:val="28"/>
        </w:rPr>
        <w:tab/>
      </w:r>
      <w:r w:rsidR="00B34CB9" w:rsidRPr="00B34CB9">
        <w:rPr>
          <w:rStyle w:val="flexinput2"/>
          <w:sz w:val="28"/>
          <w:szCs w:val="28"/>
        </w:rPr>
        <w:tab/>
      </w:r>
      <w:r w:rsidR="00B34CB9" w:rsidRPr="00B34CB9">
        <w:rPr>
          <w:rStyle w:val="flexinput2"/>
          <w:sz w:val="28"/>
          <w:szCs w:val="28"/>
        </w:rPr>
        <w:tab/>
      </w:r>
      <w:r w:rsidR="00B34CB9" w:rsidRPr="00B34CB9">
        <w:rPr>
          <w:rStyle w:val="flexinput2"/>
          <w:sz w:val="28"/>
          <w:szCs w:val="28"/>
        </w:rPr>
        <w:tab/>
      </w:r>
      <w:r>
        <w:rPr>
          <w:rStyle w:val="flexinput2"/>
          <w:sz w:val="28"/>
          <w:szCs w:val="28"/>
        </w:rPr>
        <w:t>U</w:t>
      </w:r>
      <w:r w:rsidR="00B34CB9" w:rsidRPr="00B34CB9">
        <w:rPr>
          <w:rStyle w:val="flexinput2"/>
          <w:sz w:val="28"/>
          <w:szCs w:val="28"/>
        </w:rPr>
        <w:t>.</w:t>
      </w:r>
      <w:r>
        <w:rPr>
          <w:rStyle w:val="flexinput2"/>
          <w:sz w:val="28"/>
          <w:szCs w:val="28"/>
        </w:rPr>
        <w:t>Augulis</w:t>
      </w:r>
    </w:p>
    <w:p w:rsidR="00B34CB9" w:rsidRPr="00B34CB9" w:rsidRDefault="00B34CB9" w:rsidP="00B34CB9">
      <w:pPr>
        <w:jc w:val="both"/>
        <w:rPr>
          <w:rStyle w:val="flexinput2"/>
          <w:sz w:val="28"/>
          <w:szCs w:val="28"/>
        </w:rPr>
      </w:pPr>
    </w:p>
    <w:p w:rsidR="00B34CB9" w:rsidRPr="00B34CB9" w:rsidRDefault="00B34CB9" w:rsidP="00B34CB9">
      <w:pPr>
        <w:jc w:val="both"/>
        <w:rPr>
          <w:rStyle w:val="flexinput2"/>
          <w:sz w:val="28"/>
          <w:szCs w:val="28"/>
        </w:rPr>
      </w:pPr>
      <w:r w:rsidRPr="00B34CB9">
        <w:rPr>
          <w:rStyle w:val="flexinput2"/>
          <w:sz w:val="28"/>
          <w:szCs w:val="28"/>
        </w:rPr>
        <w:t>Vīza:</w:t>
      </w:r>
    </w:p>
    <w:p w:rsidR="00B34CB9" w:rsidRPr="00B34CB9" w:rsidRDefault="00B34CB9" w:rsidP="00B34CB9">
      <w:pPr>
        <w:jc w:val="both"/>
        <w:rPr>
          <w:rStyle w:val="flexinput2"/>
          <w:sz w:val="28"/>
          <w:szCs w:val="28"/>
        </w:rPr>
      </w:pPr>
      <w:r w:rsidRPr="00B34CB9">
        <w:rPr>
          <w:rStyle w:val="flexinput2"/>
          <w:sz w:val="28"/>
          <w:szCs w:val="28"/>
        </w:rPr>
        <w:t xml:space="preserve">Vides aizsardzības un reģionālās </w:t>
      </w:r>
    </w:p>
    <w:p w:rsidR="00B34CB9" w:rsidRPr="00B34CB9" w:rsidRDefault="00B34CB9" w:rsidP="00B34CB9">
      <w:pPr>
        <w:jc w:val="both"/>
        <w:rPr>
          <w:sz w:val="28"/>
          <w:szCs w:val="28"/>
        </w:rPr>
      </w:pPr>
      <w:r w:rsidRPr="00B34CB9">
        <w:rPr>
          <w:rStyle w:val="flexinput2"/>
          <w:sz w:val="28"/>
          <w:szCs w:val="28"/>
        </w:rPr>
        <w:t>attīstības mi</w:t>
      </w:r>
      <w:r>
        <w:rPr>
          <w:rStyle w:val="flexinput2"/>
          <w:sz w:val="28"/>
          <w:szCs w:val="28"/>
        </w:rPr>
        <w:t>nistrijas valsts sekretārs</w:t>
      </w:r>
      <w:r>
        <w:rPr>
          <w:rStyle w:val="flexinput2"/>
          <w:sz w:val="28"/>
          <w:szCs w:val="28"/>
        </w:rPr>
        <w:tab/>
      </w:r>
      <w:r>
        <w:rPr>
          <w:rStyle w:val="flexinput2"/>
          <w:sz w:val="28"/>
          <w:szCs w:val="28"/>
        </w:rPr>
        <w:tab/>
      </w:r>
      <w:r>
        <w:rPr>
          <w:rStyle w:val="flexinput2"/>
          <w:sz w:val="28"/>
          <w:szCs w:val="28"/>
        </w:rPr>
        <w:tab/>
      </w:r>
      <w:r>
        <w:rPr>
          <w:rStyle w:val="flexinput2"/>
          <w:sz w:val="28"/>
          <w:szCs w:val="28"/>
        </w:rPr>
        <w:tab/>
      </w:r>
      <w:r>
        <w:rPr>
          <w:rStyle w:val="flexinput2"/>
          <w:sz w:val="28"/>
          <w:szCs w:val="28"/>
        </w:rPr>
        <w:tab/>
      </w:r>
      <w:r w:rsidRPr="00B34CB9">
        <w:rPr>
          <w:rStyle w:val="flexinput2"/>
          <w:sz w:val="28"/>
          <w:szCs w:val="28"/>
        </w:rPr>
        <w:t>G.Puķītis</w:t>
      </w:r>
    </w:p>
    <w:p w:rsidR="00B34CB9" w:rsidRPr="00B34CB9" w:rsidRDefault="00B34CB9" w:rsidP="00B34CB9">
      <w:pPr>
        <w:jc w:val="both"/>
        <w:rPr>
          <w:sz w:val="28"/>
          <w:szCs w:val="28"/>
        </w:rPr>
      </w:pPr>
    </w:p>
    <w:p w:rsidR="00B34CB9" w:rsidRPr="007A314F" w:rsidRDefault="00B34CB9" w:rsidP="00B34CB9">
      <w:pPr>
        <w:jc w:val="both"/>
        <w:rPr>
          <w:sz w:val="20"/>
          <w:szCs w:val="20"/>
        </w:rPr>
      </w:pPr>
    </w:p>
    <w:p w:rsidR="00B34CB9" w:rsidRDefault="00B34CB9" w:rsidP="00B34CB9">
      <w:pPr>
        <w:jc w:val="both"/>
        <w:rPr>
          <w:sz w:val="18"/>
          <w:szCs w:val="18"/>
          <w:lang w:val="fi-FI"/>
        </w:rPr>
      </w:pPr>
    </w:p>
    <w:p w:rsidR="00B34CB9" w:rsidRDefault="00B34CB9" w:rsidP="00B34CB9">
      <w:pPr>
        <w:jc w:val="both"/>
        <w:rPr>
          <w:sz w:val="18"/>
          <w:szCs w:val="18"/>
          <w:lang w:val="fi-FI"/>
        </w:rPr>
      </w:pPr>
    </w:p>
    <w:p w:rsidR="00B34CB9" w:rsidRDefault="00B34CB9" w:rsidP="00B34CB9">
      <w:pPr>
        <w:jc w:val="both"/>
        <w:rPr>
          <w:sz w:val="18"/>
          <w:szCs w:val="18"/>
          <w:lang w:val="fi-FI"/>
        </w:rPr>
      </w:pPr>
    </w:p>
    <w:p w:rsidR="00B34CB9" w:rsidRDefault="00B34CB9" w:rsidP="00B34CB9">
      <w:pPr>
        <w:jc w:val="both"/>
        <w:rPr>
          <w:sz w:val="18"/>
          <w:szCs w:val="18"/>
          <w:lang w:val="fi-FI"/>
        </w:rPr>
      </w:pPr>
    </w:p>
    <w:p w:rsidR="00B34CB9" w:rsidRPr="00E83956" w:rsidRDefault="00B34CB9" w:rsidP="00B34CB9">
      <w:pPr>
        <w:jc w:val="both"/>
        <w:rPr>
          <w:sz w:val="18"/>
          <w:szCs w:val="18"/>
        </w:rPr>
      </w:pPr>
    </w:p>
    <w:p w:rsidR="00B34CB9" w:rsidRDefault="00B34CB9" w:rsidP="00B34CB9">
      <w:pPr>
        <w:jc w:val="both"/>
        <w:rPr>
          <w:sz w:val="18"/>
          <w:szCs w:val="18"/>
          <w:lang w:val="fi-FI"/>
        </w:rPr>
      </w:pPr>
    </w:p>
    <w:p w:rsidR="006770EB" w:rsidRDefault="006770EB" w:rsidP="00B34CB9">
      <w:pPr>
        <w:jc w:val="both"/>
        <w:rPr>
          <w:sz w:val="18"/>
          <w:szCs w:val="18"/>
          <w:lang w:val="fi-FI"/>
        </w:rPr>
      </w:pPr>
    </w:p>
    <w:p w:rsidR="006770EB" w:rsidRDefault="006770EB" w:rsidP="00B34CB9">
      <w:pPr>
        <w:jc w:val="both"/>
        <w:rPr>
          <w:sz w:val="18"/>
          <w:szCs w:val="18"/>
          <w:lang w:val="fi-FI"/>
        </w:rPr>
      </w:pPr>
    </w:p>
    <w:p w:rsidR="006770EB" w:rsidRDefault="006770EB" w:rsidP="00B34CB9">
      <w:pPr>
        <w:jc w:val="both"/>
        <w:rPr>
          <w:sz w:val="18"/>
          <w:szCs w:val="18"/>
          <w:lang w:val="fi-FI"/>
        </w:rPr>
      </w:pPr>
    </w:p>
    <w:p w:rsidR="006770EB" w:rsidRDefault="006770EB" w:rsidP="00B34CB9">
      <w:pPr>
        <w:jc w:val="both"/>
        <w:rPr>
          <w:sz w:val="18"/>
          <w:szCs w:val="18"/>
          <w:lang w:val="fi-FI"/>
        </w:rPr>
      </w:pPr>
    </w:p>
    <w:p w:rsidR="006770EB" w:rsidRDefault="006770EB" w:rsidP="00B34CB9">
      <w:pPr>
        <w:jc w:val="both"/>
        <w:rPr>
          <w:sz w:val="18"/>
          <w:szCs w:val="18"/>
          <w:lang w:val="fi-FI"/>
        </w:rPr>
      </w:pPr>
    </w:p>
    <w:p w:rsidR="006770EB" w:rsidRDefault="006770EB" w:rsidP="00B34CB9">
      <w:pPr>
        <w:jc w:val="both"/>
        <w:rPr>
          <w:sz w:val="18"/>
          <w:szCs w:val="18"/>
          <w:lang w:val="fi-FI"/>
        </w:rPr>
      </w:pPr>
    </w:p>
    <w:p w:rsidR="006770EB" w:rsidRDefault="006770EB" w:rsidP="00B34CB9">
      <w:pPr>
        <w:jc w:val="both"/>
        <w:rPr>
          <w:sz w:val="18"/>
          <w:szCs w:val="18"/>
          <w:lang w:val="fi-FI"/>
        </w:rPr>
      </w:pPr>
    </w:p>
    <w:p w:rsidR="006770EB" w:rsidRDefault="006770EB" w:rsidP="00B34CB9">
      <w:pPr>
        <w:jc w:val="both"/>
        <w:rPr>
          <w:sz w:val="18"/>
          <w:szCs w:val="18"/>
          <w:lang w:val="fi-FI"/>
        </w:rPr>
      </w:pPr>
    </w:p>
    <w:p w:rsidR="006770EB" w:rsidRDefault="006770EB" w:rsidP="00B34CB9">
      <w:pPr>
        <w:jc w:val="both"/>
        <w:rPr>
          <w:sz w:val="18"/>
          <w:szCs w:val="18"/>
          <w:lang w:val="fi-FI"/>
        </w:rPr>
      </w:pPr>
    </w:p>
    <w:p w:rsidR="006770EB" w:rsidRDefault="006770EB" w:rsidP="00B34CB9">
      <w:pPr>
        <w:jc w:val="both"/>
        <w:rPr>
          <w:sz w:val="18"/>
          <w:szCs w:val="18"/>
          <w:lang w:val="fi-FI"/>
        </w:rPr>
      </w:pPr>
    </w:p>
    <w:p w:rsidR="006770EB" w:rsidRDefault="006770EB" w:rsidP="00B34CB9">
      <w:pPr>
        <w:jc w:val="both"/>
        <w:rPr>
          <w:sz w:val="18"/>
          <w:szCs w:val="18"/>
          <w:lang w:val="fi-FI"/>
        </w:rPr>
      </w:pPr>
    </w:p>
    <w:p w:rsidR="006770EB" w:rsidRDefault="006770EB" w:rsidP="00B34CB9">
      <w:pPr>
        <w:jc w:val="both"/>
        <w:rPr>
          <w:sz w:val="18"/>
          <w:szCs w:val="18"/>
          <w:lang w:val="fi-FI"/>
        </w:rPr>
      </w:pPr>
    </w:p>
    <w:p w:rsidR="006770EB" w:rsidRDefault="006770EB" w:rsidP="00B34CB9">
      <w:pPr>
        <w:jc w:val="both"/>
        <w:rPr>
          <w:sz w:val="18"/>
          <w:szCs w:val="18"/>
          <w:lang w:val="fi-FI"/>
        </w:rPr>
      </w:pPr>
    </w:p>
    <w:p w:rsidR="006770EB" w:rsidRDefault="006770EB" w:rsidP="00B34CB9">
      <w:pPr>
        <w:jc w:val="both"/>
        <w:rPr>
          <w:sz w:val="18"/>
          <w:szCs w:val="18"/>
          <w:lang w:val="fi-FI"/>
        </w:rPr>
      </w:pPr>
    </w:p>
    <w:p w:rsidR="006770EB" w:rsidRDefault="006770EB" w:rsidP="00B34CB9">
      <w:pPr>
        <w:jc w:val="both"/>
        <w:rPr>
          <w:sz w:val="18"/>
          <w:szCs w:val="18"/>
          <w:lang w:val="fi-FI"/>
        </w:rPr>
      </w:pPr>
    </w:p>
    <w:p w:rsidR="006770EB" w:rsidRDefault="006770EB" w:rsidP="00B34CB9">
      <w:pPr>
        <w:jc w:val="both"/>
        <w:rPr>
          <w:sz w:val="18"/>
          <w:szCs w:val="18"/>
          <w:lang w:val="fi-FI"/>
        </w:rPr>
      </w:pPr>
    </w:p>
    <w:p w:rsidR="006770EB" w:rsidRDefault="006770EB" w:rsidP="00B34CB9">
      <w:pPr>
        <w:jc w:val="both"/>
        <w:rPr>
          <w:sz w:val="18"/>
          <w:szCs w:val="18"/>
          <w:lang w:val="fi-FI"/>
        </w:rPr>
      </w:pPr>
    </w:p>
    <w:p w:rsidR="006770EB" w:rsidRDefault="006770EB" w:rsidP="00B34CB9">
      <w:pPr>
        <w:jc w:val="both"/>
        <w:rPr>
          <w:sz w:val="18"/>
          <w:szCs w:val="18"/>
          <w:lang w:val="fi-FI"/>
        </w:rPr>
      </w:pPr>
    </w:p>
    <w:p w:rsidR="006770EB" w:rsidRDefault="006770EB" w:rsidP="00B34CB9">
      <w:pPr>
        <w:jc w:val="both"/>
        <w:rPr>
          <w:sz w:val="18"/>
          <w:szCs w:val="18"/>
          <w:lang w:val="fi-FI"/>
        </w:rPr>
      </w:pPr>
    </w:p>
    <w:p w:rsidR="006770EB" w:rsidRDefault="006770EB" w:rsidP="00B34CB9">
      <w:pPr>
        <w:jc w:val="both"/>
        <w:rPr>
          <w:sz w:val="18"/>
          <w:szCs w:val="18"/>
          <w:lang w:val="fi-FI"/>
        </w:rPr>
      </w:pPr>
    </w:p>
    <w:p w:rsidR="006770EB" w:rsidRDefault="006770EB" w:rsidP="00B34CB9">
      <w:pPr>
        <w:jc w:val="both"/>
        <w:rPr>
          <w:sz w:val="18"/>
          <w:szCs w:val="18"/>
          <w:lang w:val="fi-FI"/>
        </w:rPr>
      </w:pPr>
    </w:p>
    <w:p w:rsidR="006770EB" w:rsidRDefault="006770EB" w:rsidP="00B34CB9">
      <w:pPr>
        <w:jc w:val="both"/>
        <w:rPr>
          <w:sz w:val="18"/>
          <w:szCs w:val="18"/>
          <w:lang w:val="fi-FI"/>
        </w:rPr>
      </w:pPr>
    </w:p>
    <w:p w:rsidR="006770EB" w:rsidRDefault="006770EB" w:rsidP="00B34CB9">
      <w:pPr>
        <w:jc w:val="both"/>
        <w:rPr>
          <w:sz w:val="18"/>
          <w:szCs w:val="18"/>
          <w:lang w:val="fi-FI"/>
        </w:rPr>
      </w:pPr>
    </w:p>
    <w:p w:rsidR="006770EB" w:rsidRDefault="006770EB" w:rsidP="00B34CB9">
      <w:pPr>
        <w:jc w:val="both"/>
        <w:rPr>
          <w:sz w:val="18"/>
          <w:szCs w:val="18"/>
          <w:lang w:val="fi-FI"/>
        </w:rPr>
      </w:pPr>
    </w:p>
    <w:p w:rsidR="006770EB" w:rsidRDefault="006770EB" w:rsidP="00B34CB9">
      <w:pPr>
        <w:jc w:val="both"/>
        <w:rPr>
          <w:sz w:val="18"/>
          <w:szCs w:val="18"/>
          <w:lang w:val="fi-FI"/>
        </w:rPr>
      </w:pPr>
    </w:p>
    <w:p w:rsidR="00B34CB9" w:rsidRDefault="00B34CB9" w:rsidP="00B34CB9">
      <w:pPr>
        <w:jc w:val="both"/>
        <w:rPr>
          <w:sz w:val="18"/>
          <w:szCs w:val="18"/>
          <w:lang w:val="fi-FI"/>
        </w:rPr>
      </w:pPr>
    </w:p>
    <w:p w:rsidR="00B34CB9" w:rsidRDefault="00B34CB9" w:rsidP="00B34CB9">
      <w:pPr>
        <w:jc w:val="both"/>
        <w:rPr>
          <w:sz w:val="18"/>
          <w:szCs w:val="18"/>
          <w:lang w:val="fi-FI"/>
        </w:rPr>
      </w:pPr>
    </w:p>
    <w:p w:rsidR="00B34CB9" w:rsidRDefault="00B34CB9" w:rsidP="00B34CB9">
      <w:pPr>
        <w:jc w:val="both"/>
        <w:rPr>
          <w:sz w:val="18"/>
          <w:szCs w:val="18"/>
          <w:lang w:val="fi-FI"/>
        </w:rPr>
      </w:pPr>
    </w:p>
    <w:p w:rsidR="00B34CB9" w:rsidRDefault="00B34CB9" w:rsidP="00B34CB9">
      <w:pPr>
        <w:jc w:val="both"/>
        <w:rPr>
          <w:sz w:val="18"/>
          <w:szCs w:val="18"/>
          <w:lang w:val="fi-FI"/>
        </w:rPr>
      </w:pPr>
    </w:p>
    <w:p w:rsidR="00B34CB9" w:rsidRDefault="00B34CB9" w:rsidP="00B34CB9">
      <w:pPr>
        <w:jc w:val="both"/>
        <w:rPr>
          <w:sz w:val="18"/>
          <w:szCs w:val="18"/>
          <w:lang w:val="fi-FI"/>
        </w:rPr>
      </w:pPr>
    </w:p>
    <w:p w:rsidR="00B34CB9" w:rsidRDefault="00B34CB9" w:rsidP="00B34CB9">
      <w:pPr>
        <w:jc w:val="both"/>
        <w:rPr>
          <w:sz w:val="18"/>
          <w:szCs w:val="18"/>
          <w:lang w:val="fi-FI"/>
        </w:rPr>
      </w:pPr>
    </w:p>
    <w:p w:rsidR="00B34CB9" w:rsidRDefault="00B34CB9" w:rsidP="00B34CB9">
      <w:pPr>
        <w:jc w:val="both"/>
        <w:rPr>
          <w:sz w:val="18"/>
          <w:szCs w:val="18"/>
          <w:lang w:val="fi-FI"/>
        </w:rPr>
      </w:pPr>
    </w:p>
    <w:p w:rsidR="00B34CB9" w:rsidRPr="00A071D9" w:rsidRDefault="00353B4C" w:rsidP="00B34CB9">
      <w:pPr>
        <w:jc w:val="both"/>
        <w:rPr>
          <w:sz w:val="18"/>
          <w:szCs w:val="18"/>
          <w:lang w:val="fi-FI"/>
        </w:rPr>
      </w:pPr>
      <w:r>
        <w:rPr>
          <w:sz w:val="18"/>
          <w:szCs w:val="18"/>
          <w:lang w:val="fi-FI"/>
        </w:rPr>
        <w:t>0</w:t>
      </w:r>
      <w:r w:rsidR="00756F50">
        <w:rPr>
          <w:sz w:val="18"/>
          <w:szCs w:val="18"/>
          <w:lang w:val="fi-FI"/>
        </w:rPr>
        <w:t>7</w:t>
      </w:r>
      <w:r w:rsidR="00064146">
        <w:rPr>
          <w:sz w:val="18"/>
          <w:szCs w:val="18"/>
          <w:lang w:val="fi-FI"/>
        </w:rPr>
        <w:t>.06.</w:t>
      </w:r>
      <w:r w:rsidR="00B34CB9" w:rsidRPr="00A071D9">
        <w:rPr>
          <w:sz w:val="18"/>
          <w:szCs w:val="18"/>
          <w:lang w:val="fi-FI"/>
        </w:rPr>
        <w:t xml:space="preserve">2011. </w:t>
      </w:r>
      <w:r w:rsidR="00756F50">
        <w:rPr>
          <w:sz w:val="18"/>
          <w:szCs w:val="18"/>
          <w:lang w:val="fi-FI"/>
        </w:rPr>
        <w:t>09</w:t>
      </w:r>
      <w:r w:rsidR="006770EB">
        <w:rPr>
          <w:sz w:val="18"/>
          <w:szCs w:val="18"/>
          <w:lang w:val="fi-FI"/>
        </w:rPr>
        <w:t>:24</w:t>
      </w:r>
    </w:p>
    <w:p w:rsidR="00B34CB9" w:rsidRPr="00A071D9" w:rsidRDefault="00353B4C" w:rsidP="00B34CB9">
      <w:pPr>
        <w:rPr>
          <w:sz w:val="18"/>
          <w:szCs w:val="18"/>
          <w:lang w:val="fi-FI"/>
        </w:rPr>
      </w:pPr>
      <w:r>
        <w:rPr>
          <w:sz w:val="18"/>
          <w:szCs w:val="18"/>
          <w:lang w:val="fi-FI"/>
        </w:rPr>
        <w:t>110</w:t>
      </w:r>
      <w:r w:rsidR="00756F50">
        <w:rPr>
          <w:sz w:val="18"/>
          <w:szCs w:val="18"/>
          <w:lang w:val="fi-FI"/>
        </w:rPr>
        <w:t>3</w:t>
      </w:r>
    </w:p>
    <w:p w:rsidR="00B34CB9" w:rsidRPr="00A071D9" w:rsidRDefault="00B34CB9" w:rsidP="00B34CB9">
      <w:pPr>
        <w:rPr>
          <w:sz w:val="18"/>
          <w:szCs w:val="18"/>
          <w:lang w:val="fi-FI"/>
        </w:rPr>
      </w:pPr>
      <w:r>
        <w:rPr>
          <w:sz w:val="18"/>
          <w:szCs w:val="18"/>
          <w:lang w:val="fi-FI"/>
        </w:rPr>
        <w:lastRenderedPageBreak/>
        <w:t>Ritvars Timermanis</w:t>
      </w:r>
    </w:p>
    <w:p w:rsidR="00B34CB9" w:rsidRPr="00B34CB9" w:rsidRDefault="00B34CB9" w:rsidP="00353B4C">
      <w:pPr>
        <w:rPr>
          <w:sz w:val="22"/>
          <w:szCs w:val="22"/>
          <w:lang w:val="fi-FI"/>
        </w:rPr>
      </w:pPr>
      <w:r w:rsidRPr="00A071D9">
        <w:rPr>
          <w:sz w:val="18"/>
          <w:szCs w:val="18"/>
          <w:lang w:val="fi-FI"/>
        </w:rPr>
        <w:t>6777032</w:t>
      </w:r>
      <w:r>
        <w:rPr>
          <w:sz w:val="18"/>
          <w:szCs w:val="18"/>
          <w:lang w:val="fi-FI"/>
        </w:rPr>
        <w:t xml:space="preserve">4, </w:t>
      </w:r>
      <w:r w:rsidRPr="00A071D9">
        <w:rPr>
          <w:sz w:val="18"/>
          <w:szCs w:val="18"/>
          <w:lang w:val="fi-FI"/>
        </w:rPr>
        <w:t xml:space="preserve"> </w:t>
      </w:r>
      <w:hyperlink r:id="rId9" w:history="1">
        <w:r w:rsidRPr="005436E9">
          <w:rPr>
            <w:rStyle w:val="Hyperlink"/>
            <w:rFonts w:cs="Arial Unicode MS"/>
            <w:sz w:val="18"/>
            <w:szCs w:val="18"/>
            <w:lang w:val="fi-FI"/>
          </w:rPr>
          <w:t>ritvars.timermanis@varam.gov.lv</w:t>
        </w:r>
      </w:hyperlink>
      <w:r w:rsidRPr="00A071D9">
        <w:rPr>
          <w:sz w:val="18"/>
          <w:szCs w:val="18"/>
          <w:lang w:val="fi-FI"/>
        </w:rPr>
        <w:t xml:space="preserve"> </w:t>
      </w:r>
    </w:p>
    <w:sectPr w:rsidR="00B34CB9" w:rsidRPr="00B34CB9" w:rsidSect="00106F91">
      <w:headerReference w:type="default" r:id="rId10"/>
      <w:footerReference w:type="default" r:id="rId11"/>
      <w:footerReference w:type="first" r:id="rId12"/>
      <w:pgSz w:w="11906" w:h="16838" w:code="9"/>
      <w:pgMar w:top="1135" w:right="849" w:bottom="709"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BAF" w:rsidRDefault="00AA1BAF">
      <w:r>
        <w:separator/>
      </w:r>
    </w:p>
  </w:endnote>
  <w:endnote w:type="continuationSeparator" w:id="0">
    <w:p w:rsidR="00AA1BAF" w:rsidRDefault="00AA1B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AF" w:rsidRPr="00635303" w:rsidRDefault="00AA1BAF" w:rsidP="00635303">
    <w:pPr>
      <w:pStyle w:val="Footer"/>
      <w:jc w:val="both"/>
      <w:rPr>
        <w:sz w:val="18"/>
        <w:szCs w:val="18"/>
      </w:rPr>
    </w:pPr>
    <w:r w:rsidRPr="00A071D9">
      <w:rPr>
        <w:sz w:val="18"/>
        <w:szCs w:val="18"/>
      </w:rPr>
      <w:t>VARAMZino_</w:t>
    </w:r>
    <w:r>
      <w:rPr>
        <w:sz w:val="18"/>
        <w:szCs w:val="18"/>
      </w:rPr>
      <w:t>0706</w:t>
    </w:r>
    <w:r w:rsidRPr="00A071D9">
      <w:rPr>
        <w:sz w:val="18"/>
        <w:szCs w:val="18"/>
      </w:rPr>
      <w:t xml:space="preserve">11_32211; Informatīvais </w:t>
    </w:r>
    <w:smartTag w:uri="schemas-tilde-lv/tildestengine" w:element="veidnes">
      <w:smartTagPr>
        <w:attr w:name="text" w:val="ziņojums"/>
        <w:attr w:name="id" w:val="-1"/>
        <w:attr w:name="baseform" w:val="ziņojum|s"/>
      </w:smartTagPr>
      <w:r w:rsidRPr="00A071D9">
        <w:rPr>
          <w:sz w:val="18"/>
          <w:szCs w:val="18"/>
        </w:rPr>
        <w:t>ziņojums</w:t>
      </w:r>
    </w:smartTag>
    <w:r w:rsidRPr="00A071D9">
      <w:rPr>
        <w:sz w:val="18"/>
        <w:szCs w:val="18"/>
      </w:rPr>
      <w:t xml:space="preserve"> „Par maksimālajām konsultāciju pakalpojumu likmēm, kuras piemērojamas </w:t>
    </w:r>
    <w:r w:rsidRPr="00A071D9">
      <w:rPr>
        <w:bCs/>
        <w:sz w:val="18"/>
        <w:szCs w:val="18"/>
      </w:rPr>
      <w:t>darbības programmas „Infrastruktūra un pakalpojumi” papildinājuma</w:t>
    </w:r>
    <w:r w:rsidRPr="00A071D9">
      <w:rPr>
        <w:sz w:val="18"/>
        <w:szCs w:val="18"/>
      </w:rPr>
      <w:t xml:space="preserve"> </w:t>
    </w:r>
    <w:r w:rsidRPr="00A071D9">
      <w:rPr>
        <w:rStyle w:val="spelle"/>
        <w:sz w:val="18"/>
        <w:szCs w:val="18"/>
      </w:rPr>
      <w:t>3.2.2.1.1.apakšaktivitātes „Informācijas sistēmu un elektronisko pakalpojumu attīstība” projektu iepirkumos</w:t>
    </w:r>
    <w:r w:rsidRPr="00A071D9">
      <w:rPr>
        <w:sz w:val="18"/>
        <w:szCs w:val="1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AF" w:rsidRPr="00635303" w:rsidRDefault="00AA1BAF" w:rsidP="00635303">
    <w:pPr>
      <w:pStyle w:val="Footer"/>
      <w:jc w:val="both"/>
      <w:rPr>
        <w:sz w:val="18"/>
        <w:szCs w:val="18"/>
      </w:rPr>
    </w:pPr>
    <w:r w:rsidRPr="00A071D9">
      <w:rPr>
        <w:sz w:val="18"/>
        <w:szCs w:val="18"/>
      </w:rPr>
      <w:t>VARAMZino_</w:t>
    </w:r>
    <w:r>
      <w:rPr>
        <w:sz w:val="18"/>
        <w:szCs w:val="18"/>
      </w:rPr>
      <w:t>0706</w:t>
    </w:r>
    <w:r w:rsidRPr="00A071D9">
      <w:rPr>
        <w:sz w:val="18"/>
        <w:szCs w:val="18"/>
      </w:rPr>
      <w:t xml:space="preserve">11_32211; Informatīvais </w:t>
    </w:r>
    <w:smartTag w:uri="schemas-tilde-lv/tildestengine" w:element="veidnes">
      <w:smartTagPr>
        <w:attr w:name="text" w:val="ziņojums"/>
        <w:attr w:name="id" w:val="-1"/>
        <w:attr w:name="baseform" w:val="ziņojum|s"/>
      </w:smartTagPr>
      <w:r w:rsidRPr="00A071D9">
        <w:rPr>
          <w:sz w:val="18"/>
          <w:szCs w:val="18"/>
        </w:rPr>
        <w:t>ziņojums</w:t>
      </w:r>
    </w:smartTag>
    <w:r w:rsidRPr="00A071D9">
      <w:rPr>
        <w:sz w:val="18"/>
        <w:szCs w:val="18"/>
      </w:rPr>
      <w:t xml:space="preserve"> „Par maksimālajām konsultāciju pakalpojumu likmēm, kuras piemērojamas </w:t>
    </w:r>
    <w:r w:rsidRPr="00A071D9">
      <w:rPr>
        <w:bCs/>
        <w:sz w:val="18"/>
        <w:szCs w:val="18"/>
      </w:rPr>
      <w:t>darbības programmas „Infrastruktūra un pakalpojumi” papildinājuma</w:t>
    </w:r>
    <w:r w:rsidRPr="00A071D9">
      <w:rPr>
        <w:sz w:val="18"/>
        <w:szCs w:val="18"/>
      </w:rPr>
      <w:t xml:space="preserve"> </w:t>
    </w:r>
    <w:r w:rsidRPr="00A071D9">
      <w:rPr>
        <w:rStyle w:val="spelle"/>
        <w:sz w:val="18"/>
        <w:szCs w:val="18"/>
      </w:rPr>
      <w:t>3.2.2.1.1.apakšaktivitātes „Informācijas sistēmu un elektronisko pakalpojumu attīstība” projektu iepirkumos</w:t>
    </w:r>
    <w:r w:rsidRPr="00A071D9">
      <w:rPr>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BAF" w:rsidRDefault="00AA1BAF">
      <w:r>
        <w:separator/>
      </w:r>
    </w:p>
  </w:footnote>
  <w:footnote w:type="continuationSeparator" w:id="0">
    <w:p w:rsidR="00AA1BAF" w:rsidRDefault="00AA1B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AF" w:rsidRDefault="00AA1BAF">
    <w:pPr>
      <w:pStyle w:val="Header"/>
      <w:jc w:val="center"/>
    </w:pPr>
    <w:fldSimple w:instr=" PAGE   \* MERGEFORMAT ">
      <w:r w:rsidR="008E672D">
        <w:rPr>
          <w:noProof/>
        </w:rPr>
        <w:t>6</w:t>
      </w:r>
    </w:fldSimple>
  </w:p>
  <w:p w:rsidR="00AA1BAF" w:rsidRDefault="00AA1B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859A9"/>
    <w:multiLevelType w:val="hybridMultilevel"/>
    <w:tmpl w:val="779E8954"/>
    <w:lvl w:ilvl="0" w:tplc="59CC4E18">
      <w:start w:val="1"/>
      <w:numFmt w:val="decimal"/>
      <w:lvlText w:val="%1)"/>
      <w:lvlJc w:val="left"/>
      <w:pPr>
        <w:ind w:left="1429" w:hanging="360"/>
      </w:pPr>
      <w:rPr>
        <w:b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nsid w:val="17D172E3"/>
    <w:multiLevelType w:val="hybridMultilevel"/>
    <w:tmpl w:val="C854E246"/>
    <w:lvl w:ilvl="0" w:tplc="59CC4E18">
      <w:start w:val="1"/>
      <w:numFmt w:val="decimal"/>
      <w:lvlText w:val="%1)"/>
      <w:lvlJc w:val="left"/>
      <w:pPr>
        <w:ind w:left="1429" w:hanging="360"/>
      </w:pPr>
      <w:rPr>
        <w:b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nsid w:val="1EEA3C9B"/>
    <w:multiLevelType w:val="hybridMultilevel"/>
    <w:tmpl w:val="1D98A76A"/>
    <w:lvl w:ilvl="0" w:tplc="889E813A">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38D1702F"/>
    <w:multiLevelType w:val="hybridMultilevel"/>
    <w:tmpl w:val="9F70F5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0292843"/>
    <w:multiLevelType w:val="hybridMultilevel"/>
    <w:tmpl w:val="934E90AE"/>
    <w:lvl w:ilvl="0" w:tplc="04260011">
      <w:start w:val="1"/>
      <w:numFmt w:val="decimal"/>
      <w:lvlText w:val="%1)"/>
      <w:lvlJc w:val="left"/>
      <w:pPr>
        <w:ind w:left="1429" w:hanging="360"/>
      </w:pPr>
    </w:lvl>
    <w:lvl w:ilvl="1" w:tplc="04260001">
      <w:start w:val="1"/>
      <w:numFmt w:val="bullet"/>
      <w:lvlText w:val=""/>
      <w:lvlJc w:val="left"/>
      <w:pPr>
        <w:ind w:left="2149" w:hanging="360"/>
      </w:pPr>
      <w:rPr>
        <w:rFonts w:ascii="Symbol" w:hAnsi="Symbol"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nsid w:val="41715199"/>
    <w:multiLevelType w:val="hybridMultilevel"/>
    <w:tmpl w:val="51E65A06"/>
    <w:lvl w:ilvl="0" w:tplc="04260011">
      <w:start w:val="1"/>
      <w:numFmt w:val="decimal"/>
      <w:lvlText w:val="%1)"/>
      <w:lvlJc w:val="left"/>
      <w:pPr>
        <w:ind w:left="1854" w:hanging="360"/>
      </w:pPr>
      <w:rPr>
        <w:rFonts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6">
    <w:nsid w:val="4AAB541F"/>
    <w:multiLevelType w:val="hybridMultilevel"/>
    <w:tmpl w:val="C854E246"/>
    <w:lvl w:ilvl="0" w:tplc="59CC4E18">
      <w:start w:val="1"/>
      <w:numFmt w:val="decimal"/>
      <w:lvlText w:val="%1)"/>
      <w:lvlJc w:val="left"/>
      <w:pPr>
        <w:ind w:left="1429" w:hanging="360"/>
      </w:pPr>
      <w:rPr>
        <w:b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nsid w:val="67161340"/>
    <w:multiLevelType w:val="hybridMultilevel"/>
    <w:tmpl w:val="A260D6A4"/>
    <w:lvl w:ilvl="0" w:tplc="61B25328">
      <w:start w:val="1"/>
      <w:numFmt w:val="decimal"/>
      <w:lvlText w:val="%1)"/>
      <w:lvlJc w:val="left"/>
      <w:pPr>
        <w:ind w:left="1654" w:hanging="94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nsid w:val="691E6A77"/>
    <w:multiLevelType w:val="hybridMultilevel"/>
    <w:tmpl w:val="52306602"/>
    <w:lvl w:ilvl="0" w:tplc="04260001">
      <w:start w:val="1"/>
      <w:numFmt w:val="bullet"/>
      <w:lvlText w:val=""/>
      <w:lvlJc w:val="left"/>
      <w:pPr>
        <w:ind w:left="2509" w:hanging="360"/>
      </w:pPr>
      <w:rPr>
        <w:rFonts w:ascii="Symbol" w:hAnsi="Symbol" w:hint="default"/>
      </w:rPr>
    </w:lvl>
    <w:lvl w:ilvl="1" w:tplc="04260003" w:tentative="1">
      <w:start w:val="1"/>
      <w:numFmt w:val="bullet"/>
      <w:lvlText w:val="o"/>
      <w:lvlJc w:val="left"/>
      <w:pPr>
        <w:ind w:left="3229" w:hanging="360"/>
      </w:pPr>
      <w:rPr>
        <w:rFonts w:ascii="Courier New" w:hAnsi="Courier New" w:cs="Courier New" w:hint="default"/>
      </w:rPr>
    </w:lvl>
    <w:lvl w:ilvl="2" w:tplc="04260005" w:tentative="1">
      <w:start w:val="1"/>
      <w:numFmt w:val="bullet"/>
      <w:lvlText w:val=""/>
      <w:lvlJc w:val="left"/>
      <w:pPr>
        <w:ind w:left="3949" w:hanging="360"/>
      </w:pPr>
      <w:rPr>
        <w:rFonts w:ascii="Wingdings" w:hAnsi="Wingdings" w:hint="default"/>
      </w:rPr>
    </w:lvl>
    <w:lvl w:ilvl="3" w:tplc="04260001" w:tentative="1">
      <w:start w:val="1"/>
      <w:numFmt w:val="bullet"/>
      <w:lvlText w:val=""/>
      <w:lvlJc w:val="left"/>
      <w:pPr>
        <w:ind w:left="4669" w:hanging="360"/>
      </w:pPr>
      <w:rPr>
        <w:rFonts w:ascii="Symbol" w:hAnsi="Symbol" w:hint="default"/>
      </w:rPr>
    </w:lvl>
    <w:lvl w:ilvl="4" w:tplc="04260003" w:tentative="1">
      <w:start w:val="1"/>
      <w:numFmt w:val="bullet"/>
      <w:lvlText w:val="o"/>
      <w:lvlJc w:val="left"/>
      <w:pPr>
        <w:ind w:left="5389" w:hanging="360"/>
      </w:pPr>
      <w:rPr>
        <w:rFonts w:ascii="Courier New" w:hAnsi="Courier New" w:cs="Courier New" w:hint="default"/>
      </w:rPr>
    </w:lvl>
    <w:lvl w:ilvl="5" w:tplc="04260005" w:tentative="1">
      <w:start w:val="1"/>
      <w:numFmt w:val="bullet"/>
      <w:lvlText w:val=""/>
      <w:lvlJc w:val="left"/>
      <w:pPr>
        <w:ind w:left="6109" w:hanging="360"/>
      </w:pPr>
      <w:rPr>
        <w:rFonts w:ascii="Wingdings" w:hAnsi="Wingdings" w:hint="default"/>
      </w:rPr>
    </w:lvl>
    <w:lvl w:ilvl="6" w:tplc="04260001" w:tentative="1">
      <w:start w:val="1"/>
      <w:numFmt w:val="bullet"/>
      <w:lvlText w:val=""/>
      <w:lvlJc w:val="left"/>
      <w:pPr>
        <w:ind w:left="6829" w:hanging="360"/>
      </w:pPr>
      <w:rPr>
        <w:rFonts w:ascii="Symbol" w:hAnsi="Symbol" w:hint="default"/>
      </w:rPr>
    </w:lvl>
    <w:lvl w:ilvl="7" w:tplc="04260003" w:tentative="1">
      <w:start w:val="1"/>
      <w:numFmt w:val="bullet"/>
      <w:lvlText w:val="o"/>
      <w:lvlJc w:val="left"/>
      <w:pPr>
        <w:ind w:left="7549" w:hanging="360"/>
      </w:pPr>
      <w:rPr>
        <w:rFonts w:ascii="Courier New" w:hAnsi="Courier New" w:cs="Courier New" w:hint="default"/>
      </w:rPr>
    </w:lvl>
    <w:lvl w:ilvl="8" w:tplc="04260005" w:tentative="1">
      <w:start w:val="1"/>
      <w:numFmt w:val="bullet"/>
      <w:lvlText w:val=""/>
      <w:lvlJc w:val="left"/>
      <w:pPr>
        <w:ind w:left="8269" w:hanging="360"/>
      </w:pPr>
      <w:rPr>
        <w:rFonts w:ascii="Wingdings" w:hAnsi="Wingdings" w:hint="default"/>
      </w:rPr>
    </w:lvl>
  </w:abstractNum>
  <w:num w:numId="1">
    <w:abstractNumId w:val="5"/>
  </w:num>
  <w:num w:numId="2">
    <w:abstractNumId w:val="4"/>
  </w:num>
  <w:num w:numId="3">
    <w:abstractNumId w:val="2"/>
  </w:num>
  <w:num w:numId="4">
    <w:abstractNumId w:val="8"/>
  </w:num>
  <w:num w:numId="5">
    <w:abstractNumId w:val="0"/>
  </w:num>
  <w:num w:numId="6">
    <w:abstractNumId w:val="7"/>
  </w:num>
  <w:num w:numId="7">
    <w:abstractNumId w:val="3"/>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1505"/>
  </w:hdrShapeDefaults>
  <w:footnotePr>
    <w:footnote w:id="-1"/>
    <w:footnote w:id="0"/>
  </w:footnotePr>
  <w:endnotePr>
    <w:endnote w:id="-1"/>
    <w:endnote w:id="0"/>
  </w:endnotePr>
  <w:compat/>
  <w:rsids>
    <w:rsidRoot w:val="00F47136"/>
    <w:rsid w:val="00003633"/>
    <w:rsid w:val="000116AE"/>
    <w:rsid w:val="00044E23"/>
    <w:rsid w:val="00052104"/>
    <w:rsid w:val="00064146"/>
    <w:rsid w:val="00067243"/>
    <w:rsid w:val="0008256D"/>
    <w:rsid w:val="00091C04"/>
    <w:rsid w:val="000956EE"/>
    <w:rsid w:val="000962A1"/>
    <w:rsid w:val="000A1E70"/>
    <w:rsid w:val="000A69E2"/>
    <w:rsid w:val="000C3D09"/>
    <w:rsid w:val="000D19BC"/>
    <w:rsid w:val="000D3155"/>
    <w:rsid w:val="000D5A73"/>
    <w:rsid w:val="000D6296"/>
    <w:rsid w:val="000F0888"/>
    <w:rsid w:val="000F2225"/>
    <w:rsid w:val="001025BE"/>
    <w:rsid w:val="00106F91"/>
    <w:rsid w:val="00115A2E"/>
    <w:rsid w:val="00134849"/>
    <w:rsid w:val="00164848"/>
    <w:rsid w:val="001737CA"/>
    <w:rsid w:val="001A0DA9"/>
    <w:rsid w:val="001C74FF"/>
    <w:rsid w:val="001D0B32"/>
    <w:rsid w:val="00221FFE"/>
    <w:rsid w:val="0023469E"/>
    <w:rsid w:val="0023715E"/>
    <w:rsid w:val="00237357"/>
    <w:rsid w:val="00237C73"/>
    <w:rsid w:val="00241329"/>
    <w:rsid w:val="002769CE"/>
    <w:rsid w:val="002812D3"/>
    <w:rsid w:val="002A1203"/>
    <w:rsid w:val="002B27F9"/>
    <w:rsid w:val="002B7C31"/>
    <w:rsid w:val="002E1F44"/>
    <w:rsid w:val="002F5BFA"/>
    <w:rsid w:val="00324299"/>
    <w:rsid w:val="0033517C"/>
    <w:rsid w:val="00337D94"/>
    <w:rsid w:val="00353B4C"/>
    <w:rsid w:val="00355371"/>
    <w:rsid w:val="00377069"/>
    <w:rsid w:val="00394462"/>
    <w:rsid w:val="003A727B"/>
    <w:rsid w:val="003B3B1B"/>
    <w:rsid w:val="003B5E00"/>
    <w:rsid w:val="003C60C9"/>
    <w:rsid w:val="003C6703"/>
    <w:rsid w:val="003F6163"/>
    <w:rsid w:val="004022A1"/>
    <w:rsid w:val="0043257A"/>
    <w:rsid w:val="00432D57"/>
    <w:rsid w:val="00433ABC"/>
    <w:rsid w:val="00444288"/>
    <w:rsid w:val="00464D92"/>
    <w:rsid w:val="00465F51"/>
    <w:rsid w:val="004B20ED"/>
    <w:rsid w:val="004C3287"/>
    <w:rsid w:val="004D23B1"/>
    <w:rsid w:val="004E6C66"/>
    <w:rsid w:val="004F4408"/>
    <w:rsid w:val="00511CC4"/>
    <w:rsid w:val="00531337"/>
    <w:rsid w:val="00542CD6"/>
    <w:rsid w:val="00554E61"/>
    <w:rsid w:val="00570120"/>
    <w:rsid w:val="00576877"/>
    <w:rsid w:val="005A6157"/>
    <w:rsid w:val="005D2D30"/>
    <w:rsid w:val="005E6AC6"/>
    <w:rsid w:val="006048A2"/>
    <w:rsid w:val="00635303"/>
    <w:rsid w:val="0064022D"/>
    <w:rsid w:val="00666868"/>
    <w:rsid w:val="006770EB"/>
    <w:rsid w:val="006773D5"/>
    <w:rsid w:val="006778D5"/>
    <w:rsid w:val="00693008"/>
    <w:rsid w:val="006A6BB0"/>
    <w:rsid w:val="006B3311"/>
    <w:rsid w:val="006C724B"/>
    <w:rsid w:val="006D5117"/>
    <w:rsid w:val="006E5315"/>
    <w:rsid w:val="006F3C85"/>
    <w:rsid w:val="006F4761"/>
    <w:rsid w:val="006F64CD"/>
    <w:rsid w:val="0071565F"/>
    <w:rsid w:val="00733245"/>
    <w:rsid w:val="00733643"/>
    <w:rsid w:val="00736470"/>
    <w:rsid w:val="007424B1"/>
    <w:rsid w:val="00756F50"/>
    <w:rsid w:val="00771E76"/>
    <w:rsid w:val="00774A77"/>
    <w:rsid w:val="007818E3"/>
    <w:rsid w:val="00785538"/>
    <w:rsid w:val="00787B26"/>
    <w:rsid w:val="007B52F0"/>
    <w:rsid w:val="007C2456"/>
    <w:rsid w:val="007D42EA"/>
    <w:rsid w:val="007D554E"/>
    <w:rsid w:val="00812BE2"/>
    <w:rsid w:val="00817178"/>
    <w:rsid w:val="00820D11"/>
    <w:rsid w:val="00843DEC"/>
    <w:rsid w:val="00844023"/>
    <w:rsid w:val="0084683F"/>
    <w:rsid w:val="00861DD5"/>
    <w:rsid w:val="00885710"/>
    <w:rsid w:val="00895F28"/>
    <w:rsid w:val="008B5FA8"/>
    <w:rsid w:val="008C75E0"/>
    <w:rsid w:val="008E3F42"/>
    <w:rsid w:val="008E672D"/>
    <w:rsid w:val="00900A5F"/>
    <w:rsid w:val="0090274A"/>
    <w:rsid w:val="009069CA"/>
    <w:rsid w:val="00912593"/>
    <w:rsid w:val="009220EF"/>
    <w:rsid w:val="009517A5"/>
    <w:rsid w:val="00965634"/>
    <w:rsid w:val="00966096"/>
    <w:rsid w:val="0097673F"/>
    <w:rsid w:val="00981FBC"/>
    <w:rsid w:val="00984B0A"/>
    <w:rsid w:val="009B360D"/>
    <w:rsid w:val="009B3641"/>
    <w:rsid w:val="009D5DA6"/>
    <w:rsid w:val="009E5309"/>
    <w:rsid w:val="00A029ED"/>
    <w:rsid w:val="00A11C84"/>
    <w:rsid w:val="00A22148"/>
    <w:rsid w:val="00A23704"/>
    <w:rsid w:val="00A266FC"/>
    <w:rsid w:val="00A27C87"/>
    <w:rsid w:val="00A475CB"/>
    <w:rsid w:val="00A522BC"/>
    <w:rsid w:val="00A523CE"/>
    <w:rsid w:val="00A63665"/>
    <w:rsid w:val="00A751A2"/>
    <w:rsid w:val="00A92950"/>
    <w:rsid w:val="00AA1BAF"/>
    <w:rsid w:val="00AC4594"/>
    <w:rsid w:val="00AC713B"/>
    <w:rsid w:val="00AD78C5"/>
    <w:rsid w:val="00AE1158"/>
    <w:rsid w:val="00AF62B9"/>
    <w:rsid w:val="00AF77E9"/>
    <w:rsid w:val="00B020F9"/>
    <w:rsid w:val="00B0330F"/>
    <w:rsid w:val="00B06F60"/>
    <w:rsid w:val="00B12E48"/>
    <w:rsid w:val="00B16640"/>
    <w:rsid w:val="00B265ED"/>
    <w:rsid w:val="00B325D4"/>
    <w:rsid w:val="00B33222"/>
    <w:rsid w:val="00B34CB9"/>
    <w:rsid w:val="00B70605"/>
    <w:rsid w:val="00B86A3E"/>
    <w:rsid w:val="00BA0B55"/>
    <w:rsid w:val="00BC4431"/>
    <w:rsid w:val="00BC7F73"/>
    <w:rsid w:val="00BD0BEA"/>
    <w:rsid w:val="00BD665D"/>
    <w:rsid w:val="00BD671F"/>
    <w:rsid w:val="00BD6B52"/>
    <w:rsid w:val="00C17F8E"/>
    <w:rsid w:val="00C36B4A"/>
    <w:rsid w:val="00C54C9F"/>
    <w:rsid w:val="00C55D4D"/>
    <w:rsid w:val="00C61D03"/>
    <w:rsid w:val="00C62E16"/>
    <w:rsid w:val="00C6583C"/>
    <w:rsid w:val="00C96CA7"/>
    <w:rsid w:val="00CA7FCA"/>
    <w:rsid w:val="00CB6F2A"/>
    <w:rsid w:val="00CB7115"/>
    <w:rsid w:val="00CC2227"/>
    <w:rsid w:val="00CC7696"/>
    <w:rsid w:val="00CD281C"/>
    <w:rsid w:val="00CE1F9D"/>
    <w:rsid w:val="00CE71FE"/>
    <w:rsid w:val="00CF4A15"/>
    <w:rsid w:val="00D030C9"/>
    <w:rsid w:val="00D16F30"/>
    <w:rsid w:val="00D220E1"/>
    <w:rsid w:val="00D3327A"/>
    <w:rsid w:val="00D47C5A"/>
    <w:rsid w:val="00D568A2"/>
    <w:rsid w:val="00D706F4"/>
    <w:rsid w:val="00D925DA"/>
    <w:rsid w:val="00DA4A8B"/>
    <w:rsid w:val="00DE2F14"/>
    <w:rsid w:val="00E14D60"/>
    <w:rsid w:val="00E158F9"/>
    <w:rsid w:val="00E43772"/>
    <w:rsid w:val="00E63FFB"/>
    <w:rsid w:val="00E83956"/>
    <w:rsid w:val="00EA0CDB"/>
    <w:rsid w:val="00EA0D58"/>
    <w:rsid w:val="00EA1E47"/>
    <w:rsid w:val="00EA5EFE"/>
    <w:rsid w:val="00EA7F31"/>
    <w:rsid w:val="00EB59FB"/>
    <w:rsid w:val="00EB704B"/>
    <w:rsid w:val="00EE7FE1"/>
    <w:rsid w:val="00F15E76"/>
    <w:rsid w:val="00F26EB9"/>
    <w:rsid w:val="00F27D3A"/>
    <w:rsid w:val="00F44A66"/>
    <w:rsid w:val="00F47136"/>
    <w:rsid w:val="00F47F39"/>
    <w:rsid w:val="00F558EC"/>
    <w:rsid w:val="00F62AC6"/>
    <w:rsid w:val="00F66005"/>
    <w:rsid w:val="00F86267"/>
    <w:rsid w:val="00FA62D6"/>
    <w:rsid w:val="00FC0D6B"/>
    <w:rsid w:val="00FC4AAF"/>
    <w:rsid w:val="00FD1980"/>
    <w:rsid w:val="00FD1D71"/>
    <w:rsid w:val="00FE2E3A"/>
    <w:rsid w:val="00FE6168"/>
    <w:rsid w:val="00FE6994"/>
    <w:rsid w:val="00FF27A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1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4CD"/>
    <w:pPr>
      <w:tabs>
        <w:tab w:val="center" w:pos="4153"/>
        <w:tab w:val="right" w:pos="8306"/>
      </w:tabs>
    </w:pPr>
  </w:style>
  <w:style w:type="paragraph" w:styleId="Footer">
    <w:name w:val="footer"/>
    <w:basedOn w:val="Normal"/>
    <w:rsid w:val="006F64CD"/>
    <w:pPr>
      <w:tabs>
        <w:tab w:val="center" w:pos="4153"/>
        <w:tab w:val="right" w:pos="8306"/>
      </w:tabs>
    </w:pPr>
  </w:style>
  <w:style w:type="paragraph" w:styleId="BalloonText">
    <w:name w:val="Balloon Text"/>
    <w:basedOn w:val="Normal"/>
    <w:semiHidden/>
    <w:rsid w:val="000D19BC"/>
    <w:rPr>
      <w:rFonts w:ascii="Tahoma" w:hAnsi="Tahoma"/>
      <w:sz w:val="16"/>
      <w:szCs w:val="16"/>
    </w:rPr>
  </w:style>
  <w:style w:type="character" w:customStyle="1" w:styleId="spelle">
    <w:name w:val="spelle"/>
    <w:basedOn w:val="DefaultParagraphFont"/>
    <w:uiPriority w:val="99"/>
    <w:rsid w:val="0084683F"/>
  </w:style>
  <w:style w:type="character" w:customStyle="1" w:styleId="HeaderChar">
    <w:name w:val="Header Char"/>
    <w:basedOn w:val="DefaultParagraphFont"/>
    <w:link w:val="Header"/>
    <w:uiPriority w:val="99"/>
    <w:rsid w:val="0084683F"/>
    <w:rPr>
      <w:sz w:val="24"/>
      <w:szCs w:val="24"/>
    </w:rPr>
  </w:style>
  <w:style w:type="paragraph" w:styleId="ListParagraph">
    <w:name w:val="List Paragraph"/>
    <w:basedOn w:val="Normal"/>
    <w:uiPriority w:val="34"/>
    <w:qFormat/>
    <w:rsid w:val="001D0B32"/>
    <w:pPr>
      <w:ind w:left="720"/>
      <w:contextualSpacing/>
    </w:pPr>
  </w:style>
  <w:style w:type="character" w:styleId="Hyperlink">
    <w:name w:val="Hyperlink"/>
    <w:rsid w:val="00B34CB9"/>
    <w:rPr>
      <w:rFonts w:cs="Times New Roman"/>
      <w:color w:val="0000FF"/>
      <w:u w:val="single"/>
    </w:rPr>
  </w:style>
  <w:style w:type="character" w:customStyle="1" w:styleId="flexinput2">
    <w:name w:val="flexinput2"/>
    <w:basedOn w:val="DefaultParagraphFont"/>
    <w:rsid w:val="00B34CB9"/>
  </w:style>
  <w:style w:type="character" w:styleId="CommentReference">
    <w:name w:val="annotation reference"/>
    <w:basedOn w:val="DefaultParagraphFont"/>
    <w:rsid w:val="002769CE"/>
    <w:rPr>
      <w:sz w:val="16"/>
      <w:szCs w:val="16"/>
    </w:rPr>
  </w:style>
  <w:style w:type="paragraph" w:styleId="CommentText">
    <w:name w:val="annotation text"/>
    <w:basedOn w:val="Normal"/>
    <w:link w:val="CommentTextChar"/>
    <w:rsid w:val="002769CE"/>
    <w:rPr>
      <w:sz w:val="20"/>
      <w:szCs w:val="20"/>
    </w:rPr>
  </w:style>
  <w:style w:type="character" w:customStyle="1" w:styleId="CommentTextChar">
    <w:name w:val="Comment Text Char"/>
    <w:basedOn w:val="DefaultParagraphFont"/>
    <w:link w:val="CommentText"/>
    <w:rsid w:val="002769CE"/>
  </w:style>
  <w:style w:type="paragraph" w:styleId="CommentSubject">
    <w:name w:val="annotation subject"/>
    <w:basedOn w:val="CommentText"/>
    <w:next w:val="CommentText"/>
    <w:link w:val="CommentSubjectChar"/>
    <w:rsid w:val="002769CE"/>
    <w:rPr>
      <w:b/>
      <w:bCs/>
    </w:rPr>
  </w:style>
  <w:style w:type="character" w:customStyle="1" w:styleId="CommentSubjectChar">
    <w:name w:val="Comment Subject Char"/>
    <w:basedOn w:val="CommentTextChar"/>
    <w:link w:val="CommentSubject"/>
    <w:rsid w:val="002769CE"/>
    <w:rPr>
      <w:b/>
      <w:bCs/>
    </w:rPr>
  </w:style>
  <w:style w:type="paragraph" w:styleId="BodyText">
    <w:name w:val="Body Text"/>
    <w:basedOn w:val="Normal"/>
    <w:link w:val="BodyTextChar"/>
    <w:rsid w:val="001025BE"/>
    <w:pPr>
      <w:jc w:val="center"/>
    </w:pPr>
    <w:rPr>
      <w:b/>
      <w:bCs/>
      <w:sz w:val="28"/>
      <w:lang w:eastAsia="en-US"/>
    </w:rPr>
  </w:style>
  <w:style w:type="character" w:customStyle="1" w:styleId="BodyTextChar">
    <w:name w:val="Body Text Char"/>
    <w:basedOn w:val="DefaultParagraphFont"/>
    <w:link w:val="BodyText"/>
    <w:rsid w:val="001025BE"/>
    <w:rPr>
      <w:b/>
      <w:bCs/>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1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4CD"/>
    <w:pPr>
      <w:tabs>
        <w:tab w:val="center" w:pos="4153"/>
        <w:tab w:val="right" w:pos="8306"/>
      </w:tabs>
    </w:pPr>
  </w:style>
  <w:style w:type="paragraph" w:styleId="Footer">
    <w:name w:val="footer"/>
    <w:basedOn w:val="Normal"/>
    <w:rsid w:val="006F64CD"/>
    <w:pPr>
      <w:tabs>
        <w:tab w:val="center" w:pos="4153"/>
        <w:tab w:val="right" w:pos="8306"/>
      </w:tabs>
    </w:pPr>
  </w:style>
  <w:style w:type="paragraph" w:styleId="BalloonText">
    <w:name w:val="Balloon Text"/>
    <w:basedOn w:val="Normal"/>
    <w:semiHidden/>
    <w:rsid w:val="000D19BC"/>
    <w:rPr>
      <w:rFonts w:ascii="Tahoma" w:hAnsi="Tahoma"/>
      <w:sz w:val="16"/>
      <w:szCs w:val="16"/>
    </w:rPr>
  </w:style>
  <w:style w:type="character" w:customStyle="1" w:styleId="spelle">
    <w:name w:val="spelle"/>
    <w:basedOn w:val="DefaultParagraphFont"/>
    <w:uiPriority w:val="99"/>
    <w:rsid w:val="0084683F"/>
  </w:style>
  <w:style w:type="character" w:customStyle="1" w:styleId="HeaderChar">
    <w:name w:val="Header Char"/>
    <w:basedOn w:val="DefaultParagraphFont"/>
    <w:link w:val="Header"/>
    <w:uiPriority w:val="99"/>
    <w:rsid w:val="0084683F"/>
    <w:rPr>
      <w:sz w:val="24"/>
      <w:szCs w:val="24"/>
    </w:rPr>
  </w:style>
  <w:style w:type="paragraph" w:styleId="ListParagraph">
    <w:name w:val="List Paragraph"/>
    <w:basedOn w:val="Normal"/>
    <w:uiPriority w:val="34"/>
    <w:qFormat/>
    <w:rsid w:val="001D0B32"/>
    <w:pPr>
      <w:ind w:left="720"/>
      <w:contextualSpacing/>
    </w:pPr>
  </w:style>
  <w:style w:type="character" w:styleId="Hyperlink">
    <w:name w:val="Hyperlink"/>
    <w:rsid w:val="00B34CB9"/>
    <w:rPr>
      <w:rFonts w:cs="Times New Roman"/>
      <w:color w:val="0000FF"/>
      <w:u w:val="single"/>
    </w:rPr>
  </w:style>
  <w:style w:type="character" w:customStyle="1" w:styleId="flexinput2">
    <w:name w:val="flexinput2"/>
    <w:basedOn w:val="DefaultParagraphFont"/>
    <w:rsid w:val="00B34CB9"/>
  </w:style>
  <w:style w:type="character" w:styleId="CommentReference">
    <w:name w:val="annotation reference"/>
    <w:basedOn w:val="DefaultParagraphFont"/>
    <w:rsid w:val="002769CE"/>
    <w:rPr>
      <w:sz w:val="16"/>
      <w:szCs w:val="16"/>
    </w:rPr>
  </w:style>
  <w:style w:type="paragraph" w:styleId="CommentText">
    <w:name w:val="annotation text"/>
    <w:basedOn w:val="Normal"/>
    <w:link w:val="CommentTextChar"/>
    <w:rsid w:val="002769CE"/>
    <w:rPr>
      <w:sz w:val="20"/>
      <w:szCs w:val="20"/>
    </w:rPr>
  </w:style>
  <w:style w:type="character" w:customStyle="1" w:styleId="CommentTextChar">
    <w:name w:val="Comment Text Char"/>
    <w:basedOn w:val="DefaultParagraphFont"/>
    <w:link w:val="CommentText"/>
    <w:rsid w:val="002769CE"/>
  </w:style>
  <w:style w:type="paragraph" w:styleId="CommentSubject">
    <w:name w:val="annotation subject"/>
    <w:basedOn w:val="CommentText"/>
    <w:next w:val="CommentText"/>
    <w:link w:val="CommentSubjectChar"/>
    <w:rsid w:val="002769CE"/>
    <w:rPr>
      <w:b/>
      <w:bCs/>
    </w:rPr>
  </w:style>
  <w:style w:type="character" w:customStyle="1" w:styleId="CommentSubjectChar">
    <w:name w:val="Comment Subject Char"/>
    <w:basedOn w:val="CommentTextChar"/>
    <w:link w:val="CommentSubject"/>
    <w:rsid w:val="002769CE"/>
    <w:rPr>
      <w:b/>
      <w:bCs/>
    </w:rPr>
  </w:style>
  <w:style w:type="paragraph" w:styleId="BodyText">
    <w:name w:val="Body Text"/>
    <w:basedOn w:val="Normal"/>
    <w:link w:val="BodyTextChar"/>
    <w:rsid w:val="001025BE"/>
    <w:pPr>
      <w:jc w:val="center"/>
    </w:pPr>
    <w:rPr>
      <w:b/>
      <w:bCs/>
      <w:sz w:val="28"/>
      <w:lang w:eastAsia="en-US"/>
    </w:rPr>
  </w:style>
  <w:style w:type="character" w:customStyle="1" w:styleId="BodyTextChar">
    <w:name w:val="Body Text Char"/>
    <w:basedOn w:val="DefaultParagraphFont"/>
    <w:link w:val="BodyText"/>
    <w:rsid w:val="001025BE"/>
    <w:rPr>
      <w:b/>
      <w:bCs/>
      <w:sz w:val="28"/>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itvars.timermanis@varam.gov.lv"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itvarsTimermanis\Documents\Info%20projektu%20iepirkumi%20070420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itvarsTimermanis\Documents\Info%20projektu%20iepirkumi%20080420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style val="10"/>
  <c:chart>
    <c:title>
      <c:tx>
        <c:rich>
          <a:bodyPr/>
          <a:lstStyle/>
          <a:p>
            <a:pPr algn="ctr" rtl="0">
              <a:defRPr lang="lv-LV" sz="1000" b="1" i="0" u="none" strike="noStrike" kern="1200" baseline="0">
                <a:solidFill>
                  <a:sysClr val="windowText" lastClr="000000"/>
                </a:solidFill>
                <a:latin typeface="+mn-lt"/>
                <a:ea typeface="+mn-ea"/>
                <a:cs typeface="+mn-cs"/>
              </a:defRPr>
            </a:pPr>
            <a:r>
              <a:rPr lang="lv-LV" sz="1000" b="1" i="0" u="none" strike="noStrike" kern="1200" baseline="0">
                <a:solidFill>
                  <a:sysClr val="windowText" lastClr="000000"/>
                </a:solidFill>
                <a:latin typeface="+mn-lt"/>
                <a:ea typeface="+mn-ea"/>
                <a:cs typeface="+mn-cs"/>
              </a:rPr>
              <a:t>Iepirkumu procedūru (kopā 315) sadalījums 3.2.2.1.1.apakšaktivitātes projektos</a:t>
            </a:r>
          </a:p>
        </c:rich>
      </c:tx>
      <c:layout/>
    </c:title>
    <c:plotArea>
      <c:layout>
        <c:manualLayout>
          <c:layoutTarget val="inner"/>
          <c:xMode val="edge"/>
          <c:yMode val="edge"/>
          <c:x val="0.24560921886404891"/>
          <c:y val="0.29487349653926143"/>
          <c:w val="0.6312108469375517"/>
          <c:h val="0.70302952080810255"/>
        </c:manualLayout>
      </c:layout>
      <c:pieChart>
        <c:varyColors val="1"/>
        <c:ser>
          <c:idx val="0"/>
          <c:order val="0"/>
          <c:dPt>
            <c:idx val="0"/>
            <c:explosion val="1"/>
          </c:dPt>
          <c:dLbls>
            <c:dLbl>
              <c:idx val="0"/>
              <c:layout>
                <c:manualLayout>
                  <c:x val="-0.14580061160085617"/>
                  <c:y val="2.2275771492436317E-2"/>
                </c:manualLayout>
              </c:layout>
              <c:showCatName val="1"/>
              <c:showPercent val="1"/>
            </c:dLbl>
            <c:dLbl>
              <c:idx val="1"/>
              <c:layout>
                <c:manualLayout>
                  <c:x val="8.4656061747900357E-2"/>
                  <c:y val="-0.11290354607112603"/>
                </c:manualLayout>
              </c:layout>
              <c:showCatName val="1"/>
              <c:showPercent val="1"/>
            </c:dLbl>
            <c:dLbl>
              <c:idx val="2"/>
              <c:layout>
                <c:manualLayout>
                  <c:x val="0.20647246586391621"/>
                  <c:y val="-4.1335371924738955E-2"/>
                </c:manualLayout>
              </c:layout>
              <c:showCatName val="1"/>
              <c:showPercent val="1"/>
            </c:dLbl>
            <c:dLbl>
              <c:idx val="3"/>
              <c:layout>
                <c:manualLayout>
                  <c:x val="0.15346790725488421"/>
                  <c:y val="0.10020679032482249"/>
                </c:manualLayout>
              </c:layout>
              <c:showCatName val="1"/>
              <c:showPercent val="1"/>
            </c:dLbl>
            <c:dLbl>
              <c:idx val="4"/>
              <c:layout>
                <c:manualLayout>
                  <c:x val="-0.26853515558841529"/>
                  <c:y val="0.22597615528847126"/>
                </c:manualLayout>
              </c:layout>
              <c:showCatName val="1"/>
              <c:showPercent val="1"/>
            </c:dLbl>
            <c:dLbl>
              <c:idx val="5"/>
              <c:layout>
                <c:manualLayout>
                  <c:x val="-0.36299481180934545"/>
                  <c:y val="0.10887184389457949"/>
                </c:manualLayout>
              </c:layout>
              <c:showCatName val="1"/>
              <c:showPercent val="1"/>
            </c:dLbl>
            <c:dLbl>
              <c:idx val="6"/>
              <c:layout>
                <c:manualLayout>
                  <c:x val="-0.11685984957787195"/>
                  <c:y val="-7.3397800477121612E-3"/>
                </c:manualLayout>
              </c:layout>
              <c:showCatName val="1"/>
              <c:showPercent val="1"/>
            </c:dLbl>
            <c:dLbl>
              <c:idx val="7"/>
              <c:layout>
                <c:manualLayout>
                  <c:x val="0.11572154793202186"/>
                  <c:y val="-3.2772613884345537E-3"/>
                </c:manualLayout>
              </c:layout>
              <c:showCatName val="1"/>
              <c:showPercent val="1"/>
            </c:dLbl>
            <c:dLbl>
              <c:idx val="8"/>
              <c:layout>
                <c:manualLayout>
                  <c:x val="0.31117121947123305"/>
                  <c:y val="5.7054017231485461E-2"/>
                </c:manualLayout>
              </c:layout>
              <c:showCatName val="1"/>
              <c:showPercent val="1"/>
            </c:dLbl>
            <c:txPr>
              <a:bodyPr/>
              <a:lstStyle/>
              <a:p>
                <a:pPr>
                  <a:defRPr sz="700" b="0">
                    <a:latin typeface="Times New Roman" pitchFamily="18" charset="0"/>
                    <a:cs typeface="Times New Roman" pitchFamily="18" charset="0"/>
                  </a:defRPr>
                </a:pPr>
                <a:endParaRPr lang="lv-LV"/>
              </a:p>
            </c:txPr>
            <c:showCatName val="1"/>
            <c:showPercent val="1"/>
            <c:showLeaderLines val="1"/>
          </c:dLbls>
          <c:cat>
            <c:strRef>
              <c:f>Sheet2!$F$57:$F$65</c:f>
              <c:strCache>
                <c:ptCount val="9"/>
                <c:pt idx="0">
                  <c:v>Atklāts konkurss</c:v>
                </c:pt>
                <c:pt idx="1">
                  <c:v>slēgts konkurss</c:v>
                </c:pt>
                <c:pt idx="2">
                  <c:v>Mazais iepirkums PIL 81.panta kārtībā</c:v>
                </c:pt>
                <c:pt idx="3">
                  <c:v>Sarunu procedūra</c:v>
                </c:pt>
                <c:pt idx="4">
                  <c:v>B daļas iepirkums</c:v>
                </c:pt>
                <c:pt idx="5">
                  <c:v>Bez iepirkuma procedūras (zem 3000 latu)</c:v>
                </c:pt>
                <c:pt idx="6">
                  <c:v>Informatīvais paziņojums</c:v>
                </c:pt>
                <c:pt idx="7">
                  <c:v>Izņēmumu procedūra</c:v>
                </c:pt>
                <c:pt idx="8">
                  <c:v>Cenu aptauja</c:v>
                </c:pt>
              </c:strCache>
            </c:strRef>
          </c:cat>
          <c:val>
            <c:numRef>
              <c:f>Sheet2!$H$57:$H$65</c:f>
              <c:numCache>
                <c:formatCode>0%</c:formatCode>
                <c:ptCount val="9"/>
                <c:pt idx="0">
                  <c:v>0.42633228840125392</c:v>
                </c:pt>
                <c:pt idx="1">
                  <c:v>0.21003134796238349</c:v>
                </c:pt>
                <c:pt idx="2">
                  <c:v>0.15673981191222708</c:v>
                </c:pt>
                <c:pt idx="3">
                  <c:v>0.10031347962382445</c:v>
                </c:pt>
                <c:pt idx="4">
                  <c:v>4.3887147335423343E-2</c:v>
                </c:pt>
                <c:pt idx="5">
                  <c:v>3.1347962382445339E-2</c:v>
                </c:pt>
                <c:pt idx="6">
                  <c:v>1.8808777429467242E-2</c:v>
                </c:pt>
                <c:pt idx="7">
                  <c:v>6.2695924764890366E-3</c:v>
                </c:pt>
                <c:pt idx="8">
                  <c:v>3.1347962382445396E-3</c:v>
                </c:pt>
              </c:numCache>
            </c:numRef>
          </c:val>
        </c:ser>
        <c:dLbls>
          <c:showCatName val="1"/>
          <c:showPercent val="1"/>
        </c:dLbls>
        <c:firstSliceAng val="0"/>
      </c:pieChart>
    </c:plotArea>
    <c:plotVisOnly val="1"/>
    <c:dispBlanksAs val="zero"/>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chart>
    <c:title>
      <c:tx>
        <c:rich>
          <a:bodyPr/>
          <a:lstStyle/>
          <a:p>
            <a:pPr>
              <a:defRPr sz="1000"/>
            </a:pPr>
            <a:r>
              <a:rPr lang="lv-LV" sz="1000">
                <a:latin typeface="Times New Roman" pitchFamily="18" charset="0"/>
                <a:cs typeface="Times New Roman" pitchFamily="18" charset="0"/>
              </a:rPr>
              <a:t>Pakalpojumu līgumu (kopā 37) konsultāciju likmes 3.2.2.1.1.apakšaktivitātes projektos</a:t>
            </a:r>
          </a:p>
        </c:rich>
      </c:tx>
      <c:layout>
        <c:manualLayout>
          <c:xMode val="edge"/>
          <c:yMode val="edge"/>
          <c:x val="0.16661838902261591"/>
          <c:y val="2.1550809500987997E-3"/>
        </c:manualLayout>
      </c:layout>
    </c:title>
    <c:plotArea>
      <c:layout>
        <c:manualLayout>
          <c:layoutTarget val="inner"/>
          <c:xMode val="edge"/>
          <c:yMode val="edge"/>
          <c:x val="0.14075690405009544"/>
          <c:y val="9.3664041304684448E-2"/>
          <c:w val="0.8052468374608297"/>
          <c:h val="0.82856527711215"/>
        </c:manualLayout>
      </c:layout>
      <c:barChart>
        <c:barDir val="bar"/>
        <c:grouping val="clustered"/>
        <c:ser>
          <c:idx val="0"/>
          <c:order val="0"/>
          <c:tx>
            <c:v>Minimālā likme</c:v>
          </c:tx>
          <c:spPr>
            <a:solidFill>
              <a:schemeClr val="tx2"/>
            </a:solidFill>
          </c:spPr>
          <c:cat>
            <c:strRef>
              <c:f>Sheet2!$B$3:$B$40</c:f>
              <c:strCache>
                <c:ptCount val="38"/>
                <c:pt idx="0">
                  <c:v>IZM</c:v>
                </c:pt>
                <c:pt idx="1">
                  <c:v>IZM</c:v>
                </c:pt>
                <c:pt idx="2">
                  <c:v>VM</c:v>
                </c:pt>
                <c:pt idx="3">
                  <c:v>LM</c:v>
                </c:pt>
                <c:pt idx="4">
                  <c:v>IZM</c:v>
                </c:pt>
                <c:pt idx="5">
                  <c:v>KM</c:v>
                </c:pt>
                <c:pt idx="6">
                  <c:v>TM</c:v>
                </c:pt>
                <c:pt idx="7">
                  <c:v>SM</c:v>
                </c:pt>
                <c:pt idx="8">
                  <c:v>TM</c:v>
                </c:pt>
                <c:pt idx="9">
                  <c:v>KM</c:v>
                </c:pt>
                <c:pt idx="10">
                  <c:v>TM</c:v>
                </c:pt>
                <c:pt idx="11">
                  <c:v>AiM</c:v>
                </c:pt>
                <c:pt idx="12">
                  <c:v>IeM</c:v>
                </c:pt>
                <c:pt idx="13">
                  <c:v>FM</c:v>
                </c:pt>
                <c:pt idx="14">
                  <c:v>FM</c:v>
                </c:pt>
                <c:pt idx="15">
                  <c:v>VARAM</c:v>
                </c:pt>
                <c:pt idx="16">
                  <c:v>KM</c:v>
                </c:pt>
                <c:pt idx="17">
                  <c:v>VARAM</c:v>
                </c:pt>
                <c:pt idx="18">
                  <c:v>TM</c:v>
                </c:pt>
                <c:pt idx="19">
                  <c:v>VM</c:v>
                </c:pt>
                <c:pt idx="20">
                  <c:v>VM</c:v>
                </c:pt>
                <c:pt idx="21">
                  <c:v>VARAM</c:v>
                </c:pt>
                <c:pt idx="22">
                  <c:v>FM</c:v>
                </c:pt>
                <c:pt idx="23">
                  <c:v>VM</c:v>
                </c:pt>
                <c:pt idx="24">
                  <c:v>VM</c:v>
                </c:pt>
                <c:pt idx="25">
                  <c:v>ĀM</c:v>
                </c:pt>
                <c:pt idx="26">
                  <c:v>VARAM</c:v>
                </c:pt>
                <c:pt idx="27">
                  <c:v>VARAM</c:v>
                </c:pt>
                <c:pt idx="28">
                  <c:v>IZM</c:v>
                </c:pt>
                <c:pt idx="29">
                  <c:v>KM</c:v>
                </c:pt>
                <c:pt idx="30">
                  <c:v>KM</c:v>
                </c:pt>
                <c:pt idx="31">
                  <c:v>FM</c:v>
                </c:pt>
                <c:pt idx="32">
                  <c:v>KM</c:v>
                </c:pt>
                <c:pt idx="33">
                  <c:v>TM</c:v>
                </c:pt>
                <c:pt idx="34">
                  <c:v>VM</c:v>
                </c:pt>
                <c:pt idx="35">
                  <c:v>IZM</c:v>
                </c:pt>
                <c:pt idx="36">
                  <c:v>IZM</c:v>
                </c:pt>
                <c:pt idx="37">
                  <c:v>IZM</c:v>
                </c:pt>
              </c:strCache>
            </c:strRef>
          </c:cat>
          <c:val>
            <c:numRef>
              <c:f>Sheet2!$N$3:$N$40</c:f>
              <c:numCache>
                <c:formatCode>General</c:formatCode>
                <c:ptCount val="38"/>
                <c:pt idx="0">
                  <c:v>37.933500000000002</c:v>
                </c:pt>
                <c:pt idx="1">
                  <c:v>33.214500000000001</c:v>
                </c:pt>
                <c:pt idx="2" formatCode="0.00">
                  <c:v>29.919999999999987</c:v>
                </c:pt>
                <c:pt idx="3" formatCode="0.00">
                  <c:v>30</c:v>
                </c:pt>
                <c:pt idx="4">
                  <c:v>36.905000000000001</c:v>
                </c:pt>
                <c:pt idx="5">
                  <c:v>10.0793</c:v>
                </c:pt>
                <c:pt idx="6">
                  <c:v>15.125</c:v>
                </c:pt>
                <c:pt idx="7">
                  <c:v>21.779999999999987</c:v>
                </c:pt>
                <c:pt idx="8">
                  <c:v>20.424799999999863</c:v>
                </c:pt>
                <c:pt idx="9">
                  <c:v>21.017700000000001</c:v>
                </c:pt>
                <c:pt idx="10">
                  <c:v>18.149999999999999</c:v>
                </c:pt>
                <c:pt idx="11" formatCode="0.00">
                  <c:v>12.3</c:v>
                </c:pt>
                <c:pt idx="12">
                  <c:v>25.258749999999797</c:v>
                </c:pt>
                <c:pt idx="13" formatCode="0.00">
                  <c:v>15.25</c:v>
                </c:pt>
                <c:pt idx="14" formatCode="0.00">
                  <c:v>23.95</c:v>
                </c:pt>
                <c:pt idx="15">
                  <c:v>24.2</c:v>
                </c:pt>
                <c:pt idx="16">
                  <c:v>2.1779999999999999</c:v>
                </c:pt>
                <c:pt idx="17">
                  <c:v>30.25</c:v>
                </c:pt>
                <c:pt idx="18" formatCode="0.00">
                  <c:v>27.23</c:v>
                </c:pt>
                <c:pt idx="19" formatCode="0.00">
                  <c:v>24.959999999999987</c:v>
                </c:pt>
                <c:pt idx="20" formatCode="0.00">
                  <c:v>30.25</c:v>
                </c:pt>
                <c:pt idx="21">
                  <c:v>38.720000000000013</c:v>
                </c:pt>
                <c:pt idx="22" formatCode="0.00">
                  <c:v>27.45</c:v>
                </c:pt>
                <c:pt idx="23">
                  <c:v>42.349999999999994</c:v>
                </c:pt>
                <c:pt idx="24">
                  <c:v>18.149999999999999</c:v>
                </c:pt>
                <c:pt idx="25" formatCode="0.00">
                  <c:v>48.4</c:v>
                </c:pt>
                <c:pt idx="26">
                  <c:v>48.4</c:v>
                </c:pt>
                <c:pt idx="27">
                  <c:v>48.4</c:v>
                </c:pt>
                <c:pt idx="28" formatCode="0.00">
                  <c:v>43</c:v>
                </c:pt>
                <c:pt idx="29">
                  <c:v>48.4</c:v>
                </c:pt>
                <c:pt idx="30">
                  <c:v>56.095600000000012</c:v>
                </c:pt>
                <c:pt idx="31" formatCode="0.00">
                  <c:v>75.19</c:v>
                </c:pt>
                <c:pt idx="32">
                  <c:v>48.4</c:v>
                </c:pt>
                <c:pt idx="33" formatCode="0.00">
                  <c:v>42.7</c:v>
                </c:pt>
                <c:pt idx="34" formatCode="0.00">
                  <c:v>48.4</c:v>
                </c:pt>
                <c:pt idx="35" formatCode="0.00">
                  <c:v>70.8</c:v>
                </c:pt>
                <c:pt idx="36" formatCode="0.00">
                  <c:v>70.8</c:v>
                </c:pt>
                <c:pt idx="37" formatCode="0.00">
                  <c:v>70.8</c:v>
                </c:pt>
              </c:numCache>
            </c:numRef>
          </c:val>
        </c:ser>
        <c:ser>
          <c:idx val="1"/>
          <c:order val="1"/>
          <c:tx>
            <c:v>Maksimālā likme</c:v>
          </c:tx>
          <c:cat>
            <c:strRef>
              <c:f>Sheet2!$B$3:$B$40</c:f>
              <c:strCache>
                <c:ptCount val="38"/>
                <c:pt idx="0">
                  <c:v>IZM</c:v>
                </c:pt>
                <c:pt idx="1">
                  <c:v>IZM</c:v>
                </c:pt>
                <c:pt idx="2">
                  <c:v>VM</c:v>
                </c:pt>
                <c:pt idx="3">
                  <c:v>LM</c:v>
                </c:pt>
                <c:pt idx="4">
                  <c:v>IZM</c:v>
                </c:pt>
                <c:pt idx="5">
                  <c:v>KM</c:v>
                </c:pt>
                <c:pt idx="6">
                  <c:v>TM</c:v>
                </c:pt>
                <c:pt idx="7">
                  <c:v>SM</c:v>
                </c:pt>
                <c:pt idx="8">
                  <c:v>TM</c:v>
                </c:pt>
                <c:pt idx="9">
                  <c:v>KM</c:v>
                </c:pt>
                <c:pt idx="10">
                  <c:v>TM</c:v>
                </c:pt>
                <c:pt idx="11">
                  <c:v>AiM</c:v>
                </c:pt>
                <c:pt idx="12">
                  <c:v>IeM</c:v>
                </c:pt>
                <c:pt idx="13">
                  <c:v>FM</c:v>
                </c:pt>
                <c:pt idx="14">
                  <c:v>FM</c:v>
                </c:pt>
                <c:pt idx="15">
                  <c:v>VARAM</c:v>
                </c:pt>
                <c:pt idx="16">
                  <c:v>KM</c:v>
                </c:pt>
                <c:pt idx="17">
                  <c:v>VARAM</c:v>
                </c:pt>
                <c:pt idx="18">
                  <c:v>TM</c:v>
                </c:pt>
                <c:pt idx="19">
                  <c:v>VM</c:v>
                </c:pt>
                <c:pt idx="20">
                  <c:v>VM</c:v>
                </c:pt>
                <c:pt idx="21">
                  <c:v>VARAM</c:v>
                </c:pt>
                <c:pt idx="22">
                  <c:v>FM</c:v>
                </c:pt>
                <c:pt idx="23">
                  <c:v>VM</c:v>
                </c:pt>
                <c:pt idx="24">
                  <c:v>VM</c:v>
                </c:pt>
                <c:pt idx="25">
                  <c:v>ĀM</c:v>
                </c:pt>
                <c:pt idx="26">
                  <c:v>VARAM</c:v>
                </c:pt>
                <c:pt idx="27">
                  <c:v>VARAM</c:v>
                </c:pt>
                <c:pt idx="28">
                  <c:v>IZM</c:v>
                </c:pt>
                <c:pt idx="29">
                  <c:v>KM</c:v>
                </c:pt>
                <c:pt idx="30">
                  <c:v>KM</c:v>
                </c:pt>
                <c:pt idx="31">
                  <c:v>FM</c:v>
                </c:pt>
                <c:pt idx="32">
                  <c:v>KM</c:v>
                </c:pt>
                <c:pt idx="33">
                  <c:v>TM</c:v>
                </c:pt>
                <c:pt idx="34">
                  <c:v>VM</c:v>
                </c:pt>
                <c:pt idx="35">
                  <c:v>IZM</c:v>
                </c:pt>
                <c:pt idx="36">
                  <c:v>IZM</c:v>
                </c:pt>
                <c:pt idx="37">
                  <c:v>IZM</c:v>
                </c:pt>
              </c:strCache>
            </c:strRef>
          </c:cat>
          <c:val>
            <c:numRef>
              <c:f>Sheet2!$O$3:$O$40</c:f>
              <c:numCache>
                <c:formatCode>General</c:formatCode>
                <c:ptCount val="38"/>
                <c:pt idx="0">
                  <c:v>0</c:v>
                </c:pt>
                <c:pt idx="1">
                  <c:v>0</c:v>
                </c:pt>
                <c:pt idx="2" formatCode="0.00">
                  <c:v>0</c:v>
                </c:pt>
                <c:pt idx="3" formatCode="0.00">
                  <c:v>0</c:v>
                </c:pt>
                <c:pt idx="4">
                  <c:v>0</c:v>
                </c:pt>
                <c:pt idx="5">
                  <c:v>14.52</c:v>
                </c:pt>
                <c:pt idx="6">
                  <c:v>21.175000000000001</c:v>
                </c:pt>
                <c:pt idx="7">
                  <c:v>21.779999999999987</c:v>
                </c:pt>
                <c:pt idx="8">
                  <c:v>22.6875</c:v>
                </c:pt>
                <c:pt idx="9">
                  <c:v>24.0185</c:v>
                </c:pt>
                <c:pt idx="10">
                  <c:v>24.2</c:v>
                </c:pt>
                <c:pt idx="11" formatCode="0.00">
                  <c:v>24.6</c:v>
                </c:pt>
                <c:pt idx="12">
                  <c:v>25.258749999999797</c:v>
                </c:pt>
                <c:pt idx="13" formatCode="0.00">
                  <c:v>26.69</c:v>
                </c:pt>
                <c:pt idx="14" formatCode="0.00">
                  <c:v>30.05</c:v>
                </c:pt>
                <c:pt idx="15">
                  <c:v>30.25</c:v>
                </c:pt>
                <c:pt idx="16">
                  <c:v>30.25</c:v>
                </c:pt>
                <c:pt idx="17">
                  <c:v>30.25</c:v>
                </c:pt>
                <c:pt idx="18" formatCode="0.00">
                  <c:v>30.25</c:v>
                </c:pt>
                <c:pt idx="19" formatCode="0.00">
                  <c:v>36.300000000000004</c:v>
                </c:pt>
                <c:pt idx="20" formatCode="0.00">
                  <c:v>36.300000000000004</c:v>
                </c:pt>
                <c:pt idx="21">
                  <c:v>38.720000000000013</c:v>
                </c:pt>
                <c:pt idx="22" formatCode="0.00">
                  <c:v>39.65</c:v>
                </c:pt>
                <c:pt idx="23">
                  <c:v>42.349999999999994</c:v>
                </c:pt>
                <c:pt idx="24">
                  <c:v>57.475000000000001</c:v>
                </c:pt>
                <c:pt idx="25" formatCode="0.00">
                  <c:v>60.05</c:v>
                </c:pt>
                <c:pt idx="26">
                  <c:v>60.5</c:v>
                </c:pt>
                <c:pt idx="27">
                  <c:v>60.5</c:v>
                </c:pt>
                <c:pt idx="28" formatCode="0.00">
                  <c:v>65</c:v>
                </c:pt>
                <c:pt idx="29">
                  <c:v>72.599999999999994</c:v>
                </c:pt>
                <c:pt idx="30">
                  <c:v>73.81</c:v>
                </c:pt>
                <c:pt idx="31" formatCode="0.00">
                  <c:v>82.69</c:v>
                </c:pt>
                <c:pt idx="32">
                  <c:v>108.89999999999999</c:v>
                </c:pt>
                <c:pt idx="33" formatCode="0.00">
                  <c:v>115.9</c:v>
                </c:pt>
                <c:pt idx="34" formatCode="0.00">
                  <c:v>145.19999999999999</c:v>
                </c:pt>
                <c:pt idx="35" formatCode="0.00">
                  <c:v>200.6</c:v>
                </c:pt>
                <c:pt idx="36" formatCode="0.00">
                  <c:v>200.6</c:v>
                </c:pt>
                <c:pt idx="37" formatCode="0.00">
                  <c:v>200.6</c:v>
                </c:pt>
              </c:numCache>
            </c:numRef>
          </c:val>
        </c:ser>
        <c:axId val="148764544"/>
        <c:axId val="148766080"/>
      </c:barChart>
      <c:catAx>
        <c:axId val="148764544"/>
        <c:scaling>
          <c:orientation val="minMax"/>
        </c:scaling>
        <c:axPos val="l"/>
        <c:majorTickMark val="none"/>
        <c:tickLblPos val="nextTo"/>
        <c:txPr>
          <a:bodyPr/>
          <a:lstStyle/>
          <a:p>
            <a:pPr>
              <a:defRPr sz="600">
                <a:latin typeface="Times New Roman" pitchFamily="18" charset="0"/>
                <a:cs typeface="Times New Roman" pitchFamily="18" charset="0"/>
              </a:defRPr>
            </a:pPr>
            <a:endParaRPr lang="lv-LV"/>
          </a:p>
        </c:txPr>
        <c:crossAx val="148766080"/>
        <c:crosses val="autoZero"/>
        <c:auto val="1"/>
        <c:lblAlgn val="ctr"/>
        <c:lblOffset val="100"/>
      </c:catAx>
      <c:valAx>
        <c:axId val="148766080"/>
        <c:scaling>
          <c:orientation val="minMax"/>
          <c:max val="200"/>
        </c:scaling>
        <c:axPos val="b"/>
        <c:majorGridlines>
          <c:spPr>
            <a:ln>
              <a:solidFill>
                <a:schemeClr val="accent1"/>
              </a:solidFill>
              <a:prstDash val="lgDash"/>
            </a:ln>
          </c:spPr>
        </c:majorGridlines>
        <c:title>
          <c:tx>
            <c:rich>
              <a:bodyPr/>
              <a:lstStyle/>
              <a:p>
                <a:pPr>
                  <a:defRPr/>
                </a:pPr>
                <a:r>
                  <a:rPr lang="en-US"/>
                  <a:t>LVL</a:t>
                </a:r>
              </a:p>
            </c:rich>
          </c:tx>
          <c:layout>
            <c:manualLayout>
              <c:xMode val="edge"/>
              <c:yMode val="edge"/>
              <c:x val="0.86021174166700654"/>
              <c:y val="0.88529566116579361"/>
            </c:manualLayout>
          </c:layout>
        </c:title>
        <c:numFmt formatCode="#,##0" sourceLinked="0"/>
        <c:majorTickMark val="none"/>
        <c:tickLblPos val="nextTo"/>
        <c:txPr>
          <a:bodyPr/>
          <a:lstStyle/>
          <a:p>
            <a:pPr>
              <a:defRPr sz="800" b="1">
                <a:latin typeface="Times New Roman" pitchFamily="18" charset="0"/>
                <a:cs typeface="Times New Roman" pitchFamily="18" charset="0"/>
              </a:defRPr>
            </a:pPr>
            <a:endParaRPr lang="lv-LV"/>
          </a:p>
        </c:txPr>
        <c:crossAx val="148764544"/>
        <c:crosses val="autoZero"/>
        <c:crossBetween val="between"/>
        <c:minorUnit val="45"/>
      </c:valAx>
    </c:plotArea>
    <c:legend>
      <c:legendPos val="r"/>
      <c:layout>
        <c:manualLayout>
          <c:xMode val="edge"/>
          <c:yMode val="edge"/>
          <c:x val="0.22458386030761687"/>
          <c:y val="0.95989437826121615"/>
          <c:w val="0.61183873630180796"/>
          <c:h val="3.7717642991484245E-2"/>
        </c:manualLayout>
      </c:layout>
      <c:txPr>
        <a:bodyPr/>
        <a:lstStyle/>
        <a:p>
          <a:pPr>
            <a:defRPr sz="600">
              <a:latin typeface="Times New Roman" pitchFamily="18" charset="0"/>
              <a:cs typeface="Times New Roman" pitchFamily="18" charset="0"/>
            </a:defRPr>
          </a:pPr>
          <a:endParaRPr lang="lv-LV"/>
        </a:p>
      </c:txPr>
    </c:legend>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1106</Words>
  <Characters>8300</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______________________</vt:lpstr>
    </vt:vector>
  </TitlesOfParts>
  <Company>Ministrija</Company>
  <LinksUpToDate>false</LinksUpToDate>
  <CharactersWithSpaces>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dc:title>
  <dc:creator>"Ritvars Timermanis" &lt;Ritvars.Timermanis@zm.gov.lv&gt;</dc:creator>
  <cp:lastModifiedBy>IevaBrinke</cp:lastModifiedBy>
  <cp:revision>4</cp:revision>
  <cp:lastPrinted>2011-06-07T09:15:00Z</cp:lastPrinted>
  <dcterms:created xsi:type="dcterms:W3CDTF">2011-06-06T12:29:00Z</dcterms:created>
  <dcterms:modified xsi:type="dcterms:W3CDTF">2011-06-07T11:05:00Z</dcterms:modified>
</cp:coreProperties>
</file>