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7C" w:rsidRPr="00CC7E7C" w:rsidRDefault="00F27ED4" w:rsidP="00CC7E7C">
      <w:pPr>
        <w:spacing w:before="160" w:after="160"/>
        <w:jc w:val="center"/>
        <w:rPr>
          <w:rFonts w:eastAsia="Times New Roman"/>
          <w:b/>
          <w:bCs/>
          <w:color w:val="auto"/>
          <w:sz w:val="28"/>
          <w:szCs w:val="28"/>
          <w:lang w:eastAsia="lv-LV"/>
        </w:rPr>
      </w:pPr>
      <w:bookmarkStart w:id="0" w:name="OLE_LINK1"/>
      <w:bookmarkStart w:id="1" w:name="OLE_LINK2"/>
      <w:bookmarkStart w:id="2" w:name="OLE_LINK3"/>
      <w:bookmarkStart w:id="3" w:name="OLE_LINK4"/>
      <w:r>
        <w:rPr>
          <w:rFonts w:eastAsia="Times New Roman"/>
          <w:b/>
          <w:bCs/>
          <w:color w:val="auto"/>
          <w:sz w:val="28"/>
          <w:szCs w:val="28"/>
          <w:lang w:eastAsia="lv-LV"/>
        </w:rPr>
        <w:t>Rīkojuma</w:t>
      </w:r>
      <w:r w:rsidR="00CC7E7C" w:rsidRPr="00CC7E7C">
        <w:rPr>
          <w:rFonts w:eastAsia="Times New Roman"/>
          <w:b/>
          <w:bCs/>
          <w:color w:val="auto"/>
          <w:sz w:val="28"/>
          <w:szCs w:val="28"/>
          <w:lang w:eastAsia="lv-LV"/>
        </w:rPr>
        <w:t xml:space="preserve"> projekta</w:t>
      </w:r>
      <w:r>
        <w:rPr>
          <w:rFonts w:eastAsia="Times New Roman"/>
          <w:b/>
          <w:bCs/>
          <w:color w:val="auto"/>
          <w:sz w:val="28"/>
          <w:szCs w:val="28"/>
          <w:lang w:eastAsia="lv-LV"/>
        </w:rPr>
        <w:t xml:space="preserve"> „Par obligāti piemērojamo </w:t>
      </w:r>
      <w:r w:rsidR="00E3778E">
        <w:rPr>
          <w:rFonts w:eastAsia="Times New Roman"/>
          <w:b/>
          <w:bCs/>
          <w:color w:val="auto"/>
          <w:sz w:val="28"/>
          <w:szCs w:val="28"/>
          <w:lang w:eastAsia="lv-LV"/>
        </w:rPr>
        <w:t xml:space="preserve">Latvijas nacionālo </w:t>
      </w:r>
      <w:r>
        <w:rPr>
          <w:rFonts w:eastAsia="Times New Roman"/>
          <w:b/>
          <w:bCs/>
          <w:color w:val="auto"/>
          <w:sz w:val="28"/>
          <w:szCs w:val="28"/>
          <w:lang w:eastAsia="lv-LV"/>
        </w:rPr>
        <w:t>standartu tulkošan</w:t>
      </w:r>
      <w:r w:rsidR="00E3778E">
        <w:rPr>
          <w:rFonts w:eastAsia="Times New Roman"/>
          <w:b/>
          <w:bCs/>
          <w:color w:val="auto"/>
          <w:sz w:val="28"/>
          <w:szCs w:val="28"/>
          <w:lang w:eastAsia="lv-LV"/>
        </w:rPr>
        <w:t>u</w:t>
      </w:r>
      <w:r>
        <w:rPr>
          <w:rFonts w:eastAsia="Times New Roman"/>
          <w:b/>
          <w:bCs/>
          <w:color w:val="auto"/>
          <w:sz w:val="28"/>
          <w:szCs w:val="28"/>
          <w:lang w:eastAsia="lv-LV"/>
        </w:rPr>
        <w:t>”</w:t>
      </w:r>
      <w:r w:rsidR="00CC7E7C" w:rsidRPr="00CC7E7C">
        <w:rPr>
          <w:rFonts w:eastAsia="Times New Roman"/>
          <w:b/>
          <w:bCs/>
          <w:color w:val="auto"/>
          <w:sz w:val="28"/>
          <w:szCs w:val="28"/>
          <w:lang w:eastAsia="lv-LV"/>
        </w:rPr>
        <w:t xml:space="preserve"> </w:t>
      </w:r>
      <w:bookmarkEnd w:id="0"/>
      <w:bookmarkEnd w:id="1"/>
      <w:r w:rsidR="00CC7E7C" w:rsidRPr="00CC7E7C">
        <w:rPr>
          <w:rFonts w:eastAsia="Times New Roman"/>
          <w:b/>
          <w:bCs/>
          <w:color w:val="auto"/>
          <w:sz w:val="28"/>
          <w:szCs w:val="28"/>
          <w:lang w:eastAsia="lv-LV"/>
        </w:rPr>
        <w:t>sākotnējās ietekmes novērtējuma ziņojums (anotācija)</w:t>
      </w:r>
    </w:p>
    <w:bookmarkEnd w:id="2"/>
    <w:bookmarkEnd w:id="3"/>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
        <w:gridCol w:w="2823"/>
        <w:gridCol w:w="5968"/>
      </w:tblGrid>
      <w:tr w:rsidR="00CC7E7C" w:rsidRPr="00CC7E7C" w:rsidTr="0016366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b/>
                <w:bCs/>
                <w:color w:val="auto"/>
                <w:sz w:val="28"/>
                <w:szCs w:val="28"/>
                <w:lang w:eastAsia="lv-LV"/>
              </w:rPr>
              <w:t> I. Tiesību akta projekta izstrādes nepieciešamība</w:t>
            </w:r>
          </w:p>
        </w:tc>
      </w:tr>
      <w:tr w:rsidR="00CC7E7C" w:rsidRPr="00CC7E7C" w:rsidTr="00DF7423">
        <w:trPr>
          <w:trHeight w:val="630"/>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Pamatojums</w:t>
            </w:r>
          </w:p>
        </w:tc>
        <w:tc>
          <w:tcPr>
            <w:tcW w:w="3278" w:type="pct"/>
            <w:tcBorders>
              <w:top w:val="outset" w:sz="6" w:space="0" w:color="auto"/>
              <w:left w:val="outset" w:sz="6" w:space="0" w:color="auto"/>
              <w:bottom w:val="outset" w:sz="6" w:space="0" w:color="auto"/>
              <w:right w:val="outset" w:sz="6" w:space="0" w:color="auto"/>
            </w:tcBorders>
            <w:hideMark/>
          </w:tcPr>
          <w:p w:rsidR="00CC7E7C" w:rsidRPr="00CC7E7C" w:rsidRDefault="00CC7E7C" w:rsidP="00D17E9D">
            <w:pPr>
              <w:spacing w:before="80" w:after="80"/>
              <w:ind w:firstLine="269"/>
              <w:jc w:val="both"/>
              <w:rPr>
                <w:rFonts w:eastAsia="Times New Roman"/>
                <w:color w:val="auto"/>
                <w:sz w:val="28"/>
                <w:szCs w:val="28"/>
                <w:lang w:eastAsia="lv-LV"/>
              </w:rPr>
            </w:pPr>
            <w:r w:rsidRPr="00CC7E7C">
              <w:rPr>
                <w:rFonts w:eastAsia="Times New Roman"/>
                <w:color w:val="auto"/>
                <w:sz w:val="28"/>
                <w:szCs w:val="28"/>
                <w:lang w:eastAsia="lv-LV"/>
              </w:rPr>
              <w:t> </w:t>
            </w:r>
            <w:r w:rsidRPr="00163666">
              <w:rPr>
                <w:rFonts w:eastAsia="Times New Roman"/>
                <w:color w:val="auto"/>
                <w:sz w:val="28"/>
                <w:szCs w:val="28"/>
                <w:lang w:eastAsia="lv-LV"/>
              </w:rPr>
              <w:t>Rīkojuma projekts sagatavots, lai izpildītu</w:t>
            </w:r>
            <w:r w:rsidRPr="00163666">
              <w:rPr>
                <w:rFonts w:eastAsia="Calibri"/>
                <w:sz w:val="28"/>
                <w:szCs w:val="28"/>
              </w:rPr>
              <w:t xml:space="preserve"> 2010.gada 27.maija Valsts sekretāru sanāksmes protokola Nr.21 30.§</w:t>
            </w:r>
            <w:r w:rsidR="004224B3">
              <w:rPr>
                <w:rFonts w:eastAsia="Calibri"/>
                <w:sz w:val="28"/>
                <w:szCs w:val="28"/>
              </w:rPr>
              <w:t xml:space="preserve"> </w:t>
            </w:r>
            <w:r w:rsidR="004224B3" w:rsidRPr="00BE0667">
              <w:rPr>
                <w:sz w:val="28"/>
                <w:szCs w:val="28"/>
              </w:rPr>
              <w:t xml:space="preserve">„Noteikumu projekts „Grozījumi Ministru kabineta 2006.gada 26.septembra noteikumos Nr.801 „Noteikumi par sēra satura ierobežošanu atsevišķiem šķidrās degvielas veidiem”” </w:t>
            </w:r>
            <w:r w:rsidRPr="00163666">
              <w:rPr>
                <w:rFonts w:eastAsia="Calibri"/>
                <w:sz w:val="28"/>
                <w:szCs w:val="28"/>
              </w:rPr>
              <w:t>2.punktu, k</w:t>
            </w:r>
            <w:r w:rsidR="00D17E9D">
              <w:rPr>
                <w:rFonts w:eastAsia="Calibri"/>
                <w:sz w:val="28"/>
                <w:szCs w:val="28"/>
              </w:rPr>
              <w:t xml:space="preserve">urā </w:t>
            </w:r>
            <w:r w:rsidRPr="00163666">
              <w:rPr>
                <w:rFonts w:eastAsia="Calibri"/>
                <w:sz w:val="28"/>
                <w:szCs w:val="28"/>
              </w:rPr>
              <w:t>Vides ministrijai</w:t>
            </w:r>
            <w:r w:rsidR="00D17E9D">
              <w:rPr>
                <w:rFonts w:eastAsia="Calibri"/>
                <w:sz w:val="28"/>
                <w:szCs w:val="28"/>
              </w:rPr>
              <w:t xml:space="preserve"> uzdots</w:t>
            </w:r>
            <w:r w:rsidRPr="00163666">
              <w:rPr>
                <w:rFonts w:eastAsia="Calibri"/>
                <w:sz w:val="28"/>
                <w:szCs w:val="28"/>
              </w:rPr>
              <w:t>, nepieciešamības gadījumā piesaistot arī citas iesaistītās institūcijas, sagatavot priekšlikumus turpmākai rīcībai</w:t>
            </w:r>
            <w:r w:rsidR="00D53C2C">
              <w:rPr>
                <w:rFonts w:eastAsia="Calibri"/>
                <w:sz w:val="28"/>
                <w:szCs w:val="28"/>
              </w:rPr>
              <w:t xml:space="preserve">, lai risinātu problēmas, kas saistītas ar obligāti piemērojamo </w:t>
            </w:r>
            <w:r w:rsidR="00E3778E">
              <w:rPr>
                <w:rFonts w:eastAsia="Calibri"/>
                <w:sz w:val="28"/>
                <w:szCs w:val="28"/>
              </w:rPr>
              <w:t xml:space="preserve">Latvijas nacionālo </w:t>
            </w:r>
            <w:r w:rsidR="00D53C2C">
              <w:rPr>
                <w:rFonts w:eastAsia="Calibri"/>
                <w:sz w:val="28"/>
                <w:szCs w:val="28"/>
              </w:rPr>
              <w:t>standartu tulkošan</w:t>
            </w:r>
            <w:r w:rsidR="006F251F">
              <w:rPr>
                <w:rFonts w:eastAsia="Calibri"/>
                <w:sz w:val="28"/>
                <w:szCs w:val="28"/>
              </w:rPr>
              <w:t>u</w:t>
            </w:r>
            <w:r w:rsidRPr="00163666">
              <w:rPr>
                <w:rFonts w:eastAsia="Calibri"/>
                <w:sz w:val="28"/>
                <w:szCs w:val="28"/>
              </w:rPr>
              <w:t xml:space="preserve"> un iesniegt tos Valsts kancelejā.</w:t>
            </w:r>
          </w:p>
        </w:tc>
      </w:tr>
      <w:tr w:rsidR="00CC7E7C" w:rsidRPr="00CC7E7C" w:rsidTr="00DF7423">
        <w:trPr>
          <w:trHeight w:val="472"/>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Pašreizējā situācija un problēmas</w:t>
            </w:r>
          </w:p>
        </w:tc>
        <w:tc>
          <w:tcPr>
            <w:tcW w:w="3278" w:type="pct"/>
            <w:tcBorders>
              <w:top w:val="outset" w:sz="6" w:space="0" w:color="auto"/>
              <w:left w:val="outset" w:sz="6" w:space="0" w:color="auto"/>
              <w:bottom w:val="outset" w:sz="6" w:space="0" w:color="auto"/>
              <w:right w:val="outset" w:sz="6" w:space="0" w:color="auto"/>
            </w:tcBorders>
            <w:hideMark/>
          </w:tcPr>
          <w:p w:rsidR="007A1604" w:rsidRDefault="00163666" w:rsidP="007A1604">
            <w:pPr>
              <w:ind w:firstLine="269"/>
              <w:jc w:val="both"/>
              <w:rPr>
                <w:sz w:val="28"/>
                <w:szCs w:val="28"/>
              </w:rPr>
            </w:pPr>
            <w:r w:rsidRPr="00254826">
              <w:rPr>
                <w:sz w:val="28"/>
                <w:szCs w:val="28"/>
              </w:rPr>
              <w:t>Šī gada 18.februārī tika veikti grozījumi Standartizācijas likum</w:t>
            </w:r>
            <w:r>
              <w:rPr>
                <w:sz w:val="28"/>
                <w:szCs w:val="28"/>
              </w:rPr>
              <w:t>a 14.pantā</w:t>
            </w:r>
            <w:r w:rsidRPr="00254826">
              <w:rPr>
                <w:sz w:val="28"/>
                <w:szCs w:val="28"/>
              </w:rPr>
              <w:t>, kas paredz, ka obligāti piemē</w:t>
            </w:r>
            <w:r w:rsidR="006F251F">
              <w:rPr>
                <w:sz w:val="28"/>
                <w:szCs w:val="28"/>
              </w:rPr>
              <w:t>ro</w:t>
            </w:r>
            <w:r w:rsidRPr="00254826">
              <w:rPr>
                <w:sz w:val="28"/>
                <w:szCs w:val="28"/>
              </w:rPr>
              <w:t xml:space="preserve">jamie </w:t>
            </w:r>
            <w:r w:rsidR="00877940">
              <w:rPr>
                <w:sz w:val="28"/>
                <w:szCs w:val="28"/>
              </w:rPr>
              <w:t xml:space="preserve">Latvijas nacionālie </w:t>
            </w:r>
            <w:r w:rsidRPr="00254826">
              <w:rPr>
                <w:sz w:val="28"/>
                <w:szCs w:val="28"/>
              </w:rPr>
              <w:t>standarti jātulko par attiecīgās nozares ministrijas budžeta līdzekļiem (iepriekš tas bija Ek</w:t>
            </w:r>
            <w:r>
              <w:rPr>
                <w:sz w:val="28"/>
                <w:szCs w:val="28"/>
              </w:rPr>
              <w:t>onomikas ministrijas uzdevums).</w:t>
            </w:r>
          </w:p>
          <w:p w:rsidR="00C53D9D" w:rsidRDefault="00163666" w:rsidP="00C53D9D">
            <w:pPr>
              <w:ind w:firstLine="269"/>
              <w:jc w:val="both"/>
              <w:rPr>
                <w:sz w:val="28"/>
                <w:szCs w:val="28"/>
              </w:rPr>
            </w:pPr>
            <w:r w:rsidRPr="00254826">
              <w:rPr>
                <w:sz w:val="28"/>
                <w:szCs w:val="28"/>
              </w:rPr>
              <w:t>Kopš šo grozījumu pieņemšanas Vides ministrija</w:t>
            </w:r>
            <w:r>
              <w:rPr>
                <w:sz w:val="28"/>
                <w:szCs w:val="28"/>
              </w:rPr>
              <w:t xml:space="preserve"> ir saskārusies ar sekojošām problēmām:</w:t>
            </w:r>
          </w:p>
          <w:p w:rsidR="00C53D9D" w:rsidRDefault="00C53D9D" w:rsidP="00C53D9D">
            <w:pPr>
              <w:ind w:firstLine="269"/>
              <w:jc w:val="both"/>
              <w:rPr>
                <w:sz w:val="28"/>
                <w:szCs w:val="28"/>
              </w:rPr>
            </w:pPr>
            <w:r w:rsidRPr="00C53D9D">
              <w:rPr>
                <w:b/>
                <w:sz w:val="28"/>
                <w:szCs w:val="28"/>
              </w:rPr>
              <w:t>1.</w:t>
            </w:r>
            <w:r w:rsidR="00163666" w:rsidRPr="00C53D9D">
              <w:rPr>
                <w:b/>
                <w:sz w:val="28"/>
                <w:szCs w:val="28"/>
              </w:rPr>
              <w:t>problēma:</w:t>
            </w:r>
            <w:r w:rsidR="00163666" w:rsidRPr="00C53D9D">
              <w:rPr>
                <w:sz w:val="28"/>
                <w:szCs w:val="28"/>
              </w:rPr>
              <w:t xml:space="preserve"> Standartizācijas likuma 14.panta otrajā daļā noteikts, ka obligāti piemērojamiem Latvijas nacionālajiem standartiem ir jābūt tulkotiem valsts valodā, tādējādi ministrijām jānodrošina šo standartu tulkojums. </w:t>
            </w:r>
            <w:r w:rsidR="00163666" w:rsidRPr="00C53D9D">
              <w:rPr>
                <w:sz w:val="28"/>
                <w:szCs w:val="28"/>
                <w:u w:val="single"/>
              </w:rPr>
              <w:t>Ierobežotā finansējuma dēļ iepriekšminēto likumdošanas prasību izpildīšana nav iespējama.</w:t>
            </w:r>
            <w:r w:rsidR="00163666" w:rsidRPr="00C53D9D">
              <w:rPr>
                <w:sz w:val="28"/>
                <w:szCs w:val="28"/>
              </w:rPr>
              <w:t xml:space="preserve"> Bez tam lielākoties standartus izmanto ļoti šaurs personu loks vai vispār t</w:t>
            </w:r>
            <w:r w:rsidR="00322EE2" w:rsidRPr="00C53D9D">
              <w:rPr>
                <w:sz w:val="28"/>
                <w:szCs w:val="28"/>
              </w:rPr>
              <w:t>ie netiek pieprasīti</w:t>
            </w:r>
            <w:r w:rsidR="00163666" w:rsidRPr="00C53D9D">
              <w:rPr>
                <w:sz w:val="28"/>
                <w:szCs w:val="28"/>
              </w:rPr>
              <w:t>, kas nozīmē, ka finansējuma piešķiršana šo standartu tulkošanai</w:t>
            </w:r>
            <w:r w:rsidR="00980936" w:rsidRPr="00C53D9D">
              <w:rPr>
                <w:sz w:val="28"/>
                <w:szCs w:val="28"/>
              </w:rPr>
              <w:t xml:space="preserve"> </w:t>
            </w:r>
            <w:r w:rsidR="0096371B">
              <w:rPr>
                <w:sz w:val="28"/>
                <w:szCs w:val="28"/>
              </w:rPr>
              <w:t xml:space="preserve">lielākoties ir </w:t>
            </w:r>
            <w:r w:rsidR="00163666" w:rsidRPr="00C53D9D">
              <w:rPr>
                <w:sz w:val="28"/>
                <w:szCs w:val="28"/>
              </w:rPr>
              <w:t>nelietderīga.</w:t>
            </w:r>
            <w:r w:rsidRPr="00C53D9D">
              <w:rPr>
                <w:b/>
                <w:sz w:val="28"/>
                <w:szCs w:val="28"/>
              </w:rPr>
              <w:t xml:space="preserve"> </w:t>
            </w:r>
          </w:p>
          <w:p w:rsidR="007A1604" w:rsidRDefault="00163666" w:rsidP="000D6933">
            <w:pPr>
              <w:spacing w:before="120" w:after="120"/>
              <w:ind w:firstLine="266"/>
              <w:jc w:val="both"/>
              <w:rPr>
                <w:sz w:val="28"/>
                <w:szCs w:val="28"/>
              </w:rPr>
            </w:pPr>
            <w:r w:rsidRPr="00D72979">
              <w:rPr>
                <w:sz w:val="28"/>
                <w:szCs w:val="28"/>
              </w:rPr>
              <w:t xml:space="preserve">Pamatojoties uz </w:t>
            </w:r>
            <w:r w:rsidR="004B090E">
              <w:rPr>
                <w:sz w:val="28"/>
                <w:szCs w:val="28"/>
              </w:rPr>
              <w:t>Ekonomikas ministrijas</w:t>
            </w:r>
            <w:r w:rsidRPr="00D72979">
              <w:rPr>
                <w:sz w:val="28"/>
                <w:szCs w:val="28"/>
              </w:rPr>
              <w:t xml:space="preserve"> sniegto informāciju, Vides ministrija ir aprēķinājusi, ka laikā no 2007.</w:t>
            </w:r>
            <w:r w:rsidR="00D94F5E">
              <w:rPr>
                <w:sz w:val="28"/>
                <w:szCs w:val="28"/>
              </w:rPr>
              <w:t xml:space="preserve"> līdz </w:t>
            </w:r>
            <w:r w:rsidRPr="00D72979">
              <w:rPr>
                <w:sz w:val="28"/>
                <w:szCs w:val="28"/>
              </w:rPr>
              <w:t xml:space="preserve">2009.gadam </w:t>
            </w:r>
            <w:r w:rsidRPr="00D72979">
              <w:rPr>
                <w:b/>
                <w:sz w:val="28"/>
                <w:szCs w:val="28"/>
              </w:rPr>
              <w:t>3</w:t>
            </w:r>
            <w:r w:rsidR="009614AC" w:rsidRPr="00D72979">
              <w:rPr>
                <w:b/>
                <w:sz w:val="28"/>
                <w:szCs w:val="28"/>
              </w:rPr>
              <w:t>6</w:t>
            </w:r>
            <w:r w:rsidRPr="00D72979">
              <w:rPr>
                <w:b/>
                <w:sz w:val="28"/>
                <w:szCs w:val="28"/>
              </w:rPr>
              <w:t xml:space="preserve">% </w:t>
            </w:r>
            <w:r w:rsidR="009614AC" w:rsidRPr="00D72979">
              <w:rPr>
                <w:b/>
                <w:sz w:val="28"/>
                <w:szCs w:val="28"/>
              </w:rPr>
              <w:t>no visiem</w:t>
            </w:r>
            <w:r w:rsidRPr="00D72979">
              <w:rPr>
                <w:b/>
                <w:sz w:val="28"/>
                <w:szCs w:val="28"/>
              </w:rPr>
              <w:t xml:space="preserve"> standart</w:t>
            </w:r>
            <w:r w:rsidR="009614AC" w:rsidRPr="00D72979">
              <w:rPr>
                <w:b/>
                <w:sz w:val="28"/>
                <w:szCs w:val="28"/>
              </w:rPr>
              <w:t>iem</w:t>
            </w:r>
            <w:r w:rsidRPr="00D72979">
              <w:rPr>
                <w:b/>
                <w:sz w:val="28"/>
                <w:szCs w:val="28"/>
              </w:rPr>
              <w:t xml:space="preserve"> </w:t>
            </w:r>
            <w:r w:rsidRPr="00D72979">
              <w:rPr>
                <w:sz w:val="28"/>
                <w:szCs w:val="28"/>
              </w:rPr>
              <w:t xml:space="preserve">(ietver visu jomu obligāti piemērojamos </w:t>
            </w:r>
            <w:r w:rsidR="00877940">
              <w:rPr>
                <w:sz w:val="28"/>
                <w:szCs w:val="28"/>
              </w:rPr>
              <w:t xml:space="preserve">Latvijas nacionālos </w:t>
            </w:r>
            <w:r w:rsidRPr="00D72979">
              <w:rPr>
                <w:sz w:val="28"/>
                <w:szCs w:val="28"/>
              </w:rPr>
              <w:t xml:space="preserve">standartus, kā arī </w:t>
            </w:r>
            <w:r w:rsidRPr="00D72979">
              <w:rPr>
                <w:sz w:val="28"/>
                <w:szCs w:val="28"/>
              </w:rPr>
              <w:lastRenderedPageBreak/>
              <w:t xml:space="preserve">standartus, kuru piemērošana ir brīvprātīga) </w:t>
            </w:r>
            <w:r w:rsidRPr="00D72979">
              <w:rPr>
                <w:b/>
                <w:sz w:val="28"/>
                <w:szCs w:val="28"/>
              </w:rPr>
              <w:t>nav pieprasījusi neviena persona</w:t>
            </w:r>
            <w:r w:rsidRPr="00D72979">
              <w:rPr>
                <w:sz w:val="28"/>
                <w:szCs w:val="28"/>
              </w:rPr>
              <w:t xml:space="preserve">. Aprēķinātie dati apstiprina pieņēmumu, ka standartus pieprasa ļoti šaurs personu loks, jo </w:t>
            </w:r>
            <w:r w:rsidRPr="00D72979">
              <w:rPr>
                <w:b/>
                <w:sz w:val="28"/>
                <w:szCs w:val="28"/>
              </w:rPr>
              <w:t>7</w:t>
            </w:r>
            <w:r w:rsidR="009614AC" w:rsidRPr="00D72979">
              <w:rPr>
                <w:b/>
                <w:sz w:val="28"/>
                <w:szCs w:val="28"/>
              </w:rPr>
              <w:t>9</w:t>
            </w:r>
            <w:r w:rsidRPr="00D72979">
              <w:rPr>
                <w:b/>
                <w:sz w:val="28"/>
                <w:szCs w:val="28"/>
              </w:rPr>
              <w:t>% no visiem standartiem ir pieprasījušas mazāk kā 10 personas, bet 6</w:t>
            </w:r>
            <w:r w:rsidR="009614AC" w:rsidRPr="00D72979">
              <w:rPr>
                <w:b/>
                <w:sz w:val="28"/>
                <w:szCs w:val="28"/>
              </w:rPr>
              <w:t>9</w:t>
            </w:r>
            <w:r w:rsidRPr="00D72979">
              <w:rPr>
                <w:b/>
                <w:sz w:val="28"/>
                <w:szCs w:val="28"/>
              </w:rPr>
              <w:t xml:space="preserve">% mazāk kā 5 personas </w:t>
            </w:r>
            <w:r w:rsidRPr="00D72979">
              <w:rPr>
                <w:sz w:val="28"/>
                <w:szCs w:val="28"/>
              </w:rPr>
              <w:t xml:space="preserve">(kopā tika apkopota informācija par </w:t>
            </w:r>
            <w:r w:rsidR="009614AC" w:rsidRPr="00D72979">
              <w:rPr>
                <w:sz w:val="28"/>
                <w:szCs w:val="28"/>
              </w:rPr>
              <w:t>705</w:t>
            </w:r>
            <w:r w:rsidRPr="00D72979">
              <w:rPr>
                <w:sz w:val="28"/>
                <w:szCs w:val="28"/>
              </w:rPr>
              <w:t xml:space="preserve"> standartiem).</w:t>
            </w:r>
            <w:r w:rsidR="00C53D9D" w:rsidRPr="00C53D9D">
              <w:rPr>
                <w:b/>
                <w:sz w:val="28"/>
                <w:szCs w:val="28"/>
              </w:rPr>
              <w:t xml:space="preserve"> </w:t>
            </w:r>
            <w:r w:rsidR="00DD0748">
              <w:rPr>
                <w:b/>
                <w:sz w:val="28"/>
                <w:szCs w:val="28"/>
              </w:rPr>
              <w:t>Aprēķināts</w:t>
            </w:r>
            <w:r w:rsidR="00C53D9D" w:rsidRPr="00C53D9D">
              <w:rPr>
                <w:b/>
                <w:sz w:val="28"/>
                <w:szCs w:val="28"/>
              </w:rPr>
              <w:t xml:space="preserve">, </w:t>
            </w:r>
            <w:r w:rsidR="00C53D9D" w:rsidRPr="00C53D9D">
              <w:rPr>
                <w:rFonts w:eastAsia="Times New Roman"/>
                <w:b/>
                <w:color w:val="auto"/>
                <w:sz w:val="28"/>
                <w:szCs w:val="28"/>
                <w:lang w:eastAsia="lv-LV"/>
              </w:rPr>
              <w:t>ka vidēji gadā 24 460 Ls tiek izlietoti to standartu tulkošanai, kurus neviens neizmanto un nepieprasa.</w:t>
            </w:r>
          </w:p>
          <w:p w:rsidR="007A1604" w:rsidRDefault="00163666" w:rsidP="00B01456">
            <w:pPr>
              <w:ind w:firstLine="266"/>
              <w:jc w:val="both"/>
              <w:rPr>
                <w:sz w:val="28"/>
                <w:szCs w:val="28"/>
              </w:rPr>
            </w:pPr>
            <w:r>
              <w:rPr>
                <w:sz w:val="28"/>
                <w:szCs w:val="28"/>
              </w:rPr>
              <w:t>Jāatzīmē, ka</w:t>
            </w:r>
            <w:r w:rsidRPr="00C42FA9">
              <w:rPr>
                <w:sz w:val="28"/>
                <w:szCs w:val="28"/>
              </w:rPr>
              <w:t xml:space="preserve"> jau šobrīd</w:t>
            </w:r>
            <w:r>
              <w:rPr>
                <w:sz w:val="28"/>
                <w:szCs w:val="28"/>
              </w:rPr>
              <w:t xml:space="preserve"> zināmā mērā</w:t>
            </w:r>
            <w:r w:rsidRPr="00C42FA9">
              <w:rPr>
                <w:sz w:val="28"/>
                <w:szCs w:val="28"/>
              </w:rPr>
              <w:t xml:space="preserve"> tiek pārkāptas LR likumdošanā noteiktās prasības</w:t>
            </w:r>
            <w:r>
              <w:rPr>
                <w:sz w:val="28"/>
                <w:szCs w:val="28"/>
              </w:rPr>
              <w:t xml:space="preserve">, jo </w:t>
            </w:r>
            <w:r w:rsidRPr="00C42FA9">
              <w:rPr>
                <w:sz w:val="28"/>
                <w:szCs w:val="28"/>
              </w:rPr>
              <w:t>pieņemot konkrētos M</w:t>
            </w:r>
            <w:r>
              <w:rPr>
                <w:sz w:val="28"/>
                <w:szCs w:val="28"/>
              </w:rPr>
              <w:t>inistru kabineta</w:t>
            </w:r>
            <w:r w:rsidRPr="00C42FA9">
              <w:rPr>
                <w:sz w:val="28"/>
                <w:szCs w:val="28"/>
              </w:rPr>
              <w:t xml:space="preserve"> noteikumos tiem pievienotajā </w:t>
            </w:r>
            <w:proofErr w:type="spellStart"/>
            <w:r w:rsidRPr="00C42FA9">
              <w:rPr>
                <w:sz w:val="28"/>
                <w:szCs w:val="28"/>
              </w:rPr>
              <w:t>protokollēmumā</w:t>
            </w:r>
            <w:proofErr w:type="spellEnd"/>
            <w:r w:rsidRPr="00C42FA9">
              <w:rPr>
                <w:sz w:val="28"/>
                <w:szCs w:val="28"/>
              </w:rPr>
              <w:t xml:space="preserve"> tiek noteikts datums, līdz kuram standarts ir jāiztulko (bieži vien termiņš ir ilgāks par gadu), kas nozīmē, ka persona, kurai jāizmanto šis standarts </w:t>
            </w:r>
            <w:r>
              <w:rPr>
                <w:sz w:val="28"/>
                <w:szCs w:val="28"/>
              </w:rPr>
              <w:t xml:space="preserve">uzreiz pēc Ministru kabineta noteikumu pieņemšanas </w:t>
            </w:r>
            <w:r w:rsidRPr="00C42FA9">
              <w:rPr>
                <w:sz w:val="28"/>
                <w:szCs w:val="28"/>
              </w:rPr>
              <w:t>nav pieejama standarta valsts valodas versija.</w:t>
            </w:r>
            <w:r>
              <w:rPr>
                <w:sz w:val="28"/>
                <w:szCs w:val="28"/>
              </w:rPr>
              <w:t xml:space="preserve"> Pēc šobrīd pastāvošās prakses papildus </w:t>
            </w:r>
            <w:proofErr w:type="spellStart"/>
            <w:r>
              <w:rPr>
                <w:sz w:val="28"/>
                <w:szCs w:val="28"/>
              </w:rPr>
              <w:t>protokolēmumā</w:t>
            </w:r>
            <w:proofErr w:type="spellEnd"/>
            <w:r>
              <w:rPr>
                <w:sz w:val="28"/>
                <w:szCs w:val="28"/>
              </w:rPr>
              <w:t xml:space="preserve"> tiek noteikts, ka atbildīgajai ministrijai līdz standarta iztulkošanai jāļauj personai iepazīties ar standarta skaidrojumu. Uz doto brīdi šīs prasības izpilde ir sarežģīta, </w:t>
            </w:r>
            <w:r w:rsidR="00764DBB">
              <w:rPr>
                <w:sz w:val="28"/>
                <w:szCs w:val="28"/>
              </w:rPr>
              <w:t>jo</w:t>
            </w:r>
            <w:r>
              <w:rPr>
                <w:sz w:val="28"/>
                <w:szCs w:val="28"/>
              </w:rPr>
              <w:t xml:space="preserve"> standarti ir autortiesību </w:t>
            </w:r>
            <w:r w:rsidR="00DD681E">
              <w:rPr>
                <w:sz w:val="28"/>
                <w:szCs w:val="28"/>
              </w:rPr>
              <w:t>o</w:t>
            </w:r>
            <w:r>
              <w:rPr>
                <w:sz w:val="28"/>
                <w:szCs w:val="28"/>
              </w:rPr>
              <w:t>bjekts un nav skaidrs, cik tālu šādus skaidrojumus var sniegt, lai nepārkāptu autortiesīb</w:t>
            </w:r>
            <w:r w:rsidR="00DD681E">
              <w:rPr>
                <w:sz w:val="28"/>
                <w:szCs w:val="28"/>
              </w:rPr>
              <w:t>as</w:t>
            </w:r>
            <w:r>
              <w:rPr>
                <w:sz w:val="28"/>
                <w:szCs w:val="28"/>
              </w:rPr>
              <w:t>. Bieži ministrijas rīcībā nemaz nav šo standartu, kā arī nav tiesības šo standartu izplatīt un tā kā standarti ir apjomīgi un ietver tehniska rakstura prasības (piemēram, attēlus, formulas, grafikus, shēmas, tabulas u.c.), tad to skaidrošana ir sarežģīta un ļoti laikietilpīga, kā arī neprecīza skaidrojuma sniegšanas gadījumā standarts var tikt piemērots neprecīzi.</w:t>
            </w:r>
            <w:r w:rsidRPr="00C42FA9">
              <w:rPr>
                <w:sz w:val="28"/>
                <w:szCs w:val="28"/>
              </w:rPr>
              <w:t xml:space="preserve"> </w:t>
            </w:r>
          </w:p>
          <w:p w:rsidR="007A1604" w:rsidRDefault="007A1604" w:rsidP="00B01456">
            <w:pPr>
              <w:ind w:firstLine="269"/>
              <w:jc w:val="both"/>
              <w:rPr>
                <w:sz w:val="28"/>
                <w:szCs w:val="28"/>
              </w:rPr>
            </w:pPr>
          </w:p>
          <w:p w:rsidR="000D6933" w:rsidRDefault="00163666" w:rsidP="00B01456">
            <w:pPr>
              <w:ind w:firstLine="269"/>
              <w:jc w:val="both"/>
              <w:rPr>
                <w:sz w:val="28"/>
                <w:szCs w:val="28"/>
              </w:rPr>
            </w:pPr>
            <w:r w:rsidRPr="0052197E">
              <w:rPr>
                <w:b/>
                <w:sz w:val="28"/>
                <w:szCs w:val="28"/>
              </w:rPr>
              <w:t>2. problēma:</w:t>
            </w:r>
            <w:r w:rsidRPr="0052197E">
              <w:rPr>
                <w:sz w:val="28"/>
                <w:szCs w:val="28"/>
              </w:rPr>
              <w:t xml:space="preserve"> </w:t>
            </w:r>
            <w:r>
              <w:rPr>
                <w:sz w:val="28"/>
                <w:szCs w:val="28"/>
              </w:rPr>
              <w:t xml:space="preserve">tā kā Valsts </w:t>
            </w:r>
            <w:r w:rsidRPr="00B80996">
              <w:rPr>
                <w:sz w:val="28"/>
                <w:szCs w:val="28"/>
              </w:rPr>
              <w:t xml:space="preserve">kanceleja </w:t>
            </w:r>
            <w:r w:rsidR="00B80996" w:rsidRPr="00B80996">
              <w:rPr>
                <w:sz w:val="28"/>
                <w:szCs w:val="28"/>
              </w:rPr>
              <w:t>uzskata</w:t>
            </w:r>
            <w:r w:rsidRPr="00B80996">
              <w:rPr>
                <w:sz w:val="28"/>
                <w:szCs w:val="28"/>
              </w:rPr>
              <w:t xml:space="preserve">, ka Ministru kabineta noteikumos drīkst minēt tikai </w:t>
            </w:r>
            <w:r w:rsidR="00B80996" w:rsidRPr="00B80996">
              <w:rPr>
                <w:sz w:val="28"/>
                <w:szCs w:val="28"/>
              </w:rPr>
              <w:t xml:space="preserve">saskaņā ar SIA „Standartizācijas, akreditācijas un metroloģijas centrs” mājas lapā sniegto informāciju </w:t>
            </w:r>
            <w:r w:rsidRPr="00B80996">
              <w:rPr>
                <w:sz w:val="28"/>
                <w:szCs w:val="28"/>
              </w:rPr>
              <w:t xml:space="preserve">spēkā esošus standartus, tad ministrijām regulāri jāveic izmaiņas normatīvajos aktos, lai aizstātu atceltās standartu versijas. </w:t>
            </w:r>
            <w:r w:rsidR="000D6933">
              <w:rPr>
                <w:sz w:val="28"/>
                <w:szCs w:val="28"/>
              </w:rPr>
              <w:t xml:space="preserve">Līdz šim Vides ministrijai nav izdevies vienoties ar Valsts kanceleju par to, ka </w:t>
            </w:r>
            <w:r w:rsidR="000D6933" w:rsidRPr="00CE4CA1">
              <w:rPr>
                <w:sz w:val="28"/>
                <w:szCs w:val="28"/>
              </w:rPr>
              <w:t>pārņem</w:t>
            </w:r>
            <w:r w:rsidR="000D6933">
              <w:rPr>
                <w:sz w:val="28"/>
                <w:szCs w:val="28"/>
              </w:rPr>
              <w:t>ot</w:t>
            </w:r>
            <w:r w:rsidR="000D6933" w:rsidRPr="00CE4CA1">
              <w:rPr>
                <w:sz w:val="28"/>
                <w:szCs w:val="28"/>
              </w:rPr>
              <w:t xml:space="preserve"> Eiropas Savienības tiesību akt</w:t>
            </w:r>
            <w:r w:rsidR="000D6933">
              <w:rPr>
                <w:sz w:val="28"/>
                <w:szCs w:val="28"/>
              </w:rPr>
              <w:t>a prasības drīkstētu atsaukties</w:t>
            </w:r>
            <w:r w:rsidR="000D6933" w:rsidRPr="00CE4CA1">
              <w:rPr>
                <w:sz w:val="28"/>
                <w:szCs w:val="28"/>
              </w:rPr>
              <w:t xml:space="preserve"> uz konkrēt</w:t>
            </w:r>
            <w:r w:rsidR="000D6933">
              <w:rPr>
                <w:sz w:val="28"/>
                <w:szCs w:val="28"/>
              </w:rPr>
              <w:t>a gada standarta versiju, kas minēta</w:t>
            </w:r>
            <w:r w:rsidR="000D6933" w:rsidRPr="00CE4CA1">
              <w:rPr>
                <w:sz w:val="28"/>
                <w:szCs w:val="28"/>
              </w:rPr>
              <w:t xml:space="preserve"> </w:t>
            </w:r>
            <w:r w:rsidR="000D6933">
              <w:rPr>
                <w:sz w:val="28"/>
                <w:szCs w:val="28"/>
              </w:rPr>
              <w:t>attiecīgajā</w:t>
            </w:r>
            <w:r w:rsidR="00E82F8C">
              <w:rPr>
                <w:sz w:val="28"/>
                <w:szCs w:val="28"/>
              </w:rPr>
              <w:t xml:space="preserve"> Eiropas Savienības</w:t>
            </w:r>
            <w:r w:rsidR="000D6933">
              <w:rPr>
                <w:sz w:val="28"/>
                <w:szCs w:val="28"/>
              </w:rPr>
              <w:t xml:space="preserve"> tiesību aktā, pat ja tā vairs nav spēkā. Uzskatām, ka šāda</w:t>
            </w:r>
            <w:r w:rsidR="0006412A">
              <w:rPr>
                <w:sz w:val="28"/>
                <w:szCs w:val="28"/>
              </w:rPr>
              <w:t>i</w:t>
            </w:r>
            <w:r w:rsidR="000D6933">
              <w:rPr>
                <w:sz w:val="28"/>
                <w:szCs w:val="28"/>
              </w:rPr>
              <w:t xml:space="preserve"> prasība</w:t>
            </w:r>
            <w:r w:rsidR="0006412A">
              <w:rPr>
                <w:sz w:val="28"/>
                <w:szCs w:val="28"/>
              </w:rPr>
              <w:t>i</w:t>
            </w:r>
            <w:r w:rsidR="000D6933">
              <w:rPr>
                <w:sz w:val="28"/>
                <w:szCs w:val="28"/>
              </w:rPr>
              <w:t xml:space="preserve"> nav pamatojuma.</w:t>
            </w:r>
          </w:p>
          <w:p w:rsidR="007A1604" w:rsidRPr="00B80996" w:rsidRDefault="00163666" w:rsidP="007A1604">
            <w:pPr>
              <w:ind w:firstLine="269"/>
              <w:jc w:val="both"/>
              <w:rPr>
                <w:sz w:val="28"/>
                <w:szCs w:val="28"/>
              </w:rPr>
            </w:pPr>
            <w:r w:rsidRPr="00B80996">
              <w:rPr>
                <w:sz w:val="28"/>
                <w:szCs w:val="28"/>
              </w:rPr>
              <w:t>Eiropas Standartizācijas komiteja regulāri pieņem jaunas</w:t>
            </w:r>
            <w:r w:rsidR="00F21047">
              <w:rPr>
                <w:sz w:val="28"/>
                <w:szCs w:val="28"/>
              </w:rPr>
              <w:t xml:space="preserve"> standartu</w:t>
            </w:r>
            <w:r w:rsidRPr="00B80996">
              <w:rPr>
                <w:sz w:val="28"/>
                <w:szCs w:val="28"/>
              </w:rPr>
              <w:t xml:space="preserve"> versijas. Ja katru šādu standartu regulāri tulkos un attiecīgi grozīs atbilstošo tiesību aktu normas, tad standartu tulkošanas nodrošināšana un tiesību aktu grozīšana būs pamats lielam admi</w:t>
            </w:r>
            <w:r w:rsidR="00640817">
              <w:rPr>
                <w:sz w:val="28"/>
                <w:szCs w:val="28"/>
              </w:rPr>
              <w:t>nistratīvam darbam arī turpmāk.</w:t>
            </w:r>
            <w:r w:rsidR="008C6314">
              <w:rPr>
                <w:sz w:val="28"/>
                <w:szCs w:val="28"/>
              </w:rPr>
              <w:t xml:space="preserve"> Pie kam atbilstošais Eiropas Savienības tiesību akts netiks precīzi pārņemts.</w:t>
            </w:r>
          </w:p>
          <w:p w:rsidR="00CC7E7C" w:rsidRPr="00B7207B" w:rsidRDefault="00163666" w:rsidP="00B7207B">
            <w:pPr>
              <w:ind w:firstLine="269"/>
              <w:jc w:val="both"/>
              <w:rPr>
                <w:color w:val="auto"/>
                <w:sz w:val="28"/>
                <w:szCs w:val="28"/>
              </w:rPr>
            </w:pPr>
            <w:r w:rsidRPr="00B80996">
              <w:rPr>
                <w:sz w:val="28"/>
                <w:szCs w:val="28"/>
              </w:rPr>
              <w:t>Tā kā vairāku</w:t>
            </w:r>
            <w:r>
              <w:rPr>
                <w:sz w:val="28"/>
                <w:szCs w:val="28"/>
              </w:rPr>
              <w:t xml:space="preserve"> nozaru - vides aizsardzības, transporta politikas, būvniecības</w:t>
            </w:r>
            <w:r w:rsidR="00D7598D">
              <w:rPr>
                <w:sz w:val="28"/>
                <w:szCs w:val="28"/>
              </w:rPr>
              <w:t>,</w:t>
            </w:r>
            <w:r>
              <w:rPr>
                <w:sz w:val="28"/>
                <w:szCs w:val="28"/>
              </w:rPr>
              <w:t xml:space="preserve"> darba aizsardzības un citas jomas </w:t>
            </w:r>
            <w:r w:rsidRPr="00254826">
              <w:rPr>
                <w:sz w:val="28"/>
                <w:szCs w:val="28"/>
              </w:rPr>
              <w:t xml:space="preserve">reglamentējošajos tiesību aktos ir iekļauts liels skaits obligāti piemērojamo </w:t>
            </w:r>
            <w:r w:rsidR="00877940">
              <w:rPr>
                <w:sz w:val="28"/>
                <w:szCs w:val="28"/>
              </w:rPr>
              <w:t xml:space="preserve">Latvijas nacionālo </w:t>
            </w:r>
            <w:r w:rsidRPr="00254826">
              <w:rPr>
                <w:sz w:val="28"/>
                <w:szCs w:val="28"/>
              </w:rPr>
              <w:t xml:space="preserve">standartu, kuri regulāri tiek atcelti un </w:t>
            </w:r>
            <w:r>
              <w:rPr>
                <w:sz w:val="28"/>
                <w:szCs w:val="28"/>
              </w:rPr>
              <w:t>tiek pieņemtas</w:t>
            </w:r>
            <w:r w:rsidRPr="00254826">
              <w:rPr>
                <w:sz w:val="28"/>
                <w:szCs w:val="28"/>
              </w:rPr>
              <w:t xml:space="preserve"> jaunas to versijas, tad var </w:t>
            </w:r>
            <w:r w:rsidRPr="00491005">
              <w:rPr>
                <w:color w:val="auto"/>
                <w:sz w:val="28"/>
                <w:szCs w:val="28"/>
              </w:rPr>
              <w:t>prognozēt, ka standartu tulkošanas nodrošināšana radīs problēmas arī nākotnē.</w:t>
            </w:r>
          </w:p>
        </w:tc>
      </w:tr>
      <w:tr w:rsidR="00CC7E7C" w:rsidRPr="00CC7E7C" w:rsidTr="00DF7423">
        <w:trPr>
          <w:trHeight w:val="1071"/>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lastRenderedPageBreak/>
              <w:t> 3.</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Saistītie politikas ietekmes novērtējumi un pētījumi</w:t>
            </w:r>
          </w:p>
        </w:tc>
        <w:tc>
          <w:tcPr>
            <w:tcW w:w="3278" w:type="pct"/>
            <w:tcBorders>
              <w:top w:val="outset" w:sz="6" w:space="0" w:color="auto"/>
              <w:left w:val="outset" w:sz="6" w:space="0" w:color="auto"/>
              <w:bottom w:val="outset" w:sz="6" w:space="0" w:color="auto"/>
              <w:right w:val="outset" w:sz="6" w:space="0" w:color="auto"/>
            </w:tcBorders>
            <w:hideMark/>
          </w:tcPr>
          <w:p w:rsidR="00CC7E7C" w:rsidRPr="00CC7E7C" w:rsidRDefault="00163666" w:rsidP="007A1604">
            <w:pPr>
              <w:spacing w:before="80" w:after="80"/>
              <w:ind w:firstLine="269"/>
              <w:rPr>
                <w:rFonts w:eastAsia="Times New Roman"/>
                <w:color w:val="auto"/>
                <w:sz w:val="28"/>
                <w:szCs w:val="28"/>
                <w:lang w:eastAsia="lv-LV"/>
              </w:rPr>
            </w:pPr>
            <w:r>
              <w:rPr>
                <w:rFonts w:eastAsia="Times New Roman"/>
                <w:color w:val="auto"/>
                <w:sz w:val="28"/>
                <w:szCs w:val="28"/>
                <w:lang w:eastAsia="lv-LV"/>
              </w:rPr>
              <w:t>Nav attiecināms</w:t>
            </w:r>
          </w:p>
        </w:tc>
      </w:tr>
      <w:tr w:rsidR="00CC7E7C" w:rsidRPr="00CC7E7C" w:rsidTr="00DF7423">
        <w:trPr>
          <w:trHeight w:val="384"/>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4.</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Tiesiskā regulējuma mērķis un būtība</w:t>
            </w:r>
          </w:p>
        </w:tc>
        <w:tc>
          <w:tcPr>
            <w:tcW w:w="3278" w:type="pct"/>
            <w:tcBorders>
              <w:top w:val="outset" w:sz="6" w:space="0" w:color="auto"/>
              <w:left w:val="outset" w:sz="6" w:space="0" w:color="auto"/>
              <w:bottom w:val="outset" w:sz="6" w:space="0" w:color="auto"/>
              <w:right w:val="outset" w:sz="6" w:space="0" w:color="auto"/>
            </w:tcBorders>
            <w:hideMark/>
          </w:tcPr>
          <w:p w:rsidR="002C1965" w:rsidRDefault="007A1604" w:rsidP="002C1965">
            <w:pPr>
              <w:spacing w:before="120"/>
              <w:ind w:firstLine="269"/>
              <w:jc w:val="both"/>
              <w:rPr>
                <w:sz w:val="28"/>
                <w:szCs w:val="28"/>
              </w:rPr>
            </w:pPr>
            <w:r>
              <w:rPr>
                <w:rFonts w:eastAsia="Times New Roman"/>
                <w:color w:val="auto"/>
                <w:sz w:val="28"/>
                <w:szCs w:val="28"/>
                <w:lang w:eastAsia="lv-LV"/>
              </w:rPr>
              <w:t xml:space="preserve">Rīkojuma </w:t>
            </w:r>
            <w:r w:rsidRPr="007A1604">
              <w:rPr>
                <w:rFonts w:eastAsia="Times New Roman"/>
                <w:color w:val="auto"/>
                <w:sz w:val="28"/>
                <w:szCs w:val="28"/>
                <w:lang w:eastAsia="lv-LV"/>
              </w:rPr>
              <w:t xml:space="preserve">projekts izstrādāts, lai </w:t>
            </w:r>
            <w:r w:rsidRPr="007A1604">
              <w:rPr>
                <w:sz w:val="28"/>
                <w:szCs w:val="28"/>
              </w:rPr>
              <w:t xml:space="preserve">sakārtotu šobrīd pastāvošo </w:t>
            </w:r>
            <w:r w:rsidR="00D50D4D">
              <w:rPr>
                <w:sz w:val="28"/>
                <w:szCs w:val="28"/>
              </w:rPr>
              <w:t>kārtību</w:t>
            </w:r>
            <w:r w:rsidRPr="007A1604">
              <w:rPr>
                <w:sz w:val="28"/>
                <w:szCs w:val="28"/>
              </w:rPr>
              <w:t xml:space="preserve"> attiecībā uz obligāti piemērojamo </w:t>
            </w:r>
            <w:r w:rsidR="00877940">
              <w:rPr>
                <w:sz w:val="28"/>
                <w:szCs w:val="28"/>
              </w:rPr>
              <w:t xml:space="preserve">Latvijas nacionālo </w:t>
            </w:r>
            <w:r w:rsidRPr="007A1604">
              <w:rPr>
                <w:sz w:val="28"/>
                <w:szCs w:val="28"/>
              </w:rPr>
              <w:t xml:space="preserve">standartu tulkošanu un </w:t>
            </w:r>
            <w:r w:rsidR="00D66157">
              <w:rPr>
                <w:sz w:val="28"/>
                <w:szCs w:val="28"/>
              </w:rPr>
              <w:t xml:space="preserve">novērstu nelietderīgu valsts budžeta līdzekļu </w:t>
            </w:r>
            <w:r w:rsidRPr="007A1604">
              <w:rPr>
                <w:sz w:val="28"/>
                <w:szCs w:val="28"/>
              </w:rPr>
              <w:t>izlietošanu</w:t>
            </w:r>
            <w:r w:rsidR="00736221">
              <w:rPr>
                <w:sz w:val="28"/>
                <w:szCs w:val="28"/>
              </w:rPr>
              <w:t xml:space="preserve"> tādu standartu tulkošanai</w:t>
            </w:r>
            <w:r w:rsidR="0006412A">
              <w:rPr>
                <w:sz w:val="28"/>
                <w:szCs w:val="28"/>
              </w:rPr>
              <w:t>,</w:t>
            </w:r>
            <w:r w:rsidR="00736221">
              <w:rPr>
                <w:sz w:val="28"/>
                <w:szCs w:val="28"/>
              </w:rPr>
              <w:t xml:space="preserve"> pēc kuriem nav pieprasījuma</w:t>
            </w:r>
            <w:r w:rsidRPr="007A1604">
              <w:rPr>
                <w:sz w:val="28"/>
                <w:szCs w:val="28"/>
              </w:rPr>
              <w:t>.</w:t>
            </w:r>
            <w:r w:rsidR="00736221">
              <w:rPr>
                <w:sz w:val="28"/>
                <w:szCs w:val="28"/>
              </w:rPr>
              <w:t xml:space="preserve"> </w:t>
            </w:r>
          </w:p>
          <w:p w:rsidR="008A121B" w:rsidRDefault="008A121B" w:rsidP="008A121B">
            <w:pPr>
              <w:spacing w:before="120"/>
              <w:ind w:firstLine="266"/>
              <w:jc w:val="both"/>
              <w:rPr>
                <w:sz w:val="28"/>
                <w:szCs w:val="28"/>
              </w:rPr>
            </w:pPr>
            <w:r>
              <w:rPr>
                <w:sz w:val="28"/>
                <w:szCs w:val="28"/>
              </w:rPr>
              <w:t>Vides ministrija uzskata</w:t>
            </w:r>
            <w:r w:rsidRPr="00CE4CA1">
              <w:rPr>
                <w:sz w:val="28"/>
                <w:szCs w:val="28"/>
              </w:rPr>
              <w:t>, ka</w:t>
            </w:r>
            <w:r w:rsidR="0006412A">
              <w:rPr>
                <w:sz w:val="28"/>
                <w:szCs w:val="28"/>
              </w:rPr>
              <w:t>,</w:t>
            </w:r>
            <w:r w:rsidRPr="00CE4CA1">
              <w:rPr>
                <w:sz w:val="28"/>
                <w:szCs w:val="28"/>
              </w:rPr>
              <w:t xml:space="preserve"> lai pārņemtu Eiropas Savienības tiesību aktu</w:t>
            </w:r>
            <w:r w:rsidR="0006412A">
              <w:rPr>
                <w:sz w:val="28"/>
                <w:szCs w:val="28"/>
              </w:rPr>
              <w:t>,</w:t>
            </w:r>
            <w:r>
              <w:rPr>
                <w:sz w:val="28"/>
                <w:szCs w:val="28"/>
              </w:rPr>
              <w:t xml:space="preserve"> ir jāatsaucas</w:t>
            </w:r>
            <w:r w:rsidRPr="00CE4CA1">
              <w:rPr>
                <w:sz w:val="28"/>
                <w:szCs w:val="28"/>
              </w:rPr>
              <w:t xml:space="preserve"> uz konkrēt</w:t>
            </w:r>
            <w:r>
              <w:rPr>
                <w:sz w:val="28"/>
                <w:szCs w:val="28"/>
              </w:rPr>
              <w:t>a gada standarta versiju, kas minēta</w:t>
            </w:r>
            <w:r w:rsidRPr="00CE4CA1">
              <w:rPr>
                <w:sz w:val="28"/>
                <w:szCs w:val="28"/>
              </w:rPr>
              <w:t xml:space="preserve"> </w:t>
            </w:r>
            <w:r>
              <w:rPr>
                <w:sz w:val="28"/>
                <w:szCs w:val="28"/>
              </w:rPr>
              <w:t>attiecīgajā tiesību aktā</w:t>
            </w:r>
            <w:r w:rsidRPr="00CE4CA1">
              <w:rPr>
                <w:sz w:val="28"/>
                <w:szCs w:val="28"/>
              </w:rPr>
              <w:t>. Tas, ka standartam ir jaunāka versija nenozīmē</w:t>
            </w:r>
            <w:r>
              <w:rPr>
                <w:sz w:val="28"/>
                <w:szCs w:val="28"/>
              </w:rPr>
              <w:t>, ka</w:t>
            </w:r>
            <w:r w:rsidRPr="00CE4CA1">
              <w:rPr>
                <w:sz w:val="28"/>
                <w:szCs w:val="28"/>
              </w:rPr>
              <w:t xml:space="preserve"> Eiropas Savienības tiesību aktā noteiktais standarts nav spēkā un nav piemērojams. Jaunākas versijas standarta piemērošana ir brīvprātīga, kamēr tiesību aktā noteiktā st</w:t>
            </w:r>
            <w:r>
              <w:rPr>
                <w:sz w:val="28"/>
                <w:szCs w:val="28"/>
              </w:rPr>
              <w:t xml:space="preserve">andarta piemērošana ir obligāta. </w:t>
            </w:r>
          </w:p>
          <w:p w:rsidR="008A121B" w:rsidRPr="00226627" w:rsidRDefault="008A121B" w:rsidP="008A121B">
            <w:pPr>
              <w:spacing w:before="120"/>
              <w:ind w:firstLine="266"/>
              <w:jc w:val="both"/>
              <w:rPr>
                <w:sz w:val="28"/>
                <w:szCs w:val="28"/>
              </w:rPr>
            </w:pPr>
            <w:r w:rsidRPr="00491005">
              <w:rPr>
                <w:color w:val="auto"/>
                <w:sz w:val="28"/>
                <w:szCs w:val="28"/>
              </w:rPr>
              <w:t xml:space="preserve">Arī Eiropas Komisijas Vides Ģenerāldirektorāta pārstāvis </w:t>
            </w:r>
            <w:r>
              <w:rPr>
                <w:color w:val="auto"/>
                <w:sz w:val="28"/>
                <w:szCs w:val="28"/>
              </w:rPr>
              <w:t>elektroniski informēja</w:t>
            </w:r>
            <w:r w:rsidRPr="00491005">
              <w:rPr>
                <w:color w:val="auto"/>
                <w:sz w:val="28"/>
                <w:szCs w:val="28"/>
              </w:rPr>
              <w:t>,</w:t>
            </w:r>
            <w:r>
              <w:rPr>
                <w:color w:val="auto"/>
                <w:sz w:val="28"/>
                <w:szCs w:val="28"/>
              </w:rPr>
              <w:t xml:space="preserve"> ka pārņemot konkrētu direktīvu nacionālajā likumdošanā ir jāatsaucas uz šajā direktīvā norādītā standarta versiju. Tika norādīts, ka Eiropas Savienības tiesību aktos </w:t>
            </w:r>
            <w:r w:rsidRPr="00491005">
              <w:rPr>
                <w:color w:val="auto"/>
                <w:sz w:val="28"/>
                <w:szCs w:val="28"/>
              </w:rPr>
              <w:t>tiek minēti standarti ar konkrētu izdošanas gadu</w:t>
            </w:r>
            <w:r>
              <w:rPr>
                <w:color w:val="auto"/>
                <w:sz w:val="28"/>
                <w:szCs w:val="28"/>
              </w:rPr>
              <w:t xml:space="preserve"> tādēļ,</w:t>
            </w:r>
            <w:r w:rsidRPr="00491005">
              <w:rPr>
                <w:color w:val="auto"/>
                <w:sz w:val="28"/>
                <w:szCs w:val="28"/>
              </w:rPr>
              <w:t xml:space="preserve"> lai nodrošinātu nacionālo normatīvo aktu juridisko</w:t>
            </w:r>
            <w:r>
              <w:rPr>
                <w:color w:val="auto"/>
                <w:sz w:val="28"/>
                <w:szCs w:val="28"/>
              </w:rPr>
              <w:t xml:space="preserve"> konsekvenci</w:t>
            </w:r>
            <w:r w:rsidRPr="00491005">
              <w:rPr>
                <w:color w:val="auto"/>
                <w:sz w:val="28"/>
                <w:szCs w:val="28"/>
              </w:rPr>
              <w:t xml:space="preserve"> a</w:t>
            </w:r>
            <w:r>
              <w:rPr>
                <w:color w:val="auto"/>
                <w:sz w:val="28"/>
                <w:szCs w:val="28"/>
              </w:rPr>
              <w:t>r Eiropas Savienības tiesību aktiem</w:t>
            </w:r>
            <w:r w:rsidRPr="00491005">
              <w:rPr>
                <w:color w:val="auto"/>
                <w:sz w:val="28"/>
                <w:szCs w:val="28"/>
              </w:rPr>
              <w:t xml:space="preserve"> un </w:t>
            </w:r>
            <w:r>
              <w:rPr>
                <w:color w:val="auto"/>
                <w:sz w:val="28"/>
                <w:szCs w:val="28"/>
              </w:rPr>
              <w:t xml:space="preserve">lai </w:t>
            </w:r>
            <w:r w:rsidRPr="00491005">
              <w:rPr>
                <w:color w:val="auto"/>
                <w:sz w:val="28"/>
                <w:szCs w:val="28"/>
              </w:rPr>
              <w:t>novērstu E</w:t>
            </w:r>
            <w:r>
              <w:rPr>
                <w:color w:val="auto"/>
                <w:sz w:val="28"/>
                <w:szCs w:val="28"/>
              </w:rPr>
              <w:t xml:space="preserve">iropas </w:t>
            </w:r>
            <w:r w:rsidRPr="00491005">
              <w:rPr>
                <w:color w:val="auto"/>
                <w:sz w:val="28"/>
                <w:szCs w:val="28"/>
              </w:rPr>
              <w:t>S</w:t>
            </w:r>
            <w:r>
              <w:rPr>
                <w:color w:val="auto"/>
                <w:sz w:val="28"/>
                <w:szCs w:val="28"/>
              </w:rPr>
              <w:t>avienības</w:t>
            </w:r>
            <w:r w:rsidRPr="00491005">
              <w:rPr>
                <w:color w:val="auto"/>
                <w:sz w:val="28"/>
                <w:szCs w:val="28"/>
              </w:rPr>
              <w:t xml:space="preserve"> likumdošana</w:t>
            </w:r>
            <w:r>
              <w:rPr>
                <w:color w:val="auto"/>
                <w:sz w:val="28"/>
                <w:szCs w:val="28"/>
              </w:rPr>
              <w:t>s normu pārveidošanu</w:t>
            </w:r>
            <w:r w:rsidRPr="00491005">
              <w:rPr>
                <w:color w:val="auto"/>
                <w:sz w:val="28"/>
                <w:szCs w:val="28"/>
              </w:rPr>
              <w:t xml:space="preserve"> ārpus </w:t>
            </w:r>
            <w:r w:rsidRPr="008D53AC">
              <w:rPr>
                <w:color w:val="auto"/>
                <w:sz w:val="28"/>
                <w:szCs w:val="28"/>
              </w:rPr>
              <w:t xml:space="preserve">formālā procesa. </w:t>
            </w:r>
            <w:r>
              <w:rPr>
                <w:sz w:val="28"/>
                <w:szCs w:val="28"/>
              </w:rPr>
              <w:t>Vairumā gadījumu</w:t>
            </w:r>
            <w:r w:rsidRPr="008D53AC">
              <w:rPr>
                <w:sz w:val="28"/>
                <w:szCs w:val="28"/>
              </w:rPr>
              <w:t xml:space="preserve">, ja tas ir noteikts Eiropas Savienības tiesību aktā, lēmumu par jaunākas standarta versijas piemērošanu pieņem Eiropas Komisija, piemērojot </w:t>
            </w:r>
            <w:proofErr w:type="spellStart"/>
            <w:r w:rsidRPr="008D53AC">
              <w:rPr>
                <w:sz w:val="28"/>
                <w:szCs w:val="28"/>
              </w:rPr>
              <w:t>komitoloģijas</w:t>
            </w:r>
            <w:proofErr w:type="spellEnd"/>
            <w:r w:rsidRPr="008D53AC">
              <w:rPr>
                <w:sz w:val="28"/>
                <w:szCs w:val="28"/>
              </w:rPr>
              <w:t xml:space="preserve"> procedūru.</w:t>
            </w:r>
          </w:p>
          <w:p w:rsidR="008A121B" w:rsidRDefault="008A121B" w:rsidP="008A121B">
            <w:pPr>
              <w:spacing w:before="120"/>
              <w:ind w:firstLine="266"/>
              <w:jc w:val="both"/>
              <w:rPr>
                <w:sz w:val="28"/>
                <w:szCs w:val="28"/>
              </w:rPr>
            </w:pPr>
            <w:r>
              <w:rPr>
                <w:sz w:val="28"/>
                <w:szCs w:val="28"/>
              </w:rPr>
              <w:t>Lai turpmāk visas ministrijas, izstrādājot noteikumu projektus, rīkotos pēc vienas kārtības, rīkojuma projekta 1.punkts paredz</w:t>
            </w:r>
            <w:r w:rsidRPr="000E37B2">
              <w:rPr>
                <w:sz w:val="28"/>
                <w:szCs w:val="28"/>
              </w:rPr>
              <w:t xml:space="preserve">, ka normatīvajos aktos </w:t>
            </w:r>
            <w:r>
              <w:rPr>
                <w:sz w:val="28"/>
                <w:szCs w:val="28"/>
              </w:rPr>
              <w:t xml:space="preserve">turpmāk </w:t>
            </w:r>
            <w:r w:rsidRPr="000E37B2">
              <w:rPr>
                <w:sz w:val="28"/>
                <w:szCs w:val="28"/>
              </w:rPr>
              <w:t>drīkst</w:t>
            </w:r>
            <w:r>
              <w:rPr>
                <w:sz w:val="28"/>
                <w:szCs w:val="28"/>
              </w:rPr>
              <w:t>ēs</w:t>
            </w:r>
            <w:r w:rsidRPr="000E37B2">
              <w:rPr>
                <w:sz w:val="28"/>
                <w:szCs w:val="28"/>
              </w:rPr>
              <w:t xml:space="preserve"> minēt tikai </w:t>
            </w:r>
            <w:r>
              <w:rPr>
                <w:sz w:val="28"/>
                <w:szCs w:val="28"/>
              </w:rPr>
              <w:t xml:space="preserve">to standarta versiju, kas izriet no attiecīgā </w:t>
            </w:r>
            <w:r w:rsidRPr="000E37B2">
              <w:rPr>
                <w:sz w:val="28"/>
                <w:szCs w:val="28"/>
              </w:rPr>
              <w:t>E</w:t>
            </w:r>
            <w:r>
              <w:rPr>
                <w:sz w:val="28"/>
                <w:szCs w:val="28"/>
              </w:rPr>
              <w:t xml:space="preserve">iropas </w:t>
            </w:r>
            <w:r w:rsidRPr="000E37B2">
              <w:rPr>
                <w:sz w:val="28"/>
                <w:szCs w:val="28"/>
              </w:rPr>
              <w:t>S</w:t>
            </w:r>
            <w:r>
              <w:rPr>
                <w:sz w:val="28"/>
                <w:szCs w:val="28"/>
              </w:rPr>
              <w:t>avienības</w:t>
            </w:r>
            <w:r w:rsidRPr="000E37B2">
              <w:rPr>
                <w:sz w:val="28"/>
                <w:szCs w:val="28"/>
              </w:rPr>
              <w:t xml:space="preserve"> tiesību akt</w:t>
            </w:r>
            <w:r>
              <w:rPr>
                <w:sz w:val="28"/>
                <w:szCs w:val="28"/>
              </w:rPr>
              <w:t>a</w:t>
            </w:r>
            <w:r w:rsidRPr="000E37B2">
              <w:rPr>
                <w:sz w:val="28"/>
                <w:szCs w:val="28"/>
              </w:rPr>
              <w:t>, kurš ar konkrētajiem M</w:t>
            </w:r>
            <w:r>
              <w:rPr>
                <w:sz w:val="28"/>
                <w:szCs w:val="28"/>
              </w:rPr>
              <w:t>inistru kabineta</w:t>
            </w:r>
            <w:r w:rsidRPr="000E37B2">
              <w:rPr>
                <w:sz w:val="28"/>
                <w:szCs w:val="28"/>
              </w:rPr>
              <w:t xml:space="preserve"> noteikumiem tiek pār</w:t>
            </w:r>
            <w:r>
              <w:rPr>
                <w:sz w:val="28"/>
                <w:szCs w:val="28"/>
              </w:rPr>
              <w:t>ņemts.</w:t>
            </w:r>
          </w:p>
          <w:p w:rsidR="009E6A6E" w:rsidRDefault="009E6A6E" w:rsidP="008A121B">
            <w:pPr>
              <w:spacing w:before="120"/>
              <w:ind w:firstLine="266"/>
              <w:jc w:val="both"/>
              <w:rPr>
                <w:sz w:val="28"/>
                <w:szCs w:val="28"/>
              </w:rPr>
            </w:pPr>
            <w:r>
              <w:rPr>
                <w:sz w:val="28"/>
                <w:szCs w:val="28"/>
                <w:lang w:eastAsia="lv-LV"/>
              </w:rPr>
              <w:t>Rīkojuma projekt</w:t>
            </w:r>
            <w:r w:rsidR="004C02DD">
              <w:rPr>
                <w:sz w:val="28"/>
                <w:szCs w:val="28"/>
                <w:lang w:eastAsia="lv-LV"/>
              </w:rPr>
              <w:t xml:space="preserve">a </w:t>
            </w:r>
            <w:r w:rsidR="008A121B">
              <w:rPr>
                <w:sz w:val="28"/>
                <w:szCs w:val="28"/>
                <w:lang w:eastAsia="lv-LV"/>
              </w:rPr>
              <w:t>2</w:t>
            </w:r>
            <w:r w:rsidR="004C02DD">
              <w:rPr>
                <w:sz w:val="28"/>
                <w:szCs w:val="28"/>
                <w:lang w:eastAsia="lv-LV"/>
              </w:rPr>
              <w:t>.punkts</w:t>
            </w:r>
            <w:r>
              <w:rPr>
                <w:sz w:val="28"/>
                <w:szCs w:val="28"/>
                <w:lang w:eastAsia="lv-LV"/>
              </w:rPr>
              <w:t xml:space="preserve"> nosaka, ka Ekonomikas ministrijai ir jāizpēta citu ES valstu pieredze, lai varētu izstrādāt priekšlikums par to</w:t>
            </w:r>
            <w:r w:rsidR="0006412A">
              <w:rPr>
                <w:sz w:val="28"/>
                <w:szCs w:val="28"/>
                <w:lang w:eastAsia="lv-LV"/>
              </w:rPr>
              <w:t>,</w:t>
            </w:r>
            <w:r>
              <w:rPr>
                <w:sz w:val="28"/>
                <w:szCs w:val="28"/>
                <w:lang w:eastAsia="lv-LV"/>
              </w:rPr>
              <w:t xml:space="preserve"> kā veiksmīgāk samazināt ar standartu tulkošanu saistītos izdevumus un p</w:t>
            </w:r>
            <w:r w:rsidRPr="00AF1DEB">
              <w:rPr>
                <w:sz w:val="28"/>
                <w:szCs w:val="28"/>
                <w:lang w:eastAsia="lv-LV"/>
              </w:rPr>
              <w:t>amatojoties uz iegūto informāciju</w:t>
            </w:r>
            <w:r>
              <w:rPr>
                <w:sz w:val="28"/>
                <w:szCs w:val="28"/>
                <w:lang w:eastAsia="lv-LV"/>
              </w:rPr>
              <w:t xml:space="preserve"> jāsagatavo</w:t>
            </w:r>
            <w:r w:rsidRPr="00AF1DEB">
              <w:rPr>
                <w:sz w:val="28"/>
                <w:szCs w:val="28"/>
                <w:lang w:eastAsia="lv-LV"/>
              </w:rPr>
              <w:t xml:space="preserve"> nepieciešamos grozījumus normatīvajos aktos.</w:t>
            </w:r>
          </w:p>
          <w:p w:rsidR="004C02DD" w:rsidRPr="008A121B" w:rsidRDefault="007E2568" w:rsidP="00641344">
            <w:pPr>
              <w:spacing w:before="120"/>
              <w:ind w:firstLine="269"/>
              <w:jc w:val="both"/>
              <w:rPr>
                <w:sz w:val="28"/>
                <w:szCs w:val="28"/>
              </w:rPr>
            </w:pPr>
            <w:r>
              <w:rPr>
                <w:bCs/>
                <w:sz w:val="28"/>
                <w:szCs w:val="28"/>
              </w:rPr>
              <w:t xml:space="preserve">Savukārt rīkojuma projekta </w:t>
            </w:r>
            <w:r w:rsidR="00641344">
              <w:rPr>
                <w:bCs/>
                <w:sz w:val="28"/>
                <w:szCs w:val="28"/>
              </w:rPr>
              <w:t>3</w:t>
            </w:r>
            <w:r>
              <w:rPr>
                <w:bCs/>
                <w:sz w:val="28"/>
                <w:szCs w:val="28"/>
              </w:rPr>
              <w:t xml:space="preserve">.punkts nosaka, kā ministrijām būs jārīkojas </w:t>
            </w:r>
            <w:r w:rsidR="008353F4">
              <w:rPr>
                <w:bCs/>
                <w:sz w:val="28"/>
                <w:szCs w:val="28"/>
              </w:rPr>
              <w:t xml:space="preserve">laikā </w:t>
            </w:r>
            <w:r>
              <w:rPr>
                <w:bCs/>
                <w:sz w:val="28"/>
                <w:szCs w:val="28"/>
              </w:rPr>
              <w:t>līdz likumprojekta „Grozījumi Standartizācijas likumā” pieņemšanai.</w:t>
            </w:r>
            <w:r w:rsidR="00A352DC" w:rsidRPr="00DE704B">
              <w:rPr>
                <w:bCs/>
                <w:sz w:val="28"/>
                <w:szCs w:val="28"/>
              </w:rPr>
              <w:t xml:space="preserve"> </w:t>
            </w:r>
          </w:p>
        </w:tc>
      </w:tr>
      <w:tr w:rsidR="00CC7E7C" w:rsidRPr="00CC7E7C" w:rsidTr="00DF7423">
        <w:trPr>
          <w:trHeight w:val="476"/>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hideMark/>
          </w:tcPr>
          <w:p w:rsidR="00CC7E7C" w:rsidRPr="00CC7E7C" w:rsidRDefault="00CC7E7C" w:rsidP="003E64AE">
            <w:pPr>
              <w:jc w:val="both"/>
              <w:rPr>
                <w:sz w:val="28"/>
                <w:szCs w:val="28"/>
              </w:rPr>
            </w:pPr>
            <w:r w:rsidRPr="00CC7E7C">
              <w:rPr>
                <w:rFonts w:eastAsia="Times New Roman"/>
                <w:color w:val="auto"/>
                <w:sz w:val="28"/>
                <w:szCs w:val="28"/>
                <w:lang w:eastAsia="lv-LV"/>
              </w:rPr>
              <w:t> </w:t>
            </w:r>
            <w:r w:rsidR="0043142F">
              <w:rPr>
                <w:rFonts w:eastAsia="Times New Roman"/>
                <w:color w:val="auto"/>
                <w:sz w:val="28"/>
                <w:szCs w:val="28"/>
                <w:lang w:eastAsia="lv-LV"/>
              </w:rPr>
              <w:t xml:space="preserve">Pirms rīkojuma projekta izstrādes tika organizēta sanāksme, kurā tika </w:t>
            </w:r>
            <w:r w:rsidR="0043142F" w:rsidRPr="0043142F">
              <w:rPr>
                <w:rFonts w:eastAsia="Times New Roman"/>
                <w:color w:val="auto"/>
                <w:sz w:val="28"/>
                <w:szCs w:val="28"/>
                <w:lang w:eastAsia="lv-LV"/>
              </w:rPr>
              <w:t xml:space="preserve">noskaidrots </w:t>
            </w:r>
            <w:r w:rsidR="0043142F" w:rsidRPr="0043142F">
              <w:rPr>
                <w:sz w:val="28"/>
                <w:szCs w:val="28"/>
              </w:rPr>
              <w:t xml:space="preserve">Ekonomikas ministrijas, </w:t>
            </w:r>
            <w:r w:rsidR="0043142F" w:rsidRPr="0043142F">
              <w:rPr>
                <w:rFonts w:eastAsia="Calibri"/>
                <w:sz w:val="28"/>
                <w:szCs w:val="28"/>
              </w:rPr>
              <w:t>SIA „</w:t>
            </w:r>
            <w:r w:rsidR="0043142F" w:rsidRPr="0043142F">
              <w:rPr>
                <w:sz w:val="28"/>
                <w:szCs w:val="28"/>
              </w:rPr>
              <w:t xml:space="preserve">Standartizācijas, akreditācijas </w:t>
            </w:r>
            <w:r w:rsidR="0043142F" w:rsidRPr="0043142F">
              <w:rPr>
                <w:rFonts w:eastAsia="Calibri"/>
                <w:sz w:val="28"/>
                <w:szCs w:val="28"/>
              </w:rPr>
              <w:t>un metroloģijas centrs”</w:t>
            </w:r>
            <w:r w:rsidR="0043142F" w:rsidRPr="0043142F">
              <w:rPr>
                <w:sz w:val="28"/>
                <w:szCs w:val="28"/>
              </w:rPr>
              <w:t>, Satiksmes ministrijas, Veselības ministrijas, Zemkopības ministrijas, Labklājības ministrijas un Tieslietu ministrijas</w:t>
            </w:r>
            <w:r w:rsidR="0043142F">
              <w:rPr>
                <w:sz w:val="28"/>
                <w:szCs w:val="28"/>
              </w:rPr>
              <w:t xml:space="preserve"> viedoklis</w:t>
            </w:r>
            <w:r w:rsidR="009B33D5">
              <w:rPr>
                <w:sz w:val="28"/>
                <w:szCs w:val="28"/>
              </w:rPr>
              <w:t>. Satiksmes ministrija</w:t>
            </w:r>
            <w:r w:rsidR="009B33D5" w:rsidRPr="0043142F">
              <w:rPr>
                <w:sz w:val="28"/>
                <w:szCs w:val="28"/>
              </w:rPr>
              <w:t>,</w:t>
            </w:r>
            <w:r w:rsidR="009B33D5">
              <w:rPr>
                <w:sz w:val="28"/>
                <w:szCs w:val="28"/>
              </w:rPr>
              <w:t xml:space="preserve"> Ekonomikas ministrija, Veselības ministrija</w:t>
            </w:r>
            <w:r w:rsidR="009B33D5" w:rsidRPr="0043142F">
              <w:rPr>
                <w:sz w:val="28"/>
                <w:szCs w:val="28"/>
              </w:rPr>
              <w:t xml:space="preserve">, </w:t>
            </w:r>
            <w:r w:rsidR="009B33D5">
              <w:rPr>
                <w:sz w:val="28"/>
                <w:szCs w:val="28"/>
              </w:rPr>
              <w:t>Zemkopības ministrija un</w:t>
            </w:r>
            <w:r w:rsidR="009B33D5" w:rsidRPr="0043142F">
              <w:rPr>
                <w:sz w:val="28"/>
                <w:szCs w:val="28"/>
              </w:rPr>
              <w:t xml:space="preserve"> Labklājības ministrija</w:t>
            </w:r>
            <w:r w:rsidR="009B33D5">
              <w:rPr>
                <w:sz w:val="28"/>
                <w:szCs w:val="28"/>
              </w:rPr>
              <w:t xml:space="preserve"> </w:t>
            </w:r>
            <w:r w:rsidR="0032710C">
              <w:rPr>
                <w:sz w:val="28"/>
                <w:szCs w:val="28"/>
              </w:rPr>
              <w:t xml:space="preserve">piekrita, ka obligāti piemērojamos </w:t>
            </w:r>
            <w:r w:rsidR="00877940">
              <w:rPr>
                <w:sz w:val="28"/>
                <w:szCs w:val="28"/>
              </w:rPr>
              <w:t xml:space="preserve">Latvijas nacionālos </w:t>
            </w:r>
            <w:r w:rsidR="0032710C">
              <w:rPr>
                <w:sz w:val="28"/>
                <w:szCs w:val="28"/>
              </w:rPr>
              <w:t xml:space="preserve">standartus varētu tulkot pēc pieprasījuma un ka obligāti piemērojamo </w:t>
            </w:r>
            <w:r w:rsidR="00877940">
              <w:rPr>
                <w:sz w:val="28"/>
                <w:szCs w:val="28"/>
              </w:rPr>
              <w:t xml:space="preserve">Latvijas nacionālo </w:t>
            </w:r>
            <w:r w:rsidR="0032710C">
              <w:rPr>
                <w:sz w:val="28"/>
                <w:szCs w:val="28"/>
              </w:rPr>
              <w:t xml:space="preserve">standartu tulkošana jāveic centralizēti, piemēram, </w:t>
            </w:r>
            <w:r w:rsidR="00251007">
              <w:rPr>
                <w:sz w:val="28"/>
                <w:szCs w:val="28"/>
              </w:rPr>
              <w:t>to varētu veikt Valsts valodas centrs</w:t>
            </w:r>
            <w:r w:rsidR="009B33D5">
              <w:rPr>
                <w:sz w:val="28"/>
                <w:szCs w:val="28"/>
              </w:rPr>
              <w:t xml:space="preserve">. </w:t>
            </w:r>
            <w:r w:rsidR="001F1774">
              <w:rPr>
                <w:sz w:val="28"/>
                <w:szCs w:val="28"/>
              </w:rPr>
              <w:t xml:space="preserve">Tulkoto standartu reģistrēšanu un izplatīšanu arī turpmāk veiks SIA </w:t>
            </w:r>
            <w:r w:rsidR="001F1774" w:rsidRPr="0043142F">
              <w:rPr>
                <w:rFonts w:eastAsia="Calibri"/>
                <w:sz w:val="28"/>
                <w:szCs w:val="28"/>
              </w:rPr>
              <w:t xml:space="preserve"> „</w:t>
            </w:r>
            <w:r w:rsidR="001F1774" w:rsidRPr="0043142F">
              <w:rPr>
                <w:sz w:val="28"/>
                <w:szCs w:val="28"/>
              </w:rPr>
              <w:t xml:space="preserve">Standartizācijas, akreditācijas </w:t>
            </w:r>
            <w:r w:rsidR="001F1774" w:rsidRPr="0043142F">
              <w:rPr>
                <w:rFonts w:eastAsia="Calibri"/>
                <w:sz w:val="28"/>
                <w:szCs w:val="28"/>
              </w:rPr>
              <w:t>un metroloģijas centrs”</w:t>
            </w:r>
            <w:r w:rsidR="001F1774">
              <w:rPr>
                <w:sz w:val="28"/>
                <w:szCs w:val="28"/>
              </w:rPr>
              <w:t xml:space="preserve"> Standartizācijas birojs. </w:t>
            </w:r>
            <w:r w:rsidR="009B33D5">
              <w:rPr>
                <w:sz w:val="28"/>
                <w:szCs w:val="28"/>
              </w:rPr>
              <w:t xml:space="preserve">Savukārt ar Tieslietu ministriju vienošanās netika panākta. </w:t>
            </w:r>
          </w:p>
        </w:tc>
      </w:tr>
      <w:tr w:rsidR="00CC7E7C" w:rsidRPr="00CC7E7C" w:rsidTr="00DF7423">
        <w:trPr>
          <w:trHeight w:val="1340"/>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6.</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Iemesli, kādēļ netika nodrošināta sabiedrības līdzdalība</w:t>
            </w:r>
          </w:p>
        </w:tc>
        <w:tc>
          <w:tcPr>
            <w:tcW w:w="3278" w:type="pct"/>
            <w:tcBorders>
              <w:top w:val="outset" w:sz="6" w:space="0" w:color="auto"/>
              <w:left w:val="outset" w:sz="6" w:space="0" w:color="auto"/>
              <w:bottom w:val="outset" w:sz="6" w:space="0" w:color="auto"/>
              <w:right w:val="outset" w:sz="6" w:space="0" w:color="auto"/>
            </w:tcBorders>
            <w:hideMark/>
          </w:tcPr>
          <w:p w:rsidR="00CC7E7C" w:rsidRPr="00CC7E7C" w:rsidRDefault="00B027CF" w:rsidP="00CC7E7C">
            <w:pPr>
              <w:spacing w:before="80" w:after="80"/>
              <w:rPr>
                <w:rFonts w:eastAsia="Times New Roman"/>
                <w:color w:val="auto"/>
                <w:sz w:val="28"/>
                <w:szCs w:val="28"/>
                <w:lang w:eastAsia="lv-LV"/>
              </w:rPr>
            </w:pPr>
            <w:r>
              <w:rPr>
                <w:rFonts w:eastAsia="Times New Roman"/>
                <w:color w:val="auto"/>
                <w:sz w:val="28"/>
                <w:szCs w:val="28"/>
                <w:lang w:eastAsia="lv-LV"/>
              </w:rPr>
              <w:t>Nav attiecināms</w:t>
            </w:r>
          </w:p>
        </w:tc>
      </w:tr>
      <w:tr w:rsidR="00CC7E7C" w:rsidRPr="00CC7E7C" w:rsidTr="00DF7423">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7.</w:t>
            </w:r>
          </w:p>
        </w:tc>
        <w:tc>
          <w:tcPr>
            <w:tcW w:w="1551"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Cita informācija</w:t>
            </w:r>
          </w:p>
        </w:tc>
        <w:tc>
          <w:tcPr>
            <w:tcW w:w="3278" w:type="pct"/>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Nav</w:t>
            </w:r>
          </w:p>
        </w:tc>
      </w:tr>
    </w:tbl>
    <w:p w:rsidR="00CC7E7C" w:rsidRPr="00CC7E7C" w:rsidRDefault="00CC7E7C" w:rsidP="00CC7E7C">
      <w:pPr>
        <w:spacing w:before="80" w:after="80"/>
        <w:ind w:firstLine="400"/>
        <w:jc w:val="both"/>
        <w:rPr>
          <w:rFonts w:eastAsia="Times New Roman"/>
          <w:color w:val="auto"/>
          <w:lang w:eastAsia="lv-LV"/>
        </w:rPr>
      </w:pPr>
      <w:r w:rsidRPr="00CC7E7C">
        <w:rPr>
          <w:rFonts w:eastAsia="Times New Roman"/>
          <w:color w:val="auto"/>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4463"/>
        <w:gridCol w:w="4115"/>
      </w:tblGrid>
      <w:tr w:rsidR="00CC7E7C" w:rsidRPr="00CC7E7C" w:rsidTr="00CC7E7C">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p w:rsidR="00CC7E7C" w:rsidRPr="00CC7E7C" w:rsidRDefault="00CC7E7C" w:rsidP="00CC7E7C">
            <w:pPr>
              <w:spacing w:before="160" w:after="160"/>
              <w:jc w:val="center"/>
              <w:rPr>
                <w:rFonts w:eastAsia="Times New Roman"/>
                <w:b/>
                <w:bCs/>
                <w:color w:val="auto"/>
                <w:sz w:val="28"/>
                <w:szCs w:val="28"/>
                <w:lang w:eastAsia="lv-LV"/>
              </w:rPr>
            </w:pPr>
            <w:r w:rsidRPr="00CC7E7C">
              <w:rPr>
                <w:rFonts w:eastAsia="Times New Roman"/>
                <w:b/>
                <w:bCs/>
                <w:color w:val="auto"/>
                <w:sz w:val="28"/>
                <w:szCs w:val="28"/>
                <w:lang w:eastAsia="lv-LV"/>
              </w:rPr>
              <w:t> II. Tiesību akta projekta ietekme uz sabiedrību</w:t>
            </w:r>
          </w:p>
        </w:tc>
      </w:tr>
      <w:tr w:rsidR="006420D1" w:rsidRPr="00CC7E7C" w:rsidTr="00CC7E7C">
        <w:trPr>
          <w:trHeight w:val="46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Sabiedrības mērķgrupa</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B12BEB" w:rsidP="00B12BEB">
            <w:pPr>
              <w:spacing w:before="80" w:after="80"/>
              <w:ind w:firstLine="256"/>
              <w:jc w:val="both"/>
              <w:rPr>
                <w:rFonts w:eastAsia="Times New Roman"/>
                <w:color w:val="auto"/>
                <w:sz w:val="28"/>
                <w:szCs w:val="28"/>
                <w:lang w:eastAsia="lv-LV"/>
              </w:rPr>
            </w:pPr>
            <w:r>
              <w:rPr>
                <w:rFonts w:eastAsia="Times New Roman"/>
                <w:color w:val="auto"/>
                <w:sz w:val="28"/>
                <w:szCs w:val="28"/>
                <w:lang w:eastAsia="lv-LV"/>
              </w:rPr>
              <w:t>Personas, kas izmanto Ministra kabineta noteikumos minētos obligāti piemērojamos Latvijas nacionālos standartus</w:t>
            </w:r>
          </w:p>
        </w:tc>
      </w:tr>
      <w:tr w:rsidR="006420D1" w:rsidRPr="00CC7E7C" w:rsidTr="00CC7E7C">
        <w:trPr>
          <w:trHeight w:val="52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DC21E4">
            <w:pPr>
              <w:spacing w:before="80" w:after="80"/>
              <w:ind w:firstLine="256"/>
              <w:jc w:val="both"/>
              <w:rPr>
                <w:rFonts w:eastAsia="Times New Roman"/>
                <w:color w:val="auto"/>
                <w:sz w:val="28"/>
                <w:szCs w:val="28"/>
                <w:lang w:eastAsia="lv-LV"/>
              </w:rPr>
            </w:pPr>
            <w:r w:rsidRPr="00CC7E7C">
              <w:rPr>
                <w:rFonts w:eastAsia="Times New Roman"/>
                <w:color w:val="auto"/>
                <w:sz w:val="28"/>
                <w:szCs w:val="28"/>
                <w:lang w:eastAsia="lv-LV"/>
              </w:rPr>
              <w:t> </w:t>
            </w:r>
            <w:r w:rsidR="00B12BEB" w:rsidRPr="00CC7E7C">
              <w:rPr>
                <w:rFonts w:eastAsia="Times New Roman"/>
                <w:color w:val="auto"/>
                <w:sz w:val="28"/>
                <w:szCs w:val="28"/>
                <w:lang w:eastAsia="lv-LV"/>
              </w:rPr>
              <w:t> </w:t>
            </w:r>
            <w:r w:rsidR="00DC21E4" w:rsidRPr="00AD26C8">
              <w:rPr>
                <w:rFonts w:eastAsia="Times New Roman"/>
                <w:color w:val="auto"/>
                <w:sz w:val="28"/>
                <w:szCs w:val="28"/>
                <w:lang w:eastAsia="lv-LV"/>
              </w:rPr>
              <w:t>Nav attiecināms</w:t>
            </w:r>
            <w:r w:rsidR="00B12BEB" w:rsidRPr="00CC7E7C">
              <w:rPr>
                <w:rFonts w:eastAsia="Times New Roman"/>
                <w:color w:val="auto"/>
                <w:sz w:val="28"/>
                <w:szCs w:val="28"/>
                <w:lang w:eastAsia="lv-LV"/>
              </w:rPr>
              <w:t> </w:t>
            </w:r>
          </w:p>
        </w:tc>
      </w:tr>
      <w:tr w:rsidR="006420D1" w:rsidRPr="00CC7E7C" w:rsidTr="00CC7E7C">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3.</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Tiesiskā regulējuma finansiālā ietekme</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BA39A3">
            <w:pPr>
              <w:spacing w:before="80" w:after="80"/>
              <w:ind w:firstLine="274"/>
              <w:rPr>
                <w:rFonts w:eastAsia="Times New Roman"/>
                <w:color w:val="auto"/>
                <w:sz w:val="28"/>
                <w:szCs w:val="28"/>
                <w:lang w:eastAsia="lv-LV"/>
              </w:rPr>
            </w:pPr>
            <w:r w:rsidRPr="00AD26C8">
              <w:rPr>
                <w:rFonts w:eastAsia="Times New Roman"/>
                <w:color w:val="auto"/>
                <w:sz w:val="28"/>
                <w:szCs w:val="28"/>
                <w:lang w:eastAsia="lv-LV"/>
              </w:rPr>
              <w:t> </w:t>
            </w:r>
            <w:r w:rsidR="00BA39A3" w:rsidRPr="00AD26C8">
              <w:rPr>
                <w:rFonts w:eastAsia="Times New Roman"/>
                <w:color w:val="auto"/>
                <w:sz w:val="28"/>
                <w:szCs w:val="28"/>
                <w:lang w:eastAsia="lv-LV"/>
              </w:rPr>
              <w:t>Nav attiecināms</w:t>
            </w:r>
          </w:p>
        </w:tc>
      </w:tr>
      <w:tr w:rsidR="006420D1" w:rsidRPr="00CC7E7C" w:rsidTr="00CC7E7C">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4.</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1B74C1" w:rsidP="00476AEA">
            <w:pPr>
              <w:spacing w:before="80" w:after="80"/>
              <w:ind w:firstLine="274"/>
              <w:jc w:val="both"/>
              <w:rPr>
                <w:rFonts w:eastAsia="Times New Roman"/>
                <w:color w:val="auto"/>
                <w:sz w:val="28"/>
                <w:szCs w:val="28"/>
                <w:lang w:eastAsia="lv-LV"/>
              </w:rPr>
            </w:pPr>
            <w:r>
              <w:rPr>
                <w:rFonts w:eastAsia="Times New Roman"/>
                <w:color w:val="auto"/>
                <w:sz w:val="28"/>
                <w:szCs w:val="28"/>
                <w:lang w:eastAsia="lv-LV"/>
              </w:rPr>
              <w:t xml:space="preserve">Netiks </w:t>
            </w:r>
            <w:r w:rsidR="00A4082C">
              <w:rPr>
                <w:rFonts w:eastAsia="Times New Roman"/>
                <w:color w:val="auto"/>
                <w:sz w:val="28"/>
                <w:szCs w:val="28"/>
                <w:lang w:eastAsia="lv-LV"/>
              </w:rPr>
              <w:t xml:space="preserve">nelietderīgi </w:t>
            </w:r>
            <w:r w:rsidR="00BA2436">
              <w:rPr>
                <w:rFonts w:eastAsia="Times New Roman"/>
                <w:color w:val="auto"/>
                <w:sz w:val="28"/>
                <w:szCs w:val="28"/>
                <w:lang w:eastAsia="lv-LV"/>
              </w:rPr>
              <w:t>izlietoti</w:t>
            </w:r>
            <w:r>
              <w:rPr>
                <w:rFonts w:eastAsia="Times New Roman"/>
                <w:color w:val="auto"/>
                <w:sz w:val="28"/>
                <w:szCs w:val="28"/>
                <w:lang w:eastAsia="lv-LV"/>
              </w:rPr>
              <w:t xml:space="preserve"> valsts budžeta līdzekļi to standartu tulkošanai, kurus neviens neizmanto un nepieprasa. </w:t>
            </w:r>
          </w:p>
        </w:tc>
      </w:tr>
      <w:tr w:rsidR="006420D1" w:rsidRPr="00CC7E7C" w:rsidTr="00CC7E7C">
        <w:trPr>
          <w:trHeight w:val="531"/>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Administratīvās procedūras raksturojums</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B40CC8">
            <w:pPr>
              <w:spacing w:before="80" w:after="80"/>
              <w:jc w:val="both"/>
              <w:rPr>
                <w:rFonts w:eastAsia="Times New Roman"/>
                <w:color w:val="auto"/>
                <w:sz w:val="28"/>
                <w:szCs w:val="28"/>
                <w:lang w:eastAsia="lv-LV"/>
              </w:rPr>
            </w:pPr>
            <w:r w:rsidRPr="00CC7E7C">
              <w:rPr>
                <w:rFonts w:eastAsia="Times New Roman"/>
                <w:color w:val="auto"/>
                <w:sz w:val="28"/>
                <w:szCs w:val="28"/>
                <w:lang w:eastAsia="lv-LV"/>
              </w:rPr>
              <w:t> </w:t>
            </w:r>
            <w:r w:rsidR="00B40CC8" w:rsidRPr="00AB6F65">
              <w:rPr>
                <w:rFonts w:eastAsia="Times New Roman"/>
                <w:color w:val="auto"/>
                <w:sz w:val="28"/>
                <w:szCs w:val="28"/>
                <w:lang w:eastAsia="lv-LV"/>
              </w:rPr>
              <w:t>Nav attiecināms</w:t>
            </w:r>
          </w:p>
        </w:tc>
      </w:tr>
      <w:tr w:rsidR="006420D1" w:rsidRPr="00CC7E7C" w:rsidTr="00CC7E7C">
        <w:trPr>
          <w:trHeight w:val="35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6.</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BA39A3">
            <w:pPr>
              <w:spacing w:before="80" w:after="80"/>
              <w:rPr>
                <w:rFonts w:eastAsia="Times New Roman"/>
                <w:color w:val="auto"/>
                <w:sz w:val="28"/>
                <w:szCs w:val="28"/>
                <w:lang w:eastAsia="lv-LV"/>
              </w:rPr>
            </w:pPr>
            <w:r w:rsidRPr="00CC7E7C">
              <w:rPr>
                <w:rFonts w:eastAsia="Times New Roman"/>
                <w:color w:val="auto"/>
                <w:sz w:val="28"/>
                <w:szCs w:val="28"/>
                <w:lang w:eastAsia="lv-LV"/>
              </w:rPr>
              <w:t> </w:t>
            </w:r>
            <w:r w:rsidR="00BA39A3" w:rsidRPr="00AB6F65">
              <w:rPr>
                <w:rFonts w:eastAsia="Times New Roman"/>
                <w:color w:val="auto"/>
                <w:sz w:val="28"/>
                <w:szCs w:val="28"/>
                <w:lang w:eastAsia="lv-LV"/>
              </w:rPr>
              <w:t>Nav attiecināms</w:t>
            </w:r>
          </w:p>
        </w:tc>
      </w:tr>
      <w:tr w:rsidR="006420D1" w:rsidRPr="00CC7E7C" w:rsidTr="00CC7E7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7.</w:t>
            </w:r>
          </w:p>
        </w:tc>
        <w:tc>
          <w:tcPr>
            <w:tcW w:w="486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Cita informācija</w:t>
            </w:r>
          </w:p>
        </w:tc>
        <w:tc>
          <w:tcPr>
            <w:tcW w:w="4500" w:type="dxa"/>
            <w:tcBorders>
              <w:top w:val="outset" w:sz="6" w:space="0" w:color="auto"/>
              <w:left w:val="outset" w:sz="6" w:space="0" w:color="auto"/>
              <w:bottom w:val="outset" w:sz="6" w:space="0" w:color="auto"/>
              <w:right w:val="outset" w:sz="6" w:space="0" w:color="auto"/>
            </w:tcBorders>
            <w:hideMark/>
          </w:tcPr>
          <w:p w:rsidR="00CC7E7C" w:rsidRPr="00CC7E7C" w:rsidRDefault="00CC7E7C" w:rsidP="00626413">
            <w:pPr>
              <w:spacing w:before="80" w:after="80"/>
              <w:rPr>
                <w:rFonts w:eastAsia="Times New Roman"/>
                <w:color w:val="auto"/>
                <w:sz w:val="28"/>
                <w:szCs w:val="28"/>
                <w:lang w:eastAsia="lv-LV"/>
              </w:rPr>
            </w:pPr>
            <w:r w:rsidRPr="00CC7E7C">
              <w:rPr>
                <w:rFonts w:eastAsia="Times New Roman"/>
                <w:color w:val="auto"/>
                <w:sz w:val="28"/>
                <w:szCs w:val="28"/>
                <w:lang w:eastAsia="lv-LV"/>
              </w:rPr>
              <w:t> </w:t>
            </w:r>
            <w:r w:rsidR="00626413">
              <w:rPr>
                <w:rFonts w:eastAsia="Times New Roman"/>
                <w:color w:val="auto"/>
                <w:sz w:val="28"/>
                <w:szCs w:val="28"/>
                <w:lang w:eastAsia="lv-LV"/>
              </w:rPr>
              <w:t>Nav</w:t>
            </w:r>
          </w:p>
        </w:tc>
      </w:tr>
    </w:tbl>
    <w:p w:rsidR="00CC7E7C" w:rsidRPr="00CC7E7C" w:rsidRDefault="00CC7E7C" w:rsidP="00CC7E7C">
      <w:pPr>
        <w:spacing w:before="80" w:after="80"/>
        <w:ind w:firstLine="400"/>
        <w:jc w:val="both"/>
        <w:rPr>
          <w:rFonts w:eastAsia="Times New Roman"/>
          <w:color w:val="auto"/>
          <w:lang w:eastAsia="lv-LV"/>
        </w:rPr>
      </w:pPr>
      <w:r w:rsidRPr="00CC7E7C">
        <w:rPr>
          <w:rFonts w:eastAsia="Times New Roman"/>
          <w:color w:val="auto"/>
          <w:lang w:eastAsia="lv-LV"/>
        </w:rPr>
        <w:t> </w:t>
      </w:r>
    </w:p>
    <w:tbl>
      <w:tblPr>
        <w:tblW w:w="5011"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871"/>
        <w:gridCol w:w="1446"/>
        <w:gridCol w:w="1447"/>
        <w:gridCol w:w="1378"/>
        <w:gridCol w:w="1536"/>
        <w:gridCol w:w="1443"/>
      </w:tblGrid>
      <w:tr w:rsidR="00CC7E7C" w:rsidRPr="00CC7E7C" w:rsidTr="00AE14B7">
        <w:trPr>
          <w:trHeight w:val="652"/>
          <w:tblCellSpacing w:w="0" w:type="dxa"/>
        </w:trPr>
        <w:tc>
          <w:tcPr>
            <w:tcW w:w="5000" w:type="pct"/>
            <w:gridSpan w:val="6"/>
            <w:hideMark/>
          </w:tcPr>
          <w:p w:rsidR="00CC7E7C" w:rsidRPr="00CC7E7C" w:rsidRDefault="00CC7E7C" w:rsidP="00CC7E7C">
            <w:pPr>
              <w:spacing w:before="160" w:after="160"/>
              <w:jc w:val="center"/>
              <w:rPr>
                <w:rFonts w:eastAsia="Times New Roman"/>
                <w:b/>
                <w:bCs/>
                <w:color w:val="auto"/>
                <w:sz w:val="28"/>
                <w:szCs w:val="28"/>
                <w:lang w:eastAsia="lv-LV"/>
              </w:rPr>
            </w:pPr>
            <w:r w:rsidRPr="00CC7E7C">
              <w:rPr>
                <w:rFonts w:eastAsia="Times New Roman"/>
                <w:b/>
                <w:bCs/>
                <w:color w:val="auto"/>
                <w:sz w:val="28"/>
                <w:szCs w:val="28"/>
                <w:lang w:eastAsia="lv-LV"/>
              </w:rPr>
              <w:t>III. Tiesību akta projekta ietekme uz valsts budžetu un pašvaldību budžetiem</w:t>
            </w:r>
          </w:p>
        </w:tc>
      </w:tr>
      <w:tr w:rsidR="00AE14B7" w:rsidRPr="00CC7E7C" w:rsidTr="00AE14B7">
        <w:trPr>
          <w:tblCellSpacing w:w="0" w:type="dxa"/>
        </w:trPr>
        <w:tc>
          <w:tcPr>
            <w:tcW w:w="1026" w:type="pct"/>
            <w:vMerge w:val="restar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w:t>
            </w:r>
            <w:r w:rsidRPr="00CC7E7C">
              <w:rPr>
                <w:rFonts w:eastAsia="Times New Roman"/>
                <w:b/>
                <w:bCs/>
                <w:color w:val="auto"/>
                <w:sz w:val="28"/>
                <w:szCs w:val="28"/>
                <w:lang w:eastAsia="lv-LV"/>
              </w:rPr>
              <w:t>Rādītāji</w:t>
            </w:r>
          </w:p>
        </w:tc>
        <w:tc>
          <w:tcPr>
            <w:tcW w:w="1586" w:type="pct"/>
            <w:gridSpan w:val="2"/>
            <w:vMerge w:val="restart"/>
            <w:vAlign w:val="center"/>
            <w:hideMark/>
          </w:tcPr>
          <w:p w:rsidR="00CC7E7C" w:rsidRPr="00CC7E7C" w:rsidRDefault="00CC7E7C" w:rsidP="00910802">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w:t>
            </w:r>
            <w:r w:rsidR="00910802">
              <w:rPr>
                <w:rFonts w:eastAsia="Times New Roman"/>
                <w:b/>
                <w:bCs/>
                <w:color w:val="auto"/>
                <w:sz w:val="28"/>
                <w:szCs w:val="28"/>
                <w:lang w:eastAsia="lv-LV"/>
              </w:rPr>
              <w:t>2010.</w:t>
            </w:r>
            <w:r w:rsidRPr="00CC7E7C">
              <w:rPr>
                <w:rFonts w:eastAsia="Times New Roman"/>
                <w:b/>
                <w:bCs/>
                <w:color w:val="auto"/>
                <w:sz w:val="28"/>
                <w:szCs w:val="28"/>
                <w:lang w:eastAsia="lv-LV"/>
              </w:rPr>
              <w:t>gads</w:t>
            </w:r>
          </w:p>
        </w:tc>
        <w:tc>
          <w:tcPr>
            <w:tcW w:w="2388" w:type="pct"/>
            <w:gridSpan w:val="3"/>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Turpmākie trīs gadi (tūkst. latu)</w:t>
            </w:r>
          </w:p>
        </w:tc>
      </w:tr>
      <w:tr w:rsidR="0086488F" w:rsidRPr="00CC7E7C" w:rsidTr="00C67318">
        <w:trPr>
          <w:tblCellSpacing w:w="0" w:type="dxa"/>
        </w:trPr>
        <w:tc>
          <w:tcPr>
            <w:tcW w:w="1026" w:type="pct"/>
            <w:vMerge/>
            <w:vAlign w:val="center"/>
            <w:hideMark/>
          </w:tcPr>
          <w:p w:rsidR="00CC7E7C" w:rsidRPr="00CC7E7C" w:rsidRDefault="00CC7E7C" w:rsidP="00CC7E7C">
            <w:pPr>
              <w:rPr>
                <w:rFonts w:eastAsia="Times New Roman"/>
                <w:color w:val="auto"/>
                <w:sz w:val="28"/>
                <w:szCs w:val="28"/>
                <w:lang w:eastAsia="lv-LV"/>
              </w:rPr>
            </w:pPr>
          </w:p>
        </w:tc>
        <w:tc>
          <w:tcPr>
            <w:tcW w:w="1586" w:type="pct"/>
            <w:gridSpan w:val="2"/>
            <w:vMerge/>
            <w:vAlign w:val="center"/>
            <w:hideMark/>
          </w:tcPr>
          <w:p w:rsidR="00CC7E7C" w:rsidRPr="00CC7E7C" w:rsidRDefault="00CC7E7C" w:rsidP="00CC7E7C">
            <w:pPr>
              <w:rPr>
                <w:rFonts w:eastAsia="Times New Roman"/>
                <w:color w:val="auto"/>
                <w:sz w:val="28"/>
                <w:szCs w:val="28"/>
                <w:lang w:eastAsia="lv-LV"/>
              </w:rPr>
            </w:pPr>
          </w:p>
        </w:tc>
        <w:tc>
          <w:tcPr>
            <w:tcW w:w="755" w:type="pct"/>
            <w:vAlign w:val="center"/>
            <w:hideMark/>
          </w:tcPr>
          <w:p w:rsidR="00CC7E7C" w:rsidRPr="00CC7E7C" w:rsidRDefault="00910802" w:rsidP="00CC7E7C">
            <w:pPr>
              <w:spacing w:before="160" w:after="160"/>
              <w:jc w:val="center"/>
              <w:rPr>
                <w:rFonts w:eastAsia="Times New Roman"/>
                <w:b/>
                <w:bCs/>
                <w:color w:val="auto"/>
                <w:sz w:val="28"/>
                <w:szCs w:val="28"/>
                <w:lang w:eastAsia="lv-LV"/>
              </w:rPr>
            </w:pPr>
            <w:r>
              <w:rPr>
                <w:rFonts w:eastAsia="Times New Roman"/>
                <w:b/>
                <w:bCs/>
                <w:color w:val="auto"/>
                <w:sz w:val="28"/>
                <w:szCs w:val="28"/>
                <w:lang w:eastAsia="lv-LV"/>
              </w:rPr>
              <w:t> 201</w:t>
            </w:r>
            <w:r w:rsidR="00CC7E7C" w:rsidRPr="00CC7E7C">
              <w:rPr>
                <w:rFonts w:eastAsia="Times New Roman"/>
                <w:b/>
                <w:bCs/>
                <w:color w:val="auto"/>
                <w:sz w:val="28"/>
                <w:szCs w:val="28"/>
                <w:lang w:eastAsia="lv-LV"/>
              </w:rPr>
              <w:t>1</w:t>
            </w:r>
          </w:p>
        </w:tc>
        <w:tc>
          <w:tcPr>
            <w:tcW w:w="842" w:type="pct"/>
            <w:vAlign w:val="center"/>
            <w:hideMark/>
          </w:tcPr>
          <w:p w:rsidR="00CC7E7C" w:rsidRPr="00CC7E7C" w:rsidRDefault="00910802" w:rsidP="00CC7E7C">
            <w:pPr>
              <w:spacing w:before="160" w:after="160"/>
              <w:jc w:val="center"/>
              <w:rPr>
                <w:rFonts w:eastAsia="Times New Roman"/>
                <w:b/>
                <w:bCs/>
                <w:color w:val="auto"/>
                <w:sz w:val="28"/>
                <w:szCs w:val="28"/>
                <w:lang w:eastAsia="lv-LV"/>
              </w:rPr>
            </w:pPr>
            <w:r>
              <w:rPr>
                <w:rFonts w:eastAsia="Times New Roman"/>
                <w:b/>
                <w:bCs/>
                <w:color w:val="auto"/>
                <w:sz w:val="28"/>
                <w:szCs w:val="28"/>
                <w:lang w:eastAsia="lv-LV"/>
              </w:rPr>
              <w:t> 201</w:t>
            </w:r>
            <w:r w:rsidR="00CC7E7C" w:rsidRPr="00CC7E7C">
              <w:rPr>
                <w:rFonts w:eastAsia="Times New Roman"/>
                <w:b/>
                <w:bCs/>
                <w:color w:val="auto"/>
                <w:sz w:val="28"/>
                <w:szCs w:val="28"/>
                <w:lang w:eastAsia="lv-LV"/>
              </w:rPr>
              <w:t>2</w:t>
            </w:r>
          </w:p>
        </w:tc>
        <w:tc>
          <w:tcPr>
            <w:tcW w:w="791" w:type="pct"/>
            <w:vAlign w:val="center"/>
            <w:hideMark/>
          </w:tcPr>
          <w:p w:rsidR="00CC7E7C" w:rsidRPr="00CC7E7C" w:rsidRDefault="00910802" w:rsidP="00CC7E7C">
            <w:pPr>
              <w:spacing w:before="160" w:after="160"/>
              <w:jc w:val="center"/>
              <w:rPr>
                <w:rFonts w:eastAsia="Times New Roman"/>
                <w:b/>
                <w:bCs/>
                <w:color w:val="auto"/>
                <w:sz w:val="28"/>
                <w:szCs w:val="28"/>
                <w:lang w:eastAsia="lv-LV"/>
              </w:rPr>
            </w:pPr>
            <w:r>
              <w:rPr>
                <w:rFonts w:eastAsia="Times New Roman"/>
                <w:b/>
                <w:bCs/>
                <w:color w:val="auto"/>
                <w:sz w:val="28"/>
                <w:szCs w:val="28"/>
                <w:lang w:eastAsia="lv-LV"/>
              </w:rPr>
              <w:t> 201</w:t>
            </w:r>
            <w:r w:rsidR="00CC7E7C" w:rsidRPr="00CC7E7C">
              <w:rPr>
                <w:rFonts w:eastAsia="Times New Roman"/>
                <w:b/>
                <w:bCs/>
                <w:color w:val="auto"/>
                <w:sz w:val="28"/>
                <w:szCs w:val="28"/>
                <w:lang w:eastAsia="lv-LV"/>
              </w:rPr>
              <w:t>3</w:t>
            </w:r>
          </w:p>
        </w:tc>
      </w:tr>
      <w:tr w:rsidR="0086488F" w:rsidRPr="00CC7E7C" w:rsidTr="00C67318">
        <w:trPr>
          <w:tblCellSpacing w:w="0" w:type="dxa"/>
        </w:trPr>
        <w:tc>
          <w:tcPr>
            <w:tcW w:w="1026" w:type="pct"/>
            <w:vMerge/>
            <w:vAlign w:val="center"/>
            <w:hideMark/>
          </w:tcPr>
          <w:p w:rsidR="00CC7E7C" w:rsidRPr="00CC7E7C" w:rsidRDefault="00CC7E7C" w:rsidP="00CC7E7C">
            <w:pPr>
              <w:rPr>
                <w:rFonts w:eastAsia="Times New Roman"/>
                <w:color w:val="auto"/>
                <w:sz w:val="28"/>
                <w:szCs w:val="28"/>
                <w:lang w:eastAsia="lv-LV"/>
              </w:rPr>
            </w:pPr>
          </w:p>
        </w:tc>
        <w:tc>
          <w:tcPr>
            <w:tcW w:w="793"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Saskaņā ar valsts budžetu kārtējam gadam</w:t>
            </w:r>
          </w:p>
        </w:tc>
        <w:tc>
          <w:tcPr>
            <w:tcW w:w="793"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Izmaiņas kārtējā gadā, salīdzinot ar budžetu kārtējam gadam</w:t>
            </w:r>
          </w:p>
        </w:tc>
        <w:tc>
          <w:tcPr>
            <w:tcW w:w="755" w:type="pct"/>
            <w:vAlign w:val="center"/>
            <w:hideMark/>
          </w:tcPr>
          <w:p w:rsidR="00CC7E7C" w:rsidRPr="00CC7E7C" w:rsidRDefault="00CC7E7C" w:rsidP="00BF5255">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Izmaiņas, salīdzinot ar kārtējo (</w:t>
            </w:r>
            <w:r w:rsidR="00BF5255">
              <w:rPr>
                <w:rFonts w:eastAsia="Times New Roman"/>
                <w:color w:val="auto"/>
                <w:sz w:val="28"/>
                <w:szCs w:val="28"/>
                <w:lang w:eastAsia="lv-LV"/>
              </w:rPr>
              <w:t>2010</w:t>
            </w:r>
            <w:r w:rsidRPr="00CC7E7C">
              <w:rPr>
                <w:rFonts w:eastAsia="Times New Roman"/>
                <w:color w:val="auto"/>
                <w:sz w:val="28"/>
                <w:szCs w:val="28"/>
                <w:lang w:eastAsia="lv-LV"/>
              </w:rPr>
              <w:t>) gadu</w:t>
            </w:r>
          </w:p>
        </w:tc>
        <w:tc>
          <w:tcPr>
            <w:tcW w:w="842" w:type="pct"/>
            <w:vAlign w:val="center"/>
            <w:hideMark/>
          </w:tcPr>
          <w:p w:rsidR="00CC7E7C" w:rsidRPr="00CC7E7C" w:rsidRDefault="00CC7E7C" w:rsidP="00BF5255">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Izmaiņas, salīdzinot ar kārtējo (</w:t>
            </w:r>
            <w:r w:rsidR="00BF5255">
              <w:rPr>
                <w:rFonts w:eastAsia="Times New Roman"/>
                <w:color w:val="auto"/>
                <w:sz w:val="28"/>
                <w:szCs w:val="28"/>
                <w:lang w:eastAsia="lv-LV"/>
              </w:rPr>
              <w:t>2010</w:t>
            </w:r>
            <w:r w:rsidRPr="00CC7E7C">
              <w:rPr>
                <w:rFonts w:eastAsia="Times New Roman"/>
                <w:color w:val="auto"/>
                <w:sz w:val="28"/>
                <w:szCs w:val="28"/>
                <w:lang w:eastAsia="lv-LV"/>
              </w:rPr>
              <w:t>) gadu</w:t>
            </w:r>
          </w:p>
        </w:tc>
        <w:tc>
          <w:tcPr>
            <w:tcW w:w="791" w:type="pct"/>
            <w:vAlign w:val="center"/>
            <w:hideMark/>
          </w:tcPr>
          <w:p w:rsidR="00CC7E7C" w:rsidRPr="00CC7E7C" w:rsidRDefault="00CC7E7C" w:rsidP="00BF5255">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Izmaiņas, salīdzinot ar kārtējo (</w:t>
            </w:r>
            <w:r w:rsidR="00BF5255">
              <w:rPr>
                <w:rFonts w:eastAsia="Times New Roman"/>
                <w:color w:val="auto"/>
                <w:sz w:val="28"/>
                <w:szCs w:val="28"/>
                <w:lang w:eastAsia="lv-LV"/>
              </w:rPr>
              <w:t>2010</w:t>
            </w:r>
            <w:r w:rsidRPr="00CC7E7C">
              <w:rPr>
                <w:rFonts w:eastAsia="Times New Roman"/>
                <w:color w:val="auto"/>
                <w:sz w:val="28"/>
                <w:szCs w:val="28"/>
                <w:lang w:eastAsia="lv-LV"/>
              </w:rPr>
              <w:t>) gadu</w:t>
            </w:r>
          </w:p>
        </w:tc>
      </w:tr>
      <w:tr w:rsidR="0086488F" w:rsidRPr="00CC7E7C" w:rsidTr="00C67318">
        <w:trPr>
          <w:tblCellSpacing w:w="0" w:type="dxa"/>
        </w:trPr>
        <w:tc>
          <w:tcPr>
            <w:tcW w:w="1026"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1</w:t>
            </w:r>
          </w:p>
        </w:tc>
        <w:tc>
          <w:tcPr>
            <w:tcW w:w="793"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2</w:t>
            </w:r>
          </w:p>
        </w:tc>
        <w:tc>
          <w:tcPr>
            <w:tcW w:w="793"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3</w:t>
            </w:r>
          </w:p>
        </w:tc>
        <w:tc>
          <w:tcPr>
            <w:tcW w:w="755"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4</w:t>
            </w:r>
          </w:p>
        </w:tc>
        <w:tc>
          <w:tcPr>
            <w:tcW w:w="842"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5</w:t>
            </w:r>
          </w:p>
        </w:tc>
        <w:tc>
          <w:tcPr>
            <w:tcW w:w="791" w:type="pct"/>
            <w:vAlign w:val="center"/>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6</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 Budžeta ieņēmumi:</w:t>
            </w:r>
          </w:p>
        </w:tc>
        <w:tc>
          <w:tcPr>
            <w:tcW w:w="793" w:type="pct"/>
            <w:hideMark/>
          </w:tcPr>
          <w:p w:rsidR="00CC7E7C" w:rsidRPr="00CC7E7C" w:rsidRDefault="00FD1F1A" w:rsidP="0086488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3" w:type="pct"/>
            <w:hideMark/>
          </w:tcPr>
          <w:p w:rsidR="00CC7E7C" w:rsidRPr="00CC7E7C" w:rsidRDefault="00FD1F1A" w:rsidP="0086488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55" w:type="pct"/>
            <w:hideMark/>
          </w:tcPr>
          <w:p w:rsidR="00CC7E7C" w:rsidRPr="00CC7E7C" w:rsidRDefault="00FD1F1A" w:rsidP="0086488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842" w:type="pct"/>
            <w:hideMark/>
          </w:tcPr>
          <w:p w:rsidR="00CC7E7C" w:rsidRPr="00CC7E7C" w:rsidRDefault="00FD1F1A" w:rsidP="0086488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1" w:type="pct"/>
            <w:hideMark/>
          </w:tcPr>
          <w:p w:rsidR="00CC7E7C" w:rsidRPr="00CC7E7C" w:rsidRDefault="00FD1F1A" w:rsidP="0086488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1.1. valsts pamatbudžets, tai skaitā ieņēmumi no maksas pakalpo-</w:t>
            </w:r>
            <w:proofErr w:type="spellStart"/>
            <w:r w:rsidRPr="00CC7E7C">
              <w:rPr>
                <w:rFonts w:eastAsia="Times New Roman"/>
                <w:color w:val="auto"/>
                <w:sz w:val="28"/>
                <w:szCs w:val="28"/>
                <w:lang w:eastAsia="lv-LV"/>
              </w:rPr>
              <w:t>jumiem</w:t>
            </w:r>
            <w:proofErr w:type="spellEnd"/>
            <w:r w:rsidRPr="00CC7E7C">
              <w:rPr>
                <w:rFonts w:eastAsia="Times New Roman"/>
                <w:color w:val="auto"/>
                <w:sz w:val="28"/>
                <w:szCs w:val="28"/>
                <w:lang w:eastAsia="lv-LV"/>
              </w:rPr>
              <w:t xml:space="preserve"> un citi pašu ieņēmumi</w:t>
            </w: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1.2. valsts speciālais budžets</w:t>
            </w: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1.3. pašvaldību budžets</w:t>
            </w: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c>
          <w:tcPr>
            <w:tcW w:w="755" w:type="pct"/>
            <w:hideMark/>
          </w:tcPr>
          <w:p w:rsidR="00CC7E7C" w:rsidRPr="0086488F" w:rsidRDefault="00CC7E7C" w:rsidP="0086488F">
            <w:pPr>
              <w:spacing w:before="80" w:after="80"/>
              <w:ind w:left="360"/>
              <w:jc w:val="both"/>
              <w:rPr>
                <w:rFonts w:eastAsia="Times New Roman"/>
                <w:color w:val="auto"/>
                <w:sz w:val="28"/>
                <w:szCs w:val="28"/>
                <w:lang w:eastAsia="lv-LV"/>
              </w:rPr>
            </w:pPr>
          </w:p>
        </w:tc>
        <w:tc>
          <w:tcPr>
            <w:tcW w:w="842" w:type="pct"/>
            <w:hideMark/>
          </w:tcPr>
          <w:p w:rsidR="00CC7E7C" w:rsidRPr="0086488F" w:rsidRDefault="00CC7E7C" w:rsidP="0086488F">
            <w:pPr>
              <w:spacing w:before="80" w:after="80"/>
              <w:ind w:left="360"/>
              <w:jc w:val="both"/>
              <w:rPr>
                <w:rFonts w:eastAsia="Times New Roman"/>
                <w:color w:val="auto"/>
                <w:sz w:val="28"/>
                <w:szCs w:val="28"/>
                <w:lang w:eastAsia="lv-LV"/>
              </w:rPr>
            </w:pP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 Budžeta izdevumi:</w:t>
            </w:r>
          </w:p>
        </w:tc>
        <w:tc>
          <w:tcPr>
            <w:tcW w:w="793" w:type="pct"/>
            <w:hideMark/>
          </w:tcPr>
          <w:p w:rsidR="00CC7E7C" w:rsidRPr="008A31C0" w:rsidRDefault="00C67318" w:rsidP="00BF5255">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3" w:type="pct"/>
            <w:hideMark/>
          </w:tcPr>
          <w:p w:rsidR="00CC7E7C" w:rsidRPr="008A31C0" w:rsidRDefault="00C67318" w:rsidP="00FB1C96">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CC7E7C" w:rsidRPr="008A31C0" w:rsidRDefault="00C67318" w:rsidP="00FB1C96">
            <w:pPr>
              <w:spacing w:before="80" w:after="80"/>
              <w:ind w:left="360"/>
              <w:jc w:val="center"/>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CC7E7C" w:rsidRPr="0086488F" w:rsidRDefault="00C67318" w:rsidP="00FB1C96">
            <w:pPr>
              <w:spacing w:before="80" w:after="80"/>
              <w:ind w:left="36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CC7E7C" w:rsidRPr="00CC7E7C" w:rsidRDefault="00C67318" w:rsidP="00FB1C96">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r>
      <w:tr w:rsidR="00F2401B" w:rsidRPr="00CC7E7C" w:rsidTr="00C67318">
        <w:trPr>
          <w:tblCellSpacing w:w="0" w:type="dxa"/>
        </w:trPr>
        <w:tc>
          <w:tcPr>
            <w:tcW w:w="1026" w:type="pct"/>
            <w:hideMark/>
          </w:tcPr>
          <w:p w:rsidR="00F2401B" w:rsidRPr="00CC7E7C" w:rsidRDefault="00F2401B"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2.1. valsts pamatbudžets</w:t>
            </w:r>
          </w:p>
        </w:tc>
        <w:tc>
          <w:tcPr>
            <w:tcW w:w="793" w:type="pct"/>
            <w:hideMark/>
          </w:tcPr>
          <w:p w:rsidR="00F2401B" w:rsidRPr="008A31C0" w:rsidRDefault="00C67318" w:rsidP="0076449F">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3" w:type="pct"/>
            <w:hideMark/>
          </w:tcPr>
          <w:p w:rsidR="00F2401B" w:rsidRPr="008A31C0" w:rsidRDefault="00C67318" w:rsidP="00D85C6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F2401B" w:rsidRPr="008A31C0" w:rsidRDefault="00C67318" w:rsidP="00D85C68">
            <w:pPr>
              <w:spacing w:before="80" w:after="80"/>
              <w:ind w:left="360"/>
              <w:jc w:val="center"/>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F2401B" w:rsidRPr="0086488F" w:rsidRDefault="00C67318" w:rsidP="00D85C68">
            <w:pPr>
              <w:spacing w:before="80" w:after="80"/>
              <w:ind w:left="36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F2401B" w:rsidRPr="00CC7E7C" w:rsidRDefault="00C67318" w:rsidP="00D85C6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2.2. valsts speciālais budžets</w:t>
            </w:r>
          </w:p>
        </w:tc>
        <w:tc>
          <w:tcPr>
            <w:tcW w:w="793"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3"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55"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842"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1"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2.3. pašvaldību budžets</w:t>
            </w:r>
          </w:p>
        </w:tc>
        <w:tc>
          <w:tcPr>
            <w:tcW w:w="793"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3"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55"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842"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1" w:type="pct"/>
            <w:hideMark/>
          </w:tcPr>
          <w:p w:rsidR="00CC7E7C" w:rsidRPr="00CC7E7C" w:rsidRDefault="00F2401B"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3. Finansiālā ietekme:</w:t>
            </w:r>
          </w:p>
        </w:tc>
        <w:tc>
          <w:tcPr>
            <w:tcW w:w="793" w:type="pct"/>
            <w:hideMark/>
          </w:tcPr>
          <w:p w:rsidR="00CC7E7C" w:rsidRPr="00CC7E7C" w:rsidRDefault="00C67318" w:rsidP="00F2401B">
            <w:pPr>
              <w:spacing w:before="80" w:after="8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3" w:type="pct"/>
            <w:hideMark/>
          </w:tcPr>
          <w:p w:rsidR="00CC7E7C" w:rsidRPr="00CC7E7C" w:rsidRDefault="00C67318"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CC7E7C"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CC7E7C"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CC7E7C"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r>
      <w:tr w:rsidR="009E035B" w:rsidRPr="00CC7E7C" w:rsidTr="00C67318">
        <w:trPr>
          <w:tblCellSpacing w:w="0" w:type="dxa"/>
        </w:trPr>
        <w:tc>
          <w:tcPr>
            <w:tcW w:w="1026" w:type="pct"/>
            <w:hideMark/>
          </w:tcPr>
          <w:p w:rsidR="009E035B" w:rsidRPr="00CC7E7C" w:rsidRDefault="009E035B"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3.1. valsts pamatbudžets</w:t>
            </w:r>
          </w:p>
        </w:tc>
        <w:tc>
          <w:tcPr>
            <w:tcW w:w="793" w:type="pct"/>
            <w:hideMark/>
          </w:tcPr>
          <w:p w:rsidR="009E035B" w:rsidRPr="00CC7E7C" w:rsidRDefault="00C67318"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3" w:type="pct"/>
            <w:hideMark/>
          </w:tcPr>
          <w:p w:rsidR="009E035B" w:rsidRPr="00CC7E7C" w:rsidRDefault="00C67318"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9E035B"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9E035B"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9E035B" w:rsidRPr="00CC7E7C" w:rsidRDefault="00C67318" w:rsidP="00C67318">
            <w:pPr>
              <w:spacing w:before="80" w:after="80"/>
              <w:ind w:firstLine="400"/>
              <w:rPr>
                <w:rFonts w:eastAsia="Times New Roman"/>
                <w:color w:val="auto"/>
                <w:sz w:val="28"/>
                <w:szCs w:val="28"/>
                <w:lang w:eastAsia="lv-LV"/>
              </w:rPr>
            </w:pPr>
            <w:r>
              <w:rPr>
                <w:rFonts w:eastAsia="Times New Roman"/>
                <w:color w:val="auto"/>
                <w:sz w:val="28"/>
                <w:szCs w:val="28"/>
                <w:lang w:eastAsia="lv-LV"/>
              </w:rPr>
              <w:t>Skatīt 7.punktu</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3.2. speciālais budžets</w:t>
            </w:r>
          </w:p>
        </w:tc>
        <w:tc>
          <w:tcPr>
            <w:tcW w:w="793"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3"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55"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842"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1"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3.3. pašvaldību budžets</w:t>
            </w:r>
          </w:p>
        </w:tc>
        <w:tc>
          <w:tcPr>
            <w:tcW w:w="793"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3"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55"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842"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c>
          <w:tcPr>
            <w:tcW w:w="791" w:type="pct"/>
            <w:hideMark/>
          </w:tcPr>
          <w:p w:rsidR="00CC7E7C" w:rsidRPr="00CC7E7C" w:rsidRDefault="00FB1C96" w:rsidP="00F2401B">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0</w:t>
            </w:r>
          </w:p>
        </w:tc>
      </w:tr>
      <w:tr w:rsidR="0086488F" w:rsidRPr="00CC7E7C" w:rsidTr="00C67318">
        <w:trPr>
          <w:tblCellSpacing w:w="0" w:type="dxa"/>
        </w:trPr>
        <w:tc>
          <w:tcPr>
            <w:tcW w:w="1026" w:type="pct"/>
            <w:vMerge w:val="restar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4. Finanšu līdzekļi papildu izde</w:t>
            </w:r>
            <w:r w:rsidRPr="00CC7E7C">
              <w:rPr>
                <w:rFonts w:eastAsia="Times New Roman"/>
                <w:color w:val="auto"/>
                <w:sz w:val="28"/>
                <w:szCs w:val="28"/>
                <w:lang w:eastAsia="lv-LV"/>
              </w:rPr>
              <w:softHyphen/>
              <w:t>vumu finansēšanai (kompensējošu izdevumu samazinājumu norāda ar "+" zīmi)</w:t>
            </w:r>
          </w:p>
        </w:tc>
        <w:tc>
          <w:tcPr>
            <w:tcW w:w="793" w:type="pct"/>
            <w:vMerge w:val="restart"/>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X</w:t>
            </w: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r>
      <w:tr w:rsidR="0086488F" w:rsidRPr="00CC7E7C" w:rsidTr="00C67318">
        <w:trPr>
          <w:tblCellSpacing w:w="0" w:type="dxa"/>
        </w:trPr>
        <w:tc>
          <w:tcPr>
            <w:tcW w:w="1026" w:type="pct"/>
            <w:vMerge/>
            <w:vAlign w:val="center"/>
            <w:hideMark/>
          </w:tcPr>
          <w:p w:rsidR="00CC7E7C" w:rsidRPr="00CC7E7C" w:rsidRDefault="00CC7E7C" w:rsidP="00CC7E7C">
            <w:pPr>
              <w:rPr>
                <w:rFonts w:eastAsia="Times New Roman"/>
                <w:color w:val="auto"/>
                <w:sz w:val="28"/>
                <w:szCs w:val="28"/>
                <w:lang w:eastAsia="lv-LV"/>
              </w:rPr>
            </w:pPr>
          </w:p>
        </w:tc>
        <w:tc>
          <w:tcPr>
            <w:tcW w:w="793" w:type="pct"/>
            <w:vMerge/>
            <w:vAlign w:val="center"/>
            <w:hideMark/>
          </w:tcPr>
          <w:p w:rsidR="00CC7E7C" w:rsidRPr="00CC7E7C" w:rsidRDefault="00CC7E7C" w:rsidP="00CC7E7C">
            <w:pPr>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r>
      <w:tr w:rsidR="0086488F" w:rsidRPr="00CC7E7C" w:rsidTr="00C67318">
        <w:trPr>
          <w:tblCellSpacing w:w="0" w:type="dxa"/>
        </w:trPr>
        <w:tc>
          <w:tcPr>
            <w:tcW w:w="1026" w:type="pct"/>
            <w:vMerge/>
            <w:vAlign w:val="center"/>
            <w:hideMark/>
          </w:tcPr>
          <w:p w:rsidR="00CC7E7C" w:rsidRPr="00CC7E7C" w:rsidRDefault="00CC7E7C" w:rsidP="00CC7E7C">
            <w:pPr>
              <w:rPr>
                <w:rFonts w:eastAsia="Times New Roman"/>
                <w:color w:val="auto"/>
                <w:sz w:val="28"/>
                <w:szCs w:val="28"/>
                <w:lang w:eastAsia="lv-LV"/>
              </w:rPr>
            </w:pPr>
          </w:p>
        </w:tc>
        <w:tc>
          <w:tcPr>
            <w:tcW w:w="793" w:type="pct"/>
            <w:vMerge/>
            <w:vAlign w:val="center"/>
            <w:hideMark/>
          </w:tcPr>
          <w:p w:rsidR="00CC7E7C" w:rsidRPr="00CC7E7C" w:rsidRDefault="00CC7E7C" w:rsidP="00CC7E7C">
            <w:pPr>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 Precizēta finansiālā ietekme:</w:t>
            </w:r>
          </w:p>
        </w:tc>
        <w:tc>
          <w:tcPr>
            <w:tcW w:w="793" w:type="pct"/>
            <w:vMerge w:val="restart"/>
            <w:hideMark/>
          </w:tcPr>
          <w:p w:rsidR="00CC7E7C" w:rsidRPr="00CC7E7C" w:rsidRDefault="00CC7E7C" w:rsidP="00CC7E7C">
            <w:pPr>
              <w:spacing w:before="80" w:after="80"/>
              <w:jc w:val="center"/>
              <w:rPr>
                <w:rFonts w:eastAsia="Times New Roman"/>
                <w:color w:val="auto"/>
                <w:sz w:val="28"/>
                <w:szCs w:val="28"/>
                <w:lang w:eastAsia="lv-LV"/>
              </w:rPr>
            </w:pPr>
            <w:r w:rsidRPr="00CC7E7C">
              <w:rPr>
                <w:rFonts w:eastAsia="Times New Roman"/>
                <w:color w:val="auto"/>
                <w:sz w:val="28"/>
                <w:szCs w:val="28"/>
                <w:lang w:eastAsia="lv-LV"/>
              </w:rPr>
              <w:t> X</w:t>
            </w:r>
          </w:p>
        </w:tc>
        <w:tc>
          <w:tcPr>
            <w:tcW w:w="793"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5.1. valsts pamatbudžets</w:t>
            </w:r>
          </w:p>
        </w:tc>
        <w:tc>
          <w:tcPr>
            <w:tcW w:w="793" w:type="pct"/>
            <w:vMerge/>
            <w:vAlign w:val="center"/>
            <w:hideMark/>
          </w:tcPr>
          <w:p w:rsidR="00CC7E7C" w:rsidRPr="00CC7E7C" w:rsidRDefault="00CC7E7C" w:rsidP="00CC7E7C">
            <w:pPr>
              <w:rPr>
                <w:rFonts w:eastAsia="Times New Roman"/>
                <w:color w:val="auto"/>
                <w:sz w:val="28"/>
                <w:szCs w:val="28"/>
                <w:lang w:eastAsia="lv-LV"/>
              </w:rPr>
            </w:pPr>
          </w:p>
        </w:tc>
        <w:tc>
          <w:tcPr>
            <w:tcW w:w="793"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55"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842"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c>
          <w:tcPr>
            <w:tcW w:w="791" w:type="pct"/>
            <w:hideMark/>
          </w:tcPr>
          <w:p w:rsidR="00CC7E7C" w:rsidRPr="00CC7E7C" w:rsidRDefault="00C67318" w:rsidP="00C67318">
            <w:pPr>
              <w:spacing w:before="80" w:after="80"/>
              <w:ind w:firstLine="400"/>
              <w:jc w:val="center"/>
              <w:rPr>
                <w:rFonts w:eastAsia="Times New Roman"/>
                <w:color w:val="auto"/>
                <w:sz w:val="28"/>
                <w:szCs w:val="28"/>
                <w:lang w:eastAsia="lv-LV"/>
              </w:rPr>
            </w:pPr>
            <w:r>
              <w:rPr>
                <w:rFonts w:eastAsia="Times New Roman"/>
                <w:color w:val="auto"/>
                <w:sz w:val="28"/>
                <w:szCs w:val="28"/>
                <w:lang w:eastAsia="lv-LV"/>
              </w:rPr>
              <w:t>Skatīt 7.punktu</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5.2. speciālais budžets</w:t>
            </w:r>
          </w:p>
        </w:tc>
        <w:tc>
          <w:tcPr>
            <w:tcW w:w="793" w:type="pct"/>
            <w:vMerge/>
            <w:vAlign w:val="center"/>
            <w:hideMark/>
          </w:tcPr>
          <w:p w:rsidR="00CC7E7C" w:rsidRPr="00CC7E7C" w:rsidRDefault="00CC7E7C" w:rsidP="00CC7E7C">
            <w:pPr>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c>
          <w:tcPr>
            <w:tcW w:w="842"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r>
      <w:tr w:rsidR="0086488F" w:rsidRPr="00CC7E7C" w:rsidTr="00C67318">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5.3. pašvaldību budžets</w:t>
            </w:r>
          </w:p>
        </w:tc>
        <w:tc>
          <w:tcPr>
            <w:tcW w:w="793" w:type="pct"/>
            <w:vMerge/>
            <w:vAlign w:val="center"/>
            <w:hideMark/>
          </w:tcPr>
          <w:p w:rsidR="00CC7E7C" w:rsidRPr="00CC7E7C" w:rsidRDefault="00CC7E7C" w:rsidP="00CC7E7C">
            <w:pPr>
              <w:rPr>
                <w:rFonts w:eastAsia="Times New Roman"/>
                <w:color w:val="auto"/>
                <w:sz w:val="28"/>
                <w:szCs w:val="28"/>
                <w:lang w:eastAsia="lv-LV"/>
              </w:rPr>
            </w:pPr>
          </w:p>
        </w:tc>
        <w:tc>
          <w:tcPr>
            <w:tcW w:w="793"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c>
          <w:tcPr>
            <w:tcW w:w="755"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c>
          <w:tcPr>
            <w:tcW w:w="842" w:type="pct"/>
            <w:hideMark/>
          </w:tcPr>
          <w:p w:rsidR="00CC7E7C" w:rsidRPr="00CC7E7C" w:rsidRDefault="00C67318" w:rsidP="00CC7E7C">
            <w:pPr>
              <w:spacing w:before="80" w:after="80"/>
              <w:ind w:firstLine="400"/>
              <w:jc w:val="both"/>
              <w:rPr>
                <w:rFonts w:eastAsia="Times New Roman"/>
                <w:color w:val="auto"/>
                <w:sz w:val="28"/>
                <w:szCs w:val="28"/>
                <w:lang w:eastAsia="lv-LV"/>
              </w:rPr>
            </w:pPr>
            <w:r>
              <w:rPr>
                <w:rFonts w:eastAsia="Times New Roman"/>
                <w:color w:val="auto"/>
                <w:sz w:val="28"/>
                <w:szCs w:val="28"/>
                <w:lang w:eastAsia="lv-LV"/>
              </w:rPr>
              <w:t>0</w:t>
            </w:r>
            <w:r w:rsidR="00CC7E7C" w:rsidRPr="00CC7E7C">
              <w:rPr>
                <w:rFonts w:eastAsia="Times New Roman"/>
                <w:color w:val="auto"/>
                <w:sz w:val="28"/>
                <w:szCs w:val="28"/>
                <w:lang w:eastAsia="lv-LV"/>
              </w:rPr>
              <w:t>  </w:t>
            </w:r>
          </w:p>
        </w:tc>
        <w:tc>
          <w:tcPr>
            <w:tcW w:w="791" w:type="pct"/>
            <w:hideMark/>
          </w:tcPr>
          <w:p w:rsidR="00CC7E7C" w:rsidRPr="00CC7E7C" w:rsidRDefault="00CC7E7C" w:rsidP="00CC7E7C">
            <w:pPr>
              <w:spacing w:before="80" w:after="80"/>
              <w:ind w:firstLine="400"/>
              <w:jc w:val="both"/>
              <w:rPr>
                <w:rFonts w:eastAsia="Times New Roman"/>
                <w:color w:val="auto"/>
                <w:sz w:val="28"/>
                <w:szCs w:val="28"/>
                <w:lang w:eastAsia="lv-LV"/>
              </w:rPr>
            </w:pPr>
            <w:r w:rsidRPr="00CC7E7C">
              <w:rPr>
                <w:rFonts w:eastAsia="Times New Roman"/>
                <w:color w:val="auto"/>
                <w:sz w:val="28"/>
                <w:szCs w:val="28"/>
                <w:lang w:eastAsia="lv-LV"/>
              </w:rPr>
              <w:t>  </w:t>
            </w:r>
            <w:r w:rsidR="00C67318">
              <w:rPr>
                <w:rFonts w:eastAsia="Times New Roman"/>
                <w:color w:val="auto"/>
                <w:sz w:val="28"/>
                <w:szCs w:val="28"/>
                <w:lang w:eastAsia="lv-LV"/>
              </w:rPr>
              <w:t>0</w:t>
            </w:r>
          </w:p>
        </w:tc>
      </w:tr>
      <w:tr w:rsidR="00AE14B7" w:rsidRPr="00CC7E7C" w:rsidTr="00AE14B7">
        <w:trPr>
          <w:tblCellSpacing w:w="0" w:type="dxa"/>
        </w:trPr>
        <w:tc>
          <w:tcPr>
            <w:tcW w:w="1026" w:type="pct"/>
            <w:hideMark/>
          </w:tcPr>
          <w:p w:rsidR="00AE14B7" w:rsidRPr="00CC7E7C" w:rsidRDefault="00AE14B7"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6. Detalizēts ieņēmumu un izdevu</w:t>
            </w:r>
            <w:r w:rsidRPr="00CC7E7C">
              <w:rPr>
                <w:rFonts w:eastAsia="Times New Roman"/>
                <w:color w:val="auto"/>
                <w:sz w:val="28"/>
                <w:szCs w:val="28"/>
                <w:lang w:eastAsia="lv-LV"/>
              </w:rPr>
              <w:softHyphen/>
              <w:t>mu aprēķins (ja nepieciešams, detalizētu ieņēmumu un izdevumu aprēķinu var pievienot anotācijas pielikumā):</w:t>
            </w:r>
          </w:p>
        </w:tc>
        <w:tc>
          <w:tcPr>
            <w:tcW w:w="3974" w:type="pct"/>
            <w:gridSpan w:val="5"/>
            <w:vAlign w:val="center"/>
            <w:hideMark/>
          </w:tcPr>
          <w:p w:rsidR="00AE14B7" w:rsidRPr="00876AEC" w:rsidRDefault="00AE14B7" w:rsidP="00876AEC">
            <w:pPr>
              <w:spacing w:before="80" w:after="80"/>
              <w:ind w:firstLine="400"/>
              <w:jc w:val="both"/>
              <w:rPr>
                <w:rFonts w:eastAsia="Times New Roman"/>
                <w:b/>
                <w:color w:val="auto"/>
                <w:sz w:val="28"/>
                <w:szCs w:val="28"/>
                <w:lang w:eastAsia="lv-LV"/>
              </w:rPr>
            </w:pPr>
            <w:r w:rsidRPr="00876AEC">
              <w:rPr>
                <w:rFonts w:eastAsia="Times New Roman"/>
                <w:b/>
                <w:color w:val="auto"/>
                <w:sz w:val="28"/>
                <w:szCs w:val="28"/>
                <w:lang w:eastAsia="lv-LV"/>
              </w:rPr>
              <w:t xml:space="preserve"> </w:t>
            </w:r>
            <w:r w:rsidR="00C67318">
              <w:rPr>
                <w:rFonts w:eastAsia="Times New Roman"/>
                <w:color w:val="auto"/>
                <w:sz w:val="28"/>
                <w:szCs w:val="28"/>
                <w:lang w:eastAsia="lv-LV"/>
              </w:rPr>
              <w:t>Skatīt 7.punktu</w:t>
            </w:r>
          </w:p>
        </w:tc>
      </w:tr>
      <w:tr w:rsidR="00AE14B7" w:rsidRPr="00CC7E7C" w:rsidTr="00AE14B7">
        <w:trPr>
          <w:tblCellSpacing w:w="0" w:type="dxa"/>
        </w:trPr>
        <w:tc>
          <w:tcPr>
            <w:tcW w:w="1026" w:type="pct"/>
            <w:hideMark/>
          </w:tcPr>
          <w:p w:rsidR="00AE14B7" w:rsidRPr="00CC7E7C" w:rsidRDefault="00AE14B7"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6.1. detalizēts ieņēmumu aprēķins</w:t>
            </w:r>
          </w:p>
        </w:tc>
        <w:tc>
          <w:tcPr>
            <w:tcW w:w="3974" w:type="pct"/>
            <w:gridSpan w:val="5"/>
            <w:vAlign w:val="center"/>
            <w:hideMark/>
          </w:tcPr>
          <w:p w:rsidR="00AE14B7" w:rsidRPr="00CC7E7C" w:rsidRDefault="00C67318" w:rsidP="00C67318">
            <w:pPr>
              <w:ind w:firstLine="397"/>
              <w:rPr>
                <w:rFonts w:eastAsia="Times New Roman"/>
                <w:color w:val="auto"/>
                <w:sz w:val="28"/>
                <w:szCs w:val="28"/>
                <w:lang w:eastAsia="lv-LV"/>
              </w:rPr>
            </w:pPr>
            <w:r>
              <w:rPr>
                <w:rFonts w:eastAsia="Times New Roman"/>
                <w:color w:val="auto"/>
                <w:sz w:val="28"/>
                <w:szCs w:val="28"/>
                <w:lang w:eastAsia="lv-LV"/>
              </w:rPr>
              <w:t>Nav attiecināms</w:t>
            </w:r>
          </w:p>
        </w:tc>
      </w:tr>
      <w:tr w:rsidR="00AE14B7" w:rsidRPr="00CC7E7C" w:rsidTr="00AE14B7">
        <w:trPr>
          <w:tblCellSpacing w:w="0" w:type="dxa"/>
        </w:trPr>
        <w:tc>
          <w:tcPr>
            <w:tcW w:w="1026" w:type="pct"/>
            <w:hideMark/>
          </w:tcPr>
          <w:p w:rsidR="00AE14B7" w:rsidRPr="00CC7E7C" w:rsidRDefault="00AE14B7"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6.2. detalizēts izdevumu aprēķins</w:t>
            </w:r>
          </w:p>
        </w:tc>
        <w:tc>
          <w:tcPr>
            <w:tcW w:w="3974" w:type="pct"/>
            <w:gridSpan w:val="5"/>
            <w:vAlign w:val="center"/>
            <w:hideMark/>
          </w:tcPr>
          <w:p w:rsidR="00AE14B7" w:rsidRPr="00CC7E7C" w:rsidRDefault="00C67318" w:rsidP="00DB003B">
            <w:pPr>
              <w:spacing w:before="80" w:after="80"/>
              <w:ind w:firstLine="400"/>
              <w:jc w:val="both"/>
              <w:rPr>
                <w:rFonts w:eastAsia="Times New Roman"/>
                <w:color w:val="auto"/>
                <w:sz w:val="28"/>
                <w:szCs w:val="28"/>
                <w:lang w:eastAsia="lv-LV"/>
              </w:rPr>
            </w:pPr>
            <w:r>
              <w:rPr>
                <w:rFonts w:eastAsia="Times New Roman"/>
                <w:color w:val="auto"/>
                <w:sz w:val="28"/>
                <w:szCs w:val="28"/>
                <w:lang w:eastAsia="lv-LV"/>
              </w:rPr>
              <w:t>Skatīt 7.punktu</w:t>
            </w:r>
          </w:p>
        </w:tc>
      </w:tr>
      <w:tr w:rsidR="00CC7E7C" w:rsidRPr="00CC7E7C" w:rsidTr="00AE14B7">
        <w:trPr>
          <w:tblCellSpacing w:w="0" w:type="dxa"/>
        </w:trPr>
        <w:tc>
          <w:tcPr>
            <w:tcW w:w="1026" w:type="pct"/>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7. Cita informācija</w:t>
            </w:r>
          </w:p>
        </w:tc>
        <w:tc>
          <w:tcPr>
            <w:tcW w:w="3974" w:type="pct"/>
            <w:gridSpan w:val="5"/>
            <w:hideMark/>
          </w:tcPr>
          <w:p w:rsidR="00C67318" w:rsidRDefault="00C67318" w:rsidP="00C67318">
            <w:pPr>
              <w:spacing w:before="80" w:after="80"/>
              <w:ind w:firstLine="400"/>
              <w:jc w:val="both"/>
              <w:rPr>
                <w:rFonts w:eastAsia="Times New Roman"/>
                <w:color w:val="auto"/>
                <w:sz w:val="28"/>
                <w:szCs w:val="28"/>
                <w:lang w:eastAsia="lv-LV"/>
              </w:rPr>
            </w:pPr>
            <w:r>
              <w:rPr>
                <w:rFonts w:eastAsia="Times New Roman"/>
                <w:color w:val="auto"/>
                <w:sz w:val="28"/>
                <w:szCs w:val="28"/>
                <w:lang w:eastAsia="lv-LV"/>
              </w:rPr>
              <w:t xml:space="preserve">Saskaņā ar Ekonomikas ministrijas sniegto informāciju laikā no 2007. – 2009.gadam standartu tulkošanai vidēji gadā tika izlietoti 70 662 Ls. Attiecīgi 2007.gadā tika izlietoti 100 988 Ls 113 obligāti piemērojamo Latvijas nacionālo standartu tulkošanai (4514 lpp.), 2008.gadā 101 000 Ls 69 standartu tulkošanai (1199 lpp.), bet 2009.gadā 10 000 Ls 21 standarta (1199 lpp.) tulkošanas nodrošināšanai. </w:t>
            </w:r>
          </w:p>
          <w:p w:rsidR="00C67318" w:rsidRPr="00D57EFF" w:rsidRDefault="00C67318" w:rsidP="00C67318">
            <w:pPr>
              <w:spacing w:before="80" w:after="80"/>
              <w:ind w:firstLine="400"/>
              <w:jc w:val="both"/>
              <w:rPr>
                <w:rFonts w:eastAsia="Times New Roman"/>
                <w:color w:val="auto"/>
                <w:sz w:val="28"/>
                <w:szCs w:val="28"/>
                <w:lang w:eastAsia="lv-LV"/>
              </w:rPr>
            </w:pPr>
            <w:r>
              <w:rPr>
                <w:rFonts w:eastAsia="Times New Roman"/>
                <w:color w:val="auto"/>
                <w:sz w:val="28"/>
                <w:szCs w:val="28"/>
                <w:lang w:eastAsia="lv-LV"/>
              </w:rPr>
              <w:t xml:space="preserve">Balstoties uz </w:t>
            </w:r>
            <w:r w:rsidRPr="00D57EFF">
              <w:rPr>
                <w:rFonts w:eastAsia="Times New Roman"/>
                <w:color w:val="auto"/>
                <w:sz w:val="28"/>
                <w:szCs w:val="28"/>
                <w:lang w:eastAsia="lv-LV"/>
              </w:rPr>
              <w:t>Ekonomikas ministrijas iesniegto statistiku par  LR likumdošanā minēto  standartu realizācijas apjomiem un informāciju par obligāti piemērojamajiem</w:t>
            </w:r>
            <w:r>
              <w:rPr>
                <w:rFonts w:eastAsia="Times New Roman"/>
                <w:color w:val="auto"/>
                <w:sz w:val="28"/>
                <w:szCs w:val="28"/>
                <w:lang w:eastAsia="lv-LV"/>
              </w:rPr>
              <w:t xml:space="preserve"> Latvijas nacionālajiem</w:t>
            </w:r>
            <w:r w:rsidRPr="00D57EFF">
              <w:rPr>
                <w:rFonts w:eastAsia="Times New Roman"/>
                <w:color w:val="auto"/>
                <w:sz w:val="28"/>
                <w:szCs w:val="28"/>
                <w:lang w:eastAsia="lv-LV"/>
              </w:rPr>
              <w:t xml:space="preserve"> standartiem, kuri  laikā no 2007. – 2009.gadam tika iztulkoti, Vides ministrija ir aprēķinājusi cik standarti katru gadu netika pieprasīti vispār un proporcionāli aprēķinājusi cik lieli līdzekļi tika izlietoti šo standartu tulkošanai:</w:t>
            </w:r>
          </w:p>
          <w:p w:rsidR="00C67318" w:rsidRPr="00D57EFF" w:rsidRDefault="00C67318" w:rsidP="00C67318">
            <w:pPr>
              <w:spacing w:before="80" w:after="80"/>
              <w:ind w:firstLine="400"/>
              <w:jc w:val="both"/>
              <w:rPr>
                <w:rFonts w:eastAsia="Times New Roman"/>
                <w:color w:val="auto"/>
                <w:sz w:val="28"/>
                <w:szCs w:val="28"/>
                <w:lang w:eastAsia="lv-LV"/>
              </w:rPr>
            </w:pPr>
            <w:r w:rsidRPr="00D57EFF">
              <w:rPr>
                <w:rFonts w:eastAsia="Times New Roman"/>
                <w:color w:val="auto"/>
                <w:sz w:val="28"/>
                <w:szCs w:val="28"/>
                <w:lang w:eastAsia="lv-LV"/>
              </w:rPr>
              <w:t>2007.gadā 17 standartu (604 lpp.), kurus līdz šim nav pieprasījusi neviena persona, tulkošanai tika izlietoti 12 012 Ls .</w:t>
            </w:r>
          </w:p>
          <w:p w:rsidR="00C67318" w:rsidRDefault="00C67318" w:rsidP="00C67318">
            <w:pPr>
              <w:spacing w:before="80" w:after="80"/>
              <w:ind w:firstLine="400"/>
              <w:jc w:val="both"/>
              <w:rPr>
                <w:rFonts w:eastAsia="Times New Roman"/>
                <w:color w:val="auto"/>
                <w:sz w:val="28"/>
                <w:szCs w:val="28"/>
                <w:lang w:eastAsia="lv-LV"/>
              </w:rPr>
            </w:pPr>
            <w:r w:rsidRPr="00D57EFF">
              <w:rPr>
                <w:rFonts w:eastAsia="Times New Roman"/>
                <w:color w:val="auto"/>
                <w:sz w:val="28"/>
                <w:szCs w:val="28"/>
                <w:lang w:eastAsia="lv-LV"/>
              </w:rPr>
              <w:t>2008.gadā 39 standartu (1733 lpp.)</w:t>
            </w:r>
            <w:r>
              <w:rPr>
                <w:rFonts w:eastAsia="Times New Roman"/>
                <w:color w:val="auto"/>
                <w:sz w:val="28"/>
                <w:szCs w:val="28"/>
                <w:lang w:eastAsia="lv-LV"/>
              </w:rPr>
              <w:t>, kurus līdz šim neviens nav pieprasījis, tulkošanai tika izlietoti 60 655 Ls.</w:t>
            </w:r>
          </w:p>
          <w:p w:rsidR="00C67318" w:rsidRDefault="00C67318" w:rsidP="00C67318">
            <w:pPr>
              <w:spacing w:before="80" w:after="80"/>
              <w:ind w:firstLine="400"/>
              <w:jc w:val="both"/>
              <w:rPr>
                <w:rFonts w:eastAsia="Times New Roman"/>
                <w:color w:val="auto"/>
                <w:sz w:val="28"/>
                <w:szCs w:val="28"/>
                <w:lang w:eastAsia="lv-LV"/>
              </w:rPr>
            </w:pPr>
            <w:r>
              <w:rPr>
                <w:rFonts w:eastAsia="Times New Roman"/>
                <w:color w:val="auto"/>
                <w:sz w:val="28"/>
                <w:szCs w:val="28"/>
                <w:lang w:eastAsia="lv-LV"/>
              </w:rPr>
              <w:t>2009.gadā 1 standarta (86 lpp.), kuru neviens nav pieprasījis, tulkošanai tika izlietoti 714 Ls.</w:t>
            </w:r>
          </w:p>
          <w:p w:rsidR="00550E1D" w:rsidRDefault="00C67318" w:rsidP="00550E1D">
            <w:pPr>
              <w:spacing w:before="80" w:after="80"/>
              <w:ind w:firstLine="397"/>
              <w:jc w:val="both"/>
              <w:rPr>
                <w:rFonts w:eastAsia="Times New Roman"/>
                <w:b/>
                <w:color w:val="auto"/>
                <w:sz w:val="28"/>
                <w:szCs w:val="28"/>
                <w:lang w:eastAsia="lv-LV"/>
              </w:rPr>
            </w:pPr>
            <w:r w:rsidRPr="00876AEC">
              <w:rPr>
                <w:rFonts w:eastAsia="Times New Roman"/>
                <w:b/>
                <w:color w:val="auto"/>
                <w:sz w:val="28"/>
                <w:szCs w:val="28"/>
                <w:lang w:eastAsia="lv-LV"/>
              </w:rPr>
              <w:t>Līdz ar to var secināt, ka vidēji gadā 24 460 Ls tiek izlietoti to standartu tulkošanai, kurus neviens neizmanto</w:t>
            </w:r>
            <w:r>
              <w:rPr>
                <w:rFonts w:eastAsia="Times New Roman"/>
                <w:b/>
                <w:color w:val="auto"/>
                <w:sz w:val="28"/>
                <w:szCs w:val="28"/>
                <w:lang w:eastAsia="lv-LV"/>
              </w:rPr>
              <w:t xml:space="preserve"> un nepieprasa</w:t>
            </w:r>
            <w:r w:rsidRPr="00876AEC">
              <w:rPr>
                <w:rFonts w:eastAsia="Times New Roman"/>
                <w:b/>
                <w:color w:val="auto"/>
                <w:sz w:val="28"/>
                <w:szCs w:val="28"/>
                <w:lang w:eastAsia="lv-LV"/>
              </w:rPr>
              <w:t>.</w:t>
            </w:r>
          </w:p>
          <w:p w:rsidR="00550E1D" w:rsidRPr="003B5706" w:rsidRDefault="00550E1D" w:rsidP="00550E1D">
            <w:pPr>
              <w:spacing w:before="80" w:after="80"/>
              <w:ind w:firstLine="397"/>
              <w:jc w:val="both"/>
              <w:rPr>
                <w:sz w:val="28"/>
                <w:szCs w:val="28"/>
              </w:rPr>
            </w:pPr>
            <w:r>
              <w:rPr>
                <w:rFonts w:eastAsia="Times New Roman"/>
                <w:color w:val="auto"/>
                <w:sz w:val="28"/>
                <w:szCs w:val="28"/>
                <w:lang w:eastAsia="lv-LV"/>
              </w:rPr>
              <w:t>Vides ministrijai n</w:t>
            </w:r>
            <w:r w:rsidR="00C67318">
              <w:rPr>
                <w:rFonts w:eastAsia="Times New Roman"/>
                <w:color w:val="auto"/>
                <w:sz w:val="28"/>
                <w:szCs w:val="28"/>
                <w:lang w:eastAsia="lv-LV"/>
              </w:rPr>
              <w:t xml:space="preserve">av pieejama informācija par visu ministriju (iesaistīto iestāžu) izlietoto finansējumu 2010.gadā </w:t>
            </w:r>
            <w:r>
              <w:rPr>
                <w:rFonts w:eastAsia="Times New Roman"/>
                <w:color w:val="auto"/>
                <w:sz w:val="28"/>
                <w:szCs w:val="28"/>
                <w:lang w:eastAsia="lv-LV"/>
              </w:rPr>
              <w:t xml:space="preserve">standartu tulkošanai atbilstoši likumam „Par valsts budžetu 2010.gadam”, piemēram, </w:t>
            </w:r>
            <w:r w:rsidRPr="00723E73">
              <w:rPr>
                <w:rFonts w:eastAsia="Times New Roman"/>
                <w:color w:val="auto"/>
                <w:sz w:val="28"/>
                <w:szCs w:val="28"/>
                <w:lang w:eastAsia="lv-LV"/>
              </w:rPr>
              <w:t xml:space="preserve">Vides ministrijas budžetā 2010.gadam nav paredzēti līdzekļi standartu tulkošanas nodrošināšanai. </w:t>
            </w:r>
          </w:p>
          <w:p w:rsidR="003B5706" w:rsidRPr="00C67318" w:rsidRDefault="003B5706" w:rsidP="00550E1D">
            <w:pPr>
              <w:spacing w:before="80" w:after="80"/>
              <w:ind w:firstLine="397"/>
              <w:jc w:val="both"/>
              <w:rPr>
                <w:rFonts w:eastAsia="Times New Roman"/>
                <w:color w:val="auto"/>
                <w:sz w:val="28"/>
                <w:szCs w:val="28"/>
                <w:lang w:eastAsia="lv-LV"/>
              </w:rPr>
            </w:pPr>
            <w:r w:rsidRPr="003B5706">
              <w:rPr>
                <w:sz w:val="28"/>
                <w:szCs w:val="28"/>
              </w:rPr>
              <w:t>Precīzi un detalizēti aprēķini tiks iekļauti likumprojekta „Grozījumi Standartizācijas likumā” anotācijā.</w:t>
            </w:r>
          </w:p>
        </w:tc>
      </w:tr>
    </w:tbl>
    <w:p w:rsidR="00CC7E7C" w:rsidRPr="00CC7E7C" w:rsidRDefault="00CC7E7C" w:rsidP="00CC7E7C">
      <w:pPr>
        <w:spacing w:before="80" w:after="80"/>
        <w:rPr>
          <w:rFonts w:eastAsia="Times New Roman"/>
          <w:color w:val="auto"/>
          <w:lang w:eastAsia="lv-LV"/>
        </w:rPr>
      </w:pPr>
      <w:r w:rsidRPr="00CC7E7C">
        <w:rPr>
          <w:rFonts w:eastAsia="Times New Roman"/>
          <w:color w:val="auto"/>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5"/>
        <w:gridCol w:w="2798"/>
        <w:gridCol w:w="5258"/>
      </w:tblGrid>
      <w:tr w:rsidR="00CC7E7C" w:rsidRPr="00CC7E7C" w:rsidTr="00DF7423">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160" w:after="160"/>
              <w:jc w:val="center"/>
              <w:rPr>
                <w:rFonts w:eastAsia="Times New Roman"/>
                <w:b/>
                <w:bCs/>
                <w:color w:val="auto"/>
                <w:sz w:val="28"/>
                <w:szCs w:val="28"/>
                <w:lang w:eastAsia="lv-LV"/>
              </w:rPr>
            </w:pPr>
            <w:r w:rsidRPr="00CC7E7C">
              <w:rPr>
                <w:rFonts w:eastAsia="Times New Roman"/>
                <w:b/>
                <w:bCs/>
                <w:color w:val="auto"/>
                <w:sz w:val="28"/>
                <w:szCs w:val="28"/>
                <w:lang w:eastAsia="lv-LV"/>
              </w:rPr>
              <w:t> IV. Tiesību akta projekta ietekme uz spēkā esošo tiesību normu sistēmu</w:t>
            </w:r>
          </w:p>
        </w:tc>
      </w:tr>
      <w:tr w:rsidR="007B4555" w:rsidRPr="00CC7E7C" w:rsidTr="00DF7423">
        <w:trPr>
          <w:tblCellSpacing w:w="0" w:type="dxa"/>
        </w:trPr>
        <w:tc>
          <w:tcPr>
            <w:tcW w:w="104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1.</w:t>
            </w:r>
          </w:p>
        </w:tc>
        <w:tc>
          <w:tcPr>
            <w:tcW w:w="2798"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Nepieciešamie saistītie tiesību aktu projekti</w:t>
            </w:r>
          </w:p>
        </w:tc>
        <w:tc>
          <w:tcPr>
            <w:tcW w:w="5258" w:type="dxa"/>
            <w:tcBorders>
              <w:top w:val="outset" w:sz="6" w:space="0" w:color="auto"/>
              <w:left w:val="outset" w:sz="6" w:space="0" w:color="auto"/>
              <w:bottom w:val="outset" w:sz="6" w:space="0" w:color="auto"/>
              <w:right w:val="outset" w:sz="6" w:space="0" w:color="auto"/>
            </w:tcBorders>
            <w:hideMark/>
          </w:tcPr>
          <w:p w:rsidR="00CB33B3" w:rsidRDefault="00CC7E7C" w:rsidP="00CB33B3">
            <w:pPr>
              <w:spacing w:before="80" w:after="80"/>
              <w:jc w:val="both"/>
              <w:rPr>
                <w:sz w:val="28"/>
                <w:szCs w:val="28"/>
                <w:lang w:eastAsia="lv-LV"/>
              </w:rPr>
            </w:pPr>
            <w:r w:rsidRPr="00CC7E7C">
              <w:rPr>
                <w:rFonts w:eastAsia="Times New Roman"/>
                <w:color w:val="auto"/>
                <w:sz w:val="28"/>
                <w:szCs w:val="28"/>
                <w:lang w:eastAsia="lv-LV"/>
              </w:rPr>
              <w:t> </w:t>
            </w:r>
            <w:r w:rsidR="007B4555">
              <w:rPr>
                <w:rFonts w:eastAsia="Times New Roman"/>
                <w:color w:val="auto"/>
                <w:sz w:val="28"/>
                <w:szCs w:val="28"/>
                <w:lang w:eastAsia="lv-LV"/>
              </w:rPr>
              <w:t>Likumprojekts „Grozījumi Standartizācijas likumā”,</w:t>
            </w:r>
            <w:r w:rsidR="00CB33B3">
              <w:rPr>
                <w:rFonts w:eastAsia="Times New Roman"/>
                <w:color w:val="auto"/>
                <w:sz w:val="28"/>
                <w:szCs w:val="28"/>
                <w:lang w:eastAsia="lv-LV"/>
              </w:rPr>
              <w:t xml:space="preserve"> kurā</w:t>
            </w:r>
            <w:r w:rsidR="00DF7423">
              <w:rPr>
                <w:rFonts w:eastAsia="Times New Roman"/>
                <w:color w:val="auto"/>
                <w:sz w:val="28"/>
                <w:szCs w:val="28"/>
                <w:lang w:eastAsia="lv-LV"/>
              </w:rPr>
              <w:t xml:space="preserve"> </w:t>
            </w:r>
            <w:r w:rsidR="00CB33B3">
              <w:rPr>
                <w:sz w:val="28"/>
                <w:szCs w:val="28"/>
                <w:lang w:eastAsia="lv-LV"/>
              </w:rPr>
              <w:t>jāveic izmaiņas, lai samazinātu ar obligāti piemērojamo Latvijas nacionālo standartu tulkošanu saistītos izdevumus.</w:t>
            </w:r>
          </w:p>
          <w:p w:rsidR="00CC7E7C" w:rsidRPr="00CC7E7C" w:rsidRDefault="007B4555" w:rsidP="00880663">
            <w:pPr>
              <w:spacing w:before="80" w:after="80"/>
              <w:jc w:val="both"/>
              <w:rPr>
                <w:sz w:val="28"/>
                <w:szCs w:val="28"/>
                <w:lang w:eastAsia="lv-LV"/>
              </w:rPr>
            </w:pPr>
            <w:r>
              <w:rPr>
                <w:rFonts w:eastAsia="Times New Roman"/>
                <w:color w:val="auto"/>
                <w:sz w:val="28"/>
                <w:szCs w:val="28"/>
                <w:lang w:eastAsia="lv-LV"/>
              </w:rPr>
              <w:t xml:space="preserve"> </w:t>
            </w:r>
            <w:r w:rsidR="00CB33B3">
              <w:rPr>
                <w:sz w:val="28"/>
                <w:szCs w:val="28"/>
                <w:lang w:eastAsia="lv-LV"/>
              </w:rPr>
              <w:t>Likumprojekts</w:t>
            </w:r>
            <w:r w:rsidRPr="00624CE1">
              <w:rPr>
                <w:sz w:val="28"/>
                <w:szCs w:val="28"/>
                <w:lang w:eastAsia="lv-LV"/>
              </w:rPr>
              <w:t xml:space="preserve"> </w:t>
            </w:r>
            <w:r w:rsidR="00CB33B3">
              <w:rPr>
                <w:sz w:val="28"/>
                <w:szCs w:val="28"/>
                <w:lang w:eastAsia="lv-LV"/>
              </w:rPr>
              <w:t>2011.gada 1.ma</w:t>
            </w:r>
            <w:r w:rsidR="00880663">
              <w:rPr>
                <w:sz w:val="28"/>
                <w:szCs w:val="28"/>
                <w:lang w:eastAsia="lv-LV"/>
              </w:rPr>
              <w:t>ija</w:t>
            </w:r>
            <w:r w:rsidR="00CB33B3">
              <w:rPr>
                <w:sz w:val="28"/>
                <w:szCs w:val="28"/>
                <w:lang w:eastAsia="lv-LV"/>
              </w:rPr>
              <w:t>m jāizstrādā</w:t>
            </w:r>
            <w:r>
              <w:rPr>
                <w:sz w:val="28"/>
                <w:szCs w:val="28"/>
                <w:lang w:eastAsia="lv-LV"/>
              </w:rPr>
              <w:t xml:space="preserve"> Ekonomikas ministrija</w:t>
            </w:r>
            <w:r w:rsidR="00CB33B3">
              <w:rPr>
                <w:sz w:val="28"/>
                <w:szCs w:val="28"/>
                <w:lang w:eastAsia="lv-LV"/>
              </w:rPr>
              <w:t>i</w:t>
            </w:r>
            <w:r>
              <w:rPr>
                <w:sz w:val="28"/>
                <w:szCs w:val="28"/>
                <w:lang w:eastAsia="lv-LV"/>
              </w:rPr>
              <w:t>.</w:t>
            </w:r>
          </w:p>
        </w:tc>
      </w:tr>
      <w:tr w:rsidR="007B4555" w:rsidRPr="00CC7E7C" w:rsidTr="00DF7423">
        <w:trPr>
          <w:tblCellSpacing w:w="0" w:type="dxa"/>
        </w:trPr>
        <w:tc>
          <w:tcPr>
            <w:tcW w:w="1045"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2.</w:t>
            </w:r>
          </w:p>
        </w:tc>
        <w:tc>
          <w:tcPr>
            <w:tcW w:w="2798"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CC7E7C" w:rsidRPr="00CC7E7C" w:rsidRDefault="00CC7E7C" w:rsidP="00CC7E7C">
            <w:pPr>
              <w:spacing w:before="80" w:after="80"/>
              <w:rPr>
                <w:rFonts w:eastAsia="Times New Roman"/>
                <w:color w:val="auto"/>
                <w:sz w:val="28"/>
                <w:szCs w:val="28"/>
                <w:lang w:eastAsia="lv-LV"/>
              </w:rPr>
            </w:pPr>
            <w:r w:rsidRPr="00CC7E7C">
              <w:rPr>
                <w:rFonts w:eastAsia="Times New Roman"/>
                <w:color w:val="auto"/>
                <w:sz w:val="28"/>
                <w:szCs w:val="28"/>
                <w:lang w:eastAsia="lv-LV"/>
              </w:rPr>
              <w:t> Nav</w:t>
            </w:r>
          </w:p>
        </w:tc>
      </w:tr>
    </w:tbl>
    <w:p w:rsidR="00CC7E7C" w:rsidRPr="00624CE1" w:rsidRDefault="00CC7E7C" w:rsidP="00624CE1">
      <w:pPr>
        <w:spacing w:before="80" w:after="80"/>
        <w:rPr>
          <w:rFonts w:eastAsia="Times New Roman"/>
          <w:color w:val="auto"/>
          <w:lang w:eastAsia="lv-LV"/>
        </w:rPr>
      </w:pPr>
      <w:r w:rsidRPr="00CC7E7C">
        <w:rPr>
          <w:rFonts w:eastAsia="Times New Roman"/>
          <w:color w:val="auto"/>
          <w:lang w:eastAsia="lv-LV"/>
        </w:rPr>
        <w:t> </w:t>
      </w:r>
      <w:r w:rsidRPr="006103B1">
        <w:rPr>
          <w:rFonts w:eastAsia="Times New Roman"/>
          <w:color w:val="auto"/>
          <w:sz w:val="28"/>
          <w:szCs w:val="28"/>
          <w:lang w:eastAsia="lv-LV"/>
        </w:rPr>
        <w:t> </w:t>
      </w:r>
    </w:p>
    <w:p w:rsidR="007929CF" w:rsidRPr="006103B1" w:rsidRDefault="007929CF" w:rsidP="00CC7E7C">
      <w:pPr>
        <w:spacing w:before="80" w:after="80"/>
        <w:ind w:firstLine="400"/>
        <w:jc w:val="both"/>
        <w:rPr>
          <w:rFonts w:eastAsia="Times New Roman"/>
          <w:color w:val="auto"/>
          <w:sz w:val="28"/>
          <w:szCs w:val="28"/>
          <w:lang w:eastAsia="lv-LV"/>
        </w:rPr>
      </w:pPr>
      <w:r w:rsidRPr="006103B1">
        <w:rPr>
          <w:rFonts w:eastAsia="Times New Roman"/>
          <w:color w:val="auto"/>
          <w:sz w:val="28"/>
          <w:szCs w:val="28"/>
          <w:lang w:eastAsia="lv-LV"/>
        </w:rPr>
        <w:t>V sadaļa</w:t>
      </w:r>
      <w:r w:rsidR="00624CE1">
        <w:rPr>
          <w:rFonts w:eastAsia="Times New Roman"/>
          <w:color w:val="auto"/>
          <w:sz w:val="28"/>
          <w:szCs w:val="28"/>
          <w:lang w:eastAsia="lv-LV"/>
        </w:rPr>
        <w:t xml:space="preserve"> </w:t>
      </w:r>
      <w:r w:rsidRPr="006103B1">
        <w:rPr>
          <w:rFonts w:eastAsia="Times New Roman"/>
          <w:color w:val="auto"/>
          <w:sz w:val="28"/>
          <w:szCs w:val="28"/>
          <w:lang w:eastAsia="lv-LV"/>
        </w:rPr>
        <w:t xml:space="preserve">– </w:t>
      </w:r>
      <w:r w:rsidRPr="006103B1">
        <w:rPr>
          <w:rFonts w:eastAsia="Times New Roman"/>
          <w:i/>
          <w:color w:val="auto"/>
          <w:sz w:val="28"/>
          <w:szCs w:val="28"/>
          <w:lang w:eastAsia="lv-LV"/>
        </w:rPr>
        <w:t>nav attiecināms</w:t>
      </w:r>
    </w:p>
    <w:p w:rsidR="00CC7E7C" w:rsidRPr="006103B1" w:rsidRDefault="00CC7E7C" w:rsidP="00C741C7">
      <w:pPr>
        <w:spacing w:before="80" w:after="80"/>
        <w:ind w:firstLine="400"/>
        <w:jc w:val="both"/>
        <w:rPr>
          <w:rFonts w:eastAsia="Times New Roman"/>
          <w:color w:val="auto"/>
          <w:sz w:val="28"/>
          <w:szCs w:val="28"/>
          <w:lang w:eastAsia="lv-LV"/>
        </w:rPr>
      </w:pPr>
      <w:r w:rsidRPr="006103B1">
        <w:rPr>
          <w:rFonts w:eastAsia="Times New Roman"/>
          <w:color w:val="auto"/>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
        <w:gridCol w:w="3756"/>
        <w:gridCol w:w="4833"/>
      </w:tblGrid>
      <w:tr w:rsidR="00CC7E7C" w:rsidRPr="006103B1" w:rsidTr="00DF7423">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jc w:val="center"/>
              <w:rPr>
                <w:rFonts w:eastAsia="Times New Roman"/>
                <w:color w:val="auto"/>
                <w:sz w:val="28"/>
                <w:szCs w:val="28"/>
                <w:lang w:eastAsia="lv-LV"/>
              </w:rPr>
            </w:pPr>
            <w:r w:rsidRPr="006103B1">
              <w:rPr>
                <w:rFonts w:eastAsia="Times New Roman"/>
                <w:b/>
                <w:bCs/>
                <w:color w:val="auto"/>
                <w:sz w:val="28"/>
                <w:szCs w:val="28"/>
                <w:lang w:eastAsia="lv-LV"/>
              </w:rPr>
              <w:t> VI. Sabiedrības līdzdalība un šīs līdzdalības rezultāti</w:t>
            </w:r>
          </w:p>
        </w:tc>
      </w:tr>
      <w:tr w:rsidR="00CC7E7C" w:rsidRPr="006103B1" w:rsidTr="00DF7423">
        <w:trPr>
          <w:trHeight w:val="553"/>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1.</w:t>
            </w:r>
          </w:p>
        </w:tc>
        <w:tc>
          <w:tcPr>
            <w:tcW w:w="3756"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Sabiedrības informēšana par projekta izstrādes uzsākšanu</w:t>
            </w:r>
          </w:p>
        </w:tc>
        <w:tc>
          <w:tcPr>
            <w:tcW w:w="4833"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24CE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B027CF">
              <w:rPr>
                <w:rFonts w:eastAsia="Times New Roman"/>
                <w:color w:val="auto"/>
                <w:sz w:val="28"/>
                <w:szCs w:val="28"/>
                <w:lang w:eastAsia="lv-LV"/>
              </w:rPr>
              <w:t>Rīkojuma projekts tika publicēts Vides ministrijas mājas lapā internetā no 06.09.2010. – 19.09.2010.</w:t>
            </w:r>
          </w:p>
        </w:tc>
      </w:tr>
      <w:tr w:rsidR="00CC7E7C" w:rsidRPr="006103B1" w:rsidTr="00DF7423">
        <w:trPr>
          <w:trHeight w:val="339"/>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2.</w:t>
            </w:r>
          </w:p>
        </w:tc>
        <w:tc>
          <w:tcPr>
            <w:tcW w:w="3756"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Sabiedrības līdzdalība projekta izstrādē</w:t>
            </w:r>
          </w:p>
        </w:tc>
        <w:tc>
          <w:tcPr>
            <w:tcW w:w="4833" w:type="dxa"/>
            <w:tcBorders>
              <w:top w:val="outset" w:sz="6" w:space="0" w:color="auto"/>
              <w:left w:val="outset" w:sz="6" w:space="0" w:color="auto"/>
              <w:bottom w:val="outset" w:sz="6" w:space="0" w:color="auto"/>
              <w:right w:val="outset" w:sz="6" w:space="0" w:color="auto"/>
            </w:tcBorders>
            <w:hideMark/>
          </w:tcPr>
          <w:p w:rsidR="00CC7E7C" w:rsidRPr="006103B1" w:rsidRDefault="00CC7E7C" w:rsidP="00B027CF">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B027CF">
              <w:rPr>
                <w:rFonts w:eastAsia="Times New Roman"/>
                <w:color w:val="auto"/>
                <w:sz w:val="28"/>
                <w:szCs w:val="28"/>
                <w:lang w:eastAsia="lv-LV"/>
              </w:rPr>
              <w:t>Nav</w:t>
            </w:r>
          </w:p>
        </w:tc>
      </w:tr>
      <w:tr w:rsidR="00CC7E7C" w:rsidRPr="006103B1" w:rsidTr="00DF7423">
        <w:trPr>
          <w:trHeight w:val="375"/>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3.</w:t>
            </w:r>
          </w:p>
        </w:tc>
        <w:tc>
          <w:tcPr>
            <w:tcW w:w="3756"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Sabiedrības līdzdalības rezultāti</w:t>
            </w:r>
          </w:p>
        </w:tc>
        <w:tc>
          <w:tcPr>
            <w:tcW w:w="4833"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B027CF">
              <w:rPr>
                <w:rFonts w:eastAsia="Times New Roman"/>
                <w:color w:val="auto"/>
                <w:sz w:val="28"/>
                <w:szCs w:val="28"/>
                <w:lang w:eastAsia="lv-LV"/>
              </w:rPr>
              <w:t>Nav</w:t>
            </w:r>
          </w:p>
        </w:tc>
      </w:tr>
      <w:tr w:rsidR="00CC7E7C" w:rsidRPr="006103B1" w:rsidTr="00DF7423">
        <w:trPr>
          <w:trHeight w:val="397"/>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4.</w:t>
            </w:r>
          </w:p>
        </w:tc>
        <w:tc>
          <w:tcPr>
            <w:tcW w:w="3756"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Saeimas un ekspertu līdzdalība</w:t>
            </w:r>
          </w:p>
        </w:tc>
        <w:tc>
          <w:tcPr>
            <w:tcW w:w="4833"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B027CF">
              <w:rPr>
                <w:rFonts w:eastAsia="Times New Roman"/>
                <w:color w:val="auto"/>
                <w:sz w:val="28"/>
                <w:szCs w:val="28"/>
                <w:lang w:eastAsia="lv-LV"/>
              </w:rPr>
              <w:t>Nav</w:t>
            </w:r>
          </w:p>
        </w:tc>
      </w:tr>
      <w:tr w:rsidR="00CC7E7C" w:rsidRPr="006103B1" w:rsidTr="00DF7423">
        <w:trPr>
          <w:trHeight w:val="476"/>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5.</w:t>
            </w:r>
          </w:p>
        </w:tc>
        <w:tc>
          <w:tcPr>
            <w:tcW w:w="3756"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Cita informācija</w:t>
            </w:r>
          </w:p>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w:t>
            </w:r>
          </w:p>
        </w:tc>
        <w:tc>
          <w:tcPr>
            <w:tcW w:w="4833"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24CE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624CE1">
              <w:rPr>
                <w:rFonts w:eastAsia="Times New Roman"/>
                <w:color w:val="auto"/>
                <w:sz w:val="28"/>
                <w:szCs w:val="28"/>
                <w:lang w:eastAsia="lv-LV"/>
              </w:rPr>
              <w:t>Nav</w:t>
            </w:r>
          </w:p>
        </w:tc>
      </w:tr>
    </w:tbl>
    <w:p w:rsidR="00CC7E7C" w:rsidRPr="006103B1" w:rsidRDefault="00CC7E7C" w:rsidP="00CC7E7C">
      <w:pPr>
        <w:spacing w:before="80" w:after="80"/>
        <w:ind w:firstLine="400"/>
        <w:jc w:val="both"/>
        <w:rPr>
          <w:rFonts w:eastAsia="Times New Roman"/>
          <w:color w:val="auto"/>
          <w:sz w:val="28"/>
          <w:szCs w:val="28"/>
          <w:lang w:eastAsia="lv-LV"/>
        </w:rPr>
      </w:pPr>
      <w:r w:rsidRPr="006103B1">
        <w:rPr>
          <w:rFonts w:eastAsia="Times New Roman"/>
          <w:color w:val="auto"/>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4892"/>
        <w:gridCol w:w="3699"/>
      </w:tblGrid>
      <w:tr w:rsidR="00CC7E7C" w:rsidRPr="006103B1" w:rsidTr="00DF7423">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jc w:val="center"/>
              <w:rPr>
                <w:rFonts w:eastAsia="Times New Roman"/>
                <w:color w:val="auto"/>
                <w:sz w:val="28"/>
                <w:szCs w:val="28"/>
                <w:lang w:eastAsia="lv-LV"/>
              </w:rPr>
            </w:pPr>
            <w:r w:rsidRPr="006103B1">
              <w:rPr>
                <w:rFonts w:eastAsia="Times New Roman"/>
                <w:b/>
                <w:bCs/>
                <w:color w:val="auto"/>
                <w:sz w:val="28"/>
                <w:szCs w:val="28"/>
                <w:lang w:eastAsia="lv-LV"/>
              </w:rPr>
              <w:t> VII. Tiesību akta projekta izpildes nodrošināšana un tās ietekme uz institūcijām</w:t>
            </w:r>
          </w:p>
        </w:tc>
      </w:tr>
      <w:tr w:rsidR="00661F01" w:rsidRPr="006103B1" w:rsidTr="00DF7423">
        <w:trPr>
          <w:trHeight w:val="427"/>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1.</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Projekta izpildē iesaistītās institūcijas</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B576D4">
            <w:pPr>
              <w:spacing w:before="80" w:after="80"/>
              <w:jc w:val="both"/>
              <w:rPr>
                <w:rFonts w:eastAsia="Times New Roman"/>
                <w:color w:val="auto"/>
                <w:sz w:val="28"/>
                <w:szCs w:val="28"/>
                <w:lang w:eastAsia="lv-LV"/>
              </w:rPr>
            </w:pPr>
            <w:r w:rsidRPr="006103B1">
              <w:rPr>
                <w:rFonts w:eastAsia="Times New Roman"/>
                <w:color w:val="auto"/>
                <w:sz w:val="28"/>
                <w:szCs w:val="28"/>
                <w:lang w:eastAsia="lv-LV"/>
              </w:rPr>
              <w:t> </w:t>
            </w:r>
            <w:r w:rsidR="00C741C7" w:rsidRPr="006103B1">
              <w:rPr>
                <w:rFonts w:eastAsia="Times New Roman"/>
                <w:color w:val="auto"/>
                <w:sz w:val="28"/>
                <w:szCs w:val="28"/>
                <w:lang w:eastAsia="lv-LV"/>
              </w:rPr>
              <w:t>Visu n</w:t>
            </w:r>
            <w:r w:rsidR="009D4819">
              <w:rPr>
                <w:rFonts w:eastAsia="Times New Roman"/>
                <w:color w:val="auto"/>
                <w:sz w:val="28"/>
                <w:szCs w:val="28"/>
                <w:lang w:eastAsia="lv-LV"/>
              </w:rPr>
              <w:t>ozaru ministrijas</w:t>
            </w:r>
          </w:p>
        </w:tc>
      </w:tr>
      <w:tr w:rsidR="00661F01" w:rsidRPr="006103B1" w:rsidTr="00DF7423">
        <w:trPr>
          <w:trHeight w:val="463"/>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2.</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Projekta izpildes ietekme uz pārvaldes funkcijām</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A157B1">
            <w:pPr>
              <w:spacing w:before="80" w:after="80"/>
              <w:jc w:val="both"/>
              <w:rPr>
                <w:rFonts w:eastAsia="Times New Roman"/>
                <w:color w:val="auto"/>
                <w:sz w:val="28"/>
                <w:szCs w:val="28"/>
                <w:lang w:eastAsia="lv-LV"/>
              </w:rPr>
            </w:pPr>
            <w:r w:rsidRPr="006103B1">
              <w:rPr>
                <w:rFonts w:eastAsia="Times New Roman"/>
                <w:color w:val="auto"/>
                <w:sz w:val="28"/>
                <w:szCs w:val="28"/>
                <w:lang w:eastAsia="lv-LV"/>
              </w:rPr>
              <w:t> </w:t>
            </w:r>
            <w:r w:rsidR="005352F4" w:rsidRPr="006103B1">
              <w:rPr>
                <w:rFonts w:eastAsia="Times New Roman"/>
                <w:color w:val="auto"/>
                <w:sz w:val="28"/>
                <w:szCs w:val="28"/>
                <w:lang w:eastAsia="lv-LV"/>
              </w:rPr>
              <w:t>Nav attiecināms</w:t>
            </w:r>
          </w:p>
        </w:tc>
      </w:tr>
      <w:tr w:rsidR="00661F01" w:rsidRPr="006103B1" w:rsidTr="00DF7423">
        <w:trPr>
          <w:trHeight w:val="725"/>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3.</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Projekta izpildes ietekme uz pārvaldes institucionālo struktūru.</w:t>
            </w:r>
          </w:p>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Jaunu institūciju izveide</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103B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6103B1" w:rsidRPr="006103B1">
              <w:rPr>
                <w:rFonts w:eastAsia="Times New Roman"/>
                <w:color w:val="auto"/>
                <w:sz w:val="28"/>
                <w:szCs w:val="28"/>
                <w:lang w:eastAsia="lv-LV"/>
              </w:rPr>
              <w:t>Nav attiecināms</w:t>
            </w:r>
          </w:p>
        </w:tc>
      </w:tr>
      <w:tr w:rsidR="00661F01" w:rsidRPr="006103B1" w:rsidTr="00DF7423">
        <w:trPr>
          <w:trHeight w:val="78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4.</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Projekta izpildes ietekme uz pārvaldes institucionālo struktūru.</w:t>
            </w:r>
          </w:p>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Esošu institūciju likvidācija</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103B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6103B1" w:rsidRPr="006103B1">
              <w:rPr>
                <w:rFonts w:eastAsia="Times New Roman"/>
                <w:color w:val="auto"/>
                <w:sz w:val="28"/>
                <w:szCs w:val="28"/>
                <w:lang w:eastAsia="lv-LV"/>
              </w:rPr>
              <w:t>Nav attiecināms</w:t>
            </w:r>
          </w:p>
        </w:tc>
      </w:tr>
      <w:tr w:rsidR="00661F01" w:rsidRPr="006103B1" w:rsidTr="00DF7423">
        <w:trPr>
          <w:trHeight w:val="703"/>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5.</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Projekta izpildes ietekme uz pārvaldes institucionālo struktūru.</w:t>
            </w:r>
          </w:p>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Esošu institūciju reorganizācija</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103B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6103B1" w:rsidRPr="006103B1">
              <w:rPr>
                <w:rFonts w:eastAsia="Times New Roman"/>
                <w:color w:val="auto"/>
                <w:sz w:val="28"/>
                <w:szCs w:val="28"/>
                <w:lang w:eastAsia="lv-LV"/>
              </w:rPr>
              <w:t>Nav attiecināms</w:t>
            </w:r>
          </w:p>
        </w:tc>
      </w:tr>
      <w:tr w:rsidR="00661F01" w:rsidRPr="006103B1" w:rsidTr="00DF7423">
        <w:trPr>
          <w:trHeight w:val="476"/>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6.</w:t>
            </w:r>
          </w:p>
        </w:tc>
        <w:tc>
          <w:tcPr>
            <w:tcW w:w="4892" w:type="dxa"/>
            <w:tcBorders>
              <w:top w:val="outset" w:sz="6" w:space="0" w:color="auto"/>
              <w:left w:val="outset" w:sz="6" w:space="0" w:color="auto"/>
              <w:bottom w:val="outset" w:sz="6" w:space="0" w:color="auto"/>
              <w:right w:val="outset" w:sz="6" w:space="0" w:color="auto"/>
            </w:tcBorders>
            <w:hideMark/>
          </w:tcPr>
          <w:p w:rsidR="00CC7E7C" w:rsidRPr="006103B1" w:rsidRDefault="00CC7E7C" w:rsidP="00CC7E7C">
            <w:pPr>
              <w:spacing w:before="80" w:after="80"/>
              <w:rPr>
                <w:rFonts w:eastAsia="Times New Roman"/>
                <w:color w:val="auto"/>
                <w:sz w:val="28"/>
                <w:szCs w:val="28"/>
                <w:lang w:eastAsia="lv-LV"/>
              </w:rPr>
            </w:pPr>
            <w:r w:rsidRPr="006103B1">
              <w:rPr>
                <w:rFonts w:eastAsia="Times New Roman"/>
                <w:color w:val="auto"/>
                <w:sz w:val="28"/>
                <w:szCs w:val="28"/>
                <w:lang w:eastAsia="lv-LV"/>
              </w:rPr>
              <w:t> Cita informācija</w:t>
            </w:r>
          </w:p>
        </w:tc>
        <w:tc>
          <w:tcPr>
            <w:tcW w:w="3699" w:type="dxa"/>
            <w:tcBorders>
              <w:top w:val="outset" w:sz="6" w:space="0" w:color="auto"/>
              <w:left w:val="outset" w:sz="6" w:space="0" w:color="auto"/>
              <w:bottom w:val="outset" w:sz="6" w:space="0" w:color="auto"/>
              <w:right w:val="outset" w:sz="6" w:space="0" w:color="auto"/>
            </w:tcBorders>
            <w:hideMark/>
          </w:tcPr>
          <w:p w:rsidR="00CC7E7C" w:rsidRPr="006103B1" w:rsidRDefault="00CC7E7C" w:rsidP="006103B1">
            <w:pPr>
              <w:spacing w:before="80" w:after="80"/>
              <w:rPr>
                <w:rFonts w:eastAsia="Times New Roman"/>
                <w:color w:val="auto"/>
                <w:sz w:val="28"/>
                <w:szCs w:val="28"/>
                <w:lang w:eastAsia="lv-LV"/>
              </w:rPr>
            </w:pPr>
            <w:r w:rsidRPr="006103B1">
              <w:rPr>
                <w:rFonts w:eastAsia="Times New Roman"/>
                <w:color w:val="auto"/>
                <w:sz w:val="28"/>
                <w:szCs w:val="28"/>
                <w:lang w:eastAsia="lv-LV"/>
              </w:rPr>
              <w:t> </w:t>
            </w:r>
            <w:r w:rsidR="006103B1" w:rsidRPr="006103B1">
              <w:rPr>
                <w:rFonts w:eastAsia="Times New Roman"/>
                <w:color w:val="auto"/>
                <w:sz w:val="28"/>
                <w:szCs w:val="28"/>
                <w:lang w:eastAsia="lv-LV"/>
              </w:rPr>
              <w:t>Nav</w:t>
            </w:r>
          </w:p>
        </w:tc>
      </w:tr>
    </w:tbl>
    <w:p w:rsidR="004C7AEF" w:rsidRPr="004C7AEF" w:rsidRDefault="004C7AEF" w:rsidP="004C7AEF"/>
    <w:p w:rsidR="004C7AEF" w:rsidRPr="004C7AEF" w:rsidRDefault="004C7AEF" w:rsidP="004C7AEF"/>
    <w:p w:rsidR="004C7AEF" w:rsidRPr="00D20CD7" w:rsidRDefault="004C7AEF" w:rsidP="004C7AEF">
      <w:pPr>
        <w:pStyle w:val="BodyTextIndent3"/>
        <w:spacing w:after="0"/>
        <w:ind w:left="0" w:firstLine="720"/>
        <w:rPr>
          <w:sz w:val="28"/>
          <w:szCs w:val="28"/>
          <w:lang w:val="lv-LV"/>
        </w:rPr>
      </w:pPr>
      <w:r w:rsidRPr="00D20CD7">
        <w:rPr>
          <w:sz w:val="28"/>
          <w:szCs w:val="28"/>
          <w:lang w:val="lv-LV"/>
        </w:rPr>
        <w:t xml:space="preserve">Vides </w:t>
      </w:r>
      <w:r w:rsidR="00DF1D12">
        <w:rPr>
          <w:sz w:val="28"/>
          <w:szCs w:val="28"/>
          <w:lang w:val="lv-LV"/>
        </w:rPr>
        <w:t>aizsardzības un reģionālās attīstības ministrs</w:t>
      </w:r>
      <w:r w:rsidR="00DF1D12">
        <w:rPr>
          <w:sz w:val="28"/>
          <w:szCs w:val="28"/>
          <w:lang w:val="lv-LV"/>
        </w:rPr>
        <w:tab/>
      </w:r>
      <w:r w:rsidR="00DF1D12">
        <w:rPr>
          <w:sz w:val="28"/>
          <w:szCs w:val="28"/>
          <w:lang w:val="lv-LV"/>
        </w:rPr>
        <w:tab/>
      </w:r>
      <w:proofErr w:type="spellStart"/>
      <w:r w:rsidRPr="00D20CD7">
        <w:rPr>
          <w:sz w:val="28"/>
          <w:szCs w:val="28"/>
          <w:lang w:val="lv-LV"/>
        </w:rPr>
        <w:t>R.Vējonis</w:t>
      </w:r>
      <w:proofErr w:type="spellEnd"/>
      <w:r w:rsidRPr="00D20CD7">
        <w:rPr>
          <w:sz w:val="28"/>
          <w:szCs w:val="28"/>
          <w:lang w:val="lv-LV"/>
        </w:rPr>
        <w:tab/>
      </w:r>
    </w:p>
    <w:p w:rsidR="004C7AEF" w:rsidRDefault="004C7AEF" w:rsidP="004C7AEF">
      <w:pPr>
        <w:tabs>
          <w:tab w:val="left" w:pos="0"/>
        </w:tabs>
        <w:jc w:val="both"/>
        <w:rPr>
          <w:sz w:val="28"/>
          <w:szCs w:val="28"/>
        </w:rPr>
      </w:pPr>
    </w:p>
    <w:p w:rsidR="006E22BA" w:rsidRPr="00D20CD7" w:rsidRDefault="006E22BA" w:rsidP="004C7AEF">
      <w:pPr>
        <w:tabs>
          <w:tab w:val="left" w:pos="0"/>
        </w:tabs>
        <w:jc w:val="both"/>
        <w:rPr>
          <w:sz w:val="28"/>
          <w:szCs w:val="28"/>
        </w:rPr>
      </w:pPr>
    </w:p>
    <w:p w:rsidR="004C7AEF" w:rsidRPr="00D20CD7" w:rsidRDefault="004C7AEF" w:rsidP="004C7AEF">
      <w:pPr>
        <w:tabs>
          <w:tab w:val="left" w:pos="0"/>
        </w:tabs>
        <w:jc w:val="both"/>
        <w:rPr>
          <w:sz w:val="28"/>
          <w:szCs w:val="28"/>
        </w:rPr>
      </w:pPr>
      <w:r w:rsidRPr="00D20CD7">
        <w:rPr>
          <w:sz w:val="28"/>
          <w:szCs w:val="28"/>
        </w:rPr>
        <w:tab/>
        <w:t>Vīza: Valsts sekretārs</w:t>
      </w:r>
      <w:r w:rsidRPr="00D20CD7">
        <w:rPr>
          <w:sz w:val="28"/>
          <w:szCs w:val="28"/>
        </w:rPr>
        <w:tab/>
      </w:r>
      <w:r w:rsidRPr="00D20CD7">
        <w:rPr>
          <w:sz w:val="28"/>
          <w:szCs w:val="28"/>
        </w:rPr>
        <w:tab/>
      </w:r>
      <w:r w:rsidRPr="00D20CD7">
        <w:rPr>
          <w:sz w:val="28"/>
          <w:szCs w:val="28"/>
        </w:rPr>
        <w:tab/>
      </w:r>
      <w:r w:rsidRPr="00D20CD7">
        <w:rPr>
          <w:sz w:val="28"/>
          <w:szCs w:val="28"/>
        </w:rPr>
        <w:tab/>
      </w:r>
      <w:r w:rsidRPr="00D20CD7">
        <w:rPr>
          <w:sz w:val="28"/>
          <w:szCs w:val="28"/>
        </w:rPr>
        <w:tab/>
      </w:r>
      <w:r w:rsidRPr="00D20CD7">
        <w:rPr>
          <w:sz w:val="28"/>
          <w:szCs w:val="28"/>
        </w:rPr>
        <w:tab/>
        <w:t>G.Puķītis</w:t>
      </w:r>
    </w:p>
    <w:p w:rsidR="004C7AEF" w:rsidRPr="009D0082" w:rsidRDefault="004C7AEF" w:rsidP="004C7AEF"/>
    <w:p w:rsidR="004C7AEF" w:rsidRPr="009D0082" w:rsidRDefault="005330E0" w:rsidP="004C7AEF">
      <w:r>
        <w:t>11</w:t>
      </w:r>
      <w:r w:rsidR="00B576D4">
        <w:t>.</w:t>
      </w:r>
      <w:r>
        <w:t>0</w:t>
      </w:r>
      <w:r w:rsidR="00B576D4">
        <w:t>1</w:t>
      </w:r>
      <w:r w:rsidR="004C7AEF">
        <w:t>.201</w:t>
      </w:r>
      <w:r>
        <w:t>1</w:t>
      </w:r>
      <w:r w:rsidR="004C7AEF" w:rsidRPr="009D0082">
        <w:t xml:space="preserve"> 1</w:t>
      </w:r>
      <w:r w:rsidR="004C7AEF">
        <w:t>0</w:t>
      </w:r>
      <w:r w:rsidR="004C7AEF" w:rsidRPr="009D0082">
        <w:t>:</w:t>
      </w:r>
      <w:r w:rsidR="004C7AEF">
        <w:t>16</w:t>
      </w:r>
    </w:p>
    <w:p w:rsidR="004C7AEF" w:rsidRPr="009D0082" w:rsidRDefault="00364D4D" w:rsidP="004C7AEF">
      <w:fldSimple w:instr=" NUMWORDS  \* Arabic  \* MERGEFORMAT ">
        <w:r w:rsidR="00231F48">
          <w:rPr>
            <w:noProof/>
          </w:rPr>
          <w:t>1741</w:t>
        </w:r>
      </w:fldSimple>
    </w:p>
    <w:p w:rsidR="004C7AEF" w:rsidRPr="009D0082" w:rsidRDefault="004C7AEF" w:rsidP="004C7AEF">
      <w:r w:rsidRPr="009D0082">
        <w:t xml:space="preserve">L.Maslova </w:t>
      </w:r>
    </w:p>
    <w:p w:rsidR="00245ADD" w:rsidRPr="004C7AEF" w:rsidRDefault="004C7AEF" w:rsidP="00DF7423">
      <w:smartTag w:uri="schemas-tilde-lv/tildestengine" w:element="phone">
        <w:smartTagPr>
          <w:attr w:name="phone_number" w:val="7026586"/>
          <w:attr w:name="phone_prefix" w:val="6"/>
        </w:smartTagPr>
        <w:r w:rsidRPr="009D0082">
          <w:t>67026586</w:t>
        </w:r>
      </w:smartTag>
      <w:r w:rsidRPr="009D0082">
        <w:t>, lana.maslova@v</w:t>
      </w:r>
      <w:r w:rsidR="005902FE">
        <w:t>aram</w:t>
      </w:r>
      <w:r w:rsidRPr="009D0082">
        <w:t>.gov.lv</w:t>
      </w:r>
    </w:p>
    <w:sectPr w:rsidR="00245ADD" w:rsidRPr="004C7AEF" w:rsidSect="0026017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FE" w:rsidRDefault="002D1EFE" w:rsidP="001048CD">
      <w:r>
        <w:separator/>
      </w:r>
    </w:p>
  </w:endnote>
  <w:endnote w:type="continuationSeparator" w:id="0">
    <w:p w:rsidR="002D1EFE" w:rsidRDefault="002D1EFE" w:rsidP="00104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DD" w:rsidRDefault="00B908BB" w:rsidP="00B908BB">
    <w:pPr>
      <w:pStyle w:val="Footer"/>
      <w:jc w:val="both"/>
    </w:pPr>
    <w:r w:rsidRPr="00FA2408">
      <w:t>V</w:t>
    </w:r>
    <w:r>
      <w:t>ARAMAnot</w:t>
    </w:r>
    <w:r w:rsidRPr="00FA2408">
      <w:t>_</w:t>
    </w:r>
    <w:r>
      <w:t>110111</w:t>
    </w:r>
    <w:r w:rsidRPr="00FA2408">
      <w:t>_stand; Ministru kabineta rīkojuma projekt</w:t>
    </w:r>
    <w:r>
      <w:t>a</w:t>
    </w:r>
    <w:r w:rsidRPr="00FA2408">
      <w:t xml:space="preserve"> “Par obligāti piemērojam</w:t>
    </w:r>
    <w:r>
      <w:t>o</w:t>
    </w:r>
    <w:r w:rsidRPr="00FA2408">
      <w:t xml:space="preserve"> standart</w:t>
    </w:r>
    <w:r>
      <w:t>u tulkošanas kārtību</w:t>
    </w:r>
    <w:r w:rsidRPr="00FA2408">
      <w:t>”</w:t>
    </w:r>
    <w:r>
      <w:t xml:space="preserve"> anotācija</w:t>
    </w:r>
  </w:p>
  <w:p w:rsidR="004C02DD" w:rsidRDefault="004C0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DD" w:rsidRDefault="004C02DD" w:rsidP="00254889">
    <w:pPr>
      <w:pStyle w:val="Footer"/>
      <w:jc w:val="both"/>
    </w:pPr>
    <w:r w:rsidRPr="00FA2408">
      <w:t>V</w:t>
    </w:r>
    <w:r w:rsidR="00B908BB">
      <w:t>ARAM</w:t>
    </w:r>
    <w:r>
      <w:t>Anot</w:t>
    </w:r>
    <w:r w:rsidRPr="00FA2408">
      <w:t>_</w:t>
    </w:r>
    <w:r w:rsidR="00B908BB">
      <w:t>110111</w:t>
    </w:r>
    <w:r w:rsidRPr="00FA2408">
      <w:t>_stand; Ministru kabineta rīkojuma projekt</w:t>
    </w:r>
    <w:r>
      <w:t>a</w:t>
    </w:r>
    <w:r w:rsidRPr="00FA2408">
      <w:t xml:space="preserve"> “Par obligāti piemērojam</w:t>
    </w:r>
    <w:r>
      <w:t>o</w:t>
    </w:r>
    <w:r w:rsidRPr="00FA2408">
      <w:t xml:space="preserve"> standart</w:t>
    </w:r>
    <w:r>
      <w:t>u tulkošanas kārtību</w:t>
    </w:r>
    <w:r w:rsidRPr="00FA2408">
      <w:t>”</w:t>
    </w:r>
    <w: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FE" w:rsidRDefault="002D1EFE" w:rsidP="001048CD">
      <w:r>
        <w:separator/>
      </w:r>
    </w:p>
  </w:footnote>
  <w:footnote w:type="continuationSeparator" w:id="0">
    <w:p w:rsidR="002D1EFE" w:rsidRDefault="002D1EFE" w:rsidP="00104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706"/>
      <w:docPartObj>
        <w:docPartGallery w:val="Page Numbers (Top of Page)"/>
        <w:docPartUnique/>
      </w:docPartObj>
    </w:sdtPr>
    <w:sdtContent>
      <w:p w:rsidR="004C02DD" w:rsidRDefault="00364D4D">
        <w:pPr>
          <w:pStyle w:val="Header"/>
          <w:jc w:val="center"/>
        </w:pPr>
        <w:fldSimple w:instr=" PAGE   \* MERGEFORMAT ">
          <w:r w:rsidR="00231F48">
            <w:rPr>
              <w:noProof/>
            </w:rPr>
            <w:t>10</w:t>
          </w:r>
        </w:fldSimple>
      </w:p>
    </w:sdtContent>
  </w:sdt>
  <w:p w:rsidR="004C02DD" w:rsidRDefault="004C0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1D43"/>
    <w:multiLevelType w:val="hybridMultilevel"/>
    <w:tmpl w:val="9CA87664"/>
    <w:lvl w:ilvl="0" w:tplc="05AAB17A">
      <w:numFmt w:val="bullet"/>
      <w:lvlText w:val="-"/>
      <w:lvlJc w:val="left"/>
      <w:pPr>
        <w:ind w:left="760" w:hanging="360"/>
      </w:pPr>
      <w:rPr>
        <w:rFonts w:ascii="Times New Roman" w:eastAsia="Times New Roman"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
    <w:nsid w:val="30CA6D33"/>
    <w:multiLevelType w:val="hybridMultilevel"/>
    <w:tmpl w:val="FF282E38"/>
    <w:lvl w:ilvl="0" w:tplc="0C7C46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B3703E"/>
    <w:multiLevelType w:val="hybridMultilevel"/>
    <w:tmpl w:val="76EEF8D4"/>
    <w:lvl w:ilvl="0" w:tplc="DAD814FC">
      <w:start w:val="1"/>
      <w:numFmt w:val="decimal"/>
      <w:lvlText w:val="%1."/>
      <w:lvlJc w:val="left"/>
      <w:pPr>
        <w:ind w:left="809" w:hanging="54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3">
    <w:nsid w:val="45A9387E"/>
    <w:multiLevelType w:val="hybridMultilevel"/>
    <w:tmpl w:val="BAB8B2EE"/>
    <w:lvl w:ilvl="0" w:tplc="C35AD026">
      <w:start w:val="1"/>
      <w:numFmt w:val="decimal"/>
      <w:lvlText w:val="%1."/>
      <w:lvlJc w:val="left"/>
      <w:pPr>
        <w:ind w:left="1785" w:hanging="1065"/>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D316D66"/>
    <w:multiLevelType w:val="hybridMultilevel"/>
    <w:tmpl w:val="A7F28F0E"/>
    <w:lvl w:ilvl="0" w:tplc="16AC3556">
      <w:start w:val="40"/>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5">
    <w:nsid w:val="5DA9747B"/>
    <w:multiLevelType w:val="hybridMultilevel"/>
    <w:tmpl w:val="7C5419BE"/>
    <w:lvl w:ilvl="0" w:tplc="A4327B44">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5606E09"/>
    <w:multiLevelType w:val="hybridMultilevel"/>
    <w:tmpl w:val="4FAA9F76"/>
    <w:lvl w:ilvl="0" w:tplc="A4327B44">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C7E7C"/>
    <w:rsid w:val="00004A25"/>
    <w:rsid w:val="0000591B"/>
    <w:rsid w:val="00007D1E"/>
    <w:rsid w:val="00012973"/>
    <w:rsid w:val="0001586C"/>
    <w:rsid w:val="000531FC"/>
    <w:rsid w:val="0006412A"/>
    <w:rsid w:val="00092C62"/>
    <w:rsid w:val="000A2978"/>
    <w:rsid w:val="000B1F04"/>
    <w:rsid w:val="000D658E"/>
    <w:rsid w:val="000D6933"/>
    <w:rsid w:val="000E1393"/>
    <w:rsid w:val="001048CD"/>
    <w:rsid w:val="001069D9"/>
    <w:rsid w:val="00131815"/>
    <w:rsid w:val="00160D34"/>
    <w:rsid w:val="00163666"/>
    <w:rsid w:val="00163AEA"/>
    <w:rsid w:val="001868A3"/>
    <w:rsid w:val="00191188"/>
    <w:rsid w:val="001A7C3A"/>
    <w:rsid w:val="001B74C1"/>
    <w:rsid w:val="001B7F59"/>
    <w:rsid w:val="001D399F"/>
    <w:rsid w:val="001D4784"/>
    <w:rsid w:val="001D5CFB"/>
    <w:rsid w:val="001F1774"/>
    <w:rsid w:val="0020175E"/>
    <w:rsid w:val="00215713"/>
    <w:rsid w:val="00226627"/>
    <w:rsid w:val="00231F48"/>
    <w:rsid w:val="0023517B"/>
    <w:rsid w:val="0024420A"/>
    <w:rsid w:val="00245ADD"/>
    <w:rsid w:val="00251007"/>
    <w:rsid w:val="00254889"/>
    <w:rsid w:val="00260171"/>
    <w:rsid w:val="00261861"/>
    <w:rsid w:val="0026724A"/>
    <w:rsid w:val="00280EDC"/>
    <w:rsid w:val="0029245C"/>
    <w:rsid w:val="00293A03"/>
    <w:rsid w:val="002C1965"/>
    <w:rsid w:val="002C6C79"/>
    <w:rsid w:val="002D1EFE"/>
    <w:rsid w:val="002D4123"/>
    <w:rsid w:val="002D482B"/>
    <w:rsid w:val="002E5B94"/>
    <w:rsid w:val="002E6B55"/>
    <w:rsid w:val="002E7504"/>
    <w:rsid w:val="003074C6"/>
    <w:rsid w:val="00311C86"/>
    <w:rsid w:val="00314274"/>
    <w:rsid w:val="003154E1"/>
    <w:rsid w:val="003203D2"/>
    <w:rsid w:val="00322EE2"/>
    <w:rsid w:val="0032710C"/>
    <w:rsid w:val="003454B8"/>
    <w:rsid w:val="0035263A"/>
    <w:rsid w:val="003530BE"/>
    <w:rsid w:val="003641EE"/>
    <w:rsid w:val="00364D4D"/>
    <w:rsid w:val="00396523"/>
    <w:rsid w:val="00397F40"/>
    <w:rsid w:val="003B5706"/>
    <w:rsid w:val="003E64AE"/>
    <w:rsid w:val="00410B66"/>
    <w:rsid w:val="004224B3"/>
    <w:rsid w:val="0043142F"/>
    <w:rsid w:val="00437D65"/>
    <w:rsid w:val="00441610"/>
    <w:rsid w:val="00444D6D"/>
    <w:rsid w:val="00476AEA"/>
    <w:rsid w:val="00480258"/>
    <w:rsid w:val="00483BF6"/>
    <w:rsid w:val="00491005"/>
    <w:rsid w:val="004A6EAA"/>
    <w:rsid w:val="004B090E"/>
    <w:rsid w:val="004B6BF8"/>
    <w:rsid w:val="004C02DD"/>
    <w:rsid w:val="004C7AEF"/>
    <w:rsid w:val="004E09CD"/>
    <w:rsid w:val="004F5F6E"/>
    <w:rsid w:val="00522BE5"/>
    <w:rsid w:val="005330E0"/>
    <w:rsid w:val="005352F4"/>
    <w:rsid w:val="00546C87"/>
    <w:rsid w:val="00550E1D"/>
    <w:rsid w:val="0057383C"/>
    <w:rsid w:val="00581BD7"/>
    <w:rsid w:val="00582B00"/>
    <w:rsid w:val="005902FE"/>
    <w:rsid w:val="005906AE"/>
    <w:rsid w:val="005C7F4C"/>
    <w:rsid w:val="005E55CF"/>
    <w:rsid w:val="005F7515"/>
    <w:rsid w:val="006103B1"/>
    <w:rsid w:val="00624CE1"/>
    <w:rsid w:val="00626413"/>
    <w:rsid w:val="0063582C"/>
    <w:rsid w:val="00640817"/>
    <w:rsid w:val="00641344"/>
    <w:rsid w:val="006420D1"/>
    <w:rsid w:val="0064480B"/>
    <w:rsid w:val="00647C07"/>
    <w:rsid w:val="00651007"/>
    <w:rsid w:val="00661F01"/>
    <w:rsid w:val="00672885"/>
    <w:rsid w:val="00677A67"/>
    <w:rsid w:val="006C7396"/>
    <w:rsid w:val="006D09F4"/>
    <w:rsid w:val="006E22BA"/>
    <w:rsid w:val="006E4224"/>
    <w:rsid w:val="006E483C"/>
    <w:rsid w:val="006F251F"/>
    <w:rsid w:val="006F302B"/>
    <w:rsid w:val="006F4C2C"/>
    <w:rsid w:val="0071260F"/>
    <w:rsid w:val="00723E73"/>
    <w:rsid w:val="00735888"/>
    <w:rsid w:val="00736221"/>
    <w:rsid w:val="007410FE"/>
    <w:rsid w:val="00761026"/>
    <w:rsid w:val="0076449F"/>
    <w:rsid w:val="00764DBB"/>
    <w:rsid w:val="007869A7"/>
    <w:rsid w:val="007929CF"/>
    <w:rsid w:val="007A1604"/>
    <w:rsid w:val="007B385F"/>
    <w:rsid w:val="007B4555"/>
    <w:rsid w:val="007B7CC5"/>
    <w:rsid w:val="007D3EFF"/>
    <w:rsid w:val="007E2568"/>
    <w:rsid w:val="007E5DCA"/>
    <w:rsid w:val="007F5542"/>
    <w:rsid w:val="0080514C"/>
    <w:rsid w:val="00822876"/>
    <w:rsid w:val="00830A4A"/>
    <w:rsid w:val="008353F4"/>
    <w:rsid w:val="0085136E"/>
    <w:rsid w:val="008544D7"/>
    <w:rsid w:val="0086488F"/>
    <w:rsid w:val="00866003"/>
    <w:rsid w:val="008668B3"/>
    <w:rsid w:val="008767CD"/>
    <w:rsid w:val="00876AEC"/>
    <w:rsid w:val="00877940"/>
    <w:rsid w:val="00880663"/>
    <w:rsid w:val="008856F2"/>
    <w:rsid w:val="008A121B"/>
    <w:rsid w:val="008A31C0"/>
    <w:rsid w:val="008A51EA"/>
    <w:rsid w:val="008C1996"/>
    <w:rsid w:val="008C6314"/>
    <w:rsid w:val="008D53AC"/>
    <w:rsid w:val="008D6173"/>
    <w:rsid w:val="008F0778"/>
    <w:rsid w:val="008F4911"/>
    <w:rsid w:val="00902539"/>
    <w:rsid w:val="00910802"/>
    <w:rsid w:val="009614AC"/>
    <w:rsid w:val="009630A8"/>
    <w:rsid w:val="0096371B"/>
    <w:rsid w:val="009652BE"/>
    <w:rsid w:val="009719E4"/>
    <w:rsid w:val="00980936"/>
    <w:rsid w:val="0099663A"/>
    <w:rsid w:val="009B050C"/>
    <w:rsid w:val="009B135C"/>
    <w:rsid w:val="009B33D5"/>
    <w:rsid w:val="009D4819"/>
    <w:rsid w:val="009D7707"/>
    <w:rsid w:val="009E035B"/>
    <w:rsid w:val="009E6A6E"/>
    <w:rsid w:val="00A00754"/>
    <w:rsid w:val="00A07DBA"/>
    <w:rsid w:val="00A14B51"/>
    <w:rsid w:val="00A157B1"/>
    <w:rsid w:val="00A352DC"/>
    <w:rsid w:val="00A4082C"/>
    <w:rsid w:val="00A47706"/>
    <w:rsid w:val="00A47DE7"/>
    <w:rsid w:val="00A54E45"/>
    <w:rsid w:val="00A61A1E"/>
    <w:rsid w:val="00A6264F"/>
    <w:rsid w:val="00A643E1"/>
    <w:rsid w:val="00A775CC"/>
    <w:rsid w:val="00A84E40"/>
    <w:rsid w:val="00A96F13"/>
    <w:rsid w:val="00AB6F65"/>
    <w:rsid w:val="00AB7AA1"/>
    <w:rsid w:val="00AD26C8"/>
    <w:rsid w:val="00AE14B7"/>
    <w:rsid w:val="00AE5E00"/>
    <w:rsid w:val="00AF61B9"/>
    <w:rsid w:val="00B01456"/>
    <w:rsid w:val="00B027CF"/>
    <w:rsid w:val="00B03E83"/>
    <w:rsid w:val="00B11501"/>
    <w:rsid w:val="00B12BEB"/>
    <w:rsid w:val="00B3216C"/>
    <w:rsid w:val="00B3766D"/>
    <w:rsid w:val="00B4083F"/>
    <w:rsid w:val="00B40CC8"/>
    <w:rsid w:val="00B548E9"/>
    <w:rsid w:val="00B576D4"/>
    <w:rsid w:val="00B63BD3"/>
    <w:rsid w:val="00B7207B"/>
    <w:rsid w:val="00B7364D"/>
    <w:rsid w:val="00B80996"/>
    <w:rsid w:val="00B908BB"/>
    <w:rsid w:val="00B91F8C"/>
    <w:rsid w:val="00BA2436"/>
    <w:rsid w:val="00BA39A3"/>
    <w:rsid w:val="00BB000F"/>
    <w:rsid w:val="00BB02C7"/>
    <w:rsid w:val="00BC33EC"/>
    <w:rsid w:val="00BC5CA9"/>
    <w:rsid w:val="00BD6600"/>
    <w:rsid w:val="00BF5255"/>
    <w:rsid w:val="00BF6AA5"/>
    <w:rsid w:val="00C03AA6"/>
    <w:rsid w:val="00C107C7"/>
    <w:rsid w:val="00C14AEB"/>
    <w:rsid w:val="00C34B02"/>
    <w:rsid w:val="00C40CEA"/>
    <w:rsid w:val="00C53D9D"/>
    <w:rsid w:val="00C67318"/>
    <w:rsid w:val="00C741C7"/>
    <w:rsid w:val="00CB33B3"/>
    <w:rsid w:val="00CC1306"/>
    <w:rsid w:val="00CC28E1"/>
    <w:rsid w:val="00CC3220"/>
    <w:rsid w:val="00CC7E7C"/>
    <w:rsid w:val="00CE1A42"/>
    <w:rsid w:val="00CE44AA"/>
    <w:rsid w:val="00CE4CA1"/>
    <w:rsid w:val="00CE5691"/>
    <w:rsid w:val="00D11584"/>
    <w:rsid w:val="00D13246"/>
    <w:rsid w:val="00D17E9D"/>
    <w:rsid w:val="00D21340"/>
    <w:rsid w:val="00D278BF"/>
    <w:rsid w:val="00D50D4D"/>
    <w:rsid w:val="00D53C2C"/>
    <w:rsid w:val="00D5512C"/>
    <w:rsid w:val="00D57EFF"/>
    <w:rsid w:val="00D66157"/>
    <w:rsid w:val="00D72979"/>
    <w:rsid w:val="00D7598D"/>
    <w:rsid w:val="00D769C1"/>
    <w:rsid w:val="00D85C68"/>
    <w:rsid w:val="00D90E9F"/>
    <w:rsid w:val="00D94F5E"/>
    <w:rsid w:val="00DA777E"/>
    <w:rsid w:val="00DB003B"/>
    <w:rsid w:val="00DC21E4"/>
    <w:rsid w:val="00DD0748"/>
    <w:rsid w:val="00DD681E"/>
    <w:rsid w:val="00DD7077"/>
    <w:rsid w:val="00DE704B"/>
    <w:rsid w:val="00DF1D12"/>
    <w:rsid w:val="00DF7423"/>
    <w:rsid w:val="00E25599"/>
    <w:rsid w:val="00E33E44"/>
    <w:rsid w:val="00E3778E"/>
    <w:rsid w:val="00E64080"/>
    <w:rsid w:val="00E81B10"/>
    <w:rsid w:val="00E82F8C"/>
    <w:rsid w:val="00E93C19"/>
    <w:rsid w:val="00EF0191"/>
    <w:rsid w:val="00F0677F"/>
    <w:rsid w:val="00F07F4C"/>
    <w:rsid w:val="00F1172F"/>
    <w:rsid w:val="00F21047"/>
    <w:rsid w:val="00F2401B"/>
    <w:rsid w:val="00F27ED4"/>
    <w:rsid w:val="00F3076E"/>
    <w:rsid w:val="00F44545"/>
    <w:rsid w:val="00F50482"/>
    <w:rsid w:val="00F72A5D"/>
    <w:rsid w:val="00F9322D"/>
    <w:rsid w:val="00FA75C4"/>
    <w:rsid w:val="00FB1C96"/>
    <w:rsid w:val="00FC1342"/>
    <w:rsid w:val="00FD1F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C7E7C"/>
    <w:pPr>
      <w:spacing w:before="80" w:after="80"/>
      <w:ind w:firstLine="400"/>
      <w:jc w:val="both"/>
    </w:pPr>
    <w:rPr>
      <w:rFonts w:eastAsia="Times New Roman"/>
      <w:color w:val="auto"/>
      <w:lang w:eastAsia="lv-LV"/>
    </w:rPr>
  </w:style>
  <w:style w:type="paragraph" w:customStyle="1" w:styleId="naisnod">
    <w:name w:val="naisnod"/>
    <w:basedOn w:val="Normal"/>
    <w:rsid w:val="00CC7E7C"/>
    <w:pPr>
      <w:spacing w:before="160" w:after="160"/>
      <w:jc w:val="center"/>
    </w:pPr>
    <w:rPr>
      <w:rFonts w:eastAsia="Times New Roman"/>
      <w:b/>
      <w:bCs/>
      <w:color w:val="auto"/>
      <w:lang w:eastAsia="lv-LV"/>
    </w:rPr>
  </w:style>
  <w:style w:type="paragraph" w:customStyle="1" w:styleId="naislab">
    <w:name w:val="naislab"/>
    <w:basedOn w:val="Normal"/>
    <w:rsid w:val="00CC7E7C"/>
    <w:pPr>
      <w:spacing w:before="80" w:after="80"/>
      <w:jc w:val="right"/>
    </w:pPr>
    <w:rPr>
      <w:rFonts w:eastAsia="Times New Roman"/>
      <w:color w:val="auto"/>
      <w:lang w:eastAsia="lv-LV"/>
    </w:rPr>
  </w:style>
  <w:style w:type="paragraph" w:customStyle="1" w:styleId="naiskr">
    <w:name w:val="naiskr"/>
    <w:basedOn w:val="Normal"/>
    <w:rsid w:val="00CC7E7C"/>
    <w:pPr>
      <w:spacing w:before="80" w:after="80"/>
    </w:pPr>
    <w:rPr>
      <w:rFonts w:eastAsia="Times New Roman"/>
      <w:color w:val="auto"/>
      <w:lang w:eastAsia="lv-LV"/>
    </w:rPr>
  </w:style>
  <w:style w:type="paragraph" w:customStyle="1" w:styleId="naisc">
    <w:name w:val="naisc"/>
    <w:basedOn w:val="Normal"/>
    <w:rsid w:val="00CC7E7C"/>
    <w:pPr>
      <w:spacing w:before="80" w:after="80"/>
      <w:jc w:val="center"/>
    </w:pPr>
    <w:rPr>
      <w:rFonts w:eastAsia="Times New Roman"/>
      <w:color w:val="auto"/>
      <w:lang w:eastAsia="lv-LV"/>
    </w:rPr>
  </w:style>
  <w:style w:type="paragraph" w:styleId="ListParagraph">
    <w:name w:val="List Paragraph"/>
    <w:basedOn w:val="Normal"/>
    <w:uiPriority w:val="34"/>
    <w:qFormat/>
    <w:rsid w:val="007A1604"/>
    <w:pPr>
      <w:ind w:left="720"/>
      <w:contextualSpacing/>
    </w:pPr>
  </w:style>
  <w:style w:type="paragraph" w:styleId="BodyTextIndent3">
    <w:name w:val="Body Text Indent 3"/>
    <w:basedOn w:val="Normal"/>
    <w:link w:val="BodyTextIndent3Char"/>
    <w:rsid w:val="004C7AEF"/>
    <w:pPr>
      <w:spacing w:after="120"/>
      <w:ind w:left="283"/>
    </w:pPr>
    <w:rPr>
      <w:rFonts w:eastAsia="Times New Roman"/>
      <w:color w:val="auto"/>
      <w:sz w:val="16"/>
      <w:szCs w:val="16"/>
      <w:lang w:val="en-US"/>
    </w:rPr>
  </w:style>
  <w:style w:type="character" w:customStyle="1" w:styleId="BodyTextIndent3Char">
    <w:name w:val="Body Text Indent 3 Char"/>
    <w:basedOn w:val="DefaultParagraphFont"/>
    <w:link w:val="BodyTextIndent3"/>
    <w:rsid w:val="004C7AEF"/>
    <w:rPr>
      <w:rFonts w:eastAsia="Times New Roman"/>
      <w:color w:val="auto"/>
      <w:sz w:val="16"/>
      <w:szCs w:val="16"/>
      <w:lang w:val="en-US"/>
    </w:rPr>
  </w:style>
  <w:style w:type="paragraph" w:styleId="Header">
    <w:name w:val="header"/>
    <w:basedOn w:val="Normal"/>
    <w:link w:val="HeaderChar"/>
    <w:uiPriority w:val="99"/>
    <w:unhideWhenUsed/>
    <w:rsid w:val="001048CD"/>
    <w:pPr>
      <w:tabs>
        <w:tab w:val="center" w:pos="4153"/>
        <w:tab w:val="right" w:pos="8306"/>
      </w:tabs>
    </w:pPr>
  </w:style>
  <w:style w:type="character" w:customStyle="1" w:styleId="HeaderChar">
    <w:name w:val="Header Char"/>
    <w:basedOn w:val="DefaultParagraphFont"/>
    <w:link w:val="Header"/>
    <w:uiPriority w:val="99"/>
    <w:rsid w:val="001048CD"/>
  </w:style>
  <w:style w:type="paragraph" w:styleId="Footer">
    <w:name w:val="footer"/>
    <w:basedOn w:val="Normal"/>
    <w:link w:val="FooterChar"/>
    <w:uiPriority w:val="99"/>
    <w:unhideWhenUsed/>
    <w:rsid w:val="001048CD"/>
    <w:pPr>
      <w:tabs>
        <w:tab w:val="center" w:pos="4153"/>
        <w:tab w:val="right" w:pos="8306"/>
      </w:tabs>
    </w:pPr>
  </w:style>
  <w:style w:type="character" w:customStyle="1" w:styleId="FooterChar">
    <w:name w:val="Footer Char"/>
    <w:basedOn w:val="DefaultParagraphFont"/>
    <w:link w:val="Footer"/>
    <w:uiPriority w:val="99"/>
    <w:rsid w:val="001048CD"/>
  </w:style>
  <w:style w:type="paragraph" w:styleId="BalloonText">
    <w:name w:val="Balloon Text"/>
    <w:basedOn w:val="Normal"/>
    <w:link w:val="BalloonTextChar"/>
    <w:uiPriority w:val="99"/>
    <w:semiHidden/>
    <w:unhideWhenUsed/>
    <w:rsid w:val="001048CD"/>
    <w:rPr>
      <w:rFonts w:ascii="Tahoma" w:hAnsi="Tahoma" w:cs="Tahoma"/>
      <w:sz w:val="16"/>
      <w:szCs w:val="16"/>
    </w:rPr>
  </w:style>
  <w:style w:type="character" w:customStyle="1" w:styleId="BalloonTextChar">
    <w:name w:val="Balloon Text Char"/>
    <w:basedOn w:val="DefaultParagraphFont"/>
    <w:link w:val="BalloonText"/>
    <w:uiPriority w:val="99"/>
    <w:semiHidden/>
    <w:rsid w:val="001048CD"/>
    <w:rPr>
      <w:rFonts w:ascii="Tahoma" w:hAnsi="Tahoma" w:cs="Tahoma"/>
      <w:sz w:val="16"/>
      <w:szCs w:val="16"/>
    </w:rPr>
  </w:style>
  <w:style w:type="character" w:styleId="CommentReference">
    <w:name w:val="annotation reference"/>
    <w:basedOn w:val="DefaultParagraphFont"/>
    <w:uiPriority w:val="99"/>
    <w:semiHidden/>
    <w:unhideWhenUsed/>
    <w:rsid w:val="0096371B"/>
    <w:rPr>
      <w:sz w:val="16"/>
      <w:szCs w:val="16"/>
    </w:rPr>
  </w:style>
  <w:style w:type="paragraph" w:styleId="CommentText">
    <w:name w:val="annotation text"/>
    <w:basedOn w:val="Normal"/>
    <w:link w:val="CommentTextChar"/>
    <w:uiPriority w:val="99"/>
    <w:semiHidden/>
    <w:unhideWhenUsed/>
    <w:rsid w:val="0096371B"/>
    <w:rPr>
      <w:sz w:val="20"/>
      <w:szCs w:val="20"/>
    </w:rPr>
  </w:style>
  <w:style w:type="character" w:customStyle="1" w:styleId="CommentTextChar">
    <w:name w:val="Comment Text Char"/>
    <w:basedOn w:val="DefaultParagraphFont"/>
    <w:link w:val="CommentText"/>
    <w:uiPriority w:val="99"/>
    <w:semiHidden/>
    <w:rsid w:val="0096371B"/>
    <w:rPr>
      <w:sz w:val="20"/>
      <w:szCs w:val="20"/>
    </w:rPr>
  </w:style>
  <w:style w:type="paragraph" w:styleId="CommentSubject">
    <w:name w:val="annotation subject"/>
    <w:basedOn w:val="CommentText"/>
    <w:next w:val="CommentText"/>
    <w:link w:val="CommentSubjectChar"/>
    <w:uiPriority w:val="99"/>
    <w:semiHidden/>
    <w:unhideWhenUsed/>
    <w:rsid w:val="0096371B"/>
    <w:rPr>
      <w:b/>
      <w:bCs/>
    </w:rPr>
  </w:style>
  <w:style w:type="character" w:customStyle="1" w:styleId="CommentSubjectChar">
    <w:name w:val="Comment Subject Char"/>
    <w:basedOn w:val="CommentTextChar"/>
    <w:link w:val="CommentSubject"/>
    <w:uiPriority w:val="99"/>
    <w:semiHidden/>
    <w:rsid w:val="0096371B"/>
    <w:rPr>
      <w:b/>
      <w:bCs/>
    </w:rPr>
  </w:style>
</w:styles>
</file>

<file path=word/webSettings.xml><?xml version="1.0" encoding="utf-8"?>
<w:webSettings xmlns:r="http://schemas.openxmlformats.org/officeDocument/2006/relationships" xmlns:w="http://schemas.openxmlformats.org/wordprocessingml/2006/main">
  <w:divs>
    <w:div w:id="15450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B6BA-C966-4679-AC80-8D23DAB8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1788</Words>
  <Characters>12266</Characters>
  <Application>Microsoft Office Word</Application>
  <DocSecurity>0</DocSecurity>
  <Lines>613</Lines>
  <Paragraphs>260</Paragraphs>
  <ScaleCrop>false</ScaleCrop>
  <HeadingPairs>
    <vt:vector size="2" baseType="variant">
      <vt:variant>
        <vt:lpstr>Title</vt:lpstr>
      </vt:variant>
      <vt:variant>
        <vt:i4>1</vt:i4>
      </vt:variant>
    </vt:vector>
  </HeadingPairs>
  <TitlesOfParts>
    <vt:vector size="1" baseType="lpstr">
      <vt:lpstr>Rīkojuma projekts „Par obligāti piemērojamo Latvijas nacionālo standartu tulkošanu”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obligāti piemērojamo Latvijas nacionālo standartu tulkošanu” </dc:title>
  <dc:subject>Rīkojuma projekta „Par obligāti piemērojamo Latvijas nacionālo standartu tulkošanu” sākotnējās ietekmes novērtējuma ziņojums (anotācija)</dc:subject>
  <dc:creator>Lana Maslova</dc:creator>
  <cp:keywords/>
  <dc:description/>
  <cp:lastModifiedBy>lanam</cp:lastModifiedBy>
  <cp:revision>29</cp:revision>
  <cp:lastPrinted>2011-01-14T12:02:00Z</cp:lastPrinted>
  <dcterms:created xsi:type="dcterms:W3CDTF">2010-12-02T14:11:00Z</dcterms:created>
  <dcterms:modified xsi:type="dcterms:W3CDTF">2011-01-14T12:06:00Z</dcterms:modified>
</cp:coreProperties>
</file>