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4" w:rsidRPr="00C702D0" w:rsidRDefault="00D23877" w:rsidP="006D0A5D">
      <w:pPr>
        <w:jc w:val="center"/>
        <w:rPr>
          <w:b/>
          <w:caps/>
        </w:rPr>
      </w:pPr>
      <w:r w:rsidRPr="00C702D0">
        <w:rPr>
          <w:b/>
          <w:caps/>
        </w:rPr>
        <w:t xml:space="preserve">Informatīvais </w:t>
      </w:r>
      <w:smartTag w:uri="schemas-tilde-lv/tildestengine" w:element="veidnes">
        <w:smartTagPr>
          <w:attr w:name="id" w:val="-1"/>
          <w:attr w:name="baseform" w:val="ziņojums"/>
          <w:attr w:name="text" w:val="ziņojums"/>
        </w:smartTagPr>
        <w:r w:rsidRPr="00C702D0">
          <w:rPr>
            <w:b/>
            <w:caps/>
          </w:rPr>
          <w:t>ziņojums</w:t>
        </w:r>
      </w:smartTag>
    </w:p>
    <w:p w:rsidR="00D23877" w:rsidRPr="00C702D0" w:rsidRDefault="00D23877" w:rsidP="006D0A5D">
      <w:pPr>
        <w:pStyle w:val="BodyTextIndent"/>
        <w:ind w:firstLine="0"/>
        <w:jc w:val="center"/>
        <w:rPr>
          <w:sz w:val="24"/>
          <w:szCs w:val="24"/>
        </w:rPr>
      </w:pPr>
      <w:r w:rsidRPr="00C702D0">
        <w:rPr>
          <w:sz w:val="24"/>
          <w:szCs w:val="24"/>
        </w:rPr>
        <w:t xml:space="preserve">„Par </w:t>
      </w:r>
      <w:r w:rsidR="002F1A3F" w:rsidRPr="00C702D0">
        <w:rPr>
          <w:sz w:val="24"/>
          <w:szCs w:val="24"/>
        </w:rPr>
        <w:t>2013.gada</w:t>
      </w:r>
      <w:r w:rsidR="0011435E" w:rsidRPr="00C702D0">
        <w:rPr>
          <w:sz w:val="24"/>
          <w:szCs w:val="24"/>
        </w:rPr>
        <w:t xml:space="preserve"> 14.oktobrī</w:t>
      </w:r>
      <w:r w:rsidR="002F1A3F" w:rsidRPr="00C702D0">
        <w:rPr>
          <w:sz w:val="24"/>
          <w:szCs w:val="24"/>
        </w:rPr>
        <w:t xml:space="preserve"> </w:t>
      </w:r>
      <w:r w:rsidRPr="00C702D0">
        <w:rPr>
          <w:sz w:val="24"/>
          <w:szCs w:val="24"/>
        </w:rPr>
        <w:t xml:space="preserve">Eiropas Savienības </w:t>
      </w:r>
      <w:r w:rsidR="00E222E4" w:rsidRPr="00C702D0">
        <w:rPr>
          <w:sz w:val="24"/>
          <w:szCs w:val="24"/>
        </w:rPr>
        <w:t xml:space="preserve">Vides </w:t>
      </w:r>
      <w:r w:rsidRPr="00C702D0">
        <w:rPr>
          <w:sz w:val="24"/>
          <w:szCs w:val="24"/>
        </w:rPr>
        <w:t>padom</w:t>
      </w:r>
      <w:r w:rsidR="002F1A3F" w:rsidRPr="00C702D0">
        <w:rPr>
          <w:sz w:val="24"/>
          <w:szCs w:val="24"/>
        </w:rPr>
        <w:t>ē izskatāmajiem jautājumiem</w:t>
      </w:r>
      <w:r w:rsidRPr="00C702D0">
        <w:rPr>
          <w:sz w:val="24"/>
          <w:szCs w:val="24"/>
        </w:rPr>
        <w:t>”</w:t>
      </w:r>
    </w:p>
    <w:p w:rsidR="00BF7CA9" w:rsidRPr="00C702D0" w:rsidRDefault="00BF7CA9" w:rsidP="006D0A5D">
      <w:pPr>
        <w:jc w:val="both"/>
      </w:pPr>
    </w:p>
    <w:p w:rsidR="003A64B6" w:rsidRPr="00C702D0" w:rsidRDefault="00D17744" w:rsidP="006D0A5D">
      <w:pPr>
        <w:pStyle w:val="Titreobjet"/>
        <w:spacing w:before="0" w:after="0"/>
        <w:ind w:firstLine="720"/>
        <w:jc w:val="both"/>
        <w:rPr>
          <w:b w:val="0"/>
          <w:noProof/>
        </w:rPr>
      </w:pPr>
      <w:r w:rsidRPr="00C702D0">
        <w:rPr>
          <w:b w:val="0"/>
        </w:rPr>
        <w:t xml:space="preserve">Informatīvais ziņojums sagatavots par Vides aizsardzības un reģionālās attīstības ministrijas </w:t>
      </w:r>
      <w:r w:rsidR="0011435E" w:rsidRPr="00C702D0">
        <w:rPr>
          <w:b w:val="0"/>
        </w:rPr>
        <w:t xml:space="preserve">un Satiksmes ministrijas </w:t>
      </w:r>
      <w:r w:rsidRPr="00C702D0">
        <w:rPr>
          <w:b w:val="0"/>
        </w:rPr>
        <w:t>kompetencē esošiem jautājumiem.</w:t>
      </w:r>
    </w:p>
    <w:p w:rsidR="00CF0340" w:rsidRPr="00C702D0" w:rsidRDefault="00CF0340" w:rsidP="006D0A5D">
      <w:pPr>
        <w:ind w:firstLine="567"/>
        <w:jc w:val="both"/>
        <w:rPr>
          <w:b/>
          <w:i/>
        </w:rPr>
      </w:pPr>
    </w:p>
    <w:p w:rsidR="006D1E27" w:rsidRPr="00C702D0" w:rsidRDefault="006D1E27" w:rsidP="006D0A5D">
      <w:pPr>
        <w:jc w:val="both"/>
        <w:rPr>
          <w:b/>
          <w:u w:val="single"/>
        </w:rPr>
      </w:pPr>
      <w:r w:rsidRPr="00C702D0">
        <w:rPr>
          <w:b/>
          <w:u w:val="single"/>
        </w:rPr>
        <w:t>Latvijas viedoklis par sanāksmes laikā diskutējamiem jautājumiem</w:t>
      </w:r>
    </w:p>
    <w:p w:rsidR="0071747E" w:rsidRPr="00C702D0" w:rsidRDefault="0071747E" w:rsidP="006D0A5D">
      <w:pPr>
        <w:jc w:val="both"/>
        <w:rPr>
          <w:b/>
          <w:u w:val="single"/>
        </w:rPr>
      </w:pPr>
    </w:p>
    <w:p w:rsidR="006D1E27" w:rsidRPr="00C702D0" w:rsidRDefault="00131BCB" w:rsidP="006D0A5D">
      <w:pPr>
        <w:jc w:val="both"/>
        <w:rPr>
          <w:u w:val="single"/>
        </w:rPr>
      </w:pPr>
      <w:r w:rsidRPr="00C702D0">
        <w:rPr>
          <w:u w:val="single"/>
        </w:rPr>
        <w:t>Leģislatīvie akti:</w:t>
      </w:r>
    </w:p>
    <w:p w:rsidR="006D1E27" w:rsidRPr="00C702D0" w:rsidRDefault="006D1E27" w:rsidP="006D0A5D">
      <w:pPr>
        <w:jc w:val="both"/>
        <w:rPr>
          <w:b/>
          <w:i/>
          <w:u w:val="single"/>
        </w:rPr>
      </w:pPr>
      <w:r w:rsidRPr="00C702D0">
        <w:rPr>
          <w:rStyle w:val="Strong"/>
          <w:color w:val="000000"/>
        </w:rPr>
        <w:t>1.</w:t>
      </w:r>
      <w:r w:rsidR="00553DAB" w:rsidRPr="00C702D0">
        <w:rPr>
          <w:rStyle w:val="Strong"/>
          <w:color w:val="000000"/>
        </w:rPr>
        <w:t xml:space="preserve"> </w:t>
      </w:r>
      <w:r w:rsidR="00673E47" w:rsidRPr="00C702D0">
        <w:rPr>
          <w:rStyle w:val="Strong"/>
          <w:color w:val="000000"/>
        </w:rPr>
        <w:t>Priekšlikums</w:t>
      </w:r>
      <w:r w:rsidR="00673E47" w:rsidRPr="00C702D0">
        <w:rPr>
          <w:rStyle w:val="Strong"/>
          <w:b w:val="0"/>
          <w:color w:val="000000"/>
        </w:rPr>
        <w:t xml:space="preserve"> </w:t>
      </w:r>
      <w:r w:rsidR="00673E47" w:rsidRPr="00C702D0">
        <w:rPr>
          <w:b/>
        </w:rPr>
        <w:t xml:space="preserve">Eiropas Parlamenta un Padomes regulai, ar ko groza regulu Nr.1013/2006 par atkritumu sūtījumiem </w:t>
      </w:r>
      <w:r w:rsidRPr="00C702D0">
        <w:rPr>
          <w:b/>
        </w:rPr>
        <w:t>(</w:t>
      </w:r>
      <w:r w:rsidRPr="00C702D0">
        <w:rPr>
          <w:b/>
          <w:bCs/>
        </w:rPr>
        <w:t>pirmais lasījums</w:t>
      </w:r>
      <w:r w:rsidRPr="00C702D0">
        <w:rPr>
          <w:b/>
        </w:rPr>
        <w:t xml:space="preserve">) Starpiestāžu lieta: </w:t>
      </w:r>
      <w:r w:rsidR="00673E47" w:rsidRPr="00C702D0">
        <w:rPr>
          <w:b/>
        </w:rPr>
        <w:t>2013/0239 (COD) (</w:t>
      </w:r>
      <w:r w:rsidR="00673E47" w:rsidRPr="00C702D0">
        <w:rPr>
          <w:b/>
          <w:i/>
        </w:rPr>
        <w:t>diskusija viedokļu noskaidrošanai</w:t>
      </w:r>
      <w:r w:rsidR="00673E47" w:rsidRPr="00C702D0">
        <w:rPr>
          <w:b/>
        </w:rPr>
        <w:t>)</w:t>
      </w:r>
    </w:p>
    <w:p w:rsidR="00D605D4" w:rsidRPr="00C702D0" w:rsidRDefault="006D1E27" w:rsidP="006D0A5D">
      <w:pPr>
        <w:ind w:firstLine="567"/>
        <w:jc w:val="both"/>
        <w:rPr>
          <w:i/>
          <w:color w:val="000000"/>
        </w:rPr>
      </w:pPr>
      <w:r w:rsidRPr="00C702D0">
        <w:rPr>
          <w:i/>
          <w:color w:val="000000"/>
        </w:rPr>
        <w:t xml:space="preserve"> </w:t>
      </w:r>
      <w:r w:rsidR="00673E47" w:rsidRPr="00C702D0">
        <w:rPr>
          <w:i/>
          <w:color w:val="000000"/>
        </w:rPr>
        <w:t>Sagaidāms, ka tiks noskaidrots m</w:t>
      </w:r>
      <w:r w:rsidRPr="00C702D0">
        <w:rPr>
          <w:i/>
          <w:color w:val="000000"/>
        </w:rPr>
        <w:t>inistr</w:t>
      </w:r>
      <w:r w:rsidR="00673E47" w:rsidRPr="00C702D0">
        <w:rPr>
          <w:i/>
          <w:color w:val="000000"/>
        </w:rPr>
        <w:t xml:space="preserve">u viedoklis par regulas projekta </w:t>
      </w:r>
      <w:r w:rsidRPr="00C702D0">
        <w:rPr>
          <w:i/>
          <w:color w:val="000000"/>
        </w:rPr>
        <w:t>virzīb</w:t>
      </w:r>
      <w:r w:rsidR="00673E47" w:rsidRPr="00C702D0">
        <w:rPr>
          <w:i/>
          <w:color w:val="000000"/>
        </w:rPr>
        <w:t>u</w:t>
      </w:r>
      <w:r w:rsidRPr="00C702D0">
        <w:rPr>
          <w:i/>
          <w:color w:val="000000"/>
        </w:rPr>
        <w:t xml:space="preserve"> Eiropas Savienības</w:t>
      </w:r>
      <w:r w:rsidR="00777DFC" w:rsidRPr="00C702D0">
        <w:rPr>
          <w:i/>
          <w:color w:val="000000"/>
        </w:rPr>
        <w:t xml:space="preserve"> (turpmāk- ES)</w:t>
      </w:r>
      <w:r w:rsidRPr="00C702D0">
        <w:rPr>
          <w:i/>
          <w:color w:val="000000"/>
        </w:rPr>
        <w:t xml:space="preserve"> Padomes darba grupā. </w:t>
      </w:r>
    </w:p>
    <w:p w:rsidR="00942C12" w:rsidRPr="00C702D0" w:rsidRDefault="00177579" w:rsidP="006D0A5D">
      <w:pPr>
        <w:jc w:val="both"/>
        <w:rPr>
          <w:noProof/>
        </w:rPr>
      </w:pPr>
      <w:r w:rsidRPr="00C702D0">
        <w:rPr>
          <w:noProof/>
        </w:rPr>
        <w:tab/>
      </w:r>
      <w:r w:rsidR="00942C12" w:rsidRPr="00C702D0">
        <w:rPr>
          <w:noProof/>
        </w:rPr>
        <w:t>Atkritumu sūtījumu regula (Regula (EK) Nr. 1013/2006</w:t>
      </w:r>
      <w:r w:rsidR="00942C12" w:rsidRPr="00C702D0">
        <w:rPr>
          <w:rStyle w:val="FootnoteReference"/>
          <w:noProof/>
        </w:rPr>
        <w:footnoteReference w:id="1"/>
      </w:r>
      <w:r w:rsidR="00942C12" w:rsidRPr="00C702D0">
        <w:rPr>
          <w:noProof/>
        </w:rPr>
        <w:t>, turpmāk -ASR) vides aizsardzības nolūkā paredz prasības atkritumu sūtījumiem gan starp ES dalībvalstīm, gan starp ES un trešām valstīm. ASR noteikumi par bīstamajiem atkritumiem ir stingrāki nekā par nebīstamajiem atkritumiem. ASR arī pārņem no Bāzeles konvencijas par atkritumu pārvadājumiem prasības, t.sk. visa veida bīstamo atkritumu eksporta aizliegumu uz valstīm, kuras nav ESAO dalībvalstis. Nebīstamos atkritumus var eksportēt reģenerācijai ārpus ESAO ar nosacījumu, ka tie tiks apstrādāti videi drošā veidā.</w:t>
      </w:r>
    </w:p>
    <w:p w:rsidR="00942C12" w:rsidRPr="00C702D0" w:rsidRDefault="00942C12" w:rsidP="006D0A5D">
      <w:pPr>
        <w:jc w:val="both"/>
        <w:rPr>
          <w:noProof/>
        </w:rPr>
      </w:pPr>
      <w:r w:rsidRPr="00C702D0">
        <w:rPr>
          <w:noProof/>
        </w:rPr>
        <w:tab/>
        <w:t xml:space="preserve">Eiropas Komisija nākusi klajā ar priekšlikumu ASR grozījumiem, kuru mērķis ir pielāgot ASR prasības ar Līguma par Eiropas Savienību procedurālajām prasībām un stiprināt atkritumu pārvadājumu kotroli, paredzot vienotas prasības atkritumu pārvadājumu inspekciju plānošanai un sūtījumu likumības pārbaudīšanai un pierādīšanai. </w:t>
      </w:r>
    </w:p>
    <w:p w:rsidR="00942C12" w:rsidRPr="00C702D0" w:rsidRDefault="004A75CE" w:rsidP="006D0A5D">
      <w:pPr>
        <w:ind w:firstLine="720"/>
        <w:jc w:val="both"/>
        <w:rPr>
          <w:noProof/>
        </w:rPr>
      </w:pPr>
      <w:r w:rsidRPr="00C702D0">
        <w:t>Latvija kopumā pozitīvi vērtē centienus uzlabot atkritumu pārvadājumu kontroles sistēmu.</w:t>
      </w:r>
      <w:r w:rsidR="00E4082A">
        <w:t xml:space="preserve"> </w:t>
      </w:r>
      <w:r w:rsidR="00942C12" w:rsidRPr="00C702D0">
        <w:rPr>
          <w:noProof/>
        </w:rPr>
        <w:t>Ministru padomē paredzēta viedokļu apmaiņa, balstoties uz Prezidentvalsts sagatavotajiem jautājumiem.</w:t>
      </w:r>
      <w:r>
        <w:rPr>
          <w:noProof/>
        </w:rPr>
        <w:t xml:space="preserve"> </w:t>
      </w:r>
    </w:p>
    <w:p w:rsidR="00A46635" w:rsidRPr="00A46635" w:rsidRDefault="00A46635" w:rsidP="006D0A5D">
      <w:pPr>
        <w:jc w:val="both"/>
        <w:rPr>
          <w:i/>
        </w:rPr>
      </w:pPr>
      <w:r w:rsidRPr="00A46635">
        <w:rPr>
          <w:i/>
        </w:rPr>
        <w:t>Diskusiju jautājumi:</w:t>
      </w:r>
    </w:p>
    <w:p w:rsidR="00A46635" w:rsidRDefault="00A46635" w:rsidP="006D0A5D">
      <w:pPr>
        <w:widowControl w:val="0"/>
        <w:ind w:firstLine="567"/>
        <w:jc w:val="both"/>
        <w:rPr>
          <w:i/>
          <w:szCs w:val="20"/>
        </w:rPr>
      </w:pPr>
      <w:r w:rsidRPr="00554D93">
        <w:rPr>
          <w:i/>
          <w:szCs w:val="20"/>
        </w:rPr>
        <w:t>Vai dalībvalstis uzskata, ka priekšlikuma tvērums ir atbilst</w:t>
      </w:r>
      <w:r>
        <w:rPr>
          <w:i/>
          <w:szCs w:val="20"/>
        </w:rPr>
        <w:t xml:space="preserve">īgs? </w:t>
      </w:r>
    </w:p>
    <w:p w:rsidR="00A46635" w:rsidRDefault="00A46635" w:rsidP="006D0A5D">
      <w:pPr>
        <w:jc w:val="both"/>
      </w:pPr>
      <w:r>
        <w:tab/>
      </w:r>
      <w:r w:rsidR="0071194A" w:rsidRPr="004E0A86">
        <w:t>Latvija piekrīt, ka ir nepieciešams uzlabot atkritumu sūtījumu kontroli. Regulas projekts varētu būt piemērots risinājums atkritumu sūtījumu kontroles uzlabošanai, tāpēc varam atbalstīt tādus regulas elementus, kas uzlabo kompetento iestāžu iespējas veikt atkritumu sūtījumu kontroles un nepieciešamības gadījumā iegūt arī papildus pierādījumus</w:t>
      </w:r>
      <w:r>
        <w:t>.</w:t>
      </w:r>
    </w:p>
    <w:p w:rsidR="00A46635" w:rsidRPr="00554D93" w:rsidRDefault="00A46635" w:rsidP="006D0A5D">
      <w:pPr>
        <w:widowControl w:val="0"/>
        <w:jc w:val="both"/>
        <w:rPr>
          <w:i/>
          <w:szCs w:val="20"/>
        </w:rPr>
      </w:pPr>
    </w:p>
    <w:p w:rsidR="00A46635" w:rsidRPr="00B31311" w:rsidRDefault="00A46635" w:rsidP="006D0A5D">
      <w:pPr>
        <w:widowControl w:val="0"/>
        <w:ind w:firstLine="567"/>
        <w:jc w:val="both"/>
        <w:rPr>
          <w:i/>
        </w:rPr>
      </w:pPr>
      <w:r w:rsidRPr="00B31311">
        <w:rPr>
          <w:i/>
          <w:szCs w:val="20"/>
        </w:rPr>
        <w:t>Vai dalībvalstis uzskata, ka priekšlikumā ir ietverts pareizs līdzsvars starp minimālu vienlīdzīgu un vienveidīgu prasību nodrošināšanu un pietiekamas elastības atļau</w:t>
      </w:r>
      <w:r>
        <w:rPr>
          <w:i/>
          <w:szCs w:val="20"/>
        </w:rPr>
        <w:t>šanu?</w:t>
      </w:r>
    </w:p>
    <w:p w:rsidR="00A46635" w:rsidRPr="00C702D0" w:rsidRDefault="00A46635" w:rsidP="006D0A5D">
      <w:pPr>
        <w:jc w:val="both"/>
      </w:pPr>
      <w:r>
        <w:tab/>
      </w:r>
      <w:r w:rsidRPr="0015330C">
        <w:t xml:space="preserve">Latvija </w:t>
      </w:r>
      <w:r>
        <w:t>kopumā pozitīvi vērtē centienus uzlabot atkritumu pārvadājumu kontroles sistēmu</w:t>
      </w:r>
      <w:r w:rsidRPr="0015330C">
        <w:t xml:space="preserve">. </w:t>
      </w:r>
      <w:r>
        <w:t>Vienlaikus svarīgi nodrošināt līdzsvaru starp prasību saskaņošanu ES līmenī un pietiekošu elastību dalībvalstīm, lai tiktu respektētas nacionālo situāciju atšķirības. Dalībvalstīs ir atšķirīgas atkritumu sūtījumu struktūra un kontroles sistēmas, tādēļ</w:t>
      </w:r>
      <w:r w:rsidRPr="0015330C">
        <w:t xml:space="preserve"> Latvija ir atturīga </w:t>
      </w:r>
      <w:r>
        <w:t xml:space="preserve">par priekšlikumu noteikt obligātu atsevišķa atkritumu kontroles un inspekciju plāna izstrādi un detalizētus tā satura elementus. Ņemot vērā </w:t>
      </w:r>
      <w:r w:rsidRPr="0015330C">
        <w:t>Latvija</w:t>
      </w:r>
      <w:r>
        <w:t>s relatīvi nelielo atkritumu pārvadājumu sūtījumu apjomu un kontroles sistēmas kapacitāti, šāda</w:t>
      </w:r>
      <w:r w:rsidRPr="0015330C">
        <w:t xml:space="preserve"> </w:t>
      </w:r>
      <w:r>
        <w:t>prasība radīs</w:t>
      </w:r>
      <w:r w:rsidRPr="0015330C">
        <w:t xml:space="preserve"> ievērojam</w:t>
      </w:r>
      <w:r>
        <w:t>u</w:t>
      </w:r>
      <w:r w:rsidRPr="0015330C">
        <w:t xml:space="preserve"> administratīv</w:t>
      </w:r>
      <w:r>
        <w:t>o</w:t>
      </w:r>
      <w:r w:rsidRPr="0015330C">
        <w:t xml:space="preserve"> slog</w:t>
      </w:r>
      <w:r>
        <w:t>u bez pietiekošas pozitīvās ietekmes</w:t>
      </w:r>
      <w:r w:rsidRPr="0015330C">
        <w:t xml:space="preserve">. </w:t>
      </w:r>
      <w:r>
        <w:t xml:space="preserve">Šobrīd </w:t>
      </w:r>
      <w:r w:rsidRPr="0015330C">
        <w:t>Latvijā atkritumu sūtījumu kontrole ir iekļauta vispārējās inspekcijās un pārbaudēs</w:t>
      </w:r>
      <w:r w:rsidRPr="00EA29BE">
        <w:t xml:space="preserve"> </w:t>
      </w:r>
      <w:r>
        <w:t>atkritumu apsaimniekošanas jomā</w:t>
      </w:r>
      <w:r w:rsidRPr="0015330C">
        <w:t xml:space="preserve">, kas </w:t>
      </w:r>
      <w:r w:rsidRPr="0015330C">
        <w:lastRenderedPageBreak/>
        <w:t>tiek veiktas atbilstoši Eiropas Parlamenta un Padomes 2008.gada 19.novembra direktīvai 2008/98/EK par atkritumiem 34.pantam.</w:t>
      </w:r>
    </w:p>
    <w:p w:rsidR="00942C12" w:rsidRPr="00C702D0" w:rsidRDefault="00942C12" w:rsidP="006D0A5D">
      <w:pPr>
        <w:jc w:val="both"/>
        <w:rPr>
          <w:b/>
        </w:rPr>
      </w:pPr>
    </w:p>
    <w:p w:rsidR="0071747E" w:rsidRPr="00C702D0" w:rsidRDefault="00131BCB" w:rsidP="006D0A5D">
      <w:pPr>
        <w:jc w:val="both"/>
        <w:rPr>
          <w:b/>
          <w:noProof/>
        </w:rPr>
      </w:pPr>
      <w:r w:rsidRPr="00C702D0">
        <w:rPr>
          <w:b/>
        </w:rPr>
        <w:t xml:space="preserve">2. </w:t>
      </w:r>
      <w:r w:rsidR="0071747E" w:rsidRPr="00C702D0">
        <w:rPr>
          <w:b/>
        </w:rPr>
        <w:t xml:space="preserve">Priekšlikums Eiropas Parlamenta un Padomes Regulai, </w:t>
      </w:r>
      <w:r w:rsidR="0071747E" w:rsidRPr="00C702D0">
        <w:rPr>
          <w:b/>
          <w:noProof/>
        </w:rPr>
        <w:t>ar ko groza Regulu (EK) Nr. 443/2009, lai noteiktu kārtību, kādā jāsasniedz jaunu vieglo automobiļu radīto CO</w:t>
      </w:r>
      <w:r w:rsidR="0071747E" w:rsidRPr="00C702D0">
        <w:rPr>
          <w:b/>
          <w:noProof/>
          <w:vertAlign w:val="subscript"/>
        </w:rPr>
        <w:t>2</w:t>
      </w:r>
      <w:r w:rsidR="0071747E" w:rsidRPr="00C702D0">
        <w:rPr>
          <w:b/>
          <w:noProof/>
        </w:rPr>
        <w:t xml:space="preserve"> emisiju samazināšanas mērķis 2020.gadam </w:t>
      </w:r>
      <w:r w:rsidR="00EA031A" w:rsidRPr="00C702D0">
        <w:rPr>
          <w:b/>
          <w:noProof/>
        </w:rPr>
        <w:t>(</w:t>
      </w:r>
      <w:r w:rsidR="00FB4FCF" w:rsidRPr="00C702D0">
        <w:rPr>
          <w:b/>
          <w:noProof/>
        </w:rPr>
        <w:t>g</w:t>
      </w:r>
      <w:r w:rsidR="0071747E" w:rsidRPr="00C702D0">
        <w:rPr>
          <w:b/>
          <w:noProof/>
        </w:rPr>
        <w:t>ala kompromisa redakcijas izskatīšana, lai panāktu vienošanos</w:t>
      </w:r>
      <w:r w:rsidR="00EA031A" w:rsidRPr="00C702D0">
        <w:rPr>
          <w:b/>
          <w:noProof/>
        </w:rPr>
        <w:t>)</w:t>
      </w:r>
      <w:r w:rsidR="0071747E" w:rsidRPr="00C702D0">
        <w:rPr>
          <w:b/>
          <w:noProof/>
        </w:rPr>
        <w:t>.</w:t>
      </w:r>
    </w:p>
    <w:p w:rsidR="0071747E" w:rsidRPr="00C702D0" w:rsidRDefault="0071747E" w:rsidP="006D0A5D">
      <w:pPr>
        <w:autoSpaceDE w:val="0"/>
        <w:autoSpaceDN w:val="0"/>
        <w:adjustRightInd w:val="0"/>
        <w:ind w:firstLine="720"/>
        <w:jc w:val="both"/>
        <w:rPr>
          <w:noProof/>
        </w:rPr>
      </w:pPr>
      <w:r w:rsidRPr="00C702D0">
        <w:rPr>
          <w:noProof/>
        </w:rPr>
        <w:t xml:space="preserve">Regulas projekts paredz grozīt Regulu (EK) Nr.443/2009, lai noteiktu kārtību, kādā līdz 2020. gadam jāsasniedz </w:t>
      </w:r>
      <w:r w:rsidRPr="00C702D0">
        <w:rPr>
          <w:noProof/>
          <w:u w:val="single"/>
        </w:rPr>
        <w:t>jaunu vieglo automobiļu</w:t>
      </w:r>
      <w:r w:rsidRPr="00C702D0">
        <w:rPr>
          <w:noProof/>
        </w:rPr>
        <w:t xml:space="preserve"> radīto CO</w:t>
      </w:r>
      <w:r w:rsidRPr="00C702D0">
        <w:rPr>
          <w:noProof/>
          <w:vertAlign w:val="subscript"/>
        </w:rPr>
        <w:t>2</w:t>
      </w:r>
      <w:r w:rsidRPr="00C702D0">
        <w:rPr>
          <w:noProof/>
        </w:rPr>
        <w:t xml:space="preserve"> emisiju samazināšanas mērķis 95 g CO</w:t>
      </w:r>
      <w:r w:rsidRPr="00C702D0">
        <w:rPr>
          <w:noProof/>
          <w:vertAlign w:val="subscript"/>
        </w:rPr>
        <w:t>2</w:t>
      </w:r>
      <w:r w:rsidRPr="00C702D0">
        <w:rPr>
          <w:noProof/>
        </w:rPr>
        <w:t>/km.</w:t>
      </w:r>
    </w:p>
    <w:p w:rsidR="0071747E" w:rsidRPr="00C702D0" w:rsidRDefault="0071747E" w:rsidP="006D0A5D">
      <w:pPr>
        <w:ind w:firstLine="720"/>
        <w:jc w:val="both"/>
        <w:rPr>
          <w:rFonts w:eastAsia="TimesNewRoman"/>
          <w:i/>
        </w:rPr>
      </w:pPr>
      <w:r w:rsidRPr="00C702D0">
        <w:rPr>
          <w:rFonts w:eastAsia="TimesNewRoman"/>
        </w:rPr>
        <w:t>Ministru padomē plānots apstiprināt gala kompromisu Regulas projekt</w:t>
      </w:r>
      <w:r w:rsidR="0066344B">
        <w:rPr>
          <w:rFonts w:eastAsia="TimesNewRoman"/>
        </w:rPr>
        <w:t>a</w:t>
      </w:r>
      <w:r w:rsidRPr="00C702D0">
        <w:rPr>
          <w:rFonts w:eastAsia="TimesNewRoman"/>
        </w:rPr>
        <w:t xml:space="preserve">m. </w:t>
      </w:r>
    </w:p>
    <w:p w:rsidR="003C3B9E" w:rsidRPr="00C702D0" w:rsidRDefault="0015330C" w:rsidP="006D0A5D">
      <w:pPr>
        <w:pStyle w:val="Titreobjet"/>
        <w:spacing w:before="0" w:after="0"/>
        <w:jc w:val="both"/>
        <w:rPr>
          <w:b w:val="0"/>
        </w:rPr>
      </w:pPr>
      <w:r w:rsidRPr="00C702D0">
        <w:rPr>
          <w:b w:val="0"/>
        </w:rPr>
        <w:tab/>
      </w:r>
      <w:r w:rsidR="0071747E" w:rsidRPr="00C702D0">
        <w:rPr>
          <w:b w:val="0"/>
        </w:rPr>
        <w:t>Latvija atbalsta Prezidentūras sagatavot</w:t>
      </w:r>
      <w:r w:rsidR="0066344B">
        <w:rPr>
          <w:b w:val="0"/>
        </w:rPr>
        <w:t>o</w:t>
      </w:r>
      <w:r w:rsidR="0071747E" w:rsidRPr="00C702D0">
        <w:rPr>
          <w:b w:val="0"/>
        </w:rPr>
        <w:t xml:space="preserve"> kompromisa priekšlikum</w:t>
      </w:r>
      <w:r w:rsidR="0066344B">
        <w:rPr>
          <w:b w:val="0"/>
        </w:rPr>
        <w:t>a</w:t>
      </w:r>
      <w:r w:rsidR="0071747E" w:rsidRPr="00C702D0">
        <w:rPr>
          <w:b w:val="0"/>
        </w:rPr>
        <w:t xml:space="preserve"> gala redakcij</w:t>
      </w:r>
      <w:r w:rsidR="0066344B">
        <w:rPr>
          <w:b w:val="0"/>
        </w:rPr>
        <w:t>u</w:t>
      </w:r>
      <w:r w:rsidR="0071747E" w:rsidRPr="00C702D0">
        <w:rPr>
          <w:b w:val="0"/>
        </w:rPr>
        <w:t xml:space="preserve"> un atbalsta vienošanās panākšanu 1.lasījumā</w:t>
      </w:r>
      <w:proofErr w:type="gramStart"/>
      <w:r w:rsidR="0071747E" w:rsidRPr="00C702D0">
        <w:rPr>
          <w:b w:val="0"/>
        </w:rPr>
        <w:t xml:space="preserve">  </w:t>
      </w:r>
      <w:proofErr w:type="gramEnd"/>
      <w:r w:rsidR="0071747E" w:rsidRPr="00C702D0">
        <w:rPr>
          <w:b w:val="0"/>
        </w:rPr>
        <w:t>par priekšlikum</w:t>
      </w:r>
      <w:r w:rsidR="0066344B">
        <w:rPr>
          <w:b w:val="0"/>
        </w:rPr>
        <w:t>u</w:t>
      </w:r>
      <w:r w:rsidR="0071747E" w:rsidRPr="00C702D0">
        <w:rPr>
          <w:b w:val="0"/>
        </w:rPr>
        <w:t>.</w:t>
      </w:r>
    </w:p>
    <w:p w:rsidR="005434B7" w:rsidRPr="00C702D0" w:rsidRDefault="005434B7" w:rsidP="006D0A5D">
      <w:pPr>
        <w:jc w:val="both"/>
        <w:rPr>
          <w:lang w:eastAsia="en-GB"/>
        </w:rPr>
      </w:pPr>
    </w:p>
    <w:p w:rsidR="00EA031A" w:rsidRPr="00C702D0" w:rsidRDefault="00131BCB" w:rsidP="006D0A5D">
      <w:pPr>
        <w:jc w:val="both"/>
        <w:rPr>
          <w:u w:val="single"/>
          <w:lang w:eastAsia="en-GB"/>
        </w:rPr>
      </w:pPr>
      <w:r w:rsidRPr="00C702D0">
        <w:rPr>
          <w:u w:val="single"/>
          <w:lang w:eastAsia="en-GB"/>
        </w:rPr>
        <w:t>Neleģislatīvie</w:t>
      </w:r>
      <w:proofErr w:type="gramStart"/>
      <w:r w:rsidRPr="00C702D0">
        <w:rPr>
          <w:u w:val="single"/>
          <w:lang w:eastAsia="en-GB"/>
        </w:rPr>
        <w:t xml:space="preserve">  </w:t>
      </w:r>
      <w:proofErr w:type="gramEnd"/>
      <w:r w:rsidRPr="00C702D0">
        <w:rPr>
          <w:u w:val="single"/>
          <w:lang w:eastAsia="en-GB"/>
        </w:rPr>
        <w:t>jautājumi:</w:t>
      </w:r>
    </w:p>
    <w:p w:rsidR="00C23061" w:rsidRPr="00C702D0" w:rsidRDefault="00C23061" w:rsidP="006D0A5D">
      <w:pPr>
        <w:jc w:val="both"/>
        <w:rPr>
          <w:b/>
          <w:lang w:eastAsia="en-GB"/>
        </w:rPr>
      </w:pPr>
      <w:r w:rsidRPr="00C702D0">
        <w:rPr>
          <w:b/>
        </w:rPr>
        <w:t xml:space="preserve">3. </w:t>
      </w:r>
      <w:r w:rsidR="000C40BA">
        <w:rPr>
          <w:b/>
        </w:rPr>
        <w:t xml:space="preserve">ES </w:t>
      </w:r>
      <w:r>
        <w:rPr>
          <w:b/>
        </w:rPr>
        <w:t>Padomes secinājumi „</w:t>
      </w:r>
      <w:r w:rsidRPr="00C702D0">
        <w:rPr>
          <w:b/>
        </w:rPr>
        <w:t>Sagatavošanās ANO Klimata pārmaiņu konvencijas par klimata pārmaiņām (UNFCCC) pušu konferences 19.sesijai (COP19) un Kioto protokola pušu sanāksmes 9.sesijai (CMP9) Varšavā, 2013.gada 11-22.novembrī (Padomes secinājumu apstiprināšana)</w:t>
      </w:r>
    </w:p>
    <w:p w:rsidR="00C23061" w:rsidRDefault="00C23061" w:rsidP="006D0A5D">
      <w:pPr>
        <w:jc w:val="both"/>
        <w:rPr>
          <w:u w:val="single"/>
        </w:rPr>
      </w:pPr>
      <w:r>
        <w:rPr>
          <w:bCs/>
          <w:color w:val="000000"/>
        </w:rPr>
        <w:tab/>
      </w:r>
      <w:r w:rsidRPr="00C702D0">
        <w:rPr>
          <w:bCs/>
          <w:color w:val="000000"/>
        </w:rPr>
        <w:t xml:space="preserve">2013.gada 11.-22. novembrī Varšavā notiks </w:t>
      </w:r>
      <w:r w:rsidRPr="00C702D0">
        <w:t xml:space="preserve">ANO Klimata pārmaiņu konvencijas (turpmāk- Konvencijas) pušu konferences 19.sesija (COP19) un Kioto protokola pušu sanāksmes 9.sesija (CMP9). </w:t>
      </w:r>
      <w:r w:rsidRPr="00C702D0">
        <w:rPr>
          <w:b/>
        </w:rPr>
        <w:t>Padomes secinājumi iezīmē galvenos elementus ES pozīcijā COP19 un turpmāko virzību ADP darbības divos pamatvirzienos</w:t>
      </w:r>
      <w:r>
        <w:rPr>
          <w:b/>
        </w:rPr>
        <w:t>.</w:t>
      </w:r>
    </w:p>
    <w:p w:rsidR="00C23061" w:rsidRPr="00C702D0" w:rsidRDefault="00C23061" w:rsidP="006D0A5D">
      <w:pPr>
        <w:ind w:left="-11" w:firstLine="720"/>
        <w:jc w:val="both"/>
      </w:pPr>
      <w:r>
        <w:t>I</w:t>
      </w:r>
      <w:r w:rsidRPr="00C702D0">
        <w:t xml:space="preserve">epriekšējās </w:t>
      </w:r>
      <w:r>
        <w:t xml:space="preserve">COP, citu starpā, </w:t>
      </w:r>
      <w:r w:rsidRPr="00C702D0">
        <w:t xml:space="preserve">tika panāktas </w:t>
      </w:r>
      <w:r>
        <w:t xml:space="preserve">šādas </w:t>
      </w:r>
      <w:r w:rsidRPr="00C702D0">
        <w:t xml:space="preserve">vienošanās: (1) par Konvencijas Kioto protokola grozījumiem, kas nosaka pušu saistības posmā no 2013.-2020. gadam; (2) par </w:t>
      </w:r>
      <w:proofErr w:type="spellStart"/>
      <w:r w:rsidRPr="00C702D0">
        <w:t>Durbānas</w:t>
      </w:r>
      <w:proofErr w:type="spellEnd"/>
      <w:r w:rsidRPr="00C702D0">
        <w:t xml:space="preserve"> paplašinātās rīcības platformas (</w:t>
      </w:r>
      <w:proofErr w:type="spellStart"/>
      <w:r w:rsidRPr="00C702D0">
        <w:rPr>
          <w:i/>
        </w:rPr>
        <w:t>Durban</w:t>
      </w:r>
      <w:proofErr w:type="spellEnd"/>
      <w:r w:rsidRPr="00C702D0">
        <w:rPr>
          <w:i/>
        </w:rPr>
        <w:t xml:space="preserve"> </w:t>
      </w:r>
      <w:proofErr w:type="spellStart"/>
      <w:r w:rsidRPr="00C702D0">
        <w:rPr>
          <w:i/>
        </w:rPr>
        <w:t>Platform</w:t>
      </w:r>
      <w:proofErr w:type="spellEnd"/>
      <w:r w:rsidRPr="00C702D0">
        <w:rPr>
          <w:i/>
        </w:rPr>
        <w:t xml:space="preserve"> </w:t>
      </w:r>
      <w:proofErr w:type="spellStart"/>
      <w:r w:rsidRPr="00C702D0">
        <w:rPr>
          <w:i/>
        </w:rPr>
        <w:t>for</w:t>
      </w:r>
      <w:proofErr w:type="spellEnd"/>
      <w:r w:rsidRPr="00C702D0">
        <w:rPr>
          <w:i/>
        </w:rPr>
        <w:t xml:space="preserve"> </w:t>
      </w:r>
      <w:proofErr w:type="spellStart"/>
      <w:r w:rsidRPr="00C702D0">
        <w:rPr>
          <w:i/>
        </w:rPr>
        <w:t>Enhanced</w:t>
      </w:r>
      <w:proofErr w:type="spellEnd"/>
      <w:r w:rsidRPr="00C702D0">
        <w:rPr>
          <w:i/>
        </w:rPr>
        <w:t xml:space="preserve"> </w:t>
      </w:r>
      <w:proofErr w:type="spellStart"/>
      <w:r w:rsidRPr="00C702D0">
        <w:rPr>
          <w:i/>
        </w:rPr>
        <w:t>Action-</w:t>
      </w:r>
      <w:proofErr w:type="spellEnd"/>
      <w:r w:rsidRPr="00C702D0">
        <w:rPr>
          <w:i/>
        </w:rPr>
        <w:t xml:space="preserve"> ADP</w:t>
      </w:r>
      <w:r w:rsidRPr="00C702D0">
        <w:t>) izvedi, kuras notiek darbs divos pamat virzienos: (i) starptautiska visām pusēm juridiski saistoša nolīguma klimata jomā veidošana līdz 2015.gadam un (</w:t>
      </w:r>
      <w:proofErr w:type="spellStart"/>
      <w:r w:rsidRPr="00C702D0">
        <w:t>ii</w:t>
      </w:r>
      <w:proofErr w:type="spellEnd"/>
      <w:r w:rsidRPr="00C702D0">
        <w:t xml:space="preserve">) emisiju samazināšanas mērķu palielināšana līdz 2020.gadam. </w:t>
      </w:r>
    </w:p>
    <w:p w:rsidR="00C23061" w:rsidRPr="00C702D0" w:rsidRDefault="00C23061" w:rsidP="006D0A5D">
      <w:pPr>
        <w:ind w:firstLine="720"/>
        <w:jc w:val="both"/>
      </w:pPr>
      <w:r>
        <w:t>Padomes s</w:t>
      </w:r>
      <w:r w:rsidRPr="00C702D0">
        <w:t>ecinājumi</w:t>
      </w:r>
      <w:r>
        <w:t xml:space="preserve"> </w:t>
      </w:r>
      <w:r w:rsidRPr="00C702D0">
        <w:t>ir sadalīti vairākās saturiskās daļās, skarot tādus aspektus kā jautājuma steidzamība; ES un DV paveiktais; sasniedzamie Varšavas COP rezultāti; Konvencijas ieviešana; pielāgošanās, zaudējumi un postījumi; samazināšanas mērķu palielināšana pirms 2020.gada; 2015.gada vienošanās; pēc 2015.gada ietvars; klimata diplomātija.</w:t>
      </w:r>
    </w:p>
    <w:p w:rsidR="00C23061" w:rsidRDefault="00C23061" w:rsidP="006D0A5D">
      <w:pPr>
        <w:ind w:firstLine="720"/>
        <w:jc w:val="both"/>
      </w:pPr>
      <w:r w:rsidRPr="00C702D0">
        <w:t xml:space="preserve">Secinājumos uzsvērts, ka joprojām pastāv nozīmīga plaisa starp kolektīvajām samazinājuma saistībām uz 2020.gadu un globālo emisiju trajektoriju, kas nodrošinātu mērķi nepārsniegt globālās temperatūras pieaugumu par 2°C. ES atkārto savu </w:t>
      </w:r>
      <w:r>
        <w:t xml:space="preserve">Kioto protokola grozījumos fiksēto </w:t>
      </w:r>
      <w:r w:rsidRPr="00C702D0">
        <w:t xml:space="preserve">apņemšanos virzīties uz 30 % samazinājumu līdz 2020.gadam, ja vien citas attīstītās valstis un attīstītākās attīstības valstis rīkosies līdzvērtīgi un atbilstoši savām iespējām. Tiek uzsvērta nepieciešamība </w:t>
      </w:r>
      <w:r>
        <w:t xml:space="preserve">arī citām </w:t>
      </w:r>
      <w:r w:rsidRPr="00C702D0">
        <w:t xml:space="preserve">pusēm noteikt lielākus mērķus pirms 2020.gada, uzskatot, ka tas ir </w:t>
      </w:r>
      <w:r>
        <w:t xml:space="preserve">būtiski, lai 2020.gadā apstādinātu emisiju tālāku pieaugumu un veidotu pamatu </w:t>
      </w:r>
      <w:r w:rsidRPr="00C702D0">
        <w:t>ambiciozai 2015.gada starptautiskai vienošanai</w:t>
      </w:r>
      <w:r>
        <w:t xml:space="preserve"> par klimata režīmu pēc 2020.gada</w:t>
      </w:r>
      <w:r w:rsidRPr="00C702D0">
        <w:t>. Secinājumos tiek iezīmēti galvenie rīcību virzieni, kuros iespējams panākt emisiju samazinājumu. Ir apliecināta ES un DV gatavība palielināt klimata finansējumu.</w:t>
      </w:r>
      <w:r>
        <w:t xml:space="preserve"> </w:t>
      </w:r>
      <w:r w:rsidRPr="00C702D0">
        <w:t>Tiek uzsvērta arī UNFCCC un citu iesaistīto pušu (pašvaldības, bizness, pilsoniskā sabiedrība) loma.</w:t>
      </w:r>
    </w:p>
    <w:p w:rsidR="00C23061" w:rsidRPr="00600627" w:rsidRDefault="00C23061" w:rsidP="006D0A5D">
      <w:pPr>
        <w:ind w:firstLine="720"/>
        <w:jc w:val="both"/>
        <w:rPr>
          <w:b/>
        </w:rPr>
      </w:pPr>
      <w:r>
        <w:t xml:space="preserve">Vides padomē </w:t>
      </w:r>
      <w:r w:rsidRPr="00600627">
        <w:t>diskusijai atvērtie jautājumi ir 12., 13., 19. un 24.punkts</w:t>
      </w:r>
      <w:r>
        <w:t>.</w:t>
      </w:r>
      <w:r>
        <w:rPr>
          <w:b/>
        </w:rPr>
        <w:t xml:space="preserve"> </w:t>
      </w:r>
      <w:r>
        <w:t xml:space="preserve">Iespējama atgriešanās arī pie </w:t>
      </w:r>
      <w:r w:rsidRPr="00600627">
        <w:t>5.punkta par</w:t>
      </w:r>
      <w:r>
        <w:t xml:space="preserve"> klimata finansējumu Globālā klimata fonda darbības </w:t>
      </w:r>
      <w:proofErr w:type="spellStart"/>
      <w:r>
        <w:t>operacionalizēšanas</w:t>
      </w:r>
      <w:proofErr w:type="spellEnd"/>
      <w:r>
        <w:t xml:space="preserve"> kontekstā. </w:t>
      </w:r>
    </w:p>
    <w:p w:rsidR="00C23061" w:rsidRDefault="00C23061" w:rsidP="006D0A5D">
      <w:pPr>
        <w:jc w:val="both"/>
      </w:pPr>
    </w:p>
    <w:p w:rsidR="00C23061" w:rsidRPr="003E5901" w:rsidRDefault="00C23061" w:rsidP="006D0A5D">
      <w:pPr>
        <w:jc w:val="both"/>
        <w:rPr>
          <w:b/>
        </w:rPr>
      </w:pPr>
      <w:r w:rsidRPr="003E5901">
        <w:rPr>
          <w:b/>
        </w:rPr>
        <w:t>Latvijas viedoklis</w:t>
      </w:r>
    </w:p>
    <w:p w:rsidR="00C23061" w:rsidRDefault="00C23061" w:rsidP="006D0A5D">
      <w:pPr>
        <w:pStyle w:val="ListParagraph"/>
        <w:numPr>
          <w:ilvl w:val="0"/>
          <w:numId w:val="22"/>
        </w:numPr>
        <w:ind w:left="714" w:hanging="357"/>
        <w:jc w:val="both"/>
      </w:pPr>
      <w:r w:rsidRPr="00C702D0">
        <w:lastRenderedPageBreak/>
        <w:t>Latvija kopumā atbalsta Padomes secinājumu</w:t>
      </w:r>
      <w:r>
        <w:t xml:space="preserve"> tālāku virzību</w:t>
      </w:r>
      <w:r w:rsidRPr="00C702D0">
        <w:t xml:space="preserve"> kā dokumentu ES interešu pārstāvēšanai </w:t>
      </w:r>
      <w:r>
        <w:t>Varšavas COP, kā arī kā pamatu starptautisko klimata sarunu procesa virzībai</w:t>
      </w:r>
      <w:r w:rsidRPr="00C702D0">
        <w:t xml:space="preserve">. </w:t>
      </w:r>
    </w:p>
    <w:p w:rsidR="00C23061" w:rsidRDefault="00C23061" w:rsidP="006D0A5D">
      <w:pPr>
        <w:pStyle w:val="ListParagraph"/>
        <w:numPr>
          <w:ilvl w:val="0"/>
          <w:numId w:val="22"/>
        </w:numPr>
        <w:ind w:left="714" w:hanging="357"/>
        <w:jc w:val="both"/>
      </w:pPr>
      <w:r>
        <w:t>Latvija atbalsta ES vēlmi uzrunāt visas Konvencijas puses, to darot gan mērķu paaugstināšanas pirms 2020.gada</w:t>
      </w:r>
      <w:r w:rsidRPr="00F164C2">
        <w:t xml:space="preserve"> </w:t>
      </w:r>
      <w:r>
        <w:t xml:space="preserve">kontekstā, gan visaptverošas 2015.gada vienošanās, kā arī esošo Konvencijas lēmumu ieviešanas sakarā. </w:t>
      </w:r>
    </w:p>
    <w:p w:rsidR="00C23061" w:rsidRPr="00AA53F8" w:rsidRDefault="00C23061" w:rsidP="006D0A5D">
      <w:pPr>
        <w:pStyle w:val="Par-number1"/>
        <w:numPr>
          <w:ilvl w:val="0"/>
          <w:numId w:val="22"/>
        </w:numPr>
        <w:spacing w:line="240" w:lineRule="auto"/>
        <w:ind w:left="714" w:hanging="357"/>
        <w:jc w:val="both"/>
        <w:rPr>
          <w:szCs w:val="24"/>
          <w:lang w:val="lv-LV"/>
        </w:rPr>
      </w:pPr>
      <w:r w:rsidRPr="00AA53F8">
        <w:rPr>
          <w:szCs w:val="24"/>
          <w:lang w:val="lv-LV"/>
        </w:rPr>
        <w:t xml:space="preserve">Latvija ir pozitīvi noskaņota par </w:t>
      </w:r>
      <w:r>
        <w:rPr>
          <w:szCs w:val="24"/>
          <w:lang w:val="lv-LV"/>
        </w:rPr>
        <w:t>m</w:t>
      </w:r>
      <w:r w:rsidRPr="00AA53F8">
        <w:rPr>
          <w:szCs w:val="24"/>
          <w:lang w:val="lv-LV"/>
        </w:rPr>
        <w:t>inistru iesaisti Varšavas konferences laikā, lai tādejādi veicinātu sarunas par Konvencijas pušu emisiju samazinājuma apņemšanos palielināšanu līdz 2020.gadam.</w:t>
      </w:r>
      <w:r>
        <w:rPr>
          <w:szCs w:val="24"/>
          <w:lang w:val="lv-LV"/>
        </w:rPr>
        <w:t xml:space="preserve"> </w:t>
      </w:r>
      <w:r w:rsidRPr="00AA53F8">
        <w:rPr>
          <w:szCs w:val="24"/>
          <w:lang w:val="lv-LV"/>
        </w:rPr>
        <w:t>Latvija piekrīt, ka 2014.gads tiek izcelts kā saistību palielināšanas pagrieziena punkts.</w:t>
      </w:r>
    </w:p>
    <w:p w:rsidR="00C23061" w:rsidRPr="00AA53F8" w:rsidRDefault="00C23061" w:rsidP="006D0A5D">
      <w:pPr>
        <w:pStyle w:val="Par-number1"/>
        <w:numPr>
          <w:ilvl w:val="0"/>
          <w:numId w:val="22"/>
        </w:numPr>
        <w:spacing w:line="240" w:lineRule="auto"/>
        <w:ind w:left="714" w:hanging="357"/>
        <w:jc w:val="both"/>
        <w:rPr>
          <w:szCs w:val="24"/>
          <w:lang w:val="lv-LV"/>
        </w:rPr>
      </w:pPr>
      <w:r w:rsidRPr="00AA53F8">
        <w:rPr>
          <w:szCs w:val="24"/>
          <w:lang w:val="lv-LV"/>
        </w:rPr>
        <w:t>Latvija iebilst pret priekšlikumu mainīt Kioto protokola Dohas grozījumos šobrīd definētās kvantificētās emisiju ierobežošanas un samazinājuma saistības (</w:t>
      </w:r>
      <w:r w:rsidRPr="00AA53F8">
        <w:rPr>
          <w:i/>
          <w:szCs w:val="24"/>
          <w:lang w:val="lv-LV"/>
        </w:rPr>
        <w:t>QERLO</w:t>
      </w:r>
      <w:r w:rsidRPr="00AA53F8">
        <w:rPr>
          <w:szCs w:val="24"/>
          <w:lang w:val="lv-LV"/>
        </w:rPr>
        <w:t xml:space="preserve">) 2013.-2020.gadam, ja vien tas nenozīmē jaunu pušu un to saistību iekļaušanu. </w:t>
      </w:r>
    </w:p>
    <w:p w:rsidR="00785C13" w:rsidRPr="00785C13" w:rsidRDefault="00785C13" w:rsidP="00121754">
      <w:pPr>
        <w:pStyle w:val="naiskr"/>
        <w:numPr>
          <w:ilvl w:val="0"/>
          <w:numId w:val="22"/>
        </w:numPr>
        <w:spacing w:before="0" w:afterLines="40"/>
        <w:jc w:val="both"/>
        <w:rPr>
          <w:bCs/>
          <w:color w:val="000000" w:themeColor="text1"/>
          <w:lang w:val="lv-LV"/>
        </w:rPr>
      </w:pPr>
      <w:r w:rsidRPr="00785C13">
        <w:rPr>
          <w:bCs/>
          <w:color w:val="000000" w:themeColor="text1"/>
          <w:lang w:val="lv-LV"/>
        </w:rPr>
        <w:t xml:space="preserve">Latvijas konceptuāli atbalsta starptautiskos procesus, kas konsolidē finansējumu attīstības valstu atbalstīšanai emisiju samazināšanas un pielāgošanās klimata pārmaiņām jomās. </w:t>
      </w:r>
    </w:p>
    <w:p w:rsidR="00785C13" w:rsidRPr="00785C13" w:rsidRDefault="00785C13" w:rsidP="00121754">
      <w:pPr>
        <w:pStyle w:val="naiskr"/>
        <w:numPr>
          <w:ilvl w:val="0"/>
          <w:numId w:val="22"/>
        </w:numPr>
        <w:spacing w:before="0" w:afterLines="40"/>
        <w:jc w:val="both"/>
        <w:rPr>
          <w:bCs/>
          <w:color w:val="000000" w:themeColor="text1"/>
          <w:lang w:val="lv-LV"/>
        </w:rPr>
      </w:pPr>
      <w:r w:rsidRPr="00785C13">
        <w:rPr>
          <w:lang w:val="lv-LV"/>
        </w:rPr>
        <w:t>Latvija uzskata, ka jāizmanto visi esošie politiskie forum</w:t>
      </w:r>
      <w:r w:rsidR="00121754">
        <w:rPr>
          <w:lang w:val="lv-LV"/>
        </w:rPr>
        <w:t>i</w:t>
      </w:r>
      <w:r w:rsidRPr="00785C13">
        <w:rPr>
          <w:lang w:val="lv-LV"/>
        </w:rPr>
        <w:t>, īpaši augsta līmeņa, lai pievērstu uzmanību situācijai un akcentētu rīcības nepieciešamību starptautiskā līmenī, un novērstu pastāvošos klimata pārmaiņu radītos globālos postījumus un zaudējumus.</w:t>
      </w:r>
    </w:p>
    <w:p w:rsidR="00C23061" w:rsidRPr="00C702D0" w:rsidRDefault="00C23061" w:rsidP="006D0A5D">
      <w:pPr>
        <w:ind w:firstLine="720"/>
        <w:jc w:val="both"/>
      </w:pPr>
    </w:p>
    <w:p w:rsidR="00131BCB" w:rsidRPr="00C702D0" w:rsidRDefault="003847BD" w:rsidP="006D0A5D">
      <w:pPr>
        <w:ind w:firstLine="567"/>
        <w:jc w:val="both"/>
        <w:rPr>
          <w:b/>
        </w:rPr>
      </w:pPr>
      <w:r w:rsidRPr="00C702D0">
        <w:rPr>
          <w:b/>
        </w:rPr>
        <w:t>4</w:t>
      </w:r>
      <w:r w:rsidR="00EC65BE" w:rsidRPr="00C702D0">
        <w:rPr>
          <w:b/>
        </w:rPr>
        <w:t>. Citi jautājumi:</w:t>
      </w:r>
    </w:p>
    <w:p w:rsidR="00EC65BE" w:rsidRPr="00C702D0" w:rsidRDefault="00EC65BE" w:rsidP="006D0A5D">
      <w:pPr>
        <w:jc w:val="both"/>
        <w:rPr>
          <w:b/>
          <w:i/>
        </w:rPr>
      </w:pPr>
      <w:r w:rsidRPr="00C702D0">
        <w:rPr>
          <w:b/>
        </w:rPr>
        <w:t>a) ES ETS/Aviācija</w:t>
      </w:r>
      <w:r w:rsidR="003847BD" w:rsidRPr="00C702D0">
        <w:rPr>
          <w:b/>
        </w:rPr>
        <w:t xml:space="preserve"> (ICAO)</w:t>
      </w:r>
      <w:r w:rsidRPr="00C702D0">
        <w:rPr>
          <w:b/>
        </w:rPr>
        <w:t xml:space="preserve"> </w:t>
      </w:r>
      <w:r w:rsidRPr="00C702D0">
        <w:rPr>
          <w:b/>
          <w:i/>
        </w:rPr>
        <w:t>(</w:t>
      </w:r>
      <w:r w:rsidR="002969D8" w:rsidRPr="00C702D0">
        <w:rPr>
          <w:b/>
          <w:i/>
        </w:rPr>
        <w:t xml:space="preserve">Informācija no </w:t>
      </w:r>
      <w:r w:rsidRPr="00C702D0">
        <w:rPr>
          <w:b/>
          <w:i/>
        </w:rPr>
        <w:t>Komisijas)</w:t>
      </w:r>
    </w:p>
    <w:p w:rsidR="00EC65BE" w:rsidRPr="00C702D0" w:rsidRDefault="00EC65BE" w:rsidP="006D0A5D">
      <w:pPr>
        <w:jc w:val="both"/>
        <w:rPr>
          <w:b/>
          <w:i/>
        </w:rPr>
      </w:pPr>
      <w:r w:rsidRPr="00C702D0">
        <w:rPr>
          <w:i/>
        </w:rPr>
        <w:t xml:space="preserve">Sagaidāms, ka Komisija informēs par jautājuma virzības gaitu un </w:t>
      </w:r>
      <w:r w:rsidR="003847BD" w:rsidRPr="00C702D0">
        <w:rPr>
          <w:bCs/>
          <w:i/>
          <w:color w:val="000000"/>
        </w:rPr>
        <w:t>38. Starptautiskās Civilās aviācijas organizācijas Ģenerālo Asambleju (ICAO)</w:t>
      </w:r>
      <w:r w:rsidRPr="00C702D0">
        <w:rPr>
          <w:i/>
          <w:color w:val="000000"/>
        </w:rPr>
        <w:t>.</w:t>
      </w:r>
    </w:p>
    <w:p w:rsidR="00EC65BE" w:rsidRPr="00C702D0" w:rsidRDefault="003847BD" w:rsidP="006D0A5D">
      <w:pPr>
        <w:jc w:val="both"/>
        <w:rPr>
          <w:color w:val="000000"/>
        </w:rPr>
      </w:pPr>
      <w:r w:rsidRPr="00C702D0">
        <w:rPr>
          <w:color w:val="000000"/>
        </w:rPr>
        <w:tab/>
      </w:r>
      <w:r w:rsidR="00EC65BE" w:rsidRPr="00C702D0">
        <w:rPr>
          <w:color w:val="000000"/>
        </w:rPr>
        <w:t>Eiropas Komisija sniegs jaunāko informāciju un ICAO 38.asamblejas, kas noti</w:t>
      </w:r>
      <w:r w:rsidR="00FB4FCF" w:rsidRPr="00C702D0">
        <w:rPr>
          <w:color w:val="000000"/>
        </w:rPr>
        <w:t xml:space="preserve">ek </w:t>
      </w:r>
      <w:r w:rsidR="00EC65BE" w:rsidRPr="00C702D0">
        <w:rPr>
          <w:color w:val="000000"/>
        </w:rPr>
        <w:t>š.g. 24.septembr</w:t>
      </w:r>
      <w:r w:rsidR="00FB4FCF" w:rsidRPr="00C702D0">
        <w:rPr>
          <w:color w:val="000000"/>
        </w:rPr>
        <w:t>a</w:t>
      </w:r>
      <w:r w:rsidR="00EC65BE" w:rsidRPr="00C702D0">
        <w:rPr>
          <w:color w:val="000000"/>
        </w:rPr>
        <w:t xml:space="preserve"> – 4.oktobri</w:t>
      </w:r>
      <w:r w:rsidR="00FB4FCF" w:rsidRPr="00C702D0">
        <w:rPr>
          <w:color w:val="000000"/>
        </w:rPr>
        <w:t>m</w:t>
      </w:r>
      <w:r w:rsidR="00EC65BE" w:rsidRPr="00C702D0">
        <w:rPr>
          <w:color w:val="000000"/>
        </w:rPr>
        <w:t xml:space="preserve"> Ņujorkā, ASV, rezultātus. Eiropas Komisija ir sagatavojusi savu nostāju un secinājumus, kurus prezentēs ICAO asamblejā. Eiropas Savienības valstu pozīcija attiecas uz aviācijas darbību dalību Eiropas Savienības emisijas kvotu tirdzniecības sistēmā (ES ETS), tai skaitā arī starptautiskās aviācijas darbības. Eiropas Savienībai ir īpaši svarīgi nodrošināt to, ka arī starptautiskie gaisa kuģu operatori iesaistās un aktīvi pilda savas saistības ES ETS.</w:t>
      </w:r>
    </w:p>
    <w:p w:rsidR="00EC65BE" w:rsidRPr="00C702D0" w:rsidRDefault="003847BD" w:rsidP="006D0A5D">
      <w:pPr>
        <w:jc w:val="both"/>
      </w:pPr>
      <w:r w:rsidRPr="00C702D0">
        <w:rPr>
          <w:i/>
          <w:color w:val="000000"/>
        </w:rPr>
        <w:tab/>
      </w:r>
      <w:r w:rsidR="00EC65BE" w:rsidRPr="00C702D0">
        <w:rPr>
          <w:i/>
          <w:color w:val="000000"/>
        </w:rPr>
        <w:t>Tālākā rīcība aviācijas darbību dalībai ES ETS</w:t>
      </w:r>
      <w:r w:rsidR="00B4387B" w:rsidRPr="00C702D0">
        <w:rPr>
          <w:i/>
          <w:color w:val="000000"/>
        </w:rPr>
        <w:t xml:space="preserve">. </w:t>
      </w:r>
      <w:r w:rsidR="00EC65BE" w:rsidRPr="00C702D0">
        <w:t>Aviācijas darbību dalības ES ETS nosacījumos būs izmaiņas. Ja iznākums pēc ICAO 38.asamblejas būs pozitīvs, tad Eiropas Komisija nekavējoties izstrādās un apspriedei iesniegs izmaiņas Eiropas Savienības normatīvajos aktos. Tiek plānots, ka šiem normatīvajiem aktiem ir jāstājas spēkā pirms 2013.gada atbilstības cikla beigām 2014.gada 30.aprīlī</w:t>
      </w:r>
      <w:r w:rsidR="00EC65BE" w:rsidRPr="00C702D0">
        <w:rPr>
          <w:i/>
        </w:rPr>
        <w:t>.</w:t>
      </w:r>
    </w:p>
    <w:p w:rsidR="00EC65BE" w:rsidRPr="00C702D0" w:rsidRDefault="003847BD" w:rsidP="006D0A5D">
      <w:pPr>
        <w:jc w:val="both"/>
        <w:rPr>
          <w:b/>
          <w:color w:val="000000"/>
        </w:rPr>
      </w:pPr>
      <w:r w:rsidRPr="00C702D0">
        <w:rPr>
          <w:rStyle w:val="Strong"/>
          <w:b w:val="0"/>
          <w:color w:val="000000"/>
          <w:u w:val="single"/>
        </w:rPr>
        <w:tab/>
      </w:r>
      <w:r w:rsidR="00EC65BE" w:rsidRPr="00C702D0">
        <w:rPr>
          <w:rStyle w:val="Strong"/>
          <w:b w:val="0"/>
          <w:color w:val="000000"/>
          <w:u w:val="single"/>
        </w:rPr>
        <w:t>Latvija pilnībā atbalsta Eiropas Komisijas darbu un atbalsta ziņojumā noteikto pozīciju</w:t>
      </w:r>
      <w:r w:rsidR="00EC65BE" w:rsidRPr="00C702D0">
        <w:rPr>
          <w:rStyle w:val="Strong"/>
          <w:b w:val="0"/>
          <w:color w:val="000000"/>
        </w:rPr>
        <w:t>.</w:t>
      </w:r>
    </w:p>
    <w:p w:rsidR="00EC65BE" w:rsidRPr="00C702D0" w:rsidRDefault="003847BD" w:rsidP="006D0A5D">
      <w:pPr>
        <w:jc w:val="both"/>
        <w:rPr>
          <w:color w:val="000000"/>
        </w:rPr>
      </w:pPr>
      <w:r w:rsidRPr="00C702D0">
        <w:rPr>
          <w:i/>
          <w:color w:val="000000"/>
        </w:rPr>
        <w:tab/>
      </w:r>
      <w:r w:rsidR="00EC65BE" w:rsidRPr="00C702D0">
        <w:rPr>
          <w:i/>
          <w:color w:val="000000"/>
        </w:rPr>
        <w:t>Pagaidu atkāpes lēmums</w:t>
      </w:r>
      <w:r w:rsidR="0015330C" w:rsidRPr="00C702D0">
        <w:rPr>
          <w:i/>
          <w:color w:val="000000"/>
        </w:rPr>
        <w:t xml:space="preserve">. </w:t>
      </w:r>
      <w:r w:rsidR="00EC65BE" w:rsidRPr="00C702D0">
        <w:rPr>
          <w:color w:val="000000"/>
        </w:rPr>
        <w:t>Eiropas Komisija izstrādāja un ieviesa īslaicīgas darbības normatīvo aktu</w:t>
      </w:r>
      <w:r w:rsidR="00EC65BE" w:rsidRPr="00C702D0">
        <w:rPr>
          <w:rStyle w:val="FootnoteReference"/>
          <w:color w:val="000000"/>
        </w:rPr>
        <w:footnoteReference w:id="2"/>
      </w:r>
      <w:r w:rsidR="00EC65BE" w:rsidRPr="00C702D0">
        <w:rPr>
          <w:color w:val="000000"/>
        </w:rPr>
        <w:tab/>
        <w:t xml:space="preserve"> („Pagaidu atkāpes lēmums”), lai tādējādi apliecinātu savu pretimnākšanu starptautiskajiem gaisa kuģu operatoriem un ICAO biedriem. Ar šo normatīvo aktu tika noteikts, ka nekādas saistības netiek piemērotas tiem ES ETS gaisa kuģu operatoriem, kuri nav izpildījuši savas ES ETS saistības attiecībā uz tiem lidojumiem uz un no lidostām valstīs, kas ir ārpus Savienības un nav EBTA locekles, EEZ valstu teritorijas vai atkarīgās teritorijas, vai valstis, kas parakstījušas Pievienošanās līgumu ar Savienību („ārpus-ES” lidojumi). Tādējādi ES ETS operatoriem tika piešķirtas emisijas kvotas un šiem operatoriem arī bija jānodod emisijas kvotas tikai par tiem lidojumiem, kas ir veikti ES/EEZ </w:t>
      </w:r>
      <w:r w:rsidR="00EC65BE" w:rsidRPr="00C702D0">
        <w:rPr>
          <w:color w:val="000000"/>
        </w:rPr>
        <w:lastRenderedPageBreak/>
        <w:t xml:space="preserve">valstīs („iekš-EU” lidojumi). Savukārt, ja gaisa kuģu operatoriem jau bija piešķirtas emisijas kvotas par „ārpus-ES” lidojumiem, tad šiem gaisa kuģu operatoriem šīs emisijas kvotas bija jāatdod atpakaļ. </w:t>
      </w:r>
    </w:p>
    <w:p w:rsidR="00EC65BE" w:rsidRPr="003E0134" w:rsidRDefault="003847BD" w:rsidP="006D0A5D">
      <w:pPr>
        <w:jc w:val="both"/>
        <w:rPr>
          <w:color w:val="000000"/>
        </w:rPr>
      </w:pPr>
      <w:bookmarkStart w:id="0" w:name="_GoBack"/>
      <w:r w:rsidRPr="00C702D0">
        <w:rPr>
          <w:i/>
          <w:color w:val="000000"/>
        </w:rPr>
        <w:tab/>
      </w:r>
      <w:bookmarkEnd w:id="0"/>
      <w:r w:rsidR="00EC65BE" w:rsidRPr="00C702D0">
        <w:rPr>
          <w:b/>
          <w:color w:val="000000"/>
        </w:rPr>
        <w:t xml:space="preserve">Latvijas pozīcija </w:t>
      </w:r>
      <w:r w:rsidR="00EC65BE" w:rsidRPr="003E0134">
        <w:rPr>
          <w:color w:val="000000"/>
        </w:rPr>
        <w:t>(kas ir iesniegta Eiropas Padomē)</w:t>
      </w:r>
    </w:p>
    <w:p w:rsidR="0071586F" w:rsidRDefault="00EC65BE" w:rsidP="006D0A5D">
      <w:pPr>
        <w:jc w:val="both"/>
        <w:rPr>
          <w:color w:val="000000"/>
        </w:rPr>
      </w:pPr>
      <w:r w:rsidRPr="00C702D0">
        <w:rPr>
          <w:color w:val="000000"/>
        </w:rPr>
        <w:t xml:space="preserve">ES ETS emisijas kvotu izsoļu ieņēmumi ir strikti noteikti Latvijas budžeta ieņēmumu plānā un jebkādas izmaiņas no plāna vai šī plāna neizpilde var radīt zināmas problēmas Latvijas mērķu izpildē. Līdz ar to Latvijai ir šaubas par Latvijai noteiktā emisijas kvotu izsoļu daļas, kas ir jau iekļauta aktīvos, izmaiņām un šīs daļas pārskaitīšanu citai valstij. Eiropas Komisija 19.septembra Padomes vides darba grupā informēja, ka šāds „maksājums” var būt tikai brīvprātīgs un tam nav nekāda likumiska pamatojuma, līdz ar to Latvija norāda, ka tai būtu praktiski neiespējami veikt šādu „maksājumu”. </w:t>
      </w:r>
    </w:p>
    <w:p w:rsidR="000C40BA" w:rsidRPr="00C702D0" w:rsidRDefault="000C40BA" w:rsidP="006D0A5D">
      <w:pPr>
        <w:jc w:val="both"/>
        <w:rPr>
          <w:color w:val="000000"/>
        </w:rPr>
      </w:pPr>
    </w:p>
    <w:p w:rsidR="0071586F" w:rsidRPr="00C702D0" w:rsidRDefault="005B7DB4" w:rsidP="006D0A5D">
      <w:pPr>
        <w:jc w:val="both"/>
        <w:rPr>
          <w:b/>
          <w:color w:val="000000"/>
        </w:rPr>
      </w:pPr>
      <w:r w:rsidRPr="00C702D0">
        <w:rPr>
          <w:b/>
          <w:color w:val="000000"/>
        </w:rPr>
        <w:t>b) starptautiskie pasākumi un sanāksmes:</w:t>
      </w:r>
    </w:p>
    <w:p w:rsidR="005B7DB4" w:rsidRPr="002C3EE7" w:rsidRDefault="005B7DB4" w:rsidP="006D0A5D">
      <w:pPr>
        <w:pStyle w:val="PointManual2"/>
        <w:jc w:val="both"/>
        <w:rPr>
          <w:b/>
        </w:rPr>
      </w:pPr>
      <w:r w:rsidRPr="00C702D0">
        <w:t xml:space="preserve"> (i)</w:t>
      </w:r>
      <w:r w:rsidRPr="00C702D0">
        <w:tab/>
      </w:r>
      <w:r w:rsidRPr="002C3EE7">
        <w:rPr>
          <w:b/>
        </w:rPr>
        <w:t xml:space="preserve">Pārtuksnešošanās </w:t>
      </w:r>
      <w:r w:rsidR="00CE56F3" w:rsidRPr="002C3EE7">
        <w:rPr>
          <w:b/>
        </w:rPr>
        <w:t>/zemes degradācijas</w:t>
      </w:r>
      <w:r w:rsidRPr="002C3EE7">
        <w:rPr>
          <w:b/>
        </w:rPr>
        <w:t xml:space="preserve"> </w:t>
      </w:r>
      <w:r w:rsidR="00CE56F3" w:rsidRPr="002C3EE7">
        <w:rPr>
          <w:b/>
        </w:rPr>
        <w:t xml:space="preserve">konvencijas </w:t>
      </w:r>
      <w:r w:rsidRPr="002C3EE7">
        <w:rPr>
          <w:b/>
        </w:rPr>
        <w:t>11.sesija (COP11)</w:t>
      </w:r>
      <w:r w:rsidR="00CE56F3" w:rsidRPr="002C3EE7">
        <w:rPr>
          <w:b/>
        </w:rPr>
        <w:t xml:space="preserve"> </w:t>
      </w:r>
      <w:r w:rsidRPr="002C3EE7">
        <w:rPr>
          <w:b/>
        </w:rPr>
        <w:t>(Namībija,</w:t>
      </w:r>
      <w:r w:rsidR="00CE56F3" w:rsidRPr="002C3EE7">
        <w:rPr>
          <w:b/>
        </w:rPr>
        <w:t xml:space="preserve"> Vindhuka,</w:t>
      </w:r>
      <w:r w:rsidRPr="002C3EE7">
        <w:rPr>
          <w:b/>
        </w:rPr>
        <w:t xml:space="preserve"> 2013.gada 16-27.septembrī) </w:t>
      </w:r>
    </w:p>
    <w:p w:rsidR="00CE56F3" w:rsidRPr="00C702D0" w:rsidRDefault="00CE56F3" w:rsidP="006D0A5D">
      <w:pPr>
        <w:jc w:val="both"/>
      </w:pPr>
      <w:r w:rsidRPr="00C702D0">
        <w:t xml:space="preserve">Latvijai kā UNCCD konvencijas dalībvalstij (konvencijas piektais pielikums – zemes degradācijas skartās valstis) svarīgākie jautājumi bija: </w:t>
      </w:r>
    </w:p>
    <w:p w:rsidR="00CE56F3" w:rsidRPr="00C702D0" w:rsidRDefault="00CE56F3" w:rsidP="006D0A5D">
      <w:pPr>
        <w:pStyle w:val="ListParagraph"/>
        <w:numPr>
          <w:ilvl w:val="0"/>
          <w:numId w:val="19"/>
        </w:numPr>
        <w:ind w:left="284" w:hanging="284"/>
        <w:contextualSpacing w:val="0"/>
        <w:jc w:val="both"/>
      </w:pPr>
      <w:r w:rsidRPr="00C702D0">
        <w:t xml:space="preserve">Konvencijas ieviešanas progress un ieviešanas stratēģijas 2008.-2018.gadam </w:t>
      </w:r>
      <w:proofErr w:type="spellStart"/>
      <w:r w:rsidRPr="00C702D0">
        <w:t>vidusposma</w:t>
      </w:r>
      <w:proofErr w:type="spellEnd"/>
      <w:r w:rsidRPr="00C702D0">
        <w:t xml:space="preserve"> rezultātu novērtējums, kā arī gatavošanās jaunas stratēģijas izstrādei nākošajam posmam; </w:t>
      </w:r>
    </w:p>
    <w:p w:rsidR="00CE56F3" w:rsidRPr="00C702D0" w:rsidRDefault="00CE56F3" w:rsidP="006D0A5D">
      <w:pPr>
        <w:pStyle w:val="ListParagraph"/>
        <w:numPr>
          <w:ilvl w:val="0"/>
          <w:numId w:val="19"/>
        </w:numPr>
        <w:ind w:left="284" w:hanging="284"/>
        <w:contextualSpacing w:val="0"/>
        <w:jc w:val="both"/>
      </w:pPr>
      <w:r w:rsidRPr="00C702D0">
        <w:t xml:space="preserve">Konvencijas budžeta jautājumi. Šie jautājumi īpaši aktualizējušies konvencijas ietvarā laikā, kad dalībvalstis izjūt to nacionālo ekonomiku lejupslīdi vai stagnāciju, kas neglābjami atstāj zināmu iespaidu uz konvencijas mērķu īstenošanu. Latvija piedalījās darba grupā, kas izskatīja jautājumus attiecībā uz konvencijas pamatbudžetu 2014.-2015.gadam. Pieņemtais konvencijas pamatbudžets 2014.-2015.gadam ir iepriekšējā perioda pamatbudžeta līmenī; </w:t>
      </w:r>
    </w:p>
    <w:p w:rsidR="00CE56F3" w:rsidRPr="00C702D0" w:rsidRDefault="00CE56F3" w:rsidP="006D0A5D">
      <w:pPr>
        <w:pStyle w:val="ListParagraph"/>
        <w:numPr>
          <w:ilvl w:val="0"/>
          <w:numId w:val="19"/>
        </w:numPr>
        <w:ind w:left="284" w:hanging="284"/>
        <w:contextualSpacing w:val="0"/>
        <w:jc w:val="both"/>
      </w:pPr>
      <w:r w:rsidRPr="00C702D0">
        <w:t xml:space="preserve">Citi nozīmīgi jautājumi. Pamatā šie jautājumi saistāmi ar Eiropas Savienības kopējās nostājas jautājumiem, kuru mērķis ir konvencijas mērķu sasniegšanas veicināšana ilgtermiņā. Tādējādi būtiskākās intereses saistāmas ar lēmumiem, kas attiecas uz reģionu kapacitātes un atbildības stiprināšanu, zinātnes un politikas saskares punktu identificēšanu, globālā mehānisma darbības finansiālajiem, efektivitātes un faktiskā izvietojuma (Roma – Bonna)  aspektiem, sinerģiju jautājumiem </w:t>
      </w:r>
      <w:proofErr w:type="spellStart"/>
      <w:r w:rsidRPr="00C702D0">
        <w:t>Rio</w:t>
      </w:r>
      <w:proofErr w:type="spellEnd"/>
      <w:r w:rsidRPr="00C702D0">
        <w:t xml:space="preserve"> konvencijām (Klimata konvencijas, Bioloģiskās daudzveidības konvencijas)</w:t>
      </w:r>
    </w:p>
    <w:p w:rsidR="00CE56F3" w:rsidRPr="00C702D0" w:rsidRDefault="00CE56F3" w:rsidP="006D0A5D">
      <w:pPr>
        <w:pStyle w:val="ListParagraph"/>
        <w:numPr>
          <w:ilvl w:val="0"/>
          <w:numId w:val="19"/>
        </w:numPr>
        <w:ind w:left="284" w:hanging="284"/>
        <w:contextualSpacing w:val="0"/>
        <w:jc w:val="both"/>
      </w:pPr>
      <w:r w:rsidRPr="00C702D0">
        <w:t>Latvijas dalība Eiropas Savienības, Centrāleiropas un Austrumeiropas darba koordinācijā atbilstoši iepriekš minētajām aktivitātēm. Latvija piedalījās Eiropas Savienības pozīciju izstrādē par COP11 sesiju lēmumu projektiem. Latvija, kā Centrāleiropas un Austrumeiropas reģiona (CEE) valsts piedalījās arī šā reģiona sanāksmēs, lai apzinātu reģiona aktivitātes un iekļautos norisošajos procesos, jo īpaši attiecībā uz reģionālās rīcības programmas izstrādi.</w:t>
      </w:r>
    </w:p>
    <w:p w:rsidR="00CE56F3" w:rsidRPr="00C702D0" w:rsidRDefault="00CE56F3" w:rsidP="006D0A5D">
      <w:pPr>
        <w:pStyle w:val="PointDoubleManual3"/>
        <w:numPr>
          <w:ilvl w:val="0"/>
          <w:numId w:val="19"/>
        </w:numPr>
        <w:ind w:left="284" w:hanging="284"/>
        <w:jc w:val="both"/>
        <w:rPr>
          <w:lang w:val="lv-LV"/>
        </w:rPr>
      </w:pPr>
      <w:r w:rsidRPr="00C702D0">
        <w:rPr>
          <w:lang w:val="lv-LV"/>
        </w:rPr>
        <w:t xml:space="preserve">Svarīga tikšanās Eiropas Savienības valstīm bija ar jaunievēlēto konvencijas izpildsekretāru </w:t>
      </w:r>
      <w:r w:rsidRPr="00C702D0">
        <w:rPr>
          <w:i/>
          <w:iCs/>
          <w:lang w:val="lv-LV"/>
        </w:rPr>
        <w:t>(</w:t>
      </w:r>
      <w:proofErr w:type="spellStart"/>
      <w:r w:rsidRPr="00C702D0">
        <w:rPr>
          <w:i/>
          <w:iCs/>
          <w:lang w:val="lv-LV"/>
        </w:rPr>
        <w:t>Executive</w:t>
      </w:r>
      <w:proofErr w:type="spellEnd"/>
      <w:r w:rsidRPr="00C702D0">
        <w:rPr>
          <w:i/>
          <w:iCs/>
          <w:lang w:val="lv-LV"/>
        </w:rPr>
        <w:t xml:space="preserve"> </w:t>
      </w:r>
      <w:proofErr w:type="spellStart"/>
      <w:r w:rsidRPr="00C702D0">
        <w:rPr>
          <w:i/>
          <w:iCs/>
          <w:lang w:val="lv-LV"/>
        </w:rPr>
        <w:t>Secretary</w:t>
      </w:r>
      <w:proofErr w:type="spellEnd"/>
      <w:r w:rsidRPr="00C702D0">
        <w:rPr>
          <w:i/>
          <w:iCs/>
          <w:lang w:val="lv-LV"/>
        </w:rPr>
        <w:t xml:space="preserve">) </w:t>
      </w:r>
      <w:r w:rsidRPr="00C702D0">
        <w:rPr>
          <w:lang w:val="lv-LV"/>
        </w:rPr>
        <w:t xml:space="preserve">Moniku </w:t>
      </w:r>
      <w:proofErr w:type="spellStart"/>
      <w:r w:rsidRPr="00C702D0">
        <w:rPr>
          <w:lang w:val="lv-LV"/>
        </w:rPr>
        <w:t>Barbjē</w:t>
      </w:r>
      <w:proofErr w:type="spellEnd"/>
      <w:r w:rsidRPr="00C702D0">
        <w:rPr>
          <w:lang w:val="lv-LV"/>
        </w:rPr>
        <w:t xml:space="preserve"> </w:t>
      </w:r>
      <w:r w:rsidRPr="00C702D0">
        <w:rPr>
          <w:i/>
          <w:iCs/>
          <w:lang w:val="lv-LV"/>
        </w:rPr>
        <w:t>(</w:t>
      </w:r>
      <w:proofErr w:type="spellStart"/>
      <w:r w:rsidRPr="00C702D0">
        <w:rPr>
          <w:i/>
          <w:iCs/>
          <w:lang w:val="lv-LV"/>
        </w:rPr>
        <w:t>Monik</w:t>
      </w:r>
      <w:proofErr w:type="spellEnd"/>
      <w:r w:rsidRPr="00C702D0">
        <w:rPr>
          <w:i/>
          <w:iCs/>
          <w:lang w:val="lv-LV"/>
        </w:rPr>
        <w:t xml:space="preserve"> </w:t>
      </w:r>
      <w:proofErr w:type="spellStart"/>
      <w:r w:rsidRPr="00C702D0">
        <w:rPr>
          <w:i/>
          <w:iCs/>
          <w:lang w:val="lv-LV"/>
        </w:rPr>
        <w:t>Barbut</w:t>
      </w:r>
      <w:proofErr w:type="spellEnd"/>
      <w:r w:rsidRPr="00C702D0">
        <w:rPr>
          <w:i/>
          <w:iCs/>
          <w:lang w:val="lv-LV"/>
        </w:rPr>
        <w:t>).</w:t>
      </w:r>
      <w:r w:rsidRPr="00C702D0">
        <w:rPr>
          <w:lang w:val="lv-LV"/>
        </w:rPr>
        <w:t xml:space="preserve"> </w:t>
      </w:r>
      <w:r w:rsidR="0062610B" w:rsidRPr="00C702D0">
        <w:rPr>
          <w:lang w:val="lv-LV"/>
        </w:rPr>
        <w:t>Ī</w:t>
      </w:r>
      <w:r w:rsidRPr="00C702D0">
        <w:rPr>
          <w:lang w:val="lv-LV"/>
        </w:rPr>
        <w:t xml:space="preserve">paši nozīmīgi bija dzirdēt </w:t>
      </w:r>
      <w:proofErr w:type="spellStart"/>
      <w:r w:rsidR="0062610B" w:rsidRPr="00C702D0">
        <w:rPr>
          <w:lang w:val="lv-LV"/>
        </w:rPr>
        <w:t>M.Barbjē</w:t>
      </w:r>
      <w:proofErr w:type="spellEnd"/>
      <w:r w:rsidR="0062610B" w:rsidRPr="00C702D0">
        <w:rPr>
          <w:lang w:val="lv-LV"/>
        </w:rPr>
        <w:t xml:space="preserve"> </w:t>
      </w:r>
      <w:r w:rsidRPr="00C702D0">
        <w:rPr>
          <w:lang w:val="lv-LV"/>
        </w:rPr>
        <w:t>viedokli par UNCCD konvencijas attīstības redzējumu, kas īsumā ietver virzību uz stingrāku finan</w:t>
      </w:r>
      <w:r w:rsidR="0062610B" w:rsidRPr="00C702D0">
        <w:rPr>
          <w:lang w:val="lv-LV"/>
        </w:rPr>
        <w:t>š</w:t>
      </w:r>
      <w:r w:rsidRPr="00C702D0">
        <w:rPr>
          <w:lang w:val="lv-LV"/>
        </w:rPr>
        <w:t>u disciplīnu konvencijas ietvaros un būtisku konvencijas pozicionēšanu</w:t>
      </w:r>
      <w:r w:rsidR="0062610B" w:rsidRPr="00C702D0">
        <w:rPr>
          <w:lang w:val="lv-LV"/>
        </w:rPr>
        <w:t>,</w:t>
      </w:r>
      <w:r w:rsidRPr="00C702D0">
        <w:rPr>
          <w:lang w:val="lv-LV"/>
        </w:rPr>
        <w:t xml:space="preserve"> ņemot vērā sinerģijas starp trijām </w:t>
      </w:r>
      <w:proofErr w:type="spellStart"/>
      <w:r w:rsidRPr="00C702D0">
        <w:rPr>
          <w:lang w:val="lv-LV"/>
        </w:rPr>
        <w:t>Rio</w:t>
      </w:r>
      <w:proofErr w:type="spellEnd"/>
      <w:r w:rsidRPr="00C702D0">
        <w:rPr>
          <w:lang w:val="lv-LV"/>
        </w:rPr>
        <w:t xml:space="preserve"> konvencijām). Tādējādi sagaidāms, ka UNCCD attīstīsies straujāk kā pamatkonvencija, jo īpaši</w:t>
      </w:r>
      <w:r w:rsidR="0062610B" w:rsidRPr="00C702D0">
        <w:rPr>
          <w:lang w:val="lv-LV"/>
        </w:rPr>
        <w:t>,</w:t>
      </w:r>
      <w:r w:rsidRPr="00C702D0">
        <w:rPr>
          <w:lang w:val="lv-LV"/>
        </w:rPr>
        <w:t xml:space="preserve"> ņemot vērā konvencijas pamatmērķi, kas ietver nevienlīdzības un nabadzības  mazināšanu, pārtikas apgādes drošības aspektus, līdzsvarotu reģionu attīstību globālā līmenī.</w:t>
      </w:r>
    </w:p>
    <w:p w:rsidR="005B7DB4" w:rsidRDefault="005B7DB4" w:rsidP="006D0A5D">
      <w:pPr>
        <w:pStyle w:val="PointManual2"/>
        <w:jc w:val="both"/>
        <w:rPr>
          <w:b/>
        </w:rPr>
      </w:pPr>
      <w:r w:rsidRPr="00C702D0">
        <w:t>(</w:t>
      </w:r>
      <w:proofErr w:type="spellStart"/>
      <w:r w:rsidRPr="00C702D0">
        <w:t>ii</w:t>
      </w:r>
      <w:proofErr w:type="spellEnd"/>
      <w:r w:rsidRPr="00C702D0">
        <w:t>)</w:t>
      </w:r>
      <w:r w:rsidRPr="00C702D0">
        <w:tab/>
      </w:r>
      <w:r w:rsidRPr="002C3EE7">
        <w:rPr>
          <w:b/>
        </w:rPr>
        <w:t>Ilgtspējīgas attīstības komisijas 20.sesija (CSD20) (Ņujorkā, 2013.gada 20.septembrī)</w:t>
      </w:r>
    </w:p>
    <w:p w:rsidR="00732675" w:rsidRPr="002C3EE7" w:rsidRDefault="00732675" w:rsidP="006D0A5D">
      <w:pPr>
        <w:pStyle w:val="PointManual2"/>
        <w:ind w:left="0" w:firstLine="0"/>
        <w:jc w:val="both"/>
        <w:rPr>
          <w:b/>
        </w:rPr>
      </w:pPr>
      <w:r>
        <w:tab/>
        <w:t xml:space="preserve">Šī gada 20.septembrī, Ņujorkā notika Ilgtspējīgas Attīstības Komisijas 20. - noslēdzošā sesija. Sesija tika rīkota tieši pirms Augsta līmeņa Politiskā Foruma par ilgtspējīgu </w:t>
      </w:r>
      <w:r>
        <w:lastRenderedPageBreak/>
        <w:t>attīstību. Rio+20 dokumentā „Nākotne, kuru vēlamies” dalībvalstis ierosināja augsta līmeņa politiskā foruma izveidi, lai nodrošinātu ilgtspējīgas attīstības jautājumu iekļaušanu augsta līmeņa valdības darba kārtībā un tiek iesaistīti visi dalībnieki. Turpmāk, Augsta līmeņa Politiskais Forums ir efektīvi jāizmanto, lai nodrošinātu turpmāku ilgtspējīgas attīstības ieviešanu pēc 2015 attīstības ietvarā.</w:t>
      </w:r>
    </w:p>
    <w:p w:rsidR="00732675" w:rsidRDefault="005B7DB4" w:rsidP="006D0A5D">
      <w:pPr>
        <w:pStyle w:val="PointManual2"/>
        <w:jc w:val="both"/>
        <w:rPr>
          <w:b/>
        </w:rPr>
      </w:pPr>
      <w:r w:rsidRPr="00C702D0">
        <w:t>(</w:t>
      </w:r>
      <w:proofErr w:type="spellStart"/>
      <w:r w:rsidRPr="00C702D0">
        <w:t>iii</w:t>
      </w:r>
      <w:proofErr w:type="spellEnd"/>
      <w:r w:rsidRPr="00C702D0">
        <w:t>)</w:t>
      </w:r>
      <w:r w:rsidRPr="00C702D0">
        <w:tab/>
      </w:r>
      <w:r w:rsidRPr="002C3EE7">
        <w:rPr>
          <w:b/>
        </w:rPr>
        <w:t>Augsta līme</w:t>
      </w:r>
      <w:r w:rsidR="001418D0" w:rsidRPr="002C3EE7">
        <w:rPr>
          <w:b/>
        </w:rPr>
        <w:t>ņa politi</w:t>
      </w:r>
      <w:r w:rsidRPr="002C3EE7">
        <w:rPr>
          <w:b/>
        </w:rPr>
        <w:t>s</w:t>
      </w:r>
      <w:r w:rsidR="001418D0" w:rsidRPr="002C3EE7">
        <w:rPr>
          <w:b/>
        </w:rPr>
        <w:t>k</w:t>
      </w:r>
      <w:r w:rsidRPr="002C3EE7">
        <w:rPr>
          <w:b/>
        </w:rPr>
        <w:t>ā foruma par ilgtspējīgu attīstību pirmā sanāksmes (HLPF 1) (Ņujorkā, 2013.gada 24.septembrī)</w:t>
      </w:r>
    </w:p>
    <w:p w:rsidR="00732675" w:rsidRDefault="00732675" w:rsidP="006D0A5D">
      <w:pPr>
        <w:pStyle w:val="PointManual2"/>
        <w:ind w:left="0" w:firstLine="0"/>
        <w:jc w:val="both"/>
      </w:pPr>
      <w:r>
        <w:tab/>
        <w:t xml:space="preserve">Šī gada 24.septembrī, Ņujorkā notika sākotnējais Apvienoto Nāciju Augsta līmeņa Politiskais Forums par ilgtspējīgu attīstību. Forumā tika apstiprināta gatavība Rio+20 vīzijas ieviešanai, pēc 2015 attīstības ietvarā izvirzot kā galveno jautājumu nabadzības mazināšanu un ilgtspējīgu attīstību, vienlaikus respektējot cilvēktiesības, saglabājot mieru un drošību un uzlabojot labu pārvaldi. </w:t>
      </w:r>
    </w:p>
    <w:p w:rsidR="00732675" w:rsidRDefault="00732675" w:rsidP="006D0A5D">
      <w:pPr>
        <w:pStyle w:val="PointManual2"/>
        <w:ind w:left="0" w:firstLine="0"/>
        <w:jc w:val="both"/>
      </w:pPr>
      <w:r>
        <w:t>Pat reiz, aktuālākās problēmas ir klimata pārmaiņas, ūdens, enerģija, pārtikas nodrošinājums, darbavietas un pastāvīga nabadzība, ko var risināt tikai ar integrētas ilgtspējīgas attīstības trīs dimensiju palīdzību un veidojot iekļaujošu ekonomikas izaugsmi, vienlīdzīgu sabiedrību un ilgtspējīgu resursu izmantošanu.  </w:t>
      </w:r>
    </w:p>
    <w:p w:rsidR="00732675" w:rsidRPr="00732675" w:rsidRDefault="00732675" w:rsidP="006D0A5D">
      <w:pPr>
        <w:pStyle w:val="PointManual2"/>
        <w:ind w:left="0" w:firstLine="0"/>
        <w:jc w:val="both"/>
        <w:rPr>
          <w:b/>
        </w:rPr>
      </w:pPr>
      <w:r>
        <w:tab/>
        <w:t>Šī gada 10.oktobra Vienotajā darba grupā: Apvienoto Nāciju darba grupa, Attīstības darba grupa un Starptautisko vides jautājumu darba grupā</w:t>
      </w:r>
      <w:r>
        <w:rPr>
          <w:i/>
          <w:iCs/>
        </w:rPr>
        <w:t xml:space="preserve">, </w:t>
      </w:r>
      <w:r>
        <w:t>tiks sniegts ziņojums par Ilgtspējīgas Attīstības Komisijas 20.sesiju un par Augsta līmeņa politiskā foruma par ilgtspējīgu attīstību atklāšanas sanāksmi.</w:t>
      </w:r>
    </w:p>
    <w:p w:rsidR="005B7DB4" w:rsidRDefault="005B7DB4" w:rsidP="006D0A5D">
      <w:pPr>
        <w:pStyle w:val="PointManual2"/>
        <w:jc w:val="both"/>
        <w:rPr>
          <w:b/>
        </w:rPr>
      </w:pPr>
      <w:r w:rsidRPr="00C702D0">
        <w:t>(</w:t>
      </w:r>
      <w:proofErr w:type="spellStart"/>
      <w:r w:rsidRPr="00C702D0">
        <w:t>iv</w:t>
      </w:r>
      <w:proofErr w:type="spellEnd"/>
      <w:r w:rsidRPr="00C702D0">
        <w:t>)</w:t>
      </w:r>
      <w:r w:rsidRPr="00C702D0">
        <w:tab/>
      </w:r>
      <w:r w:rsidRPr="002C3EE7">
        <w:rPr>
          <w:b/>
        </w:rPr>
        <w:t>Tūkstošgades attīstības mērķu sasniegšanai veltīts speciāls pasākums(</w:t>
      </w:r>
      <w:proofErr w:type="spellStart"/>
      <w:r w:rsidRPr="002C3EE7">
        <w:rPr>
          <w:b/>
        </w:rPr>
        <w:t>MGs</w:t>
      </w:r>
      <w:proofErr w:type="spellEnd"/>
      <w:r w:rsidRPr="002C3EE7">
        <w:rPr>
          <w:b/>
        </w:rPr>
        <w:t>) (Ņujorkā, 2013.gada 25.septembrī)</w:t>
      </w:r>
    </w:p>
    <w:p w:rsidR="00E94684" w:rsidRPr="00E94684" w:rsidRDefault="00E94684" w:rsidP="006D0A5D">
      <w:pPr>
        <w:pStyle w:val="NormalWeb"/>
        <w:spacing w:before="0" w:after="0"/>
        <w:ind w:left="0" w:right="-1" w:firstLine="567"/>
        <w:jc w:val="both"/>
        <w:rPr>
          <w:sz w:val="24"/>
          <w:szCs w:val="24"/>
        </w:rPr>
      </w:pPr>
      <w:r w:rsidRPr="00E94684">
        <w:rPr>
          <w:sz w:val="24"/>
          <w:szCs w:val="24"/>
        </w:rPr>
        <w:t>Š.g. 25.septembrī ANO Ņujorkā norisinājās</w:t>
      </w:r>
      <w:r w:rsidRPr="00E94684">
        <w:rPr>
          <w:i/>
          <w:iCs/>
          <w:sz w:val="24"/>
          <w:szCs w:val="24"/>
        </w:rPr>
        <w:t xml:space="preserve"> </w:t>
      </w:r>
      <w:proofErr w:type="spellStart"/>
      <w:r w:rsidRPr="00E94684">
        <w:rPr>
          <w:i/>
          <w:iCs/>
          <w:sz w:val="24"/>
          <w:szCs w:val="24"/>
        </w:rPr>
        <w:t>MDGs</w:t>
      </w:r>
      <w:proofErr w:type="spellEnd"/>
      <w:r w:rsidRPr="00E94684">
        <w:rPr>
          <w:i/>
          <w:iCs/>
          <w:sz w:val="24"/>
          <w:szCs w:val="24"/>
        </w:rPr>
        <w:t xml:space="preserve"> </w:t>
      </w:r>
      <w:proofErr w:type="spellStart"/>
      <w:r w:rsidRPr="00E94684">
        <w:rPr>
          <w:i/>
          <w:iCs/>
          <w:sz w:val="24"/>
          <w:szCs w:val="24"/>
        </w:rPr>
        <w:t>Special</w:t>
      </w:r>
      <w:proofErr w:type="spellEnd"/>
      <w:r w:rsidRPr="00E94684">
        <w:rPr>
          <w:i/>
          <w:iCs/>
          <w:sz w:val="24"/>
          <w:szCs w:val="24"/>
        </w:rPr>
        <w:t xml:space="preserve"> </w:t>
      </w:r>
      <w:proofErr w:type="spellStart"/>
      <w:r w:rsidRPr="00E94684">
        <w:rPr>
          <w:i/>
          <w:iCs/>
          <w:sz w:val="24"/>
          <w:szCs w:val="24"/>
        </w:rPr>
        <w:t>Event</w:t>
      </w:r>
      <w:proofErr w:type="spellEnd"/>
      <w:r w:rsidRPr="00E94684">
        <w:rPr>
          <w:i/>
          <w:iCs/>
          <w:sz w:val="24"/>
          <w:szCs w:val="24"/>
        </w:rPr>
        <w:t>,</w:t>
      </w:r>
      <w:r w:rsidRPr="00E94684">
        <w:rPr>
          <w:sz w:val="24"/>
          <w:szCs w:val="24"/>
        </w:rPr>
        <w:t xml:space="preserve"> kura ietvaros tika diskutēts par spēkā esošo ANO Tūkstošgades attīstības mērķu sasniegšanas progresu, kā arī iezīmēta tālākā ceļa karte globālajām diskusijām par jaunā attīstības politikas ietvara pēc 2015. gada (</w:t>
      </w:r>
      <w:r w:rsidRPr="00E94684">
        <w:rPr>
          <w:i/>
          <w:iCs/>
          <w:sz w:val="24"/>
          <w:szCs w:val="24"/>
        </w:rPr>
        <w:t>post-2015)</w:t>
      </w:r>
      <w:r w:rsidRPr="00E94684">
        <w:rPr>
          <w:sz w:val="24"/>
          <w:szCs w:val="24"/>
        </w:rPr>
        <w:t xml:space="preserve"> izstrādi. </w:t>
      </w:r>
    </w:p>
    <w:p w:rsidR="00E94684" w:rsidRPr="002C3EE7" w:rsidRDefault="00E94684" w:rsidP="006D0A5D">
      <w:pPr>
        <w:pStyle w:val="PointManual2"/>
        <w:ind w:left="0" w:firstLine="567"/>
        <w:jc w:val="both"/>
        <w:rPr>
          <w:b/>
        </w:rPr>
      </w:pPr>
      <w:r>
        <w:t>Atzinīgi vērtējama pasākuma Noslēguma dokumenta pieņemšana. ES ir ievērojami ieguldījusi šī dokumenta sagatavošanā un šobrīd teksts ir ļoti sabalansēts un veido pietiekoši detalizētu ceļa karti post-2015 darba kārtībai. Dokumenta mērķis ir noteikt vienotu mērķu kopumu, kas būtu piemērojams visās pasaules valstīs.</w:t>
      </w:r>
    </w:p>
    <w:p w:rsidR="005B7DB4" w:rsidRPr="00C702D0" w:rsidRDefault="005B7DB4" w:rsidP="006D0A5D">
      <w:pPr>
        <w:pStyle w:val="PointManual2"/>
        <w:jc w:val="both"/>
      </w:pPr>
      <w:r w:rsidRPr="00C702D0">
        <w:t xml:space="preserve"> (v)</w:t>
      </w:r>
      <w:r w:rsidRPr="00C702D0">
        <w:tab/>
      </w:r>
      <w:proofErr w:type="spellStart"/>
      <w:r w:rsidR="001418D0" w:rsidRPr="002C3EE7">
        <w:rPr>
          <w:b/>
        </w:rPr>
        <w:t>Minimatas</w:t>
      </w:r>
      <w:proofErr w:type="spellEnd"/>
      <w:r w:rsidR="001418D0" w:rsidRPr="002C3EE7">
        <w:rPr>
          <w:b/>
        </w:rPr>
        <w:t xml:space="preserve"> konvencijas diplomātiskā konference (</w:t>
      </w:r>
      <w:proofErr w:type="spellStart"/>
      <w:r w:rsidR="001418D0" w:rsidRPr="002C3EE7">
        <w:rPr>
          <w:b/>
        </w:rPr>
        <w:t>Minamata</w:t>
      </w:r>
      <w:proofErr w:type="spellEnd"/>
      <w:r w:rsidR="001418D0" w:rsidRPr="002C3EE7">
        <w:rPr>
          <w:b/>
        </w:rPr>
        <w:t xml:space="preserve"> un</w:t>
      </w:r>
      <w:r w:rsidRPr="002C3EE7">
        <w:rPr>
          <w:b/>
        </w:rPr>
        <w:t xml:space="preserve"> </w:t>
      </w:r>
      <w:proofErr w:type="spellStart"/>
      <w:r w:rsidRPr="002C3EE7">
        <w:rPr>
          <w:b/>
        </w:rPr>
        <w:t>Kumamoto</w:t>
      </w:r>
      <w:proofErr w:type="spellEnd"/>
      <w:r w:rsidRPr="002C3EE7">
        <w:rPr>
          <w:b/>
        </w:rPr>
        <w:t xml:space="preserve">, </w:t>
      </w:r>
      <w:r w:rsidR="001418D0" w:rsidRPr="002C3EE7">
        <w:rPr>
          <w:b/>
        </w:rPr>
        <w:t>Japānā, 2013.gada 9.-11.oktobrī</w:t>
      </w:r>
      <w:r w:rsidRPr="002C3EE7">
        <w:rPr>
          <w:b/>
        </w:rPr>
        <w:t>)</w:t>
      </w:r>
    </w:p>
    <w:p w:rsidR="005B7DB4" w:rsidRPr="00C702D0" w:rsidRDefault="005B7DB4" w:rsidP="006D0A5D">
      <w:pPr>
        <w:jc w:val="both"/>
        <w:rPr>
          <w:i/>
        </w:rPr>
      </w:pPr>
      <w:r w:rsidRPr="00C702D0">
        <w:rPr>
          <w:i/>
        </w:rPr>
        <w:t>Sagaidāms, ka Komisija sniegs informāciju par nesen notikušajiem starptautiskajiem pasākumiem, to rezultātiem un tuvākajiem starptautiskajiem pasākumiem un sanāksmēm.</w:t>
      </w:r>
    </w:p>
    <w:p w:rsidR="005B7DB4" w:rsidRPr="00C702D0" w:rsidRDefault="005B7DB4" w:rsidP="006D0A5D">
      <w:pPr>
        <w:jc w:val="both"/>
        <w:rPr>
          <w:color w:val="000000"/>
        </w:rPr>
      </w:pPr>
    </w:p>
    <w:p w:rsidR="00573E56" w:rsidRPr="00C702D0" w:rsidRDefault="00573E56" w:rsidP="006D0A5D">
      <w:pPr>
        <w:jc w:val="both"/>
      </w:pPr>
      <w:r w:rsidRPr="00C702D0">
        <w:rPr>
          <w:b/>
        </w:rPr>
        <w:t xml:space="preserve">c) Starptautiskā jūras transporta emisiju uzskaites un kontroles sistēma </w:t>
      </w:r>
      <w:r w:rsidRPr="00C702D0">
        <w:t>(</w:t>
      </w:r>
      <w:r w:rsidRPr="00C702D0">
        <w:rPr>
          <w:i/>
        </w:rPr>
        <w:t>Informācija no Komisijas</w:t>
      </w:r>
      <w:r w:rsidRPr="00C702D0">
        <w:t>).</w:t>
      </w:r>
    </w:p>
    <w:p w:rsidR="00573E56" w:rsidRPr="00C702D0" w:rsidRDefault="00573E56" w:rsidP="006D0A5D">
      <w:pPr>
        <w:ind w:firstLine="720"/>
        <w:jc w:val="both"/>
        <w:rPr>
          <w:noProof/>
        </w:rPr>
      </w:pPr>
      <w:r w:rsidRPr="00C702D0">
        <w:rPr>
          <w:noProof/>
        </w:rPr>
        <w:t>ES līmenī starptautiskais jūras transports ir vienīgais transporta veids, uz ko nav attiecinātas SEG emisiju samazināšanas saistības, un tas nozīmē, ka visos citos sektoros valstīm ir jāpieliek lielāki pūliņi šo emisiju samazināšanai. Bez tam „tīra kuģošana”ir viena no ES prioritātēm BJR stratēģijai, un vairākkārt ir izskanējusi iniciatīva veidot Baltijas jūras reģionu (BJR) kā tīras kuģošanas modeļreģionu.</w:t>
      </w:r>
    </w:p>
    <w:p w:rsidR="00573E56" w:rsidRPr="00C702D0" w:rsidRDefault="00573E56" w:rsidP="006D0A5D">
      <w:pPr>
        <w:ind w:firstLine="720"/>
        <w:jc w:val="both"/>
        <w:rPr>
          <w:noProof/>
        </w:rPr>
      </w:pPr>
      <w:r w:rsidRPr="00C702D0">
        <w:t>1)</w:t>
      </w:r>
      <w:r w:rsidRPr="00C702D0">
        <w:rPr>
          <w:noProof/>
        </w:rPr>
        <w:t xml:space="preserve"> Kuģošanas joma pasaulē strauji attīstās, jo attīstās globālā tirdzniecība un pieaug iedzīvotāju skaits, līdz ar to tās radītās emisijas arī aug. </w:t>
      </w:r>
      <w:r w:rsidRPr="00C702D0">
        <w:t xml:space="preserve">Starptautiskās kuģošanas jautājumi parasti tiek regulēti </w:t>
      </w:r>
      <w:r w:rsidRPr="00C702D0">
        <w:rPr>
          <w:noProof/>
        </w:rPr>
        <w:t>Starptautiskās jūrniecības organizācijas (IMO</w:t>
      </w:r>
      <w:r w:rsidRPr="00C702D0">
        <w:t xml:space="preserve">) ietvaros. Baltijas jūras reģionā saistoša ir arī HELCOM konvencija. Taču attiecībā uz </w:t>
      </w:r>
      <w:r w:rsidRPr="00C702D0">
        <w:rPr>
          <w:noProof/>
        </w:rPr>
        <w:t xml:space="preserve">SEG emisiju samazināšanu šie jautājumi IMO risinās ļoti gausi. </w:t>
      </w:r>
    </w:p>
    <w:p w:rsidR="00573E56" w:rsidRPr="00C702D0" w:rsidRDefault="003847BD" w:rsidP="006D0A5D">
      <w:pPr>
        <w:ind w:firstLine="720"/>
        <w:jc w:val="both"/>
        <w:rPr>
          <w:noProof/>
        </w:rPr>
      </w:pPr>
      <w:r w:rsidRPr="00C702D0">
        <w:rPr>
          <w:noProof/>
        </w:rPr>
        <w:t>2</w:t>
      </w:r>
      <w:r w:rsidR="00573E56" w:rsidRPr="00C702D0">
        <w:rPr>
          <w:noProof/>
        </w:rPr>
        <w:t xml:space="preserve">)Pēc Eiropas Parlamenta ierosinājuma </w:t>
      </w:r>
      <w:r w:rsidR="00573E56" w:rsidRPr="00C702D0">
        <w:t xml:space="preserve">Eiropas Komisija ir nākusi klajā ar priekšlikumu Eiropas Parlamenta un Padomes regulai „Par jūras transporta oglekļa dioksīda emisiju monitoringu, paziņošanu un verifikāciju un par grozījumiem Regulā (ES) Nr.525/2013” (turpmāk Regula) ar mērķi izveidot un ieviest </w:t>
      </w:r>
      <w:r w:rsidR="00573E56" w:rsidRPr="00C702D0">
        <w:rPr>
          <w:noProof/>
        </w:rPr>
        <w:t xml:space="preserve">kuģu, kas ierodas, uzturas un </w:t>
      </w:r>
      <w:r w:rsidR="00573E56" w:rsidRPr="00C702D0">
        <w:rPr>
          <w:noProof/>
        </w:rPr>
        <w:lastRenderedPageBreak/>
        <w:t>izbrauc no ES dalībvalstu jurisdikcijā esošām ostām, CO</w:t>
      </w:r>
      <w:r w:rsidR="00573E56" w:rsidRPr="00C702D0">
        <w:rPr>
          <w:noProof/>
          <w:vertAlign w:val="subscript"/>
        </w:rPr>
        <w:t>2</w:t>
      </w:r>
      <w:r w:rsidR="00573E56" w:rsidRPr="00C702D0">
        <w:rPr>
          <w:noProof/>
        </w:rPr>
        <w:t xml:space="preserve"> emisiju monitoringa sistēmu, kas būtu pirmais solis pakāpeniskā šo emisiju samazināšanas procesā. </w:t>
      </w:r>
    </w:p>
    <w:p w:rsidR="00573E56" w:rsidRPr="00C702D0" w:rsidRDefault="003847BD" w:rsidP="006D0A5D">
      <w:pPr>
        <w:ind w:firstLine="720"/>
        <w:jc w:val="both"/>
        <w:rPr>
          <w:noProof/>
        </w:rPr>
      </w:pPr>
      <w:r w:rsidRPr="00C702D0">
        <w:rPr>
          <w:noProof/>
        </w:rPr>
        <w:t>3</w:t>
      </w:r>
      <w:r w:rsidR="00573E56" w:rsidRPr="00C702D0">
        <w:rPr>
          <w:noProof/>
        </w:rPr>
        <w:t>)</w:t>
      </w:r>
      <w:r w:rsidR="0015330C" w:rsidRPr="00C702D0">
        <w:rPr>
          <w:noProof/>
        </w:rPr>
        <w:t xml:space="preserve"> </w:t>
      </w:r>
      <w:r w:rsidR="00573E56" w:rsidRPr="00C702D0">
        <w:t xml:space="preserve">Latvijas pozīcija šajā jautājumā šobrīd ir saskaņošanas procesā. Kopumā Latvija uzskata, ka, ņemot vērā ES izvirzītos mērķus SEG emisiju samazināšanā laikam pēc 2020.gada, </w:t>
      </w:r>
      <w:r w:rsidR="00573E56" w:rsidRPr="00C702D0">
        <w:rPr>
          <w:noProof/>
        </w:rPr>
        <w:t>arī jūras transportam ir jāsniedz savs ieguldījums un kamēr nav ieviesti pilnvērtīgi pasākumi starptautiskā līmenī, atbalstāmi ir reģionāli pasākumi, kas pēcāk būtu saskaņojami ar globālajiem pasākumiem, tiklīdz tādi tiks ieviesti. Regulas prasībām šobrīd atbilst 8 Latvijā reģistrētie kuģi. Kā arī potenciāli pārbaudāmi būtu ~3700 Latvijas ostās ienākošie kuģi no trešajām valstīm (2012.gada statistika).</w:t>
      </w:r>
    </w:p>
    <w:p w:rsidR="00573E56" w:rsidRPr="00C702D0" w:rsidRDefault="003847BD" w:rsidP="006D0A5D">
      <w:pPr>
        <w:ind w:firstLine="720"/>
        <w:jc w:val="both"/>
        <w:rPr>
          <w:noProof/>
        </w:rPr>
      </w:pPr>
      <w:r w:rsidRPr="00C702D0">
        <w:rPr>
          <w:noProof/>
        </w:rPr>
        <w:t>4</w:t>
      </w:r>
      <w:r w:rsidR="00573E56" w:rsidRPr="00C702D0">
        <w:rPr>
          <w:noProof/>
        </w:rPr>
        <w:t xml:space="preserve">) Vienlaikus visām BJR valstīm svarīgs ir jautājums par to ostu konkurētspēju, ņemot vērā mūsu īpašos ģeogrāfiskos apstākļus un netālu esošās Krievijai piederošās ostas (Sanktpēterburga un Kaļiņingrada). </w:t>
      </w:r>
    </w:p>
    <w:p w:rsidR="00573E56" w:rsidRPr="00C702D0" w:rsidRDefault="00573E56" w:rsidP="006D0A5D">
      <w:pPr>
        <w:jc w:val="both"/>
      </w:pPr>
    </w:p>
    <w:p w:rsidR="00582CBF" w:rsidRPr="00C702D0" w:rsidRDefault="00573E56" w:rsidP="006D0A5D">
      <w:pPr>
        <w:jc w:val="both"/>
        <w:rPr>
          <w:b/>
        </w:rPr>
      </w:pPr>
      <w:r w:rsidRPr="00C702D0">
        <w:t xml:space="preserve"> </w:t>
      </w:r>
      <w:r w:rsidR="00921684" w:rsidRPr="00C702D0">
        <w:rPr>
          <w:b/>
        </w:rPr>
        <w:t>d</w:t>
      </w:r>
      <w:r w:rsidR="00D605D4" w:rsidRPr="00C702D0">
        <w:rPr>
          <w:b/>
        </w:rPr>
        <w:t xml:space="preserve">) </w:t>
      </w:r>
      <w:r w:rsidR="00921684" w:rsidRPr="00C702D0">
        <w:rPr>
          <w:b/>
        </w:rPr>
        <w:t>Monreālas protokols</w:t>
      </w:r>
    </w:p>
    <w:p w:rsidR="00921684" w:rsidRPr="00C702D0" w:rsidRDefault="00E4082A" w:rsidP="006D0A5D">
      <w:pPr>
        <w:jc w:val="both"/>
        <w:rPr>
          <w:b/>
          <w:i/>
        </w:rPr>
      </w:pPr>
      <w:r>
        <w:rPr>
          <w:b/>
        </w:rPr>
        <w:tab/>
      </w:r>
      <w:r w:rsidR="00582CBF" w:rsidRPr="00C702D0">
        <w:rPr>
          <w:b/>
        </w:rPr>
        <w:t>(i)</w:t>
      </w:r>
      <w:r w:rsidR="00D70A47" w:rsidRPr="00C702D0">
        <w:rPr>
          <w:b/>
        </w:rPr>
        <w:t xml:space="preserve"> </w:t>
      </w:r>
      <w:r w:rsidR="00582CBF" w:rsidRPr="00C702D0">
        <w:rPr>
          <w:b/>
        </w:rPr>
        <w:t xml:space="preserve">Politiska deklarācija </w:t>
      </w:r>
      <w:r w:rsidR="003847BD" w:rsidRPr="00C702D0">
        <w:rPr>
          <w:b/>
        </w:rPr>
        <w:t>saistībā ar</w:t>
      </w:r>
      <w:r w:rsidR="00582CBF" w:rsidRPr="00C702D0">
        <w:rPr>
          <w:b/>
        </w:rPr>
        <w:t xml:space="preserve"> saistību pārdales lēmum</w:t>
      </w:r>
      <w:r w:rsidR="003847BD" w:rsidRPr="00C702D0">
        <w:rPr>
          <w:b/>
        </w:rPr>
        <w:t>u</w:t>
      </w:r>
      <w:r w:rsidR="00582CBF" w:rsidRPr="00C702D0">
        <w:rPr>
          <w:b/>
        </w:rPr>
        <w:t xml:space="preserve"> </w:t>
      </w:r>
      <w:r w:rsidR="00582CBF" w:rsidRPr="00C702D0">
        <w:rPr>
          <w:b/>
          <w:i/>
        </w:rPr>
        <w:t>(</w:t>
      </w:r>
      <w:r w:rsidR="00D70A47" w:rsidRPr="00C702D0">
        <w:rPr>
          <w:b/>
          <w:i/>
        </w:rPr>
        <w:t>Tiks sniegta i</w:t>
      </w:r>
      <w:r w:rsidR="00582CBF" w:rsidRPr="00C702D0">
        <w:rPr>
          <w:b/>
          <w:i/>
        </w:rPr>
        <w:t>nformācija no Dānijas delegācijas)</w:t>
      </w:r>
    </w:p>
    <w:p w:rsidR="002C3EE7" w:rsidRDefault="002C3EE7" w:rsidP="006D0A5D">
      <w:pPr>
        <w:ind w:firstLine="720"/>
        <w:jc w:val="both"/>
      </w:pPr>
      <w:r w:rsidRPr="0015330C">
        <w:t xml:space="preserve">ES kopīgais </w:t>
      </w:r>
      <w:r>
        <w:t xml:space="preserve">siltumnīcefekta gāzu (turpmāk - SEG) </w:t>
      </w:r>
      <w:r w:rsidRPr="0015330C">
        <w:t>emisiju samazināšanas mērķis ir noteikts ar saistībām ANO Vispārējās Konvencijas par klimata pārmaiņām (turpmāk – Konvenci</w:t>
      </w:r>
      <w:r>
        <w:t xml:space="preserve">jas) ietvaros. </w:t>
      </w:r>
      <w:r w:rsidRPr="0015330C">
        <w:t>ES dalībvalstis (turpmāk – DV) ir apņēmušās pildīt</w:t>
      </w:r>
      <w:r>
        <w:t xml:space="preserve"> saistības kopīgi, līdz </w:t>
      </w:r>
      <w:r w:rsidRPr="0015330C">
        <w:t xml:space="preserve">2020.gadam panākot emisiju samazinājumu par 20 % (pie atbilstošiem nosacījumiem pat 30 %), salīdzinot ar 1990. bāzes gadu. </w:t>
      </w:r>
    </w:p>
    <w:p w:rsidR="002C3EE7" w:rsidRPr="0015330C" w:rsidRDefault="002C3EE7" w:rsidP="006D0A5D">
      <w:pPr>
        <w:ind w:firstLine="720"/>
        <w:jc w:val="both"/>
      </w:pPr>
      <w:r>
        <w:t xml:space="preserve">Šis </w:t>
      </w:r>
      <w:r w:rsidRPr="0015330C">
        <w:t>ES kopīgais mērķis ir pārrēķināts iekšēji un noteikts pret 2005.gadu, paredzot, ka:</w:t>
      </w:r>
    </w:p>
    <w:p w:rsidR="002C3EE7" w:rsidRPr="0015330C" w:rsidRDefault="002C3EE7" w:rsidP="006D0A5D">
      <w:pPr>
        <w:pStyle w:val="ListParagraph"/>
        <w:numPr>
          <w:ilvl w:val="0"/>
          <w:numId w:val="12"/>
        </w:numPr>
        <w:ind w:left="709" w:hanging="567"/>
        <w:jc w:val="both"/>
        <w:rPr>
          <w:color w:val="000000"/>
        </w:rPr>
      </w:pPr>
      <w:r w:rsidRPr="0015330C">
        <w:t xml:space="preserve">ES Emisiju tirdzniecības sistēmā (turpmāk - ETS) iekļautajās nozarēs jāpanāk emisiju samazinājums par 21 %, </w:t>
      </w:r>
    </w:p>
    <w:p w:rsidR="002C3EE7" w:rsidRPr="0015330C" w:rsidRDefault="002C3EE7" w:rsidP="006D0A5D">
      <w:pPr>
        <w:pStyle w:val="ListParagraph"/>
        <w:numPr>
          <w:ilvl w:val="0"/>
          <w:numId w:val="12"/>
        </w:numPr>
        <w:ind w:left="709" w:hanging="567"/>
        <w:jc w:val="both"/>
        <w:rPr>
          <w:color w:val="000000"/>
          <w:u w:val="single"/>
        </w:rPr>
      </w:pPr>
      <w:r w:rsidRPr="0015330C">
        <w:rPr>
          <w:color w:val="000000"/>
        </w:rPr>
        <w:t xml:space="preserve">ETS neiekļautajās nozarēs (turpmāk – ne-ETS) (tādās kā transports (izņemot aviāciju), lauksaimniecība, būvniecība, atkritumu apsaimniekošana, pakalpojumi, mazā rūpniecība u.c.) </w:t>
      </w:r>
      <w:r w:rsidRPr="0015330C">
        <w:t xml:space="preserve">jāpanāk emisiju samazinājums par </w:t>
      </w:r>
      <w:r w:rsidRPr="0015330C">
        <w:rPr>
          <w:color w:val="000000"/>
        </w:rPr>
        <w:t xml:space="preserve">10 % . </w:t>
      </w:r>
    </w:p>
    <w:p w:rsidR="002C3EE7" w:rsidRPr="0015330C" w:rsidRDefault="002C3EE7" w:rsidP="006D0A5D">
      <w:pPr>
        <w:ind w:firstLine="720"/>
        <w:jc w:val="both"/>
        <w:rPr>
          <w:color w:val="000000"/>
        </w:rPr>
      </w:pPr>
      <w:r w:rsidRPr="0015330C">
        <w:t>Lai nodrošinātu ES klimata politikas mērķu sasniegšanu, ņemot vērā DV dažādo rīcībspēju un attīstības nepieciešamību, ES ietvaros saistības starp DV ir taisnīgi pārdalītas ar</w:t>
      </w:r>
      <w:r w:rsidRPr="0015330C">
        <w:rPr>
          <w:color w:val="000000"/>
        </w:rPr>
        <w:t xml:space="preserve"> Saistību pārdales lēmumu (</w:t>
      </w:r>
      <w:proofErr w:type="spellStart"/>
      <w:r w:rsidRPr="0015330C">
        <w:rPr>
          <w:color w:val="000000"/>
        </w:rPr>
        <w:t>Effort</w:t>
      </w:r>
      <w:proofErr w:type="spellEnd"/>
      <w:r w:rsidRPr="0015330C">
        <w:rPr>
          <w:color w:val="000000"/>
        </w:rPr>
        <w:t xml:space="preserve"> </w:t>
      </w:r>
      <w:proofErr w:type="spellStart"/>
      <w:r w:rsidRPr="0015330C">
        <w:rPr>
          <w:color w:val="000000"/>
        </w:rPr>
        <w:t>Sharing</w:t>
      </w:r>
      <w:proofErr w:type="spellEnd"/>
      <w:r w:rsidRPr="0015330C">
        <w:rPr>
          <w:color w:val="000000"/>
        </w:rPr>
        <w:t xml:space="preserve"> </w:t>
      </w:r>
      <w:proofErr w:type="spellStart"/>
      <w:r w:rsidRPr="0015330C">
        <w:rPr>
          <w:color w:val="000000"/>
        </w:rPr>
        <w:t>Decision</w:t>
      </w:r>
      <w:proofErr w:type="spellEnd"/>
      <w:r w:rsidRPr="0015330C">
        <w:rPr>
          <w:color w:val="000000"/>
        </w:rPr>
        <w:t>) - Eiropas Parlamenta un Padomes lēmumu Nr.406/2009/EK “Par dalībvalstu pasākumiem siltumnīcas efektu izraisošo gāzu emisiju samazināšanai, lai izpildītu Kopienas saistības siltumnīcas efektu izraisošu gāzu emisiju samazināšanas jomā līdz 2020.gadam” 3.pantu un II pielikumu.</w:t>
      </w:r>
    </w:p>
    <w:p w:rsidR="002C3EE7" w:rsidRDefault="002C3EE7" w:rsidP="006D0A5D">
      <w:pPr>
        <w:ind w:firstLine="720"/>
        <w:jc w:val="both"/>
      </w:pPr>
      <w:r>
        <w:rPr>
          <w:color w:val="000000"/>
        </w:rPr>
        <w:t>N</w:t>
      </w:r>
      <w:r w:rsidRPr="0015330C">
        <w:rPr>
          <w:color w:val="000000"/>
        </w:rPr>
        <w:t xml:space="preserve">e-ETS nozarēs saistību pārdales lēmums nosaka katras </w:t>
      </w:r>
      <w:r>
        <w:rPr>
          <w:color w:val="000000"/>
        </w:rPr>
        <w:t>DV</w:t>
      </w:r>
      <w:r w:rsidRPr="0015330C">
        <w:rPr>
          <w:color w:val="000000"/>
        </w:rPr>
        <w:t xml:space="preserve"> ikgadējos emisiju sadales apjomus laikaposmam no 2013.-2020.gadam.</w:t>
      </w:r>
      <w:r w:rsidRPr="0015330C">
        <w:t xml:space="preserve"> Šīs saistības ir noteiktas ar ES </w:t>
      </w:r>
      <w:r w:rsidRPr="0015330C">
        <w:rPr>
          <w:color w:val="000000"/>
        </w:rPr>
        <w:t>klimata un e</w:t>
      </w:r>
      <w:r>
        <w:rPr>
          <w:color w:val="000000"/>
        </w:rPr>
        <w:t>nerģētikas tiesību aktu kopumu (2008/</w:t>
      </w:r>
      <w:r w:rsidRPr="0015330C">
        <w:rPr>
          <w:color w:val="000000"/>
        </w:rPr>
        <w:t>2009</w:t>
      </w:r>
      <w:r>
        <w:rPr>
          <w:color w:val="000000"/>
        </w:rPr>
        <w:t>)</w:t>
      </w:r>
      <w:r w:rsidRPr="0015330C">
        <w:t xml:space="preserve">. </w:t>
      </w:r>
    </w:p>
    <w:p w:rsidR="002C3EE7" w:rsidRPr="00B40620" w:rsidRDefault="002C3EE7" w:rsidP="006D0A5D">
      <w:pPr>
        <w:ind w:firstLine="720"/>
        <w:jc w:val="both"/>
      </w:pPr>
      <w:r w:rsidRPr="0015330C">
        <w:rPr>
          <w:color w:val="000000"/>
        </w:rPr>
        <w:t>Lēmums</w:t>
      </w:r>
      <w:r w:rsidRPr="0015330C">
        <w:t xml:space="preserve"> paredz arī izvērtēt panākumus energoefektivitātes jomā, proti – virzību uz ES kopējo energoefektivitātes mērķi: līdz 2020.gadam samazināt enerģijas patēriņu par 20 % (tas paredzēts ES Energoefektivitātes rīcības plānā, 2006).</w:t>
      </w:r>
      <w:r w:rsidRPr="0015330C">
        <w:rPr>
          <w:color w:val="000000"/>
        </w:rPr>
        <w:t xml:space="preserve"> </w:t>
      </w:r>
      <w:r>
        <w:rPr>
          <w:color w:val="000000"/>
        </w:rPr>
        <w:t>A</w:t>
      </w:r>
      <w:r w:rsidRPr="0015330C">
        <w:rPr>
          <w:color w:val="000000"/>
        </w:rPr>
        <w:t xml:space="preserve">r Lēmumu (9.pants) ir noteikts, ka </w:t>
      </w:r>
      <w:r>
        <w:rPr>
          <w:color w:val="000000"/>
        </w:rPr>
        <w:t>DV</w:t>
      </w:r>
      <w:r w:rsidRPr="0015330C">
        <w:rPr>
          <w:color w:val="000000"/>
        </w:rPr>
        <w:t xml:space="preserve"> ieguldījumā saistību izpildē tiek ierēķinātas arī ar zemes lietojumu, zemes lietojuma maiņu un mežsaimniecību saistītās emisijas (tam ir noteikts atsevišķs regulējums). Lēmums paredz arī virkni procedūru, tostarp, kā </w:t>
      </w:r>
      <w:r>
        <w:rPr>
          <w:color w:val="000000"/>
        </w:rPr>
        <w:t>DV</w:t>
      </w:r>
      <w:r w:rsidRPr="0015330C">
        <w:rPr>
          <w:color w:val="000000"/>
        </w:rPr>
        <w:t xml:space="preserve"> iespējams pārnest savus emisiju sadales apjomus starp gadiem; kā nodot/pārskaitīt vai nopirkt daļu no emisiju apjoma no citas dalībvalsts, kā izmanto</w:t>
      </w:r>
      <w:r>
        <w:rPr>
          <w:color w:val="000000"/>
        </w:rPr>
        <w:t>t</w:t>
      </w:r>
      <w:r w:rsidRPr="0015330C">
        <w:rPr>
          <w:color w:val="000000"/>
        </w:rPr>
        <w:t xml:space="preserve"> emisiju samazināšanas kredītus no projektu pasākumiem; kā arī ziņošanas un reģistru uzturēšanas prasības.</w:t>
      </w:r>
    </w:p>
    <w:p w:rsidR="002C3EE7" w:rsidRDefault="002C3EE7" w:rsidP="006D0A5D">
      <w:pPr>
        <w:ind w:firstLine="720"/>
        <w:jc w:val="both"/>
      </w:pPr>
      <w:r w:rsidRPr="0015330C">
        <w:t>Prognozes liecina, ka ES kopumā veiksmīgi virzās uz 2020.gada SEG emisiju samazinājuma mērķi (2011. gadā sasniegts 18,4 % SEG emisiju samazinājums pret 1990.gadu (neierēķinot LULUCF sektoru</w:t>
      </w:r>
      <w:r w:rsidRPr="0015330C">
        <w:rPr>
          <w:vertAlign w:val="superscript"/>
        </w:rPr>
        <w:footnoteReference w:id="3"/>
      </w:r>
      <w:r w:rsidRPr="0015330C">
        <w:t>)</w:t>
      </w:r>
      <w:r w:rsidRPr="0015330C">
        <w:rPr>
          <w:vertAlign w:val="superscript"/>
        </w:rPr>
        <w:footnoteReference w:id="4"/>
      </w:r>
      <w:r w:rsidRPr="0015330C">
        <w:t xml:space="preserve">, tomēr pusei </w:t>
      </w:r>
      <w:r>
        <w:t>DV</w:t>
      </w:r>
      <w:r w:rsidRPr="0015330C">
        <w:t xml:space="preserve"> </w:t>
      </w:r>
      <w:r>
        <w:t>būs</w:t>
      </w:r>
      <w:r w:rsidRPr="0015330C">
        <w:t xml:space="preserve"> jāveic papildu pasākumi, lai nodrošinātu savu saistību izpildi ES kopīgā mērķa sasniegšanā. </w:t>
      </w:r>
    </w:p>
    <w:p w:rsidR="002C3EE7" w:rsidRPr="00066BA9" w:rsidRDefault="00066BA9" w:rsidP="006D0A5D">
      <w:pPr>
        <w:jc w:val="both"/>
      </w:pPr>
      <w:r w:rsidRPr="00066BA9">
        <w:lastRenderedPageBreak/>
        <w:tab/>
      </w:r>
      <w:r w:rsidR="002C3EE7" w:rsidRPr="00066BA9">
        <w:t>Latvijas viedoklis:</w:t>
      </w:r>
    </w:p>
    <w:p w:rsidR="002C3EE7" w:rsidRPr="002C3EE7" w:rsidRDefault="002C3EE7" w:rsidP="006D0A5D">
      <w:pPr>
        <w:pStyle w:val="ListParagraph"/>
        <w:numPr>
          <w:ilvl w:val="0"/>
          <w:numId w:val="17"/>
        </w:numPr>
        <w:ind w:left="0" w:firstLine="0"/>
        <w:jc w:val="both"/>
      </w:pPr>
      <w:r w:rsidRPr="002C3EE7">
        <w:t>Latvijas situācija ir specifiska, jo mūsu ETS sektors (lielie enerģijas patērētāji, ražotāji) aptver tikai 27 % no kopējām valsts SEG emisijām, tāpēc tālākam emisiju samazinājumam nepieciešama efektīva politiku integrācija;</w:t>
      </w:r>
    </w:p>
    <w:p w:rsidR="002C3EE7" w:rsidRPr="002C3EE7" w:rsidRDefault="002C3EE7" w:rsidP="006D0A5D">
      <w:pPr>
        <w:pStyle w:val="ListParagraph"/>
        <w:numPr>
          <w:ilvl w:val="0"/>
          <w:numId w:val="17"/>
        </w:numPr>
        <w:ind w:left="0" w:firstLine="0"/>
        <w:jc w:val="both"/>
      </w:pPr>
      <w:r w:rsidRPr="002C3EE7">
        <w:t>Tālākas Latvijai noteiktās emisiju samazināšanas saistības ne-ETS sektorus ir sasniedzamas ar samērā lielām izmaksām un pie kam sektoros (transportā, lauksaimniecībā, mājsaimniecību sektorā), kur do</w:t>
      </w:r>
      <w:r w:rsidR="00F32AC9">
        <w:t>minē izkliedēti</w:t>
      </w:r>
      <w:proofErr w:type="gramStart"/>
      <w:r w:rsidR="00F32AC9">
        <w:t xml:space="preserve">  </w:t>
      </w:r>
      <w:proofErr w:type="gramEnd"/>
      <w:r w:rsidR="00F32AC9">
        <w:t>emisijas avoti;</w:t>
      </w:r>
    </w:p>
    <w:p w:rsidR="00582CBF" w:rsidRPr="00066BA9" w:rsidRDefault="002C3EE7" w:rsidP="006D0A5D">
      <w:pPr>
        <w:pStyle w:val="ListParagraph"/>
        <w:numPr>
          <w:ilvl w:val="0"/>
          <w:numId w:val="17"/>
        </w:numPr>
        <w:ind w:left="0" w:firstLine="0"/>
        <w:jc w:val="both"/>
        <w:rPr>
          <w:color w:val="000000"/>
        </w:rPr>
      </w:pPr>
      <w:r w:rsidRPr="002C3EE7">
        <w:t>Latvijā 2020.gadā, salīdzinot ar 2010.gadu vislielāko emisiju pieaugumu ne-</w:t>
      </w:r>
      <w:proofErr w:type="spellStart"/>
      <w:r w:rsidRPr="002C3EE7">
        <w:t>ETs</w:t>
      </w:r>
      <w:proofErr w:type="spellEnd"/>
      <w:r w:rsidRPr="002C3EE7">
        <w:t xml:space="preserve"> sektorā uzrāda rūpniecība un celtniecība; rūpnieciskie procesi un lauksaimniecība. Šis ir būtiskas nozares valsts attīstībai un emisiju samazinājums tajās ir jālīdzsvaro ar attīstības iespējām un jauno tehnoloģiju pieejamību.</w:t>
      </w:r>
      <w:r w:rsidR="00582CBF" w:rsidRPr="002C3EE7">
        <w:t xml:space="preserve"> </w:t>
      </w:r>
    </w:p>
    <w:p w:rsidR="00066BA9" w:rsidRPr="002C3EE7" w:rsidRDefault="00066BA9" w:rsidP="006D0A5D">
      <w:pPr>
        <w:pStyle w:val="ListParagraph"/>
        <w:ind w:left="0"/>
        <w:jc w:val="both"/>
        <w:rPr>
          <w:color w:val="000000"/>
        </w:rPr>
      </w:pPr>
    </w:p>
    <w:p w:rsidR="00921684" w:rsidRPr="00C702D0" w:rsidRDefault="00E4082A" w:rsidP="006D0A5D">
      <w:pPr>
        <w:pStyle w:val="PointDoubleManual2"/>
        <w:tabs>
          <w:tab w:val="clear" w:pos="1701"/>
        </w:tabs>
        <w:ind w:left="567" w:hanging="567"/>
        <w:jc w:val="both"/>
        <w:rPr>
          <w:b/>
          <w:lang w:val="lv-LV"/>
        </w:rPr>
      </w:pPr>
      <w:r>
        <w:rPr>
          <w:b/>
          <w:lang w:val="lv-LV"/>
        </w:rPr>
        <w:tab/>
      </w:r>
      <w:r w:rsidR="00D70A47" w:rsidRPr="00C702D0">
        <w:rPr>
          <w:b/>
          <w:lang w:val="lv-LV"/>
        </w:rPr>
        <w:t xml:space="preserve"> </w:t>
      </w:r>
      <w:r w:rsidR="00921684" w:rsidRPr="00C702D0">
        <w:rPr>
          <w:b/>
          <w:lang w:val="lv-LV"/>
        </w:rPr>
        <w:t>(</w:t>
      </w:r>
      <w:proofErr w:type="spellStart"/>
      <w:r w:rsidR="00921684" w:rsidRPr="00C702D0">
        <w:rPr>
          <w:b/>
          <w:lang w:val="lv-LV"/>
        </w:rPr>
        <w:t>ii</w:t>
      </w:r>
      <w:proofErr w:type="spellEnd"/>
      <w:r w:rsidR="00921684" w:rsidRPr="00C702D0">
        <w:rPr>
          <w:b/>
          <w:lang w:val="lv-LV"/>
        </w:rPr>
        <w:t>)</w:t>
      </w:r>
      <w:r w:rsidR="00921684" w:rsidRPr="00C702D0">
        <w:rPr>
          <w:b/>
          <w:lang w:val="lv-LV"/>
        </w:rPr>
        <w:tab/>
      </w:r>
      <w:r w:rsidR="0071747E" w:rsidRPr="00C702D0">
        <w:rPr>
          <w:b/>
          <w:lang w:val="lv-LV"/>
        </w:rPr>
        <w:t>V</w:t>
      </w:r>
      <w:r w:rsidR="000332B6" w:rsidRPr="00C702D0">
        <w:rPr>
          <w:b/>
          <w:lang w:val="lv-LV"/>
        </w:rPr>
        <w:t>ienoš</w:t>
      </w:r>
      <w:r w:rsidR="00552EA1">
        <w:rPr>
          <w:b/>
          <w:lang w:val="lv-LV"/>
        </w:rPr>
        <w:t>a</w:t>
      </w:r>
      <w:r w:rsidR="000332B6" w:rsidRPr="00C702D0">
        <w:rPr>
          <w:b/>
          <w:lang w:val="lv-LV"/>
        </w:rPr>
        <w:t>n</w:t>
      </w:r>
      <w:r w:rsidR="00552EA1">
        <w:rPr>
          <w:b/>
          <w:lang w:val="lv-LV"/>
        </w:rPr>
        <w:t>ā</w:t>
      </w:r>
      <w:r w:rsidR="000332B6" w:rsidRPr="00C702D0">
        <w:rPr>
          <w:b/>
          <w:lang w:val="lv-LV"/>
        </w:rPr>
        <w:t xml:space="preserve">s </w:t>
      </w:r>
      <w:r w:rsidR="0071747E" w:rsidRPr="00C702D0">
        <w:rPr>
          <w:b/>
          <w:lang w:val="lv-LV"/>
        </w:rPr>
        <w:t xml:space="preserve">par </w:t>
      </w:r>
      <w:proofErr w:type="spellStart"/>
      <w:r w:rsidR="00C373F0" w:rsidRPr="00C702D0">
        <w:rPr>
          <w:b/>
          <w:lang w:val="lv-LV"/>
        </w:rPr>
        <w:t>fluorēto</w:t>
      </w:r>
      <w:proofErr w:type="spellEnd"/>
      <w:r w:rsidR="00C373F0" w:rsidRPr="00C702D0">
        <w:rPr>
          <w:b/>
          <w:lang w:val="lv-LV"/>
        </w:rPr>
        <w:t xml:space="preserve"> siltumnīcefekta gāzu pakāpenisku izņemšanu no aprites </w:t>
      </w:r>
      <w:r w:rsidR="000332B6" w:rsidRPr="00C702D0">
        <w:rPr>
          <w:b/>
          <w:lang w:val="lv-LV"/>
        </w:rPr>
        <w:t>(Informācija no Komisijas)</w:t>
      </w:r>
    </w:p>
    <w:p w:rsidR="0071747E" w:rsidRPr="00C702D0" w:rsidRDefault="0071747E" w:rsidP="006D0A5D">
      <w:pPr>
        <w:pStyle w:val="Dash3"/>
        <w:numPr>
          <w:ilvl w:val="0"/>
          <w:numId w:val="0"/>
        </w:numPr>
        <w:ind w:firstLine="567"/>
        <w:jc w:val="both"/>
      </w:pPr>
      <w:r w:rsidRPr="00C702D0">
        <w:t xml:space="preserve">Šā gada jūnijā ANO Vides programmas rīkotajā 33.sagatavošanās sanāksmē Monreālas protokola Pušu sanāksmei tika uzrunāts jautājums par </w:t>
      </w:r>
      <w:proofErr w:type="spellStart"/>
      <w:r w:rsidRPr="00C702D0">
        <w:t>fluorēto</w:t>
      </w:r>
      <w:proofErr w:type="spellEnd"/>
      <w:r w:rsidRPr="00C702D0">
        <w:t xml:space="preserve"> siltumnīcefekta gāzu izņemšanu no aprites. Eiropas Savienībā minētā jautājumi statuss sekojošs:</w:t>
      </w:r>
    </w:p>
    <w:p w:rsidR="0071747E" w:rsidRPr="00C702D0" w:rsidRDefault="00E07D59" w:rsidP="006D0A5D">
      <w:pPr>
        <w:jc w:val="both"/>
      </w:pPr>
      <w:r>
        <w:tab/>
      </w:r>
      <w:r w:rsidR="0071747E" w:rsidRPr="00C702D0">
        <w:t xml:space="preserve">2012.gada nogalē Eiropas Komisija nāca klajā ar priekšlikumu Eiropas Parlamenta un Padomes regulas projektam par </w:t>
      </w:r>
      <w:proofErr w:type="spellStart"/>
      <w:r w:rsidR="0071747E" w:rsidRPr="00C702D0">
        <w:t>fluorētām</w:t>
      </w:r>
      <w:proofErr w:type="spellEnd"/>
      <w:r w:rsidR="0071747E" w:rsidRPr="00C702D0">
        <w:t xml:space="preserve"> siltumnīcefekta gāzēm (turpmāk – regulas projekts). Minētā regulas projekta mērķis, vadoties no progresa izvērtējuma, kas sasniegts ieviešot Regulu Nr.1005/2009</w:t>
      </w:r>
      <w:r w:rsidR="0071747E" w:rsidRPr="00C702D0">
        <w:rPr>
          <w:rStyle w:val="FootnoteReference"/>
        </w:rPr>
        <w:footnoteReference w:id="5"/>
      </w:r>
      <w:r w:rsidR="0071747E" w:rsidRPr="00C702D0">
        <w:t xml:space="preserve">, izvirzīt īpašus nosacījumus tieši tām darbībām, kurās izmanto </w:t>
      </w:r>
      <w:proofErr w:type="spellStart"/>
      <w:r w:rsidR="0071747E" w:rsidRPr="00C702D0">
        <w:t>fluorētās</w:t>
      </w:r>
      <w:proofErr w:type="spellEnd"/>
      <w:r w:rsidR="0071747E" w:rsidRPr="00C702D0">
        <w:t xml:space="preserve"> siltumnīcefekta gāzes.</w:t>
      </w:r>
    </w:p>
    <w:p w:rsidR="0071747E" w:rsidRPr="00C702D0" w:rsidRDefault="007E07E2" w:rsidP="006D0A5D">
      <w:pPr>
        <w:jc w:val="both"/>
      </w:pPr>
      <w:r w:rsidRPr="00C702D0">
        <w:tab/>
      </w:r>
      <w:r w:rsidR="0071747E" w:rsidRPr="00C702D0">
        <w:t>Šobrīd Eiropas Padomes vides darba grupa Lietuvas prezidentūras vadībā veic intensīvu darbu, lai panāktu regulas projekta pirmā lasījuma vienošanos. Latvija izprot un atbalsta regulas projekta mērķus, tomēr ir atsevišķi jautājumi, kuros Latvija tāpat kā atsevišķas dalībvalstis šobrīd saskata nepieciešamību un iespēju veikt regulējuma turpmāku izvērtējumu un precizējumus.</w:t>
      </w:r>
    </w:p>
    <w:p w:rsidR="0071747E" w:rsidRPr="00C702D0" w:rsidRDefault="007E07E2" w:rsidP="006D0A5D">
      <w:pPr>
        <w:jc w:val="both"/>
      </w:pPr>
      <w:r w:rsidRPr="00C702D0">
        <w:tab/>
      </w:r>
      <w:r w:rsidR="0071747E" w:rsidRPr="00C702D0">
        <w:t xml:space="preserve">Monreālas protokola valstis par minēto priekšlikumu ir izrādījušas ievērojamu interesi, kā arī paudušas bažas par to, vai šajā gadījumā Monreālas protokolā netiek atvērta jauna sadaļa, kas </w:t>
      </w:r>
      <w:r w:rsidR="00E07D59">
        <w:t>(</w:t>
      </w:r>
      <w:r w:rsidR="0071747E" w:rsidRPr="00C702D0">
        <w:t>ņemot vērā konkrētās vielas</w:t>
      </w:r>
      <w:r w:rsidR="00E07D59">
        <w:t>, kas</w:t>
      </w:r>
      <w:r w:rsidR="0071747E" w:rsidRPr="00C702D0">
        <w:t xml:space="preserve"> ir ne tikai ozona slāni noārdošas, bet arī siltumnīcefekta gāzes</w:t>
      </w:r>
      <w:r w:rsidR="00E07D59">
        <w:t>)</w:t>
      </w:r>
      <w:r w:rsidR="0071747E" w:rsidRPr="00C702D0">
        <w:t xml:space="preserve"> vairāk būtu piekritīga klimata pārmaiņu starptautiskajiem nolīgumiem. Monreālas protokola valstis, ņemot vērā klimatiskos apstākļus, arī ekonomiskos apsvērumus un pieejamo vielu alternatīvu drošumu un tehnoloģisko procesu pieejamību</w:t>
      </w:r>
      <w:r w:rsidR="007D41A6">
        <w:t>,</w:t>
      </w:r>
      <w:r w:rsidR="0071747E" w:rsidRPr="00C702D0">
        <w:t xml:space="preserve"> ir norūpējušās par globālu </w:t>
      </w:r>
      <w:proofErr w:type="spellStart"/>
      <w:r w:rsidR="0071747E" w:rsidRPr="00C702D0">
        <w:t>fluorēto</w:t>
      </w:r>
      <w:proofErr w:type="spellEnd"/>
      <w:r w:rsidR="0071747E" w:rsidRPr="00C702D0">
        <w:t xml:space="preserve"> siltumnīcefekta gāzu lietošanas ierobežojumu. </w:t>
      </w:r>
    </w:p>
    <w:p w:rsidR="000332B6" w:rsidRPr="00C702D0" w:rsidRDefault="0071747E" w:rsidP="006D0A5D">
      <w:pPr>
        <w:pStyle w:val="PointDoubleManual2"/>
        <w:tabs>
          <w:tab w:val="clear" w:pos="1701"/>
        </w:tabs>
        <w:ind w:left="0" w:firstLine="567"/>
        <w:jc w:val="both"/>
        <w:rPr>
          <w:lang w:val="lv-LV"/>
        </w:rPr>
      </w:pPr>
      <w:r w:rsidRPr="00C702D0">
        <w:rPr>
          <w:lang w:val="lv-LV"/>
        </w:rPr>
        <w:t>Paredzams, ka jautājums tālākai diskusijai tiks ietverts dienaskārtībā šā gada oktobrī notiekošajā Monreālas pro</w:t>
      </w:r>
      <w:r w:rsidR="001B0364" w:rsidRPr="00C702D0">
        <w:rPr>
          <w:lang w:val="lv-LV"/>
        </w:rPr>
        <w:t xml:space="preserve">tokola </w:t>
      </w:r>
      <w:proofErr w:type="spellStart"/>
      <w:r w:rsidR="001B0364" w:rsidRPr="00C702D0">
        <w:rPr>
          <w:lang w:val="lv-LV"/>
        </w:rPr>
        <w:t>dalībpušu</w:t>
      </w:r>
      <w:proofErr w:type="spellEnd"/>
      <w:r w:rsidR="001B0364" w:rsidRPr="00C702D0">
        <w:rPr>
          <w:lang w:val="lv-LV"/>
        </w:rPr>
        <w:t xml:space="preserve"> sanāksmē (MOP) un Vides padomē tiks sniegta informācija no Komisijas.</w:t>
      </w:r>
    </w:p>
    <w:p w:rsidR="003E44C1" w:rsidRPr="00C702D0" w:rsidRDefault="003E44C1" w:rsidP="006D0A5D">
      <w:pPr>
        <w:pStyle w:val="PointDoubleManual2"/>
        <w:jc w:val="both"/>
        <w:rPr>
          <w:b/>
          <w:lang w:val="lv-LV"/>
        </w:rPr>
      </w:pPr>
    </w:p>
    <w:p w:rsidR="004E33C4" w:rsidRPr="00C702D0" w:rsidRDefault="00921684" w:rsidP="006D0A5D">
      <w:pPr>
        <w:jc w:val="both"/>
        <w:rPr>
          <w:b/>
        </w:rPr>
      </w:pPr>
      <w:r w:rsidRPr="00C702D0">
        <w:rPr>
          <w:b/>
        </w:rPr>
        <w:t xml:space="preserve">e) </w:t>
      </w:r>
      <w:r w:rsidR="008F2DE3" w:rsidRPr="00C702D0">
        <w:rPr>
          <w:b/>
        </w:rPr>
        <w:t xml:space="preserve">Budapeštas samits par ūdens jautājumiem (2013. gada 8.–10. oktobris) </w:t>
      </w:r>
      <w:r w:rsidR="00D605D4" w:rsidRPr="00C702D0">
        <w:rPr>
          <w:b/>
        </w:rPr>
        <w:t>(</w:t>
      </w:r>
      <w:r w:rsidRPr="00C702D0">
        <w:rPr>
          <w:b/>
        </w:rPr>
        <w:t xml:space="preserve">Informācija no </w:t>
      </w:r>
      <w:r w:rsidR="00D605D4" w:rsidRPr="00C702D0">
        <w:rPr>
          <w:b/>
          <w:i/>
        </w:rPr>
        <w:t xml:space="preserve">Ungārijas </w:t>
      </w:r>
      <w:r w:rsidR="008F2DE3" w:rsidRPr="00C702D0">
        <w:rPr>
          <w:b/>
          <w:i/>
        </w:rPr>
        <w:t>delegācijas</w:t>
      </w:r>
      <w:r w:rsidR="00D605D4" w:rsidRPr="00C702D0">
        <w:rPr>
          <w:b/>
        </w:rPr>
        <w:t>)</w:t>
      </w:r>
    </w:p>
    <w:p w:rsidR="007D0917" w:rsidRPr="00C702D0" w:rsidRDefault="000A5F00" w:rsidP="006D0A5D">
      <w:pPr>
        <w:jc w:val="both"/>
      </w:pPr>
      <w:r w:rsidRPr="00C702D0">
        <w:tab/>
      </w:r>
      <w:r w:rsidR="00E70E2B" w:rsidRPr="00C702D0">
        <w:rPr>
          <w:i/>
        </w:rPr>
        <w:t>Sagaidāms</w:t>
      </w:r>
      <w:r w:rsidR="007D0917" w:rsidRPr="00C702D0">
        <w:rPr>
          <w:i/>
        </w:rPr>
        <w:t xml:space="preserve">, ka Ungārija </w:t>
      </w:r>
      <w:r w:rsidR="007A1272" w:rsidRPr="00C702D0">
        <w:rPr>
          <w:i/>
        </w:rPr>
        <w:t xml:space="preserve">informēs par </w:t>
      </w:r>
      <w:r w:rsidR="007D0917" w:rsidRPr="00C702D0">
        <w:rPr>
          <w:i/>
        </w:rPr>
        <w:t xml:space="preserve">Budapeštas </w:t>
      </w:r>
      <w:r w:rsidR="007A1272" w:rsidRPr="00C702D0">
        <w:rPr>
          <w:i/>
        </w:rPr>
        <w:t xml:space="preserve">samita </w:t>
      </w:r>
      <w:r w:rsidR="003E44C1" w:rsidRPr="00C702D0">
        <w:rPr>
          <w:i/>
        </w:rPr>
        <w:t xml:space="preserve">par </w:t>
      </w:r>
      <w:r w:rsidR="007A1272" w:rsidRPr="00C702D0">
        <w:rPr>
          <w:i/>
        </w:rPr>
        <w:t>ūdens jautājumiem</w:t>
      </w:r>
      <w:r w:rsidR="007D0917" w:rsidRPr="00C702D0">
        <w:rPr>
          <w:i/>
        </w:rPr>
        <w:t xml:space="preserve"> darba kārtību</w:t>
      </w:r>
      <w:r w:rsidR="007D0917" w:rsidRPr="00C702D0">
        <w:t>.</w:t>
      </w:r>
    </w:p>
    <w:p w:rsidR="00D605D4" w:rsidRDefault="007D0917" w:rsidP="006D0A5D">
      <w:pPr>
        <w:jc w:val="both"/>
      </w:pPr>
      <w:r w:rsidRPr="00C702D0">
        <w:tab/>
      </w:r>
      <w:r w:rsidR="00D605D4" w:rsidRPr="00C702D0">
        <w:t xml:space="preserve">Ungārija tās prezidentūras </w:t>
      </w:r>
      <w:r w:rsidR="00646F01" w:rsidRPr="00C702D0">
        <w:t xml:space="preserve">laikā </w:t>
      </w:r>
      <w:r w:rsidR="00D605D4" w:rsidRPr="00C702D0">
        <w:t>ES Padomē 2011.gadā</w:t>
      </w:r>
      <w:r w:rsidR="009F39BC" w:rsidRPr="00C702D0">
        <w:t xml:space="preserve"> </w:t>
      </w:r>
      <w:r w:rsidR="00801917" w:rsidRPr="00C702D0">
        <w:t>un uz Rio+20 konferenci</w:t>
      </w:r>
      <w:r w:rsidR="00D605D4" w:rsidRPr="00C702D0">
        <w:t xml:space="preserve"> izvirzīja ūdens jautājumus kā prioritārus iekšējā un ārējā Eiropas Savienības politikā, popularizējot ūdens jautājumu starptautiskajā attīstības sadarbībā. Ungārija turpina sadarboties ar ES dalībvalst</w:t>
      </w:r>
      <w:r w:rsidR="00801917" w:rsidRPr="00C702D0">
        <w:t xml:space="preserve">īm, veidojot vienotu izpratni par pašreizējām ar ūdeni saistītām </w:t>
      </w:r>
      <w:r w:rsidR="00801917" w:rsidRPr="00C702D0">
        <w:lastRenderedPageBreak/>
        <w:t>problēmām.</w:t>
      </w:r>
      <w:r w:rsidR="000A5F00" w:rsidRPr="00C702D0">
        <w:t xml:space="preserve"> Akcentējot ūdens jautājuma aktualitāti arī pēc Rio+20, Ungārijas prezidents </w:t>
      </w:r>
      <w:proofErr w:type="spellStart"/>
      <w:r w:rsidR="000A5F00" w:rsidRPr="00C702D0">
        <w:rPr>
          <w:rStyle w:val="hps"/>
        </w:rPr>
        <w:t>János</w:t>
      </w:r>
      <w:proofErr w:type="spellEnd"/>
      <w:r w:rsidR="000A5F00" w:rsidRPr="00C702D0">
        <w:t xml:space="preserve"> </w:t>
      </w:r>
      <w:proofErr w:type="spellStart"/>
      <w:r w:rsidR="000A5F00" w:rsidRPr="00C702D0">
        <w:rPr>
          <w:rStyle w:val="hps"/>
        </w:rPr>
        <w:t>Áder</w:t>
      </w:r>
      <w:proofErr w:type="spellEnd"/>
      <w:r w:rsidR="000A5F00" w:rsidRPr="00C702D0">
        <w:rPr>
          <w:rStyle w:val="hps"/>
        </w:rPr>
        <w:t xml:space="preserve"> </w:t>
      </w:r>
      <w:r w:rsidR="000A5F00" w:rsidRPr="00C702D0">
        <w:t>ir paziņojis par nodomu organizēt starptautisku konferenci ANO aizbildnībā 2013.gadā Budapeštā. Šis samits ir daļa no ANO Starptautiskā ūdens sadarbības gada pasākumiem, ko vada UNESCO.</w:t>
      </w:r>
    </w:p>
    <w:p w:rsidR="00F00D84" w:rsidRPr="00C23061" w:rsidRDefault="00F00D84" w:rsidP="006D0A5D">
      <w:pPr>
        <w:jc w:val="both"/>
      </w:pPr>
      <w:r w:rsidRPr="00C23061">
        <w:tab/>
      </w:r>
      <w:r w:rsidRPr="00C23061">
        <w:rPr>
          <w:b/>
        </w:rPr>
        <w:t>5.</w:t>
      </w:r>
      <w:r w:rsidRPr="00C23061">
        <w:t xml:space="preserve"> Vides padomes </w:t>
      </w:r>
      <w:r w:rsidR="0071194A" w:rsidRPr="00C23061">
        <w:t xml:space="preserve">laikā </w:t>
      </w:r>
      <w:r w:rsidRPr="00C23061">
        <w:t>pusdienu tēma</w:t>
      </w:r>
      <w:r w:rsidR="00F87638" w:rsidRPr="00C23061">
        <w:t xml:space="preserve"> plānota </w:t>
      </w:r>
      <w:r w:rsidR="00571835" w:rsidRPr="00C23061">
        <w:t xml:space="preserve">par </w:t>
      </w:r>
      <w:r w:rsidR="00F87638" w:rsidRPr="00C23061">
        <w:t xml:space="preserve">Eiropas </w:t>
      </w:r>
      <w:r w:rsidR="00571835" w:rsidRPr="00C23061">
        <w:t>Komisijas paziņojumu „</w:t>
      </w:r>
      <w:r w:rsidR="00571835" w:rsidRPr="00C23061">
        <w:rPr>
          <w:b/>
        </w:rPr>
        <w:t>Zaļā infrastruktūra</w:t>
      </w:r>
      <w:r w:rsidR="00F31A72" w:rsidRPr="00C23061">
        <w:rPr>
          <w:b/>
        </w:rPr>
        <w:t>- Eiropas dabas kapitāla palielināšana</w:t>
      </w:r>
      <w:r w:rsidR="00571835" w:rsidRPr="00C23061">
        <w:t>”</w:t>
      </w:r>
      <w:r w:rsidR="00F87638" w:rsidRPr="00C23061">
        <w:t xml:space="preserve">, kurā ir vērsta uzmanība uz dabisku ekosistēmu sniegto pakalpojumu izmantošanu, lai novērstu un mazinātu klimata pārmaiņu, ekstrēmu dabas parādību (plūdi, lietus, vēji) nelabvēlīgās ietekmes, ar dabiskajām ekosistēmām aizstājot pilnībā vai daļēji cilvēka veidotas infrastruktūras (pretplūdu </w:t>
      </w:r>
      <w:proofErr w:type="spellStart"/>
      <w:r w:rsidR="00F87638" w:rsidRPr="00C23061">
        <w:t>aizsargbūves</w:t>
      </w:r>
      <w:proofErr w:type="spellEnd"/>
      <w:r w:rsidR="00F87638" w:rsidRPr="00C23061">
        <w:t xml:space="preserve"> u.tml.). Komisijas paziņojumā zaļā infrastruktūra tiek definēta kā </w:t>
      </w:r>
      <w:r w:rsidR="00F87638" w:rsidRPr="00E34147">
        <w:t>stratēģiski plānots pilnīgi vai daļēji dabisku teritoriju tīkls kombinācijā ar citiem vides objektiem,</w:t>
      </w:r>
      <w:r w:rsidR="00F87638" w:rsidRPr="00C23061">
        <w:t xml:space="preserve"> kas ir izveidots un tiek pārvaldīts, lai sniegtu plašu ekosistēmu pakalpojumu klāstu, kas ietver zaļās zonas (ūdens ekosistēmas) un citus fiziskus elementus sauszemes (tostarp piekrastes) un jūras teritorijās. Uz sauszemes zaļā infrastruktūra pastāv gan lauku, gan pilsētas apstākļos.</w:t>
      </w:r>
    </w:p>
    <w:p w:rsidR="0071194A" w:rsidRPr="00C23061" w:rsidRDefault="0071194A" w:rsidP="006D0A5D">
      <w:pPr>
        <w:jc w:val="both"/>
      </w:pPr>
      <w:r w:rsidRPr="00C23061">
        <w:tab/>
      </w:r>
      <w:r w:rsidRPr="00C23061">
        <w:rPr>
          <w:i/>
        </w:rPr>
        <w:t>Neformālās diskusiju jautājumi par zaļo infrastruktūru vēl nav publiskoti</w:t>
      </w:r>
      <w:r w:rsidRPr="00C23061">
        <w:t>.</w:t>
      </w:r>
    </w:p>
    <w:p w:rsidR="00621019" w:rsidRPr="00C702D0" w:rsidRDefault="000A5F00" w:rsidP="006D0A5D">
      <w:pPr>
        <w:jc w:val="both"/>
        <w:rPr>
          <w:b/>
          <w:color w:val="000000"/>
        </w:rPr>
      </w:pPr>
      <w:r w:rsidRPr="00C702D0">
        <w:tab/>
      </w:r>
    </w:p>
    <w:p w:rsidR="00B7472F" w:rsidRPr="00C702D0" w:rsidRDefault="00B7472F" w:rsidP="006D0A5D">
      <w:pPr>
        <w:jc w:val="both"/>
      </w:pPr>
      <w:r w:rsidRPr="00C702D0">
        <w:rPr>
          <w:b/>
        </w:rPr>
        <w:t>Latvijas delegācija</w:t>
      </w:r>
      <w:r w:rsidRPr="00C702D0">
        <w:t>:</w:t>
      </w:r>
    </w:p>
    <w:p w:rsidR="00B7472F" w:rsidRPr="00C702D0" w:rsidRDefault="00B7472F" w:rsidP="006D0A5D">
      <w:pPr>
        <w:tabs>
          <w:tab w:val="left" w:pos="2835"/>
        </w:tabs>
        <w:jc w:val="both"/>
      </w:pPr>
      <w:r w:rsidRPr="00C702D0">
        <w:t>Delegācijas vadītāji -</w:t>
      </w:r>
      <w:r w:rsidR="007B2E76" w:rsidRPr="00C702D0">
        <w:t xml:space="preserve"> </w:t>
      </w:r>
      <w:r w:rsidR="007B2E76" w:rsidRPr="00C702D0">
        <w:tab/>
      </w:r>
      <w:r w:rsidR="00B7628C" w:rsidRPr="00C702D0">
        <w:rPr>
          <w:b/>
        </w:rPr>
        <w:t>Aleksandrs Antonovs</w:t>
      </w:r>
      <w:r w:rsidRPr="00C702D0">
        <w:t xml:space="preserve">, </w:t>
      </w:r>
      <w:r w:rsidR="00B7628C" w:rsidRPr="00C702D0">
        <w:t>V</w:t>
      </w:r>
      <w:r w:rsidRPr="00C702D0">
        <w:t xml:space="preserve">ides aizsardzības un reģionālās </w:t>
      </w:r>
      <w:r w:rsidR="00B7628C" w:rsidRPr="00C702D0">
        <w:tab/>
        <w:t>attīstības ministrijas valsts sekretārs</w:t>
      </w:r>
      <w:r w:rsidRPr="00C702D0">
        <w:t xml:space="preserve"> </w:t>
      </w:r>
    </w:p>
    <w:p w:rsidR="00EE18F6" w:rsidRPr="00C702D0" w:rsidRDefault="00EE18F6" w:rsidP="006D0A5D">
      <w:pPr>
        <w:tabs>
          <w:tab w:val="left" w:pos="3686"/>
        </w:tabs>
        <w:jc w:val="both"/>
      </w:pPr>
    </w:p>
    <w:p w:rsidR="00143204" w:rsidRDefault="00B7472F" w:rsidP="006D0A5D">
      <w:pPr>
        <w:jc w:val="both"/>
      </w:pPr>
      <w:r w:rsidRPr="00C702D0">
        <w:t>Delegācijas dalībnieki -</w:t>
      </w:r>
      <w:r w:rsidRPr="00C702D0">
        <w:tab/>
      </w:r>
      <w:r w:rsidR="00143204" w:rsidRPr="009642E9">
        <w:rPr>
          <w:b/>
        </w:rPr>
        <w:t>Alda Ozola</w:t>
      </w:r>
      <w:r w:rsidR="00143204">
        <w:t xml:space="preserve">, </w:t>
      </w:r>
      <w:r w:rsidR="00143204" w:rsidRPr="00C702D0">
        <w:t xml:space="preserve">Vides aizsardzības un reģionālās attīstības </w:t>
      </w:r>
      <w:r w:rsidR="00143204">
        <w:tab/>
      </w:r>
      <w:r w:rsidR="00143204">
        <w:tab/>
      </w:r>
      <w:r w:rsidR="00143204">
        <w:tab/>
      </w:r>
      <w:r w:rsidR="00143204">
        <w:tab/>
      </w:r>
      <w:r w:rsidR="009642E9">
        <w:tab/>
      </w:r>
      <w:r w:rsidR="00143204" w:rsidRPr="00C702D0">
        <w:t>ministrijas valsts sekretār</w:t>
      </w:r>
      <w:r w:rsidR="00143204">
        <w:t xml:space="preserve">a vietniece vides aizsardzības </w:t>
      </w:r>
      <w:r w:rsidR="00143204">
        <w:tab/>
      </w:r>
      <w:r w:rsidR="00143204">
        <w:tab/>
      </w:r>
      <w:r w:rsidR="00143204">
        <w:tab/>
      </w:r>
      <w:r w:rsidR="00143204">
        <w:tab/>
      </w:r>
      <w:r w:rsidR="00143204">
        <w:tab/>
        <w:t>jautājumos</w:t>
      </w:r>
    </w:p>
    <w:p w:rsidR="00876A8C" w:rsidRPr="00C702D0" w:rsidRDefault="00143204" w:rsidP="006D0A5D">
      <w:pPr>
        <w:jc w:val="both"/>
      </w:pPr>
      <w:r>
        <w:rPr>
          <w:b/>
        </w:rPr>
        <w:tab/>
      </w:r>
      <w:r>
        <w:rPr>
          <w:b/>
        </w:rPr>
        <w:tab/>
      </w:r>
      <w:r>
        <w:rPr>
          <w:b/>
        </w:rPr>
        <w:tab/>
      </w:r>
      <w:r>
        <w:rPr>
          <w:b/>
        </w:rPr>
        <w:tab/>
      </w:r>
      <w:r w:rsidR="00B7628C" w:rsidRPr="00C702D0">
        <w:rPr>
          <w:b/>
        </w:rPr>
        <w:t>Ilze Prūse</w:t>
      </w:r>
      <w:r w:rsidR="007B2E76" w:rsidRPr="00C702D0">
        <w:t xml:space="preserve">, </w:t>
      </w:r>
      <w:r w:rsidR="00B7628C" w:rsidRPr="00C702D0">
        <w:t>V</w:t>
      </w:r>
      <w:r w:rsidR="007B2E76" w:rsidRPr="00C702D0">
        <w:t xml:space="preserve">ides aizsardzības un reģionālās attīstības </w:t>
      </w:r>
      <w:r w:rsidR="007B2E76" w:rsidRPr="00C702D0">
        <w:tab/>
      </w:r>
      <w:r w:rsidR="007B2E76" w:rsidRPr="00C702D0">
        <w:tab/>
      </w:r>
      <w:r w:rsidR="007B2E76" w:rsidRPr="00C702D0">
        <w:tab/>
      </w:r>
      <w:r w:rsidR="007B2E76" w:rsidRPr="00C702D0">
        <w:tab/>
      </w:r>
      <w:r w:rsidR="007B2E76" w:rsidRPr="00C702D0">
        <w:tab/>
        <w:t>ministr</w:t>
      </w:r>
      <w:r w:rsidR="00B7628C" w:rsidRPr="00C702D0">
        <w:t xml:space="preserve">ijas Klimata un vides politikas integrācijas departamenta </w:t>
      </w:r>
      <w:r w:rsidR="00B7628C" w:rsidRPr="00C702D0">
        <w:tab/>
      </w:r>
      <w:r w:rsidR="00B7628C" w:rsidRPr="00C702D0">
        <w:tab/>
      </w:r>
      <w:r w:rsidR="00B7628C" w:rsidRPr="00C702D0">
        <w:tab/>
      </w:r>
      <w:r w:rsidR="00B7628C" w:rsidRPr="00C702D0">
        <w:tab/>
        <w:t>direktore</w:t>
      </w:r>
    </w:p>
    <w:p w:rsidR="00CE56F3" w:rsidRPr="004A75CE" w:rsidRDefault="00CE56F3" w:rsidP="006D0A5D">
      <w:pPr>
        <w:jc w:val="both"/>
      </w:pPr>
      <w:r w:rsidRPr="00C702D0">
        <w:rPr>
          <w:b/>
        </w:rPr>
        <w:tab/>
      </w:r>
      <w:r w:rsidRPr="00C702D0">
        <w:rPr>
          <w:b/>
        </w:rPr>
        <w:tab/>
      </w:r>
      <w:r w:rsidRPr="00C702D0">
        <w:rPr>
          <w:b/>
        </w:rPr>
        <w:tab/>
      </w:r>
      <w:r w:rsidRPr="00C702D0">
        <w:rPr>
          <w:b/>
        </w:rPr>
        <w:tab/>
      </w:r>
      <w:r w:rsidRPr="004A75CE">
        <w:rPr>
          <w:b/>
        </w:rPr>
        <w:t xml:space="preserve">Juris </w:t>
      </w:r>
      <w:proofErr w:type="spellStart"/>
      <w:r w:rsidRPr="004A75CE">
        <w:rPr>
          <w:b/>
        </w:rPr>
        <w:t>Štālmeistars</w:t>
      </w:r>
      <w:proofErr w:type="spellEnd"/>
      <w:r w:rsidRPr="004A75CE">
        <w:t xml:space="preserve">, vēstnieks, Latvijas Republikas Pastāvīgā </w:t>
      </w:r>
      <w:r w:rsidRPr="004A75CE">
        <w:tab/>
      </w:r>
      <w:r w:rsidRPr="004A75CE">
        <w:tab/>
      </w:r>
      <w:r w:rsidRPr="004A75CE">
        <w:tab/>
      </w:r>
      <w:r w:rsidRPr="004A75CE">
        <w:tab/>
        <w:t>pārstāvja vietnieks Eiropas Savienībā;</w:t>
      </w:r>
    </w:p>
    <w:p w:rsidR="009059D8" w:rsidRPr="00C702D0" w:rsidRDefault="00876A8C" w:rsidP="006D0A5D">
      <w:pPr>
        <w:jc w:val="both"/>
      </w:pPr>
      <w:r w:rsidRPr="00C702D0">
        <w:tab/>
      </w:r>
      <w:r w:rsidRPr="00C702D0">
        <w:tab/>
      </w:r>
      <w:r w:rsidRPr="00C702D0">
        <w:tab/>
      </w:r>
      <w:r w:rsidRPr="00C702D0">
        <w:tab/>
      </w:r>
      <w:r w:rsidR="009059D8" w:rsidRPr="00C702D0">
        <w:rPr>
          <w:b/>
        </w:rPr>
        <w:t>Anita Dr</w:t>
      </w:r>
      <w:r w:rsidR="008E533C" w:rsidRPr="00C702D0">
        <w:rPr>
          <w:b/>
        </w:rPr>
        <w:t>o</w:t>
      </w:r>
      <w:r w:rsidR="009059D8" w:rsidRPr="00C702D0">
        <w:rPr>
          <w:b/>
        </w:rPr>
        <w:t xml:space="preserve">ndina, </w:t>
      </w:r>
      <w:r w:rsidR="009059D8" w:rsidRPr="00C702D0">
        <w:t xml:space="preserve">Vides un reģionālās attīstības ministrijas </w:t>
      </w:r>
      <w:r w:rsidR="009059D8" w:rsidRPr="00C702D0">
        <w:tab/>
      </w:r>
      <w:r w:rsidR="009059D8" w:rsidRPr="00C702D0">
        <w:tab/>
      </w:r>
      <w:r w:rsidR="009059D8" w:rsidRPr="00C702D0">
        <w:tab/>
      </w:r>
      <w:r w:rsidR="009059D8" w:rsidRPr="00C702D0">
        <w:tab/>
      </w:r>
      <w:r w:rsidR="009059D8" w:rsidRPr="00C702D0">
        <w:tab/>
        <w:t>nozares padomniece, pastāvīgais atašejs Briselē,</w:t>
      </w:r>
    </w:p>
    <w:p w:rsidR="009059D8" w:rsidRPr="00C702D0" w:rsidRDefault="009059D8" w:rsidP="006D0A5D">
      <w:pPr>
        <w:jc w:val="both"/>
      </w:pPr>
      <w:r w:rsidRPr="00C702D0">
        <w:tab/>
      </w:r>
      <w:r w:rsidRPr="00C702D0">
        <w:tab/>
      </w:r>
      <w:r w:rsidRPr="00C702D0">
        <w:tab/>
      </w:r>
      <w:r w:rsidRPr="00C702D0">
        <w:tab/>
      </w:r>
      <w:r w:rsidRPr="00C702D0">
        <w:rPr>
          <w:b/>
        </w:rPr>
        <w:t>Evita Stanga</w:t>
      </w:r>
      <w:r w:rsidRPr="00C702D0">
        <w:t xml:space="preserve">, Vides un reģionālās attīstības ministrijas </w:t>
      </w:r>
      <w:r w:rsidRPr="00C702D0">
        <w:tab/>
      </w:r>
      <w:r w:rsidRPr="00C702D0">
        <w:tab/>
      </w:r>
      <w:r w:rsidRPr="00C702D0">
        <w:tab/>
      </w:r>
      <w:r w:rsidRPr="00C702D0">
        <w:tab/>
      </w:r>
      <w:r w:rsidRPr="00C702D0">
        <w:tab/>
        <w:t>nozares padomniece, pastāvīgais atašejs Briselē,</w:t>
      </w:r>
    </w:p>
    <w:p w:rsidR="00BE7B5D" w:rsidRPr="00C702D0" w:rsidRDefault="009059D8" w:rsidP="006D0A5D">
      <w:pPr>
        <w:jc w:val="both"/>
      </w:pPr>
      <w:r w:rsidRPr="00C702D0">
        <w:rPr>
          <w:b/>
        </w:rPr>
        <w:tab/>
      </w:r>
      <w:r w:rsidRPr="00C702D0">
        <w:rPr>
          <w:b/>
        </w:rPr>
        <w:tab/>
      </w:r>
      <w:r w:rsidRPr="00C702D0">
        <w:rPr>
          <w:b/>
        </w:rPr>
        <w:tab/>
      </w:r>
      <w:r w:rsidRPr="00C702D0">
        <w:rPr>
          <w:b/>
        </w:rPr>
        <w:tab/>
        <w:t>Aija Timofejeva</w:t>
      </w:r>
      <w:r w:rsidRPr="00C702D0">
        <w:t xml:space="preserve">, Vides un reģionālās attīstības ministrijas </w:t>
      </w:r>
      <w:r w:rsidRPr="00C702D0">
        <w:tab/>
      </w:r>
      <w:r w:rsidRPr="00C702D0">
        <w:tab/>
      </w:r>
      <w:r w:rsidRPr="00C702D0">
        <w:tab/>
      </w:r>
      <w:r w:rsidRPr="00C702D0">
        <w:tab/>
      </w:r>
      <w:r w:rsidRPr="00C702D0">
        <w:tab/>
        <w:t>nozares padomniece, pastāvīgais atašejs Briselē</w:t>
      </w:r>
      <w:r w:rsidR="00E347C6">
        <w:t>.</w:t>
      </w:r>
    </w:p>
    <w:p w:rsidR="00D70A47" w:rsidRPr="00C702D0" w:rsidRDefault="00D70A47" w:rsidP="006D0A5D">
      <w:pPr>
        <w:jc w:val="both"/>
      </w:pPr>
    </w:p>
    <w:p w:rsidR="00140408" w:rsidRPr="00C702D0" w:rsidRDefault="00140408" w:rsidP="006D0A5D">
      <w:pPr>
        <w:jc w:val="both"/>
      </w:pPr>
      <w:r w:rsidRPr="00C702D0">
        <w:t>Vides aizsardzības un</w:t>
      </w:r>
    </w:p>
    <w:p w:rsidR="00140408" w:rsidRPr="00C702D0" w:rsidRDefault="00140408" w:rsidP="006D0A5D">
      <w:pPr>
        <w:jc w:val="both"/>
      </w:pPr>
      <w:r w:rsidRPr="00C702D0">
        <w:t>reģionālās attīstības ministrs</w:t>
      </w:r>
      <w:r w:rsidRPr="00C702D0">
        <w:tab/>
      </w:r>
      <w:r w:rsidRPr="00C702D0">
        <w:tab/>
      </w:r>
      <w:r w:rsidRPr="00C702D0">
        <w:tab/>
      </w:r>
      <w:r w:rsidRPr="00C702D0">
        <w:tab/>
      </w:r>
      <w:proofErr w:type="gramStart"/>
      <w:r w:rsidRPr="00C702D0">
        <w:t xml:space="preserve">   </w:t>
      </w:r>
      <w:r w:rsidR="00825F1B" w:rsidRPr="00C702D0">
        <w:t xml:space="preserve">                                  </w:t>
      </w:r>
      <w:r w:rsidRPr="00C702D0">
        <w:t xml:space="preserve"> </w:t>
      </w:r>
      <w:proofErr w:type="gramEnd"/>
      <w:r w:rsidRPr="00C702D0">
        <w:t>E.Sprūdžs</w:t>
      </w:r>
    </w:p>
    <w:p w:rsidR="00140408" w:rsidRPr="00C702D0" w:rsidRDefault="00140408" w:rsidP="006D0A5D">
      <w:pPr>
        <w:jc w:val="both"/>
      </w:pPr>
      <w:r w:rsidRPr="00C702D0">
        <w:t>Vīza:</w:t>
      </w:r>
    </w:p>
    <w:p w:rsidR="00825F1B" w:rsidRPr="00C702D0" w:rsidRDefault="00825F1B" w:rsidP="006D0A5D">
      <w:pPr>
        <w:jc w:val="both"/>
      </w:pPr>
      <w:r w:rsidRPr="00C702D0">
        <w:t>Vides aizsardzības un</w:t>
      </w:r>
    </w:p>
    <w:p w:rsidR="00140408" w:rsidRPr="00C702D0" w:rsidRDefault="00825F1B" w:rsidP="006D0A5D">
      <w:pPr>
        <w:jc w:val="both"/>
      </w:pPr>
      <w:r w:rsidRPr="00C702D0">
        <w:t>reģionālās attīstības ministrijas v</w:t>
      </w:r>
      <w:r w:rsidR="00242BC6" w:rsidRPr="00C702D0">
        <w:t>alsts sekretār</w:t>
      </w:r>
      <w:r w:rsidR="00FB1485" w:rsidRPr="00C702D0">
        <w:t>s</w:t>
      </w:r>
      <w:r w:rsidR="00FB1485" w:rsidRPr="00C702D0">
        <w:tab/>
      </w:r>
      <w:r w:rsidR="00FB1485" w:rsidRPr="00C702D0">
        <w:tab/>
      </w:r>
      <w:r w:rsidR="00FB1485" w:rsidRPr="00C702D0">
        <w:tab/>
      </w:r>
      <w:r w:rsidR="00FB1485" w:rsidRPr="00C702D0">
        <w:tab/>
        <w:t>A.Antonovs</w:t>
      </w:r>
      <w:r w:rsidR="00242BC6" w:rsidRPr="00C702D0">
        <w:t xml:space="preserve"> </w:t>
      </w:r>
    </w:p>
    <w:p w:rsidR="00407037" w:rsidRDefault="00407037" w:rsidP="006D0A5D">
      <w:pPr>
        <w:tabs>
          <w:tab w:val="right" w:pos="9072"/>
        </w:tabs>
        <w:ind w:firstLine="567"/>
        <w:jc w:val="both"/>
      </w:pPr>
    </w:p>
    <w:p w:rsidR="004A54E2" w:rsidRPr="00C702D0" w:rsidRDefault="004A54E2" w:rsidP="006D0A5D">
      <w:pPr>
        <w:tabs>
          <w:tab w:val="right" w:pos="9072"/>
        </w:tabs>
        <w:ind w:firstLine="567"/>
        <w:jc w:val="both"/>
      </w:pPr>
    </w:p>
    <w:p w:rsidR="00452D3D" w:rsidRPr="00C702D0" w:rsidRDefault="003C0B16" w:rsidP="006D0A5D">
      <w:pPr>
        <w:jc w:val="both"/>
      </w:pPr>
      <w:r w:rsidRPr="00C702D0">
        <w:fldChar w:fldCharType="begin"/>
      </w:r>
      <w:r w:rsidR="00342A14" w:rsidRPr="00C702D0">
        <w:instrText xml:space="preserve"> SAVEDATE  \@ "dd.MM.yyyy. H:mm"  \* MERGEFORMAT </w:instrText>
      </w:r>
      <w:r w:rsidRPr="00C702D0">
        <w:fldChar w:fldCharType="separate"/>
      </w:r>
      <w:r w:rsidR="002C1D9A">
        <w:rPr>
          <w:noProof/>
        </w:rPr>
        <w:t>08.10.2013. 11:00</w:t>
      </w:r>
      <w:r w:rsidRPr="00C702D0">
        <w:rPr>
          <w:noProof/>
        </w:rPr>
        <w:fldChar w:fldCharType="end"/>
      </w:r>
    </w:p>
    <w:p w:rsidR="007D59E4" w:rsidRPr="00C702D0" w:rsidRDefault="003C0B16" w:rsidP="006D0A5D">
      <w:pPr>
        <w:tabs>
          <w:tab w:val="left" w:pos="3695"/>
        </w:tabs>
        <w:jc w:val="both"/>
      </w:pPr>
      <w:fldSimple w:instr=" NUMWORDS   \* MERGEFORMAT ">
        <w:r w:rsidR="002C1D9A">
          <w:rPr>
            <w:noProof/>
          </w:rPr>
          <w:t>3308</w:t>
        </w:r>
      </w:fldSimple>
    </w:p>
    <w:p w:rsidR="00452D3D" w:rsidRPr="00C702D0" w:rsidRDefault="00452D3D" w:rsidP="006D0A5D">
      <w:pPr>
        <w:jc w:val="both"/>
      </w:pPr>
      <w:r w:rsidRPr="00C702D0">
        <w:t>Vonda</w:t>
      </w:r>
    </w:p>
    <w:p w:rsidR="00452D3D" w:rsidRPr="00C702D0" w:rsidRDefault="00452D3D" w:rsidP="006D0A5D">
      <w:pPr>
        <w:jc w:val="both"/>
      </w:pPr>
      <w:r w:rsidRPr="00C702D0">
        <w:t xml:space="preserve">67026554, </w:t>
      </w:r>
      <w:hyperlink r:id="rId7" w:history="1">
        <w:r w:rsidRPr="00C702D0">
          <w:rPr>
            <w:rStyle w:val="Hyperlink"/>
          </w:rPr>
          <w:t>ilze.vonda@varam.gov.lv</w:t>
        </w:r>
      </w:hyperlink>
    </w:p>
    <w:p w:rsidR="00140408" w:rsidRPr="00C702D0" w:rsidRDefault="00140408" w:rsidP="006D0A5D">
      <w:pPr>
        <w:jc w:val="both"/>
      </w:pPr>
    </w:p>
    <w:sectPr w:rsidR="00140408" w:rsidRPr="00C702D0" w:rsidSect="00A457A1">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BA" w:rsidRDefault="000C40BA" w:rsidP="00AE6879">
      <w:r>
        <w:separator/>
      </w:r>
    </w:p>
  </w:endnote>
  <w:endnote w:type="continuationSeparator" w:id="0">
    <w:p w:rsidR="000C40BA" w:rsidRDefault="000C40BA" w:rsidP="00AE6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BA" w:rsidRPr="002F1A3F" w:rsidRDefault="003C0B16" w:rsidP="0071194A">
    <w:pPr>
      <w:pStyle w:val="Footer"/>
      <w:ind w:right="360"/>
      <w:jc w:val="both"/>
      <w:rPr>
        <w:sz w:val="22"/>
        <w:szCs w:val="22"/>
      </w:rPr>
    </w:pPr>
    <w:r w:rsidRPr="002F1A3F">
      <w:rPr>
        <w:sz w:val="22"/>
        <w:szCs w:val="22"/>
      </w:rPr>
      <w:fldChar w:fldCharType="begin"/>
    </w:r>
    <w:r w:rsidR="000C40BA" w:rsidRPr="002F1A3F">
      <w:rPr>
        <w:sz w:val="22"/>
        <w:szCs w:val="22"/>
      </w:rPr>
      <w:instrText xml:space="preserve"> FILENAME </w:instrText>
    </w:r>
    <w:r w:rsidRPr="002F1A3F">
      <w:rPr>
        <w:sz w:val="22"/>
        <w:szCs w:val="22"/>
      </w:rPr>
      <w:fldChar w:fldCharType="separate"/>
    </w:r>
    <w:r w:rsidR="000C40BA">
      <w:rPr>
        <w:noProof/>
        <w:sz w:val="22"/>
        <w:szCs w:val="22"/>
      </w:rPr>
      <w:t>VARAMzino_081013_Vides pad</w:t>
    </w:r>
    <w:r w:rsidRPr="002F1A3F">
      <w:rPr>
        <w:sz w:val="22"/>
        <w:szCs w:val="22"/>
      </w:rPr>
      <w:fldChar w:fldCharType="end"/>
    </w:r>
    <w:r w:rsidR="000C40BA" w:rsidRPr="002F1A3F">
      <w:rPr>
        <w:sz w:val="22"/>
        <w:szCs w:val="22"/>
      </w:rPr>
      <w:t xml:space="preserve">; Informatīvais ziņojums „Par 2013.gada </w:t>
    </w:r>
    <w:r w:rsidR="000C40BA">
      <w:rPr>
        <w:sz w:val="22"/>
        <w:szCs w:val="22"/>
      </w:rPr>
      <w:t>14.oktobrī</w:t>
    </w:r>
    <w:r w:rsidR="000C40BA" w:rsidRPr="002F1A3F">
      <w:rPr>
        <w:sz w:val="22"/>
        <w:szCs w:val="22"/>
      </w:rPr>
      <w:t xml:space="preserve"> Eiropas Savienības Vides padomē izskatāmajiem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BA" w:rsidRPr="002F1A3F" w:rsidRDefault="003C0B16" w:rsidP="002F1A3F">
    <w:pPr>
      <w:pStyle w:val="Footer"/>
      <w:ind w:right="360"/>
      <w:jc w:val="both"/>
      <w:rPr>
        <w:sz w:val="22"/>
        <w:szCs w:val="22"/>
      </w:rPr>
    </w:pPr>
    <w:r w:rsidRPr="002F1A3F">
      <w:rPr>
        <w:sz w:val="22"/>
        <w:szCs w:val="22"/>
      </w:rPr>
      <w:fldChar w:fldCharType="begin"/>
    </w:r>
    <w:r w:rsidR="000C40BA" w:rsidRPr="002F1A3F">
      <w:rPr>
        <w:sz w:val="22"/>
        <w:szCs w:val="22"/>
      </w:rPr>
      <w:instrText xml:space="preserve"> FILENAME </w:instrText>
    </w:r>
    <w:r w:rsidRPr="002F1A3F">
      <w:rPr>
        <w:sz w:val="22"/>
        <w:szCs w:val="22"/>
      </w:rPr>
      <w:fldChar w:fldCharType="separate"/>
    </w:r>
    <w:r w:rsidR="000C40BA">
      <w:rPr>
        <w:noProof/>
        <w:sz w:val="22"/>
        <w:szCs w:val="22"/>
      </w:rPr>
      <w:t>VARAMzino_081013_Vides pad</w:t>
    </w:r>
    <w:r w:rsidRPr="002F1A3F">
      <w:rPr>
        <w:sz w:val="22"/>
        <w:szCs w:val="22"/>
      </w:rPr>
      <w:fldChar w:fldCharType="end"/>
    </w:r>
    <w:r w:rsidR="000C40BA" w:rsidRPr="002F1A3F">
      <w:rPr>
        <w:sz w:val="22"/>
        <w:szCs w:val="22"/>
      </w:rPr>
      <w:t xml:space="preserve">; Informatīvais ziņojums „Par 2013.gada </w:t>
    </w:r>
    <w:r w:rsidR="000C40BA">
      <w:rPr>
        <w:sz w:val="22"/>
        <w:szCs w:val="22"/>
      </w:rPr>
      <w:t>14.oktobrī</w:t>
    </w:r>
    <w:r w:rsidR="000C40BA" w:rsidRPr="002F1A3F">
      <w:rPr>
        <w:sz w:val="22"/>
        <w:szCs w:val="22"/>
      </w:rPr>
      <w:t xml:space="preserve"> Eiropas Savienības Vides padomē izskatāmajiem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BA" w:rsidRDefault="000C40BA" w:rsidP="00AE6879">
      <w:r>
        <w:separator/>
      </w:r>
    </w:p>
  </w:footnote>
  <w:footnote w:type="continuationSeparator" w:id="0">
    <w:p w:rsidR="000C40BA" w:rsidRDefault="000C40BA" w:rsidP="00AE6879">
      <w:r>
        <w:continuationSeparator/>
      </w:r>
    </w:p>
  </w:footnote>
  <w:footnote w:id="1">
    <w:p w:rsidR="000C40BA" w:rsidRPr="0015330C" w:rsidRDefault="000C40BA" w:rsidP="00942C12">
      <w:pPr>
        <w:pStyle w:val="FootnoteText"/>
        <w:spacing w:after="0" w:line="240" w:lineRule="auto"/>
        <w:jc w:val="both"/>
        <w:rPr>
          <w:rFonts w:ascii="Times New Roman" w:hAnsi="Times New Roman" w:cs="Times New Roman"/>
          <w:szCs w:val="24"/>
        </w:rPr>
      </w:pPr>
      <w:r w:rsidRPr="0015330C">
        <w:rPr>
          <w:rStyle w:val="FootnoteReference"/>
          <w:rFonts w:ascii="Times New Roman" w:hAnsi="Times New Roman" w:cs="Times New Roman"/>
          <w:szCs w:val="24"/>
        </w:rPr>
        <w:footnoteRef/>
      </w:r>
      <w:r w:rsidRPr="0015330C">
        <w:rPr>
          <w:rFonts w:ascii="Times New Roman" w:hAnsi="Times New Roman" w:cs="Times New Roman"/>
          <w:szCs w:val="24"/>
        </w:rPr>
        <w:tab/>
        <w:t>Eiropas Parlamenta un Padomes 2006. gada 14. jūnija Regula (EK) Nr. 1013/2006 par atkritumu sūtījumiem, OV L 190, 12.7.2006., 1. lpp.</w:t>
      </w:r>
    </w:p>
  </w:footnote>
  <w:footnote w:id="2">
    <w:p w:rsidR="000C40BA" w:rsidRPr="006E1E69" w:rsidRDefault="000C40BA" w:rsidP="006E1E69">
      <w:pPr>
        <w:pStyle w:val="FootnoteText"/>
        <w:spacing w:after="0" w:line="240" w:lineRule="auto"/>
        <w:rPr>
          <w:rFonts w:ascii="Times New Roman" w:hAnsi="Times New Roman" w:cs="Times New Roman"/>
        </w:rPr>
      </w:pPr>
      <w:r w:rsidRPr="006E1E69">
        <w:rPr>
          <w:rStyle w:val="FootnoteReference"/>
          <w:rFonts w:ascii="Times New Roman" w:hAnsi="Times New Roman" w:cs="Times New Roman"/>
        </w:rPr>
        <w:footnoteRef/>
      </w:r>
      <w:r w:rsidRPr="006E1E69">
        <w:rPr>
          <w:rFonts w:ascii="Times New Roman" w:hAnsi="Times New Roman" w:cs="Times New Roman"/>
        </w:rPr>
        <w:t xml:space="preserve"> Eiropas Parlamenta un Padomes 2013.gada 24.aprīļa lēmums Nr.377/2013/ES par pagaidu atkāpi no Direktīvas 2003/87/EK, ar kuru nosaka sistēmu siltumnīcas efektu izraisošo gāzu emisijas kvotu tirdzniecībai Kopienā</w:t>
      </w:r>
    </w:p>
  </w:footnote>
  <w:footnote w:id="3">
    <w:p w:rsidR="000C40BA" w:rsidRPr="006E1E69" w:rsidRDefault="000C40BA" w:rsidP="002C3EE7">
      <w:pPr>
        <w:pStyle w:val="FootnoteText"/>
        <w:spacing w:after="0" w:line="240" w:lineRule="auto"/>
        <w:rPr>
          <w:rFonts w:ascii="Times New Roman" w:hAnsi="Times New Roman" w:cs="Times New Roman"/>
        </w:rPr>
      </w:pPr>
      <w:r w:rsidRPr="006E1E69">
        <w:rPr>
          <w:rStyle w:val="FootnoteReference"/>
        </w:rPr>
        <w:footnoteRef/>
      </w:r>
      <w:r w:rsidRPr="006E1E69">
        <w:rPr>
          <w:rFonts w:ascii="Times New Roman" w:hAnsi="Times New Roman" w:cs="Times New Roman"/>
        </w:rPr>
        <w:t xml:space="preserve"> LULUCF- zemes izmantošanas, zemes izmantošanas maiņas un mežsaimniecības sektors</w:t>
      </w:r>
    </w:p>
  </w:footnote>
  <w:footnote w:id="4">
    <w:p w:rsidR="000C40BA" w:rsidRPr="006E1E69" w:rsidRDefault="000C40BA" w:rsidP="002C3EE7">
      <w:pPr>
        <w:rPr>
          <w:sz w:val="20"/>
          <w:szCs w:val="20"/>
          <w:lang w:val="en-US"/>
        </w:rPr>
      </w:pPr>
      <w:r w:rsidRPr="006E1E69">
        <w:rPr>
          <w:sz w:val="20"/>
          <w:szCs w:val="20"/>
          <w:vertAlign w:val="superscript"/>
        </w:rPr>
        <w:footnoteRef/>
      </w:r>
      <w:r w:rsidRPr="006E1E69">
        <w:rPr>
          <w:sz w:val="20"/>
          <w:szCs w:val="20"/>
          <w:vertAlign w:val="superscript"/>
        </w:rPr>
        <w:t xml:space="preserve">  </w:t>
      </w:r>
      <w:r w:rsidRPr="006E1E69">
        <w:rPr>
          <w:sz w:val="20"/>
          <w:szCs w:val="20"/>
        </w:rPr>
        <w:t xml:space="preserve">EEA </w:t>
      </w:r>
      <w:proofErr w:type="spellStart"/>
      <w:r w:rsidRPr="006E1E69">
        <w:rPr>
          <w:sz w:val="20"/>
          <w:szCs w:val="20"/>
        </w:rPr>
        <w:t>Technical</w:t>
      </w:r>
      <w:proofErr w:type="spellEnd"/>
      <w:r w:rsidRPr="006E1E69">
        <w:rPr>
          <w:sz w:val="20"/>
          <w:szCs w:val="20"/>
        </w:rPr>
        <w:t xml:space="preserve"> </w:t>
      </w:r>
      <w:proofErr w:type="spellStart"/>
      <w:r w:rsidRPr="006E1E69">
        <w:rPr>
          <w:sz w:val="20"/>
          <w:szCs w:val="20"/>
        </w:rPr>
        <w:t>Report</w:t>
      </w:r>
      <w:proofErr w:type="spellEnd"/>
      <w:r w:rsidRPr="006E1E69">
        <w:rPr>
          <w:sz w:val="20"/>
          <w:szCs w:val="20"/>
        </w:rPr>
        <w:t xml:space="preserve"> 8/2013. </w:t>
      </w:r>
      <w:proofErr w:type="spellStart"/>
      <w:r w:rsidRPr="006E1E69">
        <w:rPr>
          <w:sz w:val="20"/>
          <w:szCs w:val="20"/>
        </w:rPr>
        <w:t>European</w:t>
      </w:r>
      <w:proofErr w:type="spellEnd"/>
      <w:r w:rsidRPr="006E1E69">
        <w:rPr>
          <w:sz w:val="20"/>
          <w:szCs w:val="20"/>
        </w:rPr>
        <w:t xml:space="preserve"> </w:t>
      </w:r>
      <w:proofErr w:type="spellStart"/>
      <w:r w:rsidRPr="006E1E69">
        <w:rPr>
          <w:sz w:val="20"/>
          <w:szCs w:val="20"/>
        </w:rPr>
        <w:t>Union</w:t>
      </w:r>
      <w:proofErr w:type="spellEnd"/>
      <w:r w:rsidRPr="006E1E69">
        <w:rPr>
          <w:sz w:val="20"/>
          <w:szCs w:val="20"/>
        </w:rPr>
        <w:t xml:space="preserve"> </w:t>
      </w:r>
      <w:proofErr w:type="spellStart"/>
      <w:r w:rsidRPr="006E1E69">
        <w:rPr>
          <w:sz w:val="20"/>
          <w:szCs w:val="20"/>
        </w:rPr>
        <w:t>Green</w:t>
      </w:r>
      <w:proofErr w:type="spellEnd"/>
      <w:r w:rsidRPr="006E1E69">
        <w:rPr>
          <w:sz w:val="20"/>
          <w:szCs w:val="20"/>
        </w:rPr>
        <w:t xml:space="preserve"> </w:t>
      </w:r>
      <w:proofErr w:type="spellStart"/>
      <w:r w:rsidRPr="006E1E69">
        <w:rPr>
          <w:sz w:val="20"/>
          <w:szCs w:val="20"/>
        </w:rPr>
        <w:t>House</w:t>
      </w:r>
      <w:proofErr w:type="spellEnd"/>
      <w:r w:rsidRPr="006E1E69">
        <w:rPr>
          <w:sz w:val="20"/>
          <w:szCs w:val="20"/>
        </w:rPr>
        <w:t xml:space="preserve"> </w:t>
      </w:r>
      <w:proofErr w:type="spellStart"/>
      <w:r w:rsidRPr="006E1E69">
        <w:rPr>
          <w:sz w:val="20"/>
          <w:szCs w:val="20"/>
        </w:rPr>
        <w:t>Gas</w:t>
      </w:r>
      <w:proofErr w:type="spellEnd"/>
      <w:r w:rsidRPr="006E1E69">
        <w:rPr>
          <w:sz w:val="20"/>
          <w:szCs w:val="20"/>
        </w:rPr>
        <w:t xml:space="preserve"> </w:t>
      </w:r>
      <w:proofErr w:type="spellStart"/>
      <w:r w:rsidRPr="006E1E69">
        <w:rPr>
          <w:sz w:val="20"/>
          <w:szCs w:val="20"/>
        </w:rPr>
        <w:t>Inventory</w:t>
      </w:r>
      <w:proofErr w:type="spellEnd"/>
      <w:r w:rsidRPr="006E1E69">
        <w:rPr>
          <w:sz w:val="20"/>
          <w:szCs w:val="20"/>
        </w:rPr>
        <w:t xml:space="preserve"> 1990-2011 </w:t>
      </w:r>
      <w:proofErr w:type="spellStart"/>
      <w:r w:rsidRPr="006E1E69">
        <w:rPr>
          <w:sz w:val="20"/>
          <w:szCs w:val="20"/>
        </w:rPr>
        <w:t>and</w:t>
      </w:r>
      <w:proofErr w:type="spellEnd"/>
      <w:r w:rsidRPr="006E1E69">
        <w:rPr>
          <w:sz w:val="20"/>
          <w:szCs w:val="20"/>
        </w:rPr>
        <w:t xml:space="preserve"> </w:t>
      </w:r>
      <w:proofErr w:type="spellStart"/>
      <w:r w:rsidRPr="006E1E69">
        <w:rPr>
          <w:sz w:val="20"/>
          <w:szCs w:val="20"/>
        </w:rPr>
        <w:t>Inventory</w:t>
      </w:r>
      <w:proofErr w:type="spellEnd"/>
      <w:r w:rsidRPr="006E1E69">
        <w:rPr>
          <w:sz w:val="20"/>
          <w:szCs w:val="20"/>
        </w:rPr>
        <w:t xml:space="preserve"> </w:t>
      </w:r>
      <w:proofErr w:type="spellStart"/>
      <w:r w:rsidRPr="006E1E69">
        <w:rPr>
          <w:sz w:val="20"/>
          <w:szCs w:val="20"/>
        </w:rPr>
        <w:t>Report</w:t>
      </w:r>
      <w:proofErr w:type="spellEnd"/>
      <w:r w:rsidRPr="006E1E69">
        <w:rPr>
          <w:sz w:val="20"/>
          <w:szCs w:val="20"/>
        </w:rPr>
        <w:t xml:space="preserve"> 2013. Pieejams: </w:t>
      </w:r>
      <w:hyperlink r:id="rId1" w:history="1">
        <w:r w:rsidRPr="006E1E69">
          <w:rPr>
            <w:sz w:val="20"/>
            <w:szCs w:val="20"/>
          </w:rPr>
          <w:t>http://www.eea.europa.eu/publications/european-union-greenhouse-gas-inventory-2013</w:t>
        </w:r>
      </w:hyperlink>
    </w:p>
  </w:footnote>
  <w:footnote w:id="5">
    <w:p w:rsidR="000C40BA" w:rsidRPr="006E1E69" w:rsidRDefault="000C40BA" w:rsidP="006E1E69">
      <w:pPr>
        <w:pStyle w:val="FootnoteText"/>
        <w:spacing w:after="0" w:line="240" w:lineRule="auto"/>
        <w:rPr>
          <w:rFonts w:ascii="Times New Roman" w:hAnsi="Times New Roman" w:cs="Times New Roman"/>
          <w:b/>
        </w:rPr>
      </w:pPr>
      <w:r w:rsidRPr="006E1E69">
        <w:rPr>
          <w:rStyle w:val="FootnoteReference"/>
          <w:rFonts w:ascii="Times New Roman" w:hAnsi="Times New Roman" w:cs="Times New Roman"/>
          <w:b/>
        </w:rPr>
        <w:footnoteRef/>
      </w:r>
      <w:r w:rsidRPr="006E1E69">
        <w:rPr>
          <w:rFonts w:ascii="Times New Roman" w:hAnsi="Times New Roman" w:cs="Times New Roman"/>
          <w:b/>
        </w:rPr>
        <w:t xml:space="preserve"> </w:t>
      </w:r>
      <w:r w:rsidRPr="006E1E69">
        <w:rPr>
          <w:rStyle w:val="Strong"/>
          <w:rFonts w:ascii="Times New Roman" w:hAnsi="Times New Roman" w:cs="Times New Roman"/>
          <w:b w:val="0"/>
        </w:rPr>
        <w:t>Eiropas Parlamenta un Padomes Regula (EK) Nr. 1005/2009 ( 2009. gada 16. septembris ) par ozona slāni noārdošām vielām Dokuments attiecas uz EEZ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BA" w:rsidRDefault="003C0B16" w:rsidP="00B7472F">
    <w:pPr>
      <w:pStyle w:val="Header"/>
      <w:framePr w:wrap="around" w:vAnchor="text" w:hAnchor="margin" w:xAlign="center" w:y="1"/>
      <w:rPr>
        <w:rStyle w:val="PageNumber"/>
      </w:rPr>
    </w:pPr>
    <w:r>
      <w:rPr>
        <w:rStyle w:val="PageNumber"/>
      </w:rPr>
      <w:fldChar w:fldCharType="begin"/>
    </w:r>
    <w:r w:rsidR="000C40BA">
      <w:rPr>
        <w:rStyle w:val="PageNumber"/>
      </w:rPr>
      <w:instrText xml:space="preserve">PAGE  </w:instrText>
    </w:r>
    <w:r>
      <w:rPr>
        <w:rStyle w:val="PageNumber"/>
      </w:rPr>
      <w:fldChar w:fldCharType="end"/>
    </w:r>
  </w:p>
  <w:p w:rsidR="000C40BA" w:rsidRDefault="000C40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BA" w:rsidRDefault="003C0B16" w:rsidP="00B7472F">
    <w:pPr>
      <w:pStyle w:val="Header"/>
      <w:framePr w:wrap="around" w:vAnchor="text" w:hAnchor="margin" w:xAlign="center" w:y="1"/>
      <w:rPr>
        <w:rStyle w:val="PageNumber"/>
      </w:rPr>
    </w:pPr>
    <w:r>
      <w:rPr>
        <w:rStyle w:val="PageNumber"/>
      </w:rPr>
      <w:fldChar w:fldCharType="begin"/>
    </w:r>
    <w:r w:rsidR="000C40BA">
      <w:rPr>
        <w:rStyle w:val="PageNumber"/>
      </w:rPr>
      <w:instrText xml:space="preserve">PAGE  </w:instrText>
    </w:r>
    <w:r>
      <w:rPr>
        <w:rStyle w:val="PageNumber"/>
      </w:rPr>
      <w:fldChar w:fldCharType="separate"/>
    </w:r>
    <w:r w:rsidR="002C1D9A">
      <w:rPr>
        <w:rStyle w:val="PageNumber"/>
        <w:noProof/>
      </w:rPr>
      <w:t>8</w:t>
    </w:r>
    <w:r>
      <w:rPr>
        <w:rStyle w:val="PageNumber"/>
      </w:rPr>
      <w:fldChar w:fldCharType="end"/>
    </w:r>
  </w:p>
  <w:p w:rsidR="000C40BA" w:rsidRDefault="000C40BA">
    <w:pPr>
      <w:pStyle w:val="Header"/>
    </w:pPr>
  </w:p>
  <w:p w:rsidR="000C40BA" w:rsidRDefault="000C40BA" w:rsidP="00B7472F">
    <w:pPr>
      <w:pStyle w:val="Header"/>
      <w:jc w:val="center"/>
    </w:pPr>
  </w:p>
  <w:p w:rsidR="000C40BA" w:rsidRDefault="000C40BA" w:rsidP="00B747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BA" w:rsidRDefault="000C40BA" w:rsidP="00B747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1D4"/>
    <w:multiLevelType w:val="hybridMultilevel"/>
    <w:tmpl w:val="FD7AD93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216505"/>
    <w:multiLevelType w:val="hybridMultilevel"/>
    <w:tmpl w:val="810E8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592001"/>
    <w:multiLevelType w:val="singleLevel"/>
    <w:tmpl w:val="3C6C7C7E"/>
    <w:name w:val="Tiret 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
    <w:nsid w:val="16C11A1A"/>
    <w:multiLevelType w:val="hybridMultilevel"/>
    <w:tmpl w:val="96C68E52"/>
    <w:lvl w:ilvl="0" w:tplc="5AEA48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D2E2743"/>
    <w:multiLevelType w:val="singleLevel"/>
    <w:tmpl w:val="FC58751A"/>
    <w:name w:val="Dash Equal 2"/>
    <w:lvl w:ilvl="0">
      <w:start w:val="1"/>
      <w:numFmt w:val="bullet"/>
      <w:pStyle w:val="DashEqual2"/>
      <w:lvlText w:val="="/>
      <w:lvlJc w:val="left"/>
      <w:pPr>
        <w:tabs>
          <w:tab w:val="num" w:pos="1701"/>
        </w:tabs>
        <w:ind w:left="1701" w:hanging="567"/>
      </w:pPr>
    </w:lvl>
  </w:abstractNum>
  <w:abstractNum w:abstractNumId="5">
    <w:nsid w:val="20CE2F60"/>
    <w:multiLevelType w:val="singleLevel"/>
    <w:tmpl w:val="B3C4F8EE"/>
    <w:name w:val="Dash 3"/>
    <w:lvl w:ilvl="0">
      <w:start w:val="1"/>
      <w:numFmt w:val="bullet"/>
      <w:pStyle w:val="Dash3"/>
      <w:lvlText w:val="–"/>
      <w:lvlJc w:val="left"/>
      <w:pPr>
        <w:tabs>
          <w:tab w:val="num" w:pos="2268"/>
        </w:tabs>
        <w:ind w:left="2268" w:hanging="567"/>
      </w:pPr>
    </w:lvl>
  </w:abstractNum>
  <w:abstractNum w:abstractNumId="6">
    <w:nsid w:val="33F166AF"/>
    <w:multiLevelType w:val="hybridMultilevel"/>
    <w:tmpl w:val="0D1C5B26"/>
    <w:lvl w:ilvl="0" w:tplc="47C0FE68">
      <w:start w:val="1"/>
      <w:numFmt w:val="decimal"/>
      <w:lvlText w:val="%1)"/>
      <w:lvlJc w:val="left"/>
      <w:pPr>
        <w:ind w:left="720" w:hanging="360"/>
      </w:pPr>
      <w:rPr>
        <w:rFonts w:hint="default"/>
      </w:rPr>
    </w:lvl>
    <w:lvl w:ilvl="1" w:tplc="5FFE23BE" w:tentative="1">
      <w:start w:val="1"/>
      <w:numFmt w:val="lowerLetter"/>
      <w:lvlText w:val="%2."/>
      <w:lvlJc w:val="left"/>
      <w:pPr>
        <w:ind w:left="1440" w:hanging="360"/>
      </w:pPr>
    </w:lvl>
    <w:lvl w:ilvl="2" w:tplc="B8E6053A" w:tentative="1">
      <w:start w:val="1"/>
      <w:numFmt w:val="lowerRoman"/>
      <w:lvlText w:val="%3."/>
      <w:lvlJc w:val="right"/>
      <w:pPr>
        <w:ind w:left="2160" w:hanging="180"/>
      </w:pPr>
    </w:lvl>
    <w:lvl w:ilvl="3" w:tplc="00E0E9FA" w:tentative="1">
      <w:start w:val="1"/>
      <w:numFmt w:val="decimal"/>
      <w:lvlText w:val="%4."/>
      <w:lvlJc w:val="left"/>
      <w:pPr>
        <w:ind w:left="2880" w:hanging="360"/>
      </w:pPr>
    </w:lvl>
    <w:lvl w:ilvl="4" w:tplc="CC9CFB72" w:tentative="1">
      <w:start w:val="1"/>
      <w:numFmt w:val="lowerLetter"/>
      <w:lvlText w:val="%5."/>
      <w:lvlJc w:val="left"/>
      <w:pPr>
        <w:ind w:left="3600" w:hanging="360"/>
      </w:pPr>
    </w:lvl>
    <w:lvl w:ilvl="5" w:tplc="11E02DFA" w:tentative="1">
      <w:start w:val="1"/>
      <w:numFmt w:val="lowerRoman"/>
      <w:lvlText w:val="%6."/>
      <w:lvlJc w:val="right"/>
      <w:pPr>
        <w:ind w:left="4320" w:hanging="180"/>
      </w:pPr>
    </w:lvl>
    <w:lvl w:ilvl="6" w:tplc="19F4F590" w:tentative="1">
      <w:start w:val="1"/>
      <w:numFmt w:val="decimal"/>
      <w:lvlText w:val="%7."/>
      <w:lvlJc w:val="left"/>
      <w:pPr>
        <w:ind w:left="5040" w:hanging="360"/>
      </w:pPr>
    </w:lvl>
    <w:lvl w:ilvl="7" w:tplc="4E36CA88" w:tentative="1">
      <w:start w:val="1"/>
      <w:numFmt w:val="lowerLetter"/>
      <w:lvlText w:val="%8."/>
      <w:lvlJc w:val="left"/>
      <w:pPr>
        <w:ind w:left="5760" w:hanging="360"/>
      </w:pPr>
    </w:lvl>
    <w:lvl w:ilvl="8" w:tplc="464EABEE" w:tentative="1">
      <w:start w:val="1"/>
      <w:numFmt w:val="lowerRoman"/>
      <w:lvlText w:val="%9."/>
      <w:lvlJc w:val="right"/>
      <w:pPr>
        <w:ind w:left="6480" w:hanging="180"/>
      </w:pPr>
    </w:lvl>
  </w:abstractNum>
  <w:abstractNum w:abstractNumId="7">
    <w:nsid w:val="34085173"/>
    <w:multiLevelType w:val="hybridMultilevel"/>
    <w:tmpl w:val="00CA97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E33C9E"/>
    <w:multiLevelType w:val="hybridMultilevel"/>
    <w:tmpl w:val="E608812C"/>
    <w:lvl w:ilvl="0" w:tplc="C9AC6054">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9AA5C63"/>
    <w:multiLevelType w:val="singleLevel"/>
    <w:tmpl w:val="F8B4BAC6"/>
    <w:lvl w:ilvl="0">
      <w:start w:val="1"/>
      <w:numFmt w:val="bullet"/>
      <w:pStyle w:val="Dash1"/>
      <w:lvlText w:val="–"/>
      <w:lvlJc w:val="left"/>
      <w:pPr>
        <w:tabs>
          <w:tab w:val="num" w:pos="1134"/>
        </w:tabs>
        <w:ind w:left="1134" w:hanging="567"/>
      </w:pPr>
    </w:lvl>
  </w:abstractNum>
  <w:abstractNum w:abstractNumId="10">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21C396A"/>
    <w:multiLevelType w:val="singleLevel"/>
    <w:tmpl w:val="5E60139C"/>
    <w:name w:val="Dash 1"/>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2">
    <w:nsid w:val="525F4428"/>
    <w:multiLevelType w:val="multilevel"/>
    <w:tmpl w:val="DFBCE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FE7896"/>
    <w:multiLevelType w:val="hybridMultilevel"/>
    <w:tmpl w:val="4C18ACD8"/>
    <w:name w:val="Bullet (0)"/>
    <w:lvl w:ilvl="0" w:tplc="CBA8AB0A">
      <w:start w:val="1"/>
      <w:numFmt w:val="decimal"/>
      <w:lvlText w:val="%1)"/>
      <w:lvlJc w:val="left"/>
      <w:pPr>
        <w:ind w:left="1680" w:hanging="960"/>
      </w:pPr>
      <w:rPr>
        <w:rFonts w:hint="default"/>
        <w:color w:val="auto"/>
      </w:rPr>
    </w:lvl>
    <w:lvl w:ilvl="1" w:tplc="122EAF72" w:tentative="1">
      <w:start w:val="1"/>
      <w:numFmt w:val="lowerLetter"/>
      <w:lvlText w:val="%2."/>
      <w:lvlJc w:val="left"/>
      <w:pPr>
        <w:ind w:left="1800" w:hanging="360"/>
      </w:pPr>
    </w:lvl>
    <w:lvl w:ilvl="2" w:tplc="41E6617A" w:tentative="1">
      <w:start w:val="1"/>
      <w:numFmt w:val="lowerRoman"/>
      <w:lvlText w:val="%3."/>
      <w:lvlJc w:val="right"/>
      <w:pPr>
        <w:ind w:left="2520" w:hanging="180"/>
      </w:pPr>
    </w:lvl>
    <w:lvl w:ilvl="3" w:tplc="221262F8" w:tentative="1">
      <w:start w:val="1"/>
      <w:numFmt w:val="decimal"/>
      <w:lvlText w:val="%4."/>
      <w:lvlJc w:val="left"/>
      <w:pPr>
        <w:ind w:left="3240" w:hanging="360"/>
      </w:pPr>
    </w:lvl>
    <w:lvl w:ilvl="4" w:tplc="1982D8B8" w:tentative="1">
      <w:start w:val="1"/>
      <w:numFmt w:val="lowerLetter"/>
      <w:lvlText w:val="%5."/>
      <w:lvlJc w:val="left"/>
      <w:pPr>
        <w:ind w:left="3960" w:hanging="360"/>
      </w:pPr>
    </w:lvl>
    <w:lvl w:ilvl="5" w:tplc="B6B011B8" w:tentative="1">
      <w:start w:val="1"/>
      <w:numFmt w:val="lowerRoman"/>
      <w:lvlText w:val="%6."/>
      <w:lvlJc w:val="right"/>
      <w:pPr>
        <w:ind w:left="4680" w:hanging="180"/>
      </w:pPr>
    </w:lvl>
    <w:lvl w:ilvl="6" w:tplc="3B603928" w:tentative="1">
      <w:start w:val="1"/>
      <w:numFmt w:val="decimal"/>
      <w:lvlText w:val="%7."/>
      <w:lvlJc w:val="left"/>
      <w:pPr>
        <w:ind w:left="5400" w:hanging="360"/>
      </w:pPr>
    </w:lvl>
    <w:lvl w:ilvl="7" w:tplc="468AA918" w:tentative="1">
      <w:start w:val="1"/>
      <w:numFmt w:val="lowerLetter"/>
      <w:lvlText w:val="%8."/>
      <w:lvlJc w:val="left"/>
      <w:pPr>
        <w:ind w:left="6120" w:hanging="360"/>
      </w:pPr>
    </w:lvl>
    <w:lvl w:ilvl="8" w:tplc="A6B4C37E" w:tentative="1">
      <w:start w:val="1"/>
      <w:numFmt w:val="lowerRoman"/>
      <w:lvlText w:val="%9."/>
      <w:lvlJc w:val="right"/>
      <w:pPr>
        <w:ind w:left="6840" w:hanging="180"/>
      </w:pPr>
    </w:lvl>
  </w:abstractNum>
  <w:abstractNum w:abstractNumId="14">
    <w:nsid w:val="57313F5F"/>
    <w:multiLevelType w:val="multilevel"/>
    <w:tmpl w:val="BFDAB688"/>
    <w:lvl w:ilvl="0">
      <w:start w:val="1"/>
      <w:numFmt w:val="decimal"/>
      <w:pStyle w:val="Par-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6">
    <w:nsid w:val="646667D9"/>
    <w:multiLevelType w:val="hybridMultilevel"/>
    <w:tmpl w:val="3A8C6CCC"/>
    <w:lvl w:ilvl="0" w:tplc="B7EEBFA2">
      <w:start w:val="1"/>
      <w:numFmt w:val="upperRoman"/>
      <w:lvlText w:val="%1."/>
      <w:lvlJc w:val="left"/>
      <w:pPr>
        <w:ind w:left="1080" w:hanging="720"/>
      </w:pPr>
      <w:rPr>
        <w:rFonts w:hint="default"/>
        <w:color w:val="auto"/>
      </w:rPr>
    </w:lvl>
    <w:lvl w:ilvl="1" w:tplc="1F4CFC74" w:tentative="1">
      <w:start w:val="1"/>
      <w:numFmt w:val="lowerLetter"/>
      <w:lvlText w:val="%2."/>
      <w:lvlJc w:val="left"/>
      <w:pPr>
        <w:ind w:left="1440" w:hanging="360"/>
      </w:pPr>
    </w:lvl>
    <w:lvl w:ilvl="2" w:tplc="A31AB582" w:tentative="1">
      <w:start w:val="1"/>
      <w:numFmt w:val="lowerRoman"/>
      <w:lvlText w:val="%3."/>
      <w:lvlJc w:val="right"/>
      <w:pPr>
        <w:ind w:left="2160" w:hanging="180"/>
      </w:pPr>
    </w:lvl>
    <w:lvl w:ilvl="3" w:tplc="E9342CB4" w:tentative="1">
      <w:start w:val="1"/>
      <w:numFmt w:val="decimal"/>
      <w:lvlText w:val="%4."/>
      <w:lvlJc w:val="left"/>
      <w:pPr>
        <w:ind w:left="2880" w:hanging="360"/>
      </w:pPr>
    </w:lvl>
    <w:lvl w:ilvl="4" w:tplc="4EFCADCE" w:tentative="1">
      <w:start w:val="1"/>
      <w:numFmt w:val="lowerLetter"/>
      <w:lvlText w:val="%5."/>
      <w:lvlJc w:val="left"/>
      <w:pPr>
        <w:ind w:left="3600" w:hanging="360"/>
      </w:pPr>
    </w:lvl>
    <w:lvl w:ilvl="5" w:tplc="64B04008" w:tentative="1">
      <w:start w:val="1"/>
      <w:numFmt w:val="lowerRoman"/>
      <w:lvlText w:val="%6."/>
      <w:lvlJc w:val="right"/>
      <w:pPr>
        <w:ind w:left="4320" w:hanging="180"/>
      </w:pPr>
    </w:lvl>
    <w:lvl w:ilvl="6" w:tplc="D32A88F2" w:tentative="1">
      <w:start w:val="1"/>
      <w:numFmt w:val="decimal"/>
      <w:lvlText w:val="%7."/>
      <w:lvlJc w:val="left"/>
      <w:pPr>
        <w:ind w:left="5040" w:hanging="360"/>
      </w:pPr>
    </w:lvl>
    <w:lvl w:ilvl="7" w:tplc="19342A6C" w:tentative="1">
      <w:start w:val="1"/>
      <w:numFmt w:val="lowerLetter"/>
      <w:lvlText w:val="%8."/>
      <w:lvlJc w:val="left"/>
      <w:pPr>
        <w:ind w:left="5760" w:hanging="360"/>
      </w:pPr>
    </w:lvl>
    <w:lvl w:ilvl="8" w:tplc="B8644DAA" w:tentative="1">
      <w:start w:val="1"/>
      <w:numFmt w:val="lowerRoman"/>
      <w:lvlText w:val="%9."/>
      <w:lvlJc w:val="right"/>
      <w:pPr>
        <w:ind w:left="6480" w:hanging="180"/>
      </w:pPr>
    </w:lvl>
  </w:abstractNum>
  <w:abstractNum w:abstractNumId="17">
    <w:nsid w:val="65AC5093"/>
    <w:multiLevelType w:val="singleLevel"/>
    <w:tmpl w:val="D8F274DE"/>
    <w:name w:val="0,1536069"/>
    <w:lvl w:ilvl="0">
      <w:start w:val="1"/>
      <w:numFmt w:val="bullet"/>
      <w:pStyle w:val="Bullet1"/>
      <w:lvlText w:val=""/>
      <w:lvlJc w:val="left"/>
      <w:pPr>
        <w:tabs>
          <w:tab w:val="num" w:pos="1134"/>
        </w:tabs>
        <w:ind w:left="1134" w:hanging="567"/>
      </w:pPr>
      <w:rPr>
        <w:rFonts w:ascii="Symbol" w:hAnsi="Symbol" w:hint="default"/>
      </w:rPr>
    </w:lvl>
  </w:abstractNum>
  <w:abstractNum w:abstractNumId="18">
    <w:nsid w:val="6C0B397A"/>
    <w:multiLevelType w:val="singleLevel"/>
    <w:tmpl w:val="39D2B61E"/>
    <w:name w:val="Bullet (1)"/>
    <w:lvl w:ilvl="0">
      <w:start w:val="1"/>
      <w:numFmt w:val="bullet"/>
      <w:pStyle w:val="Dash2"/>
      <w:lvlText w:val="–"/>
      <w:lvlJc w:val="left"/>
      <w:pPr>
        <w:tabs>
          <w:tab w:val="num" w:pos="1701"/>
        </w:tabs>
        <w:ind w:left="1701" w:hanging="567"/>
      </w:pPr>
    </w:lvl>
  </w:abstractNum>
  <w:abstractNum w:abstractNumId="19">
    <w:nsid w:val="6C3B5CC3"/>
    <w:multiLevelType w:val="hybridMultilevel"/>
    <w:tmpl w:val="4262F75C"/>
    <w:lvl w:ilvl="0" w:tplc="C288985A">
      <w:start w:val="1"/>
      <w:numFmt w:val="decimal"/>
      <w:lvlText w:val="%1."/>
      <w:lvlJc w:val="left"/>
      <w:pPr>
        <w:ind w:left="720" w:hanging="360"/>
      </w:pPr>
      <w:rPr>
        <w:rFonts w:hint="default"/>
      </w:rPr>
    </w:lvl>
    <w:lvl w:ilvl="1" w:tplc="245897EC" w:tentative="1">
      <w:start w:val="1"/>
      <w:numFmt w:val="lowerLetter"/>
      <w:lvlText w:val="%2."/>
      <w:lvlJc w:val="left"/>
      <w:pPr>
        <w:ind w:left="1440" w:hanging="360"/>
      </w:pPr>
    </w:lvl>
    <w:lvl w:ilvl="2" w:tplc="9F88A666" w:tentative="1">
      <w:start w:val="1"/>
      <w:numFmt w:val="lowerRoman"/>
      <w:lvlText w:val="%3."/>
      <w:lvlJc w:val="right"/>
      <w:pPr>
        <w:ind w:left="2160" w:hanging="180"/>
      </w:pPr>
    </w:lvl>
    <w:lvl w:ilvl="3" w:tplc="1256EF24" w:tentative="1">
      <w:start w:val="1"/>
      <w:numFmt w:val="decimal"/>
      <w:lvlText w:val="%4."/>
      <w:lvlJc w:val="left"/>
      <w:pPr>
        <w:ind w:left="2880" w:hanging="360"/>
      </w:pPr>
    </w:lvl>
    <w:lvl w:ilvl="4" w:tplc="C21E84C4" w:tentative="1">
      <w:start w:val="1"/>
      <w:numFmt w:val="lowerLetter"/>
      <w:lvlText w:val="%5."/>
      <w:lvlJc w:val="left"/>
      <w:pPr>
        <w:ind w:left="3600" w:hanging="360"/>
      </w:pPr>
    </w:lvl>
    <w:lvl w:ilvl="5" w:tplc="E68AC1EE" w:tentative="1">
      <w:start w:val="1"/>
      <w:numFmt w:val="lowerRoman"/>
      <w:lvlText w:val="%6."/>
      <w:lvlJc w:val="right"/>
      <w:pPr>
        <w:ind w:left="4320" w:hanging="180"/>
      </w:pPr>
    </w:lvl>
    <w:lvl w:ilvl="6" w:tplc="43E87042" w:tentative="1">
      <w:start w:val="1"/>
      <w:numFmt w:val="decimal"/>
      <w:lvlText w:val="%7."/>
      <w:lvlJc w:val="left"/>
      <w:pPr>
        <w:ind w:left="5040" w:hanging="360"/>
      </w:pPr>
    </w:lvl>
    <w:lvl w:ilvl="7" w:tplc="07F22880" w:tentative="1">
      <w:start w:val="1"/>
      <w:numFmt w:val="lowerLetter"/>
      <w:lvlText w:val="%8."/>
      <w:lvlJc w:val="left"/>
      <w:pPr>
        <w:ind w:left="5760" w:hanging="360"/>
      </w:pPr>
    </w:lvl>
    <w:lvl w:ilvl="8" w:tplc="45683E44" w:tentative="1">
      <w:start w:val="1"/>
      <w:numFmt w:val="lowerRoman"/>
      <w:lvlText w:val="%9."/>
      <w:lvlJc w:val="right"/>
      <w:pPr>
        <w:ind w:left="6480" w:hanging="180"/>
      </w:pPr>
    </w:lvl>
  </w:abstractNum>
  <w:abstractNum w:abstractNumId="20">
    <w:nsid w:val="72A87A37"/>
    <w:multiLevelType w:val="hybridMultilevel"/>
    <w:tmpl w:val="BFF48030"/>
    <w:lvl w:ilvl="0" w:tplc="0426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E8224EA"/>
    <w:multiLevelType w:val="singleLevel"/>
    <w:tmpl w:val="34DEB8CE"/>
    <w:name w:val="Dash 2"/>
    <w:lvl w:ilvl="0">
      <w:start w:val="1"/>
      <w:numFmt w:val="bullet"/>
      <w:lvlRestart w:val="0"/>
      <w:pStyle w:val="Tiret0"/>
      <w:lvlText w:val="–"/>
      <w:lvlJc w:val="left"/>
      <w:pPr>
        <w:tabs>
          <w:tab w:val="num" w:pos="850"/>
        </w:tabs>
        <w:ind w:left="850" w:hanging="850"/>
      </w:pPr>
    </w:lvl>
  </w:abstractNum>
  <w:abstractNum w:abstractNumId="22">
    <w:nsid w:val="7FB46BD9"/>
    <w:multiLevelType w:val="hybridMultilevel"/>
    <w:tmpl w:val="A9443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8"/>
  </w:num>
  <w:num w:numId="5">
    <w:abstractNumId w:val="5"/>
  </w:num>
  <w:num w:numId="6">
    <w:abstractNumId w:val="11"/>
  </w:num>
  <w:num w:numId="7">
    <w:abstractNumId w:val="6"/>
  </w:num>
  <w:num w:numId="8">
    <w:abstractNumId w:val="2"/>
  </w:num>
  <w:num w:numId="9">
    <w:abstractNumId w:val="21"/>
  </w:num>
  <w:num w:numId="10">
    <w:abstractNumId w:val="2"/>
  </w:num>
  <w:num w:numId="11">
    <w:abstractNumId w:val="21"/>
  </w:num>
  <w:num w:numId="12">
    <w:abstractNumId w:val="13"/>
  </w:num>
  <w:num w:numId="13">
    <w:abstractNumId w:val="17"/>
  </w:num>
  <w:num w:numId="14">
    <w:abstractNumId w:val="4"/>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20"/>
  </w:num>
  <w:num w:numId="20">
    <w:abstractNumId w:val="22"/>
  </w:num>
  <w:num w:numId="21">
    <w:abstractNumId w:val="14"/>
  </w:num>
  <w:num w:numId="22">
    <w:abstractNumId w:val="1"/>
  </w:num>
  <w:num w:numId="2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rsids>
    <w:rsidRoot w:val="00D23877"/>
    <w:rsid w:val="000030DD"/>
    <w:rsid w:val="00003EB3"/>
    <w:rsid w:val="00005EEF"/>
    <w:rsid w:val="00010BAC"/>
    <w:rsid w:val="00012F05"/>
    <w:rsid w:val="0003192C"/>
    <w:rsid w:val="000328EA"/>
    <w:rsid w:val="000332B6"/>
    <w:rsid w:val="00034E61"/>
    <w:rsid w:val="00040266"/>
    <w:rsid w:val="00040BC2"/>
    <w:rsid w:val="000418C2"/>
    <w:rsid w:val="000423C7"/>
    <w:rsid w:val="000465FB"/>
    <w:rsid w:val="000548C0"/>
    <w:rsid w:val="0005669D"/>
    <w:rsid w:val="000624D3"/>
    <w:rsid w:val="00066BA9"/>
    <w:rsid w:val="00070442"/>
    <w:rsid w:val="0008018C"/>
    <w:rsid w:val="00083367"/>
    <w:rsid w:val="00083B40"/>
    <w:rsid w:val="0008622A"/>
    <w:rsid w:val="0009204B"/>
    <w:rsid w:val="00093330"/>
    <w:rsid w:val="0009606E"/>
    <w:rsid w:val="00096389"/>
    <w:rsid w:val="000A3ECF"/>
    <w:rsid w:val="000A5F00"/>
    <w:rsid w:val="000A64E9"/>
    <w:rsid w:val="000C40BA"/>
    <w:rsid w:val="000C6AFD"/>
    <w:rsid w:val="000D09C7"/>
    <w:rsid w:val="000D1CC0"/>
    <w:rsid w:val="000D5A0E"/>
    <w:rsid w:val="000E0C12"/>
    <w:rsid w:val="000E43F2"/>
    <w:rsid w:val="000E610D"/>
    <w:rsid w:val="000E6F0B"/>
    <w:rsid w:val="000F37B6"/>
    <w:rsid w:val="000F4E63"/>
    <w:rsid w:val="000F4FAC"/>
    <w:rsid w:val="00102ADA"/>
    <w:rsid w:val="001067F5"/>
    <w:rsid w:val="00111A98"/>
    <w:rsid w:val="001136D0"/>
    <w:rsid w:val="0011435E"/>
    <w:rsid w:val="0011554A"/>
    <w:rsid w:val="00117C58"/>
    <w:rsid w:val="00121754"/>
    <w:rsid w:val="00124A64"/>
    <w:rsid w:val="00126126"/>
    <w:rsid w:val="00131BCB"/>
    <w:rsid w:val="00131C95"/>
    <w:rsid w:val="0013288B"/>
    <w:rsid w:val="0013757F"/>
    <w:rsid w:val="00137E9C"/>
    <w:rsid w:val="00140408"/>
    <w:rsid w:val="001418D0"/>
    <w:rsid w:val="00143204"/>
    <w:rsid w:val="001500F9"/>
    <w:rsid w:val="0015025C"/>
    <w:rsid w:val="00152835"/>
    <w:rsid w:val="0015330C"/>
    <w:rsid w:val="0015375A"/>
    <w:rsid w:val="0015554F"/>
    <w:rsid w:val="00157E53"/>
    <w:rsid w:val="00164CAE"/>
    <w:rsid w:val="00164D8B"/>
    <w:rsid w:val="0016526C"/>
    <w:rsid w:val="001658C6"/>
    <w:rsid w:val="00177579"/>
    <w:rsid w:val="001808A9"/>
    <w:rsid w:val="001825D1"/>
    <w:rsid w:val="001834E1"/>
    <w:rsid w:val="0018726C"/>
    <w:rsid w:val="0018772F"/>
    <w:rsid w:val="00190650"/>
    <w:rsid w:val="0019130F"/>
    <w:rsid w:val="00195426"/>
    <w:rsid w:val="001A125F"/>
    <w:rsid w:val="001A6EF7"/>
    <w:rsid w:val="001B0364"/>
    <w:rsid w:val="001B0E82"/>
    <w:rsid w:val="001B1BD1"/>
    <w:rsid w:val="001B3E98"/>
    <w:rsid w:val="001C2143"/>
    <w:rsid w:val="001C5F64"/>
    <w:rsid w:val="001D0706"/>
    <w:rsid w:val="001D2C00"/>
    <w:rsid w:val="001D3AFA"/>
    <w:rsid w:val="001D52CC"/>
    <w:rsid w:val="001E03F9"/>
    <w:rsid w:val="001E0D75"/>
    <w:rsid w:val="001E102B"/>
    <w:rsid w:val="001E2297"/>
    <w:rsid w:val="001E4454"/>
    <w:rsid w:val="001E4F20"/>
    <w:rsid w:val="001F04EB"/>
    <w:rsid w:val="001F1502"/>
    <w:rsid w:val="001F3DE8"/>
    <w:rsid w:val="002013BA"/>
    <w:rsid w:val="00205D20"/>
    <w:rsid w:val="0020742E"/>
    <w:rsid w:val="00215B74"/>
    <w:rsid w:val="002171AC"/>
    <w:rsid w:val="00220EEB"/>
    <w:rsid w:val="0022176A"/>
    <w:rsid w:val="002221B9"/>
    <w:rsid w:val="00225058"/>
    <w:rsid w:val="00225FAF"/>
    <w:rsid w:val="0022603C"/>
    <w:rsid w:val="00226C5D"/>
    <w:rsid w:val="00234130"/>
    <w:rsid w:val="00234ACB"/>
    <w:rsid w:val="00234BAA"/>
    <w:rsid w:val="00235D5A"/>
    <w:rsid w:val="00241F0A"/>
    <w:rsid w:val="00242BC6"/>
    <w:rsid w:val="00244BEA"/>
    <w:rsid w:val="002518A6"/>
    <w:rsid w:val="00257D58"/>
    <w:rsid w:val="0026177B"/>
    <w:rsid w:val="00265E5D"/>
    <w:rsid w:val="00267EA5"/>
    <w:rsid w:val="00276EB4"/>
    <w:rsid w:val="002808C2"/>
    <w:rsid w:val="00280B1B"/>
    <w:rsid w:val="00283166"/>
    <w:rsid w:val="002834D8"/>
    <w:rsid w:val="00283D7B"/>
    <w:rsid w:val="0028407D"/>
    <w:rsid w:val="00284A0E"/>
    <w:rsid w:val="00285A15"/>
    <w:rsid w:val="00292DAA"/>
    <w:rsid w:val="00293098"/>
    <w:rsid w:val="002933DC"/>
    <w:rsid w:val="00293E75"/>
    <w:rsid w:val="00295DFF"/>
    <w:rsid w:val="002969D8"/>
    <w:rsid w:val="00297E50"/>
    <w:rsid w:val="002A116B"/>
    <w:rsid w:val="002A3562"/>
    <w:rsid w:val="002B0771"/>
    <w:rsid w:val="002B587F"/>
    <w:rsid w:val="002B7102"/>
    <w:rsid w:val="002C1D9A"/>
    <w:rsid w:val="002C27FF"/>
    <w:rsid w:val="002C3EE7"/>
    <w:rsid w:val="002C43A4"/>
    <w:rsid w:val="002D0B77"/>
    <w:rsid w:val="002D45A3"/>
    <w:rsid w:val="002E613F"/>
    <w:rsid w:val="002F1A3F"/>
    <w:rsid w:val="002F1C3C"/>
    <w:rsid w:val="002F4276"/>
    <w:rsid w:val="002F4ADA"/>
    <w:rsid w:val="002F70DE"/>
    <w:rsid w:val="00300A1A"/>
    <w:rsid w:val="003028E8"/>
    <w:rsid w:val="00302C46"/>
    <w:rsid w:val="003060E9"/>
    <w:rsid w:val="0031258C"/>
    <w:rsid w:val="003147AD"/>
    <w:rsid w:val="0031777A"/>
    <w:rsid w:val="00341220"/>
    <w:rsid w:val="00341C6F"/>
    <w:rsid w:val="003424A2"/>
    <w:rsid w:val="003427D2"/>
    <w:rsid w:val="00342A14"/>
    <w:rsid w:val="00342E1E"/>
    <w:rsid w:val="003439DD"/>
    <w:rsid w:val="00350B9F"/>
    <w:rsid w:val="0035170E"/>
    <w:rsid w:val="00351715"/>
    <w:rsid w:val="00353B14"/>
    <w:rsid w:val="00355D2E"/>
    <w:rsid w:val="00356EDE"/>
    <w:rsid w:val="003577BF"/>
    <w:rsid w:val="00357F4B"/>
    <w:rsid w:val="00366067"/>
    <w:rsid w:val="00366B7B"/>
    <w:rsid w:val="0038273B"/>
    <w:rsid w:val="003847BD"/>
    <w:rsid w:val="00386826"/>
    <w:rsid w:val="00387428"/>
    <w:rsid w:val="003968DC"/>
    <w:rsid w:val="00396A76"/>
    <w:rsid w:val="003A3171"/>
    <w:rsid w:val="003A64B6"/>
    <w:rsid w:val="003A728B"/>
    <w:rsid w:val="003A7C14"/>
    <w:rsid w:val="003B0ED4"/>
    <w:rsid w:val="003B34F6"/>
    <w:rsid w:val="003B354F"/>
    <w:rsid w:val="003B43B9"/>
    <w:rsid w:val="003B785A"/>
    <w:rsid w:val="003C0B16"/>
    <w:rsid w:val="003C35D3"/>
    <w:rsid w:val="003C3B9E"/>
    <w:rsid w:val="003C5BF3"/>
    <w:rsid w:val="003D058B"/>
    <w:rsid w:val="003D14BD"/>
    <w:rsid w:val="003D3980"/>
    <w:rsid w:val="003D62BF"/>
    <w:rsid w:val="003D6C0F"/>
    <w:rsid w:val="003D7799"/>
    <w:rsid w:val="003E0134"/>
    <w:rsid w:val="003E2AC5"/>
    <w:rsid w:val="003E44C1"/>
    <w:rsid w:val="003E63A0"/>
    <w:rsid w:val="003F1E4A"/>
    <w:rsid w:val="003F5009"/>
    <w:rsid w:val="003F6229"/>
    <w:rsid w:val="00402E15"/>
    <w:rsid w:val="00404E96"/>
    <w:rsid w:val="00407037"/>
    <w:rsid w:val="004104B2"/>
    <w:rsid w:val="00415825"/>
    <w:rsid w:val="004179E2"/>
    <w:rsid w:val="00423468"/>
    <w:rsid w:val="004310CF"/>
    <w:rsid w:val="0043308B"/>
    <w:rsid w:val="00433DE3"/>
    <w:rsid w:val="00436ED5"/>
    <w:rsid w:val="0044065B"/>
    <w:rsid w:val="00441AF3"/>
    <w:rsid w:val="00446B16"/>
    <w:rsid w:val="00452D3D"/>
    <w:rsid w:val="004532C1"/>
    <w:rsid w:val="00454EEB"/>
    <w:rsid w:val="0045542A"/>
    <w:rsid w:val="004575C4"/>
    <w:rsid w:val="0046105C"/>
    <w:rsid w:val="0046320D"/>
    <w:rsid w:val="00464AF3"/>
    <w:rsid w:val="00472EB0"/>
    <w:rsid w:val="00480FB2"/>
    <w:rsid w:val="00482C60"/>
    <w:rsid w:val="00492A59"/>
    <w:rsid w:val="00493052"/>
    <w:rsid w:val="0049328B"/>
    <w:rsid w:val="004937B7"/>
    <w:rsid w:val="00494EE2"/>
    <w:rsid w:val="00496221"/>
    <w:rsid w:val="004A54E2"/>
    <w:rsid w:val="004A6029"/>
    <w:rsid w:val="004A75CE"/>
    <w:rsid w:val="004A7F60"/>
    <w:rsid w:val="004B17DE"/>
    <w:rsid w:val="004B7424"/>
    <w:rsid w:val="004C1748"/>
    <w:rsid w:val="004C6A01"/>
    <w:rsid w:val="004D71F3"/>
    <w:rsid w:val="004E2037"/>
    <w:rsid w:val="004E30B5"/>
    <w:rsid w:val="004E33C4"/>
    <w:rsid w:val="004E48FB"/>
    <w:rsid w:val="004E6076"/>
    <w:rsid w:val="004E6A71"/>
    <w:rsid w:val="004F2540"/>
    <w:rsid w:val="0050153A"/>
    <w:rsid w:val="0050415A"/>
    <w:rsid w:val="005044B3"/>
    <w:rsid w:val="00513F70"/>
    <w:rsid w:val="00515C88"/>
    <w:rsid w:val="0051657E"/>
    <w:rsid w:val="00517D0B"/>
    <w:rsid w:val="00522C99"/>
    <w:rsid w:val="00523854"/>
    <w:rsid w:val="00525A9A"/>
    <w:rsid w:val="0052692D"/>
    <w:rsid w:val="00536719"/>
    <w:rsid w:val="00541158"/>
    <w:rsid w:val="0054153C"/>
    <w:rsid w:val="005434B7"/>
    <w:rsid w:val="00546BA3"/>
    <w:rsid w:val="005470FE"/>
    <w:rsid w:val="00552058"/>
    <w:rsid w:val="005520E0"/>
    <w:rsid w:val="00552EA1"/>
    <w:rsid w:val="0055327F"/>
    <w:rsid w:val="00553DAB"/>
    <w:rsid w:val="00554B70"/>
    <w:rsid w:val="00556788"/>
    <w:rsid w:val="00567E15"/>
    <w:rsid w:val="00571835"/>
    <w:rsid w:val="00573E56"/>
    <w:rsid w:val="0057554A"/>
    <w:rsid w:val="00575ADF"/>
    <w:rsid w:val="00575D06"/>
    <w:rsid w:val="00580354"/>
    <w:rsid w:val="00582CBF"/>
    <w:rsid w:val="00582FE3"/>
    <w:rsid w:val="005838D4"/>
    <w:rsid w:val="00586502"/>
    <w:rsid w:val="00587B09"/>
    <w:rsid w:val="00594A22"/>
    <w:rsid w:val="00595A5F"/>
    <w:rsid w:val="005971B8"/>
    <w:rsid w:val="005A7E5B"/>
    <w:rsid w:val="005B21EE"/>
    <w:rsid w:val="005B502B"/>
    <w:rsid w:val="005B57FB"/>
    <w:rsid w:val="005B71B6"/>
    <w:rsid w:val="005B7DB4"/>
    <w:rsid w:val="005C2437"/>
    <w:rsid w:val="005C7CEB"/>
    <w:rsid w:val="005D08B2"/>
    <w:rsid w:val="005D1B87"/>
    <w:rsid w:val="005D37B2"/>
    <w:rsid w:val="005D4F45"/>
    <w:rsid w:val="005E166F"/>
    <w:rsid w:val="005E4912"/>
    <w:rsid w:val="005F3DA7"/>
    <w:rsid w:val="005F6491"/>
    <w:rsid w:val="005F7BE0"/>
    <w:rsid w:val="00600269"/>
    <w:rsid w:val="006004F6"/>
    <w:rsid w:val="0060509D"/>
    <w:rsid w:val="006052F9"/>
    <w:rsid w:val="00607B39"/>
    <w:rsid w:val="00610C03"/>
    <w:rsid w:val="00615285"/>
    <w:rsid w:val="00621019"/>
    <w:rsid w:val="0062610B"/>
    <w:rsid w:val="00641B04"/>
    <w:rsid w:val="00641F54"/>
    <w:rsid w:val="00646F01"/>
    <w:rsid w:val="00650DCE"/>
    <w:rsid w:val="00650DFD"/>
    <w:rsid w:val="00652F0A"/>
    <w:rsid w:val="0065786D"/>
    <w:rsid w:val="0066344B"/>
    <w:rsid w:val="0067215C"/>
    <w:rsid w:val="00673E47"/>
    <w:rsid w:val="006755C4"/>
    <w:rsid w:val="006917DD"/>
    <w:rsid w:val="00695ABA"/>
    <w:rsid w:val="00696244"/>
    <w:rsid w:val="00697721"/>
    <w:rsid w:val="006A0ABF"/>
    <w:rsid w:val="006A1E64"/>
    <w:rsid w:val="006A3161"/>
    <w:rsid w:val="006A707C"/>
    <w:rsid w:val="006C03CE"/>
    <w:rsid w:val="006C4BDC"/>
    <w:rsid w:val="006D0A5D"/>
    <w:rsid w:val="006D1E27"/>
    <w:rsid w:val="006D38BD"/>
    <w:rsid w:val="006E0522"/>
    <w:rsid w:val="006E1E69"/>
    <w:rsid w:val="006E4F57"/>
    <w:rsid w:val="00700C2D"/>
    <w:rsid w:val="00704F75"/>
    <w:rsid w:val="0071004C"/>
    <w:rsid w:val="00710E7D"/>
    <w:rsid w:val="0071194A"/>
    <w:rsid w:val="00713CA8"/>
    <w:rsid w:val="0071586F"/>
    <w:rsid w:val="00716579"/>
    <w:rsid w:val="0071747E"/>
    <w:rsid w:val="0072085F"/>
    <w:rsid w:val="0072158E"/>
    <w:rsid w:val="00722572"/>
    <w:rsid w:val="00732675"/>
    <w:rsid w:val="00733E69"/>
    <w:rsid w:val="00734575"/>
    <w:rsid w:val="00742E4E"/>
    <w:rsid w:val="00744B84"/>
    <w:rsid w:val="0075474D"/>
    <w:rsid w:val="00754BCC"/>
    <w:rsid w:val="007554E6"/>
    <w:rsid w:val="0076055A"/>
    <w:rsid w:val="007631DF"/>
    <w:rsid w:val="00763D12"/>
    <w:rsid w:val="00764DA9"/>
    <w:rsid w:val="00764DEE"/>
    <w:rsid w:val="00764E6F"/>
    <w:rsid w:val="0077497B"/>
    <w:rsid w:val="007758CA"/>
    <w:rsid w:val="00777DFC"/>
    <w:rsid w:val="00782149"/>
    <w:rsid w:val="00784403"/>
    <w:rsid w:val="00785C13"/>
    <w:rsid w:val="00791EDB"/>
    <w:rsid w:val="00791F0A"/>
    <w:rsid w:val="007934BB"/>
    <w:rsid w:val="00797523"/>
    <w:rsid w:val="007A100C"/>
    <w:rsid w:val="007A1272"/>
    <w:rsid w:val="007A492F"/>
    <w:rsid w:val="007B0265"/>
    <w:rsid w:val="007B2938"/>
    <w:rsid w:val="007B2E76"/>
    <w:rsid w:val="007B3B29"/>
    <w:rsid w:val="007B42D6"/>
    <w:rsid w:val="007B580C"/>
    <w:rsid w:val="007B6F56"/>
    <w:rsid w:val="007C1097"/>
    <w:rsid w:val="007C2228"/>
    <w:rsid w:val="007C563F"/>
    <w:rsid w:val="007C6C07"/>
    <w:rsid w:val="007D0917"/>
    <w:rsid w:val="007D24F5"/>
    <w:rsid w:val="007D3047"/>
    <w:rsid w:val="007D41A6"/>
    <w:rsid w:val="007D4DDE"/>
    <w:rsid w:val="007D59E4"/>
    <w:rsid w:val="007E07E2"/>
    <w:rsid w:val="007E0A56"/>
    <w:rsid w:val="007F7B34"/>
    <w:rsid w:val="00801917"/>
    <w:rsid w:val="00805C4B"/>
    <w:rsid w:val="008138EF"/>
    <w:rsid w:val="00814D32"/>
    <w:rsid w:val="00820E2E"/>
    <w:rsid w:val="00821A0E"/>
    <w:rsid w:val="008253D1"/>
    <w:rsid w:val="00825F1B"/>
    <w:rsid w:val="00826F03"/>
    <w:rsid w:val="008274E1"/>
    <w:rsid w:val="008301F8"/>
    <w:rsid w:val="008317D6"/>
    <w:rsid w:val="008331FE"/>
    <w:rsid w:val="0083571E"/>
    <w:rsid w:val="00835CC7"/>
    <w:rsid w:val="00842B81"/>
    <w:rsid w:val="008466F7"/>
    <w:rsid w:val="008473D5"/>
    <w:rsid w:val="0085191D"/>
    <w:rsid w:val="00852A4D"/>
    <w:rsid w:val="00854BB0"/>
    <w:rsid w:val="0085658D"/>
    <w:rsid w:val="00862722"/>
    <w:rsid w:val="00865E8A"/>
    <w:rsid w:val="0086760A"/>
    <w:rsid w:val="00871024"/>
    <w:rsid w:val="008758A8"/>
    <w:rsid w:val="00875A50"/>
    <w:rsid w:val="0087658A"/>
    <w:rsid w:val="00876A8C"/>
    <w:rsid w:val="00883CA9"/>
    <w:rsid w:val="008844E7"/>
    <w:rsid w:val="00890BE2"/>
    <w:rsid w:val="00890F18"/>
    <w:rsid w:val="00895FF7"/>
    <w:rsid w:val="008974E3"/>
    <w:rsid w:val="008A0954"/>
    <w:rsid w:val="008A46A3"/>
    <w:rsid w:val="008B1D44"/>
    <w:rsid w:val="008B704D"/>
    <w:rsid w:val="008B7301"/>
    <w:rsid w:val="008C22D9"/>
    <w:rsid w:val="008D2768"/>
    <w:rsid w:val="008D29FA"/>
    <w:rsid w:val="008D444F"/>
    <w:rsid w:val="008E14CD"/>
    <w:rsid w:val="008E269E"/>
    <w:rsid w:val="008E397B"/>
    <w:rsid w:val="008E4F23"/>
    <w:rsid w:val="008E533C"/>
    <w:rsid w:val="008F2DE3"/>
    <w:rsid w:val="00902170"/>
    <w:rsid w:val="009024CC"/>
    <w:rsid w:val="009029C6"/>
    <w:rsid w:val="00903D21"/>
    <w:rsid w:val="00904529"/>
    <w:rsid w:val="0090565A"/>
    <w:rsid w:val="009059D8"/>
    <w:rsid w:val="009118B9"/>
    <w:rsid w:val="00911D55"/>
    <w:rsid w:val="00913A3A"/>
    <w:rsid w:val="00921684"/>
    <w:rsid w:val="00927EF7"/>
    <w:rsid w:val="00931799"/>
    <w:rsid w:val="00933A1F"/>
    <w:rsid w:val="009343D3"/>
    <w:rsid w:val="00935DF3"/>
    <w:rsid w:val="00936AC8"/>
    <w:rsid w:val="00940266"/>
    <w:rsid w:val="00942C12"/>
    <w:rsid w:val="0094499D"/>
    <w:rsid w:val="009501B4"/>
    <w:rsid w:val="00952753"/>
    <w:rsid w:val="0095278B"/>
    <w:rsid w:val="00961055"/>
    <w:rsid w:val="00961C02"/>
    <w:rsid w:val="009642E9"/>
    <w:rsid w:val="00967927"/>
    <w:rsid w:val="009706A7"/>
    <w:rsid w:val="00972037"/>
    <w:rsid w:val="009772E2"/>
    <w:rsid w:val="0097759D"/>
    <w:rsid w:val="00986E83"/>
    <w:rsid w:val="00996097"/>
    <w:rsid w:val="0099696E"/>
    <w:rsid w:val="009A227A"/>
    <w:rsid w:val="009A27F6"/>
    <w:rsid w:val="009A2BA6"/>
    <w:rsid w:val="009A67CB"/>
    <w:rsid w:val="009A7849"/>
    <w:rsid w:val="009A78D7"/>
    <w:rsid w:val="009A7E4A"/>
    <w:rsid w:val="009B0CAE"/>
    <w:rsid w:val="009B6B55"/>
    <w:rsid w:val="009B72B7"/>
    <w:rsid w:val="009C4D15"/>
    <w:rsid w:val="009C5A4E"/>
    <w:rsid w:val="009C7683"/>
    <w:rsid w:val="009D056B"/>
    <w:rsid w:val="009D7FE2"/>
    <w:rsid w:val="009E0F97"/>
    <w:rsid w:val="009E3C35"/>
    <w:rsid w:val="009E65F8"/>
    <w:rsid w:val="009E7D9E"/>
    <w:rsid w:val="009F39BC"/>
    <w:rsid w:val="009F460F"/>
    <w:rsid w:val="00A03229"/>
    <w:rsid w:val="00A04130"/>
    <w:rsid w:val="00A0537B"/>
    <w:rsid w:val="00A06159"/>
    <w:rsid w:val="00A06779"/>
    <w:rsid w:val="00A13041"/>
    <w:rsid w:val="00A147A1"/>
    <w:rsid w:val="00A149A3"/>
    <w:rsid w:val="00A24C31"/>
    <w:rsid w:val="00A279D1"/>
    <w:rsid w:val="00A3328B"/>
    <w:rsid w:val="00A40853"/>
    <w:rsid w:val="00A42AF8"/>
    <w:rsid w:val="00A457A1"/>
    <w:rsid w:val="00A46635"/>
    <w:rsid w:val="00A47C07"/>
    <w:rsid w:val="00A52A93"/>
    <w:rsid w:val="00A54E53"/>
    <w:rsid w:val="00A60EBA"/>
    <w:rsid w:val="00A626B2"/>
    <w:rsid w:val="00A626C6"/>
    <w:rsid w:val="00A64AD2"/>
    <w:rsid w:val="00A6599A"/>
    <w:rsid w:val="00A70BDE"/>
    <w:rsid w:val="00A76613"/>
    <w:rsid w:val="00A85D16"/>
    <w:rsid w:val="00A86D9A"/>
    <w:rsid w:val="00A86DB9"/>
    <w:rsid w:val="00AA1B80"/>
    <w:rsid w:val="00AA1BC3"/>
    <w:rsid w:val="00AA2D4C"/>
    <w:rsid w:val="00AB4E23"/>
    <w:rsid w:val="00AC07E7"/>
    <w:rsid w:val="00AC3935"/>
    <w:rsid w:val="00AC7FE1"/>
    <w:rsid w:val="00AD1A82"/>
    <w:rsid w:val="00AE01F3"/>
    <w:rsid w:val="00AE4764"/>
    <w:rsid w:val="00AE5C08"/>
    <w:rsid w:val="00AE6879"/>
    <w:rsid w:val="00AE6D22"/>
    <w:rsid w:val="00AF4D20"/>
    <w:rsid w:val="00AF603C"/>
    <w:rsid w:val="00B0654C"/>
    <w:rsid w:val="00B22819"/>
    <w:rsid w:val="00B25ACF"/>
    <w:rsid w:val="00B2692B"/>
    <w:rsid w:val="00B37A3A"/>
    <w:rsid w:val="00B4387B"/>
    <w:rsid w:val="00B50ACC"/>
    <w:rsid w:val="00B562CA"/>
    <w:rsid w:val="00B703FA"/>
    <w:rsid w:val="00B723A8"/>
    <w:rsid w:val="00B7472F"/>
    <w:rsid w:val="00B7473A"/>
    <w:rsid w:val="00B74EFE"/>
    <w:rsid w:val="00B758F6"/>
    <w:rsid w:val="00B7628C"/>
    <w:rsid w:val="00B87C79"/>
    <w:rsid w:val="00B90DAB"/>
    <w:rsid w:val="00B923F4"/>
    <w:rsid w:val="00B961C8"/>
    <w:rsid w:val="00B97D42"/>
    <w:rsid w:val="00BA0B26"/>
    <w:rsid w:val="00BA3758"/>
    <w:rsid w:val="00BA3F7B"/>
    <w:rsid w:val="00BA781E"/>
    <w:rsid w:val="00BB7B38"/>
    <w:rsid w:val="00BC41E5"/>
    <w:rsid w:val="00BC4852"/>
    <w:rsid w:val="00BD67A6"/>
    <w:rsid w:val="00BD7E81"/>
    <w:rsid w:val="00BE5F93"/>
    <w:rsid w:val="00BE6EF7"/>
    <w:rsid w:val="00BE7057"/>
    <w:rsid w:val="00BE7B5D"/>
    <w:rsid w:val="00BF2FF8"/>
    <w:rsid w:val="00BF3D62"/>
    <w:rsid w:val="00BF4711"/>
    <w:rsid w:val="00BF61F4"/>
    <w:rsid w:val="00BF7A8F"/>
    <w:rsid w:val="00BF7CA9"/>
    <w:rsid w:val="00C024C2"/>
    <w:rsid w:val="00C076CC"/>
    <w:rsid w:val="00C11669"/>
    <w:rsid w:val="00C14B36"/>
    <w:rsid w:val="00C153D6"/>
    <w:rsid w:val="00C218D8"/>
    <w:rsid w:val="00C23061"/>
    <w:rsid w:val="00C25471"/>
    <w:rsid w:val="00C30460"/>
    <w:rsid w:val="00C322E9"/>
    <w:rsid w:val="00C34911"/>
    <w:rsid w:val="00C3597B"/>
    <w:rsid w:val="00C36485"/>
    <w:rsid w:val="00C373F0"/>
    <w:rsid w:val="00C4595C"/>
    <w:rsid w:val="00C475AA"/>
    <w:rsid w:val="00C54058"/>
    <w:rsid w:val="00C55FA0"/>
    <w:rsid w:val="00C57AFB"/>
    <w:rsid w:val="00C63EF5"/>
    <w:rsid w:val="00C6460A"/>
    <w:rsid w:val="00C702D0"/>
    <w:rsid w:val="00C72344"/>
    <w:rsid w:val="00C73079"/>
    <w:rsid w:val="00C833B9"/>
    <w:rsid w:val="00C8504C"/>
    <w:rsid w:val="00C8764B"/>
    <w:rsid w:val="00C87E08"/>
    <w:rsid w:val="00C90189"/>
    <w:rsid w:val="00CA2B93"/>
    <w:rsid w:val="00CA693C"/>
    <w:rsid w:val="00CA79F1"/>
    <w:rsid w:val="00CB4C5C"/>
    <w:rsid w:val="00CC2252"/>
    <w:rsid w:val="00CC265E"/>
    <w:rsid w:val="00CC4F3F"/>
    <w:rsid w:val="00CC5287"/>
    <w:rsid w:val="00CD3012"/>
    <w:rsid w:val="00CD5650"/>
    <w:rsid w:val="00CD5F4F"/>
    <w:rsid w:val="00CE05B7"/>
    <w:rsid w:val="00CE4697"/>
    <w:rsid w:val="00CE56F3"/>
    <w:rsid w:val="00CE5D3D"/>
    <w:rsid w:val="00CE63AF"/>
    <w:rsid w:val="00CF0340"/>
    <w:rsid w:val="00CF1437"/>
    <w:rsid w:val="00CF14E8"/>
    <w:rsid w:val="00CF2E4A"/>
    <w:rsid w:val="00CF51EA"/>
    <w:rsid w:val="00D031D7"/>
    <w:rsid w:val="00D046C8"/>
    <w:rsid w:val="00D145F5"/>
    <w:rsid w:val="00D17744"/>
    <w:rsid w:val="00D23877"/>
    <w:rsid w:val="00D24B09"/>
    <w:rsid w:val="00D27247"/>
    <w:rsid w:val="00D33A41"/>
    <w:rsid w:val="00D3623F"/>
    <w:rsid w:val="00D40C2B"/>
    <w:rsid w:val="00D415B3"/>
    <w:rsid w:val="00D52CF9"/>
    <w:rsid w:val="00D57BA3"/>
    <w:rsid w:val="00D605D4"/>
    <w:rsid w:val="00D656BA"/>
    <w:rsid w:val="00D663B2"/>
    <w:rsid w:val="00D66C5A"/>
    <w:rsid w:val="00D70A47"/>
    <w:rsid w:val="00D713B8"/>
    <w:rsid w:val="00D7142C"/>
    <w:rsid w:val="00D83092"/>
    <w:rsid w:val="00D833F7"/>
    <w:rsid w:val="00D845D9"/>
    <w:rsid w:val="00D87349"/>
    <w:rsid w:val="00D903CF"/>
    <w:rsid w:val="00D9449B"/>
    <w:rsid w:val="00D967EB"/>
    <w:rsid w:val="00DA3958"/>
    <w:rsid w:val="00DA4EBC"/>
    <w:rsid w:val="00DB53D6"/>
    <w:rsid w:val="00DC1063"/>
    <w:rsid w:val="00DC2B2A"/>
    <w:rsid w:val="00DC33E7"/>
    <w:rsid w:val="00DC49E3"/>
    <w:rsid w:val="00DD42A7"/>
    <w:rsid w:val="00DD4799"/>
    <w:rsid w:val="00DD73FC"/>
    <w:rsid w:val="00DD7DEF"/>
    <w:rsid w:val="00DE0B9C"/>
    <w:rsid w:val="00DE23A1"/>
    <w:rsid w:val="00DE2DFD"/>
    <w:rsid w:val="00DE5CD3"/>
    <w:rsid w:val="00DF357D"/>
    <w:rsid w:val="00DF44F4"/>
    <w:rsid w:val="00DF56B7"/>
    <w:rsid w:val="00E01227"/>
    <w:rsid w:val="00E04F48"/>
    <w:rsid w:val="00E06D81"/>
    <w:rsid w:val="00E07D59"/>
    <w:rsid w:val="00E11446"/>
    <w:rsid w:val="00E11EF1"/>
    <w:rsid w:val="00E14CFC"/>
    <w:rsid w:val="00E14E27"/>
    <w:rsid w:val="00E1524A"/>
    <w:rsid w:val="00E21848"/>
    <w:rsid w:val="00E222E4"/>
    <w:rsid w:val="00E22357"/>
    <w:rsid w:val="00E23C93"/>
    <w:rsid w:val="00E2729C"/>
    <w:rsid w:val="00E276F8"/>
    <w:rsid w:val="00E30636"/>
    <w:rsid w:val="00E34147"/>
    <w:rsid w:val="00E347C6"/>
    <w:rsid w:val="00E35CF5"/>
    <w:rsid w:val="00E4082A"/>
    <w:rsid w:val="00E4113B"/>
    <w:rsid w:val="00E4195D"/>
    <w:rsid w:val="00E50ECF"/>
    <w:rsid w:val="00E555C4"/>
    <w:rsid w:val="00E6041B"/>
    <w:rsid w:val="00E61D2C"/>
    <w:rsid w:val="00E6598A"/>
    <w:rsid w:val="00E70E2B"/>
    <w:rsid w:val="00E710D5"/>
    <w:rsid w:val="00E73B96"/>
    <w:rsid w:val="00E825F7"/>
    <w:rsid w:val="00E83B66"/>
    <w:rsid w:val="00E84EAB"/>
    <w:rsid w:val="00E8737A"/>
    <w:rsid w:val="00E9057E"/>
    <w:rsid w:val="00E942FF"/>
    <w:rsid w:val="00E94684"/>
    <w:rsid w:val="00E94F5B"/>
    <w:rsid w:val="00E95217"/>
    <w:rsid w:val="00E96241"/>
    <w:rsid w:val="00EA031A"/>
    <w:rsid w:val="00EA03DF"/>
    <w:rsid w:val="00EA4577"/>
    <w:rsid w:val="00EA4BCC"/>
    <w:rsid w:val="00EA5D39"/>
    <w:rsid w:val="00EA7C9E"/>
    <w:rsid w:val="00EC3B8A"/>
    <w:rsid w:val="00EC43F7"/>
    <w:rsid w:val="00EC65BE"/>
    <w:rsid w:val="00EC73EF"/>
    <w:rsid w:val="00ED0495"/>
    <w:rsid w:val="00ED2D0A"/>
    <w:rsid w:val="00ED2DB7"/>
    <w:rsid w:val="00EE18F6"/>
    <w:rsid w:val="00EF138E"/>
    <w:rsid w:val="00EF3586"/>
    <w:rsid w:val="00EF39B1"/>
    <w:rsid w:val="00EF68B2"/>
    <w:rsid w:val="00F00D84"/>
    <w:rsid w:val="00F031F6"/>
    <w:rsid w:val="00F0626A"/>
    <w:rsid w:val="00F12098"/>
    <w:rsid w:val="00F125BB"/>
    <w:rsid w:val="00F12D91"/>
    <w:rsid w:val="00F135C2"/>
    <w:rsid w:val="00F148DF"/>
    <w:rsid w:val="00F2607C"/>
    <w:rsid w:val="00F31A72"/>
    <w:rsid w:val="00F32AC9"/>
    <w:rsid w:val="00F35A6A"/>
    <w:rsid w:val="00F378D4"/>
    <w:rsid w:val="00F4047C"/>
    <w:rsid w:val="00F4345D"/>
    <w:rsid w:val="00F44075"/>
    <w:rsid w:val="00F47B41"/>
    <w:rsid w:val="00F51C0E"/>
    <w:rsid w:val="00F52903"/>
    <w:rsid w:val="00F54973"/>
    <w:rsid w:val="00F57B52"/>
    <w:rsid w:val="00F57D67"/>
    <w:rsid w:val="00F70CAD"/>
    <w:rsid w:val="00F71827"/>
    <w:rsid w:val="00F75078"/>
    <w:rsid w:val="00F85E42"/>
    <w:rsid w:val="00F87088"/>
    <w:rsid w:val="00F87638"/>
    <w:rsid w:val="00F90930"/>
    <w:rsid w:val="00F91CC0"/>
    <w:rsid w:val="00F927D6"/>
    <w:rsid w:val="00FA5661"/>
    <w:rsid w:val="00FA65EB"/>
    <w:rsid w:val="00FB1485"/>
    <w:rsid w:val="00FB1BEE"/>
    <w:rsid w:val="00FB4FCF"/>
    <w:rsid w:val="00FC24CB"/>
    <w:rsid w:val="00FC573E"/>
    <w:rsid w:val="00FD7564"/>
    <w:rsid w:val="00FE3BD9"/>
    <w:rsid w:val="00FE7EDA"/>
    <w:rsid w:val="00FF25E5"/>
    <w:rsid w:val="00FF42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aliases w:val="Footnote,Fußnote, Char,Fußnote Char Char Char,-E Fußnotentext,footnote text,Fußnotentext Ursprung,(Diplomarbeit),(Diplomarbeit)1,(Diplomarbeit)2,(Diplomarbeit)3,(Diplomarbeit)4,(Diplomarbeit)5,(Diplomarbeit)6,(Diplomarbeit)7"/>
    <w:basedOn w:val="Normal"/>
    <w:link w:val="FootnoteTextChar"/>
    <w:uiPriority w:val="99"/>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 Char Char,Fußnote Char Char Char Char,-E Fußnotentext Char,footnote text Char,Fußnotentext Ursprung Char,(Diplomarbeit) Char,(Diplomarbeit)1 Char,(Diplomarbeit)2 Char,(Diplomarbeit)3 Char"/>
    <w:basedOn w:val="DefaultParagraphFont"/>
    <w:link w:val="FootnoteText"/>
    <w:uiPriority w:val="99"/>
    <w:rsid w:val="00883CA9"/>
    <w:rPr>
      <w:rFonts w:ascii="Calibri" w:hAnsi="Calibri" w:cs="Calibri"/>
      <w:sz w:val="20"/>
      <w:szCs w:val="20"/>
      <w:lang w:eastAsia="lv-LV"/>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basedOn w:val="DefaultParagraphFont"/>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
      </w:numPr>
      <w:spacing w:before="120" w:after="120" w:line="360" w:lineRule="auto"/>
    </w:pPr>
    <w:rPr>
      <w:rFonts w:eastAsiaTheme="minorHAnsi"/>
    </w:rPr>
  </w:style>
  <w:style w:type="paragraph" w:customStyle="1" w:styleId="NumPar2">
    <w:name w:val="NumPar 2"/>
    <w:basedOn w:val="Normal"/>
    <w:rsid w:val="002808C2"/>
    <w:pPr>
      <w:numPr>
        <w:ilvl w:val="2"/>
        <w:numId w:val="1"/>
      </w:numPr>
      <w:spacing w:before="120" w:after="120" w:line="360" w:lineRule="auto"/>
    </w:pPr>
    <w:rPr>
      <w:rFonts w:eastAsiaTheme="minorHAnsi"/>
    </w:rPr>
  </w:style>
  <w:style w:type="paragraph" w:customStyle="1" w:styleId="NumPar3">
    <w:name w:val="NumPar 3"/>
    <w:basedOn w:val="Normal"/>
    <w:rsid w:val="002808C2"/>
    <w:pPr>
      <w:numPr>
        <w:ilvl w:val="3"/>
        <w:numId w:val="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semiHidden/>
    <w:unhideWhenUsed/>
    <w:rsid w:val="0085658D"/>
    <w:rPr>
      <w:sz w:val="16"/>
      <w:szCs w:val="16"/>
    </w:rPr>
  </w:style>
  <w:style w:type="paragraph" w:styleId="CommentText">
    <w:name w:val="annotation text"/>
    <w:basedOn w:val="Normal"/>
    <w:link w:val="CommentTextChar"/>
    <w:semiHidden/>
    <w:unhideWhenUsed/>
    <w:rsid w:val="0085658D"/>
    <w:rPr>
      <w:sz w:val="20"/>
      <w:szCs w:val="20"/>
    </w:rPr>
  </w:style>
  <w:style w:type="character" w:customStyle="1" w:styleId="CommentTextChar">
    <w:name w:val="Comment Text Char"/>
    <w:basedOn w:val="DefaultParagraphFont"/>
    <w:link w:val="CommentText"/>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ListDash1">
    <w:name w:val="List Dash 1"/>
    <w:basedOn w:val="Normal"/>
    <w:rsid w:val="00D66C5A"/>
    <w:pPr>
      <w:numPr>
        <w:numId w:val="2"/>
      </w:numPr>
      <w:spacing w:before="120" w:after="120"/>
      <w:jc w:val="both"/>
    </w:pPr>
    <w:rPr>
      <w:snapToGrid w:val="0"/>
      <w:lang w:eastAsia="de-DE"/>
    </w:rPr>
  </w:style>
  <w:style w:type="paragraph" w:customStyle="1" w:styleId="Text6">
    <w:name w:val="Text 6"/>
    <w:basedOn w:val="Normal"/>
    <w:rsid w:val="00A3328B"/>
    <w:pPr>
      <w:ind w:left="3402"/>
      <w:outlineLvl w:val="5"/>
    </w:pPr>
    <w:rPr>
      <w:lang w:val="en-GB" w:eastAsia="fr-BE"/>
    </w:rPr>
  </w:style>
  <w:style w:type="paragraph" w:customStyle="1" w:styleId="Text3">
    <w:name w:val="Text 3"/>
    <w:basedOn w:val="Normal"/>
    <w:rsid w:val="00EC43F7"/>
    <w:pPr>
      <w:ind w:left="1701"/>
      <w:outlineLvl w:val="2"/>
    </w:pPr>
    <w:rPr>
      <w:lang w:val="en-GB" w:eastAsia="fr-BE"/>
    </w:rPr>
  </w:style>
  <w:style w:type="paragraph" w:customStyle="1" w:styleId="Text5">
    <w:name w:val="Text 5"/>
    <w:basedOn w:val="Normal"/>
    <w:rsid w:val="00EC43F7"/>
    <w:pPr>
      <w:ind w:left="2835"/>
      <w:outlineLvl w:val="4"/>
    </w:pPr>
    <w:rPr>
      <w:lang w:val="en-GB" w:eastAsia="fr-BE"/>
    </w:rPr>
  </w:style>
  <w:style w:type="paragraph" w:customStyle="1" w:styleId="Text4">
    <w:name w:val="Text 4"/>
    <w:basedOn w:val="Normal"/>
    <w:rsid w:val="0015554F"/>
    <w:pPr>
      <w:ind w:left="2268"/>
      <w:outlineLvl w:val="3"/>
    </w:pPr>
    <w:rPr>
      <w:lang w:val="en-GB" w:eastAsia="fr-BE"/>
    </w:rPr>
  </w:style>
  <w:style w:type="paragraph" w:styleId="Revision">
    <w:name w:val="Revision"/>
    <w:hidden/>
    <w:uiPriority w:val="99"/>
    <w:semiHidden/>
    <w:rsid w:val="00580354"/>
    <w:pPr>
      <w:spacing w:after="0" w:line="240" w:lineRule="auto"/>
    </w:pPr>
    <w:rPr>
      <w:rFonts w:ascii="Times New Roman" w:eastAsia="Times New Roman" w:hAnsi="Times New Roman" w:cs="Times New Roman"/>
      <w:sz w:val="24"/>
      <w:szCs w:val="24"/>
      <w:lang w:eastAsia="lv-LV"/>
    </w:rPr>
  </w:style>
  <w:style w:type="paragraph" w:customStyle="1" w:styleId="Titreobjet">
    <w:name w:val="Titre objet"/>
    <w:basedOn w:val="Normal"/>
    <w:next w:val="Normal"/>
    <w:rsid w:val="0097759D"/>
    <w:pPr>
      <w:spacing w:before="360" w:after="360"/>
      <w:jc w:val="center"/>
    </w:pPr>
    <w:rPr>
      <w:b/>
      <w:snapToGrid w:val="0"/>
      <w:lang w:eastAsia="en-GB"/>
    </w:rPr>
  </w:style>
  <w:style w:type="paragraph" w:customStyle="1" w:styleId="ManualHeading2">
    <w:name w:val="Manual Heading 2"/>
    <w:basedOn w:val="Normal"/>
    <w:next w:val="Normal"/>
    <w:rsid w:val="00CC2252"/>
    <w:pPr>
      <w:keepNext/>
      <w:tabs>
        <w:tab w:val="left" w:pos="850"/>
      </w:tabs>
      <w:spacing w:before="120" w:after="120"/>
      <w:ind w:left="850" w:hanging="850"/>
      <w:jc w:val="both"/>
      <w:outlineLvl w:val="1"/>
    </w:pPr>
    <w:rPr>
      <w:b/>
      <w:lang w:eastAsia="en-US"/>
    </w:rPr>
  </w:style>
  <w:style w:type="paragraph" w:styleId="Title">
    <w:name w:val="Title"/>
    <w:basedOn w:val="Normal"/>
    <w:link w:val="TitleChar"/>
    <w:qFormat/>
    <w:rsid w:val="00BA3F7B"/>
    <w:pPr>
      <w:spacing w:before="480" w:after="240"/>
      <w:jc w:val="center"/>
    </w:pPr>
    <w:rPr>
      <w:b/>
      <w:bCs/>
      <w:i/>
      <w:iCs/>
      <w:snapToGrid w:val="0"/>
      <w:u w:val="single"/>
      <w:lang w:eastAsia="en-US"/>
    </w:rPr>
  </w:style>
  <w:style w:type="character" w:customStyle="1" w:styleId="TitleChar">
    <w:name w:val="Title Char"/>
    <w:basedOn w:val="DefaultParagraphFont"/>
    <w:link w:val="Title"/>
    <w:rsid w:val="00BA3F7B"/>
    <w:rPr>
      <w:rFonts w:ascii="Times New Roman" w:eastAsia="Times New Roman" w:hAnsi="Times New Roman" w:cs="Times New Roman"/>
      <w:b/>
      <w:bCs/>
      <w:i/>
      <w:iCs/>
      <w:snapToGrid w:val="0"/>
      <w:sz w:val="24"/>
      <w:szCs w:val="24"/>
      <w:u w:val="single"/>
    </w:rPr>
  </w:style>
  <w:style w:type="paragraph" w:customStyle="1" w:styleId="PointManual">
    <w:name w:val="Point Manual"/>
    <w:basedOn w:val="Normal"/>
    <w:rsid w:val="00BA3F7B"/>
    <w:pPr>
      <w:spacing w:before="200"/>
      <w:ind w:left="567" w:hanging="567"/>
    </w:pPr>
    <w:rPr>
      <w:snapToGrid w:val="0"/>
      <w:lang w:eastAsia="en-US"/>
    </w:rPr>
  </w:style>
  <w:style w:type="paragraph" w:customStyle="1" w:styleId="PointManual1">
    <w:name w:val="Point Manual (1)"/>
    <w:basedOn w:val="Normal"/>
    <w:rsid w:val="00BA3F7B"/>
    <w:pPr>
      <w:ind w:left="1134" w:hanging="567"/>
      <w:outlineLvl w:val="0"/>
    </w:pPr>
    <w:rPr>
      <w:snapToGrid w:val="0"/>
      <w:lang w:eastAsia="en-US"/>
    </w:rPr>
  </w:style>
  <w:style w:type="paragraph" w:customStyle="1" w:styleId="PointManual2">
    <w:name w:val="Point Manual (2)"/>
    <w:basedOn w:val="Normal"/>
    <w:rsid w:val="00BA3F7B"/>
    <w:pPr>
      <w:ind w:left="1701" w:hanging="567"/>
      <w:outlineLvl w:val="1"/>
    </w:pPr>
    <w:rPr>
      <w:snapToGrid w:val="0"/>
      <w:lang w:eastAsia="en-US"/>
    </w:rPr>
  </w:style>
  <w:style w:type="paragraph" w:customStyle="1" w:styleId="Dash1">
    <w:name w:val="Dash 1"/>
    <w:basedOn w:val="Normal"/>
    <w:rsid w:val="00BA3F7B"/>
    <w:pPr>
      <w:numPr>
        <w:numId w:val="3"/>
      </w:numPr>
      <w:outlineLvl w:val="0"/>
    </w:pPr>
    <w:rPr>
      <w:snapToGrid w:val="0"/>
      <w:lang w:eastAsia="en-US"/>
    </w:rPr>
  </w:style>
  <w:style w:type="paragraph" w:customStyle="1" w:styleId="Dash2">
    <w:name w:val="Dash 2"/>
    <w:basedOn w:val="Normal"/>
    <w:rsid w:val="00BA3F7B"/>
    <w:pPr>
      <w:numPr>
        <w:numId w:val="4"/>
      </w:numPr>
      <w:outlineLvl w:val="1"/>
    </w:pPr>
    <w:rPr>
      <w:snapToGrid w:val="0"/>
      <w:lang w:eastAsia="en-US"/>
    </w:rPr>
  </w:style>
  <w:style w:type="paragraph" w:customStyle="1" w:styleId="Dash3">
    <w:name w:val="Dash 3"/>
    <w:basedOn w:val="Normal"/>
    <w:rsid w:val="00BA3F7B"/>
    <w:pPr>
      <w:numPr>
        <w:numId w:val="5"/>
      </w:numPr>
      <w:outlineLvl w:val="2"/>
    </w:pPr>
    <w:rPr>
      <w:snapToGrid w:val="0"/>
      <w:lang w:eastAsia="en-US"/>
    </w:rPr>
  </w:style>
  <w:style w:type="paragraph" w:customStyle="1" w:styleId="PointDoubleManual1">
    <w:name w:val="Point Double Manual (1)"/>
    <w:basedOn w:val="Normal"/>
    <w:rsid w:val="005B7DB4"/>
    <w:pPr>
      <w:tabs>
        <w:tab w:val="left" w:pos="1134"/>
      </w:tabs>
      <w:ind w:left="1701" w:hanging="1134"/>
      <w:outlineLvl w:val="0"/>
    </w:pPr>
    <w:rPr>
      <w:lang w:val="en-GB" w:eastAsia="fr-BE"/>
    </w:rPr>
  </w:style>
  <w:style w:type="paragraph" w:customStyle="1" w:styleId="PointDoubleManual3">
    <w:name w:val="Point Double Manual (3)"/>
    <w:basedOn w:val="Normal"/>
    <w:rsid w:val="005B7DB4"/>
    <w:pPr>
      <w:tabs>
        <w:tab w:val="left" w:pos="2268"/>
      </w:tabs>
      <w:ind w:left="2835" w:hanging="1134"/>
      <w:outlineLvl w:val="2"/>
    </w:pPr>
    <w:rPr>
      <w:lang w:val="en-GB" w:eastAsia="fr-BE"/>
    </w:rPr>
  </w:style>
  <w:style w:type="paragraph" w:customStyle="1" w:styleId="Bullet">
    <w:name w:val="Bullet"/>
    <w:basedOn w:val="Normal"/>
    <w:rsid w:val="005B7DB4"/>
    <w:pPr>
      <w:numPr>
        <w:numId w:val="6"/>
      </w:numPr>
      <w:spacing w:before="200"/>
    </w:pPr>
    <w:rPr>
      <w:lang w:val="en-GB" w:eastAsia="fr-BE"/>
    </w:rPr>
  </w:style>
  <w:style w:type="paragraph" w:customStyle="1" w:styleId="PointDoubleManual2">
    <w:name w:val="Point Double Manual (2)"/>
    <w:basedOn w:val="Normal"/>
    <w:rsid w:val="00921684"/>
    <w:pPr>
      <w:tabs>
        <w:tab w:val="left" w:pos="1701"/>
      </w:tabs>
      <w:ind w:left="2268" w:hanging="1134"/>
      <w:outlineLvl w:val="1"/>
    </w:pPr>
    <w:rPr>
      <w:lang w:val="en-GB" w:eastAsia="fr-BE"/>
    </w:rPr>
  </w:style>
  <w:style w:type="paragraph" w:customStyle="1" w:styleId="tv2131">
    <w:name w:val="tv2131"/>
    <w:basedOn w:val="Normal"/>
    <w:rsid w:val="00CA79F1"/>
    <w:pPr>
      <w:spacing w:line="360" w:lineRule="auto"/>
      <w:ind w:firstLine="331"/>
    </w:pPr>
    <w:rPr>
      <w:color w:val="414142"/>
      <w:sz w:val="22"/>
      <w:szCs w:val="22"/>
      <w:lang w:val="en-US" w:eastAsia="en-US"/>
    </w:rPr>
  </w:style>
  <w:style w:type="paragraph" w:customStyle="1" w:styleId="Bullet0">
    <w:name w:val="Bullet 0"/>
    <w:basedOn w:val="Normal"/>
    <w:rsid w:val="005434B7"/>
    <w:pPr>
      <w:numPr>
        <w:numId w:val="8"/>
      </w:numPr>
      <w:spacing w:before="120" w:after="120"/>
      <w:jc w:val="both"/>
    </w:pPr>
    <w:rPr>
      <w:lang w:eastAsia="en-US"/>
    </w:rPr>
  </w:style>
  <w:style w:type="paragraph" w:customStyle="1" w:styleId="Tiret0">
    <w:name w:val="Tiret 0"/>
    <w:basedOn w:val="Normal"/>
    <w:rsid w:val="005434B7"/>
    <w:pPr>
      <w:numPr>
        <w:numId w:val="9"/>
      </w:numPr>
      <w:spacing w:before="120" w:after="120"/>
      <w:jc w:val="both"/>
    </w:pPr>
    <w:rPr>
      <w:lang w:eastAsia="en-US"/>
    </w:rPr>
  </w:style>
  <w:style w:type="table" w:styleId="TableGrid">
    <w:name w:val="Table Grid"/>
    <w:basedOn w:val="TableNormal"/>
    <w:uiPriority w:val="59"/>
    <w:rsid w:val="0058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82CBF"/>
    <w:rPr>
      <w:b/>
      <w:bCs/>
      <w:sz w:val="20"/>
      <w:szCs w:val="20"/>
      <w:lang w:val="en-GB"/>
    </w:rPr>
  </w:style>
  <w:style w:type="paragraph" w:customStyle="1" w:styleId="Bullet1">
    <w:name w:val="Bullet 1"/>
    <w:basedOn w:val="Normal"/>
    <w:rsid w:val="001E102B"/>
    <w:pPr>
      <w:numPr>
        <w:numId w:val="13"/>
      </w:numPr>
    </w:pPr>
    <w:rPr>
      <w:rFonts w:eastAsiaTheme="minorHAnsi"/>
    </w:rPr>
  </w:style>
  <w:style w:type="paragraph" w:customStyle="1" w:styleId="DashEqual2">
    <w:name w:val="Dash Equal 2"/>
    <w:basedOn w:val="Normal"/>
    <w:rsid w:val="001E102B"/>
    <w:pPr>
      <w:numPr>
        <w:numId w:val="14"/>
      </w:numPr>
    </w:pPr>
    <w:rPr>
      <w:rFonts w:eastAsiaTheme="minorHAnsi"/>
    </w:rPr>
  </w:style>
  <w:style w:type="paragraph" w:customStyle="1" w:styleId="Par-number1">
    <w:name w:val="Par-number 1."/>
    <w:basedOn w:val="Normal"/>
    <w:next w:val="Normal"/>
    <w:rsid w:val="00C23061"/>
    <w:pPr>
      <w:widowControl w:val="0"/>
      <w:numPr>
        <w:numId w:val="21"/>
      </w:numPr>
      <w:spacing w:line="360" w:lineRule="auto"/>
    </w:pPr>
    <w:rPr>
      <w:szCs w:val="20"/>
      <w:lang w:val="en-GB" w:eastAsia="fr-BE"/>
    </w:rPr>
  </w:style>
  <w:style w:type="paragraph" w:customStyle="1" w:styleId="naiskr">
    <w:name w:val="naiskr"/>
    <w:basedOn w:val="Normal"/>
    <w:rsid w:val="00C23061"/>
    <w:pPr>
      <w:spacing w:before="100" w:after="100"/>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842736">
      <w:bodyDiv w:val="1"/>
      <w:marLeft w:val="0"/>
      <w:marRight w:val="0"/>
      <w:marTop w:val="0"/>
      <w:marBottom w:val="0"/>
      <w:divBdr>
        <w:top w:val="none" w:sz="0" w:space="0" w:color="auto"/>
        <w:left w:val="none" w:sz="0" w:space="0" w:color="auto"/>
        <w:bottom w:val="none" w:sz="0" w:space="0" w:color="auto"/>
        <w:right w:val="none" w:sz="0" w:space="0" w:color="auto"/>
      </w:divBdr>
    </w:div>
    <w:div w:id="307786937">
      <w:bodyDiv w:val="1"/>
      <w:marLeft w:val="0"/>
      <w:marRight w:val="0"/>
      <w:marTop w:val="0"/>
      <w:marBottom w:val="0"/>
      <w:divBdr>
        <w:top w:val="none" w:sz="0" w:space="0" w:color="auto"/>
        <w:left w:val="none" w:sz="0" w:space="0" w:color="auto"/>
        <w:bottom w:val="none" w:sz="0" w:space="0" w:color="auto"/>
        <w:right w:val="none" w:sz="0" w:space="0" w:color="auto"/>
      </w:divBdr>
      <w:divsChild>
        <w:div w:id="1818378038">
          <w:marLeft w:val="0"/>
          <w:marRight w:val="0"/>
          <w:marTop w:val="0"/>
          <w:marBottom w:val="0"/>
          <w:divBdr>
            <w:top w:val="none" w:sz="0" w:space="0" w:color="auto"/>
            <w:left w:val="none" w:sz="0" w:space="0" w:color="auto"/>
            <w:bottom w:val="none" w:sz="0" w:space="0" w:color="auto"/>
            <w:right w:val="none" w:sz="0" w:space="0" w:color="auto"/>
          </w:divBdr>
          <w:divsChild>
            <w:div w:id="1360859967">
              <w:marLeft w:val="0"/>
              <w:marRight w:val="0"/>
              <w:marTop w:val="0"/>
              <w:marBottom w:val="0"/>
              <w:divBdr>
                <w:top w:val="none" w:sz="0" w:space="0" w:color="auto"/>
                <w:left w:val="none" w:sz="0" w:space="0" w:color="auto"/>
                <w:bottom w:val="none" w:sz="0" w:space="0" w:color="auto"/>
                <w:right w:val="none" w:sz="0" w:space="0" w:color="auto"/>
              </w:divBdr>
              <w:divsChild>
                <w:div w:id="233514192">
                  <w:marLeft w:val="0"/>
                  <w:marRight w:val="0"/>
                  <w:marTop w:val="0"/>
                  <w:marBottom w:val="0"/>
                  <w:divBdr>
                    <w:top w:val="none" w:sz="0" w:space="0" w:color="auto"/>
                    <w:left w:val="none" w:sz="0" w:space="0" w:color="auto"/>
                    <w:bottom w:val="none" w:sz="0" w:space="0" w:color="auto"/>
                    <w:right w:val="none" w:sz="0" w:space="0" w:color="auto"/>
                  </w:divBdr>
                  <w:divsChild>
                    <w:div w:id="1279680716">
                      <w:marLeft w:val="0"/>
                      <w:marRight w:val="0"/>
                      <w:marTop w:val="0"/>
                      <w:marBottom w:val="0"/>
                      <w:divBdr>
                        <w:top w:val="none" w:sz="0" w:space="0" w:color="auto"/>
                        <w:left w:val="none" w:sz="0" w:space="0" w:color="auto"/>
                        <w:bottom w:val="none" w:sz="0" w:space="0" w:color="auto"/>
                        <w:right w:val="none" w:sz="0" w:space="0" w:color="auto"/>
                      </w:divBdr>
                      <w:divsChild>
                        <w:div w:id="551771094">
                          <w:marLeft w:val="0"/>
                          <w:marRight w:val="0"/>
                          <w:marTop w:val="0"/>
                          <w:marBottom w:val="0"/>
                          <w:divBdr>
                            <w:top w:val="none" w:sz="0" w:space="0" w:color="auto"/>
                            <w:left w:val="none" w:sz="0" w:space="0" w:color="auto"/>
                            <w:bottom w:val="none" w:sz="0" w:space="0" w:color="auto"/>
                            <w:right w:val="none" w:sz="0" w:space="0" w:color="auto"/>
                          </w:divBdr>
                          <w:divsChild>
                            <w:div w:id="100029467">
                              <w:marLeft w:val="0"/>
                              <w:marRight w:val="0"/>
                              <w:marTop w:val="0"/>
                              <w:marBottom w:val="0"/>
                              <w:divBdr>
                                <w:top w:val="none" w:sz="0" w:space="0" w:color="auto"/>
                                <w:left w:val="none" w:sz="0" w:space="0" w:color="auto"/>
                                <w:bottom w:val="none" w:sz="0" w:space="0" w:color="auto"/>
                                <w:right w:val="none" w:sz="0" w:space="0" w:color="auto"/>
                              </w:divBdr>
                              <w:divsChild>
                                <w:div w:id="714230886">
                                  <w:marLeft w:val="0"/>
                                  <w:marRight w:val="0"/>
                                  <w:marTop w:val="0"/>
                                  <w:marBottom w:val="0"/>
                                  <w:divBdr>
                                    <w:top w:val="none" w:sz="0" w:space="0" w:color="auto"/>
                                    <w:left w:val="none" w:sz="0" w:space="0" w:color="auto"/>
                                    <w:bottom w:val="none" w:sz="0" w:space="0" w:color="auto"/>
                                    <w:right w:val="none" w:sz="0" w:space="0" w:color="auto"/>
                                  </w:divBdr>
                                  <w:divsChild>
                                    <w:div w:id="471405403">
                                      <w:marLeft w:val="0"/>
                                      <w:marRight w:val="0"/>
                                      <w:marTop w:val="0"/>
                                      <w:marBottom w:val="0"/>
                                      <w:divBdr>
                                        <w:top w:val="none" w:sz="0" w:space="0" w:color="auto"/>
                                        <w:left w:val="none" w:sz="0" w:space="0" w:color="auto"/>
                                        <w:bottom w:val="none" w:sz="0" w:space="0" w:color="auto"/>
                                        <w:right w:val="none" w:sz="0" w:space="0" w:color="auto"/>
                                      </w:divBdr>
                                      <w:divsChild>
                                        <w:div w:id="1775244840">
                                          <w:marLeft w:val="0"/>
                                          <w:marRight w:val="0"/>
                                          <w:marTop w:val="0"/>
                                          <w:marBottom w:val="0"/>
                                          <w:divBdr>
                                            <w:top w:val="none" w:sz="0" w:space="0" w:color="auto"/>
                                            <w:left w:val="none" w:sz="0" w:space="0" w:color="auto"/>
                                            <w:bottom w:val="none" w:sz="0" w:space="0" w:color="auto"/>
                                            <w:right w:val="none" w:sz="0" w:space="0" w:color="auto"/>
                                          </w:divBdr>
                                          <w:divsChild>
                                            <w:div w:id="1601180923">
                                              <w:marLeft w:val="0"/>
                                              <w:marRight w:val="0"/>
                                              <w:marTop w:val="0"/>
                                              <w:marBottom w:val="0"/>
                                              <w:divBdr>
                                                <w:top w:val="single" w:sz="6" w:space="0" w:color="F5F5F5"/>
                                                <w:left w:val="single" w:sz="6" w:space="0" w:color="F5F5F5"/>
                                                <w:bottom w:val="single" w:sz="6" w:space="0" w:color="F5F5F5"/>
                                                <w:right w:val="single" w:sz="6" w:space="0" w:color="F5F5F5"/>
                                              </w:divBdr>
                                              <w:divsChild>
                                                <w:div w:id="1513565753">
                                                  <w:marLeft w:val="0"/>
                                                  <w:marRight w:val="0"/>
                                                  <w:marTop w:val="0"/>
                                                  <w:marBottom w:val="0"/>
                                                  <w:divBdr>
                                                    <w:top w:val="none" w:sz="0" w:space="0" w:color="auto"/>
                                                    <w:left w:val="none" w:sz="0" w:space="0" w:color="auto"/>
                                                    <w:bottom w:val="none" w:sz="0" w:space="0" w:color="auto"/>
                                                    <w:right w:val="none" w:sz="0" w:space="0" w:color="auto"/>
                                                  </w:divBdr>
                                                  <w:divsChild>
                                                    <w:div w:id="1303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489710164">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852452323">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099445074">
      <w:bodyDiv w:val="1"/>
      <w:marLeft w:val="0"/>
      <w:marRight w:val="0"/>
      <w:marTop w:val="0"/>
      <w:marBottom w:val="0"/>
      <w:divBdr>
        <w:top w:val="none" w:sz="0" w:space="0" w:color="auto"/>
        <w:left w:val="none" w:sz="0" w:space="0" w:color="auto"/>
        <w:bottom w:val="none" w:sz="0" w:space="0" w:color="auto"/>
        <w:right w:val="none" w:sz="0" w:space="0" w:color="auto"/>
      </w:divBdr>
    </w:div>
    <w:div w:id="1571232617">
      <w:bodyDiv w:val="1"/>
      <w:marLeft w:val="0"/>
      <w:marRight w:val="0"/>
      <w:marTop w:val="0"/>
      <w:marBottom w:val="0"/>
      <w:divBdr>
        <w:top w:val="none" w:sz="0" w:space="0" w:color="auto"/>
        <w:left w:val="none" w:sz="0" w:space="0" w:color="auto"/>
        <w:bottom w:val="none" w:sz="0" w:space="0" w:color="auto"/>
        <w:right w:val="none" w:sz="0" w:space="0" w:color="auto"/>
      </w:divBdr>
      <w:divsChild>
        <w:div w:id="96604801">
          <w:marLeft w:val="0"/>
          <w:marRight w:val="0"/>
          <w:marTop w:val="300"/>
          <w:marBottom w:val="0"/>
          <w:divBdr>
            <w:top w:val="none" w:sz="0" w:space="0" w:color="auto"/>
            <w:left w:val="none" w:sz="0" w:space="0" w:color="auto"/>
            <w:bottom w:val="none" w:sz="0" w:space="0" w:color="auto"/>
            <w:right w:val="none" w:sz="0" w:space="0" w:color="auto"/>
          </w:divBdr>
          <w:divsChild>
            <w:div w:id="2068647827">
              <w:marLeft w:val="0"/>
              <w:marRight w:val="0"/>
              <w:marTop w:val="0"/>
              <w:marBottom w:val="0"/>
              <w:divBdr>
                <w:top w:val="single" w:sz="6" w:space="8" w:color="AEAB96"/>
                <w:left w:val="single" w:sz="6" w:space="0" w:color="AEAB96"/>
                <w:bottom w:val="single" w:sz="6" w:space="8" w:color="AEAB96"/>
                <w:right w:val="single" w:sz="6" w:space="0" w:color="AEAB96"/>
              </w:divBdr>
              <w:divsChild>
                <w:div w:id="372927582">
                  <w:marLeft w:val="0"/>
                  <w:marRight w:val="0"/>
                  <w:marTop w:val="0"/>
                  <w:marBottom w:val="0"/>
                  <w:divBdr>
                    <w:top w:val="none" w:sz="0" w:space="0" w:color="auto"/>
                    <w:left w:val="none" w:sz="0" w:space="0" w:color="auto"/>
                    <w:bottom w:val="none" w:sz="0" w:space="0" w:color="auto"/>
                    <w:right w:val="none" w:sz="0" w:space="0" w:color="auto"/>
                  </w:divBdr>
                  <w:divsChild>
                    <w:div w:id="1577125692">
                      <w:marLeft w:val="0"/>
                      <w:marRight w:val="0"/>
                      <w:marTop w:val="0"/>
                      <w:marBottom w:val="0"/>
                      <w:divBdr>
                        <w:top w:val="none" w:sz="0" w:space="0" w:color="auto"/>
                        <w:left w:val="none" w:sz="0" w:space="0" w:color="auto"/>
                        <w:bottom w:val="none" w:sz="0" w:space="0" w:color="auto"/>
                        <w:right w:val="none" w:sz="0" w:space="0" w:color="auto"/>
                      </w:divBdr>
                      <w:divsChild>
                        <w:div w:id="1383867410">
                          <w:marLeft w:val="0"/>
                          <w:marRight w:val="0"/>
                          <w:marTop w:val="0"/>
                          <w:marBottom w:val="0"/>
                          <w:divBdr>
                            <w:top w:val="none" w:sz="0" w:space="0" w:color="auto"/>
                            <w:left w:val="none" w:sz="0" w:space="0" w:color="auto"/>
                            <w:bottom w:val="none" w:sz="0" w:space="0" w:color="auto"/>
                            <w:right w:val="none" w:sz="0" w:space="0" w:color="auto"/>
                          </w:divBdr>
                          <w:divsChild>
                            <w:div w:id="990404820">
                              <w:marLeft w:val="0"/>
                              <w:marRight w:val="0"/>
                              <w:marTop w:val="0"/>
                              <w:marBottom w:val="0"/>
                              <w:divBdr>
                                <w:top w:val="none" w:sz="0" w:space="0" w:color="auto"/>
                                <w:left w:val="none" w:sz="0" w:space="0" w:color="auto"/>
                                <w:bottom w:val="none" w:sz="0" w:space="0" w:color="auto"/>
                                <w:right w:val="none" w:sz="0" w:space="0" w:color="auto"/>
                              </w:divBdr>
                              <w:divsChild>
                                <w:div w:id="2108479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22964">
      <w:bodyDiv w:val="1"/>
      <w:marLeft w:val="0"/>
      <w:marRight w:val="0"/>
      <w:marTop w:val="0"/>
      <w:marBottom w:val="0"/>
      <w:divBdr>
        <w:top w:val="none" w:sz="0" w:space="0" w:color="auto"/>
        <w:left w:val="none" w:sz="0" w:space="0" w:color="auto"/>
        <w:bottom w:val="none" w:sz="0" w:space="0" w:color="auto"/>
        <w:right w:val="none" w:sz="0" w:space="0" w:color="auto"/>
      </w:divBdr>
    </w:div>
    <w:div w:id="1834568897">
      <w:bodyDiv w:val="1"/>
      <w:marLeft w:val="0"/>
      <w:marRight w:val="0"/>
      <w:marTop w:val="0"/>
      <w:marBottom w:val="0"/>
      <w:divBdr>
        <w:top w:val="none" w:sz="0" w:space="0" w:color="auto"/>
        <w:left w:val="none" w:sz="0" w:space="0" w:color="auto"/>
        <w:bottom w:val="none" w:sz="0" w:space="0" w:color="auto"/>
        <w:right w:val="none" w:sz="0" w:space="0" w:color="auto"/>
      </w:divBdr>
    </w:div>
    <w:div w:id="1952852866">
      <w:bodyDiv w:val="1"/>
      <w:marLeft w:val="0"/>
      <w:marRight w:val="0"/>
      <w:marTop w:val="0"/>
      <w:marBottom w:val="0"/>
      <w:divBdr>
        <w:top w:val="none" w:sz="0" w:space="0" w:color="auto"/>
        <w:left w:val="none" w:sz="0" w:space="0" w:color="auto"/>
        <w:bottom w:val="none" w:sz="0" w:space="0" w:color="auto"/>
        <w:right w:val="none" w:sz="0" w:space="0" w:color="auto"/>
      </w:divBdr>
    </w:div>
    <w:div w:id="1977028291">
      <w:bodyDiv w:val="1"/>
      <w:marLeft w:val="0"/>
      <w:marRight w:val="0"/>
      <w:marTop w:val="0"/>
      <w:marBottom w:val="0"/>
      <w:divBdr>
        <w:top w:val="none" w:sz="0" w:space="0" w:color="auto"/>
        <w:left w:val="none" w:sz="0" w:space="0" w:color="auto"/>
        <w:bottom w:val="none" w:sz="0" w:space="0" w:color="auto"/>
        <w:right w:val="none" w:sz="0" w:space="0" w:color="auto"/>
      </w:divBdr>
    </w:div>
    <w:div w:id="21191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ilze.vonda@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ea.europa.eu/publications/european-union-greenhouse-gas-inventory-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3342</Words>
  <Characters>23601</Characters>
  <Application>Microsoft Office Word</Application>
  <DocSecurity>0</DocSecurity>
  <Lines>393</Lines>
  <Paragraphs>125</Paragraphs>
  <ScaleCrop>false</ScaleCrop>
  <HeadingPairs>
    <vt:vector size="2" baseType="variant">
      <vt:variant>
        <vt:lpstr>Title</vt:lpstr>
      </vt:variant>
      <vt:variant>
        <vt:i4>1</vt:i4>
      </vt:variant>
    </vt:vector>
  </HeadingPairs>
  <TitlesOfParts>
    <vt:vector size="1" baseType="lpstr">
      <vt:lpstr>Informatīvais ziņojums „Par 2013.gada 18.jūnijā Eiropas Savienības Vides padomē izskatāmajiem jautājumiem”</vt:lpstr>
    </vt:vector>
  </TitlesOfParts>
  <Company/>
  <LinksUpToDate>false</LinksUpToDate>
  <CharactersWithSpaces>26818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2013.gada 14.oktobrī Eiropas Savienības Vides padomē izskatāmajiem jautājumiem”</dc:title>
  <dc:subject>Informatīvais ziņojums</dc:subject>
  <dc:creator>Ilze Vonda</dc:creator>
  <dc:description>67026554, ilze.vonda@varam.gov.lv</dc:description>
  <cp:lastModifiedBy>ilzev</cp:lastModifiedBy>
  <cp:revision>112</cp:revision>
  <cp:lastPrinted>2013-04-11T10:37:00Z</cp:lastPrinted>
  <dcterms:created xsi:type="dcterms:W3CDTF">2013-10-02T13:46:00Z</dcterms:created>
  <dcterms:modified xsi:type="dcterms:W3CDTF">2013-10-08T08:00:00Z</dcterms:modified>
</cp:coreProperties>
</file>