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25EFB" w14:textId="6C63C019" w:rsidR="000F38FC" w:rsidRPr="00E01B1D" w:rsidRDefault="000F38FC" w:rsidP="001E0977">
      <w:pPr>
        <w:spacing w:after="120"/>
        <w:jc w:val="center"/>
        <w:rPr>
          <w:rFonts w:cs="Times New Roman"/>
          <w:b/>
          <w:sz w:val="28"/>
          <w:szCs w:val="24"/>
          <w:lang w:eastAsia="lv-LV"/>
        </w:rPr>
      </w:pPr>
      <w:r w:rsidRPr="00E01B1D">
        <w:rPr>
          <w:rFonts w:cs="Times New Roman"/>
          <w:b/>
          <w:sz w:val="28"/>
          <w:szCs w:val="24"/>
          <w:lang w:eastAsia="lv-LV"/>
        </w:rPr>
        <w:t xml:space="preserve">Ministru kabineta noteikumu projekta </w:t>
      </w:r>
      <w:r w:rsidR="00E01B1D" w:rsidRPr="00E01B1D">
        <w:rPr>
          <w:rFonts w:cs="Times New Roman"/>
          <w:b/>
          <w:sz w:val="28"/>
          <w:szCs w:val="24"/>
          <w:lang w:eastAsia="lv-LV"/>
        </w:rPr>
        <w:t>"</w:t>
      </w:r>
      <w:r w:rsidR="00D0288B" w:rsidRPr="00E01B1D">
        <w:rPr>
          <w:rFonts w:cs="Times New Roman"/>
          <w:b/>
          <w:bCs/>
          <w:sz w:val="28"/>
          <w:szCs w:val="24"/>
        </w:rPr>
        <w:t>Grozījumi Ministru kabineta 2003.gada 29.jūlija noteikumos Nr.419</w:t>
      </w:r>
      <w:r w:rsidRPr="00E01B1D">
        <w:rPr>
          <w:rFonts w:cs="Times New Roman"/>
          <w:b/>
          <w:bCs/>
          <w:sz w:val="28"/>
          <w:szCs w:val="24"/>
        </w:rPr>
        <w:t xml:space="preserve"> </w:t>
      </w:r>
      <w:r w:rsidR="00E01B1D" w:rsidRPr="00E01B1D">
        <w:rPr>
          <w:rFonts w:cs="Times New Roman"/>
          <w:b/>
          <w:bCs/>
          <w:sz w:val="28"/>
          <w:szCs w:val="24"/>
        </w:rPr>
        <w:t>"</w:t>
      </w:r>
      <w:r w:rsidR="001E779C">
        <w:rPr>
          <w:rFonts w:cs="Times New Roman"/>
          <w:b/>
          <w:sz w:val="28"/>
          <w:szCs w:val="24"/>
        </w:rPr>
        <w:t>K</w:t>
      </w:r>
      <w:r w:rsidRPr="00E01B1D">
        <w:rPr>
          <w:rFonts w:cs="Times New Roman"/>
          <w:b/>
          <w:bCs/>
          <w:sz w:val="28"/>
          <w:szCs w:val="24"/>
        </w:rPr>
        <w:t>ārtīb</w:t>
      </w:r>
      <w:r w:rsidR="001E779C">
        <w:rPr>
          <w:rFonts w:cs="Times New Roman"/>
          <w:b/>
          <w:bCs/>
          <w:sz w:val="28"/>
          <w:szCs w:val="24"/>
        </w:rPr>
        <w:t>a</w:t>
      </w:r>
      <w:r w:rsidR="00D0288B" w:rsidRPr="00E01B1D">
        <w:rPr>
          <w:rFonts w:cs="Times New Roman"/>
          <w:b/>
          <w:bCs/>
          <w:sz w:val="28"/>
          <w:szCs w:val="24"/>
        </w:rPr>
        <w:t>, kādā tiešās pārvaldes iestādes slēdz līdzdarbības līgumus, un līdzdarbības līgumu publiskošanas kārtība</w:t>
      </w:r>
      <w:r w:rsidR="00E01B1D" w:rsidRPr="00E01B1D">
        <w:rPr>
          <w:rFonts w:cs="Times New Roman"/>
          <w:b/>
          <w:sz w:val="28"/>
          <w:szCs w:val="24"/>
        </w:rPr>
        <w:t>""</w:t>
      </w:r>
      <w:r w:rsidRPr="00E01B1D">
        <w:rPr>
          <w:rFonts w:cs="Times New Roman"/>
          <w:b/>
          <w:sz w:val="28"/>
          <w:szCs w:val="24"/>
        </w:rPr>
        <w:t xml:space="preserve"> </w:t>
      </w:r>
      <w:r w:rsidRPr="00E01B1D">
        <w:rPr>
          <w:rFonts w:cs="Times New Roman"/>
          <w:b/>
          <w:sz w:val="28"/>
          <w:szCs w:val="24"/>
          <w:lang w:eastAsia="lv-LV"/>
        </w:rPr>
        <w:t>sākotnējās ietekmes novērtējuma ziņojums (anotācija)</w:t>
      </w:r>
    </w:p>
    <w:p w14:paraId="23125EFC" w14:textId="77777777" w:rsidR="000F38FC" w:rsidRPr="00783675" w:rsidRDefault="000F38FC" w:rsidP="000F38FC">
      <w:pPr>
        <w:jc w:val="center"/>
        <w:rPr>
          <w:rFonts w:eastAsia="Times New Roman" w:cs="Times New Roman"/>
          <w:b/>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351"/>
      </w:tblGrid>
      <w:tr w:rsidR="000F38FC" w:rsidRPr="00783675" w14:paraId="23125EFE" w14:textId="77777777" w:rsidTr="002A0AD7">
        <w:tc>
          <w:tcPr>
            <w:tcW w:w="9287" w:type="dxa"/>
            <w:gridSpan w:val="3"/>
          </w:tcPr>
          <w:p w14:paraId="23125EFD" w14:textId="77777777" w:rsidR="000F38FC" w:rsidRPr="00783675" w:rsidRDefault="000F38FC" w:rsidP="002A0AD7">
            <w:pPr>
              <w:jc w:val="center"/>
              <w:rPr>
                <w:rFonts w:eastAsia="Times New Roman" w:cs="Times New Roman"/>
                <w:szCs w:val="24"/>
                <w:lang w:eastAsia="lv-LV"/>
              </w:rPr>
            </w:pPr>
            <w:r w:rsidRPr="00783675">
              <w:rPr>
                <w:rFonts w:eastAsia="Times New Roman" w:cs="Times New Roman"/>
                <w:b/>
                <w:bCs/>
                <w:szCs w:val="24"/>
                <w:lang w:eastAsia="lv-LV"/>
              </w:rPr>
              <w:t>I. Tiesību akta projekta izstrādes nepieciešamība</w:t>
            </w:r>
          </w:p>
        </w:tc>
      </w:tr>
      <w:tr w:rsidR="000F38FC" w:rsidRPr="00783675" w14:paraId="23125F06" w14:textId="77777777" w:rsidTr="00F57A98">
        <w:trPr>
          <w:trHeight w:val="1619"/>
        </w:trPr>
        <w:tc>
          <w:tcPr>
            <w:tcW w:w="648" w:type="dxa"/>
          </w:tcPr>
          <w:p w14:paraId="23125EFF"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1.</w:t>
            </w:r>
          </w:p>
        </w:tc>
        <w:tc>
          <w:tcPr>
            <w:tcW w:w="3288" w:type="dxa"/>
          </w:tcPr>
          <w:p w14:paraId="23125F00"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Pamatojums</w:t>
            </w:r>
          </w:p>
        </w:tc>
        <w:tc>
          <w:tcPr>
            <w:tcW w:w="5351" w:type="dxa"/>
          </w:tcPr>
          <w:p w14:paraId="23125F01" w14:textId="77777777" w:rsidR="00FA1CBD" w:rsidRPr="00783675" w:rsidRDefault="000F38FC" w:rsidP="00FA1CBD">
            <w:pPr>
              <w:tabs>
                <w:tab w:val="left" w:pos="354"/>
              </w:tabs>
              <w:ind w:left="33"/>
              <w:jc w:val="both"/>
              <w:rPr>
                <w:rFonts w:eastAsia="Times New Roman" w:cs="Times New Roman"/>
                <w:iCs/>
                <w:szCs w:val="24"/>
                <w:lang w:eastAsia="lv-LV"/>
              </w:rPr>
            </w:pPr>
            <w:r w:rsidRPr="00373ECC">
              <w:rPr>
                <w:rFonts w:eastAsia="Times New Roman" w:cs="Times New Roman"/>
                <w:i/>
                <w:iCs/>
                <w:szCs w:val="24"/>
                <w:lang w:eastAsia="lv-LV"/>
              </w:rPr>
              <w:t>Euro</w:t>
            </w:r>
            <w:r w:rsidRPr="00783675">
              <w:rPr>
                <w:rFonts w:eastAsia="Times New Roman" w:cs="Times New Roman"/>
                <w:iCs/>
                <w:szCs w:val="24"/>
                <w:lang w:eastAsia="lv-LV"/>
              </w:rPr>
              <w:t xml:space="preserve"> ieviešanas </w:t>
            </w:r>
            <w:r w:rsidR="00FA1CBD" w:rsidRPr="00783675">
              <w:rPr>
                <w:rFonts w:eastAsia="Times New Roman" w:cs="Times New Roman"/>
                <w:iCs/>
                <w:szCs w:val="24"/>
                <w:lang w:eastAsia="lv-LV"/>
              </w:rPr>
              <w:t xml:space="preserve">kārtības likuma 30.panta </w:t>
            </w:r>
            <w:r w:rsidR="001B20D8" w:rsidRPr="00783675">
              <w:rPr>
                <w:rFonts w:eastAsia="Times New Roman" w:cs="Times New Roman"/>
                <w:iCs/>
                <w:szCs w:val="24"/>
                <w:lang w:eastAsia="lv-LV"/>
              </w:rPr>
              <w:t>pirmā</w:t>
            </w:r>
            <w:r w:rsidRPr="00783675">
              <w:rPr>
                <w:rFonts w:eastAsia="Times New Roman" w:cs="Times New Roman"/>
                <w:iCs/>
                <w:szCs w:val="24"/>
                <w:lang w:eastAsia="lv-LV"/>
              </w:rPr>
              <w:t xml:space="preserve"> daļa</w:t>
            </w:r>
            <w:r w:rsidR="00FA1CBD" w:rsidRPr="00783675">
              <w:rPr>
                <w:rFonts w:eastAsia="Times New Roman" w:cs="Times New Roman"/>
                <w:iCs/>
                <w:szCs w:val="24"/>
                <w:lang w:eastAsia="lv-LV"/>
              </w:rPr>
              <w:t>.</w:t>
            </w:r>
            <w:r w:rsidRPr="00783675">
              <w:rPr>
                <w:rFonts w:eastAsia="Times New Roman" w:cs="Times New Roman"/>
                <w:iCs/>
                <w:szCs w:val="24"/>
                <w:lang w:eastAsia="lv-LV"/>
              </w:rPr>
              <w:t xml:space="preserve"> </w:t>
            </w:r>
          </w:p>
          <w:p w14:paraId="23125F02" w14:textId="77777777" w:rsidR="00F57A98" w:rsidRDefault="00F57A98" w:rsidP="00FA1CBD">
            <w:pPr>
              <w:tabs>
                <w:tab w:val="left" w:pos="354"/>
              </w:tabs>
              <w:ind w:left="33"/>
              <w:jc w:val="both"/>
              <w:rPr>
                <w:rFonts w:eastAsia="Times New Roman" w:cs="Times New Roman"/>
                <w:iCs/>
                <w:szCs w:val="24"/>
                <w:lang w:eastAsia="lv-LV"/>
              </w:rPr>
            </w:pPr>
          </w:p>
          <w:p w14:paraId="23125F03" w14:textId="6237BF8E" w:rsidR="000F38FC" w:rsidRDefault="000F38FC" w:rsidP="00FA1CBD">
            <w:pPr>
              <w:tabs>
                <w:tab w:val="left" w:pos="354"/>
              </w:tabs>
              <w:ind w:left="33"/>
              <w:jc w:val="both"/>
              <w:rPr>
                <w:rFonts w:eastAsia="Times New Roman" w:cs="Times New Roman"/>
                <w:iCs/>
                <w:szCs w:val="24"/>
                <w:lang w:eastAsia="lv-LV"/>
              </w:rPr>
            </w:pPr>
            <w:r w:rsidRPr="00783675">
              <w:rPr>
                <w:rFonts w:eastAsia="Times New Roman" w:cs="Times New Roman"/>
                <w:iCs/>
                <w:szCs w:val="24"/>
                <w:lang w:eastAsia="lv-LV"/>
              </w:rPr>
              <w:t xml:space="preserve">MK 2012.gada 27.jūnija rīkojuma Nr.282 </w:t>
            </w:r>
            <w:r w:rsidR="00E01B1D">
              <w:rPr>
                <w:rFonts w:eastAsia="Times New Roman" w:cs="Times New Roman"/>
                <w:iCs/>
                <w:szCs w:val="24"/>
                <w:lang w:eastAsia="lv-LV"/>
              </w:rPr>
              <w:t>"</w:t>
            </w:r>
            <w:r w:rsidRPr="00783675">
              <w:rPr>
                <w:rFonts w:eastAsia="Times New Roman" w:cs="Times New Roman"/>
                <w:iCs/>
                <w:szCs w:val="24"/>
                <w:lang w:eastAsia="lv-LV"/>
              </w:rPr>
              <w:t xml:space="preserve">Par </w:t>
            </w:r>
            <w:r w:rsidR="00E01B1D">
              <w:rPr>
                <w:rFonts w:eastAsia="Times New Roman" w:cs="Times New Roman"/>
                <w:iCs/>
                <w:szCs w:val="24"/>
                <w:lang w:eastAsia="lv-LV"/>
              </w:rPr>
              <w:t>"</w:t>
            </w:r>
            <w:r w:rsidRPr="00783675">
              <w:rPr>
                <w:rFonts w:eastAsia="Times New Roman" w:cs="Times New Roman"/>
                <w:iCs/>
                <w:szCs w:val="24"/>
                <w:lang w:eastAsia="lv-LV"/>
              </w:rPr>
              <w:t>Koncepciju par normatīvo aktu sakārtošanu saistībā</w:t>
            </w:r>
            <w:r w:rsidR="00FA1CBD" w:rsidRPr="00783675">
              <w:rPr>
                <w:rFonts w:eastAsia="Times New Roman" w:cs="Times New Roman"/>
                <w:iCs/>
                <w:szCs w:val="24"/>
                <w:lang w:eastAsia="lv-LV"/>
              </w:rPr>
              <w:t xml:space="preserve"> ar </w:t>
            </w:r>
            <w:r w:rsidR="00FA1CBD" w:rsidRPr="001E779C">
              <w:rPr>
                <w:rFonts w:eastAsia="Times New Roman" w:cs="Times New Roman"/>
                <w:i/>
                <w:iCs/>
                <w:szCs w:val="24"/>
                <w:lang w:eastAsia="lv-LV"/>
              </w:rPr>
              <w:t>eiro</w:t>
            </w:r>
            <w:r w:rsidR="00FA1CBD" w:rsidRPr="00783675">
              <w:rPr>
                <w:rFonts w:eastAsia="Times New Roman" w:cs="Times New Roman"/>
                <w:iCs/>
                <w:szCs w:val="24"/>
                <w:lang w:eastAsia="lv-LV"/>
              </w:rPr>
              <w:t xml:space="preserve"> ieviešanu Latvijā</w:t>
            </w:r>
            <w:r w:rsidR="00E01B1D">
              <w:rPr>
                <w:rFonts w:eastAsia="Times New Roman" w:cs="Times New Roman"/>
                <w:iCs/>
                <w:szCs w:val="24"/>
                <w:lang w:eastAsia="lv-LV"/>
              </w:rPr>
              <w:t>""</w:t>
            </w:r>
            <w:r w:rsidR="00FA1CBD" w:rsidRPr="00783675">
              <w:rPr>
                <w:rFonts w:eastAsia="Times New Roman" w:cs="Times New Roman"/>
                <w:iCs/>
                <w:szCs w:val="24"/>
                <w:lang w:eastAsia="lv-LV"/>
              </w:rPr>
              <w:t xml:space="preserve"> 7.2.apakšpunkts.</w:t>
            </w:r>
            <w:r w:rsidRPr="00783675">
              <w:rPr>
                <w:rFonts w:eastAsia="Times New Roman" w:cs="Times New Roman"/>
                <w:iCs/>
                <w:szCs w:val="24"/>
                <w:lang w:eastAsia="lv-LV"/>
              </w:rPr>
              <w:t xml:space="preserve"> </w:t>
            </w:r>
          </w:p>
          <w:p w14:paraId="23125F04" w14:textId="77777777" w:rsidR="00791500" w:rsidRDefault="00791500" w:rsidP="00FA1CBD">
            <w:pPr>
              <w:tabs>
                <w:tab w:val="left" w:pos="354"/>
              </w:tabs>
              <w:ind w:left="33"/>
              <w:jc w:val="both"/>
              <w:rPr>
                <w:rFonts w:eastAsia="Times New Roman" w:cs="Times New Roman"/>
                <w:iCs/>
                <w:szCs w:val="24"/>
                <w:lang w:eastAsia="lv-LV"/>
              </w:rPr>
            </w:pPr>
          </w:p>
          <w:p w14:paraId="23125F05" w14:textId="49CD7971" w:rsidR="00791500" w:rsidRPr="00783675" w:rsidRDefault="00791500" w:rsidP="001E779C">
            <w:pPr>
              <w:tabs>
                <w:tab w:val="left" w:pos="354"/>
              </w:tabs>
              <w:ind w:left="33"/>
              <w:jc w:val="both"/>
              <w:rPr>
                <w:rFonts w:eastAsia="Times New Roman" w:cs="Times New Roman"/>
                <w:szCs w:val="24"/>
                <w:lang w:eastAsia="lv-LV"/>
              </w:rPr>
            </w:pPr>
            <w:r>
              <w:rPr>
                <w:rFonts w:eastAsia="Times New Roman" w:cs="Times New Roman"/>
                <w:iCs/>
                <w:szCs w:val="24"/>
                <w:lang w:eastAsia="lv-LV"/>
              </w:rPr>
              <w:t xml:space="preserve">Latvijas Nacionālā </w:t>
            </w:r>
            <w:r w:rsidRPr="00DD0812">
              <w:rPr>
                <w:rFonts w:eastAsia="Times New Roman" w:cs="Times New Roman"/>
                <w:i/>
                <w:iCs/>
                <w:szCs w:val="24"/>
                <w:lang w:eastAsia="lv-LV"/>
              </w:rPr>
              <w:t>euro</w:t>
            </w:r>
            <w:r>
              <w:rPr>
                <w:rFonts w:eastAsia="Times New Roman" w:cs="Times New Roman"/>
                <w:iCs/>
                <w:szCs w:val="24"/>
                <w:lang w:eastAsia="lv-LV"/>
              </w:rPr>
              <w:t xml:space="preserve"> ieviešanas plāna (apstiprināts ar Ministru kabineta 2013.gada 4.aprīļa rīkojumu Nr.136) 1.pielikuma J2.2.3 pasākums</w:t>
            </w:r>
          </w:p>
        </w:tc>
      </w:tr>
      <w:tr w:rsidR="000F38FC" w:rsidRPr="00783675" w14:paraId="23125F0C" w14:textId="77777777" w:rsidTr="002A0AD7">
        <w:tc>
          <w:tcPr>
            <w:tcW w:w="648" w:type="dxa"/>
          </w:tcPr>
          <w:p w14:paraId="23125F07"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2.</w:t>
            </w:r>
          </w:p>
        </w:tc>
        <w:tc>
          <w:tcPr>
            <w:tcW w:w="3288" w:type="dxa"/>
          </w:tcPr>
          <w:p w14:paraId="23125F08"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Pašreizējā situācija un problēmas</w:t>
            </w:r>
          </w:p>
        </w:tc>
        <w:tc>
          <w:tcPr>
            <w:tcW w:w="5351" w:type="dxa"/>
          </w:tcPr>
          <w:p w14:paraId="23125F09" w14:textId="091516EE" w:rsidR="00106004" w:rsidRPr="00106004" w:rsidRDefault="00106004" w:rsidP="00106004">
            <w:pPr>
              <w:jc w:val="both"/>
              <w:rPr>
                <w:rFonts w:cs="Times New Roman"/>
                <w:szCs w:val="24"/>
              </w:rPr>
            </w:pPr>
            <w:r>
              <w:rPr>
                <w:rFonts w:cs="Times New Roman"/>
                <w:szCs w:val="24"/>
              </w:rPr>
              <w:t xml:space="preserve">Ministru kabineta </w:t>
            </w:r>
            <w:r w:rsidRPr="00106004">
              <w:rPr>
                <w:rFonts w:cs="Times New Roman"/>
                <w:szCs w:val="24"/>
              </w:rPr>
              <w:t xml:space="preserve">2003.gada 29.jūlija noteikumi Nr.419 </w:t>
            </w:r>
            <w:r w:rsidR="00E01B1D">
              <w:rPr>
                <w:rFonts w:cs="Times New Roman"/>
                <w:szCs w:val="24"/>
              </w:rPr>
              <w:t>"</w:t>
            </w:r>
            <w:r w:rsidRPr="00106004">
              <w:rPr>
                <w:rFonts w:cs="Times New Roman"/>
                <w:szCs w:val="24"/>
              </w:rPr>
              <w:t>Noteikumi par kārtību, kādā tiešās pārvaldes iestādes slēdz līdzdarbības līgumus, un līdzdarbības līgumu publiskošanas kārtība</w:t>
            </w:r>
            <w:r w:rsidR="00E01B1D">
              <w:rPr>
                <w:rFonts w:cs="Times New Roman"/>
                <w:szCs w:val="24"/>
              </w:rPr>
              <w:t>"</w:t>
            </w:r>
            <w:r w:rsidRPr="00106004">
              <w:rPr>
                <w:rFonts w:cs="Times New Roman"/>
                <w:szCs w:val="24"/>
              </w:rPr>
              <w:t xml:space="preserve"> nosaka kārtību, kādā tiešās pārvaldes iestāde</w:t>
            </w:r>
            <w:r>
              <w:rPr>
                <w:rFonts w:cs="Times New Roman"/>
                <w:szCs w:val="24"/>
              </w:rPr>
              <w:t>s</w:t>
            </w:r>
            <w:r w:rsidRPr="00106004">
              <w:rPr>
                <w:rFonts w:cs="Times New Roman"/>
                <w:szCs w:val="24"/>
              </w:rPr>
              <w:t xml:space="preserve"> slēdz līdzdarbības līgumus ar privātpersonām, un līdzdarbības līgumu publiskošanas kārtību.</w:t>
            </w:r>
            <w:bookmarkStart w:id="0" w:name="p-250107"/>
            <w:bookmarkStart w:id="1" w:name="p2"/>
            <w:bookmarkEnd w:id="0"/>
            <w:bookmarkEnd w:id="1"/>
            <w:r>
              <w:rPr>
                <w:rFonts w:cs="Times New Roman"/>
                <w:szCs w:val="24"/>
              </w:rPr>
              <w:t xml:space="preserve"> </w:t>
            </w:r>
            <w:r w:rsidRPr="00106004">
              <w:rPr>
                <w:rFonts w:cs="Times New Roman"/>
                <w:szCs w:val="24"/>
              </w:rPr>
              <w:t>Līdzdarbības līguma slēgšanas mērķis ir veicināt sabiedrības iesaistīšanu valsts pārvaldē.</w:t>
            </w:r>
          </w:p>
          <w:p w14:paraId="23125F0A" w14:textId="6D165E39" w:rsidR="00316D1A" w:rsidRPr="00106004" w:rsidRDefault="000F38FC" w:rsidP="00106004">
            <w:pPr>
              <w:pStyle w:val="tv2131"/>
              <w:spacing w:line="240" w:lineRule="auto"/>
              <w:ind w:firstLine="0"/>
              <w:jc w:val="both"/>
              <w:rPr>
                <w:rFonts w:eastAsiaTheme="minorHAnsi"/>
                <w:color w:val="auto"/>
                <w:sz w:val="24"/>
                <w:szCs w:val="24"/>
                <w:lang w:eastAsia="en-US"/>
              </w:rPr>
            </w:pPr>
            <w:r w:rsidRPr="00106004">
              <w:rPr>
                <w:rFonts w:eastAsiaTheme="minorHAnsi"/>
                <w:color w:val="auto"/>
                <w:sz w:val="24"/>
                <w:szCs w:val="24"/>
                <w:lang w:eastAsia="en-US"/>
              </w:rPr>
              <w:t xml:space="preserve">Pašreiz </w:t>
            </w:r>
            <w:r w:rsidR="002515AE" w:rsidRPr="00106004">
              <w:rPr>
                <w:rFonts w:eastAsiaTheme="minorHAnsi"/>
                <w:color w:val="auto"/>
                <w:sz w:val="24"/>
                <w:szCs w:val="24"/>
                <w:lang w:eastAsia="en-US"/>
              </w:rPr>
              <w:t xml:space="preserve">atbilstoši </w:t>
            </w:r>
            <w:r w:rsidRPr="00106004">
              <w:rPr>
                <w:rFonts w:eastAsiaTheme="minorHAnsi"/>
                <w:color w:val="auto"/>
                <w:sz w:val="24"/>
                <w:szCs w:val="24"/>
                <w:lang w:eastAsia="en-US"/>
              </w:rPr>
              <w:t xml:space="preserve">MK </w:t>
            </w:r>
            <w:r w:rsidR="00223E39" w:rsidRPr="00106004">
              <w:rPr>
                <w:rFonts w:eastAsiaTheme="minorHAnsi"/>
                <w:color w:val="auto"/>
                <w:sz w:val="24"/>
                <w:szCs w:val="24"/>
                <w:lang w:eastAsia="en-US"/>
              </w:rPr>
              <w:t>2003.gada 29.jūlija</w:t>
            </w:r>
            <w:r w:rsidR="00F57A98" w:rsidRPr="00106004">
              <w:rPr>
                <w:rFonts w:eastAsiaTheme="minorHAnsi"/>
                <w:color w:val="auto"/>
                <w:sz w:val="24"/>
                <w:szCs w:val="24"/>
                <w:lang w:eastAsia="en-US"/>
              </w:rPr>
              <w:t xml:space="preserve"> noteikum</w:t>
            </w:r>
            <w:r w:rsidR="00316D1A" w:rsidRPr="00106004">
              <w:rPr>
                <w:rFonts w:eastAsiaTheme="minorHAnsi"/>
                <w:color w:val="auto"/>
                <w:sz w:val="24"/>
                <w:szCs w:val="24"/>
                <w:lang w:eastAsia="en-US"/>
              </w:rPr>
              <w:t>iem</w:t>
            </w:r>
            <w:r w:rsidR="00223E39" w:rsidRPr="00106004">
              <w:rPr>
                <w:rFonts w:eastAsiaTheme="minorHAnsi"/>
                <w:color w:val="auto"/>
                <w:sz w:val="24"/>
                <w:szCs w:val="24"/>
                <w:lang w:eastAsia="en-US"/>
              </w:rPr>
              <w:t xml:space="preserve"> Nr.419</w:t>
            </w:r>
            <w:r w:rsidRPr="00106004">
              <w:rPr>
                <w:rFonts w:eastAsiaTheme="minorHAnsi"/>
                <w:color w:val="auto"/>
                <w:sz w:val="24"/>
                <w:szCs w:val="24"/>
                <w:lang w:eastAsia="en-US"/>
              </w:rPr>
              <w:t xml:space="preserve"> </w:t>
            </w:r>
            <w:r w:rsidR="00E01B1D">
              <w:rPr>
                <w:rFonts w:eastAsiaTheme="minorHAnsi"/>
                <w:color w:val="auto"/>
                <w:sz w:val="24"/>
                <w:szCs w:val="24"/>
                <w:lang w:eastAsia="en-US"/>
              </w:rPr>
              <w:t>"</w:t>
            </w:r>
            <w:r w:rsidRPr="00106004">
              <w:rPr>
                <w:rFonts w:eastAsiaTheme="minorHAnsi"/>
                <w:color w:val="auto"/>
                <w:sz w:val="24"/>
                <w:szCs w:val="24"/>
                <w:lang w:eastAsia="en-US"/>
              </w:rPr>
              <w:t xml:space="preserve">Noteikumi </w:t>
            </w:r>
            <w:r w:rsidR="00223E39" w:rsidRPr="00106004">
              <w:rPr>
                <w:rFonts w:eastAsiaTheme="minorHAnsi"/>
                <w:color w:val="auto"/>
                <w:sz w:val="24"/>
                <w:szCs w:val="24"/>
                <w:lang w:eastAsia="en-US"/>
              </w:rPr>
              <w:t>par kārtību, kādā tiešās pārvaldes iestādes slēdz līdzdarbības līgumus, un līdzdarbības līgumu publiskošanas kārtība</w:t>
            </w:r>
            <w:r w:rsidR="00E01B1D">
              <w:rPr>
                <w:rFonts w:eastAsiaTheme="minorHAnsi"/>
                <w:color w:val="auto"/>
                <w:sz w:val="24"/>
                <w:szCs w:val="24"/>
                <w:lang w:eastAsia="en-US"/>
              </w:rPr>
              <w:t>""</w:t>
            </w:r>
            <w:r w:rsidRPr="00106004">
              <w:rPr>
                <w:rFonts w:eastAsiaTheme="minorHAnsi"/>
                <w:color w:val="auto"/>
                <w:sz w:val="24"/>
                <w:szCs w:val="24"/>
                <w:lang w:eastAsia="en-US"/>
              </w:rPr>
              <w:t xml:space="preserve"> </w:t>
            </w:r>
            <w:r w:rsidR="00223E39" w:rsidRPr="00106004">
              <w:rPr>
                <w:rFonts w:eastAsiaTheme="minorHAnsi"/>
                <w:color w:val="auto"/>
                <w:sz w:val="24"/>
                <w:szCs w:val="24"/>
                <w:lang w:eastAsia="en-US"/>
              </w:rPr>
              <w:t>(turpmāk – noteikumi Nr.419</w:t>
            </w:r>
            <w:r w:rsidRPr="00106004">
              <w:rPr>
                <w:rFonts w:eastAsiaTheme="minorHAnsi"/>
                <w:color w:val="auto"/>
                <w:sz w:val="24"/>
                <w:szCs w:val="24"/>
                <w:lang w:eastAsia="en-US"/>
              </w:rPr>
              <w:t>)</w:t>
            </w:r>
            <w:r w:rsidR="001B20D8" w:rsidRPr="00106004">
              <w:rPr>
                <w:rFonts w:eastAsiaTheme="minorHAnsi"/>
                <w:color w:val="auto"/>
                <w:sz w:val="24"/>
                <w:szCs w:val="24"/>
                <w:lang w:eastAsia="en-US"/>
              </w:rPr>
              <w:t xml:space="preserve"> </w:t>
            </w:r>
            <w:r w:rsidR="00316D1A" w:rsidRPr="00106004">
              <w:rPr>
                <w:rFonts w:eastAsiaTheme="minorHAnsi"/>
                <w:color w:val="auto"/>
                <w:sz w:val="24"/>
                <w:szCs w:val="24"/>
                <w:lang w:eastAsia="en-US"/>
              </w:rPr>
              <w:t>tiešās pārvaldes iestāde, ja līdzdarbības līguma cena pārsniedz 50</w:t>
            </w:r>
            <w:r w:rsidR="00106004">
              <w:rPr>
                <w:rFonts w:eastAsiaTheme="minorHAnsi"/>
                <w:color w:val="auto"/>
                <w:sz w:val="24"/>
                <w:szCs w:val="24"/>
                <w:lang w:eastAsia="en-US"/>
              </w:rPr>
              <w:t xml:space="preserve"> </w:t>
            </w:r>
            <w:r w:rsidR="00316D1A" w:rsidRPr="00106004">
              <w:rPr>
                <w:rFonts w:eastAsiaTheme="minorHAnsi"/>
                <w:color w:val="auto"/>
                <w:sz w:val="24"/>
                <w:szCs w:val="24"/>
                <w:lang w:eastAsia="en-US"/>
              </w:rPr>
              <w:t>000 latu, par nodomu slēgt līdzdarbības līgumu informē augstāku iestādi. Tāpat noteikumi Nr</w:t>
            </w:r>
            <w:r w:rsidR="001E779C">
              <w:rPr>
                <w:rFonts w:eastAsiaTheme="minorHAnsi"/>
                <w:color w:val="auto"/>
                <w:sz w:val="24"/>
                <w:szCs w:val="24"/>
                <w:lang w:eastAsia="en-US"/>
              </w:rPr>
              <w:t>.419 nosaka paredzamā līdzdarb</w:t>
            </w:r>
            <w:r w:rsidR="00316D1A" w:rsidRPr="00106004">
              <w:rPr>
                <w:rFonts w:eastAsiaTheme="minorHAnsi"/>
                <w:color w:val="auto"/>
                <w:sz w:val="24"/>
                <w:szCs w:val="24"/>
                <w:lang w:eastAsia="en-US"/>
              </w:rPr>
              <w:t>ības līguma cenas slieksni (10</w:t>
            </w:r>
            <w:r w:rsidR="001E779C">
              <w:rPr>
                <w:rFonts w:eastAsiaTheme="minorHAnsi"/>
                <w:color w:val="auto"/>
                <w:sz w:val="24"/>
                <w:szCs w:val="24"/>
                <w:lang w:eastAsia="en-US"/>
              </w:rPr>
              <w:t> </w:t>
            </w:r>
            <w:r w:rsidR="00106004">
              <w:rPr>
                <w:rFonts w:eastAsiaTheme="minorHAnsi"/>
                <w:color w:val="auto"/>
                <w:sz w:val="24"/>
                <w:szCs w:val="24"/>
                <w:lang w:eastAsia="en-US"/>
              </w:rPr>
              <w:t>000</w:t>
            </w:r>
            <w:r w:rsidR="001E779C">
              <w:rPr>
                <w:rFonts w:eastAsiaTheme="minorHAnsi"/>
                <w:color w:val="auto"/>
                <w:sz w:val="24"/>
                <w:szCs w:val="24"/>
                <w:lang w:eastAsia="en-US"/>
              </w:rPr>
              <w:t> </w:t>
            </w:r>
            <w:r w:rsidR="00106004">
              <w:rPr>
                <w:rFonts w:eastAsiaTheme="minorHAnsi"/>
                <w:color w:val="auto"/>
                <w:sz w:val="24"/>
                <w:szCs w:val="24"/>
                <w:lang w:eastAsia="en-US"/>
              </w:rPr>
              <w:t>latu</w:t>
            </w:r>
            <w:r w:rsidR="00316D1A" w:rsidRPr="00106004">
              <w:rPr>
                <w:rFonts w:eastAsiaTheme="minorHAnsi"/>
                <w:color w:val="auto"/>
                <w:sz w:val="24"/>
                <w:szCs w:val="24"/>
                <w:lang w:eastAsia="en-US"/>
              </w:rPr>
              <w:t>), attiecīgi paredzot veicamās darbības, kas tiešās pārvaldes iestāde</w:t>
            </w:r>
            <w:r w:rsidR="00106004" w:rsidRPr="00106004">
              <w:rPr>
                <w:rFonts w:eastAsiaTheme="minorHAnsi"/>
                <w:color w:val="auto"/>
                <w:sz w:val="24"/>
                <w:szCs w:val="24"/>
                <w:lang w:eastAsia="en-US"/>
              </w:rPr>
              <w:t>i jāveic, ja līguma vērtība nepārsniedz 10</w:t>
            </w:r>
            <w:r w:rsidR="00106004">
              <w:rPr>
                <w:rFonts w:eastAsiaTheme="minorHAnsi"/>
                <w:color w:val="auto"/>
                <w:sz w:val="24"/>
                <w:szCs w:val="24"/>
                <w:lang w:eastAsia="en-US"/>
              </w:rPr>
              <w:t xml:space="preserve"> 000 latu</w:t>
            </w:r>
            <w:r w:rsidR="00106004" w:rsidRPr="00106004">
              <w:rPr>
                <w:rFonts w:eastAsiaTheme="minorHAnsi"/>
                <w:color w:val="auto"/>
                <w:sz w:val="24"/>
                <w:szCs w:val="24"/>
                <w:lang w:eastAsia="en-US"/>
              </w:rPr>
              <w:t xml:space="preserve"> </w:t>
            </w:r>
            <w:r w:rsidR="00106004">
              <w:rPr>
                <w:rFonts w:eastAsiaTheme="minorHAnsi"/>
                <w:color w:val="auto"/>
                <w:sz w:val="24"/>
                <w:szCs w:val="24"/>
                <w:lang w:eastAsia="en-US"/>
              </w:rPr>
              <w:t xml:space="preserve">(potenciālo pretendentu noskaidrošana un aicinājuma izteikšana </w:t>
            </w:r>
            <w:r w:rsidR="00216228">
              <w:rPr>
                <w:rFonts w:eastAsiaTheme="minorHAnsi"/>
                <w:color w:val="auto"/>
                <w:sz w:val="24"/>
                <w:szCs w:val="24"/>
                <w:lang w:eastAsia="en-US"/>
              </w:rPr>
              <w:t>ie</w:t>
            </w:r>
            <w:r w:rsidR="00106004">
              <w:rPr>
                <w:rFonts w:eastAsiaTheme="minorHAnsi"/>
                <w:color w:val="auto"/>
                <w:sz w:val="24"/>
                <w:szCs w:val="24"/>
                <w:lang w:eastAsia="en-US"/>
              </w:rPr>
              <w:t>sniegt pie</w:t>
            </w:r>
            <w:r w:rsidR="00216228">
              <w:rPr>
                <w:rFonts w:eastAsiaTheme="minorHAnsi"/>
                <w:color w:val="auto"/>
                <w:sz w:val="24"/>
                <w:szCs w:val="24"/>
                <w:lang w:eastAsia="en-US"/>
              </w:rPr>
              <w:t>teikumus līdzdarbības līguma noslēgšanai</w:t>
            </w:r>
            <w:r w:rsidR="00106004">
              <w:rPr>
                <w:rFonts w:eastAsiaTheme="minorHAnsi"/>
                <w:color w:val="auto"/>
                <w:sz w:val="24"/>
                <w:szCs w:val="24"/>
                <w:lang w:eastAsia="en-US"/>
              </w:rPr>
              <w:t>)</w:t>
            </w:r>
            <w:r w:rsidR="001E779C">
              <w:rPr>
                <w:rFonts w:eastAsiaTheme="minorHAnsi"/>
                <w:color w:val="auto"/>
                <w:sz w:val="24"/>
                <w:szCs w:val="24"/>
                <w:lang w:eastAsia="en-US"/>
              </w:rPr>
              <w:t>,</w:t>
            </w:r>
            <w:r w:rsidR="00106004">
              <w:rPr>
                <w:rFonts w:eastAsiaTheme="minorHAnsi"/>
                <w:color w:val="auto"/>
                <w:sz w:val="24"/>
                <w:szCs w:val="24"/>
                <w:lang w:eastAsia="en-US"/>
              </w:rPr>
              <w:t xml:space="preserve"> </w:t>
            </w:r>
            <w:r w:rsidR="00106004" w:rsidRPr="00106004">
              <w:rPr>
                <w:rFonts w:eastAsiaTheme="minorHAnsi"/>
                <w:color w:val="auto"/>
                <w:sz w:val="24"/>
                <w:szCs w:val="24"/>
                <w:lang w:eastAsia="en-US"/>
              </w:rPr>
              <w:t>un kādas darbības jāveic, ja līguma vērtība pārsniedz 10</w:t>
            </w:r>
            <w:r w:rsidR="001E779C">
              <w:rPr>
                <w:rFonts w:eastAsiaTheme="minorHAnsi"/>
                <w:color w:val="auto"/>
                <w:sz w:val="24"/>
                <w:szCs w:val="24"/>
                <w:lang w:eastAsia="en-US"/>
              </w:rPr>
              <w:t> </w:t>
            </w:r>
            <w:r w:rsidR="00106004">
              <w:rPr>
                <w:rFonts w:eastAsiaTheme="minorHAnsi"/>
                <w:color w:val="auto"/>
                <w:sz w:val="24"/>
                <w:szCs w:val="24"/>
                <w:lang w:eastAsia="en-US"/>
              </w:rPr>
              <w:t>000</w:t>
            </w:r>
            <w:r w:rsidR="001E779C">
              <w:rPr>
                <w:rFonts w:eastAsiaTheme="minorHAnsi"/>
                <w:color w:val="auto"/>
                <w:sz w:val="24"/>
                <w:szCs w:val="24"/>
                <w:lang w:eastAsia="en-US"/>
              </w:rPr>
              <w:t> </w:t>
            </w:r>
            <w:r w:rsidR="00106004">
              <w:rPr>
                <w:rFonts w:eastAsiaTheme="minorHAnsi"/>
                <w:color w:val="auto"/>
                <w:sz w:val="24"/>
                <w:szCs w:val="24"/>
                <w:lang w:eastAsia="en-US"/>
              </w:rPr>
              <w:t>latu (konkursa rīko</w:t>
            </w:r>
            <w:r w:rsidR="00216228">
              <w:rPr>
                <w:rFonts w:eastAsiaTheme="minorHAnsi"/>
                <w:color w:val="auto"/>
                <w:sz w:val="24"/>
                <w:szCs w:val="24"/>
                <w:lang w:eastAsia="en-US"/>
              </w:rPr>
              <w:t>šana</w:t>
            </w:r>
            <w:r w:rsidR="00106004">
              <w:rPr>
                <w:rFonts w:eastAsiaTheme="minorHAnsi"/>
                <w:color w:val="auto"/>
                <w:sz w:val="24"/>
                <w:szCs w:val="24"/>
                <w:lang w:eastAsia="en-US"/>
              </w:rPr>
              <w:t xml:space="preserve"> par iespēju slēgt līdzdarbības līgumu), papildus nosakot veicamās darbības gadījumā, ja</w:t>
            </w:r>
            <w:r w:rsidR="001E779C">
              <w:rPr>
                <w:rFonts w:eastAsiaTheme="minorHAnsi"/>
                <w:color w:val="auto"/>
                <w:sz w:val="24"/>
                <w:szCs w:val="24"/>
                <w:lang w:eastAsia="en-US"/>
              </w:rPr>
              <w:t>,</w:t>
            </w:r>
            <w:r w:rsidR="00106004">
              <w:rPr>
                <w:rFonts w:eastAsiaTheme="minorHAnsi"/>
                <w:color w:val="auto"/>
                <w:sz w:val="24"/>
                <w:szCs w:val="24"/>
                <w:lang w:eastAsia="en-US"/>
              </w:rPr>
              <w:t xml:space="preserve"> rīkojot atkārtotu konkursu par iespēju slēgt līdzdarbības līgumu, nav iespējams</w:t>
            </w:r>
            <w:r w:rsidR="00216228">
              <w:rPr>
                <w:rFonts w:eastAsiaTheme="minorHAnsi"/>
                <w:color w:val="auto"/>
                <w:sz w:val="24"/>
                <w:szCs w:val="24"/>
                <w:lang w:eastAsia="en-US"/>
              </w:rPr>
              <w:t xml:space="preserve"> līgumu noslēgt, jo nav pieteikušies pretendenti vai iesniegtie piedāvājumi nav atbilstoši prasībām, un</w:t>
            </w:r>
            <w:r w:rsidR="00106004">
              <w:rPr>
                <w:rFonts w:eastAsiaTheme="minorHAnsi"/>
                <w:color w:val="auto"/>
                <w:sz w:val="24"/>
                <w:szCs w:val="24"/>
                <w:lang w:eastAsia="en-US"/>
              </w:rPr>
              <w:t xml:space="preserve"> līdzdarbības līguma summa nepārsniedz 20 000 latu</w:t>
            </w:r>
            <w:r w:rsidR="00216228">
              <w:rPr>
                <w:rFonts w:eastAsiaTheme="minorHAnsi"/>
                <w:color w:val="auto"/>
                <w:sz w:val="24"/>
                <w:szCs w:val="24"/>
                <w:lang w:eastAsia="en-US"/>
              </w:rPr>
              <w:t xml:space="preserve">. </w:t>
            </w:r>
          </w:p>
          <w:p w14:paraId="23125F0B" w14:textId="77EC366C" w:rsidR="000F38FC" w:rsidRPr="00E3530A" w:rsidRDefault="00216228" w:rsidP="005C6979">
            <w:pPr>
              <w:spacing w:after="120"/>
              <w:jc w:val="both"/>
              <w:rPr>
                <w:rFonts w:eastAsia="Times New Roman" w:cs="Times New Roman"/>
                <w:bCs/>
                <w:iCs/>
                <w:color w:val="FF0000"/>
                <w:szCs w:val="24"/>
                <w:lang w:eastAsia="lv-LV"/>
              </w:rPr>
            </w:pPr>
            <w:r>
              <w:rPr>
                <w:rFonts w:eastAsia="Times New Roman" w:cs="Times New Roman"/>
                <w:bCs/>
                <w:iCs/>
                <w:szCs w:val="24"/>
                <w:lang w:eastAsia="lv-LV"/>
              </w:rPr>
              <w:t xml:space="preserve">Ņemot vērā, ka </w:t>
            </w:r>
            <w:r w:rsidR="00D133CB" w:rsidRPr="00E3530A">
              <w:rPr>
                <w:rFonts w:cs="Times New Roman"/>
                <w:szCs w:val="24"/>
              </w:rPr>
              <w:t xml:space="preserve">Deklarācijas par Valda Dombrovska vadītā Ministru kabineta iecerēto darbību II sadaļas 1.punkts paredz, ka Latvija plāno iekļauties </w:t>
            </w:r>
            <w:r w:rsidR="005C6979">
              <w:rPr>
                <w:rFonts w:cs="Times New Roman"/>
                <w:szCs w:val="24"/>
              </w:rPr>
              <w:t>ei</w:t>
            </w:r>
            <w:r w:rsidR="002515AE" w:rsidRPr="005C6979">
              <w:rPr>
                <w:rFonts w:cs="Times New Roman"/>
                <w:szCs w:val="24"/>
              </w:rPr>
              <w:t>ro</w:t>
            </w:r>
            <w:r w:rsidR="00D133CB" w:rsidRPr="005C6979">
              <w:rPr>
                <w:rFonts w:cs="Times New Roman"/>
                <w:szCs w:val="24"/>
              </w:rPr>
              <w:t>zonā</w:t>
            </w:r>
            <w:r w:rsidR="00D133CB" w:rsidRPr="00E3530A">
              <w:rPr>
                <w:rFonts w:cs="Times New Roman"/>
                <w:szCs w:val="24"/>
              </w:rPr>
              <w:t xml:space="preserve"> </w:t>
            </w:r>
            <w:r w:rsidR="00D133CB" w:rsidRPr="00E3530A">
              <w:rPr>
                <w:rFonts w:cs="Times New Roman"/>
                <w:szCs w:val="24"/>
              </w:rPr>
              <w:lastRenderedPageBreak/>
              <w:t>2014.gadā</w:t>
            </w:r>
            <w:r>
              <w:rPr>
                <w:rFonts w:cs="Times New Roman"/>
                <w:szCs w:val="24"/>
              </w:rPr>
              <w:t>,</w:t>
            </w:r>
            <w:r w:rsidR="00D133CB" w:rsidRPr="00E3530A">
              <w:rPr>
                <w:rFonts w:cs="Times New Roman"/>
                <w:szCs w:val="24"/>
              </w:rPr>
              <w:t xml:space="preserve"> </w:t>
            </w:r>
            <w:r w:rsidR="00D133CB" w:rsidRPr="00E3530A">
              <w:rPr>
                <w:rFonts w:cs="Times New Roman"/>
                <w:i/>
                <w:iCs/>
                <w:szCs w:val="24"/>
              </w:rPr>
              <w:t>Euro</w:t>
            </w:r>
            <w:r w:rsidR="00D133CB" w:rsidRPr="00E3530A">
              <w:rPr>
                <w:rFonts w:cs="Times New Roman"/>
                <w:szCs w:val="24"/>
              </w:rPr>
              <w:t xml:space="preserve"> ieviešanas kārtības likuma 30.panta pirmā daļa paredz, ka nepieciešams sagatavot to tiesību aktu grozījumu projektus, kurus nepieciešams pielāgot </w:t>
            </w:r>
            <w:r w:rsidR="00D133CB" w:rsidRPr="00E3530A">
              <w:rPr>
                <w:rFonts w:cs="Times New Roman"/>
                <w:i/>
                <w:iCs/>
                <w:szCs w:val="24"/>
              </w:rPr>
              <w:t>euro</w:t>
            </w:r>
            <w:r w:rsidR="00D133CB" w:rsidRPr="00E3530A">
              <w:rPr>
                <w:rFonts w:cs="Times New Roman"/>
                <w:szCs w:val="24"/>
              </w:rPr>
              <w:t xml:space="preserve"> ieviešanai</w:t>
            </w:r>
            <w:r>
              <w:rPr>
                <w:rFonts w:cs="Times New Roman"/>
                <w:szCs w:val="24"/>
              </w:rPr>
              <w:t xml:space="preserve">, kā arī to, </w:t>
            </w:r>
            <w:r w:rsidR="00D133CB" w:rsidRPr="00E3530A">
              <w:rPr>
                <w:rFonts w:cs="Times New Roman"/>
                <w:szCs w:val="24"/>
              </w:rPr>
              <w:t xml:space="preserve">ka pēc pievienošanās </w:t>
            </w:r>
            <w:r w:rsidR="00F847C1" w:rsidRPr="00E3530A">
              <w:rPr>
                <w:rFonts w:cs="Times New Roman"/>
                <w:szCs w:val="24"/>
              </w:rPr>
              <w:t>eiro</w:t>
            </w:r>
            <w:r w:rsidR="00D133CB" w:rsidRPr="00E3530A">
              <w:rPr>
                <w:rFonts w:cs="Times New Roman"/>
                <w:szCs w:val="24"/>
              </w:rPr>
              <w:t xml:space="preserve">zonai likumīgais maksāšanas līdzeklis būs </w:t>
            </w:r>
            <w:r w:rsidR="00D133CB" w:rsidRPr="00E3530A">
              <w:rPr>
                <w:rFonts w:cs="Times New Roman"/>
                <w:i/>
                <w:iCs/>
                <w:szCs w:val="24"/>
              </w:rPr>
              <w:t>euro</w:t>
            </w:r>
            <w:r w:rsidR="005C6979">
              <w:rPr>
                <w:rFonts w:cs="Times New Roman"/>
                <w:i/>
                <w:iCs/>
                <w:szCs w:val="24"/>
              </w:rPr>
              <w:t>,</w:t>
            </w:r>
            <w:r w:rsidR="00D133CB" w:rsidRPr="00E3530A">
              <w:rPr>
                <w:rFonts w:cs="Times New Roman"/>
                <w:szCs w:val="24"/>
              </w:rPr>
              <w:t xml:space="preserve"> nevis lats, ir nepieciešams izdarīt grozījumus noteiku</w:t>
            </w:r>
            <w:r w:rsidR="001B20D8" w:rsidRPr="00E3530A">
              <w:rPr>
                <w:rFonts w:cs="Times New Roman"/>
                <w:szCs w:val="24"/>
              </w:rPr>
              <w:t xml:space="preserve">mos </w:t>
            </w:r>
            <w:r w:rsidR="00223E39" w:rsidRPr="00223E39">
              <w:rPr>
                <w:rFonts w:cs="Times New Roman"/>
                <w:szCs w:val="24"/>
              </w:rPr>
              <w:t>Nr.419</w:t>
            </w:r>
            <w:r>
              <w:rPr>
                <w:rFonts w:cs="Times New Roman"/>
                <w:szCs w:val="24"/>
              </w:rPr>
              <w:t xml:space="preserve">, konvertējot summas latos uz summām </w:t>
            </w:r>
            <w:r w:rsidRPr="00216228">
              <w:rPr>
                <w:rFonts w:cs="Times New Roman"/>
                <w:i/>
                <w:szCs w:val="24"/>
              </w:rPr>
              <w:t>euro</w:t>
            </w:r>
            <w:r>
              <w:rPr>
                <w:rFonts w:cs="Times New Roman"/>
                <w:szCs w:val="24"/>
              </w:rPr>
              <w:t>.</w:t>
            </w:r>
            <w:r w:rsidR="00E71CBB">
              <w:rPr>
                <w:rFonts w:cs="Times New Roman"/>
                <w:szCs w:val="24"/>
              </w:rPr>
              <w:t xml:space="preserve"> Minētajos grozījumos summas norādītas noapaļotas, bez </w:t>
            </w:r>
            <w:r w:rsidR="00E71CBB" w:rsidRPr="00844DCF">
              <w:rPr>
                <w:rFonts w:cs="Times New Roman"/>
                <w:i/>
                <w:szCs w:val="24"/>
              </w:rPr>
              <w:t>euro</w:t>
            </w:r>
            <w:r w:rsidR="00E71CBB">
              <w:rPr>
                <w:rFonts w:cs="Times New Roman"/>
                <w:szCs w:val="24"/>
              </w:rPr>
              <w:t xml:space="preserve"> centu vienībām</w:t>
            </w:r>
          </w:p>
        </w:tc>
      </w:tr>
      <w:tr w:rsidR="000F38FC" w:rsidRPr="00783675" w14:paraId="23125F10" w14:textId="77777777" w:rsidTr="002A0AD7">
        <w:tc>
          <w:tcPr>
            <w:tcW w:w="648" w:type="dxa"/>
          </w:tcPr>
          <w:p w14:paraId="23125F0D"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lastRenderedPageBreak/>
              <w:t>3.</w:t>
            </w:r>
          </w:p>
        </w:tc>
        <w:tc>
          <w:tcPr>
            <w:tcW w:w="3288" w:type="dxa"/>
          </w:tcPr>
          <w:p w14:paraId="23125F0E"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Saistītie politikas ietekmes novērtējumi un pētījumi</w:t>
            </w:r>
          </w:p>
        </w:tc>
        <w:tc>
          <w:tcPr>
            <w:tcW w:w="5351" w:type="dxa"/>
          </w:tcPr>
          <w:p w14:paraId="23125F0F" w14:textId="3BF0C87E" w:rsidR="000F38FC" w:rsidRPr="00783675" w:rsidRDefault="000F38FC" w:rsidP="005C6979">
            <w:pPr>
              <w:jc w:val="both"/>
              <w:rPr>
                <w:rFonts w:eastAsia="Times New Roman" w:cs="Times New Roman"/>
                <w:szCs w:val="24"/>
                <w:lang w:eastAsia="lv-LV"/>
              </w:rPr>
            </w:pPr>
            <w:r w:rsidRPr="00783675">
              <w:rPr>
                <w:rFonts w:eastAsia="Times New Roman" w:cs="Times New Roman"/>
                <w:szCs w:val="24"/>
                <w:lang w:eastAsia="lv-LV"/>
              </w:rPr>
              <w:t>Projekts šo jomu neskar</w:t>
            </w:r>
          </w:p>
        </w:tc>
      </w:tr>
      <w:tr w:rsidR="000F38FC" w:rsidRPr="00783675" w14:paraId="23125F14" w14:textId="77777777" w:rsidTr="002A0AD7">
        <w:tc>
          <w:tcPr>
            <w:tcW w:w="648" w:type="dxa"/>
          </w:tcPr>
          <w:p w14:paraId="23125F11"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4.</w:t>
            </w:r>
          </w:p>
        </w:tc>
        <w:tc>
          <w:tcPr>
            <w:tcW w:w="3288" w:type="dxa"/>
          </w:tcPr>
          <w:p w14:paraId="23125F12"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Tiesiskā regulējuma mērķis un būtība</w:t>
            </w:r>
          </w:p>
        </w:tc>
        <w:tc>
          <w:tcPr>
            <w:tcW w:w="5351" w:type="dxa"/>
          </w:tcPr>
          <w:p w14:paraId="23125F13" w14:textId="36704AA5" w:rsidR="000F38FC" w:rsidRPr="00216228" w:rsidRDefault="00216228" w:rsidP="00735AFD">
            <w:pPr>
              <w:jc w:val="both"/>
              <w:rPr>
                <w:rFonts w:eastAsia="Times New Roman" w:cs="Times New Roman"/>
                <w:bCs/>
                <w:iCs/>
                <w:szCs w:val="24"/>
                <w:lang w:eastAsia="lv-LV"/>
              </w:rPr>
            </w:pPr>
            <w:r>
              <w:rPr>
                <w:rFonts w:eastAsia="Times New Roman" w:cs="Times New Roman"/>
                <w:bCs/>
                <w:iCs/>
                <w:szCs w:val="24"/>
                <w:lang w:eastAsia="lv-LV"/>
              </w:rPr>
              <w:t>Lai atrisinātu šīs sadaļas 2.punktā minētās probl</w:t>
            </w:r>
            <w:r w:rsidR="005C6979">
              <w:rPr>
                <w:rFonts w:eastAsia="Times New Roman" w:cs="Times New Roman"/>
                <w:bCs/>
                <w:iCs/>
                <w:szCs w:val="24"/>
                <w:lang w:eastAsia="lv-LV"/>
              </w:rPr>
              <w:t>ēmas un nodrošinātu MK noteikumos</w:t>
            </w:r>
            <w:r>
              <w:rPr>
                <w:rFonts w:eastAsia="Times New Roman" w:cs="Times New Roman"/>
                <w:bCs/>
                <w:iCs/>
                <w:szCs w:val="24"/>
                <w:lang w:eastAsia="lv-LV"/>
              </w:rPr>
              <w:t xml:space="preserve"> Nr.419 paredzēto naudas summu atbilstību </w:t>
            </w:r>
            <w:r w:rsidRPr="005C6979">
              <w:rPr>
                <w:rFonts w:eastAsia="Times New Roman" w:cs="Times New Roman"/>
                <w:bCs/>
                <w:i/>
                <w:iCs/>
                <w:szCs w:val="24"/>
                <w:lang w:eastAsia="lv-LV"/>
              </w:rPr>
              <w:t>euro</w:t>
            </w:r>
            <w:r w:rsidR="005C6979">
              <w:rPr>
                <w:rFonts w:eastAsia="Times New Roman" w:cs="Times New Roman"/>
                <w:bCs/>
                <w:iCs/>
                <w:szCs w:val="24"/>
                <w:lang w:eastAsia="lv-LV"/>
              </w:rPr>
              <w:t xml:space="preserve"> valūtai</w:t>
            </w:r>
            <w:r>
              <w:rPr>
                <w:rFonts w:eastAsia="Times New Roman" w:cs="Times New Roman"/>
                <w:bCs/>
                <w:iCs/>
                <w:szCs w:val="24"/>
                <w:lang w:eastAsia="lv-LV"/>
              </w:rPr>
              <w:t xml:space="preserve">, ir sagatavots noteikumu projekts, </w:t>
            </w:r>
            <w:r w:rsidR="000F38FC" w:rsidRPr="00877E07">
              <w:rPr>
                <w:rFonts w:eastAsia="Times New Roman" w:cs="Times New Roman"/>
                <w:bCs/>
                <w:iCs/>
                <w:szCs w:val="24"/>
                <w:lang w:eastAsia="lv-LV"/>
              </w:rPr>
              <w:t>paredz</w:t>
            </w:r>
            <w:r>
              <w:rPr>
                <w:rFonts w:eastAsia="Times New Roman" w:cs="Times New Roman"/>
                <w:bCs/>
                <w:iCs/>
                <w:szCs w:val="24"/>
                <w:lang w:eastAsia="lv-LV"/>
              </w:rPr>
              <w:t>ot</w:t>
            </w:r>
            <w:r w:rsidR="000F38FC" w:rsidRPr="00877E07">
              <w:rPr>
                <w:rFonts w:eastAsia="Times New Roman" w:cs="Times New Roman"/>
                <w:bCs/>
                <w:iCs/>
                <w:szCs w:val="24"/>
                <w:lang w:eastAsia="lv-LV"/>
              </w:rPr>
              <w:t xml:space="preserve"> </w:t>
            </w:r>
            <w:r w:rsidR="000F38FC" w:rsidRPr="00216228">
              <w:rPr>
                <w:rFonts w:eastAsia="Times New Roman" w:cs="Times New Roman"/>
                <w:bCs/>
                <w:iCs/>
                <w:szCs w:val="24"/>
                <w:lang w:eastAsia="lv-LV"/>
              </w:rPr>
              <w:t xml:space="preserve">aizstāt </w:t>
            </w:r>
            <w:r w:rsidR="00C207CC" w:rsidRPr="00216228">
              <w:rPr>
                <w:rFonts w:eastAsia="Times New Roman" w:cs="Times New Roman"/>
                <w:bCs/>
                <w:iCs/>
                <w:szCs w:val="24"/>
                <w:lang w:eastAsia="lv-LV"/>
              </w:rPr>
              <w:t xml:space="preserve">noteikumu </w:t>
            </w:r>
            <w:r w:rsidR="00223E39" w:rsidRPr="00216228">
              <w:rPr>
                <w:rFonts w:eastAsia="Times New Roman" w:cs="Times New Roman"/>
                <w:bCs/>
                <w:iCs/>
                <w:szCs w:val="24"/>
                <w:lang w:eastAsia="lv-LV"/>
              </w:rPr>
              <w:t>4.1.</w:t>
            </w:r>
            <w:r w:rsidRPr="00216228">
              <w:rPr>
                <w:rFonts w:eastAsia="Times New Roman" w:cs="Times New Roman"/>
                <w:bCs/>
                <w:iCs/>
                <w:szCs w:val="24"/>
                <w:lang w:eastAsia="lv-LV"/>
              </w:rPr>
              <w:t>apakšpunktā,</w:t>
            </w:r>
            <w:r>
              <w:rPr>
                <w:rFonts w:eastAsia="Times New Roman" w:cs="Times New Roman"/>
                <w:bCs/>
                <w:iCs/>
                <w:szCs w:val="24"/>
                <w:lang w:eastAsia="lv-LV"/>
              </w:rPr>
              <w:t xml:space="preserve"> </w:t>
            </w:r>
            <w:r w:rsidR="00223E39" w:rsidRPr="00216228">
              <w:rPr>
                <w:rFonts w:eastAsia="Times New Roman" w:cs="Times New Roman"/>
                <w:bCs/>
                <w:iCs/>
                <w:szCs w:val="24"/>
                <w:lang w:eastAsia="lv-LV"/>
              </w:rPr>
              <w:t>8., 12.</w:t>
            </w:r>
            <w:r>
              <w:rPr>
                <w:rFonts w:eastAsia="Times New Roman" w:cs="Times New Roman"/>
                <w:bCs/>
                <w:iCs/>
                <w:szCs w:val="24"/>
                <w:lang w:eastAsia="lv-LV"/>
              </w:rPr>
              <w:t xml:space="preserve"> </w:t>
            </w:r>
            <w:r w:rsidRPr="00216228">
              <w:rPr>
                <w:rFonts w:eastAsia="Times New Roman" w:cs="Times New Roman"/>
                <w:bCs/>
                <w:iCs/>
                <w:szCs w:val="24"/>
                <w:lang w:eastAsia="lv-LV"/>
              </w:rPr>
              <w:t>un</w:t>
            </w:r>
            <w:r w:rsidR="005C6979">
              <w:rPr>
                <w:rFonts w:eastAsia="Times New Roman" w:cs="Times New Roman"/>
                <w:bCs/>
                <w:iCs/>
                <w:szCs w:val="24"/>
                <w:lang w:eastAsia="lv-LV"/>
              </w:rPr>
              <w:t xml:space="preserve"> 18.punktā</w:t>
            </w:r>
            <w:r w:rsidR="00223E39" w:rsidRPr="00216228">
              <w:rPr>
                <w:rFonts w:eastAsia="Times New Roman" w:cs="Times New Roman"/>
                <w:bCs/>
                <w:iCs/>
                <w:szCs w:val="24"/>
                <w:lang w:eastAsia="lv-LV"/>
              </w:rPr>
              <w:t xml:space="preserve"> minētos skaitļus un vārdu</w:t>
            </w:r>
            <w:r w:rsidR="00D813E6">
              <w:rPr>
                <w:rFonts w:eastAsia="Times New Roman" w:cs="Times New Roman"/>
                <w:bCs/>
                <w:iCs/>
                <w:szCs w:val="24"/>
                <w:lang w:eastAsia="lv-LV"/>
              </w:rPr>
              <w:t xml:space="preserve"> </w:t>
            </w:r>
            <w:r w:rsidR="00E01B1D">
              <w:rPr>
                <w:rFonts w:eastAsia="Times New Roman" w:cs="Times New Roman"/>
                <w:bCs/>
                <w:iCs/>
                <w:szCs w:val="24"/>
                <w:lang w:eastAsia="lv-LV"/>
              </w:rPr>
              <w:t>"</w:t>
            </w:r>
            <w:r w:rsidR="00D813E6">
              <w:rPr>
                <w:rFonts w:eastAsia="Times New Roman" w:cs="Times New Roman"/>
                <w:bCs/>
                <w:iCs/>
                <w:szCs w:val="24"/>
                <w:lang w:eastAsia="lv-LV"/>
              </w:rPr>
              <w:t>latu</w:t>
            </w:r>
            <w:r w:rsidR="00E01B1D">
              <w:rPr>
                <w:rFonts w:eastAsia="Times New Roman" w:cs="Times New Roman"/>
                <w:bCs/>
                <w:iCs/>
                <w:szCs w:val="24"/>
                <w:lang w:eastAsia="lv-LV"/>
              </w:rPr>
              <w:t>"</w:t>
            </w:r>
            <w:r w:rsidR="000F38FC" w:rsidRPr="00216228">
              <w:rPr>
                <w:rFonts w:eastAsia="Times New Roman" w:cs="Times New Roman"/>
                <w:bCs/>
                <w:iCs/>
                <w:szCs w:val="24"/>
                <w:lang w:eastAsia="lv-LV"/>
              </w:rPr>
              <w:t xml:space="preserve"> ar </w:t>
            </w:r>
            <w:r w:rsidR="00D813E6">
              <w:rPr>
                <w:rFonts w:eastAsia="Times New Roman" w:cs="Times New Roman"/>
                <w:bCs/>
                <w:iCs/>
                <w:szCs w:val="24"/>
                <w:lang w:eastAsia="lv-LV"/>
              </w:rPr>
              <w:t xml:space="preserve">attiecīgi konvertētiem </w:t>
            </w:r>
            <w:r>
              <w:rPr>
                <w:rFonts w:eastAsia="Times New Roman" w:cs="Times New Roman"/>
                <w:bCs/>
                <w:iCs/>
                <w:szCs w:val="24"/>
                <w:lang w:eastAsia="lv-LV"/>
              </w:rPr>
              <w:t xml:space="preserve">skaitļiem </w:t>
            </w:r>
            <w:r w:rsidR="00D813E6">
              <w:rPr>
                <w:rFonts w:eastAsia="Times New Roman" w:cs="Times New Roman"/>
                <w:bCs/>
                <w:iCs/>
                <w:szCs w:val="24"/>
                <w:lang w:eastAsia="lv-LV"/>
              </w:rPr>
              <w:t xml:space="preserve">un </w:t>
            </w:r>
            <w:r w:rsidR="000F38FC" w:rsidRPr="00216228">
              <w:rPr>
                <w:rFonts w:eastAsia="Times New Roman" w:cs="Times New Roman"/>
                <w:bCs/>
                <w:iCs/>
                <w:szCs w:val="24"/>
                <w:lang w:eastAsia="lv-LV"/>
              </w:rPr>
              <w:t xml:space="preserve">vārdu </w:t>
            </w:r>
            <w:r w:rsidR="00E01B1D">
              <w:rPr>
                <w:rFonts w:eastAsia="Times New Roman" w:cs="Times New Roman"/>
                <w:bCs/>
                <w:iCs/>
                <w:szCs w:val="24"/>
                <w:lang w:eastAsia="lv-LV"/>
              </w:rPr>
              <w:t>"</w:t>
            </w:r>
            <w:r w:rsidR="000F38FC" w:rsidRPr="005C6979">
              <w:rPr>
                <w:rFonts w:eastAsia="Times New Roman" w:cs="Times New Roman"/>
                <w:bCs/>
                <w:i/>
                <w:iCs/>
                <w:szCs w:val="24"/>
                <w:lang w:eastAsia="lv-LV"/>
              </w:rPr>
              <w:t>euro</w:t>
            </w:r>
            <w:r w:rsidR="00E01B1D">
              <w:rPr>
                <w:rFonts w:eastAsia="Times New Roman" w:cs="Times New Roman"/>
                <w:bCs/>
                <w:iCs/>
                <w:szCs w:val="24"/>
                <w:lang w:eastAsia="lv-LV"/>
              </w:rPr>
              <w:t>"</w:t>
            </w:r>
            <w:r w:rsidR="000F38FC" w:rsidRPr="00216228">
              <w:rPr>
                <w:rFonts w:eastAsia="Times New Roman" w:cs="Times New Roman"/>
                <w:bCs/>
                <w:iCs/>
                <w:szCs w:val="24"/>
                <w:lang w:eastAsia="lv-LV"/>
              </w:rPr>
              <w:t>.</w:t>
            </w:r>
            <w:r w:rsidR="005C6979">
              <w:rPr>
                <w:rFonts w:eastAsia="Times New Roman" w:cs="Times New Roman"/>
                <w:bCs/>
                <w:iCs/>
                <w:szCs w:val="24"/>
                <w:lang w:eastAsia="lv-LV"/>
              </w:rPr>
              <w:t xml:space="preserve"> </w:t>
            </w:r>
            <w:r w:rsidR="001E0977">
              <w:t>Noteikumu projekts paredz</w:t>
            </w:r>
            <w:r w:rsidR="001E0977">
              <w:rPr>
                <w:rFonts w:eastAsia="Times New Roman" w:cs="Times New Roman"/>
                <w:bCs/>
                <w:iCs/>
                <w:szCs w:val="24"/>
                <w:lang w:eastAsia="lv-LV"/>
              </w:rPr>
              <w:t xml:space="preserve"> precizēt normas attiecībā uz publikācijām </w:t>
            </w:r>
            <w:r w:rsidR="00E01B1D">
              <w:rPr>
                <w:rFonts w:eastAsia="Times New Roman" w:cs="Times New Roman"/>
                <w:bCs/>
                <w:iCs/>
                <w:szCs w:val="24"/>
                <w:lang w:eastAsia="lv-LV"/>
              </w:rPr>
              <w:t>"</w:t>
            </w:r>
            <w:r w:rsidR="001E0977">
              <w:rPr>
                <w:rFonts w:eastAsia="Times New Roman" w:cs="Times New Roman"/>
                <w:bCs/>
                <w:iCs/>
                <w:szCs w:val="24"/>
                <w:lang w:eastAsia="lv-LV"/>
              </w:rPr>
              <w:t>Latvijas Vēstnesī</w:t>
            </w:r>
            <w:r w:rsidR="00E01B1D">
              <w:rPr>
                <w:rFonts w:eastAsia="Times New Roman" w:cs="Times New Roman"/>
                <w:bCs/>
                <w:iCs/>
                <w:szCs w:val="24"/>
                <w:lang w:eastAsia="lv-LV"/>
              </w:rPr>
              <w:t>"</w:t>
            </w:r>
            <w:r w:rsidR="001E0977">
              <w:rPr>
                <w:rFonts w:eastAsia="Times New Roman" w:cs="Times New Roman"/>
                <w:bCs/>
                <w:iCs/>
                <w:szCs w:val="24"/>
                <w:lang w:eastAsia="lv-LV"/>
              </w:rPr>
              <w:t>, ņemot vērā, ka</w:t>
            </w:r>
            <w:r w:rsidR="001E0977" w:rsidRPr="001E0977">
              <w:rPr>
                <w:rFonts w:eastAsia="Times New Roman" w:cs="Times New Roman"/>
                <w:bCs/>
                <w:iCs/>
                <w:szCs w:val="24"/>
                <w:lang w:eastAsia="lv-LV"/>
              </w:rPr>
              <w:t xml:space="preserve"> dru</w:t>
            </w:r>
            <w:r w:rsidR="001E0977">
              <w:rPr>
                <w:rFonts w:eastAsia="Times New Roman" w:cs="Times New Roman"/>
                <w:bCs/>
                <w:iCs/>
                <w:szCs w:val="24"/>
                <w:lang w:eastAsia="lv-LV"/>
              </w:rPr>
              <w:t>kātais laikraksts vairs neiznāk, un publikācijas</w:t>
            </w:r>
            <w:r w:rsidR="001E0977" w:rsidRPr="001E0977">
              <w:rPr>
                <w:rFonts w:eastAsia="Times New Roman" w:cs="Times New Roman"/>
                <w:bCs/>
                <w:iCs/>
                <w:szCs w:val="24"/>
                <w:lang w:eastAsia="lv-LV"/>
              </w:rPr>
              <w:t xml:space="preserve"> atbilstoši Oficiālo publikāciju</w:t>
            </w:r>
            <w:r w:rsidR="001E0977">
              <w:rPr>
                <w:rFonts w:eastAsia="Times New Roman" w:cs="Times New Roman"/>
                <w:bCs/>
                <w:iCs/>
                <w:szCs w:val="24"/>
                <w:lang w:eastAsia="lv-LV"/>
              </w:rPr>
              <w:t xml:space="preserve"> </w:t>
            </w:r>
            <w:r w:rsidR="001E0977" w:rsidRPr="001E0977">
              <w:rPr>
                <w:rFonts w:eastAsia="Times New Roman" w:cs="Times New Roman"/>
                <w:bCs/>
                <w:iCs/>
                <w:szCs w:val="24"/>
                <w:lang w:eastAsia="lv-LV"/>
              </w:rPr>
              <w:t>un tiesiskās informācijas  likumam ievietojam</w:t>
            </w:r>
            <w:r w:rsidR="001E0977">
              <w:rPr>
                <w:rFonts w:eastAsia="Times New Roman" w:cs="Times New Roman"/>
                <w:bCs/>
                <w:iCs/>
                <w:szCs w:val="24"/>
                <w:lang w:eastAsia="lv-LV"/>
              </w:rPr>
              <w:t>a</w:t>
            </w:r>
            <w:r w:rsidR="001E0977" w:rsidRPr="001E0977">
              <w:rPr>
                <w:rFonts w:eastAsia="Times New Roman" w:cs="Times New Roman"/>
                <w:bCs/>
                <w:iCs/>
                <w:szCs w:val="24"/>
                <w:lang w:eastAsia="lv-LV"/>
              </w:rPr>
              <w:t xml:space="preserve">s oficiālajā izdevumā </w:t>
            </w:r>
            <w:r w:rsidR="00E01B1D">
              <w:rPr>
                <w:rFonts w:eastAsia="Times New Roman" w:cs="Times New Roman"/>
                <w:bCs/>
                <w:iCs/>
                <w:szCs w:val="24"/>
                <w:lang w:eastAsia="lv-LV"/>
              </w:rPr>
              <w:t>"</w:t>
            </w:r>
            <w:r w:rsidR="001E0977" w:rsidRPr="001E0977">
              <w:rPr>
                <w:rFonts w:eastAsia="Times New Roman" w:cs="Times New Roman"/>
                <w:bCs/>
                <w:iCs/>
                <w:szCs w:val="24"/>
                <w:lang w:eastAsia="lv-LV"/>
              </w:rPr>
              <w:t>Latvijas Vēstnesis</w:t>
            </w:r>
            <w:r w:rsidR="00E01B1D">
              <w:rPr>
                <w:rFonts w:eastAsia="Times New Roman" w:cs="Times New Roman"/>
                <w:bCs/>
                <w:iCs/>
                <w:szCs w:val="24"/>
                <w:lang w:eastAsia="lv-LV"/>
              </w:rPr>
              <w:t>"</w:t>
            </w:r>
            <w:r w:rsidR="001E0977" w:rsidRPr="001E0977">
              <w:rPr>
                <w:rFonts w:eastAsia="Times New Roman" w:cs="Times New Roman"/>
                <w:bCs/>
                <w:iCs/>
                <w:szCs w:val="24"/>
                <w:lang w:eastAsia="lv-LV"/>
              </w:rPr>
              <w:t>.</w:t>
            </w:r>
            <w:r w:rsidR="005C6979">
              <w:rPr>
                <w:rFonts w:eastAsia="Times New Roman" w:cs="Times New Roman"/>
                <w:bCs/>
                <w:iCs/>
                <w:szCs w:val="24"/>
                <w:lang w:eastAsia="lv-LV"/>
              </w:rPr>
              <w:t xml:space="preserve"> </w:t>
            </w:r>
          </w:p>
        </w:tc>
      </w:tr>
      <w:tr w:rsidR="000F38FC" w:rsidRPr="00783675" w14:paraId="23125F18" w14:textId="77777777" w:rsidTr="002A0AD7">
        <w:tc>
          <w:tcPr>
            <w:tcW w:w="648" w:type="dxa"/>
          </w:tcPr>
          <w:p w14:paraId="23125F15"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5.</w:t>
            </w:r>
          </w:p>
        </w:tc>
        <w:tc>
          <w:tcPr>
            <w:tcW w:w="3288" w:type="dxa"/>
          </w:tcPr>
          <w:p w14:paraId="23125F16"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izstrādē iesaistītās institūcijas</w:t>
            </w:r>
          </w:p>
        </w:tc>
        <w:tc>
          <w:tcPr>
            <w:tcW w:w="5351" w:type="dxa"/>
          </w:tcPr>
          <w:p w14:paraId="23125F17" w14:textId="55B7F216" w:rsidR="000F38FC" w:rsidRPr="00783675" w:rsidRDefault="000F38FC" w:rsidP="005C6979">
            <w:pPr>
              <w:jc w:val="both"/>
              <w:rPr>
                <w:rFonts w:eastAsia="Times New Roman" w:cs="Times New Roman"/>
                <w:szCs w:val="24"/>
                <w:lang w:eastAsia="lv-LV"/>
              </w:rPr>
            </w:pPr>
            <w:r w:rsidRPr="00783675">
              <w:rPr>
                <w:rFonts w:eastAsia="Times New Roman" w:cs="Times New Roman"/>
                <w:szCs w:val="24"/>
                <w:lang w:eastAsia="lv-LV"/>
              </w:rPr>
              <w:t>Projekts šo jomu neskar</w:t>
            </w:r>
          </w:p>
        </w:tc>
      </w:tr>
      <w:tr w:rsidR="000F38FC" w:rsidRPr="00783675" w14:paraId="23125F1C" w14:textId="77777777" w:rsidTr="002A0AD7">
        <w:tc>
          <w:tcPr>
            <w:tcW w:w="648" w:type="dxa"/>
          </w:tcPr>
          <w:p w14:paraId="23125F19"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6.</w:t>
            </w:r>
          </w:p>
        </w:tc>
        <w:tc>
          <w:tcPr>
            <w:tcW w:w="3288" w:type="dxa"/>
          </w:tcPr>
          <w:p w14:paraId="23125F1A"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Iemesli, kādēļ netika nodrošināta sabiedrības līdzdalība</w:t>
            </w:r>
          </w:p>
        </w:tc>
        <w:tc>
          <w:tcPr>
            <w:tcW w:w="5351" w:type="dxa"/>
          </w:tcPr>
          <w:p w14:paraId="23125F1B" w14:textId="0CCF0CD6" w:rsidR="000F38FC" w:rsidRPr="00783675" w:rsidRDefault="000F38FC" w:rsidP="005C6979">
            <w:pPr>
              <w:jc w:val="both"/>
              <w:rPr>
                <w:rFonts w:eastAsia="Times New Roman" w:cs="Times New Roman"/>
                <w:szCs w:val="24"/>
                <w:lang w:eastAsia="lv-LV"/>
              </w:rPr>
            </w:pPr>
            <w:r w:rsidRPr="00783675">
              <w:rPr>
                <w:rFonts w:eastAsia="Times New Roman" w:cs="Times New Roman"/>
                <w:iCs/>
                <w:szCs w:val="24"/>
                <w:lang w:eastAsia="lv-LV"/>
              </w:rPr>
              <w:t xml:space="preserve">Sabiedrības līdzdalība noteikumu projekta izstrādes gaitā nebija nepieciešama, jo </w:t>
            </w:r>
            <w:r w:rsidR="00D813E6">
              <w:rPr>
                <w:rFonts w:eastAsia="Times New Roman" w:cs="Times New Roman"/>
                <w:iCs/>
                <w:szCs w:val="24"/>
                <w:lang w:eastAsia="lv-LV"/>
              </w:rPr>
              <w:t>sagatavotie grozījumi</w:t>
            </w:r>
            <w:r w:rsidR="00D813E6" w:rsidRPr="00783675">
              <w:rPr>
                <w:rFonts w:eastAsia="Times New Roman" w:cs="Times New Roman"/>
                <w:iCs/>
                <w:szCs w:val="24"/>
                <w:lang w:eastAsia="lv-LV"/>
              </w:rPr>
              <w:t xml:space="preserve"> </w:t>
            </w:r>
            <w:r w:rsidRPr="00783675">
              <w:rPr>
                <w:rFonts w:eastAsia="Times New Roman" w:cs="Times New Roman"/>
                <w:iCs/>
                <w:szCs w:val="24"/>
                <w:lang w:eastAsia="lv-LV"/>
              </w:rPr>
              <w:t>ir tehnisk</w:t>
            </w:r>
            <w:r w:rsidR="00D813E6">
              <w:rPr>
                <w:rFonts w:eastAsia="Times New Roman" w:cs="Times New Roman"/>
                <w:iCs/>
                <w:szCs w:val="24"/>
                <w:lang w:eastAsia="lv-LV"/>
              </w:rPr>
              <w:t xml:space="preserve">a rakstura </w:t>
            </w:r>
            <w:r w:rsidRPr="00783675">
              <w:rPr>
                <w:rFonts w:eastAsia="Times New Roman" w:cs="Times New Roman"/>
                <w:iCs/>
                <w:szCs w:val="24"/>
                <w:lang w:eastAsia="lv-LV"/>
              </w:rPr>
              <w:t xml:space="preserve">un sabiedrību </w:t>
            </w:r>
            <w:r w:rsidR="00D813E6">
              <w:rPr>
                <w:rFonts w:eastAsia="Times New Roman" w:cs="Times New Roman"/>
                <w:iCs/>
                <w:szCs w:val="24"/>
                <w:lang w:eastAsia="lv-LV"/>
              </w:rPr>
              <w:t xml:space="preserve">tiešā veidā </w:t>
            </w:r>
            <w:r w:rsidRPr="00783675">
              <w:rPr>
                <w:rFonts w:eastAsia="Times New Roman" w:cs="Times New Roman"/>
                <w:iCs/>
                <w:szCs w:val="24"/>
                <w:lang w:eastAsia="lv-LV"/>
              </w:rPr>
              <w:t xml:space="preserve">neietekmē </w:t>
            </w:r>
          </w:p>
        </w:tc>
      </w:tr>
      <w:tr w:rsidR="000F38FC" w:rsidRPr="00783675" w14:paraId="23125F20" w14:textId="77777777" w:rsidTr="002A0AD7">
        <w:tc>
          <w:tcPr>
            <w:tcW w:w="648" w:type="dxa"/>
          </w:tcPr>
          <w:p w14:paraId="23125F1D"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7.</w:t>
            </w:r>
          </w:p>
        </w:tc>
        <w:tc>
          <w:tcPr>
            <w:tcW w:w="3288" w:type="dxa"/>
          </w:tcPr>
          <w:p w14:paraId="23125F1E" w14:textId="77777777" w:rsidR="000F38FC" w:rsidRPr="00783675" w:rsidRDefault="000F38FC" w:rsidP="002A0AD7">
            <w:pPr>
              <w:jc w:val="both"/>
              <w:rPr>
                <w:rFonts w:eastAsia="Times New Roman" w:cs="Times New Roman"/>
                <w:szCs w:val="24"/>
                <w:lang w:eastAsia="lv-LV"/>
              </w:rPr>
            </w:pPr>
            <w:r w:rsidRPr="00783675">
              <w:rPr>
                <w:rFonts w:eastAsia="Times New Roman" w:cs="Times New Roman"/>
                <w:szCs w:val="24"/>
                <w:lang w:eastAsia="lv-LV"/>
              </w:rPr>
              <w:t>Cita informācija</w:t>
            </w:r>
          </w:p>
        </w:tc>
        <w:tc>
          <w:tcPr>
            <w:tcW w:w="5351" w:type="dxa"/>
          </w:tcPr>
          <w:p w14:paraId="23125F1F" w14:textId="7E2C3538" w:rsidR="000F38FC" w:rsidRPr="00783675" w:rsidRDefault="000F38FC" w:rsidP="005C6979">
            <w:pPr>
              <w:jc w:val="both"/>
              <w:rPr>
                <w:rFonts w:eastAsia="Times New Roman" w:cs="Times New Roman"/>
                <w:szCs w:val="24"/>
                <w:lang w:eastAsia="lv-LV"/>
              </w:rPr>
            </w:pPr>
            <w:r w:rsidRPr="00783675">
              <w:rPr>
                <w:rFonts w:eastAsia="Times New Roman" w:cs="Times New Roman"/>
                <w:szCs w:val="24"/>
                <w:lang w:eastAsia="lv-LV"/>
              </w:rPr>
              <w:t>Nav</w:t>
            </w:r>
          </w:p>
        </w:tc>
      </w:tr>
    </w:tbl>
    <w:p w14:paraId="23125F21" w14:textId="77777777" w:rsidR="000F38FC" w:rsidRPr="00783675" w:rsidRDefault="000F38FC" w:rsidP="000F38FC">
      <w:pPr>
        <w:jc w:val="both"/>
        <w:rPr>
          <w:rFonts w:eastAsia="Times New Roman" w:cs="Times New Roman"/>
          <w:szCs w:val="24"/>
          <w:lang w:eastAsia="lv-LV"/>
        </w:rPr>
      </w:pPr>
    </w:p>
    <w:p w14:paraId="23125F22" w14:textId="77777777" w:rsidR="000F38FC" w:rsidRPr="00783675" w:rsidRDefault="000F38FC" w:rsidP="000F38FC">
      <w:pPr>
        <w:jc w:val="both"/>
        <w:rPr>
          <w:rFonts w:eastAsia="Times New Roman" w:cs="Times New Roman"/>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386"/>
      </w:tblGrid>
      <w:tr w:rsidR="000F38FC" w:rsidRPr="00783675" w14:paraId="23125F24" w14:textId="77777777" w:rsidTr="002A0AD7">
        <w:tc>
          <w:tcPr>
            <w:tcW w:w="9322" w:type="dxa"/>
            <w:gridSpan w:val="3"/>
            <w:shd w:val="clear" w:color="auto" w:fill="auto"/>
          </w:tcPr>
          <w:p w14:paraId="23125F23" w14:textId="77777777" w:rsidR="000F38FC" w:rsidRPr="00783675" w:rsidRDefault="000F38FC" w:rsidP="002A0AD7">
            <w:pPr>
              <w:jc w:val="center"/>
              <w:rPr>
                <w:rFonts w:eastAsia="Times New Roman" w:cs="Times New Roman"/>
                <w:szCs w:val="24"/>
                <w:lang w:eastAsia="lv-LV"/>
              </w:rPr>
            </w:pPr>
            <w:r w:rsidRPr="00783675">
              <w:rPr>
                <w:rFonts w:eastAsia="Times New Roman" w:cs="Times New Roman"/>
                <w:b/>
                <w:bCs/>
                <w:szCs w:val="24"/>
                <w:lang w:eastAsia="lv-LV"/>
              </w:rPr>
              <w:t> VII. Tiesību akta projekta izpildes nodrošināšana un tās ietekme uz institūcijām</w:t>
            </w:r>
          </w:p>
        </w:tc>
      </w:tr>
      <w:tr w:rsidR="000F38FC" w:rsidRPr="00783675" w14:paraId="23125F28" w14:textId="77777777" w:rsidTr="002A0AD7">
        <w:trPr>
          <w:trHeight w:val="427"/>
        </w:trPr>
        <w:tc>
          <w:tcPr>
            <w:tcW w:w="534" w:type="dxa"/>
            <w:shd w:val="clear" w:color="auto" w:fill="auto"/>
          </w:tcPr>
          <w:p w14:paraId="23125F25" w14:textId="77777777" w:rsidR="000F38FC" w:rsidRPr="00783675" w:rsidRDefault="000F38FC" w:rsidP="002A0AD7">
            <w:pPr>
              <w:numPr>
                <w:ilvl w:val="0"/>
                <w:numId w:val="1"/>
              </w:numPr>
              <w:tabs>
                <w:tab w:val="left" w:pos="57"/>
                <w:tab w:val="left" w:pos="225"/>
              </w:tabs>
              <w:jc w:val="both"/>
              <w:rPr>
                <w:rFonts w:eastAsia="Times New Roman" w:cs="Times New Roman"/>
                <w:szCs w:val="24"/>
                <w:lang w:eastAsia="lv-LV"/>
              </w:rPr>
            </w:pPr>
          </w:p>
        </w:tc>
        <w:tc>
          <w:tcPr>
            <w:tcW w:w="3402" w:type="dxa"/>
            <w:shd w:val="clear" w:color="auto" w:fill="auto"/>
            <w:hideMark/>
          </w:tcPr>
          <w:p w14:paraId="23125F26"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izpildē iesaistītās institūcijas</w:t>
            </w:r>
          </w:p>
        </w:tc>
        <w:tc>
          <w:tcPr>
            <w:tcW w:w="5386" w:type="dxa"/>
            <w:shd w:val="clear" w:color="auto" w:fill="auto"/>
            <w:hideMark/>
          </w:tcPr>
          <w:p w14:paraId="23125F27" w14:textId="0102B07D" w:rsidR="000F38FC" w:rsidRPr="00783675" w:rsidRDefault="00E3530A" w:rsidP="005C6979">
            <w:pPr>
              <w:ind w:right="127"/>
              <w:jc w:val="both"/>
              <w:rPr>
                <w:rFonts w:eastAsia="Times New Roman" w:cs="Times New Roman"/>
                <w:szCs w:val="24"/>
                <w:lang w:eastAsia="lv-LV"/>
              </w:rPr>
            </w:pPr>
            <w:r>
              <w:rPr>
                <w:rFonts w:eastAsia="Times New Roman" w:cs="Times New Roman"/>
                <w:szCs w:val="24"/>
                <w:lang w:eastAsia="lv-LV"/>
              </w:rPr>
              <w:t>Visas</w:t>
            </w:r>
            <w:r w:rsidR="000F38FC" w:rsidRPr="00783675">
              <w:rPr>
                <w:rFonts w:eastAsia="Times New Roman" w:cs="Times New Roman"/>
                <w:szCs w:val="24"/>
                <w:lang w:eastAsia="lv-LV"/>
              </w:rPr>
              <w:t xml:space="preserve"> </w:t>
            </w:r>
            <w:r>
              <w:rPr>
                <w:rFonts w:eastAsia="Times New Roman" w:cs="Times New Roman"/>
                <w:szCs w:val="24"/>
                <w:lang w:eastAsia="lv-LV"/>
              </w:rPr>
              <w:t>tiešās pārvaldes</w:t>
            </w:r>
            <w:r w:rsidR="000F38FC" w:rsidRPr="00783675">
              <w:rPr>
                <w:rFonts w:eastAsia="Times New Roman" w:cs="Times New Roman"/>
                <w:szCs w:val="24"/>
                <w:lang w:eastAsia="lv-LV"/>
              </w:rPr>
              <w:t xml:space="preserve"> iestādes</w:t>
            </w:r>
          </w:p>
        </w:tc>
      </w:tr>
      <w:tr w:rsidR="000F38FC" w:rsidRPr="00783675" w14:paraId="23125F2C" w14:textId="77777777" w:rsidTr="002A0AD7">
        <w:trPr>
          <w:trHeight w:val="463"/>
        </w:trPr>
        <w:tc>
          <w:tcPr>
            <w:tcW w:w="534" w:type="dxa"/>
            <w:shd w:val="clear" w:color="auto" w:fill="auto"/>
          </w:tcPr>
          <w:p w14:paraId="23125F29" w14:textId="77777777" w:rsidR="000F38FC" w:rsidRPr="00783675" w:rsidRDefault="000F38FC" w:rsidP="002A0AD7">
            <w:pPr>
              <w:numPr>
                <w:ilvl w:val="0"/>
                <w:numId w:val="1"/>
              </w:numPr>
              <w:rPr>
                <w:rFonts w:eastAsia="Times New Roman" w:cs="Times New Roman"/>
                <w:szCs w:val="24"/>
                <w:lang w:eastAsia="lv-LV"/>
              </w:rPr>
            </w:pPr>
          </w:p>
        </w:tc>
        <w:tc>
          <w:tcPr>
            <w:tcW w:w="3402" w:type="dxa"/>
            <w:shd w:val="clear" w:color="auto" w:fill="auto"/>
            <w:hideMark/>
          </w:tcPr>
          <w:p w14:paraId="23125F2A"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izpildes ietekme uz pārvaldes funkcijām</w:t>
            </w:r>
          </w:p>
        </w:tc>
        <w:tc>
          <w:tcPr>
            <w:tcW w:w="5386" w:type="dxa"/>
            <w:shd w:val="clear" w:color="auto" w:fill="auto"/>
            <w:hideMark/>
          </w:tcPr>
          <w:p w14:paraId="23125F2B" w14:textId="5F396AB9" w:rsidR="000F38FC" w:rsidRPr="00783675" w:rsidRDefault="00E3530A" w:rsidP="005C6979">
            <w:pPr>
              <w:ind w:right="127"/>
              <w:jc w:val="both"/>
              <w:rPr>
                <w:rFonts w:eastAsia="Times New Roman" w:cs="Times New Roman"/>
                <w:szCs w:val="24"/>
                <w:lang w:eastAsia="lv-LV"/>
              </w:rPr>
            </w:pPr>
            <w:r>
              <w:rPr>
                <w:rFonts w:cs="Times New Roman"/>
                <w:szCs w:val="24"/>
              </w:rPr>
              <w:t>Projekta īstenošanu nodrošinās visas tiešās pārvaldes iestādes esošo funkciju ietvaros</w:t>
            </w:r>
          </w:p>
        </w:tc>
      </w:tr>
      <w:tr w:rsidR="000F38FC" w:rsidRPr="00783675" w14:paraId="23125F31" w14:textId="77777777" w:rsidTr="002A0AD7">
        <w:trPr>
          <w:trHeight w:val="725"/>
        </w:trPr>
        <w:tc>
          <w:tcPr>
            <w:tcW w:w="534" w:type="dxa"/>
            <w:shd w:val="clear" w:color="auto" w:fill="auto"/>
          </w:tcPr>
          <w:p w14:paraId="23125F2D" w14:textId="77777777" w:rsidR="000F38FC" w:rsidRPr="00783675" w:rsidRDefault="000F38FC" w:rsidP="002A0AD7">
            <w:pPr>
              <w:numPr>
                <w:ilvl w:val="0"/>
                <w:numId w:val="1"/>
              </w:numPr>
              <w:rPr>
                <w:rFonts w:eastAsia="Times New Roman" w:cs="Times New Roman"/>
                <w:szCs w:val="24"/>
                <w:lang w:eastAsia="lv-LV"/>
              </w:rPr>
            </w:pPr>
          </w:p>
        </w:tc>
        <w:tc>
          <w:tcPr>
            <w:tcW w:w="3402" w:type="dxa"/>
            <w:shd w:val="clear" w:color="auto" w:fill="auto"/>
            <w:hideMark/>
          </w:tcPr>
          <w:p w14:paraId="23125F2E"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izpildes ietekme uz pārvaldes institucionālo struktūru.</w:t>
            </w:r>
          </w:p>
          <w:p w14:paraId="23125F2F"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Jaunu institūciju izveide</w:t>
            </w:r>
          </w:p>
        </w:tc>
        <w:tc>
          <w:tcPr>
            <w:tcW w:w="5386" w:type="dxa"/>
            <w:shd w:val="clear" w:color="auto" w:fill="auto"/>
            <w:hideMark/>
          </w:tcPr>
          <w:p w14:paraId="23125F30" w14:textId="3EC00A4B" w:rsidR="000F38FC" w:rsidRPr="00783675" w:rsidRDefault="005C6979" w:rsidP="002A0AD7">
            <w:pPr>
              <w:ind w:right="127"/>
              <w:jc w:val="both"/>
              <w:rPr>
                <w:rFonts w:eastAsia="Times New Roman" w:cs="Times New Roman"/>
                <w:szCs w:val="24"/>
                <w:lang w:eastAsia="lv-LV"/>
              </w:rPr>
            </w:pPr>
            <w:r>
              <w:rPr>
                <w:rFonts w:cs="Times New Roman"/>
                <w:szCs w:val="24"/>
              </w:rPr>
              <w:t>Projekts šo jomu neskar</w:t>
            </w:r>
          </w:p>
        </w:tc>
      </w:tr>
      <w:tr w:rsidR="000F38FC" w:rsidRPr="00783675" w14:paraId="23125F36" w14:textId="77777777" w:rsidTr="002A0AD7">
        <w:trPr>
          <w:trHeight w:val="780"/>
        </w:trPr>
        <w:tc>
          <w:tcPr>
            <w:tcW w:w="534" w:type="dxa"/>
            <w:shd w:val="clear" w:color="auto" w:fill="auto"/>
          </w:tcPr>
          <w:p w14:paraId="23125F32" w14:textId="77777777" w:rsidR="000F38FC" w:rsidRPr="00783675" w:rsidRDefault="000F38FC" w:rsidP="002A0AD7">
            <w:pPr>
              <w:numPr>
                <w:ilvl w:val="0"/>
                <w:numId w:val="1"/>
              </w:numPr>
              <w:rPr>
                <w:rFonts w:eastAsia="Times New Roman" w:cs="Times New Roman"/>
                <w:szCs w:val="24"/>
                <w:lang w:eastAsia="lv-LV"/>
              </w:rPr>
            </w:pPr>
          </w:p>
        </w:tc>
        <w:tc>
          <w:tcPr>
            <w:tcW w:w="3402" w:type="dxa"/>
            <w:shd w:val="clear" w:color="auto" w:fill="auto"/>
            <w:hideMark/>
          </w:tcPr>
          <w:p w14:paraId="23125F33"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izpildes ietekme uz pārvaldes institucionālo struktūru.</w:t>
            </w:r>
          </w:p>
          <w:p w14:paraId="23125F34"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Esošu institūciju likvidācija</w:t>
            </w:r>
          </w:p>
        </w:tc>
        <w:tc>
          <w:tcPr>
            <w:tcW w:w="5386" w:type="dxa"/>
            <w:shd w:val="clear" w:color="auto" w:fill="auto"/>
            <w:hideMark/>
          </w:tcPr>
          <w:p w14:paraId="23125F35" w14:textId="6857BA48" w:rsidR="000F38FC" w:rsidRPr="00783675" w:rsidRDefault="000F38FC" w:rsidP="005C6979">
            <w:pPr>
              <w:ind w:right="127"/>
              <w:rPr>
                <w:rFonts w:eastAsia="Times New Roman" w:cs="Times New Roman"/>
                <w:szCs w:val="24"/>
                <w:highlight w:val="green"/>
                <w:lang w:eastAsia="lv-LV"/>
              </w:rPr>
            </w:pPr>
            <w:r w:rsidRPr="00783675">
              <w:rPr>
                <w:rFonts w:cs="Times New Roman"/>
                <w:szCs w:val="24"/>
              </w:rPr>
              <w:t>Projekts šo jomu neskar</w:t>
            </w:r>
          </w:p>
        </w:tc>
      </w:tr>
    </w:tbl>
    <w:p w14:paraId="4337B990" w14:textId="77777777" w:rsidR="005C6979" w:rsidRDefault="005C6979">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386"/>
      </w:tblGrid>
      <w:tr w:rsidR="000F38FC" w:rsidRPr="00783675" w14:paraId="23125F3B" w14:textId="77777777" w:rsidTr="002A0AD7">
        <w:trPr>
          <w:trHeight w:val="703"/>
        </w:trPr>
        <w:tc>
          <w:tcPr>
            <w:tcW w:w="534" w:type="dxa"/>
            <w:shd w:val="clear" w:color="auto" w:fill="auto"/>
          </w:tcPr>
          <w:p w14:paraId="23125F37" w14:textId="32640C46" w:rsidR="000F38FC" w:rsidRPr="00783675" w:rsidRDefault="000F38FC" w:rsidP="002A0AD7">
            <w:pPr>
              <w:numPr>
                <w:ilvl w:val="0"/>
                <w:numId w:val="1"/>
              </w:numPr>
              <w:rPr>
                <w:rFonts w:eastAsia="Times New Roman" w:cs="Times New Roman"/>
                <w:szCs w:val="24"/>
                <w:lang w:eastAsia="lv-LV"/>
              </w:rPr>
            </w:pPr>
          </w:p>
        </w:tc>
        <w:tc>
          <w:tcPr>
            <w:tcW w:w="3402" w:type="dxa"/>
            <w:shd w:val="clear" w:color="auto" w:fill="auto"/>
            <w:hideMark/>
          </w:tcPr>
          <w:p w14:paraId="23125F38"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Projekta izpildes ietekme uz pārvaldes institucionālo struktūru.</w:t>
            </w:r>
          </w:p>
          <w:p w14:paraId="23125F39"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Esošu institūciju reorganizācija</w:t>
            </w:r>
          </w:p>
        </w:tc>
        <w:tc>
          <w:tcPr>
            <w:tcW w:w="5386" w:type="dxa"/>
            <w:shd w:val="clear" w:color="auto" w:fill="auto"/>
            <w:hideMark/>
          </w:tcPr>
          <w:p w14:paraId="23125F3A" w14:textId="08925099" w:rsidR="000F38FC" w:rsidRPr="00783675" w:rsidRDefault="000F38FC" w:rsidP="005C6979">
            <w:pPr>
              <w:ind w:right="127"/>
              <w:rPr>
                <w:rFonts w:eastAsia="Times New Roman" w:cs="Times New Roman"/>
                <w:szCs w:val="24"/>
                <w:lang w:eastAsia="lv-LV"/>
              </w:rPr>
            </w:pPr>
            <w:r w:rsidRPr="00783675">
              <w:rPr>
                <w:rFonts w:cs="Times New Roman"/>
                <w:szCs w:val="24"/>
              </w:rPr>
              <w:t>Projekts šo jomu neskar</w:t>
            </w:r>
          </w:p>
        </w:tc>
      </w:tr>
      <w:tr w:rsidR="000F38FC" w:rsidRPr="00783675" w14:paraId="23125F3F" w14:textId="77777777" w:rsidTr="002A0AD7">
        <w:trPr>
          <w:trHeight w:val="267"/>
        </w:trPr>
        <w:tc>
          <w:tcPr>
            <w:tcW w:w="534" w:type="dxa"/>
            <w:shd w:val="clear" w:color="auto" w:fill="auto"/>
          </w:tcPr>
          <w:p w14:paraId="23125F3C" w14:textId="77777777" w:rsidR="000F38FC" w:rsidRPr="00783675" w:rsidRDefault="000F38FC" w:rsidP="002A0AD7">
            <w:pPr>
              <w:numPr>
                <w:ilvl w:val="0"/>
                <w:numId w:val="1"/>
              </w:numPr>
              <w:rPr>
                <w:rFonts w:eastAsia="Times New Roman" w:cs="Times New Roman"/>
                <w:szCs w:val="24"/>
                <w:lang w:eastAsia="lv-LV"/>
              </w:rPr>
            </w:pPr>
          </w:p>
        </w:tc>
        <w:tc>
          <w:tcPr>
            <w:tcW w:w="3402" w:type="dxa"/>
            <w:shd w:val="clear" w:color="auto" w:fill="auto"/>
            <w:hideMark/>
          </w:tcPr>
          <w:p w14:paraId="23125F3D" w14:textId="77777777" w:rsidR="000F38FC" w:rsidRPr="00783675" w:rsidRDefault="000F38FC" w:rsidP="002A0AD7">
            <w:pPr>
              <w:rPr>
                <w:rFonts w:eastAsia="Times New Roman" w:cs="Times New Roman"/>
                <w:szCs w:val="24"/>
                <w:lang w:eastAsia="lv-LV"/>
              </w:rPr>
            </w:pPr>
            <w:r w:rsidRPr="00783675">
              <w:rPr>
                <w:rFonts w:eastAsia="Times New Roman" w:cs="Times New Roman"/>
                <w:szCs w:val="24"/>
                <w:lang w:eastAsia="lv-LV"/>
              </w:rPr>
              <w:t> Cita informācija</w:t>
            </w:r>
          </w:p>
        </w:tc>
        <w:tc>
          <w:tcPr>
            <w:tcW w:w="5386" w:type="dxa"/>
            <w:shd w:val="clear" w:color="auto" w:fill="auto"/>
            <w:hideMark/>
          </w:tcPr>
          <w:p w14:paraId="23125F3E" w14:textId="702ABB65" w:rsidR="000F38FC" w:rsidRPr="00783675" w:rsidRDefault="000F38FC" w:rsidP="005C6979">
            <w:pPr>
              <w:ind w:right="127"/>
              <w:jc w:val="both"/>
              <w:rPr>
                <w:rFonts w:eastAsia="Times New Roman" w:cs="Times New Roman"/>
                <w:szCs w:val="24"/>
                <w:lang w:eastAsia="lv-LV"/>
              </w:rPr>
            </w:pPr>
            <w:r w:rsidRPr="00783675">
              <w:rPr>
                <w:rFonts w:eastAsia="Times New Roman" w:cs="Times New Roman"/>
                <w:szCs w:val="24"/>
                <w:lang w:eastAsia="lv-LV"/>
              </w:rPr>
              <w:t>Nav</w:t>
            </w:r>
          </w:p>
        </w:tc>
      </w:tr>
    </w:tbl>
    <w:p w14:paraId="23125F40" w14:textId="77777777" w:rsidR="000F38FC" w:rsidRPr="00783675" w:rsidRDefault="000F38FC" w:rsidP="000F38FC">
      <w:pPr>
        <w:jc w:val="both"/>
        <w:rPr>
          <w:rFonts w:eastAsia="Times New Roman" w:cs="Times New Roman"/>
          <w:szCs w:val="24"/>
          <w:lang w:eastAsia="lv-LV"/>
        </w:rPr>
      </w:pPr>
    </w:p>
    <w:p w14:paraId="23125F41" w14:textId="7DABDA69" w:rsidR="00EA63B7" w:rsidRPr="00EA63B7" w:rsidRDefault="00EA63B7" w:rsidP="00EA63B7">
      <w:pPr>
        <w:jc w:val="both"/>
        <w:rPr>
          <w:rFonts w:eastAsia="Times New Roman" w:cs="Times New Roman"/>
          <w:i/>
          <w:szCs w:val="24"/>
          <w:lang w:eastAsia="lv-LV"/>
        </w:rPr>
      </w:pPr>
      <w:r w:rsidRPr="00EA63B7">
        <w:rPr>
          <w:rFonts w:eastAsia="Times New Roman" w:cs="Times New Roman"/>
          <w:i/>
          <w:szCs w:val="24"/>
          <w:lang w:eastAsia="lv-LV"/>
        </w:rPr>
        <w:t>Anotā</w:t>
      </w:r>
      <w:r w:rsidR="005C6979">
        <w:rPr>
          <w:rFonts w:eastAsia="Times New Roman" w:cs="Times New Roman"/>
          <w:i/>
          <w:szCs w:val="24"/>
          <w:lang w:eastAsia="lv-LV"/>
        </w:rPr>
        <w:t xml:space="preserve">cijas III, IV, V un VI sadaļa  </w:t>
      </w:r>
      <w:r w:rsidR="005C6979" w:rsidRPr="00106004">
        <w:rPr>
          <w:szCs w:val="24"/>
        </w:rPr>
        <w:t>–</w:t>
      </w:r>
      <w:r w:rsidR="005C6979">
        <w:rPr>
          <w:szCs w:val="24"/>
        </w:rPr>
        <w:t xml:space="preserve"> </w:t>
      </w:r>
      <w:r w:rsidRPr="00EA63B7">
        <w:rPr>
          <w:rFonts w:eastAsia="Times New Roman" w:cs="Times New Roman"/>
          <w:i/>
          <w:szCs w:val="24"/>
          <w:lang w:eastAsia="lv-LV"/>
        </w:rPr>
        <w:t>projekts šīs jomas neskar.</w:t>
      </w:r>
    </w:p>
    <w:p w14:paraId="23125F42" w14:textId="77777777" w:rsidR="000F38FC" w:rsidRPr="00783675" w:rsidRDefault="000F38FC" w:rsidP="000F38FC">
      <w:pPr>
        <w:jc w:val="both"/>
        <w:rPr>
          <w:rFonts w:eastAsia="Times New Roman" w:cs="Times New Roman"/>
          <w:szCs w:val="24"/>
          <w:lang w:eastAsia="lv-LV"/>
        </w:rPr>
      </w:pPr>
    </w:p>
    <w:p w14:paraId="23125F43" w14:textId="77777777" w:rsidR="000F38FC" w:rsidRPr="00783675" w:rsidRDefault="000F38FC" w:rsidP="000F38FC">
      <w:pPr>
        <w:jc w:val="both"/>
        <w:rPr>
          <w:rFonts w:eastAsia="Times New Roman" w:cs="Times New Roman"/>
          <w:szCs w:val="24"/>
          <w:lang w:eastAsia="lv-LV"/>
        </w:rPr>
      </w:pPr>
    </w:p>
    <w:p w14:paraId="23125F44" w14:textId="5E0EFE7C" w:rsidR="00DB6D88" w:rsidRPr="00E01B1D" w:rsidRDefault="00DB6D88" w:rsidP="00E01B1D">
      <w:pPr>
        <w:tabs>
          <w:tab w:val="left" w:pos="6521"/>
        </w:tabs>
        <w:ind w:firstLine="720"/>
        <w:jc w:val="both"/>
        <w:rPr>
          <w:rFonts w:eastAsia="Times New Roman" w:cs="Times New Roman"/>
          <w:sz w:val="28"/>
          <w:szCs w:val="28"/>
          <w:lang w:eastAsia="lv-LV"/>
        </w:rPr>
      </w:pPr>
      <w:r w:rsidRPr="00E01B1D">
        <w:rPr>
          <w:rFonts w:eastAsia="Times New Roman" w:cs="Times New Roman"/>
          <w:sz w:val="28"/>
          <w:szCs w:val="28"/>
          <w:lang w:eastAsia="lv-LV"/>
        </w:rPr>
        <w:t>Ministru prezidents</w:t>
      </w:r>
      <w:r w:rsidRPr="00E01B1D">
        <w:rPr>
          <w:rFonts w:eastAsia="Times New Roman" w:cs="Times New Roman"/>
          <w:sz w:val="28"/>
          <w:szCs w:val="28"/>
          <w:lang w:eastAsia="lv-LV"/>
        </w:rPr>
        <w:tab/>
      </w:r>
      <w:r w:rsidR="00E01B1D" w:rsidRPr="00E01B1D">
        <w:rPr>
          <w:rFonts w:eastAsia="Times New Roman" w:cs="Times New Roman"/>
          <w:sz w:val="28"/>
          <w:szCs w:val="28"/>
          <w:lang w:eastAsia="lv-LV"/>
        </w:rPr>
        <w:t xml:space="preserve">Valdis </w:t>
      </w:r>
      <w:r w:rsidRPr="00E01B1D">
        <w:rPr>
          <w:rFonts w:eastAsia="Times New Roman" w:cs="Times New Roman"/>
          <w:sz w:val="28"/>
          <w:szCs w:val="28"/>
          <w:lang w:eastAsia="lv-LV"/>
        </w:rPr>
        <w:t>Dombrovskis</w:t>
      </w:r>
    </w:p>
    <w:p w14:paraId="23125F45" w14:textId="77777777" w:rsidR="00DB6D88" w:rsidRPr="00E01B1D" w:rsidRDefault="00DB6D88" w:rsidP="00E01B1D">
      <w:pPr>
        <w:tabs>
          <w:tab w:val="left" w:pos="6521"/>
        </w:tabs>
        <w:jc w:val="both"/>
        <w:rPr>
          <w:rFonts w:eastAsia="Times New Roman" w:cs="Times New Roman"/>
          <w:sz w:val="28"/>
          <w:szCs w:val="28"/>
          <w:lang w:eastAsia="lv-LV"/>
        </w:rPr>
      </w:pPr>
    </w:p>
    <w:p w14:paraId="2BDF2391" w14:textId="77777777" w:rsidR="00E01B1D" w:rsidRPr="00E01B1D" w:rsidRDefault="00E01B1D" w:rsidP="00E01B1D">
      <w:pPr>
        <w:tabs>
          <w:tab w:val="left" w:pos="6521"/>
        </w:tabs>
        <w:jc w:val="both"/>
        <w:rPr>
          <w:rFonts w:eastAsia="Times New Roman" w:cs="Times New Roman"/>
          <w:sz w:val="28"/>
          <w:szCs w:val="28"/>
          <w:lang w:eastAsia="lv-LV"/>
        </w:rPr>
      </w:pPr>
    </w:p>
    <w:p w14:paraId="2A642D9F" w14:textId="77777777" w:rsidR="00E01B1D" w:rsidRPr="00E01B1D" w:rsidRDefault="00E01B1D" w:rsidP="00E01B1D">
      <w:pPr>
        <w:tabs>
          <w:tab w:val="left" w:pos="6521"/>
        </w:tabs>
        <w:jc w:val="both"/>
        <w:rPr>
          <w:rFonts w:eastAsia="Times New Roman" w:cs="Times New Roman"/>
          <w:sz w:val="28"/>
          <w:szCs w:val="28"/>
          <w:lang w:eastAsia="lv-LV"/>
        </w:rPr>
      </w:pPr>
    </w:p>
    <w:p w14:paraId="23125F4F" w14:textId="77777777" w:rsidR="00DB6D88" w:rsidRPr="00E01B1D" w:rsidRDefault="00DB6D88" w:rsidP="00E01B1D">
      <w:pPr>
        <w:tabs>
          <w:tab w:val="center" w:pos="4153"/>
          <w:tab w:val="right" w:pos="8306"/>
        </w:tabs>
        <w:ind w:firstLine="709"/>
        <w:rPr>
          <w:rFonts w:eastAsia="Times New Roman" w:cs="Times New Roman"/>
          <w:sz w:val="28"/>
          <w:szCs w:val="28"/>
          <w:lang w:eastAsia="lv-LV"/>
        </w:rPr>
      </w:pPr>
      <w:r w:rsidRPr="00E01B1D">
        <w:rPr>
          <w:rFonts w:eastAsia="Times New Roman" w:cs="Times New Roman"/>
          <w:sz w:val="28"/>
          <w:szCs w:val="28"/>
          <w:lang w:eastAsia="lv-LV"/>
        </w:rPr>
        <w:t>Vizē:</w:t>
      </w:r>
    </w:p>
    <w:p w14:paraId="23125F50" w14:textId="2E0C11AC" w:rsidR="00231E93" w:rsidRPr="00E01B1D" w:rsidRDefault="00DB6D88" w:rsidP="00E01B1D">
      <w:pPr>
        <w:tabs>
          <w:tab w:val="left" w:pos="6521"/>
        </w:tabs>
        <w:ind w:firstLine="720"/>
        <w:jc w:val="both"/>
        <w:rPr>
          <w:rFonts w:eastAsia="Times New Roman" w:cs="Times New Roman"/>
          <w:sz w:val="28"/>
          <w:szCs w:val="28"/>
          <w:lang w:eastAsia="lv-LV"/>
        </w:rPr>
      </w:pPr>
      <w:r w:rsidRPr="00E01B1D">
        <w:rPr>
          <w:rFonts w:eastAsia="Times New Roman" w:cs="Times New Roman"/>
          <w:sz w:val="28"/>
          <w:szCs w:val="28"/>
          <w:lang w:eastAsia="lv-LV"/>
        </w:rPr>
        <w:t>Valsts kancelejas direktore</w:t>
      </w:r>
      <w:r w:rsidR="00E01B1D" w:rsidRPr="00E01B1D">
        <w:rPr>
          <w:rFonts w:eastAsia="Times New Roman" w:cs="Times New Roman"/>
          <w:sz w:val="28"/>
          <w:szCs w:val="28"/>
          <w:u w:val="single"/>
          <w:lang w:eastAsia="lv-LV"/>
        </w:rPr>
        <w:tab/>
      </w:r>
      <w:r w:rsidRPr="00E01B1D">
        <w:rPr>
          <w:rFonts w:eastAsia="Times New Roman" w:cs="Times New Roman"/>
          <w:sz w:val="28"/>
          <w:szCs w:val="28"/>
          <w:lang w:eastAsia="lv-LV"/>
        </w:rPr>
        <w:t>E</w:t>
      </w:r>
      <w:r w:rsidR="00E01B1D">
        <w:rPr>
          <w:rFonts w:eastAsia="Times New Roman" w:cs="Times New Roman"/>
          <w:sz w:val="28"/>
          <w:szCs w:val="28"/>
          <w:lang w:eastAsia="lv-LV"/>
        </w:rPr>
        <w:t xml:space="preserve">lita </w:t>
      </w:r>
      <w:r w:rsidRPr="00E01B1D">
        <w:rPr>
          <w:rFonts w:eastAsia="Times New Roman" w:cs="Times New Roman"/>
          <w:sz w:val="28"/>
          <w:szCs w:val="28"/>
          <w:lang w:eastAsia="lv-LV"/>
        </w:rPr>
        <w:t>Dreimane</w:t>
      </w:r>
    </w:p>
    <w:p w14:paraId="23125F51" w14:textId="77777777" w:rsidR="000F38FC" w:rsidRDefault="000F38FC" w:rsidP="00E01B1D">
      <w:pPr>
        <w:tabs>
          <w:tab w:val="center" w:pos="4153"/>
          <w:tab w:val="right" w:pos="8306"/>
        </w:tabs>
        <w:ind w:firstLine="709"/>
        <w:rPr>
          <w:rFonts w:eastAsia="Times New Roman" w:cs="Times New Roman"/>
          <w:sz w:val="28"/>
          <w:szCs w:val="28"/>
          <w:lang w:eastAsia="lv-LV"/>
        </w:rPr>
      </w:pPr>
    </w:p>
    <w:p w14:paraId="3386C561" w14:textId="77777777" w:rsidR="00E01B1D" w:rsidRPr="00E01B1D" w:rsidRDefault="00E01B1D" w:rsidP="00E01B1D">
      <w:pPr>
        <w:tabs>
          <w:tab w:val="center" w:pos="4153"/>
          <w:tab w:val="right" w:pos="8306"/>
        </w:tabs>
        <w:ind w:firstLine="709"/>
        <w:rPr>
          <w:rFonts w:eastAsia="Times New Roman" w:cs="Times New Roman"/>
          <w:sz w:val="28"/>
          <w:szCs w:val="28"/>
          <w:lang w:eastAsia="lv-LV"/>
        </w:rPr>
      </w:pPr>
    </w:p>
    <w:p w14:paraId="23125F52" w14:textId="77777777" w:rsidR="00791500" w:rsidRPr="00E01B1D" w:rsidRDefault="003653D8" w:rsidP="00E01B1D">
      <w:pPr>
        <w:ind w:firstLine="709"/>
        <w:rPr>
          <w:szCs w:val="24"/>
        </w:rPr>
      </w:pPr>
      <w:r w:rsidRPr="00E01B1D">
        <w:rPr>
          <w:szCs w:val="24"/>
        </w:rPr>
        <w:t>25</w:t>
      </w:r>
      <w:r w:rsidR="00877E07" w:rsidRPr="00E01B1D">
        <w:rPr>
          <w:szCs w:val="24"/>
        </w:rPr>
        <w:t xml:space="preserve">.10.2013 </w:t>
      </w:r>
      <w:r w:rsidRPr="00E01B1D">
        <w:rPr>
          <w:szCs w:val="24"/>
        </w:rPr>
        <w:t>12:29</w:t>
      </w:r>
    </w:p>
    <w:p w14:paraId="23125F53" w14:textId="06486599" w:rsidR="000F38FC" w:rsidRPr="00E01B1D" w:rsidRDefault="00735AFD" w:rsidP="00E01B1D">
      <w:pPr>
        <w:ind w:firstLine="709"/>
        <w:rPr>
          <w:szCs w:val="24"/>
        </w:rPr>
      </w:pPr>
      <w:r>
        <w:rPr>
          <w:szCs w:val="24"/>
        </w:rPr>
        <w:t>586</w:t>
      </w:r>
      <w:bookmarkStart w:id="2" w:name="_GoBack"/>
      <w:bookmarkEnd w:id="2"/>
    </w:p>
    <w:p w14:paraId="23125F54" w14:textId="44E6FC95" w:rsidR="006106F9" w:rsidRPr="00E01B1D" w:rsidRDefault="00D0288B" w:rsidP="00E01B1D">
      <w:pPr>
        <w:ind w:firstLine="709"/>
        <w:rPr>
          <w:szCs w:val="24"/>
        </w:rPr>
      </w:pPr>
      <w:r w:rsidRPr="00E01B1D">
        <w:rPr>
          <w:szCs w:val="24"/>
        </w:rPr>
        <w:t>Mateusa</w:t>
      </w:r>
      <w:r w:rsidR="006106F9" w:rsidRPr="00E01B1D">
        <w:rPr>
          <w:szCs w:val="24"/>
        </w:rPr>
        <w:t xml:space="preserve"> </w:t>
      </w:r>
      <w:r w:rsidR="00FD1E38" w:rsidRPr="00E01B1D">
        <w:rPr>
          <w:szCs w:val="24"/>
        </w:rPr>
        <w:t>67</w:t>
      </w:r>
      <w:r w:rsidRPr="00E01B1D">
        <w:rPr>
          <w:szCs w:val="24"/>
        </w:rPr>
        <w:t>082847</w:t>
      </w:r>
    </w:p>
    <w:p w14:paraId="23125F55" w14:textId="77777777" w:rsidR="00D02132" w:rsidRPr="0006655A" w:rsidRDefault="00C40B79" w:rsidP="00E01B1D">
      <w:pPr>
        <w:ind w:firstLine="709"/>
        <w:rPr>
          <w:szCs w:val="24"/>
        </w:rPr>
      </w:pPr>
      <w:hyperlink r:id="rId8" w:history="1">
        <w:r w:rsidR="00877E07" w:rsidRPr="0006655A">
          <w:rPr>
            <w:rStyle w:val="Hyperlink"/>
            <w:color w:val="auto"/>
            <w:szCs w:val="24"/>
            <w:u w:val="none"/>
          </w:rPr>
          <w:t>Dina.Mateusa@mk.gov.lv</w:t>
        </w:r>
      </w:hyperlink>
      <w:r w:rsidR="000F38FC" w:rsidRPr="0006655A">
        <w:rPr>
          <w:szCs w:val="24"/>
        </w:rPr>
        <w:t xml:space="preserve"> </w:t>
      </w:r>
    </w:p>
    <w:sectPr w:rsidR="00D02132" w:rsidRPr="0006655A" w:rsidSect="00715B16">
      <w:headerReference w:type="default" r:id="rId9"/>
      <w:footerReference w:type="default" r:id="rId10"/>
      <w:foot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5F58" w14:textId="77777777" w:rsidR="00211DD2" w:rsidRDefault="00211DD2" w:rsidP="00231E93">
      <w:r>
        <w:separator/>
      </w:r>
    </w:p>
  </w:endnote>
  <w:endnote w:type="continuationSeparator" w:id="0">
    <w:p w14:paraId="23125F59" w14:textId="77777777" w:rsidR="00211DD2" w:rsidRDefault="00211DD2" w:rsidP="0023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E744" w14:textId="77777777" w:rsidR="00E01B1D" w:rsidRPr="00E01B1D" w:rsidRDefault="00E01B1D" w:rsidP="00E01B1D">
    <w:pPr>
      <w:spacing w:after="120"/>
      <w:jc w:val="both"/>
      <w:rPr>
        <w:sz w:val="16"/>
        <w:szCs w:val="16"/>
      </w:rPr>
    </w:pPr>
    <w:r w:rsidRPr="00E01B1D">
      <w:rPr>
        <w:sz w:val="16"/>
        <w:szCs w:val="16"/>
      </w:rPr>
      <w:fldChar w:fldCharType="begin"/>
    </w:r>
    <w:r w:rsidRPr="00E01B1D">
      <w:rPr>
        <w:sz w:val="16"/>
        <w:szCs w:val="16"/>
      </w:rPr>
      <w:instrText xml:space="preserve"> FILENAME   \* MERGEFORMAT </w:instrText>
    </w:r>
    <w:r w:rsidRPr="00E01B1D">
      <w:rPr>
        <w:sz w:val="16"/>
        <w:szCs w:val="16"/>
      </w:rPr>
      <w:fldChar w:fldCharType="separate"/>
    </w:r>
    <w:r w:rsidR="0006655A">
      <w:rPr>
        <w:noProof/>
        <w:sz w:val="16"/>
        <w:szCs w:val="16"/>
      </w:rPr>
      <w:t>VKAnot_251013_Nr419_euro20131216155219.docx</w:t>
    </w:r>
    <w:r w:rsidRPr="00E01B1D">
      <w:rPr>
        <w:noProof/>
        <w:sz w:val="16"/>
        <w:szCs w:val="16"/>
      </w:rPr>
      <w:fldChar w:fldCharType="end"/>
    </w:r>
    <w:r w:rsidRPr="00E01B1D">
      <w:rPr>
        <w:sz w:val="16"/>
        <w:szCs w:val="16"/>
      </w:rPr>
      <w:t>; Ministru kabineta noteikumu projekta „Grozījumi Ministru kabineta 2003.gada 29.jūlija noteikumos Nr.419 „Noteikumi par kārtību, kādā tiešās pārvaldes iestādes slēdz līdzdarbības līgumus, un līdzdarbības līgumu publiskošanas kārtība”” sākotnējās ietekmes novērtējuma ziņojums (anotācija) 80381)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5F5C" w14:textId="4687B2F4" w:rsidR="004A187E" w:rsidRPr="00E01B1D" w:rsidRDefault="003339AB" w:rsidP="00A247A4">
    <w:pPr>
      <w:spacing w:after="120"/>
      <w:jc w:val="both"/>
      <w:rPr>
        <w:sz w:val="16"/>
        <w:szCs w:val="16"/>
      </w:rPr>
    </w:pPr>
    <w:r w:rsidRPr="00E01B1D">
      <w:rPr>
        <w:sz w:val="16"/>
        <w:szCs w:val="16"/>
      </w:rPr>
      <w:fldChar w:fldCharType="begin"/>
    </w:r>
    <w:r w:rsidRPr="00E01B1D">
      <w:rPr>
        <w:sz w:val="16"/>
        <w:szCs w:val="16"/>
      </w:rPr>
      <w:instrText xml:space="preserve"> FILENAME   \* MERGEFORMAT </w:instrText>
    </w:r>
    <w:r w:rsidRPr="00E01B1D">
      <w:rPr>
        <w:sz w:val="16"/>
        <w:szCs w:val="16"/>
      </w:rPr>
      <w:fldChar w:fldCharType="separate"/>
    </w:r>
    <w:r w:rsidR="0006655A">
      <w:rPr>
        <w:noProof/>
        <w:sz w:val="16"/>
        <w:szCs w:val="16"/>
      </w:rPr>
      <w:t>VKAnot_251013_Nr419_euro20131216155219.docx</w:t>
    </w:r>
    <w:r w:rsidRPr="00E01B1D">
      <w:rPr>
        <w:noProof/>
        <w:sz w:val="16"/>
        <w:szCs w:val="16"/>
      </w:rPr>
      <w:fldChar w:fldCharType="end"/>
    </w:r>
    <w:r w:rsidR="00C005E8" w:rsidRPr="00E01B1D">
      <w:rPr>
        <w:sz w:val="16"/>
        <w:szCs w:val="16"/>
      </w:rPr>
      <w:t xml:space="preserve">; </w:t>
    </w:r>
    <w:r w:rsidR="001E0977" w:rsidRPr="00E01B1D">
      <w:rPr>
        <w:sz w:val="16"/>
        <w:szCs w:val="16"/>
      </w:rPr>
      <w:t>Ministru kabineta noteikumu projekta „Grozījumi Ministru kabineta 2003.gada 29.jūlija noteikumos Nr.419 „Noteikumi par kārtību, kādā tiešās pārvaldes iestādes slēdz līdzdarbības līgumus, un līdzdarbības līgumu publiskošanas kārtība”” sākotnējās ietekmes novērtējuma ziņojums (anotācija)</w:t>
    </w:r>
    <w:r w:rsidR="00E01B1D" w:rsidRPr="00E01B1D">
      <w:rPr>
        <w:sz w:val="16"/>
        <w:szCs w:val="16"/>
      </w:rPr>
      <w:t xml:space="preserve"> 80381)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5F56" w14:textId="77777777" w:rsidR="00211DD2" w:rsidRDefault="00211DD2" w:rsidP="00231E93">
      <w:r>
        <w:separator/>
      </w:r>
    </w:p>
  </w:footnote>
  <w:footnote w:type="continuationSeparator" w:id="0">
    <w:p w14:paraId="23125F57" w14:textId="77777777" w:rsidR="00211DD2" w:rsidRDefault="00211DD2" w:rsidP="00231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5F5A" w14:textId="77777777" w:rsidR="004A187E" w:rsidRDefault="003339AB"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C40B7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FC"/>
    <w:rsid w:val="000037F2"/>
    <w:rsid w:val="0006655A"/>
    <w:rsid w:val="000D0AB2"/>
    <w:rsid w:val="000F38FC"/>
    <w:rsid w:val="000F5DB5"/>
    <w:rsid w:val="00106004"/>
    <w:rsid w:val="0011114F"/>
    <w:rsid w:val="0017202B"/>
    <w:rsid w:val="00191054"/>
    <w:rsid w:val="001B20D8"/>
    <w:rsid w:val="001D56E4"/>
    <w:rsid w:val="001D7509"/>
    <w:rsid w:val="001E0977"/>
    <w:rsid w:val="001E709D"/>
    <w:rsid w:val="001E779C"/>
    <w:rsid w:val="00201A4E"/>
    <w:rsid w:val="00211DD2"/>
    <w:rsid w:val="00216228"/>
    <w:rsid w:val="00223E39"/>
    <w:rsid w:val="00231E93"/>
    <w:rsid w:val="002515AE"/>
    <w:rsid w:val="002A090E"/>
    <w:rsid w:val="002E6A25"/>
    <w:rsid w:val="00316D1A"/>
    <w:rsid w:val="003339AB"/>
    <w:rsid w:val="003653D8"/>
    <w:rsid w:val="00373ECC"/>
    <w:rsid w:val="00426D17"/>
    <w:rsid w:val="00481DA5"/>
    <w:rsid w:val="004A2D22"/>
    <w:rsid w:val="00512FDC"/>
    <w:rsid w:val="005B2235"/>
    <w:rsid w:val="005C3B56"/>
    <w:rsid w:val="005C6979"/>
    <w:rsid w:val="005E73BD"/>
    <w:rsid w:val="006106F9"/>
    <w:rsid w:val="00666BCA"/>
    <w:rsid w:val="007257D5"/>
    <w:rsid w:val="00735AFD"/>
    <w:rsid w:val="00783675"/>
    <w:rsid w:val="00791500"/>
    <w:rsid w:val="007A2179"/>
    <w:rsid w:val="007A2635"/>
    <w:rsid w:val="007B30F6"/>
    <w:rsid w:val="007D77F8"/>
    <w:rsid w:val="00844DCF"/>
    <w:rsid w:val="00877E07"/>
    <w:rsid w:val="00895A9F"/>
    <w:rsid w:val="00930BC0"/>
    <w:rsid w:val="009A3775"/>
    <w:rsid w:val="00A247A4"/>
    <w:rsid w:val="00A40115"/>
    <w:rsid w:val="00A51EA5"/>
    <w:rsid w:val="00A62F59"/>
    <w:rsid w:val="00A97C7B"/>
    <w:rsid w:val="00AA78F9"/>
    <w:rsid w:val="00B02B83"/>
    <w:rsid w:val="00B616F6"/>
    <w:rsid w:val="00C005E8"/>
    <w:rsid w:val="00C207CC"/>
    <w:rsid w:val="00C3330F"/>
    <w:rsid w:val="00C40B79"/>
    <w:rsid w:val="00C671E7"/>
    <w:rsid w:val="00C843A2"/>
    <w:rsid w:val="00D02132"/>
    <w:rsid w:val="00D0288B"/>
    <w:rsid w:val="00D133CB"/>
    <w:rsid w:val="00D1643B"/>
    <w:rsid w:val="00D53957"/>
    <w:rsid w:val="00D57C2A"/>
    <w:rsid w:val="00D813E6"/>
    <w:rsid w:val="00DB0412"/>
    <w:rsid w:val="00DB6D88"/>
    <w:rsid w:val="00E01B1D"/>
    <w:rsid w:val="00E3530A"/>
    <w:rsid w:val="00E71CBB"/>
    <w:rsid w:val="00E75756"/>
    <w:rsid w:val="00EA63B7"/>
    <w:rsid w:val="00EF4D2C"/>
    <w:rsid w:val="00F14BFB"/>
    <w:rsid w:val="00F57A98"/>
    <w:rsid w:val="00F66DF0"/>
    <w:rsid w:val="00F847C1"/>
    <w:rsid w:val="00FA1CBD"/>
    <w:rsid w:val="00FA2654"/>
    <w:rsid w:val="00FB15EC"/>
    <w:rsid w:val="00FD1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8FC"/>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0F38FC"/>
    <w:rPr>
      <w:rFonts w:eastAsia="Times New Roman" w:cs="Times New Roman"/>
      <w:sz w:val="24"/>
      <w:szCs w:val="24"/>
      <w:lang w:eastAsia="lv-LV"/>
    </w:rPr>
  </w:style>
  <w:style w:type="character" w:styleId="PageNumber">
    <w:name w:val="page number"/>
    <w:basedOn w:val="DefaultParagraphFont"/>
    <w:rsid w:val="000F38FC"/>
  </w:style>
  <w:style w:type="character" w:styleId="Hyperlink">
    <w:name w:val="Hyperlink"/>
    <w:basedOn w:val="DefaultParagraphFont"/>
    <w:uiPriority w:val="99"/>
    <w:unhideWhenUsed/>
    <w:rsid w:val="000F38FC"/>
    <w:rPr>
      <w:color w:val="0000FF" w:themeColor="hyperlink"/>
      <w:u w:val="single"/>
    </w:rPr>
  </w:style>
  <w:style w:type="paragraph" w:customStyle="1" w:styleId="naisnod">
    <w:name w:val="naisnod"/>
    <w:basedOn w:val="Normal"/>
    <w:rsid w:val="000F38FC"/>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231E93"/>
    <w:pPr>
      <w:tabs>
        <w:tab w:val="center" w:pos="4153"/>
        <w:tab w:val="right" w:pos="8306"/>
      </w:tabs>
    </w:pPr>
  </w:style>
  <w:style w:type="character" w:customStyle="1" w:styleId="FooterChar">
    <w:name w:val="Footer Char"/>
    <w:basedOn w:val="DefaultParagraphFont"/>
    <w:link w:val="Footer"/>
    <w:uiPriority w:val="99"/>
    <w:rsid w:val="00231E93"/>
    <w:rPr>
      <w:sz w:val="24"/>
    </w:rPr>
  </w:style>
  <w:style w:type="paragraph" w:styleId="BalloonText">
    <w:name w:val="Balloon Text"/>
    <w:basedOn w:val="Normal"/>
    <w:link w:val="BalloonTextChar"/>
    <w:uiPriority w:val="99"/>
    <w:semiHidden/>
    <w:unhideWhenUsed/>
    <w:rsid w:val="002515AE"/>
    <w:rPr>
      <w:rFonts w:ascii="Tahoma" w:hAnsi="Tahoma" w:cs="Tahoma"/>
      <w:sz w:val="16"/>
      <w:szCs w:val="16"/>
    </w:rPr>
  </w:style>
  <w:style w:type="character" w:customStyle="1" w:styleId="BalloonTextChar">
    <w:name w:val="Balloon Text Char"/>
    <w:basedOn w:val="DefaultParagraphFont"/>
    <w:link w:val="BalloonText"/>
    <w:uiPriority w:val="99"/>
    <w:semiHidden/>
    <w:rsid w:val="002515AE"/>
    <w:rPr>
      <w:rFonts w:ascii="Tahoma" w:hAnsi="Tahoma" w:cs="Tahoma"/>
      <w:sz w:val="16"/>
      <w:szCs w:val="16"/>
    </w:rPr>
  </w:style>
  <w:style w:type="character" w:styleId="CommentReference">
    <w:name w:val="annotation reference"/>
    <w:basedOn w:val="DefaultParagraphFont"/>
    <w:uiPriority w:val="99"/>
    <w:semiHidden/>
    <w:unhideWhenUsed/>
    <w:rsid w:val="00316D1A"/>
    <w:rPr>
      <w:sz w:val="16"/>
      <w:szCs w:val="16"/>
    </w:rPr>
  </w:style>
  <w:style w:type="paragraph" w:styleId="CommentText">
    <w:name w:val="annotation text"/>
    <w:basedOn w:val="Normal"/>
    <w:link w:val="CommentTextChar"/>
    <w:uiPriority w:val="99"/>
    <w:semiHidden/>
    <w:unhideWhenUsed/>
    <w:rsid w:val="00316D1A"/>
    <w:rPr>
      <w:sz w:val="20"/>
      <w:szCs w:val="20"/>
    </w:rPr>
  </w:style>
  <w:style w:type="character" w:customStyle="1" w:styleId="CommentTextChar">
    <w:name w:val="Comment Text Char"/>
    <w:basedOn w:val="DefaultParagraphFont"/>
    <w:link w:val="CommentText"/>
    <w:uiPriority w:val="99"/>
    <w:semiHidden/>
    <w:rsid w:val="00316D1A"/>
    <w:rPr>
      <w:sz w:val="20"/>
      <w:szCs w:val="20"/>
    </w:rPr>
  </w:style>
  <w:style w:type="paragraph" w:styleId="CommentSubject">
    <w:name w:val="annotation subject"/>
    <w:basedOn w:val="CommentText"/>
    <w:next w:val="CommentText"/>
    <w:link w:val="CommentSubjectChar"/>
    <w:uiPriority w:val="99"/>
    <w:semiHidden/>
    <w:unhideWhenUsed/>
    <w:rsid w:val="00316D1A"/>
    <w:rPr>
      <w:b/>
      <w:bCs/>
    </w:rPr>
  </w:style>
  <w:style w:type="character" w:customStyle="1" w:styleId="CommentSubjectChar">
    <w:name w:val="Comment Subject Char"/>
    <w:basedOn w:val="CommentTextChar"/>
    <w:link w:val="CommentSubject"/>
    <w:uiPriority w:val="99"/>
    <w:semiHidden/>
    <w:rsid w:val="00316D1A"/>
    <w:rPr>
      <w:b/>
      <w:bCs/>
      <w:sz w:val="20"/>
      <w:szCs w:val="20"/>
    </w:rPr>
  </w:style>
  <w:style w:type="paragraph" w:customStyle="1" w:styleId="tv2131">
    <w:name w:val="tv2131"/>
    <w:basedOn w:val="Normal"/>
    <w:rsid w:val="00316D1A"/>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8FC"/>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0F38FC"/>
    <w:rPr>
      <w:rFonts w:eastAsia="Times New Roman" w:cs="Times New Roman"/>
      <w:sz w:val="24"/>
      <w:szCs w:val="24"/>
      <w:lang w:eastAsia="lv-LV"/>
    </w:rPr>
  </w:style>
  <w:style w:type="character" w:styleId="PageNumber">
    <w:name w:val="page number"/>
    <w:basedOn w:val="DefaultParagraphFont"/>
    <w:rsid w:val="000F38FC"/>
  </w:style>
  <w:style w:type="character" w:styleId="Hyperlink">
    <w:name w:val="Hyperlink"/>
    <w:basedOn w:val="DefaultParagraphFont"/>
    <w:uiPriority w:val="99"/>
    <w:unhideWhenUsed/>
    <w:rsid w:val="000F38FC"/>
    <w:rPr>
      <w:color w:val="0000FF" w:themeColor="hyperlink"/>
      <w:u w:val="single"/>
    </w:rPr>
  </w:style>
  <w:style w:type="paragraph" w:customStyle="1" w:styleId="naisnod">
    <w:name w:val="naisnod"/>
    <w:basedOn w:val="Normal"/>
    <w:rsid w:val="000F38FC"/>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231E93"/>
    <w:pPr>
      <w:tabs>
        <w:tab w:val="center" w:pos="4153"/>
        <w:tab w:val="right" w:pos="8306"/>
      </w:tabs>
    </w:pPr>
  </w:style>
  <w:style w:type="character" w:customStyle="1" w:styleId="FooterChar">
    <w:name w:val="Footer Char"/>
    <w:basedOn w:val="DefaultParagraphFont"/>
    <w:link w:val="Footer"/>
    <w:uiPriority w:val="99"/>
    <w:rsid w:val="00231E93"/>
    <w:rPr>
      <w:sz w:val="24"/>
    </w:rPr>
  </w:style>
  <w:style w:type="paragraph" w:styleId="BalloonText">
    <w:name w:val="Balloon Text"/>
    <w:basedOn w:val="Normal"/>
    <w:link w:val="BalloonTextChar"/>
    <w:uiPriority w:val="99"/>
    <w:semiHidden/>
    <w:unhideWhenUsed/>
    <w:rsid w:val="002515AE"/>
    <w:rPr>
      <w:rFonts w:ascii="Tahoma" w:hAnsi="Tahoma" w:cs="Tahoma"/>
      <w:sz w:val="16"/>
      <w:szCs w:val="16"/>
    </w:rPr>
  </w:style>
  <w:style w:type="character" w:customStyle="1" w:styleId="BalloonTextChar">
    <w:name w:val="Balloon Text Char"/>
    <w:basedOn w:val="DefaultParagraphFont"/>
    <w:link w:val="BalloonText"/>
    <w:uiPriority w:val="99"/>
    <w:semiHidden/>
    <w:rsid w:val="002515AE"/>
    <w:rPr>
      <w:rFonts w:ascii="Tahoma" w:hAnsi="Tahoma" w:cs="Tahoma"/>
      <w:sz w:val="16"/>
      <w:szCs w:val="16"/>
    </w:rPr>
  </w:style>
  <w:style w:type="character" w:styleId="CommentReference">
    <w:name w:val="annotation reference"/>
    <w:basedOn w:val="DefaultParagraphFont"/>
    <w:uiPriority w:val="99"/>
    <w:semiHidden/>
    <w:unhideWhenUsed/>
    <w:rsid w:val="00316D1A"/>
    <w:rPr>
      <w:sz w:val="16"/>
      <w:szCs w:val="16"/>
    </w:rPr>
  </w:style>
  <w:style w:type="paragraph" w:styleId="CommentText">
    <w:name w:val="annotation text"/>
    <w:basedOn w:val="Normal"/>
    <w:link w:val="CommentTextChar"/>
    <w:uiPriority w:val="99"/>
    <w:semiHidden/>
    <w:unhideWhenUsed/>
    <w:rsid w:val="00316D1A"/>
    <w:rPr>
      <w:sz w:val="20"/>
      <w:szCs w:val="20"/>
    </w:rPr>
  </w:style>
  <w:style w:type="character" w:customStyle="1" w:styleId="CommentTextChar">
    <w:name w:val="Comment Text Char"/>
    <w:basedOn w:val="DefaultParagraphFont"/>
    <w:link w:val="CommentText"/>
    <w:uiPriority w:val="99"/>
    <w:semiHidden/>
    <w:rsid w:val="00316D1A"/>
    <w:rPr>
      <w:sz w:val="20"/>
      <w:szCs w:val="20"/>
    </w:rPr>
  </w:style>
  <w:style w:type="paragraph" w:styleId="CommentSubject">
    <w:name w:val="annotation subject"/>
    <w:basedOn w:val="CommentText"/>
    <w:next w:val="CommentText"/>
    <w:link w:val="CommentSubjectChar"/>
    <w:uiPriority w:val="99"/>
    <w:semiHidden/>
    <w:unhideWhenUsed/>
    <w:rsid w:val="00316D1A"/>
    <w:rPr>
      <w:b/>
      <w:bCs/>
    </w:rPr>
  </w:style>
  <w:style w:type="character" w:customStyle="1" w:styleId="CommentSubjectChar">
    <w:name w:val="Comment Subject Char"/>
    <w:basedOn w:val="CommentTextChar"/>
    <w:link w:val="CommentSubject"/>
    <w:uiPriority w:val="99"/>
    <w:semiHidden/>
    <w:rsid w:val="00316D1A"/>
    <w:rPr>
      <w:b/>
      <w:bCs/>
      <w:sz w:val="20"/>
      <w:szCs w:val="20"/>
    </w:rPr>
  </w:style>
  <w:style w:type="paragraph" w:customStyle="1" w:styleId="tv2131">
    <w:name w:val="tv2131"/>
    <w:basedOn w:val="Normal"/>
    <w:rsid w:val="00316D1A"/>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777">
      <w:bodyDiv w:val="1"/>
      <w:marLeft w:val="0"/>
      <w:marRight w:val="0"/>
      <w:marTop w:val="0"/>
      <w:marBottom w:val="0"/>
      <w:divBdr>
        <w:top w:val="none" w:sz="0" w:space="0" w:color="auto"/>
        <w:left w:val="none" w:sz="0" w:space="0" w:color="auto"/>
        <w:bottom w:val="none" w:sz="0" w:space="0" w:color="auto"/>
        <w:right w:val="none" w:sz="0" w:space="0" w:color="auto"/>
      </w:divBdr>
      <w:divsChild>
        <w:div w:id="787310666">
          <w:marLeft w:val="0"/>
          <w:marRight w:val="0"/>
          <w:marTop w:val="0"/>
          <w:marBottom w:val="0"/>
          <w:divBdr>
            <w:top w:val="none" w:sz="0" w:space="0" w:color="auto"/>
            <w:left w:val="none" w:sz="0" w:space="0" w:color="auto"/>
            <w:bottom w:val="none" w:sz="0" w:space="0" w:color="auto"/>
            <w:right w:val="none" w:sz="0" w:space="0" w:color="auto"/>
          </w:divBdr>
          <w:divsChild>
            <w:div w:id="1310985875">
              <w:marLeft w:val="0"/>
              <w:marRight w:val="0"/>
              <w:marTop w:val="0"/>
              <w:marBottom w:val="0"/>
              <w:divBdr>
                <w:top w:val="none" w:sz="0" w:space="0" w:color="auto"/>
                <w:left w:val="none" w:sz="0" w:space="0" w:color="auto"/>
                <w:bottom w:val="none" w:sz="0" w:space="0" w:color="auto"/>
                <w:right w:val="none" w:sz="0" w:space="0" w:color="auto"/>
              </w:divBdr>
              <w:divsChild>
                <w:div w:id="1416168093">
                  <w:marLeft w:val="0"/>
                  <w:marRight w:val="0"/>
                  <w:marTop w:val="0"/>
                  <w:marBottom w:val="0"/>
                  <w:divBdr>
                    <w:top w:val="none" w:sz="0" w:space="0" w:color="auto"/>
                    <w:left w:val="none" w:sz="0" w:space="0" w:color="auto"/>
                    <w:bottom w:val="none" w:sz="0" w:space="0" w:color="auto"/>
                    <w:right w:val="none" w:sz="0" w:space="0" w:color="auto"/>
                  </w:divBdr>
                  <w:divsChild>
                    <w:div w:id="804127920">
                      <w:marLeft w:val="0"/>
                      <w:marRight w:val="0"/>
                      <w:marTop w:val="0"/>
                      <w:marBottom w:val="0"/>
                      <w:divBdr>
                        <w:top w:val="none" w:sz="0" w:space="0" w:color="auto"/>
                        <w:left w:val="none" w:sz="0" w:space="0" w:color="auto"/>
                        <w:bottom w:val="none" w:sz="0" w:space="0" w:color="auto"/>
                        <w:right w:val="none" w:sz="0" w:space="0" w:color="auto"/>
                      </w:divBdr>
                      <w:divsChild>
                        <w:div w:id="929854188">
                          <w:marLeft w:val="0"/>
                          <w:marRight w:val="0"/>
                          <w:marTop w:val="300"/>
                          <w:marBottom w:val="0"/>
                          <w:divBdr>
                            <w:top w:val="none" w:sz="0" w:space="0" w:color="auto"/>
                            <w:left w:val="none" w:sz="0" w:space="0" w:color="auto"/>
                            <w:bottom w:val="none" w:sz="0" w:space="0" w:color="auto"/>
                            <w:right w:val="none" w:sz="0" w:space="0" w:color="auto"/>
                          </w:divBdr>
                          <w:divsChild>
                            <w:div w:id="1620641246">
                              <w:marLeft w:val="0"/>
                              <w:marRight w:val="0"/>
                              <w:marTop w:val="0"/>
                              <w:marBottom w:val="0"/>
                              <w:divBdr>
                                <w:top w:val="none" w:sz="0" w:space="0" w:color="auto"/>
                                <w:left w:val="none" w:sz="0" w:space="0" w:color="auto"/>
                                <w:bottom w:val="none" w:sz="0" w:space="0" w:color="auto"/>
                                <w:right w:val="none" w:sz="0" w:space="0" w:color="auto"/>
                              </w:divBdr>
                              <w:divsChild>
                                <w:div w:id="1225992267">
                                  <w:marLeft w:val="0"/>
                                  <w:marRight w:val="0"/>
                                  <w:marTop w:val="0"/>
                                  <w:marBottom w:val="0"/>
                                  <w:divBdr>
                                    <w:top w:val="none" w:sz="0" w:space="0" w:color="auto"/>
                                    <w:left w:val="none" w:sz="0" w:space="0" w:color="auto"/>
                                    <w:bottom w:val="none" w:sz="0" w:space="0" w:color="auto"/>
                                    <w:right w:val="none" w:sz="0" w:space="0" w:color="auto"/>
                                  </w:divBdr>
                                </w:div>
                              </w:divsChild>
                            </w:div>
                            <w:div w:id="508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149">
      <w:bodyDiv w:val="1"/>
      <w:marLeft w:val="0"/>
      <w:marRight w:val="0"/>
      <w:marTop w:val="0"/>
      <w:marBottom w:val="0"/>
      <w:divBdr>
        <w:top w:val="none" w:sz="0" w:space="0" w:color="auto"/>
        <w:left w:val="none" w:sz="0" w:space="0" w:color="auto"/>
        <w:bottom w:val="none" w:sz="0" w:space="0" w:color="auto"/>
        <w:right w:val="none" w:sz="0" w:space="0" w:color="auto"/>
      </w:divBdr>
      <w:divsChild>
        <w:div w:id="1147867196">
          <w:marLeft w:val="0"/>
          <w:marRight w:val="0"/>
          <w:marTop w:val="0"/>
          <w:marBottom w:val="0"/>
          <w:divBdr>
            <w:top w:val="none" w:sz="0" w:space="0" w:color="auto"/>
            <w:left w:val="none" w:sz="0" w:space="0" w:color="auto"/>
            <w:bottom w:val="none" w:sz="0" w:space="0" w:color="auto"/>
            <w:right w:val="none" w:sz="0" w:space="0" w:color="auto"/>
          </w:divBdr>
          <w:divsChild>
            <w:div w:id="1052117028">
              <w:marLeft w:val="0"/>
              <w:marRight w:val="0"/>
              <w:marTop w:val="0"/>
              <w:marBottom w:val="0"/>
              <w:divBdr>
                <w:top w:val="none" w:sz="0" w:space="0" w:color="auto"/>
                <w:left w:val="none" w:sz="0" w:space="0" w:color="auto"/>
                <w:bottom w:val="none" w:sz="0" w:space="0" w:color="auto"/>
                <w:right w:val="none" w:sz="0" w:space="0" w:color="auto"/>
              </w:divBdr>
              <w:divsChild>
                <w:div w:id="1667052653">
                  <w:marLeft w:val="0"/>
                  <w:marRight w:val="0"/>
                  <w:marTop w:val="0"/>
                  <w:marBottom w:val="0"/>
                  <w:divBdr>
                    <w:top w:val="none" w:sz="0" w:space="0" w:color="auto"/>
                    <w:left w:val="none" w:sz="0" w:space="0" w:color="auto"/>
                    <w:bottom w:val="none" w:sz="0" w:space="0" w:color="auto"/>
                    <w:right w:val="none" w:sz="0" w:space="0" w:color="auto"/>
                  </w:divBdr>
                  <w:divsChild>
                    <w:div w:id="1870872850">
                      <w:marLeft w:val="0"/>
                      <w:marRight w:val="0"/>
                      <w:marTop w:val="0"/>
                      <w:marBottom w:val="0"/>
                      <w:divBdr>
                        <w:top w:val="none" w:sz="0" w:space="0" w:color="auto"/>
                        <w:left w:val="none" w:sz="0" w:space="0" w:color="auto"/>
                        <w:bottom w:val="none" w:sz="0" w:space="0" w:color="auto"/>
                        <w:right w:val="none" w:sz="0" w:space="0" w:color="auto"/>
                      </w:divBdr>
                      <w:divsChild>
                        <w:div w:id="1097362377">
                          <w:marLeft w:val="0"/>
                          <w:marRight w:val="0"/>
                          <w:marTop w:val="300"/>
                          <w:marBottom w:val="0"/>
                          <w:divBdr>
                            <w:top w:val="none" w:sz="0" w:space="0" w:color="auto"/>
                            <w:left w:val="none" w:sz="0" w:space="0" w:color="auto"/>
                            <w:bottom w:val="none" w:sz="0" w:space="0" w:color="auto"/>
                            <w:right w:val="none" w:sz="0" w:space="0" w:color="auto"/>
                          </w:divBdr>
                          <w:divsChild>
                            <w:div w:id="231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Mateusa@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3072</Words>
  <Characters>1752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2003.gada 29.jūlija noteikumos Nr.419 "Kārtība, kādā tiešās pārvaldes iestādes slēdz līdzdarbības līgumus, un līdzdarbības līgumu publiskošanas kārtība"</vt:lpstr>
    </vt:vector>
  </TitlesOfParts>
  <Company>Valsts kanceleja</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29.jūlija noteikumos Nr.419 "Kārtība, kādā tiešās pārvaldes iestādes slēdz līdzdarbības līgumus, un līdzdarbības līgumu publiskošanas kārtība"</dc:title>
  <dc:subject>Anotācija</dc:subject>
  <dc:creator>Dina Mateusa</dc:creator>
  <dc:description>dina.mateusa@mk.gov.lv, 67082847</dc:description>
  <cp:lastModifiedBy>Dina Mateusa</cp:lastModifiedBy>
  <cp:revision>8</cp:revision>
  <cp:lastPrinted>2013-12-16T16:22:00Z</cp:lastPrinted>
  <dcterms:created xsi:type="dcterms:W3CDTF">2013-12-16T13:00:00Z</dcterms:created>
  <dcterms:modified xsi:type="dcterms:W3CDTF">2013-12-19T12:53:00Z</dcterms:modified>
</cp:coreProperties>
</file>