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83D80" w14:textId="259C76AB" w:rsidR="00804D4D" w:rsidRPr="005E2D40" w:rsidRDefault="00E62DE7" w:rsidP="00241F4C">
      <w:pPr>
        <w:pStyle w:val="Heading1"/>
        <w:spacing w:before="0" w:after="0"/>
        <w:jc w:val="center"/>
        <w:rPr>
          <w:rFonts w:ascii="Times New Roman" w:hAnsi="Times New Roman"/>
          <w:bCs w:val="0"/>
          <w:sz w:val="28"/>
          <w:szCs w:val="28"/>
          <w:lang w:eastAsia="en-US"/>
        </w:rPr>
      </w:pPr>
      <w:r>
        <w:rPr>
          <w:rFonts w:ascii="Times New Roman" w:hAnsi="Times New Roman"/>
          <w:spacing w:val="-4"/>
          <w:sz w:val="28"/>
          <w:szCs w:val="28"/>
        </w:rPr>
        <w:t>I</w:t>
      </w:r>
      <w:r w:rsidR="005E2D40" w:rsidRPr="005E2D40">
        <w:rPr>
          <w:rFonts w:ascii="Times New Roman" w:hAnsi="Times New Roman"/>
          <w:spacing w:val="-4"/>
          <w:sz w:val="28"/>
          <w:szCs w:val="28"/>
        </w:rPr>
        <w:t>nstrukcijas</w:t>
      </w:r>
      <w:r w:rsidR="00804D4D" w:rsidRPr="005E2D40">
        <w:rPr>
          <w:rFonts w:ascii="Times New Roman" w:hAnsi="Times New Roman"/>
          <w:spacing w:val="-4"/>
          <w:sz w:val="28"/>
          <w:szCs w:val="28"/>
        </w:rPr>
        <w:t xml:space="preserve"> projekta </w:t>
      </w:r>
      <w:r w:rsidR="00241F4C">
        <w:rPr>
          <w:rFonts w:ascii="Times New Roman" w:hAnsi="Times New Roman"/>
          <w:bCs w:val="0"/>
          <w:sz w:val="28"/>
          <w:szCs w:val="28"/>
          <w:lang w:eastAsia="en-US"/>
        </w:rPr>
        <w:t>"</w:t>
      </w:r>
      <w:r w:rsidR="005E2D40" w:rsidRPr="005E2D40">
        <w:rPr>
          <w:rFonts w:ascii="Times New Roman" w:hAnsi="Times New Roman"/>
          <w:bCs w:val="0"/>
          <w:sz w:val="28"/>
          <w:szCs w:val="28"/>
          <w:lang w:eastAsia="en-US"/>
        </w:rPr>
        <w:t>Grozījum</w:t>
      </w:r>
      <w:r w:rsidR="00FC0548">
        <w:rPr>
          <w:rFonts w:ascii="Times New Roman" w:hAnsi="Times New Roman"/>
          <w:bCs w:val="0"/>
          <w:sz w:val="28"/>
          <w:szCs w:val="28"/>
          <w:lang w:eastAsia="en-US"/>
        </w:rPr>
        <w:t>i</w:t>
      </w:r>
      <w:r w:rsidR="005E2D40" w:rsidRPr="005E2D40">
        <w:rPr>
          <w:rFonts w:ascii="Times New Roman" w:hAnsi="Times New Roman"/>
          <w:bCs w:val="0"/>
          <w:sz w:val="28"/>
          <w:szCs w:val="28"/>
          <w:lang w:eastAsia="en-US"/>
        </w:rPr>
        <w:t xml:space="preserve"> Ministru kabineta 2011.gada 4.janvāra instrukcijā Nr.1 </w:t>
      </w:r>
      <w:r w:rsidR="00241F4C">
        <w:rPr>
          <w:rFonts w:ascii="Times New Roman" w:hAnsi="Times New Roman"/>
          <w:bCs w:val="0"/>
          <w:sz w:val="28"/>
          <w:szCs w:val="28"/>
          <w:lang w:eastAsia="en-US"/>
        </w:rPr>
        <w:t>"</w:t>
      </w:r>
      <w:r w:rsidR="005E2D40" w:rsidRPr="005E2D40">
        <w:rPr>
          <w:rFonts w:ascii="Times New Roman" w:hAnsi="Times New Roman"/>
          <w:bCs w:val="0"/>
          <w:sz w:val="28"/>
          <w:szCs w:val="28"/>
          <w:lang w:eastAsia="en-US"/>
        </w:rPr>
        <w:t>Kārtība, kādā izstrādā un aktualizē institūcijas darbības stratēģiju un novērtē tās ieviešanu</w:t>
      </w:r>
      <w:r w:rsidR="00241F4C">
        <w:rPr>
          <w:rFonts w:ascii="Times New Roman" w:hAnsi="Times New Roman"/>
          <w:bCs w:val="0"/>
          <w:sz w:val="28"/>
          <w:szCs w:val="28"/>
          <w:lang w:eastAsia="en-US"/>
        </w:rPr>
        <w:t>""</w:t>
      </w:r>
      <w:r w:rsidR="005E2D40" w:rsidRPr="005E2D40">
        <w:rPr>
          <w:rFonts w:ascii="Times New Roman" w:hAnsi="Times New Roman"/>
          <w:bCs w:val="0"/>
          <w:sz w:val="28"/>
          <w:szCs w:val="28"/>
          <w:lang w:eastAsia="en-US"/>
        </w:rPr>
        <w:t xml:space="preserve"> </w:t>
      </w:r>
      <w:r w:rsidR="00804D4D" w:rsidRPr="005E2D40">
        <w:rPr>
          <w:rFonts w:ascii="Times New Roman" w:hAnsi="Times New Roman"/>
          <w:spacing w:val="-4"/>
          <w:sz w:val="28"/>
          <w:szCs w:val="28"/>
        </w:rPr>
        <w:t>sākotnējās ietekmes novērtējuma ziņojums (anotācija)</w:t>
      </w:r>
    </w:p>
    <w:p w14:paraId="19D83D81" w14:textId="77777777" w:rsidR="00FA338D" w:rsidRDefault="00FA338D" w:rsidP="00241F4C">
      <w:pPr>
        <w:pStyle w:val="naislab"/>
        <w:spacing w:before="0" w:after="0"/>
        <w:jc w:val="center"/>
        <w:outlineLvl w:val="0"/>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374"/>
        <w:gridCol w:w="6769"/>
      </w:tblGrid>
      <w:tr w:rsidR="00FA338D" w:rsidRPr="00344C35" w14:paraId="19D83D83" w14:textId="77777777" w:rsidTr="00607B1C">
        <w:tc>
          <w:tcPr>
            <w:tcW w:w="9539" w:type="dxa"/>
            <w:gridSpan w:val="3"/>
          </w:tcPr>
          <w:p w14:paraId="19D83D82" w14:textId="77777777" w:rsidR="00FA338D" w:rsidRPr="00344C35" w:rsidRDefault="00FA338D" w:rsidP="00241F4C">
            <w:pPr>
              <w:pStyle w:val="naislab"/>
              <w:spacing w:before="0" w:after="0"/>
              <w:jc w:val="center"/>
              <w:outlineLvl w:val="0"/>
              <w:rPr>
                <w:b/>
              </w:rPr>
            </w:pPr>
            <w:r w:rsidRPr="00344C35">
              <w:rPr>
                <w:b/>
              </w:rPr>
              <w:t>I. Tiesību akta projekta izstrādes nepieciešamība</w:t>
            </w:r>
          </w:p>
        </w:tc>
      </w:tr>
      <w:tr w:rsidR="00FA338D" w:rsidRPr="00344C35" w14:paraId="19D83D87" w14:textId="77777777" w:rsidTr="00B05965">
        <w:tc>
          <w:tcPr>
            <w:tcW w:w="396" w:type="dxa"/>
          </w:tcPr>
          <w:p w14:paraId="19D83D84" w14:textId="77777777" w:rsidR="00FA338D" w:rsidRPr="00344C35" w:rsidRDefault="00FA338D" w:rsidP="00241F4C">
            <w:pPr>
              <w:pStyle w:val="naislab"/>
              <w:spacing w:before="0" w:after="0"/>
              <w:jc w:val="center"/>
              <w:outlineLvl w:val="0"/>
            </w:pPr>
            <w:r w:rsidRPr="00344C35">
              <w:t>1.</w:t>
            </w:r>
          </w:p>
        </w:tc>
        <w:tc>
          <w:tcPr>
            <w:tcW w:w="2374" w:type="dxa"/>
          </w:tcPr>
          <w:p w14:paraId="19D83D85" w14:textId="77777777" w:rsidR="00FA338D" w:rsidRPr="00344C35" w:rsidRDefault="00FA338D" w:rsidP="00241F4C">
            <w:pPr>
              <w:pStyle w:val="naislab"/>
              <w:spacing w:before="0" w:after="0"/>
              <w:jc w:val="both"/>
              <w:outlineLvl w:val="0"/>
            </w:pPr>
            <w:r w:rsidRPr="00344C35">
              <w:t>Pamatojums</w:t>
            </w:r>
          </w:p>
        </w:tc>
        <w:tc>
          <w:tcPr>
            <w:tcW w:w="6769" w:type="dxa"/>
          </w:tcPr>
          <w:p w14:paraId="19D83D86" w14:textId="7E814BAB" w:rsidR="00FA338D" w:rsidRPr="00344C35" w:rsidRDefault="005E2D40" w:rsidP="00241F4C">
            <w:pPr>
              <w:pStyle w:val="naislab"/>
              <w:spacing w:before="0" w:after="0"/>
              <w:jc w:val="both"/>
            </w:pPr>
            <w:r w:rsidRPr="00344C35">
              <w:rPr>
                <w:iCs/>
              </w:rPr>
              <w:t xml:space="preserve">Ministru kabineta 2009.gada 13.oktobra noteikumu Nr.1178 </w:t>
            </w:r>
            <w:r w:rsidR="00241F4C">
              <w:rPr>
                <w:iCs/>
              </w:rPr>
              <w:t>"</w:t>
            </w:r>
            <w:hyperlink r:id="rId9" w:tgtFrame="_blank" w:tooltip="Attīstības plānošanas dokumentu izstrādes un ietekmes izvērtēšanas noteikumi /Spēkā esošs/" w:history="1">
              <w:r w:rsidRPr="00344C35">
                <w:rPr>
                  <w:iCs/>
                </w:rPr>
                <w:t>Attīs</w:t>
              </w:r>
              <w:r w:rsidR="00E62DE7">
                <w:rPr>
                  <w:iCs/>
                </w:rPr>
                <w:softHyphen/>
              </w:r>
              <w:r w:rsidRPr="00344C35">
                <w:rPr>
                  <w:iCs/>
                </w:rPr>
                <w:t>tības plānošanas dokumentu izstrādes un ietekmes izvērtēšanas noteikumi</w:t>
              </w:r>
            </w:hyperlink>
            <w:r w:rsidR="00241F4C">
              <w:rPr>
                <w:iCs/>
              </w:rPr>
              <w:t>"</w:t>
            </w:r>
            <w:r w:rsidRPr="00344C35">
              <w:rPr>
                <w:iCs/>
              </w:rPr>
              <w:t xml:space="preserve"> 25.punkts</w:t>
            </w:r>
          </w:p>
        </w:tc>
      </w:tr>
      <w:tr w:rsidR="00FA338D" w:rsidRPr="00344C35" w14:paraId="19D83D90" w14:textId="77777777" w:rsidTr="00B05965">
        <w:tc>
          <w:tcPr>
            <w:tcW w:w="396" w:type="dxa"/>
          </w:tcPr>
          <w:p w14:paraId="19D83D88" w14:textId="77777777" w:rsidR="00FA338D" w:rsidRPr="00344C35" w:rsidRDefault="00FA338D" w:rsidP="00241F4C">
            <w:pPr>
              <w:pStyle w:val="naislab"/>
              <w:spacing w:before="0" w:after="0"/>
              <w:jc w:val="center"/>
              <w:outlineLvl w:val="0"/>
            </w:pPr>
            <w:r w:rsidRPr="00344C35">
              <w:t>2.</w:t>
            </w:r>
          </w:p>
        </w:tc>
        <w:tc>
          <w:tcPr>
            <w:tcW w:w="2374" w:type="dxa"/>
          </w:tcPr>
          <w:p w14:paraId="19D83D89" w14:textId="77777777" w:rsidR="00FA338D" w:rsidRPr="00344C35" w:rsidRDefault="00FA338D" w:rsidP="00241F4C">
            <w:pPr>
              <w:pStyle w:val="naislab"/>
              <w:spacing w:before="0" w:after="0"/>
              <w:jc w:val="both"/>
              <w:outlineLvl w:val="0"/>
            </w:pPr>
            <w:r w:rsidRPr="00344C35">
              <w:t>Pašreizējā situācija un problēmas</w:t>
            </w:r>
          </w:p>
        </w:tc>
        <w:tc>
          <w:tcPr>
            <w:tcW w:w="6769" w:type="dxa"/>
          </w:tcPr>
          <w:p w14:paraId="19D83D8A" w14:textId="5BE2B126" w:rsidR="000C3D81" w:rsidRPr="00344C35" w:rsidRDefault="000C3D81" w:rsidP="00241F4C">
            <w:pPr>
              <w:jc w:val="both"/>
            </w:pPr>
            <w:r w:rsidRPr="00344C35">
              <w:t>Ministru kabineta</w:t>
            </w:r>
            <w:r w:rsidR="008B0F92" w:rsidRPr="00344C35">
              <w:t xml:space="preserve"> 2011.gada 4.janvāra </w:t>
            </w:r>
            <w:r w:rsidRPr="00344C35">
              <w:t xml:space="preserve">instrukcija </w:t>
            </w:r>
            <w:r w:rsidR="00241F4C">
              <w:t>"</w:t>
            </w:r>
            <w:r w:rsidR="00B20919" w:rsidRPr="00344C35">
              <w:t>Kārtība, kādā izstrādā un aktualizē institūcijas darbības stratēģiju un novērtē tās ie</w:t>
            </w:r>
            <w:r w:rsidR="00E41C9A" w:rsidRPr="00344C35">
              <w:t>viešanu</w:t>
            </w:r>
            <w:r w:rsidR="00241F4C">
              <w:t>"</w:t>
            </w:r>
            <w:r w:rsidR="00E41C9A" w:rsidRPr="00344C35">
              <w:t xml:space="preserve"> (turpmāk – instrukcija</w:t>
            </w:r>
            <w:r w:rsidR="00B20919" w:rsidRPr="00344C35">
              <w:t>) izstrādāt</w:t>
            </w:r>
            <w:r w:rsidRPr="00344C35">
              <w:t>a</w:t>
            </w:r>
            <w:r w:rsidR="00B20919" w:rsidRPr="00344C35">
              <w:t xml:space="preserve">, pamatojoties uz Ministru kabineta 2009.gada 13.oktobra noteikumu Nr.1178 </w:t>
            </w:r>
            <w:r w:rsidR="00241F4C">
              <w:t>"</w:t>
            </w:r>
            <w:r w:rsidR="00B20919" w:rsidRPr="00344C35">
              <w:t>Attīs</w:t>
            </w:r>
            <w:r w:rsidR="00A11447">
              <w:softHyphen/>
            </w:r>
            <w:r w:rsidR="00B20919" w:rsidRPr="00344C35">
              <w:t>tības plānošanas dokumentu izstrādes un ietekmes izvērtēšanas noteikumi</w:t>
            </w:r>
            <w:r w:rsidR="00241F4C">
              <w:t>"</w:t>
            </w:r>
            <w:r w:rsidR="00B20919" w:rsidRPr="00344C35">
              <w:t xml:space="preserve"> 25.punktu</w:t>
            </w:r>
            <w:r w:rsidR="00FC50CB" w:rsidRPr="00344C35">
              <w:t xml:space="preserve">, kas nosaka, ka </w:t>
            </w:r>
            <w:r w:rsidR="00241F4C">
              <w:t>"</w:t>
            </w:r>
            <w:r w:rsidR="00FC50CB" w:rsidRPr="00344C35">
              <w:t>i</w:t>
            </w:r>
            <w:r w:rsidR="00B20919" w:rsidRPr="00344C35">
              <w:t>nstitūcijas darbības stratēģijas saturu, kā arī kārtību, kādā to izstrādā, aktualizē un novērtē tās ieviešanu, nosak</w:t>
            </w:r>
            <w:r w:rsidR="00FC50CB" w:rsidRPr="00344C35">
              <w:t>a Ministru kabineta instrukcija</w:t>
            </w:r>
            <w:r w:rsidR="00241F4C">
              <w:t>"</w:t>
            </w:r>
            <w:r w:rsidR="00B20919" w:rsidRPr="00344C35">
              <w:t xml:space="preserve">. </w:t>
            </w:r>
          </w:p>
          <w:p w14:paraId="19D83D8B" w14:textId="22B2F412" w:rsidR="000C3D81" w:rsidRPr="00344C35" w:rsidRDefault="00B20919" w:rsidP="00241F4C">
            <w:pPr>
              <w:jc w:val="both"/>
            </w:pPr>
            <w:r w:rsidRPr="00344C35">
              <w:t>Instrukcija izstrādāta, lai nodrošinātu, ka katrā nozarē tiek definētas vidēja termiņa prioritātes, izvirzīti mērķi un sasniedzamie rezultāti, pamatojoties uz vidēja termiņa budžeta prognozi. Stratēģiju izstrāde atbilstoši vieno</w:t>
            </w:r>
            <w:r w:rsidR="00E62DE7">
              <w:t>tai kārtībai atvieglos ikgadējā</w:t>
            </w:r>
            <w:r w:rsidRPr="00344C35">
              <w:t xml:space="preserve"> budžeta veidošanas sarun</w:t>
            </w:r>
            <w:r w:rsidR="00E62DE7">
              <w:t>u gaitu</w:t>
            </w:r>
            <w:r w:rsidRPr="00344C35">
              <w:t xml:space="preserve">, laikus iezīmējot </w:t>
            </w:r>
            <w:r w:rsidR="008E02D9" w:rsidRPr="00344C35">
              <w:t>būtiskākos iestādes mērķus un lēmu</w:t>
            </w:r>
            <w:r w:rsidR="00A11447">
              <w:softHyphen/>
            </w:r>
            <w:r w:rsidR="008E02D9" w:rsidRPr="00344C35">
              <w:t>mus</w:t>
            </w:r>
            <w:r w:rsidRPr="00344C35">
              <w:t xml:space="preserve">. </w:t>
            </w:r>
          </w:p>
          <w:p w14:paraId="19D83D8C" w14:textId="77777777" w:rsidR="000C3D81" w:rsidRPr="00344C35" w:rsidRDefault="00B20919" w:rsidP="00241F4C">
            <w:pPr>
              <w:jc w:val="both"/>
            </w:pPr>
            <w:r w:rsidRPr="00344C35">
              <w:t>Instrukcijas noslēguma jautājumos noteikts, ka nākamais plānošanas cikls ilgst no 2012. līdz 2014.gadam, bet stratēģiju projektus izskatīšanai Ministru kabinetā iesniedz līdz 2012.gada 1.martam.</w:t>
            </w:r>
          </w:p>
          <w:p w14:paraId="19D83D8D" w14:textId="504AACD0" w:rsidR="00B2258B" w:rsidRPr="00344C35" w:rsidRDefault="000C3D81" w:rsidP="00241F4C">
            <w:pPr>
              <w:jc w:val="both"/>
            </w:pPr>
            <w:r w:rsidRPr="00344C35">
              <w:t>Tomēr</w:t>
            </w:r>
            <w:r w:rsidR="00E62DE7">
              <w:t>,</w:t>
            </w:r>
            <w:r w:rsidRPr="00344C35">
              <w:t xml:space="preserve"> ņemot vērā</w:t>
            </w:r>
            <w:r w:rsidR="00E62DE7">
              <w:t xml:space="preserve">, </w:t>
            </w:r>
            <w:r w:rsidRPr="00344C35">
              <w:t xml:space="preserve">ka </w:t>
            </w:r>
            <w:r w:rsidR="008E02D9" w:rsidRPr="00344C35">
              <w:t xml:space="preserve">sakarā ar </w:t>
            </w:r>
            <w:r w:rsidRPr="00344C35">
              <w:t xml:space="preserve">ārkārtas </w:t>
            </w:r>
            <w:r w:rsidR="008E02D9" w:rsidRPr="00344C35">
              <w:t>11.</w:t>
            </w:r>
            <w:r w:rsidRPr="00344C35">
              <w:t>Saeimas vēl</w:t>
            </w:r>
            <w:r w:rsidR="008E02D9" w:rsidRPr="00344C35">
              <w:t xml:space="preserve">ēšanām likums </w:t>
            </w:r>
            <w:r w:rsidR="00241F4C">
              <w:t>"</w:t>
            </w:r>
            <w:r w:rsidR="008E02D9" w:rsidRPr="00344C35">
              <w:t>Par valsts budžetu 2012.gadam</w:t>
            </w:r>
            <w:r w:rsidR="00241F4C">
              <w:t>"</w:t>
            </w:r>
            <w:r w:rsidR="008E02D9" w:rsidRPr="00344C35">
              <w:t xml:space="preserve"> tika apsti</w:t>
            </w:r>
            <w:r w:rsidR="00555FFD" w:rsidRPr="00344C35">
              <w:t xml:space="preserve">prināts tikai 2011.gada </w:t>
            </w:r>
            <w:r w:rsidR="00654723" w:rsidRPr="00344C35">
              <w:t>15.</w:t>
            </w:r>
            <w:r w:rsidR="00555FFD" w:rsidRPr="00344C35">
              <w:t>decembrī, institūcijas darbības stratēģijas izst</w:t>
            </w:r>
            <w:r w:rsidR="00CB5932" w:rsidRPr="00344C35">
              <w:t xml:space="preserve">rādi nevarēja uzsākt </w:t>
            </w:r>
            <w:r w:rsidR="00E62DE7">
              <w:t>laikus</w:t>
            </w:r>
            <w:r w:rsidR="00CB5932" w:rsidRPr="00344C35">
              <w:t xml:space="preserve">. Papildus </w:t>
            </w:r>
            <w:r w:rsidR="00CB5932" w:rsidRPr="00344C35">
              <w:rPr>
                <w:rFonts w:eastAsia="Calibri"/>
              </w:rPr>
              <w:t xml:space="preserve">2012.gada 1.janvārī </w:t>
            </w:r>
            <w:r w:rsidR="00B2258B" w:rsidRPr="00344C35">
              <w:rPr>
                <w:rFonts w:eastAsia="Calibri"/>
              </w:rPr>
              <w:t>stājās spēkā grozījumi Likumā par budžet</w:t>
            </w:r>
            <w:r w:rsidR="006659F7">
              <w:rPr>
                <w:rFonts w:eastAsia="Calibri"/>
              </w:rPr>
              <w:t>u</w:t>
            </w:r>
            <w:r w:rsidR="00B2258B" w:rsidRPr="00344C35">
              <w:rPr>
                <w:rFonts w:eastAsia="Calibri"/>
              </w:rPr>
              <w:t xml:space="preserve"> un finanšu vadību</w:t>
            </w:r>
            <w:r w:rsidR="00CB5932" w:rsidRPr="00344C35">
              <w:rPr>
                <w:rFonts w:eastAsia="Calibri"/>
              </w:rPr>
              <w:t>, kas paredz, ka f</w:t>
            </w:r>
            <w:r w:rsidR="00CB5932" w:rsidRPr="00344C35">
              <w:t>inanšu ministrs ir atbildīgs par vidēja termiņa budžeta ietvara likuma projekta, gadskārtējā valsts budžeta likuma projekta (budžeta likumprojektu paketes) un tam pievienojamo paskaidro</w:t>
            </w:r>
            <w:r w:rsidR="00A11447">
              <w:softHyphen/>
            </w:r>
            <w:r w:rsidR="00CB5932" w:rsidRPr="00344C35">
              <w:t>jumu izstrādāšanu</w:t>
            </w:r>
            <w:r w:rsidR="00CB5932" w:rsidRPr="00344C35">
              <w:rPr>
                <w:rFonts w:eastAsia="Calibri"/>
              </w:rPr>
              <w:t>. Likums nosaka, ka f</w:t>
            </w:r>
            <w:r w:rsidR="00CB5932" w:rsidRPr="00344C35">
              <w:t>inanšu ministrs katru gadu izstrādā vidēja termiņa budžeta ietvara likuma projektu nākamajiem trim saimnieciskajiem gadiem un iesniedz to Ministru kabinet</w:t>
            </w:r>
            <w:r w:rsidR="00E62DE7">
              <w:t>ā</w:t>
            </w:r>
            <w:r w:rsidR="00CB5932" w:rsidRPr="00344C35">
              <w:t>, tajā nosakot maksimāli pieļaujamo valsts budžeta izdevumu kopapjomu, kā arī maksimāli pieļaujamo valsts budžeta kopējo izdevumu apjomu katrai ministrijai un citai centrālajai valsts iestādei.</w:t>
            </w:r>
            <w:r w:rsidR="00B2258B" w:rsidRPr="00344C35">
              <w:t xml:space="preserve"> </w:t>
            </w:r>
            <w:r w:rsidR="00CB5932" w:rsidRPr="00344C35">
              <w:t>Saskaņā ar Likuma par budžetu un finanšu vadību pārejas noteikumu 62.punktu līdz 2012.gada 1.oktobrim kopā ar likum</w:t>
            </w:r>
            <w:r w:rsidR="006659F7">
              <w:t>projektu</w:t>
            </w:r>
            <w:r w:rsidR="00CB5932" w:rsidRPr="00344C35">
              <w:t xml:space="preserve"> </w:t>
            </w:r>
            <w:r w:rsidR="00241F4C">
              <w:t>"</w:t>
            </w:r>
            <w:r w:rsidR="00CB5932" w:rsidRPr="00344C35">
              <w:t>Par valsts budžetu 2013.gadam</w:t>
            </w:r>
            <w:r w:rsidR="00241F4C">
              <w:t>"</w:t>
            </w:r>
            <w:r w:rsidR="00CB5932" w:rsidRPr="00344C35">
              <w:t xml:space="preserve"> (budžeta likumprojektu paketē) Ministru kabinets iesniegs Saeim</w:t>
            </w:r>
            <w:r w:rsidR="005C3DF8">
              <w:t>ā</w:t>
            </w:r>
            <w:r w:rsidR="00CB5932" w:rsidRPr="00344C35">
              <w:t xml:space="preserve"> Vidēja termiņa budžeta ietvara likuma 2013.</w:t>
            </w:r>
            <w:r w:rsidR="005C3DF8">
              <w:t>–</w:t>
            </w:r>
            <w:r w:rsidR="00CB5932" w:rsidRPr="00344C35">
              <w:t>2015.gadam projektu, kurš būtu uzskatāms par pamatu finansējuma norādīšanai institū</w:t>
            </w:r>
            <w:r w:rsidR="005C3DF8">
              <w:t xml:space="preserve">cijas darbības stratēģijā 2013.gadam </w:t>
            </w:r>
            <w:r w:rsidR="00CB5932" w:rsidRPr="00344C35">
              <w:t>un turpmāk</w:t>
            </w:r>
            <w:r w:rsidR="005C3DF8">
              <w:t>aj</w:t>
            </w:r>
            <w:r w:rsidR="00CB5932" w:rsidRPr="00344C35">
              <w:t>iem gadiem.</w:t>
            </w:r>
            <w:r w:rsidR="00B2258B" w:rsidRPr="00344C35">
              <w:t xml:space="preserve"> Savukārt </w:t>
            </w:r>
            <w:r w:rsidR="00CB5932" w:rsidRPr="00344C35">
              <w:t>turpmāk saskaņā ar Likuma par budžetu un finanšu vadību 16</w:t>
            </w:r>
            <w:r w:rsidR="005C3DF8">
              <w:t>.</w:t>
            </w:r>
            <w:r w:rsidR="00CB5932" w:rsidRPr="00344C35">
              <w:rPr>
                <w:vertAlign w:val="superscript"/>
              </w:rPr>
              <w:t>2</w:t>
            </w:r>
            <w:r w:rsidR="005C3DF8">
              <w:t> </w:t>
            </w:r>
            <w:r w:rsidR="00B2258B" w:rsidRPr="00344C35">
              <w:t xml:space="preserve">panta </w:t>
            </w:r>
            <w:r w:rsidR="008C19A6">
              <w:t>desmito daļu</w:t>
            </w:r>
            <w:r w:rsidR="00CB5932" w:rsidRPr="00344C35">
              <w:t xml:space="preserve"> Ministru kabinet</w:t>
            </w:r>
            <w:r w:rsidR="00A11447">
              <w:t>s</w:t>
            </w:r>
            <w:r w:rsidR="00CB5932" w:rsidRPr="00344C35">
              <w:t xml:space="preserve"> Vidēja</w:t>
            </w:r>
            <w:r w:rsidR="00A11447">
              <w:t xml:space="preserve"> termiņa budžeta ietvara likuma </w:t>
            </w:r>
            <w:r w:rsidR="00CB5932" w:rsidRPr="00344C35">
              <w:t>projekt</w:t>
            </w:r>
            <w:r w:rsidR="00A11447">
              <w:t>u</w:t>
            </w:r>
            <w:r w:rsidR="00CB5932" w:rsidRPr="00344C35">
              <w:t xml:space="preserve"> </w:t>
            </w:r>
            <w:r w:rsidR="00CB5932" w:rsidRPr="00344C35">
              <w:lastRenderedPageBreak/>
              <w:t>trim turpmākajiem gadiem iesniedz Saeim</w:t>
            </w:r>
            <w:r w:rsidR="005C3DF8">
              <w:t>ā</w:t>
            </w:r>
            <w:r w:rsidR="00CB5932" w:rsidRPr="00344C35">
              <w:t xml:space="preserve"> līdz kārtējā gada 30.aprīlim.</w:t>
            </w:r>
          </w:p>
          <w:p w14:paraId="19D83D8E" w14:textId="76CD3D44" w:rsidR="00B20919" w:rsidRPr="00344C35" w:rsidRDefault="00B2258B" w:rsidP="00241F4C">
            <w:pPr>
              <w:jc w:val="both"/>
            </w:pPr>
            <w:r w:rsidRPr="00344C35">
              <w:t xml:space="preserve">Ņemot vērā visus minētos apstākļus, </w:t>
            </w:r>
            <w:r w:rsidR="00CB5932" w:rsidRPr="00344C35">
              <w:t>institūcijas darbības stratēģijas nāk</w:t>
            </w:r>
            <w:r w:rsidR="005C3DF8">
              <w:t>amajam</w:t>
            </w:r>
            <w:r w:rsidR="00CB5932" w:rsidRPr="00344C35">
              <w:t xml:space="preserve"> plānošanas periodam racionālāk būtu izstrādāt 2013.</w:t>
            </w:r>
            <w:r w:rsidR="005C3DF8">
              <w:t>–</w:t>
            </w:r>
            <w:r w:rsidR="00CB5932" w:rsidRPr="00344C35">
              <w:t>2015.gada plānošanas ciklam saskaņā ar Vidēja termiņa budžeta</w:t>
            </w:r>
            <w:r w:rsidRPr="00344C35">
              <w:t xml:space="preserve"> ietvara likumu, </w:t>
            </w:r>
            <w:r w:rsidR="00FC50CB" w:rsidRPr="00344C35">
              <w:t>līdz ar to</w:t>
            </w:r>
            <w:r w:rsidRPr="00344C35">
              <w:t xml:space="preserve"> </w:t>
            </w:r>
            <w:r w:rsidR="00FC50CB" w:rsidRPr="00344C35">
              <w:t xml:space="preserve">būtu </w:t>
            </w:r>
            <w:r w:rsidRPr="00344C35">
              <w:t xml:space="preserve">nepieciešams noteikt </w:t>
            </w:r>
            <w:r w:rsidR="00FC50CB" w:rsidRPr="00344C35">
              <w:t xml:space="preserve">arī </w:t>
            </w:r>
            <w:r w:rsidRPr="00344C35">
              <w:t xml:space="preserve">jaunu </w:t>
            </w:r>
            <w:r w:rsidR="003A68E5" w:rsidRPr="00344C35">
              <w:t>termiņu institūcij</w:t>
            </w:r>
            <w:r w:rsidR="00CB5932" w:rsidRPr="00344C35">
              <w:t xml:space="preserve">u darbības stratēģiju izstrādei un iesniegšanai izskatīšanai Ministru kabinetā. </w:t>
            </w:r>
          </w:p>
          <w:p w14:paraId="19D83D8F" w14:textId="00DA1096" w:rsidR="008B0F92" w:rsidRPr="00344C35" w:rsidRDefault="008B0F92" w:rsidP="006659F7">
            <w:pPr>
              <w:jc w:val="both"/>
            </w:pPr>
            <w:r w:rsidRPr="00344C35">
              <w:t xml:space="preserve">Grozījumi attiecībā uz institūciju darbības stratēģiju saturu </w:t>
            </w:r>
            <w:r w:rsidRPr="00344C35">
              <w:rPr>
                <w:bCs/>
                <w:lang w:eastAsia="en-US"/>
              </w:rPr>
              <w:t xml:space="preserve">instrukcijā varētu tikt veikti pēc Finanšu ministrijas </w:t>
            </w:r>
            <w:r w:rsidRPr="00344C35">
              <w:t xml:space="preserve">izstrādātajiem grozījumiem normatīvajos aktos saistībā ar budžeta plānošanu </w:t>
            </w:r>
            <w:r w:rsidR="00617DD9">
              <w:t xml:space="preserve">un </w:t>
            </w:r>
            <w:r w:rsidRPr="00344C35">
              <w:t xml:space="preserve">pēc </w:t>
            </w:r>
            <w:proofErr w:type="spellStart"/>
            <w:r w:rsidRPr="00344C35">
              <w:t>Pārresoru</w:t>
            </w:r>
            <w:proofErr w:type="spellEnd"/>
            <w:r w:rsidRPr="00344C35">
              <w:t xml:space="preserve"> koordinācijas centra </w:t>
            </w:r>
            <w:r w:rsidR="00FC50CB" w:rsidRPr="00344C35">
              <w:rPr>
                <w:rFonts w:eastAsia="Calibri"/>
              </w:rPr>
              <w:t>veiktās kompleksās</w:t>
            </w:r>
            <w:r w:rsidRPr="00344C35">
              <w:rPr>
                <w:rFonts w:eastAsia="Calibri"/>
              </w:rPr>
              <w:t xml:space="preserve"> attīstības </w:t>
            </w:r>
            <w:r w:rsidR="00FC50CB" w:rsidRPr="00344C35">
              <w:rPr>
                <w:rFonts w:eastAsia="Calibri"/>
              </w:rPr>
              <w:t xml:space="preserve">plānošanas sistēmas izvērtēšanas rezultātu </w:t>
            </w:r>
            <w:r w:rsidR="00560C85">
              <w:rPr>
                <w:rFonts w:eastAsia="Calibri"/>
              </w:rPr>
              <w:t>apkopošanas</w:t>
            </w:r>
            <w:r w:rsidRPr="00344C35">
              <w:rPr>
                <w:rFonts w:eastAsia="Calibri"/>
              </w:rPr>
              <w:t>.</w:t>
            </w:r>
            <w:r w:rsidRPr="00344C35">
              <w:t xml:space="preserve"> </w:t>
            </w:r>
            <w:r w:rsidR="009E55E6">
              <w:t xml:space="preserve">Līdz ar to šobrīd par nelietderīgu uzskatāms Valsts kancelejai </w:t>
            </w:r>
            <w:r w:rsidR="001C331C" w:rsidRPr="009E55E6">
              <w:t>Valsts sekretāru sanāksmē</w:t>
            </w:r>
            <w:r w:rsidR="009E55E6" w:rsidRPr="009E55E6">
              <w:t>s</w:t>
            </w:r>
            <w:r w:rsidR="001C331C" w:rsidRPr="009E55E6">
              <w:t xml:space="preserve"> 20</w:t>
            </w:r>
            <w:r w:rsidR="009E55E6" w:rsidRPr="009E55E6">
              <w:t>11.gada 8.decembrī (prot.</w:t>
            </w:r>
            <w:r w:rsidR="005C3DF8">
              <w:t> </w:t>
            </w:r>
            <w:r w:rsidR="009E55E6" w:rsidRPr="009E55E6">
              <w:t>Nr.48 26.§) un 22.decem</w:t>
            </w:r>
            <w:r w:rsidR="005C3DF8">
              <w:softHyphen/>
            </w:r>
            <w:r w:rsidR="009E55E6" w:rsidRPr="009E55E6">
              <w:t xml:space="preserve">brī </w:t>
            </w:r>
            <w:r w:rsidR="001C331C" w:rsidRPr="009E55E6">
              <w:t>(prot.</w:t>
            </w:r>
            <w:r w:rsidR="005C3DF8">
              <w:t> </w:t>
            </w:r>
            <w:r w:rsidR="001C331C" w:rsidRPr="009E55E6">
              <w:t xml:space="preserve">Nr.50 56.§) </w:t>
            </w:r>
            <w:r w:rsidR="009E55E6" w:rsidRPr="009E55E6">
              <w:t>dotais uzdevums sagatavot informatīvo ziņojumu</w:t>
            </w:r>
            <w:r w:rsidR="006659F7">
              <w:t>,</w:t>
            </w:r>
            <w:r w:rsidR="009E55E6">
              <w:t xml:space="preserve"> un šād</w:t>
            </w:r>
            <w:r w:rsidR="005C3DF8">
              <w:t>s</w:t>
            </w:r>
            <w:r w:rsidR="009E55E6">
              <w:t xml:space="preserve"> informatīv</w:t>
            </w:r>
            <w:r w:rsidR="005C3DF8">
              <w:t>ais</w:t>
            </w:r>
            <w:r w:rsidR="009E55E6">
              <w:t xml:space="preserve"> ziņo</w:t>
            </w:r>
            <w:r w:rsidR="005C3DF8">
              <w:t>jums netiks sagatavots</w:t>
            </w:r>
            <w:proofErr w:type="gramStart"/>
            <w:r w:rsidR="009E55E6">
              <w:t xml:space="preserve"> </w:t>
            </w:r>
            <w:r w:rsidR="001C331C" w:rsidRPr="00A51293">
              <w:rPr>
                <w:rFonts w:eastAsia="Calibri"/>
                <w:sz w:val="28"/>
                <w:szCs w:val="28"/>
                <w:highlight w:val="yellow"/>
                <w:lang w:bidi="lo-LA"/>
              </w:rPr>
              <w:t xml:space="preserve"> </w:t>
            </w:r>
            <w:proofErr w:type="gramEnd"/>
          </w:p>
        </w:tc>
      </w:tr>
      <w:tr w:rsidR="00FA338D" w:rsidRPr="00344C35" w14:paraId="19D83D94" w14:textId="77777777" w:rsidTr="00B05965">
        <w:tc>
          <w:tcPr>
            <w:tcW w:w="396" w:type="dxa"/>
          </w:tcPr>
          <w:p w14:paraId="19D83D91" w14:textId="77777777" w:rsidR="00FA338D" w:rsidRPr="00344C35" w:rsidRDefault="00FA338D" w:rsidP="00241F4C">
            <w:pPr>
              <w:pStyle w:val="naislab"/>
              <w:spacing w:before="0" w:after="0"/>
              <w:jc w:val="center"/>
              <w:outlineLvl w:val="0"/>
            </w:pPr>
            <w:r w:rsidRPr="00344C35">
              <w:lastRenderedPageBreak/>
              <w:t>3.</w:t>
            </w:r>
          </w:p>
        </w:tc>
        <w:tc>
          <w:tcPr>
            <w:tcW w:w="2374" w:type="dxa"/>
          </w:tcPr>
          <w:p w14:paraId="19D83D92" w14:textId="77777777" w:rsidR="00FA338D" w:rsidRPr="00344C35" w:rsidRDefault="00FA338D" w:rsidP="00241F4C">
            <w:pPr>
              <w:pStyle w:val="naislab"/>
              <w:spacing w:before="0" w:after="0"/>
              <w:jc w:val="both"/>
              <w:outlineLvl w:val="0"/>
            </w:pPr>
            <w:r w:rsidRPr="00344C35">
              <w:t>Saistītie politikas ietekmes novērtējumi un pētījumi</w:t>
            </w:r>
          </w:p>
        </w:tc>
        <w:tc>
          <w:tcPr>
            <w:tcW w:w="6769" w:type="dxa"/>
          </w:tcPr>
          <w:p w14:paraId="19D83D93" w14:textId="669657CC" w:rsidR="00FA338D" w:rsidRPr="00344C35" w:rsidRDefault="00FC0548" w:rsidP="00241F4C">
            <w:pPr>
              <w:jc w:val="both"/>
            </w:pPr>
            <w:r>
              <w:t>Instrukcijas projekts šo jomu neskar</w:t>
            </w:r>
          </w:p>
        </w:tc>
      </w:tr>
      <w:tr w:rsidR="00FA338D" w:rsidRPr="00344C35" w14:paraId="19D83D9A" w14:textId="77777777" w:rsidTr="00B05965">
        <w:tc>
          <w:tcPr>
            <w:tcW w:w="396" w:type="dxa"/>
          </w:tcPr>
          <w:p w14:paraId="19D83D95" w14:textId="77777777" w:rsidR="00FA338D" w:rsidRPr="00344C35" w:rsidRDefault="00FA338D" w:rsidP="00241F4C">
            <w:pPr>
              <w:pStyle w:val="naislab"/>
              <w:spacing w:before="0" w:after="0"/>
              <w:jc w:val="center"/>
              <w:outlineLvl w:val="0"/>
            </w:pPr>
            <w:r w:rsidRPr="00344C35">
              <w:t>4.</w:t>
            </w:r>
          </w:p>
        </w:tc>
        <w:tc>
          <w:tcPr>
            <w:tcW w:w="2374" w:type="dxa"/>
          </w:tcPr>
          <w:p w14:paraId="19D83D96" w14:textId="77777777" w:rsidR="00FA338D" w:rsidRPr="00344C35" w:rsidRDefault="00FA338D" w:rsidP="00241F4C">
            <w:pPr>
              <w:pStyle w:val="naislab"/>
              <w:spacing w:before="0" w:after="0"/>
              <w:jc w:val="both"/>
              <w:outlineLvl w:val="0"/>
            </w:pPr>
            <w:r w:rsidRPr="00344C35">
              <w:t>Tiesiskā regulējuma mērķis un būtība</w:t>
            </w:r>
          </w:p>
        </w:tc>
        <w:tc>
          <w:tcPr>
            <w:tcW w:w="6769" w:type="dxa"/>
          </w:tcPr>
          <w:p w14:paraId="19D83D97" w14:textId="33A7EAE0" w:rsidR="001D0F94" w:rsidRPr="00344C35" w:rsidRDefault="00E41C9A" w:rsidP="00241F4C">
            <w:pPr>
              <w:jc w:val="both"/>
            </w:pPr>
            <w:r w:rsidRPr="00344C35">
              <w:t>Instrukcijas</w:t>
            </w:r>
            <w:r w:rsidR="00CA1002" w:rsidRPr="00344C35">
              <w:t xml:space="preserve"> </w:t>
            </w:r>
            <w:r w:rsidR="006659F7" w:rsidRPr="00344C35">
              <w:t xml:space="preserve">projekta </w:t>
            </w:r>
            <w:r w:rsidR="00241F4C">
              <w:t>"</w:t>
            </w:r>
            <w:r w:rsidR="00FC50CB" w:rsidRPr="00344C35">
              <w:t xml:space="preserve">Grozījumi Ministru kabineta 2011.gada 4.janvāra instrukcijā Nr.1 </w:t>
            </w:r>
            <w:r w:rsidR="00241F4C">
              <w:t>"</w:t>
            </w:r>
            <w:r w:rsidR="00FC50CB" w:rsidRPr="00344C35">
              <w:t>Kārtība, kādā izstrādā un aktualizē institūcijas darbības stratēģiju un novērtē tās ieviešanu</w:t>
            </w:r>
            <w:r w:rsidR="00241F4C">
              <w:t>""</w:t>
            </w:r>
            <w:r w:rsidR="00FC50CB" w:rsidRPr="00344C35">
              <w:t xml:space="preserve"> </w:t>
            </w:r>
            <w:r w:rsidR="006659F7">
              <w:br/>
            </w:r>
            <w:r w:rsidR="00FC50CB" w:rsidRPr="00344C35">
              <w:t xml:space="preserve">(turpmāk – instrukcijas projekts) </w:t>
            </w:r>
            <w:r w:rsidR="007E018A" w:rsidRPr="00344C35">
              <w:t xml:space="preserve">mērķis ir </w:t>
            </w:r>
            <w:r w:rsidR="00B2258B" w:rsidRPr="00344C35">
              <w:t xml:space="preserve">saskaņot institūciju darbības plānošanas instrumenta – darbības stratēģijas </w:t>
            </w:r>
            <w:r w:rsidR="005C3DF8">
              <w:t xml:space="preserve">– </w:t>
            </w:r>
            <w:r w:rsidR="00B2258B" w:rsidRPr="00344C35">
              <w:t xml:space="preserve">izstrādi ar </w:t>
            </w:r>
            <w:r w:rsidR="008B0F92" w:rsidRPr="00344C35">
              <w:t xml:space="preserve">aktuālo pieeju budžeta plānošanā, saskaņojot gan plānošanas ciklu, gan arī termiņu izstrādāto darbības stratēģiju iesniegšanai izskatīšanai Ministru kabinetā. </w:t>
            </w:r>
          </w:p>
          <w:p w14:paraId="19D83D98" w14:textId="245C717F" w:rsidR="007E018A" w:rsidRPr="00344C35" w:rsidRDefault="00FC50CB" w:rsidP="00241F4C">
            <w:pPr>
              <w:jc w:val="both"/>
            </w:pPr>
            <w:r w:rsidRPr="00344C35">
              <w:t>Instrukcijas projekta būtība ir noteikt, ka nākamais plānošanas cikls ilgst no 2013. līdz 2015.gadam</w:t>
            </w:r>
            <w:r w:rsidR="00260C5D" w:rsidRPr="00344C35">
              <w:t xml:space="preserve"> un institūcijas darbības stratēģijas projektus izskatīšanai Ministru kabinetā iesniedz līdz 2013.gada 30.aprīlim. Papildus instrukcijas projekts paredz precizēt darbības stratēģijas aktualizācijas atspoguļošanas termiņa piemēru instrukcijas 6.punktā, atbilstoši grozījumam par darbības stratēģijas plānošanas ciklu noteikt, ka n gads ir 20</w:t>
            </w:r>
            <w:r w:rsidR="001D0F94" w:rsidRPr="00344C35">
              <w:t xml:space="preserve">12.gads, kā arī </w:t>
            </w:r>
            <w:r w:rsidR="005C3DF8">
              <w:t>svītrot</w:t>
            </w:r>
            <w:r w:rsidR="001D0F94" w:rsidRPr="00344C35">
              <w:t xml:space="preserve"> no instrukcijas 35.punktu, ņemot vērā, ka darbības stratēģijas </w:t>
            </w:r>
            <w:proofErr w:type="spellStart"/>
            <w:r w:rsidR="00A11447">
              <w:t>aktuāli</w:t>
            </w:r>
            <w:r w:rsidR="00A11447">
              <w:softHyphen/>
            </w:r>
            <w:r w:rsidR="001D0F94" w:rsidRPr="00344C35">
              <w:t>zācijas</w:t>
            </w:r>
            <w:proofErr w:type="spellEnd"/>
            <w:r w:rsidR="001D0F94" w:rsidRPr="00344C35">
              <w:t xml:space="preserve"> kārtība jau noteikt</w:t>
            </w:r>
            <w:r w:rsidR="00251F9C">
              <w:t xml:space="preserve">a instrukcijas 17. un 18.punktā. No instrukcijas tiek svītrots arī 37.punkts, ņemot vērā, ka uzdevuma izpildei termiņš ir pagājis. </w:t>
            </w:r>
          </w:p>
          <w:p w14:paraId="19D83D99" w14:textId="3D83A575" w:rsidR="001D0F94" w:rsidRPr="00344C35" w:rsidRDefault="001D0F94" w:rsidP="005C3DF8">
            <w:pPr>
              <w:jc w:val="both"/>
            </w:pPr>
            <w:r w:rsidRPr="00344C35">
              <w:t xml:space="preserve">Veicot grozījumus instrukcijā piedāvātajā redakcijā, šīs sadaļas 2.punktā identificētā problēma tiks atrisināta pilnībā un institūcijas </w:t>
            </w:r>
            <w:r w:rsidR="005C3DF8">
              <w:t>laikus</w:t>
            </w:r>
            <w:r w:rsidRPr="00344C35">
              <w:t xml:space="preserve"> varēs uzsākt savu darbības stratēģiju izstrādi atbilstoši valsts budžeta plānošanas, izstrādes un saskaņošanas procesam</w:t>
            </w:r>
          </w:p>
        </w:tc>
      </w:tr>
      <w:tr w:rsidR="00FA338D" w:rsidRPr="00344C35" w14:paraId="19D83D9E" w14:textId="77777777" w:rsidTr="00B05965">
        <w:tc>
          <w:tcPr>
            <w:tcW w:w="396" w:type="dxa"/>
          </w:tcPr>
          <w:p w14:paraId="19D83D9B" w14:textId="77777777" w:rsidR="00FA338D" w:rsidRPr="00344C35" w:rsidRDefault="00FA338D" w:rsidP="00241F4C">
            <w:pPr>
              <w:pStyle w:val="naislab"/>
              <w:spacing w:before="0" w:after="0"/>
              <w:jc w:val="center"/>
              <w:outlineLvl w:val="0"/>
            </w:pPr>
            <w:r w:rsidRPr="00344C35">
              <w:t>5.</w:t>
            </w:r>
          </w:p>
        </w:tc>
        <w:tc>
          <w:tcPr>
            <w:tcW w:w="2374" w:type="dxa"/>
          </w:tcPr>
          <w:p w14:paraId="19D83D9C" w14:textId="77777777" w:rsidR="00FA338D" w:rsidRPr="00344C35" w:rsidRDefault="00FA338D" w:rsidP="005C3DF8">
            <w:pPr>
              <w:pStyle w:val="naislab"/>
              <w:spacing w:before="0" w:after="0"/>
              <w:jc w:val="left"/>
              <w:outlineLvl w:val="0"/>
            </w:pPr>
            <w:r w:rsidRPr="00344C35">
              <w:t>Projekta izstrādē iesaistītās institūcijas</w:t>
            </w:r>
          </w:p>
        </w:tc>
        <w:tc>
          <w:tcPr>
            <w:tcW w:w="6769" w:type="dxa"/>
          </w:tcPr>
          <w:p w14:paraId="19D83D9D" w14:textId="1D9C7593" w:rsidR="007E018A" w:rsidRPr="00344C35" w:rsidRDefault="001D0F94" w:rsidP="005C3DF8">
            <w:pPr>
              <w:pStyle w:val="naiskr"/>
              <w:spacing w:before="0" w:after="0"/>
              <w:jc w:val="both"/>
            </w:pPr>
            <w:r w:rsidRPr="00344C35">
              <w:t>Instrukcijas projektu izstrādāj</w:t>
            </w:r>
            <w:r w:rsidR="005C3DF8">
              <w:t>usi</w:t>
            </w:r>
            <w:r w:rsidRPr="00344C35">
              <w:t xml:space="preserve"> Valsts kanceleja ar Finanšu ministrijas, </w:t>
            </w:r>
            <w:proofErr w:type="spellStart"/>
            <w:r w:rsidRPr="00344C35">
              <w:t>Pārresoru</w:t>
            </w:r>
            <w:proofErr w:type="spellEnd"/>
            <w:r w:rsidRPr="00344C35">
              <w:t xml:space="preserve"> koordinācijas centra, </w:t>
            </w:r>
            <w:r w:rsidR="00344C35" w:rsidRPr="00344C35">
              <w:t xml:space="preserve">Tieslietu ministrijas, </w:t>
            </w:r>
            <w:r w:rsidRPr="00344C35">
              <w:t xml:space="preserve">Ekonomikas ministrijas, </w:t>
            </w:r>
            <w:r w:rsidR="00344C35" w:rsidRPr="00344C35">
              <w:t>Zemkopības ministrijas, Satiksmes ministrijas, Veselības ministrijas un Ārlietu ministrijas līdzdalību</w:t>
            </w:r>
          </w:p>
        </w:tc>
      </w:tr>
      <w:tr w:rsidR="00FA338D" w:rsidRPr="00344C35" w14:paraId="19D83DA2" w14:textId="77777777" w:rsidTr="00B05965">
        <w:tc>
          <w:tcPr>
            <w:tcW w:w="396" w:type="dxa"/>
          </w:tcPr>
          <w:p w14:paraId="19D83D9F" w14:textId="77777777" w:rsidR="00FA338D" w:rsidRPr="00344C35" w:rsidRDefault="00FA338D" w:rsidP="00241F4C">
            <w:pPr>
              <w:pStyle w:val="naislab"/>
              <w:spacing w:before="0" w:after="0"/>
              <w:jc w:val="center"/>
              <w:outlineLvl w:val="0"/>
            </w:pPr>
            <w:r w:rsidRPr="00344C35">
              <w:t>6.</w:t>
            </w:r>
          </w:p>
        </w:tc>
        <w:tc>
          <w:tcPr>
            <w:tcW w:w="2374" w:type="dxa"/>
          </w:tcPr>
          <w:p w14:paraId="19D83DA0" w14:textId="77777777" w:rsidR="00FA338D" w:rsidRPr="00344C35" w:rsidRDefault="00FA338D" w:rsidP="00A11447">
            <w:pPr>
              <w:pStyle w:val="naislab"/>
              <w:spacing w:before="0" w:after="0"/>
              <w:jc w:val="left"/>
              <w:outlineLvl w:val="0"/>
            </w:pPr>
            <w:r w:rsidRPr="00344C35">
              <w:t>Iemesli, kādēļ netika nodrošināta sabiedrības līdzdalība</w:t>
            </w:r>
          </w:p>
        </w:tc>
        <w:tc>
          <w:tcPr>
            <w:tcW w:w="6769" w:type="dxa"/>
          </w:tcPr>
          <w:p w14:paraId="19D83DA1" w14:textId="097ACEE9" w:rsidR="00FA338D" w:rsidRPr="00344C35" w:rsidRDefault="00344C35" w:rsidP="00241F4C">
            <w:pPr>
              <w:jc w:val="both"/>
            </w:pPr>
            <w:r>
              <w:t xml:space="preserve">Instrukcijas projekta izstrādē netika iesaistīta sabiedrība, jo </w:t>
            </w:r>
            <w:r w:rsidR="00520E31">
              <w:t>institūcijas darbības stratēģija nodrošina tiešās pārvaldes institūcijas darbības plānošanu tās kompetencē esošajās politikas nozarēs atbilstoši attiecīgajā nozarē apstiprināt</w:t>
            </w:r>
            <w:r w:rsidR="00A11447">
              <w:t>aj</w:t>
            </w:r>
            <w:r w:rsidR="00520E31">
              <w:t xml:space="preserve">iem attīstības plānošanas </w:t>
            </w:r>
            <w:r w:rsidR="00520E31">
              <w:lastRenderedPageBreak/>
              <w:t>dokumentiem, tiesību aktiem un plānotajam institūcijas valsts budžeta izdevumu kopapjomam vidējam termiņam un tiešā veidā sabiedrības intereses neskar</w:t>
            </w:r>
          </w:p>
        </w:tc>
      </w:tr>
      <w:tr w:rsidR="00FA338D" w:rsidRPr="00344C35" w14:paraId="19D83DA6" w14:textId="77777777" w:rsidTr="00B05965">
        <w:tc>
          <w:tcPr>
            <w:tcW w:w="396" w:type="dxa"/>
          </w:tcPr>
          <w:p w14:paraId="19D83DA3" w14:textId="77777777" w:rsidR="00FA338D" w:rsidRPr="00344C35" w:rsidRDefault="00FA338D" w:rsidP="00241F4C">
            <w:pPr>
              <w:pStyle w:val="naislab"/>
              <w:spacing w:before="0" w:after="0"/>
              <w:jc w:val="center"/>
              <w:outlineLvl w:val="0"/>
            </w:pPr>
            <w:r w:rsidRPr="00344C35">
              <w:lastRenderedPageBreak/>
              <w:t>7.</w:t>
            </w:r>
          </w:p>
        </w:tc>
        <w:tc>
          <w:tcPr>
            <w:tcW w:w="2374" w:type="dxa"/>
          </w:tcPr>
          <w:p w14:paraId="19D83DA4" w14:textId="77777777" w:rsidR="00FA338D" w:rsidRPr="00344C35" w:rsidRDefault="00FA338D" w:rsidP="00241F4C">
            <w:pPr>
              <w:pStyle w:val="naislab"/>
              <w:spacing w:before="0" w:after="0"/>
              <w:jc w:val="both"/>
              <w:outlineLvl w:val="0"/>
            </w:pPr>
            <w:r w:rsidRPr="00344C35">
              <w:t>Cita informācija</w:t>
            </w:r>
          </w:p>
        </w:tc>
        <w:tc>
          <w:tcPr>
            <w:tcW w:w="6769" w:type="dxa"/>
          </w:tcPr>
          <w:p w14:paraId="19D83DA5" w14:textId="77777777" w:rsidR="007E018A" w:rsidRPr="00344C35" w:rsidRDefault="00FA338D" w:rsidP="00241F4C">
            <w:pPr>
              <w:jc w:val="both"/>
            </w:pPr>
            <w:r w:rsidRPr="00344C35">
              <w:t>Nav</w:t>
            </w:r>
          </w:p>
        </w:tc>
      </w:tr>
    </w:tbl>
    <w:p w14:paraId="19D83DA7" w14:textId="77777777" w:rsidR="00B05965" w:rsidRDefault="00B05965" w:rsidP="00241F4C"/>
    <w:p w14:paraId="19D83DA8" w14:textId="77777777" w:rsidR="00FA338D" w:rsidRDefault="006B6CB8" w:rsidP="00241F4C">
      <w:r>
        <w:t xml:space="preserve">II, </w:t>
      </w:r>
      <w:r w:rsidR="00C20699">
        <w:t>III</w:t>
      </w:r>
      <w:r w:rsidR="00D34120">
        <w:t xml:space="preserve">, IV, </w:t>
      </w:r>
      <w:r w:rsidR="00DF4CAD">
        <w:t>V un VI sadaļa</w:t>
      </w:r>
      <w:r w:rsidR="00520E31">
        <w:t xml:space="preserve"> – </w:t>
      </w:r>
      <w:r w:rsidR="00FC0548">
        <w:t xml:space="preserve">instrukcijas </w:t>
      </w:r>
      <w:r w:rsidR="00520E31">
        <w:t>projekts šīs jomu neskar.</w:t>
      </w:r>
    </w:p>
    <w:p w14:paraId="19D83DA9" w14:textId="77777777" w:rsidR="00DF4CAD" w:rsidRDefault="00DF4CAD" w:rsidP="00241F4C"/>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225"/>
        <w:gridCol w:w="5918"/>
      </w:tblGrid>
      <w:tr w:rsidR="00FA338D" w:rsidRPr="00607B1C" w14:paraId="19D83DAB" w14:textId="77777777" w:rsidTr="00607B1C">
        <w:trPr>
          <w:trHeight w:val="279"/>
        </w:trPr>
        <w:tc>
          <w:tcPr>
            <w:tcW w:w="9539" w:type="dxa"/>
            <w:gridSpan w:val="3"/>
          </w:tcPr>
          <w:p w14:paraId="19D83DAA" w14:textId="77777777" w:rsidR="00FA338D" w:rsidRPr="00607B1C" w:rsidRDefault="00FA338D" w:rsidP="00241F4C">
            <w:pPr>
              <w:jc w:val="center"/>
              <w:rPr>
                <w:b/>
              </w:rPr>
            </w:pPr>
            <w:r w:rsidRPr="00607B1C">
              <w:rPr>
                <w:b/>
              </w:rPr>
              <w:t>VII. Tiesību akta projekta izpildes nodrošināšana un tās ietekme uz institūcijām</w:t>
            </w:r>
          </w:p>
        </w:tc>
      </w:tr>
      <w:tr w:rsidR="00FA338D" w14:paraId="19D83DAF" w14:textId="77777777" w:rsidTr="00EB0DF3">
        <w:trPr>
          <w:trHeight w:val="279"/>
        </w:trPr>
        <w:tc>
          <w:tcPr>
            <w:tcW w:w="396" w:type="dxa"/>
          </w:tcPr>
          <w:p w14:paraId="19D83DAC" w14:textId="77777777" w:rsidR="00FA338D" w:rsidRDefault="00FA338D" w:rsidP="00241F4C">
            <w:pPr>
              <w:jc w:val="both"/>
            </w:pPr>
            <w:r>
              <w:t>1.</w:t>
            </w:r>
          </w:p>
        </w:tc>
        <w:tc>
          <w:tcPr>
            <w:tcW w:w="3225" w:type="dxa"/>
          </w:tcPr>
          <w:p w14:paraId="19D83DAD" w14:textId="77777777" w:rsidR="00FA338D" w:rsidRDefault="00FA338D" w:rsidP="00A11447">
            <w:r w:rsidRPr="00607B1C">
              <w:rPr>
                <w:sz w:val="22"/>
                <w:szCs w:val="22"/>
              </w:rPr>
              <w:t>Projekta izpildē iesaistītās institūcijas</w:t>
            </w:r>
          </w:p>
        </w:tc>
        <w:tc>
          <w:tcPr>
            <w:tcW w:w="5918" w:type="dxa"/>
          </w:tcPr>
          <w:p w14:paraId="19D83DAE" w14:textId="77777777" w:rsidR="00FA338D" w:rsidRPr="00886368" w:rsidRDefault="007E018A" w:rsidP="00241F4C">
            <w:pPr>
              <w:jc w:val="both"/>
            </w:pPr>
            <w:r>
              <w:t>Instrukcijas</w:t>
            </w:r>
            <w:r w:rsidR="00520E31">
              <w:t xml:space="preserve"> </w:t>
            </w:r>
            <w:r w:rsidR="00FC0548">
              <w:t xml:space="preserve">projekta </w:t>
            </w:r>
            <w:r w:rsidR="00520E31">
              <w:t xml:space="preserve">izpildi nodrošinās visas ministrijas, Korupcijas novēršanas un apkarošanas birojs, Valsts kanceleja un citas tiešās pārvaldes institūcijas, kā arī to </w:t>
            </w:r>
            <w:r w:rsidR="00FC0548">
              <w:t>padotībā esošās iestādes</w:t>
            </w:r>
          </w:p>
        </w:tc>
      </w:tr>
      <w:tr w:rsidR="00FA338D" w14:paraId="19D83DB3" w14:textId="77777777" w:rsidTr="00EB0DF3">
        <w:trPr>
          <w:trHeight w:val="279"/>
        </w:trPr>
        <w:tc>
          <w:tcPr>
            <w:tcW w:w="396" w:type="dxa"/>
          </w:tcPr>
          <w:p w14:paraId="19D83DB0" w14:textId="77777777" w:rsidR="00FA338D" w:rsidRDefault="00FA338D" w:rsidP="00241F4C">
            <w:pPr>
              <w:jc w:val="both"/>
            </w:pPr>
            <w:r>
              <w:t>2.</w:t>
            </w:r>
          </w:p>
        </w:tc>
        <w:tc>
          <w:tcPr>
            <w:tcW w:w="3225" w:type="dxa"/>
          </w:tcPr>
          <w:p w14:paraId="19D83DB1" w14:textId="77777777" w:rsidR="00FA338D" w:rsidRDefault="00FA338D" w:rsidP="00241F4C">
            <w:pPr>
              <w:jc w:val="both"/>
            </w:pPr>
            <w:r w:rsidRPr="00607B1C">
              <w:rPr>
                <w:sz w:val="22"/>
                <w:szCs w:val="22"/>
              </w:rPr>
              <w:t>Projekta izpildes ietekme uz pārvaldes funkcijām</w:t>
            </w:r>
          </w:p>
        </w:tc>
        <w:tc>
          <w:tcPr>
            <w:tcW w:w="5918" w:type="dxa"/>
          </w:tcPr>
          <w:p w14:paraId="19D83DB2" w14:textId="21D692B7" w:rsidR="00FA338D" w:rsidRPr="007919E3" w:rsidRDefault="00FC0548" w:rsidP="00A11447">
            <w:pPr>
              <w:jc w:val="both"/>
            </w:pPr>
            <w:r>
              <w:t>Instrukcijas projekta izpildi š</w:t>
            </w:r>
            <w:r w:rsidR="00A11447">
              <w:t>ī</w:t>
            </w:r>
            <w:r>
              <w:t>s sadaļas 1.punktā minētās institūcijas nodrošinās esošo funkciju ietvaros</w:t>
            </w:r>
          </w:p>
        </w:tc>
      </w:tr>
      <w:tr w:rsidR="00FA338D" w14:paraId="19D83DB8" w14:textId="77777777" w:rsidTr="00EB0DF3">
        <w:trPr>
          <w:trHeight w:val="279"/>
        </w:trPr>
        <w:tc>
          <w:tcPr>
            <w:tcW w:w="396" w:type="dxa"/>
          </w:tcPr>
          <w:p w14:paraId="19D83DB4" w14:textId="77777777" w:rsidR="00FA338D" w:rsidRDefault="00FA338D" w:rsidP="00241F4C">
            <w:pPr>
              <w:jc w:val="both"/>
            </w:pPr>
            <w:r>
              <w:t>3.</w:t>
            </w:r>
          </w:p>
        </w:tc>
        <w:tc>
          <w:tcPr>
            <w:tcW w:w="3225" w:type="dxa"/>
          </w:tcPr>
          <w:p w14:paraId="19D83DB5" w14:textId="77777777" w:rsidR="00FA338D" w:rsidRPr="00607B1C" w:rsidRDefault="00FA338D" w:rsidP="00241F4C">
            <w:pPr>
              <w:pStyle w:val="naisf"/>
              <w:spacing w:before="0" w:after="0"/>
              <w:ind w:right="57" w:firstLine="0"/>
              <w:jc w:val="left"/>
              <w:rPr>
                <w:sz w:val="22"/>
                <w:szCs w:val="22"/>
              </w:rPr>
            </w:pPr>
            <w:r w:rsidRPr="00607B1C">
              <w:rPr>
                <w:sz w:val="22"/>
                <w:szCs w:val="22"/>
              </w:rPr>
              <w:t>Projekta izpildes ietekme uz pārvaldes institucionālo struktūru.</w:t>
            </w:r>
          </w:p>
          <w:p w14:paraId="19D83DB6" w14:textId="77777777" w:rsidR="00FA338D" w:rsidRPr="00607B1C" w:rsidRDefault="00FA338D" w:rsidP="00241F4C">
            <w:pPr>
              <w:jc w:val="both"/>
              <w:rPr>
                <w:sz w:val="22"/>
                <w:szCs w:val="22"/>
              </w:rPr>
            </w:pPr>
            <w:r w:rsidRPr="00607B1C">
              <w:rPr>
                <w:sz w:val="22"/>
                <w:szCs w:val="22"/>
              </w:rPr>
              <w:t>Jaunu institūciju izveide</w:t>
            </w:r>
          </w:p>
        </w:tc>
        <w:tc>
          <w:tcPr>
            <w:tcW w:w="5918" w:type="dxa"/>
          </w:tcPr>
          <w:p w14:paraId="19D83DB7" w14:textId="77777777" w:rsidR="00FA338D" w:rsidRPr="00886368" w:rsidRDefault="00FC0548" w:rsidP="00241F4C">
            <w:pPr>
              <w:jc w:val="both"/>
            </w:pPr>
            <w:r>
              <w:t>Instrukcijas projekts šo jomu neskar</w:t>
            </w:r>
          </w:p>
        </w:tc>
      </w:tr>
      <w:tr w:rsidR="00FA338D" w14:paraId="19D83DBD" w14:textId="77777777" w:rsidTr="00EB0DF3">
        <w:trPr>
          <w:trHeight w:val="279"/>
        </w:trPr>
        <w:tc>
          <w:tcPr>
            <w:tcW w:w="396" w:type="dxa"/>
          </w:tcPr>
          <w:p w14:paraId="19D83DB9" w14:textId="77777777" w:rsidR="00FA338D" w:rsidRDefault="00FA338D" w:rsidP="00241F4C">
            <w:pPr>
              <w:jc w:val="both"/>
            </w:pPr>
            <w:r>
              <w:t>4.</w:t>
            </w:r>
          </w:p>
        </w:tc>
        <w:tc>
          <w:tcPr>
            <w:tcW w:w="3225" w:type="dxa"/>
          </w:tcPr>
          <w:p w14:paraId="19D83DBA" w14:textId="77777777" w:rsidR="00FA338D" w:rsidRPr="00607B1C" w:rsidRDefault="00FA338D" w:rsidP="00241F4C">
            <w:pPr>
              <w:pStyle w:val="naisf"/>
              <w:spacing w:before="0" w:after="0"/>
              <w:ind w:right="57" w:firstLine="0"/>
              <w:jc w:val="left"/>
              <w:rPr>
                <w:sz w:val="22"/>
                <w:szCs w:val="22"/>
              </w:rPr>
            </w:pPr>
            <w:r w:rsidRPr="00607B1C">
              <w:rPr>
                <w:sz w:val="22"/>
                <w:szCs w:val="22"/>
              </w:rPr>
              <w:t>Projekta izpildes ietekme uz pārvaldes institucionālo struktūru.</w:t>
            </w:r>
          </w:p>
          <w:p w14:paraId="19D83DBB" w14:textId="77777777" w:rsidR="00FA338D" w:rsidRPr="00607B1C" w:rsidRDefault="00FA338D" w:rsidP="00241F4C">
            <w:pPr>
              <w:jc w:val="both"/>
              <w:rPr>
                <w:sz w:val="22"/>
                <w:szCs w:val="22"/>
              </w:rPr>
            </w:pPr>
            <w:r w:rsidRPr="00607B1C">
              <w:rPr>
                <w:sz w:val="22"/>
                <w:szCs w:val="22"/>
              </w:rPr>
              <w:t>Esošu institūciju likvidācija</w:t>
            </w:r>
          </w:p>
        </w:tc>
        <w:tc>
          <w:tcPr>
            <w:tcW w:w="5918" w:type="dxa"/>
          </w:tcPr>
          <w:p w14:paraId="19D83DBC" w14:textId="77777777" w:rsidR="00FA338D" w:rsidRPr="00886368" w:rsidRDefault="00FC0548" w:rsidP="00241F4C">
            <w:pPr>
              <w:jc w:val="both"/>
            </w:pPr>
            <w:r>
              <w:t>Instrukcijas projekts šo jomu neskar</w:t>
            </w:r>
          </w:p>
        </w:tc>
      </w:tr>
      <w:tr w:rsidR="00FA338D" w14:paraId="19D83DC2" w14:textId="77777777" w:rsidTr="00EB0DF3">
        <w:trPr>
          <w:trHeight w:val="279"/>
        </w:trPr>
        <w:tc>
          <w:tcPr>
            <w:tcW w:w="396" w:type="dxa"/>
          </w:tcPr>
          <w:p w14:paraId="19D83DBE" w14:textId="77777777" w:rsidR="00FA338D" w:rsidRDefault="00FA338D" w:rsidP="00241F4C">
            <w:pPr>
              <w:jc w:val="both"/>
            </w:pPr>
            <w:r>
              <w:t>5.</w:t>
            </w:r>
          </w:p>
        </w:tc>
        <w:tc>
          <w:tcPr>
            <w:tcW w:w="3225" w:type="dxa"/>
          </w:tcPr>
          <w:p w14:paraId="19D83DBF" w14:textId="77777777" w:rsidR="00FA338D" w:rsidRPr="00607B1C" w:rsidRDefault="00FA338D" w:rsidP="00241F4C">
            <w:pPr>
              <w:pStyle w:val="naisf"/>
              <w:spacing w:before="0" w:after="0"/>
              <w:ind w:right="57" w:firstLine="0"/>
              <w:jc w:val="left"/>
              <w:rPr>
                <w:sz w:val="22"/>
                <w:szCs w:val="22"/>
              </w:rPr>
            </w:pPr>
            <w:r w:rsidRPr="00607B1C">
              <w:rPr>
                <w:sz w:val="22"/>
                <w:szCs w:val="22"/>
              </w:rPr>
              <w:t>Projekta izpildes ietekme uz pārvaldes institucionālo struktūru.</w:t>
            </w:r>
          </w:p>
          <w:p w14:paraId="19D83DC0" w14:textId="77777777" w:rsidR="00FA338D" w:rsidRPr="00607B1C" w:rsidRDefault="00FA338D" w:rsidP="00241F4C">
            <w:pPr>
              <w:jc w:val="both"/>
              <w:rPr>
                <w:sz w:val="22"/>
                <w:szCs w:val="22"/>
              </w:rPr>
            </w:pPr>
            <w:r w:rsidRPr="00607B1C">
              <w:rPr>
                <w:sz w:val="22"/>
                <w:szCs w:val="22"/>
              </w:rPr>
              <w:t>Esošu institūciju reorganizācija</w:t>
            </w:r>
          </w:p>
        </w:tc>
        <w:tc>
          <w:tcPr>
            <w:tcW w:w="5918" w:type="dxa"/>
          </w:tcPr>
          <w:p w14:paraId="19D83DC1" w14:textId="77777777" w:rsidR="00FA338D" w:rsidRPr="00886368" w:rsidRDefault="00FC0548" w:rsidP="00241F4C">
            <w:pPr>
              <w:jc w:val="both"/>
            </w:pPr>
            <w:r>
              <w:t>Instrukcijas projekts šo jomu neskar</w:t>
            </w:r>
          </w:p>
        </w:tc>
      </w:tr>
      <w:tr w:rsidR="00FA338D" w14:paraId="19D83DC6" w14:textId="77777777" w:rsidTr="00EB0DF3">
        <w:trPr>
          <w:trHeight w:val="279"/>
        </w:trPr>
        <w:tc>
          <w:tcPr>
            <w:tcW w:w="396" w:type="dxa"/>
          </w:tcPr>
          <w:p w14:paraId="19D83DC3" w14:textId="77777777" w:rsidR="00FA338D" w:rsidRDefault="00FA338D" w:rsidP="00241F4C">
            <w:pPr>
              <w:jc w:val="both"/>
            </w:pPr>
            <w:r>
              <w:t>6.</w:t>
            </w:r>
          </w:p>
        </w:tc>
        <w:tc>
          <w:tcPr>
            <w:tcW w:w="3225" w:type="dxa"/>
          </w:tcPr>
          <w:p w14:paraId="19D83DC4" w14:textId="77777777" w:rsidR="00FA338D" w:rsidRDefault="00FA338D" w:rsidP="00241F4C">
            <w:pPr>
              <w:jc w:val="both"/>
            </w:pPr>
            <w:r w:rsidRPr="00607B1C">
              <w:rPr>
                <w:sz w:val="22"/>
                <w:szCs w:val="22"/>
              </w:rPr>
              <w:t>Cita informācija</w:t>
            </w:r>
          </w:p>
        </w:tc>
        <w:tc>
          <w:tcPr>
            <w:tcW w:w="5918" w:type="dxa"/>
          </w:tcPr>
          <w:p w14:paraId="19D83DC5" w14:textId="77777777" w:rsidR="007E018A" w:rsidRPr="00EB0DF3" w:rsidRDefault="00FA338D" w:rsidP="00241F4C">
            <w:pPr>
              <w:jc w:val="both"/>
              <w:rPr>
                <w:sz w:val="22"/>
                <w:szCs w:val="22"/>
              </w:rPr>
            </w:pPr>
            <w:r w:rsidRPr="00607B1C">
              <w:rPr>
                <w:sz w:val="22"/>
                <w:szCs w:val="22"/>
              </w:rPr>
              <w:t>Nav</w:t>
            </w:r>
          </w:p>
        </w:tc>
      </w:tr>
    </w:tbl>
    <w:p w14:paraId="19D83DC7" w14:textId="77777777" w:rsidR="00FA338D" w:rsidRDefault="00FA338D" w:rsidP="00241F4C"/>
    <w:p w14:paraId="19D83DC8" w14:textId="77777777" w:rsidR="006A320B" w:rsidRDefault="006A320B" w:rsidP="00241F4C">
      <w:pPr>
        <w:ind w:firstLine="709"/>
        <w:jc w:val="both"/>
        <w:rPr>
          <w:sz w:val="28"/>
          <w:szCs w:val="28"/>
        </w:rPr>
      </w:pPr>
    </w:p>
    <w:p w14:paraId="18D69E6F" w14:textId="77777777" w:rsidR="00241F4C" w:rsidRDefault="00241F4C" w:rsidP="00241F4C">
      <w:pPr>
        <w:ind w:firstLine="709"/>
        <w:jc w:val="both"/>
        <w:rPr>
          <w:sz w:val="28"/>
          <w:szCs w:val="28"/>
        </w:rPr>
      </w:pPr>
    </w:p>
    <w:p w14:paraId="19D83DC9" w14:textId="77777777" w:rsidR="00A23075" w:rsidRDefault="00A23075" w:rsidP="00241F4C">
      <w:pPr>
        <w:tabs>
          <w:tab w:val="left" w:pos="6804"/>
        </w:tabs>
        <w:ind w:firstLine="720"/>
        <w:jc w:val="both"/>
        <w:rPr>
          <w:sz w:val="28"/>
          <w:szCs w:val="28"/>
        </w:rPr>
      </w:pPr>
      <w:r w:rsidRPr="00CA2DCB">
        <w:rPr>
          <w:sz w:val="28"/>
          <w:szCs w:val="28"/>
        </w:rPr>
        <w:t>Ministru prezidents</w:t>
      </w:r>
      <w:r>
        <w:rPr>
          <w:sz w:val="28"/>
          <w:szCs w:val="28"/>
        </w:rPr>
        <w:tab/>
      </w:r>
      <w:r w:rsidRPr="00CA2DCB">
        <w:rPr>
          <w:sz w:val="28"/>
          <w:szCs w:val="28"/>
        </w:rPr>
        <w:t>V.Dombrovskis</w:t>
      </w:r>
    </w:p>
    <w:p w14:paraId="19D83DCA" w14:textId="77777777" w:rsidR="007B159C" w:rsidRPr="00CA2DCB" w:rsidRDefault="007B159C" w:rsidP="00241F4C">
      <w:pPr>
        <w:tabs>
          <w:tab w:val="left" w:pos="6804"/>
        </w:tabs>
        <w:ind w:firstLine="720"/>
        <w:jc w:val="both"/>
        <w:rPr>
          <w:sz w:val="28"/>
          <w:szCs w:val="28"/>
        </w:rPr>
      </w:pPr>
    </w:p>
    <w:p w14:paraId="19D83DCC" w14:textId="77777777" w:rsidR="00A23075" w:rsidRDefault="00A23075" w:rsidP="00241F4C">
      <w:pPr>
        <w:tabs>
          <w:tab w:val="left" w:pos="6804"/>
        </w:tabs>
        <w:ind w:firstLine="720"/>
        <w:jc w:val="both"/>
        <w:rPr>
          <w:sz w:val="28"/>
          <w:szCs w:val="28"/>
        </w:rPr>
      </w:pPr>
    </w:p>
    <w:p w14:paraId="19D83DCD" w14:textId="77777777" w:rsidR="007E018A" w:rsidRDefault="007E018A" w:rsidP="00241F4C">
      <w:pPr>
        <w:tabs>
          <w:tab w:val="left" w:pos="6804"/>
        </w:tabs>
        <w:jc w:val="both"/>
        <w:rPr>
          <w:sz w:val="28"/>
          <w:szCs w:val="28"/>
        </w:rPr>
      </w:pPr>
    </w:p>
    <w:p w14:paraId="19D83DCE" w14:textId="77777777" w:rsidR="00A23075" w:rsidRPr="00CA2DCB" w:rsidRDefault="00A23075" w:rsidP="00241F4C">
      <w:pPr>
        <w:tabs>
          <w:tab w:val="left" w:pos="6804"/>
        </w:tabs>
        <w:ind w:firstLine="720"/>
        <w:jc w:val="both"/>
        <w:rPr>
          <w:sz w:val="28"/>
          <w:szCs w:val="28"/>
        </w:rPr>
      </w:pPr>
      <w:r w:rsidRPr="00CA2DCB">
        <w:rPr>
          <w:sz w:val="28"/>
          <w:szCs w:val="28"/>
        </w:rPr>
        <w:t>Iesniedzējs:</w:t>
      </w:r>
    </w:p>
    <w:p w14:paraId="19D83DCF" w14:textId="77777777" w:rsidR="00A23075" w:rsidRPr="00CA2DCB" w:rsidRDefault="00A23075" w:rsidP="00241F4C">
      <w:pPr>
        <w:tabs>
          <w:tab w:val="left" w:pos="6804"/>
        </w:tabs>
        <w:ind w:firstLine="720"/>
        <w:jc w:val="both"/>
        <w:rPr>
          <w:sz w:val="28"/>
          <w:szCs w:val="28"/>
        </w:rPr>
      </w:pPr>
      <w:r w:rsidRPr="00CA2DCB">
        <w:rPr>
          <w:sz w:val="28"/>
          <w:szCs w:val="28"/>
        </w:rPr>
        <w:t>Ministru prezidents</w:t>
      </w:r>
      <w:r w:rsidRPr="00520C1D">
        <w:rPr>
          <w:sz w:val="28"/>
          <w:szCs w:val="28"/>
          <w:u w:val="single"/>
        </w:rPr>
        <w:tab/>
      </w:r>
      <w:r w:rsidRPr="00CA2DCB">
        <w:rPr>
          <w:sz w:val="28"/>
          <w:szCs w:val="28"/>
        </w:rPr>
        <w:t xml:space="preserve"> V.Dombrovskis</w:t>
      </w:r>
    </w:p>
    <w:p w14:paraId="19D83DD0" w14:textId="77777777" w:rsidR="00A23075" w:rsidRDefault="00A23075" w:rsidP="00241F4C">
      <w:pPr>
        <w:tabs>
          <w:tab w:val="left" w:pos="6804"/>
        </w:tabs>
        <w:ind w:firstLine="720"/>
        <w:jc w:val="both"/>
        <w:rPr>
          <w:sz w:val="28"/>
          <w:szCs w:val="28"/>
        </w:rPr>
      </w:pPr>
    </w:p>
    <w:p w14:paraId="7C88BC9F" w14:textId="77777777" w:rsidR="00241F4C" w:rsidRDefault="00241F4C" w:rsidP="00241F4C">
      <w:pPr>
        <w:tabs>
          <w:tab w:val="left" w:pos="6804"/>
        </w:tabs>
        <w:ind w:firstLine="720"/>
        <w:jc w:val="both"/>
        <w:rPr>
          <w:sz w:val="28"/>
          <w:szCs w:val="28"/>
        </w:rPr>
      </w:pPr>
    </w:p>
    <w:p w14:paraId="19D83DD1" w14:textId="77777777" w:rsidR="00A23075" w:rsidRPr="00CA2DCB" w:rsidRDefault="00A23075" w:rsidP="00241F4C">
      <w:pPr>
        <w:tabs>
          <w:tab w:val="left" w:pos="6804"/>
        </w:tabs>
        <w:ind w:firstLine="720"/>
        <w:jc w:val="both"/>
        <w:rPr>
          <w:sz w:val="28"/>
          <w:szCs w:val="28"/>
        </w:rPr>
      </w:pPr>
    </w:p>
    <w:p w14:paraId="19D83DD2" w14:textId="77777777" w:rsidR="00A23075" w:rsidRPr="00CA2DCB" w:rsidRDefault="00A23075" w:rsidP="00241F4C">
      <w:pPr>
        <w:tabs>
          <w:tab w:val="left" w:pos="6804"/>
        </w:tabs>
        <w:ind w:firstLine="720"/>
        <w:jc w:val="both"/>
        <w:rPr>
          <w:sz w:val="28"/>
          <w:szCs w:val="28"/>
        </w:rPr>
      </w:pPr>
      <w:r w:rsidRPr="00CA2DCB">
        <w:rPr>
          <w:sz w:val="28"/>
          <w:szCs w:val="28"/>
        </w:rPr>
        <w:t>Vizē:</w:t>
      </w:r>
    </w:p>
    <w:p w14:paraId="19D83DD3" w14:textId="77777777" w:rsidR="00A23075" w:rsidRPr="00CA2DCB" w:rsidRDefault="00A23075" w:rsidP="00241F4C">
      <w:pPr>
        <w:tabs>
          <w:tab w:val="left" w:pos="6804"/>
        </w:tabs>
        <w:ind w:firstLine="720"/>
        <w:jc w:val="both"/>
        <w:rPr>
          <w:sz w:val="28"/>
          <w:szCs w:val="28"/>
        </w:rPr>
      </w:pPr>
      <w:r w:rsidRPr="00CA2DCB">
        <w:rPr>
          <w:sz w:val="28"/>
          <w:szCs w:val="28"/>
        </w:rPr>
        <w:t>Valsts kancelejas direktore</w:t>
      </w:r>
      <w:r w:rsidRPr="00520C1D">
        <w:rPr>
          <w:sz w:val="28"/>
          <w:szCs w:val="28"/>
          <w:u w:val="single"/>
        </w:rPr>
        <w:tab/>
      </w:r>
      <w:r>
        <w:rPr>
          <w:sz w:val="28"/>
          <w:szCs w:val="28"/>
        </w:rPr>
        <w:t>E.Dreimane</w:t>
      </w:r>
    </w:p>
    <w:p w14:paraId="19D83DD4" w14:textId="77777777" w:rsidR="00FA338D" w:rsidRPr="00CC4A11" w:rsidRDefault="00FA338D" w:rsidP="00241F4C">
      <w:pPr>
        <w:ind w:firstLine="709"/>
        <w:jc w:val="both"/>
        <w:rPr>
          <w:sz w:val="28"/>
          <w:szCs w:val="28"/>
        </w:rPr>
      </w:pPr>
    </w:p>
    <w:p w14:paraId="19D83DD5" w14:textId="77777777" w:rsidR="007E018A" w:rsidRDefault="007E018A" w:rsidP="00241F4C">
      <w:pPr>
        <w:pStyle w:val="naisf"/>
        <w:spacing w:before="0" w:after="0"/>
        <w:ind w:firstLine="0"/>
        <w:contextualSpacing/>
        <w:rPr>
          <w:sz w:val="20"/>
          <w:szCs w:val="20"/>
        </w:rPr>
      </w:pPr>
    </w:p>
    <w:p w14:paraId="19D83DD6" w14:textId="77777777" w:rsidR="00F04EB3" w:rsidRDefault="00F04EB3" w:rsidP="00241F4C">
      <w:pPr>
        <w:pStyle w:val="naisf"/>
        <w:spacing w:before="0" w:after="0"/>
        <w:ind w:firstLine="0"/>
        <w:contextualSpacing/>
        <w:rPr>
          <w:sz w:val="20"/>
          <w:szCs w:val="20"/>
        </w:rPr>
      </w:pPr>
    </w:p>
    <w:p w14:paraId="19D83DD7" w14:textId="77777777" w:rsidR="004A5833" w:rsidRDefault="004A5833" w:rsidP="00241F4C">
      <w:pPr>
        <w:pStyle w:val="naisf"/>
        <w:spacing w:before="0" w:after="0"/>
        <w:ind w:firstLine="0"/>
        <w:contextualSpacing/>
        <w:rPr>
          <w:sz w:val="20"/>
          <w:szCs w:val="20"/>
        </w:rPr>
      </w:pPr>
    </w:p>
    <w:p w14:paraId="19D83DD8" w14:textId="77777777" w:rsidR="00B05965" w:rsidRDefault="00B05965" w:rsidP="00241F4C">
      <w:pPr>
        <w:pStyle w:val="naisf"/>
        <w:spacing w:before="0" w:after="0"/>
        <w:ind w:firstLine="0"/>
        <w:contextualSpacing/>
        <w:rPr>
          <w:sz w:val="20"/>
          <w:szCs w:val="20"/>
        </w:rPr>
      </w:pPr>
    </w:p>
    <w:p w14:paraId="19D83DD9" w14:textId="77777777" w:rsidR="005310A0" w:rsidRDefault="005310A0" w:rsidP="00241F4C">
      <w:pPr>
        <w:pStyle w:val="naisf"/>
        <w:spacing w:before="0" w:after="0"/>
        <w:ind w:firstLine="0"/>
        <w:contextualSpacing/>
        <w:rPr>
          <w:sz w:val="20"/>
          <w:szCs w:val="20"/>
        </w:rPr>
      </w:pPr>
    </w:p>
    <w:p w14:paraId="19D83DDA" w14:textId="271F5E2C" w:rsidR="00CC4A11" w:rsidRPr="00C15608" w:rsidRDefault="00306E83" w:rsidP="00241F4C">
      <w:pPr>
        <w:pStyle w:val="naisf"/>
        <w:spacing w:before="0" w:after="0"/>
        <w:ind w:firstLine="0"/>
        <w:contextualSpacing/>
        <w:rPr>
          <w:sz w:val="20"/>
          <w:szCs w:val="20"/>
        </w:rPr>
      </w:pPr>
      <w:r>
        <w:rPr>
          <w:sz w:val="20"/>
          <w:szCs w:val="20"/>
        </w:rPr>
        <w:t>2</w:t>
      </w:r>
      <w:r w:rsidR="00B873A7">
        <w:rPr>
          <w:sz w:val="20"/>
          <w:szCs w:val="20"/>
        </w:rPr>
        <w:t>2</w:t>
      </w:r>
      <w:r w:rsidR="00FC0548">
        <w:rPr>
          <w:sz w:val="20"/>
          <w:szCs w:val="20"/>
        </w:rPr>
        <w:t>.03</w:t>
      </w:r>
      <w:r w:rsidR="005E2D40">
        <w:rPr>
          <w:sz w:val="20"/>
          <w:szCs w:val="20"/>
        </w:rPr>
        <w:t>.2012</w:t>
      </w:r>
      <w:r w:rsidR="00CC4A11" w:rsidRPr="00C15608">
        <w:rPr>
          <w:sz w:val="20"/>
          <w:szCs w:val="20"/>
        </w:rPr>
        <w:t xml:space="preserve"> </w:t>
      </w:r>
    </w:p>
    <w:p w14:paraId="19D83DDB" w14:textId="7BA57774" w:rsidR="00CC4A11" w:rsidRDefault="00B734D1" w:rsidP="00241F4C">
      <w:pPr>
        <w:pStyle w:val="naisf"/>
        <w:spacing w:before="0" w:after="0"/>
        <w:ind w:firstLine="0"/>
        <w:contextualSpacing/>
        <w:rPr>
          <w:sz w:val="20"/>
          <w:szCs w:val="20"/>
        </w:rPr>
      </w:pPr>
      <w:r>
        <w:rPr>
          <w:sz w:val="20"/>
          <w:szCs w:val="20"/>
        </w:rPr>
        <w:t>89</w:t>
      </w:r>
      <w:r w:rsidR="007A544C">
        <w:rPr>
          <w:sz w:val="20"/>
          <w:szCs w:val="20"/>
        </w:rPr>
        <w:t>3</w:t>
      </w:r>
      <w:bookmarkStart w:id="0" w:name="_GoBack"/>
      <w:bookmarkEnd w:id="0"/>
    </w:p>
    <w:p w14:paraId="19D83DDC" w14:textId="5D8142D6" w:rsidR="00CC4A11" w:rsidRDefault="00FC0548" w:rsidP="00241F4C">
      <w:pPr>
        <w:pStyle w:val="naisf"/>
        <w:spacing w:before="0" w:after="0"/>
        <w:ind w:firstLine="0"/>
        <w:contextualSpacing/>
        <w:rPr>
          <w:sz w:val="20"/>
          <w:szCs w:val="20"/>
        </w:rPr>
      </w:pPr>
      <w:r>
        <w:rPr>
          <w:sz w:val="20"/>
          <w:szCs w:val="20"/>
        </w:rPr>
        <w:t>Legzdiņa-</w:t>
      </w:r>
      <w:proofErr w:type="spellStart"/>
      <w:r>
        <w:rPr>
          <w:sz w:val="20"/>
          <w:szCs w:val="20"/>
        </w:rPr>
        <w:t>Joja</w:t>
      </w:r>
      <w:proofErr w:type="spellEnd"/>
      <w:r w:rsidR="006659F7">
        <w:rPr>
          <w:sz w:val="20"/>
          <w:szCs w:val="20"/>
        </w:rPr>
        <w:t xml:space="preserve"> </w:t>
      </w:r>
      <w:r>
        <w:rPr>
          <w:sz w:val="20"/>
          <w:szCs w:val="20"/>
        </w:rPr>
        <w:t>67082904</w:t>
      </w:r>
    </w:p>
    <w:p w14:paraId="19D83DDE" w14:textId="0227063B" w:rsidR="00FA338D" w:rsidRPr="00A11447" w:rsidRDefault="00987E3A" w:rsidP="00241F4C">
      <w:pPr>
        <w:pStyle w:val="naisf"/>
        <w:spacing w:before="0" w:after="0"/>
        <w:ind w:firstLine="0"/>
        <w:contextualSpacing/>
        <w:rPr>
          <w:sz w:val="20"/>
          <w:szCs w:val="20"/>
        </w:rPr>
      </w:pPr>
      <w:hyperlink r:id="rId10" w:history="1">
        <w:r w:rsidR="00FC0548" w:rsidRPr="00A11447">
          <w:rPr>
            <w:rStyle w:val="Hyperlink"/>
            <w:color w:val="auto"/>
            <w:sz w:val="20"/>
            <w:szCs w:val="20"/>
            <w:u w:val="none"/>
          </w:rPr>
          <w:t>zane.legzdina@mk.gov.lv</w:t>
        </w:r>
      </w:hyperlink>
      <w:r w:rsidR="00FC0548" w:rsidRPr="00A11447">
        <w:rPr>
          <w:sz w:val="20"/>
          <w:szCs w:val="20"/>
        </w:rPr>
        <w:t xml:space="preserve"> </w:t>
      </w:r>
    </w:p>
    <w:sectPr w:rsidR="00FA338D" w:rsidRPr="00A11447" w:rsidSect="00241F4C">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83DE1" w14:textId="77777777" w:rsidR="005C3DF8" w:rsidRDefault="005C3DF8">
      <w:r>
        <w:separator/>
      </w:r>
    </w:p>
  </w:endnote>
  <w:endnote w:type="continuationSeparator" w:id="0">
    <w:p w14:paraId="19D83DE2" w14:textId="77777777" w:rsidR="005C3DF8" w:rsidRDefault="005C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FDD9" w14:textId="77777777" w:rsidR="005C3DF8" w:rsidRPr="00241F4C" w:rsidRDefault="005C3DF8" w:rsidP="00241F4C">
    <w:pPr>
      <w:pStyle w:val="Heading1"/>
      <w:spacing w:before="0" w:after="0"/>
      <w:jc w:val="both"/>
      <w:rPr>
        <w:rFonts w:ascii="Times New Roman" w:hAnsi="Times New Roman"/>
        <w:b w:val="0"/>
        <w:bCs w:val="0"/>
        <w:sz w:val="16"/>
        <w:szCs w:val="16"/>
        <w:lang w:eastAsia="en-US"/>
      </w:rPr>
    </w:pPr>
    <w:r w:rsidRPr="00241F4C">
      <w:rPr>
        <w:rFonts w:ascii="Times New Roman" w:hAnsi="Times New Roman"/>
        <w:b w:val="0"/>
        <w:sz w:val="16"/>
        <w:szCs w:val="16"/>
      </w:rPr>
      <w:t xml:space="preserve">VKanot_IDS_instr_220312; </w:t>
    </w:r>
    <w:r w:rsidRPr="00241F4C">
      <w:rPr>
        <w:rFonts w:ascii="Times New Roman" w:hAnsi="Times New Roman"/>
        <w:b w:val="0"/>
        <w:spacing w:val="-4"/>
        <w:sz w:val="16"/>
        <w:szCs w:val="16"/>
      </w:rPr>
      <w:t xml:space="preserve">Ministru kabineta instrukcijas projekta </w:t>
    </w:r>
    <w:r w:rsidRPr="00241F4C">
      <w:rPr>
        <w:rFonts w:ascii="Times New Roman" w:hAnsi="Times New Roman"/>
        <w:b w:val="0"/>
        <w:bCs w:val="0"/>
        <w:sz w:val="16"/>
        <w:szCs w:val="16"/>
        <w:lang w:eastAsia="en-US"/>
      </w:rPr>
      <w:t xml:space="preserve">„Grozījumi Ministru kabineta 2011.gada 4.janvāra instrukcijā Nr.1 „Kārtība, kādā izstrādā un aktualizē institūcijas darbības stratēģiju un novērtē tās ieviešanu”” </w:t>
    </w:r>
    <w:r w:rsidRPr="00241F4C">
      <w:rPr>
        <w:rFonts w:ascii="Times New Roman" w:hAnsi="Times New Roman"/>
        <w:b w:val="0"/>
        <w:spacing w:val="-4"/>
        <w:sz w:val="16"/>
        <w:szCs w:val="16"/>
      </w:rPr>
      <w:t>sākotnējās ietekmes novērtējuma ziņojums (anotācija) (17940)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83DE8" w14:textId="16965FAE" w:rsidR="005C3DF8" w:rsidRPr="00241F4C" w:rsidRDefault="005C3DF8" w:rsidP="00FC0548">
    <w:pPr>
      <w:pStyle w:val="Heading1"/>
      <w:spacing w:before="0" w:after="0"/>
      <w:jc w:val="both"/>
      <w:rPr>
        <w:rFonts w:ascii="Times New Roman" w:hAnsi="Times New Roman"/>
        <w:b w:val="0"/>
        <w:bCs w:val="0"/>
        <w:sz w:val="16"/>
        <w:szCs w:val="16"/>
        <w:lang w:eastAsia="en-US"/>
      </w:rPr>
    </w:pPr>
    <w:r w:rsidRPr="00241F4C">
      <w:rPr>
        <w:rFonts w:ascii="Times New Roman" w:hAnsi="Times New Roman"/>
        <w:b w:val="0"/>
        <w:sz w:val="16"/>
        <w:szCs w:val="16"/>
      </w:rPr>
      <w:t xml:space="preserve">VKanot_IDS_instr_220312; </w:t>
    </w:r>
    <w:r w:rsidRPr="00241F4C">
      <w:rPr>
        <w:rFonts w:ascii="Times New Roman" w:hAnsi="Times New Roman"/>
        <w:b w:val="0"/>
        <w:spacing w:val="-4"/>
        <w:sz w:val="16"/>
        <w:szCs w:val="16"/>
      </w:rPr>
      <w:t xml:space="preserve">Ministru kabineta instrukcijas projekta </w:t>
    </w:r>
    <w:r w:rsidRPr="00241F4C">
      <w:rPr>
        <w:rFonts w:ascii="Times New Roman" w:hAnsi="Times New Roman"/>
        <w:b w:val="0"/>
        <w:bCs w:val="0"/>
        <w:sz w:val="16"/>
        <w:szCs w:val="16"/>
        <w:lang w:eastAsia="en-US"/>
      </w:rPr>
      <w:t xml:space="preserve">„Grozījumi Ministru kabineta 2011.gada 4.janvāra instrukcijā Nr.1 „Kārtība, kādā izstrādā un aktualizē institūcijas darbības stratēģiju un novērtē tās ieviešanu”” </w:t>
    </w:r>
    <w:r w:rsidRPr="00241F4C">
      <w:rPr>
        <w:rFonts w:ascii="Times New Roman" w:hAnsi="Times New Roman"/>
        <w:b w:val="0"/>
        <w:spacing w:val="-4"/>
        <w:sz w:val="16"/>
        <w:szCs w:val="16"/>
      </w:rPr>
      <w:t>sākotnējās ietekmes novērtējuma ziņojums (anotācija) (17940)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83DDF" w14:textId="77777777" w:rsidR="005C3DF8" w:rsidRDefault="005C3DF8">
      <w:r>
        <w:separator/>
      </w:r>
    </w:p>
  </w:footnote>
  <w:footnote w:type="continuationSeparator" w:id="0">
    <w:p w14:paraId="19D83DE0" w14:textId="77777777" w:rsidR="005C3DF8" w:rsidRDefault="005C3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83DE3" w14:textId="77777777" w:rsidR="005C3DF8" w:rsidRDefault="005C3DF8" w:rsidP="006562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D83DE4" w14:textId="77777777" w:rsidR="005C3DF8" w:rsidRDefault="005C3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83DE5" w14:textId="77777777" w:rsidR="005C3DF8" w:rsidRDefault="005C3DF8" w:rsidP="006562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7E3A">
      <w:rPr>
        <w:rStyle w:val="PageNumber"/>
        <w:noProof/>
      </w:rPr>
      <w:t>3</w:t>
    </w:r>
    <w:r>
      <w:rPr>
        <w:rStyle w:val="PageNumber"/>
      </w:rPr>
      <w:fldChar w:fldCharType="end"/>
    </w:r>
  </w:p>
  <w:p w14:paraId="19D83DE6" w14:textId="77777777" w:rsidR="005C3DF8" w:rsidRDefault="005C3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5BE82029"/>
    <w:multiLevelType w:val="multilevel"/>
    <w:tmpl w:val="03AE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C6550"/>
    <w:multiLevelType w:val="hybridMultilevel"/>
    <w:tmpl w:val="E9E0D88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62F3"/>
    <w:rsid w:val="00010932"/>
    <w:rsid w:val="000147AB"/>
    <w:rsid w:val="000232E2"/>
    <w:rsid w:val="00032788"/>
    <w:rsid w:val="0003538A"/>
    <w:rsid w:val="00050A53"/>
    <w:rsid w:val="00055357"/>
    <w:rsid w:val="00057841"/>
    <w:rsid w:val="00082B98"/>
    <w:rsid w:val="0008501C"/>
    <w:rsid w:val="000879C9"/>
    <w:rsid w:val="00090F6A"/>
    <w:rsid w:val="00094CBC"/>
    <w:rsid w:val="000A15B9"/>
    <w:rsid w:val="000A1E2F"/>
    <w:rsid w:val="000A2D9A"/>
    <w:rsid w:val="000B55EA"/>
    <w:rsid w:val="000C0552"/>
    <w:rsid w:val="000C3D81"/>
    <w:rsid w:val="000C5CA6"/>
    <w:rsid w:val="000C5EC6"/>
    <w:rsid w:val="000D4DDD"/>
    <w:rsid w:val="000D7093"/>
    <w:rsid w:val="000E6D8C"/>
    <w:rsid w:val="000F0DCC"/>
    <w:rsid w:val="000F335C"/>
    <w:rsid w:val="000F46BC"/>
    <w:rsid w:val="001004EC"/>
    <w:rsid w:val="00113A33"/>
    <w:rsid w:val="001159AC"/>
    <w:rsid w:val="00116345"/>
    <w:rsid w:val="00122115"/>
    <w:rsid w:val="00127270"/>
    <w:rsid w:val="00127706"/>
    <w:rsid w:val="001401C2"/>
    <w:rsid w:val="00150D41"/>
    <w:rsid w:val="0015426F"/>
    <w:rsid w:val="00157AA8"/>
    <w:rsid w:val="001678E9"/>
    <w:rsid w:val="001715F1"/>
    <w:rsid w:val="00181B86"/>
    <w:rsid w:val="00190814"/>
    <w:rsid w:val="001969BD"/>
    <w:rsid w:val="001974EC"/>
    <w:rsid w:val="001A1034"/>
    <w:rsid w:val="001B40F5"/>
    <w:rsid w:val="001C331C"/>
    <w:rsid w:val="001D0F94"/>
    <w:rsid w:val="001E06DA"/>
    <w:rsid w:val="001E341A"/>
    <w:rsid w:val="001E384A"/>
    <w:rsid w:val="001E65FF"/>
    <w:rsid w:val="001F0A7D"/>
    <w:rsid w:val="001F5548"/>
    <w:rsid w:val="001F79A8"/>
    <w:rsid w:val="002037F6"/>
    <w:rsid w:val="002043B8"/>
    <w:rsid w:val="002048EC"/>
    <w:rsid w:val="002139CF"/>
    <w:rsid w:val="00222385"/>
    <w:rsid w:val="00223905"/>
    <w:rsid w:val="00225880"/>
    <w:rsid w:val="00225EAE"/>
    <w:rsid w:val="002261CF"/>
    <w:rsid w:val="00230205"/>
    <w:rsid w:val="00230CF8"/>
    <w:rsid w:val="00232978"/>
    <w:rsid w:val="00235AAA"/>
    <w:rsid w:val="00236D7E"/>
    <w:rsid w:val="00237191"/>
    <w:rsid w:val="00240E4A"/>
    <w:rsid w:val="00241F4C"/>
    <w:rsid w:val="00251D2B"/>
    <w:rsid w:val="00251F9C"/>
    <w:rsid w:val="0025416C"/>
    <w:rsid w:val="00257624"/>
    <w:rsid w:val="00260C5D"/>
    <w:rsid w:val="00262E51"/>
    <w:rsid w:val="00265854"/>
    <w:rsid w:val="002716C1"/>
    <w:rsid w:val="00276901"/>
    <w:rsid w:val="002778B3"/>
    <w:rsid w:val="00290E8A"/>
    <w:rsid w:val="00297367"/>
    <w:rsid w:val="002A1090"/>
    <w:rsid w:val="002A5629"/>
    <w:rsid w:val="002A5BA6"/>
    <w:rsid w:val="002B0133"/>
    <w:rsid w:val="002B3643"/>
    <w:rsid w:val="002B430F"/>
    <w:rsid w:val="002C45EB"/>
    <w:rsid w:val="002C597A"/>
    <w:rsid w:val="002D0EF6"/>
    <w:rsid w:val="002D2F6B"/>
    <w:rsid w:val="002D3468"/>
    <w:rsid w:val="002E4490"/>
    <w:rsid w:val="002E5A3F"/>
    <w:rsid w:val="002E5EA1"/>
    <w:rsid w:val="0030233A"/>
    <w:rsid w:val="00306767"/>
    <w:rsid w:val="00306E83"/>
    <w:rsid w:val="0031315A"/>
    <w:rsid w:val="003167E8"/>
    <w:rsid w:val="00322D3F"/>
    <w:rsid w:val="003258B3"/>
    <w:rsid w:val="00336159"/>
    <w:rsid w:val="0033751D"/>
    <w:rsid w:val="00344C35"/>
    <w:rsid w:val="00346B12"/>
    <w:rsid w:val="003568D9"/>
    <w:rsid w:val="003574AD"/>
    <w:rsid w:val="003628AE"/>
    <w:rsid w:val="0036419C"/>
    <w:rsid w:val="00374181"/>
    <w:rsid w:val="003902AF"/>
    <w:rsid w:val="0039112F"/>
    <w:rsid w:val="003970C8"/>
    <w:rsid w:val="003A0C41"/>
    <w:rsid w:val="003A1506"/>
    <w:rsid w:val="003A68E5"/>
    <w:rsid w:val="003A74E9"/>
    <w:rsid w:val="003B26A6"/>
    <w:rsid w:val="003B6950"/>
    <w:rsid w:val="003C4183"/>
    <w:rsid w:val="003C60A4"/>
    <w:rsid w:val="003D1ACF"/>
    <w:rsid w:val="003D4902"/>
    <w:rsid w:val="003D4FFD"/>
    <w:rsid w:val="003D6645"/>
    <w:rsid w:val="003E1D1C"/>
    <w:rsid w:val="003E5826"/>
    <w:rsid w:val="00416BAF"/>
    <w:rsid w:val="00422C63"/>
    <w:rsid w:val="004341B4"/>
    <w:rsid w:val="0043451A"/>
    <w:rsid w:val="0044238D"/>
    <w:rsid w:val="004627BA"/>
    <w:rsid w:val="00465887"/>
    <w:rsid w:val="004746B0"/>
    <w:rsid w:val="004768EF"/>
    <w:rsid w:val="004A5833"/>
    <w:rsid w:val="004B68A5"/>
    <w:rsid w:val="004C06EE"/>
    <w:rsid w:val="004C0CE6"/>
    <w:rsid w:val="004E1696"/>
    <w:rsid w:val="004E1F1A"/>
    <w:rsid w:val="004E474D"/>
    <w:rsid w:val="004F67AE"/>
    <w:rsid w:val="00503853"/>
    <w:rsid w:val="0052071D"/>
    <w:rsid w:val="00520799"/>
    <w:rsid w:val="00520E31"/>
    <w:rsid w:val="005310A0"/>
    <w:rsid w:val="0054286B"/>
    <w:rsid w:val="00542D35"/>
    <w:rsid w:val="00544D38"/>
    <w:rsid w:val="0054776A"/>
    <w:rsid w:val="00547841"/>
    <w:rsid w:val="00554495"/>
    <w:rsid w:val="00555FFD"/>
    <w:rsid w:val="005565A0"/>
    <w:rsid w:val="00560324"/>
    <w:rsid w:val="00560C85"/>
    <w:rsid w:val="00563C1A"/>
    <w:rsid w:val="00564A95"/>
    <w:rsid w:val="005A19E4"/>
    <w:rsid w:val="005A3757"/>
    <w:rsid w:val="005A53A8"/>
    <w:rsid w:val="005B3A6E"/>
    <w:rsid w:val="005C3DF8"/>
    <w:rsid w:val="005C47A5"/>
    <w:rsid w:val="005C6994"/>
    <w:rsid w:val="005C6F53"/>
    <w:rsid w:val="005D1B62"/>
    <w:rsid w:val="005D517D"/>
    <w:rsid w:val="005D6453"/>
    <w:rsid w:val="005D6F07"/>
    <w:rsid w:val="005D7756"/>
    <w:rsid w:val="005E2894"/>
    <w:rsid w:val="005E2D40"/>
    <w:rsid w:val="005E7B98"/>
    <w:rsid w:val="005F6419"/>
    <w:rsid w:val="00601C4B"/>
    <w:rsid w:val="00607B1C"/>
    <w:rsid w:val="006128E1"/>
    <w:rsid w:val="00612D32"/>
    <w:rsid w:val="00617DD9"/>
    <w:rsid w:val="006200B7"/>
    <w:rsid w:val="0062354E"/>
    <w:rsid w:val="00627C56"/>
    <w:rsid w:val="00631832"/>
    <w:rsid w:val="00636ABC"/>
    <w:rsid w:val="006408D7"/>
    <w:rsid w:val="006436B4"/>
    <w:rsid w:val="00654723"/>
    <w:rsid w:val="006562F3"/>
    <w:rsid w:val="00660958"/>
    <w:rsid w:val="006617E0"/>
    <w:rsid w:val="006659F7"/>
    <w:rsid w:val="006715EE"/>
    <w:rsid w:val="00682106"/>
    <w:rsid w:val="006A320B"/>
    <w:rsid w:val="006A7CFB"/>
    <w:rsid w:val="006B02B1"/>
    <w:rsid w:val="006B6CB8"/>
    <w:rsid w:val="006C244B"/>
    <w:rsid w:val="006C64A7"/>
    <w:rsid w:val="006C6D59"/>
    <w:rsid w:val="006D073A"/>
    <w:rsid w:val="006D2797"/>
    <w:rsid w:val="006D330D"/>
    <w:rsid w:val="006D3966"/>
    <w:rsid w:val="006D6461"/>
    <w:rsid w:val="006E0A77"/>
    <w:rsid w:val="006E3E16"/>
    <w:rsid w:val="006F4417"/>
    <w:rsid w:val="006F73EC"/>
    <w:rsid w:val="00707A1B"/>
    <w:rsid w:val="00715A92"/>
    <w:rsid w:val="007167F5"/>
    <w:rsid w:val="007170AE"/>
    <w:rsid w:val="00725D98"/>
    <w:rsid w:val="00725F61"/>
    <w:rsid w:val="00726563"/>
    <w:rsid w:val="007332BC"/>
    <w:rsid w:val="007403AD"/>
    <w:rsid w:val="00752472"/>
    <w:rsid w:val="007644F4"/>
    <w:rsid w:val="00765AAB"/>
    <w:rsid w:val="0077752F"/>
    <w:rsid w:val="00784F74"/>
    <w:rsid w:val="007909BB"/>
    <w:rsid w:val="007919E3"/>
    <w:rsid w:val="00791CC8"/>
    <w:rsid w:val="007979F3"/>
    <w:rsid w:val="007A544C"/>
    <w:rsid w:val="007A6E32"/>
    <w:rsid w:val="007B159C"/>
    <w:rsid w:val="007B75E7"/>
    <w:rsid w:val="007C3854"/>
    <w:rsid w:val="007D0376"/>
    <w:rsid w:val="007D17F8"/>
    <w:rsid w:val="007D1858"/>
    <w:rsid w:val="007D2ED4"/>
    <w:rsid w:val="007E018A"/>
    <w:rsid w:val="00800A74"/>
    <w:rsid w:val="008038A5"/>
    <w:rsid w:val="00804D4D"/>
    <w:rsid w:val="00824D0A"/>
    <w:rsid w:val="00836AC3"/>
    <w:rsid w:val="00840632"/>
    <w:rsid w:val="008408B6"/>
    <w:rsid w:val="00841E5F"/>
    <w:rsid w:val="00844CE6"/>
    <w:rsid w:val="00853B01"/>
    <w:rsid w:val="00864915"/>
    <w:rsid w:val="008671CF"/>
    <w:rsid w:val="008711FE"/>
    <w:rsid w:val="008717F3"/>
    <w:rsid w:val="00872C01"/>
    <w:rsid w:val="00874451"/>
    <w:rsid w:val="00876495"/>
    <w:rsid w:val="0088027F"/>
    <w:rsid w:val="00881A6E"/>
    <w:rsid w:val="00882125"/>
    <w:rsid w:val="00892830"/>
    <w:rsid w:val="008A0AE7"/>
    <w:rsid w:val="008B0975"/>
    <w:rsid w:val="008B0F92"/>
    <w:rsid w:val="008C0C7F"/>
    <w:rsid w:val="008C19A6"/>
    <w:rsid w:val="008C2AA4"/>
    <w:rsid w:val="008C512F"/>
    <w:rsid w:val="008D6AE0"/>
    <w:rsid w:val="008E02D9"/>
    <w:rsid w:val="008E27C4"/>
    <w:rsid w:val="008F1A39"/>
    <w:rsid w:val="008F53F2"/>
    <w:rsid w:val="008F71D6"/>
    <w:rsid w:val="008F7F20"/>
    <w:rsid w:val="00902A6A"/>
    <w:rsid w:val="009051DD"/>
    <w:rsid w:val="0090743C"/>
    <w:rsid w:val="009079D4"/>
    <w:rsid w:val="00913C69"/>
    <w:rsid w:val="00917392"/>
    <w:rsid w:val="0092351C"/>
    <w:rsid w:val="00927380"/>
    <w:rsid w:val="00945297"/>
    <w:rsid w:val="00945DC0"/>
    <w:rsid w:val="0094627D"/>
    <w:rsid w:val="00955BC1"/>
    <w:rsid w:val="0096499F"/>
    <w:rsid w:val="00972C18"/>
    <w:rsid w:val="00987E3A"/>
    <w:rsid w:val="009A09FC"/>
    <w:rsid w:val="009A2160"/>
    <w:rsid w:val="009A5151"/>
    <w:rsid w:val="009B67B4"/>
    <w:rsid w:val="009B6C7E"/>
    <w:rsid w:val="009C1C78"/>
    <w:rsid w:val="009D366B"/>
    <w:rsid w:val="009D4A0A"/>
    <w:rsid w:val="009D7933"/>
    <w:rsid w:val="009E55E6"/>
    <w:rsid w:val="009E7309"/>
    <w:rsid w:val="009F6CAC"/>
    <w:rsid w:val="00A00081"/>
    <w:rsid w:val="00A006EA"/>
    <w:rsid w:val="00A11447"/>
    <w:rsid w:val="00A2282A"/>
    <w:rsid w:val="00A23075"/>
    <w:rsid w:val="00A2489F"/>
    <w:rsid w:val="00A26152"/>
    <w:rsid w:val="00A44107"/>
    <w:rsid w:val="00A4449F"/>
    <w:rsid w:val="00A44B0A"/>
    <w:rsid w:val="00A45B2B"/>
    <w:rsid w:val="00A45B4C"/>
    <w:rsid w:val="00A53DF1"/>
    <w:rsid w:val="00A57643"/>
    <w:rsid w:val="00A61740"/>
    <w:rsid w:val="00A62694"/>
    <w:rsid w:val="00A641AA"/>
    <w:rsid w:val="00A75CCD"/>
    <w:rsid w:val="00A7607D"/>
    <w:rsid w:val="00A77091"/>
    <w:rsid w:val="00A90694"/>
    <w:rsid w:val="00A93DD1"/>
    <w:rsid w:val="00AA02C9"/>
    <w:rsid w:val="00AA3B01"/>
    <w:rsid w:val="00AA7E11"/>
    <w:rsid w:val="00AC14C5"/>
    <w:rsid w:val="00AC1A08"/>
    <w:rsid w:val="00AC2B3D"/>
    <w:rsid w:val="00AC613B"/>
    <w:rsid w:val="00AC6E03"/>
    <w:rsid w:val="00AD1043"/>
    <w:rsid w:val="00AD705D"/>
    <w:rsid w:val="00AE2156"/>
    <w:rsid w:val="00AF2EA9"/>
    <w:rsid w:val="00AF58FA"/>
    <w:rsid w:val="00B05863"/>
    <w:rsid w:val="00B05965"/>
    <w:rsid w:val="00B135B4"/>
    <w:rsid w:val="00B13BB5"/>
    <w:rsid w:val="00B13D6D"/>
    <w:rsid w:val="00B207F2"/>
    <w:rsid w:val="00B20919"/>
    <w:rsid w:val="00B2258B"/>
    <w:rsid w:val="00B43716"/>
    <w:rsid w:val="00B45B17"/>
    <w:rsid w:val="00B464DA"/>
    <w:rsid w:val="00B46741"/>
    <w:rsid w:val="00B531E4"/>
    <w:rsid w:val="00B66B87"/>
    <w:rsid w:val="00B67D85"/>
    <w:rsid w:val="00B727EE"/>
    <w:rsid w:val="00B734D1"/>
    <w:rsid w:val="00B82925"/>
    <w:rsid w:val="00B8696C"/>
    <w:rsid w:val="00B873A7"/>
    <w:rsid w:val="00B90194"/>
    <w:rsid w:val="00B90865"/>
    <w:rsid w:val="00BA72C7"/>
    <w:rsid w:val="00BA7D02"/>
    <w:rsid w:val="00BB38A4"/>
    <w:rsid w:val="00BB3E61"/>
    <w:rsid w:val="00BB76A2"/>
    <w:rsid w:val="00BC4ECE"/>
    <w:rsid w:val="00BC68ED"/>
    <w:rsid w:val="00BE1FED"/>
    <w:rsid w:val="00BF3A80"/>
    <w:rsid w:val="00BF6620"/>
    <w:rsid w:val="00BF6A88"/>
    <w:rsid w:val="00C029E9"/>
    <w:rsid w:val="00C20699"/>
    <w:rsid w:val="00C23A9F"/>
    <w:rsid w:val="00C24119"/>
    <w:rsid w:val="00C245D4"/>
    <w:rsid w:val="00C275D9"/>
    <w:rsid w:val="00C37B65"/>
    <w:rsid w:val="00C40BFC"/>
    <w:rsid w:val="00C44FD5"/>
    <w:rsid w:val="00C5236F"/>
    <w:rsid w:val="00C52A37"/>
    <w:rsid w:val="00C53ACF"/>
    <w:rsid w:val="00C546AC"/>
    <w:rsid w:val="00C5661F"/>
    <w:rsid w:val="00C62185"/>
    <w:rsid w:val="00C6495D"/>
    <w:rsid w:val="00C757FE"/>
    <w:rsid w:val="00C9125A"/>
    <w:rsid w:val="00CA1002"/>
    <w:rsid w:val="00CB136C"/>
    <w:rsid w:val="00CB29E5"/>
    <w:rsid w:val="00CB5932"/>
    <w:rsid w:val="00CB73FE"/>
    <w:rsid w:val="00CC08A3"/>
    <w:rsid w:val="00CC0F55"/>
    <w:rsid w:val="00CC3722"/>
    <w:rsid w:val="00CC4A11"/>
    <w:rsid w:val="00CD292E"/>
    <w:rsid w:val="00CD45D7"/>
    <w:rsid w:val="00CD47EB"/>
    <w:rsid w:val="00CD5851"/>
    <w:rsid w:val="00CE4718"/>
    <w:rsid w:val="00CE52CE"/>
    <w:rsid w:val="00CF37E9"/>
    <w:rsid w:val="00D12137"/>
    <w:rsid w:val="00D1761B"/>
    <w:rsid w:val="00D26078"/>
    <w:rsid w:val="00D34120"/>
    <w:rsid w:val="00D359F4"/>
    <w:rsid w:val="00D367C6"/>
    <w:rsid w:val="00D4233F"/>
    <w:rsid w:val="00D577A8"/>
    <w:rsid w:val="00D61320"/>
    <w:rsid w:val="00D73923"/>
    <w:rsid w:val="00D96FD9"/>
    <w:rsid w:val="00DA2A37"/>
    <w:rsid w:val="00DA63C8"/>
    <w:rsid w:val="00DB419A"/>
    <w:rsid w:val="00DC07F9"/>
    <w:rsid w:val="00DC0B02"/>
    <w:rsid w:val="00DC0B12"/>
    <w:rsid w:val="00DD3DFE"/>
    <w:rsid w:val="00DD5E14"/>
    <w:rsid w:val="00DE1A9D"/>
    <w:rsid w:val="00DE3A5E"/>
    <w:rsid w:val="00DF4CAD"/>
    <w:rsid w:val="00DF59A5"/>
    <w:rsid w:val="00DF618C"/>
    <w:rsid w:val="00E02FAE"/>
    <w:rsid w:val="00E0394B"/>
    <w:rsid w:val="00E052A6"/>
    <w:rsid w:val="00E072B3"/>
    <w:rsid w:val="00E10E02"/>
    <w:rsid w:val="00E163CE"/>
    <w:rsid w:val="00E25067"/>
    <w:rsid w:val="00E31AF3"/>
    <w:rsid w:val="00E354CC"/>
    <w:rsid w:val="00E37D39"/>
    <w:rsid w:val="00E41C9A"/>
    <w:rsid w:val="00E52B70"/>
    <w:rsid w:val="00E53DA2"/>
    <w:rsid w:val="00E56394"/>
    <w:rsid w:val="00E607FD"/>
    <w:rsid w:val="00E62DE7"/>
    <w:rsid w:val="00E66A05"/>
    <w:rsid w:val="00E71F89"/>
    <w:rsid w:val="00E7701B"/>
    <w:rsid w:val="00E80F25"/>
    <w:rsid w:val="00E905DA"/>
    <w:rsid w:val="00E91ACE"/>
    <w:rsid w:val="00E9295B"/>
    <w:rsid w:val="00EA2349"/>
    <w:rsid w:val="00EA56C3"/>
    <w:rsid w:val="00EA78E6"/>
    <w:rsid w:val="00EB0DF3"/>
    <w:rsid w:val="00EB4852"/>
    <w:rsid w:val="00EC2D5D"/>
    <w:rsid w:val="00EC2EDD"/>
    <w:rsid w:val="00EC4A64"/>
    <w:rsid w:val="00ED2689"/>
    <w:rsid w:val="00F022D1"/>
    <w:rsid w:val="00F025EF"/>
    <w:rsid w:val="00F04392"/>
    <w:rsid w:val="00F04EB3"/>
    <w:rsid w:val="00F05E20"/>
    <w:rsid w:val="00F13A6B"/>
    <w:rsid w:val="00F27F0F"/>
    <w:rsid w:val="00F32BF0"/>
    <w:rsid w:val="00F32CAD"/>
    <w:rsid w:val="00F33A6A"/>
    <w:rsid w:val="00F4235D"/>
    <w:rsid w:val="00F47A66"/>
    <w:rsid w:val="00F51403"/>
    <w:rsid w:val="00F60502"/>
    <w:rsid w:val="00F7003C"/>
    <w:rsid w:val="00F71AD9"/>
    <w:rsid w:val="00F739F6"/>
    <w:rsid w:val="00F758F5"/>
    <w:rsid w:val="00F77537"/>
    <w:rsid w:val="00F86E82"/>
    <w:rsid w:val="00F959F9"/>
    <w:rsid w:val="00FA12FC"/>
    <w:rsid w:val="00FA338D"/>
    <w:rsid w:val="00FC0548"/>
    <w:rsid w:val="00FC50CB"/>
    <w:rsid w:val="00FC6657"/>
    <w:rsid w:val="00FD0315"/>
    <w:rsid w:val="00FD3C28"/>
    <w:rsid w:val="00FD6855"/>
    <w:rsid w:val="00FF2F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9D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38D"/>
    <w:rPr>
      <w:sz w:val="24"/>
      <w:szCs w:val="24"/>
    </w:rPr>
  </w:style>
  <w:style w:type="paragraph" w:styleId="Heading1">
    <w:name w:val="heading 1"/>
    <w:basedOn w:val="Normal"/>
    <w:next w:val="Normal"/>
    <w:link w:val="Heading1Char"/>
    <w:qFormat/>
    <w:rsid w:val="005E2D40"/>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541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562F3"/>
    <w:pPr>
      <w:spacing w:before="75" w:after="75"/>
      <w:jc w:val="right"/>
    </w:pPr>
  </w:style>
  <w:style w:type="table" w:styleId="TableGrid">
    <w:name w:val="Table Grid"/>
    <w:basedOn w:val="TableNormal"/>
    <w:rsid w:val="00656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Normal"/>
    <w:rsid w:val="006562F3"/>
    <w:pPr>
      <w:spacing w:before="75" w:after="75"/>
    </w:pPr>
  </w:style>
  <w:style w:type="paragraph" w:customStyle="1" w:styleId="naispant">
    <w:name w:val="naispant"/>
    <w:basedOn w:val="Normal"/>
    <w:rsid w:val="006562F3"/>
    <w:pPr>
      <w:spacing w:before="100" w:beforeAutospacing="1" w:after="100" w:afterAutospacing="1"/>
    </w:pPr>
  </w:style>
  <w:style w:type="paragraph" w:styleId="Header">
    <w:name w:val="header"/>
    <w:basedOn w:val="Normal"/>
    <w:rsid w:val="006562F3"/>
    <w:pPr>
      <w:tabs>
        <w:tab w:val="center" w:pos="4153"/>
        <w:tab w:val="right" w:pos="8306"/>
      </w:tabs>
    </w:pPr>
  </w:style>
  <w:style w:type="character" w:styleId="PageNumber">
    <w:name w:val="page number"/>
    <w:basedOn w:val="DefaultParagraphFont"/>
    <w:rsid w:val="006562F3"/>
  </w:style>
  <w:style w:type="paragraph" w:customStyle="1" w:styleId="naisnod">
    <w:name w:val="naisnod"/>
    <w:basedOn w:val="Normal"/>
    <w:rsid w:val="006562F3"/>
    <w:pPr>
      <w:spacing w:before="150" w:after="150"/>
      <w:jc w:val="center"/>
    </w:pPr>
    <w:rPr>
      <w:b/>
      <w:bCs/>
    </w:rPr>
  </w:style>
  <w:style w:type="paragraph" w:customStyle="1" w:styleId="naisf">
    <w:name w:val="naisf"/>
    <w:basedOn w:val="Normal"/>
    <w:rsid w:val="006562F3"/>
    <w:pPr>
      <w:spacing w:before="75" w:after="75"/>
      <w:ind w:firstLine="375"/>
      <w:jc w:val="both"/>
    </w:pPr>
  </w:style>
  <w:style w:type="paragraph" w:customStyle="1" w:styleId="CharChar">
    <w:name w:val="Char Char"/>
    <w:basedOn w:val="Normal"/>
    <w:rsid w:val="006562F3"/>
    <w:pPr>
      <w:spacing w:before="40"/>
    </w:pPr>
    <w:rPr>
      <w:lang w:val="pl-PL" w:eastAsia="pl-PL"/>
    </w:rPr>
  </w:style>
  <w:style w:type="character" w:styleId="Strong">
    <w:name w:val="Strong"/>
    <w:basedOn w:val="DefaultParagraphFont"/>
    <w:qFormat/>
    <w:rsid w:val="006562F3"/>
    <w:rPr>
      <w:b/>
      <w:bCs/>
    </w:rPr>
  </w:style>
  <w:style w:type="paragraph" w:styleId="Footer">
    <w:name w:val="footer"/>
    <w:basedOn w:val="Normal"/>
    <w:link w:val="FooterChar"/>
    <w:rsid w:val="00BA72C7"/>
    <w:pPr>
      <w:tabs>
        <w:tab w:val="center" w:pos="4153"/>
        <w:tab w:val="right" w:pos="8306"/>
      </w:tabs>
    </w:pPr>
  </w:style>
  <w:style w:type="character" w:styleId="Hyperlink">
    <w:name w:val="Hyperlink"/>
    <w:basedOn w:val="DefaultParagraphFont"/>
    <w:rsid w:val="002716C1"/>
    <w:rPr>
      <w:color w:val="0000FF"/>
      <w:u w:val="single"/>
    </w:rPr>
  </w:style>
  <w:style w:type="paragraph" w:customStyle="1" w:styleId="naisc">
    <w:name w:val="naisc"/>
    <w:basedOn w:val="Normal"/>
    <w:rsid w:val="006408D7"/>
    <w:pPr>
      <w:spacing w:before="450" w:after="300"/>
      <w:jc w:val="center"/>
    </w:pPr>
    <w:rPr>
      <w:sz w:val="26"/>
      <w:szCs w:val="26"/>
    </w:rPr>
  </w:style>
  <w:style w:type="paragraph" w:styleId="BodyText">
    <w:name w:val="Body Text"/>
    <w:basedOn w:val="Normal"/>
    <w:link w:val="BodyTextChar"/>
    <w:rsid w:val="00CD292E"/>
    <w:pPr>
      <w:jc w:val="center"/>
    </w:pPr>
    <w:rPr>
      <w:bCs/>
      <w:lang w:val="en-GB" w:eastAsia="en-US"/>
    </w:rPr>
  </w:style>
  <w:style w:type="character" w:customStyle="1" w:styleId="BodyTextChar">
    <w:name w:val="Body Text Char"/>
    <w:basedOn w:val="DefaultParagraphFont"/>
    <w:link w:val="BodyText"/>
    <w:rsid w:val="00CD292E"/>
    <w:rPr>
      <w:bCs/>
      <w:sz w:val="24"/>
      <w:szCs w:val="24"/>
      <w:lang w:val="en-GB" w:eastAsia="en-US"/>
    </w:rPr>
  </w:style>
  <w:style w:type="paragraph" w:customStyle="1" w:styleId="Preformatted">
    <w:name w:val="Preformatted"/>
    <w:basedOn w:val="Normal"/>
    <w:rsid w:val="00CD292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paragraph" w:styleId="BalloonText">
    <w:name w:val="Balloon Text"/>
    <w:basedOn w:val="Normal"/>
    <w:semiHidden/>
    <w:rsid w:val="00AC2B3D"/>
    <w:rPr>
      <w:rFonts w:ascii="Tahoma" w:hAnsi="Tahoma" w:cs="Tahoma"/>
      <w:sz w:val="16"/>
      <w:szCs w:val="16"/>
    </w:rPr>
  </w:style>
  <w:style w:type="character" w:customStyle="1" w:styleId="Heading3Char">
    <w:name w:val="Heading 3 Char"/>
    <w:basedOn w:val="DefaultParagraphFont"/>
    <w:link w:val="Heading3"/>
    <w:uiPriority w:val="9"/>
    <w:rsid w:val="0025416C"/>
    <w:rPr>
      <w:b/>
      <w:bCs/>
      <w:sz w:val="27"/>
      <w:szCs w:val="27"/>
    </w:rPr>
  </w:style>
  <w:style w:type="paragraph" w:styleId="NormalWeb">
    <w:name w:val="Normal (Web)"/>
    <w:basedOn w:val="Normal"/>
    <w:rsid w:val="001715F1"/>
    <w:pPr>
      <w:spacing w:before="100" w:beforeAutospacing="1" w:after="100" w:afterAutospacing="1"/>
    </w:pPr>
  </w:style>
  <w:style w:type="character" w:customStyle="1" w:styleId="FooterChar">
    <w:name w:val="Footer Char"/>
    <w:basedOn w:val="DefaultParagraphFont"/>
    <w:link w:val="Footer"/>
    <w:rsid w:val="001715F1"/>
    <w:rPr>
      <w:sz w:val="24"/>
      <w:szCs w:val="24"/>
      <w:lang w:val="lv-LV" w:eastAsia="lv-LV"/>
    </w:rPr>
  </w:style>
  <w:style w:type="paragraph" w:customStyle="1" w:styleId="naisvisr">
    <w:name w:val="naisvisr"/>
    <w:basedOn w:val="Normal"/>
    <w:uiPriority w:val="99"/>
    <w:rsid w:val="00804D4D"/>
    <w:pPr>
      <w:spacing w:before="150" w:after="150"/>
      <w:jc w:val="center"/>
    </w:pPr>
    <w:rPr>
      <w:b/>
      <w:bCs/>
      <w:sz w:val="28"/>
      <w:szCs w:val="28"/>
    </w:rPr>
  </w:style>
  <w:style w:type="character" w:customStyle="1" w:styleId="Heading1Char">
    <w:name w:val="Heading 1 Char"/>
    <w:basedOn w:val="DefaultParagraphFont"/>
    <w:link w:val="Heading1"/>
    <w:rsid w:val="005E2D40"/>
    <w:rPr>
      <w:rFonts w:ascii="Cambria" w:eastAsia="Times New Roman" w:hAnsi="Cambria" w:cs="Times New Roman"/>
      <w:b/>
      <w:bCs/>
      <w:kern w:val="32"/>
      <w:sz w:val="32"/>
      <w:szCs w:val="32"/>
      <w:lang w:val="lv-LV" w:eastAsia="lv-LV"/>
    </w:rPr>
  </w:style>
  <w:style w:type="character" w:styleId="CommentReference">
    <w:name w:val="annotation reference"/>
    <w:basedOn w:val="DefaultParagraphFont"/>
    <w:rsid w:val="00A11447"/>
    <w:rPr>
      <w:sz w:val="16"/>
      <w:szCs w:val="16"/>
    </w:rPr>
  </w:style>
  <w:style w:type="paragraph" w:styleId="CommentText">
    <w:name w:val="annotation text"/>
    <w:basedOn w:val="Normal"/>
    <w:link w:val="CommentTextChar"/>
    <w:rsid w:val="00A11447"/>
    <w:rPr>
      <w:sz w:val="20"/>
      <w:szCs w:val="20"/>
    </w:rPr>
  </w:style>
  <w:style w:type="character" w:customStyle="1" w:styleId="CommentTextChar">
    <w:name w:val="Comment Text Char"/>
    <w:basedOn w:val="DefaultParagraphFont"/>
    <w:link w:val="CommentText"/>
    <w:rsid w:val="00A11447"/>
  </w:style>
  <w:style w:type="paragraph" w:styleId="CommentSubject">
    <w:name w:val="annotation subject"/>
    <w:basedOn w:val="CommentText"/>
    <w:next w:val="CommentText"/>
    <w:link w:val="CommentSubjectChar"/>
    <w:rsid w:val="00A11447"/>
    <w:rPr>
      <w:b/>
      <w:bCs/>
    </w:rPr>
  </w:style>
  <w:style w:type="character" w:customStyle="1" w:styleId="CommentSubjectChar">
    <w:name w:val="Comment Subject Char"/>
    <w:basedOn w:val="CommentTextChar"/>
    <w:link w:val="CommentSubject"/>
    <w:rsid w:val="00A11447"/>
    <w:rPr>
      <w:b/>
      <w:bCs/>
    </w:rPr>
  </w:style>
  <w:style w:type="paragraph" w:styleId="Revision">
    <w:name w:val="Revision"/>
    <w:hidden/>
    <w:uiPriority w:val="99"/>
    <w:semiHidden/>
    <w:rsid w:val="00A1144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217">
      <w:bodyDiv w:val="1"/>
      <w:marLeft w:val="0"/>
      <w:marRight w:val="0"/>
      <w:marTop w:val="0"/>
      <w:marBottom w:val="0"/>
      <w:divBdr>
        <w:top w:val="none" w:sz="0" w:space="0" w:color="auto"/>
        <w:left w:val="none" w:sz="0" w:space="0" w:color="auto"/>
        <w:bottom w:val="none" w:sz="0" w:space="0" w:color="auto"/>
        <w:right w:val="none" w:sz="0" w:space="0" w:color="auto"/>
      </w:divBdr>
    </w:div>
    <w:div w:id="165830702">
      <w:bodyDiv w:val="1"/>
      <w:marLeft w:val="0"/>
      <w:marRight w:val="0"/>
      <w:marTop w:val="0"/>
      <w:marBottom w:val="0"/>
      <w:divBdr>
        <w:top w:val="none" w:sz="0" w:space="0" w:color="auto"/>
        <w:left w:val="none" w:sz="0" w:space="0" w:color="auto"/>
        <w:bottom w:val="none" w:sz="0" w:space="0" w:color="auto"/>
        <w:right w:val="none" w:sz="0" w:space="0" w:color="auto"/>
      </w:divBdr>
    </w:div>
    <w:div w:id="554389238">
      <w:bodyDiv w:val="1"/>
      <w:marLeft w:val="0"/>
      <w:marRight w:val="0"/>
      <w:marTop w:val="0"/>
      <w:marBottom w:val="0"/>
      <w:divBdr>
        <w:top w:val="none" w:sz="0" w:space="0" w:color="auto"/>
        <w:left w:val="none" w:sz="0" w:space="0" w:color="auto"/>
        <w:bottom w:val="none" w:sz="0" w:space="0" w:color="auto"/>
        <w:right w:val="none" w:sz="0" w:space="0" w:color="auto"/>
      </w:divBdr>
    </w:div>
    <w:div w:id="723455595">
      <w:bodyDiv w:val="1"/>
      <w:marLeft w:val="0"/>
      <w:marRight w:val="0"/>
      <w:marTop w:val="0"/>
      <w:marBottom w:val="0"/>
      <w:divBdr>
        <w:top w:val="none" w:sz="0" w:space="0" w:color="auto"/>
        <w:left w:val="none" w:sz="0" w:space="0" w:color="auto"/>
        <w:bottom w:val="none" w:sz="0" w:space="0" w:color="auto"/>
        <w:right w:val="none" w:sz="0" w:space="0" w:color="auto"/>
      </w:divBdr>
    </w:div>
    <w:div w:id="13523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ane.legzdina@mk.gov.lv" TargetMode="External"/><Relationship Id="rId4" Type="http://schemas.microsoft.com/office/2007/relationships/stylesWithEffects" Target="stylesWithEffects.xml"/><Relationship Id="rId9" Type="http://schemas.openxmlformats.org/officeDocument/2006/relationships/hyperlink" Target="http://www.likumi.lv/doc.php?id=20057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0A77-112F-4ECB-92C2-7C76F99C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924</Words>
  <Characters>6876</Characters>
  <Application>Microsoft Office Word</Application>
  <DocSecurity>0</DocSecurity>
  <Lines>196</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Sākotnējās ietekmes novērtējuma ziņojums (anotācija)</vt:lpstr>
      <vt:lpstr>"Krūmcidoniju atšķirīguma, viendabīguma un stabilitātes pārbaudes metodika" sākotnējās ietekmes novērtējuma ziņojums (anotācijas)</vt:lpstr>
    </vt:vector>
  </TitlesOfParts>
  <Company>zm</Company>
  <LinksUpToDate>false</LinksUpToDate>
  <CharactersWithSpaces>7728</CharactersWithSpaces>
  <SharedDoc>false</SharedDoc>
  <HLinks>
    <vt:vector size="12" baseType="variant">
      <vt:variant>
        <vt:i4>3866649</vt:i4>
      </vt:variant>
      <vt:variant>
        <vt:i4>3</vt:i4>
      </vt:variant>
      <vt:variant>
        <vt:i4>0</vt:i4>
      </vt:variant>
      <vt:variant>
        <vt:i4>5</vt:i4>
      </vt:variant>
      <vt:variant>
        <vt:lpwstr>mailto:zane.legzdina@mk.gov.lv</vt:lpwstr>
      </vt:variant>
      <vt:variant>
        <vt:lpwstr/>
      </vt:variant>
      <vt:variant>
        <vt:i4>7929889</vt:i4>
      </vt:variant>
      <vt:variant>
        <vt:i4>0</vt:i4>
      </vt:variant>
      <vt:variant>
        <vt:i4>0</vt:i4>
      </vt:variant>
      <vt:variant>
        <vt:i4>5</vt:i4>
      </vt:variant>
      <vt:variant>
        <vt:lpwstr>http://www.likumi.lv/doc.php?id=200576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„Grozījums Ministru kabineta 2011.gada 4.janvāra instrukcijā Nr.1 „Kārtība, kādā izstrādā un aktualizē institūcijas darbības stratēģiju un novērtē tās ieviešanu””</dc:subject>
  <dc:creator>Zane Legzdiņa-Joja</dc:creator>
  <cp:keywords/>
  <dc:description>zane.legzdina@mk.gov.lv, 67082904</dc:description>
  <cp:lastModifiedBy>Inese Šņickovska</cp:lastModifiedBy>
  <cp:revision>13</cp:revision>
  <cp:lastPrinted>2012-04-03T13:20:00Z</cp:lastPrinted>
  <dcterms:created xsi:type="dcterms:W3CDTF">2012-03-08T14:53:00Z</dcterms:created>
  <dcterms:modified xsi:type="dcterms:W3CDTF">2012-04-03T13:20:00Z</dcterms:modified>
</cp:coreProperties>
</file>