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Default="00663130" w:rsidP="00025013">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8B0C2D">
        <w:rPr>
          <w:rFonts w:ascii="Times New Roman" w:hAnsi="Times New Roman" w:cs="Times New Roman"/>
          <w:sz w:val="28"/>
          <w:szCs w:val="28"/>
          <w:lang w:val="lv-LV"/>
        </w:rPr>
        <w:t xml:space="preserve"> </w:t>
      </w:r>
      <w:r w:rsidR="00E46C79">
        <w:rPr>
          <w:rFonts w:ascii="Times New Roman" w:hAnsi="Times New Roman" w:cs="Times New Roman"/>
          <w:sz w:val="28"/>
          <w:szCs w:val="28"/>
          <w:lang w:val="lv-LV"/>
        </w:rPr>
        <w:t>Likumprojekta</w:t>
      </w:r>
      <w:bookmarkStart w:id="0" w:name="OLE_LINK1"/>
      <w:bookmarkStart w:id="1" w:name="OLE_LINK2"/>
    </w:p>
    <w:p w:rsidR="00C80A77" w:rsidRPr="00025013" w:rsidRDefault="008F0541" w:rsidP="00025013">
      <w:pPr>
        <w:spacing w:after="0" w:line="240" w:lineRule="auto"/>
        <w:jc w:val="center"/>
        <w:rPr>
          <w:rFonts w:ascii="Times New Roman" w:hAnsi="Times New Roman" w:cs="Times New Roman"/>
          <w:sz w:val="28"/>
          <w:szCs w:val="28"/>
          <w:lang w:val="lv-LV"/>
        </w:rPr>
      </w:pPr>
      <w:r w:rsidRPr="00C80A77">
        <w:rPr>
          <w:rFonts w:ascii="Times New Roman" w:hAnsi="Times New Roman" w:cs="Times New Roman"/>
          <w:b/>
          <w:bCs/>
          <w:sz w:val="28"/>
          <w:szCs w:val="28"/>
          <w:lang w:val="lv-LV"/>
        </w:rPr>
        <w:t>„</w:t>
      </w:r>
      <w:bookmarkEnd w:id="0"/>
      <w:bookmarkEnd w:id="1"/>
      <w:r w:rsidR="007A3C0A">
        <w:rPr>
          <w:rFonts w:ascii="Times New Roman" w:hAnsi="Times New Roman" w:cs="Times New Roman"/>
          <w:b/>
          <w:sz w:val="28"/>
          <w:szCs w:val="28"/>
          <w:lang w:val="lv-LV"/>
        </w:rPr>
        <w:t>Grozījums likumā „Par prakses ārstiem”</w:t>
      </w:r>
      <w:r w:rsidRPr="008F0541">
        <w:rPr>
          <w:rFonts w:ascii="Times New Roman" w:hAnsi="Times New Roman" w:cs="Times New Roman"/>
          <w:b/>
          <w:sz w:val="28"/>
          <w:szCs w:val="28"/>
          <w:lang w:val="lv-LV"/>
        </w:rPr>
        <w:t>”</w:t>
      </w:r>
    </w:p>
    <w:p w:rsidR="000752B8" w:rsidRDefault="00E8755F" w:rsidP="000752B8">
      <w:pPr>
        <w:spacing w:after="0" w:line="240" w:lineRule="auto"/>
        <w:jc w:val="center"/>
        <w:rPr>
          <w:rFonts w:ascii="Times New Roman" w:hAnsi="Times New Roman" w:cs="Times New Roman"/>
          <w:sz w:val="28"/>
          <w:szCs w:val="28"/>
          <w:lang w:val="lv-LV"/>
        </w:rPr>
      </w:pPr>
      <w:r w:rsidRPr="008F0541">
        <w:rPr>
          <w:rFonts w:ascii="Times New Roman" w:hAnsi="Times New Roman" w:cs="Times New Roman"/>
          <w:sz w:val="28"/>
          <w:szCs w:val="28"/>
          <w:lang w:val="lv-LV"/>
        </w:rPr>
        <w:t xml:space="preserve">sākotnējās </w:t>
      </w:r>
      <w:r w:rsidR="009501D0">
        <w:rPr>
          <w:rFonts w:ascii="Times New Roman" w:hAnsi="Times New Roman" w:cs="Times New Roman"/>
          <w:sz w:val="28"/>
          <w:szCs w:val="28"/>
          <w:lang w:val="lv-LV"/>
        </w:rPr>
        <w:t>(</w:t>
      </w:r>
      <w:proofErr w:type="spellStart"/>
      <w:r w:rsidR="009501D0">
        <w:rPr>
          <w:rFonts w:ascii="Times New Roman" w:hAnsi="Times New Roman" w:cs="Times New Roman"/>
          <w:sz w:val="28"/>
          <w:szCs w:val="28"/>
          <w:lang w:val="lv-LV"/>
        </w:rPr>
        <w:t>ex-ante</w:t>
      </w:r>
      <w:proofErr w:type="spellEnd"/>
      <w:r w:rsidR="009501D0">
        <w:rPr>
          <w:rFonts w:ascii="Times New Roman" w:hAnsi="Times New Roman" w:cs="Times New Roman"/>
          <w:sz w:val="28"/>
          <w:szCs w:val="28"/>
          <w:lang w:val="lv-LV"/>
        </w:rPr>
        <w:t xml:space="preserve">) </w:t>
      </w:r>
      <w:r w:rsidRPr="008F0541">
        <w:rPr>
          <w:rFonts w:ascii="Times New Roman" w:hAnsi="Times New Roman" w:cs="Times New Roman"/>
          <w:sz w:val="28"/>
          <w:szCs w:val="28"/>
          <w:lang w:val="lv-LV"/>
        </w:rPr>
        <w:t>ietekmes novērtējuma ziņojum</w:t>
      </w:r>
      <w:r w:rsidR="008F0541" w:rsidRPr="008F0541">
        <w:rPr>
          <w:rFonts w:ascii="Times New Roman" w:hAnsi="Times New Roman" w:cs="Times New Roman"/>
          <w:sz w:val="28"/>
          <w:szCs w:val="28"/>
          <w:lang w:val="lv-LV"/>
        </w:rPr>
        <w:t>s</w:t>
      </w:r>
    </w:p>
    <w:p w:rsidR="00BA30E3" w:rsidRDefault="00E8755F" w:rsidP="000752B8">
      <w:pPr>
        <w:spacing w:after="0" w:line="240" w:lineRule="auto"/>
        <w:jc w:val="center"/>
        <w:rPr>
          <w:rFonts w:ascii="Times New Roman" w:hAnsi="Times New Roman" w:cs="Times New Roman"/>
          <w:i/>
          <w:sz w:val="28"/>
          <w:szCs w:val="28"/>
          <w:lang w:val="lv-LV"/>
        </w:rPr>
      </w:pPr>
      <w:r w:rsidRPr="002864A5">
        <w:rPr>
          <w:rFonts w:ascii="Times New Roman" w:hAnsi="Times New Roman" w:cs="Times New Roman"/>
          <w:i/>
          <w:sz w:val="28"/>
          <w:szCs w:val="28"/>
          <w:lang w:val="lv-LV"/>
        </w:rPr>
        <w:t>(anotācija)</w:t>
      </w:r>
    </w:p>
    <w:p w:rsidR="000752B8" w:rsidRPr="000752B8"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176BF" w:rsidRPr="009008AC"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AA7CA8" w:rsidTr="008F0541">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AD23CD" w:rsidRDefault="001C0BF7" w:rsidP="00AD23CD">
            <w:pPr>
              <w:spacing w:after="0" w:line="240" w:lineRule="auto"/>
              <w:jc w:val="both"/>
              <w:rPr>
                <w:rFonts w:ascii="Times New Roman" w:hAnsi="Times New Roman" w:cs="Times New Roman"/>
                <w:sz w:val="24"/>
                <w:szCs w:val="24"/>
                <w:lang w:val="lv-LV"/>
              </w:rPr>
            </w:pPr>
            <w:r w:rsidRPr="00AD23CD">
              <w:rPr>
                <w:rFonts w:ascii="Times New Roman" w:hAnsi="Times New Roman" w:cs="Times New Roman"/>
                <w:sz w:val="24"/>
                <w:szCs w:val="24"/>
                <w:lang w:val="lv-LV"/>
              </w:rPr>
              <w:t xml:space="preserve">Deklarācijā par Valda </w:t>
            </w:r>
            <w:proofErr w:type="spellStart"/>
            <w:r w:rsidRPr="00AD23CD">
              <w:rPr>
                <w:rFonts w:ascii="Times New Roman" w:hAnsi="Times New Roman" w:cs="Times New Roman"/>
                <w:sz w:val="24"/>
                <w:szCs w:val="24"/>
                <w:lang w:val="lv-LV"/>
              </w:rPr>
              <w:t>Dombrovska</w:t>
            </w:r>
            <w:proofErr w:type="spellEnd"/>
            <w:r w:rsidRPr="00AD23CD">
              <w:rPr>
                <w:rFonts w:ascii="Times New Roman" w:hAnsi="Times New Roman" w:cs="Times New Roman"/>
                <w:sz w:val="24"/>
                <w:szCs w:val="24"/>
                <w:lang w:val="lv-LV"/>
              </w:rPr>
              <w:t xml:space="preserve"> vadītā Ministru kabineta iecerēto dar</w:t>
            </w:r>
            <w:r w:rsidR="00AD6B1B" w:rsidRPr="00AD23CD">
              <w:rPr>
                <w:rFonts w:ascii="Times New Roman" w:hAnsi="Times New Roman" w:cs="Times New Roman"/>
                <w:sz w:val="24"/>
                <w:szCs w:val="24"/>
                <w:lang w:val="lv-LV"/>
              </w:rPr>
              <w:t xml:space="preserve">bību veselības aprūpes jomā </w:t>
            </w:r>
            <w:r w:rsidR="002864A5">
              <w:rPr>
                <w:rFonts w:ascii="Times New Roman" w:hAnsi="Times New Roman" w:cs="Times New Roman"/>
                <w:sz w:val="24"/>
                <w:szCs w:val="24"/>
                <w:lang w:val="lv-LV"/>
              </w:rPr>
              <w:t>paredzēts</w:t>
            </w:r>
            <w:r w:rsidRPr="00AD23CD">
              <w:rPr>
                <w:rFonts w:ascii="Times New Roman" w:hAnsi="Times New Roman" w:cs="Times New Roman"/>
                <w:sz w:val="24"/>
                <w:szCs w:val="24"/>
                <w:lang w:val="lv-LV"/>
              </w:rPr>
              <w:t xml:space="preserve"> </w:t>
            </w:r>
            <w:r w:rsidR="00AD6B1B" w:rsidRPr="00AD23CD">
              <w:rPr>
                <w:rFonts w:ascii="Times New Roman" w:hAnsi="Times New Roman" w:cs="Times New Roman"/>
                <w:sz w:val="24"/>
                <w:szCs w:val="24"/>
                <w:lang w:val="lv-LV"/>
              </w:rPr>
              <w:t xml:space="preserve">izstrādāt </w:t>
            </w:r>
            <w:r w:rsidR="00025013" w:rsidRPr="00AD23CD">
              <w:rPr>
                <w:rFonts w:ascii="Times New Roman" w:hAnsi="Times New Roman" w:cs="Times New Roman"/>
                <w:sz w:val="24"/>
                <w:szCs w:val="24"/>
                <w:lang w:val="lv-LV"/>
              </w:rPr>
              <w:t>un pieņemt normatīvo regulējumu sabiedrības veselības aprūpes organizācijai, kura noteiks valsts un privāto veselības aprūpes iest</w:t>
            </w:r>
            <w:r w:rsidR="00F359DF">
              <w:rPr>
                <w:rFonts w:ascii="Times New Roman" w:hAnsi="Times New Roman" w:cs="Times New Roman"/>
                <w:sz w:val="24"/>
                <w:szCs w:val="24"/>
                <w:lang w:val="lv-LV"/>
              </w:rPr>
              <w:t xml:space="preserve">āžu un pakalpojumu sniedzēju, </w:t>
            </w:r>
            <w:r w:rsidR="00025013" w:rsidRPr="00AD23CD">
              <w:rPr>
                <w:rFonts w:ascii="Times New Roman" w:hAnsi="Times New Roman" w:cs="Times New Roman"/>
                <w:sz w:val="24"/>
                <w:szCs w:val="24"/>
                <w:lang w:val="lv-LV"/>
              </w:rPr>
              <w:t>pašvaldību</w:t>
            </w:r>
            <w:r w:rsidR="00F359DF">
              <w:rPr>
                <w:rFonts w:ascii="Times New Roman" w:hAnsi="Times New Roman" w:cs="Times New Roman"/>
                <w:sz w:val="24"/>
                <w:szCs w:val="24"/>
                <w:lang w:val="lv-LV"/>
              </w:rPr>
              <w:t xml:space="preserve">, kā arī medicīnas darbinieku un pacientu pienākumus, tiesības </w:t>
            </w:r>
            <w:r w:rsidR="00025013" w:rsidRPr="00AD23CD">
              <w:rPr>
                <w:rFonts w:ascii="Times New Roman" w:hAnsi="Times New Roman" w:cs="Times New Roman"/>
                <w:sz w:val="24"/>
                <w:szCs w:val="24"/>
                <w:lang w:val="lv-LV"/>
              </w:rPr>
              <w:t xml:space="preserve"> </w:t>
            </w:r>
            <w:r w:rsidR="002864A5">
              <w:rPr>
                <w:rFonts w:ascii="Times New Roman" w:hAnsi="Times New Roman" w:cs="Times New Roman"/>
                <w:sz w:val="24"/>
                <w:szCs w:val="24"/>
                <w:lang w:val="lv-LV"/>
              </w:rPr>
              <w:t xml:space="preserve">un </w:t>
            </w:r>
            <w:r w:rsidR="00025013" w:rsidRPr="00AD23CD">
              <w:rPr>
                <w:rFonts w:ascii="Times New Roman" w:hAnsi="Times New Roman" w:cs="Times New Roman"/>
                <w:sz w:val="24"/>
                <w:szCs w:val="24"/>
                <w:lang w:val="lv-LV"/>
              </w:rPr>
              <w:t xml:space="preserve">atbildību. </w:t>
            </w:r>
          </w:p>
          <w:p w:rsidR="00B20BC2" w:rsidRPr="00B20BC2" w:rsidRDefault="00324283" w:rsidP="00025013">
            <w:pPr>
              <w:spacing w:after="0" w:line="240" w:lineRule="auto"/>
              <w:jc w:val="both"/>
              <w:rPr>
                <w:rFonts w:ascii="Times New Roman" w:hAnsi="Times New Roman" w:cs="Times New Roman"/>
                <w:sz w:val="24"/>
                <w:szCs w:val="24"/>
                <w:lang w:val="lv-LV"/>
              </w:rPr>
            </w:pPr>
            <w:r w:rsidRPr="00B20BC2">
              <w:rPr>
                <w:rFonts w:ascii="Times New Roman" w:hAnsi="Times New Roman" w:cs="Times New Roman"/>
                <w:sz w:val="24"/>
                <w:szCs w:val="24"/>
                <w:lang w:val="lv-LV"/>
              </w:rPr>
              <w:t>Pacientu ties</w:t>
            </w:r>
            <w:r w:rsidR="00B20BC2" w:rsidRPr="00B20BC2">
              <w:rPr>
                <w:rFonts w:ascii="Times New Roman" w:hAnsi="Times New Roman" w:cs="Times New Roman"/>
                <w:sz w:val="24"/>
                <w:szCs w:val="24"/>
                <w:lang w:val="lv-LV"/>
              </w:rPr>
              <w:t xml:space="preserve">ību likuma 17.panta trešā daļa nosaka, ka </w:t>
            </w:r>
          </w:p>
          <w:p w:rsidR="00675D97" w:rsidRDefault="00B20BC2" w:rsidP="00675D97">
            <w:pPr>
              <w:spacing w:after="0" w:line="240" w:lineRule="auto"/>
              <w:jc w:val="both"/>
              <w:rPr>
                <w:rFonts w:ascii="Times New Roman" w:eastAsia="Times New Roman" w:hAnsi="Times New Roman" w:cs="Times New Roman"/>
                <w:sz w:val="24"/>
                <w:szCs w:val="24"/>
                <w:lang w:val="lv-LV"/>
              </w:rPr>
            </w:pPr>
            <w:r w:rsidRPr="00B20BC2">
              <w:rPr>
                <w:rFonts w:ascii="Times New Roman" w:hAnsi="Times New Roman" w:cs="Times New Roman"/>
                <w:sz w:val="24"/>
                <w:szCs w:val="24"/>
                <w:lang w:val="lv-LV"/>
              </w:rPr>
              <w:t>ārstniecības riska maksājumu katru gadu veic ārstniecības iestādes un ārstniecības riska maksājuma apmēru un maksāšanas kārtību nosaka Ministru kabinets.</w:t>
            </w:r>
            <w:r>
              <w:rPr>
                <w:rFonts w:ascii="Times New Roman" w:hAnsi="Times New Roman" w:cs="Times New Roman"/>
                <w:sz w:val="24"/>
                <w:szCs w:val="24"/>
                <w:lang w:val="lv-LV"/>
              </w:rPr>
              <w:t xml:space="preserve"> </w:t>
            </w:r>
            <w:r w:rsidR="00AD23CD">
              <w:rPr>
                <w:rFonts w:ascii="Times New Roman" w:eastAsia="Times New Roman" w:hAnsi="Times New Roman" w:cs="Times New Roman"/>
                <w:sz w:val="24"/>
                <w:szCs w:val="24"/>
                <w:lang w:val="lv-LV" w:eastAsia="lv-LV"/>
              </w:rPr>
              <w:t>Pacientu tiesību likuma</w:t>
            </w:r>
            <w:r w:rsidR="00AD23CD" w:rsidRPr="00AD23CD">
              <w:rPr>
                <w:rFonts w:ascii="Times New Roman" w:eastAsia="Times New Roman" w:hAnsi="Times New Roman" w:cs="Times New Roman"/>
                <w:sz w:val="24"/>
                <w:szCs w:val="24"/>
                <w:lang w:val="lv-LV"/>
              </w:rPr>
              <w:t xml:space="preserve"> </w:t>
            </w:r>
            <w:r w:rsidR="00AD23CD">
              <w:rPr>
                <w:rFonts w:ascii="Times New Roman" w:eastAsia="Times New Roman" w:hAnsi="Times New Roman" w:cs="Times New Roman"/>
                <w:sz w:val="24"/>
                <w:szCs w:val="24"/>
                <w:lang w:val="lv-LV"/>
              </w:rPr>
              <w:t xml:space="preserve">pārejas noteikums paredz, ka likuma </w:t>
            </w:r>
            <w:r>
              <w:rPr>
                <w:rFonts w:ascii="Times New Roman" w:eastAsia="Times New Roman" w:hAnsi="Times New Roman" w:cs="Times New Roman"/>
                <w:sz w:val="24"/>
                <w:szCs w:val="24"/>
                <w:lang w:val="lv-LV"/>
              </w:rPr>
              <w:t>17.pants</w:t>
            </w:r>
            <w:r w:rsidR="00AD23CD" w:rsidRPr="00AD23CD">
              <w:rPr>
                <w:rFonts w:ascii="Times New Roman" w:eastAsia="Times New Roman" w:hAnsi="Times New Roman" w:cs="Times New Roman"/>
                <w:sz w:val="24"/>
                <w:szCs w:val="24"/>
                <w:lang w:val="lv-LV"/>
              </w:rPr>
              <w:t xml:space="preserve"> s</w:t>
            </w:r>
            <w:r w:rsidR="00F359DF">
              <w:rPr>
                <w:rFonts w:ascii="Times New Roman" w:eastAsia="Times New Roman" w:hAnsi="Times New Roman" w:cs="Times New Roman"/>
                <w:sz w:val="24"/>
                <w:szCs w:val="24"/>
                <w:lang w:val="lv-LV"/>
              </w:rPr>
              <w:t>tājas spēkā 2013</w:t>
            </w:r>
            <w:r w:rsidR="00AD23CD">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25.oktobrī</w:t>
            </w:r>
            <w:r w:rsidR="00AD23CD">
              <w:rPr>
                <w:rFonts w:ascii="Times New Roman" w:eastAsia="Times New Roman" w:hAnsi="Times New Roman" w:cs="Times New Roman"/>
                <w:sz w:val="24"/>
                <w:szCs w:val="24"/>
                <w:lang w:val="lv-LV"/>
              </w:rPr>
              <w:t>, savukārt, atlīdzību par kaitējumu veselībai vai dzīvībai, kā arī morālo kaitējumu pacients varēs saņemt</w:t>
            </w:r>
            <w:r>
              <w:rPr>
                <w:rFonts w:ascii="Times New Roman" w:eastAsia="Times New Roman" w:hAnsi="Times New Roman" w:cs="Times New Roman"/>
                <w:sz w:val="24"/>
                <w:szCs w:val="24"/>
                <w:lang w:val="lv-LV"/>
              </w:rPr>
              <w:t xml:space="preserve"> no 2014.gada 1.maija</w:t>
            </w:r>
            <w:r w:rsidR="00AD23CD" w:rsidRPr="00AD23CD">
              <w:rPr>
                <w:rFonts w:ascii="Times New Roman" w:eastAsia="Times New Roman" w:hAnsi="Times New Roman" w:cs="Times New Roman"/>
                <w:sz w:val="24"/>
                <w:szCs w:val="24"/>
                <w:lang w:val="lv-LV"/>
              </w:rPr>
              <w:t xml:space="preserve"> par kaitējumu,</w:t>
            </w:r>
            <w:r w:rsidR="00C64D79">
              <w:rPr>
                <w:rFonts w:ascii="Times New Roman" w:eastAsia="Times New Roman" w:hAnsi="Times New Roman" w:cs="Times New Roman"/>
                <w:sz w:val="24"/>
                <w:szCs w:val="24"/>
                <w:lang w:val="lv-LV"/>
              </w:rPr>
              <w:t xml:space="preserve"> kas nodarīts pacientam pēc 2013</w:t>
            </w:r>
            <w:r>
              <w:rPr>
                <w:rFonts w:ascii="Times New Roman" w:eastAsia="Times New Roman" w:hAnsi="Times New Roman" w:cs="Times New Roman"/>
                <w:sz w:val="24"/>
                <w:szCs w:val="24"/>
                <w:lang w:val="lv-LV"/>
              </w:rPr>
              <w:t>.gada 25.oktobra</w:t>
            </w:r>
            <w:r w:rsidR="00AD23CD" w:rsidRPr="00AD23CD">
              <w:rPr>
                <w:rFonts w:ascii="Times New Roman" w:eastAsia="Times New Roman" w:hAnsi="Times New Roman" w:cs="Times New Roman"/>
                <w:sz w:val="24"/>
                <w:szCs w:val="24"/>
                <w:lang w:val="lv-LV"/>
              </w:rPr>
              <w:t>.</w:t>
            </w:r>
          </w:p>
          <w:p w:rsidR="000752B8" w:rsidRPr="00675D97" w:rsidRDefault="000752B8" w:rsidP="00675D97">
            <w:pPr>
              <w:spacing w:after="0" w:line="240" w:lineRule="auto"/>
              <w:jc w:val="both"/>
              <w:rPr>
                <w:rFonts w:ascii="Times New Roman" w:hAnsi="Times New Roman" w:cs="Times New Roman"/>
                <w:sz w:val="24"/>
                <w:szCs w:val="24"/>
                <w:lang w:val="lv-LV"/>
              </w:rPr>
            </w:pPr>
          </w:p>
        </w:tc>
      </w:tr>
      <w:tr w:rsidR="00D176BF" w:rsidRPr="00AA7CA8" w:rsidTr="008F0541">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675D97" w:rsidRPr="00B20BC2" w:rsidRDefault="00675D97" w:rsidP="00675D9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sz w:val="24"/>
                <w:szCs w:val="24"/>
                <w:lang w:val="lv-LV" w:eastAsia="lv-LV"/>
              </w:rPr>
              <w:t xml:space="preserve">   </w:t>
            </w:r>
            <w:r w:rsidRPr="00B20BC2">
              <w:rPr>
                <w:rFonts w:ascii="Times New Roman" w:eastAsia="Times New Roman" w:hAnsi="Times New Roman" w:cs="Times New Roman"/>
                <w:sz w:val="24"/>
                <w:szCs w:val="24"/>
                <w:lang w:val="lv-LV"/>
              </w:rPr>
              <w:t>Li</w:t>
            </w:r>
            <w:r>
              <w:rPr>
                <w:rFonts w:ascii="Times New Roman" w:eastAsia="Times New Roman" w:hAnsi="Times New Roman" w:cs="Times New Roman"/>
                <w:sz w:val="24"/>
                <w:szCs w:val="24"/>
                <w:lang w:val="lv-LV"/>
              </w:rPr>
              <w:t>kuma „Par prakses ārstiem” 17.pa</w:t>
            </w:r>
            <w:r w:rsidRPr="00B20BC2">
              <w:rPr>
                <w:rFonts w:ascii="Times New Roman" w:eastAsia="Times New Roman" w:hAnsi="Times New Roman" w:cs="Times New Roman"/>
                <w:sz w:val="24"/>
                <w:szCs w:val="24"/>
                <w:lang w:val="lv-LV"/>
              </w:rPr>
              <w:t>nts nos</w:t>
            </w:r>
            <w:r>
              <w:rPr>
                <w:rFonts w:ascii="Times New Roman" w:eastAsia="Times New Roman" w:hAnsi="Times New Roman" w:cs="Times New Roman"/>
                <w:sz w:val="24"/>
                <w:szCs w:val="24"/>
                <w:lang w:val="lv-LV"/>
              </w:rPr>
              <w:t>a</w:t>
            </w:r>
            <w:r w:rsidRPr="00B20BC2">
              <w:rPr>
                <w:rFonts w:ascii="Times New Roman" w:eastAsia="Times New Roman" w:hAnsi="Times New Roman" w:cs="Times New Roman"/>
                <w:sz w:val="24"/>
                <w:szCs w:val="24"/>
                <w:lang w:val="lv-LV"/>
              </w:rPr>
              <w:t xml:space="preserve">ka, ka </w:t>
            </w:r>
            <w:r w:rsidRPr="00B20BC2">
              <w:rPr>
                <w:rFonts w:ascii="Times New Roman" w:hAnsi="Times New Roman" w:cs="Times New Roman"/>
                <w:sz w:val="24"/>
                <w:szCs w:val="24"/>
                <w:lang w:val="lv-LV"/>
              </w:rPr>
              <w:t>prakses ārsta civiltiesiskās atbildības obligātās apdrošināšanas kārtību nosaka Ministru kabineta noteikumi.</w:t>
            </w:r>
            <w:r>
              <w:rPr>
                <w:rFonts w:ascii="Times New Roman" w:hAnsi="Times New Roman" w:cs="Times New Roman"/>
                <w:sz w:val="24"/>
                <w:szCs w:val="24"/>
                <w:lang w:val="lv-LV"/>
              </w:rPr>
              <w:t xml:space="preserve"> Šobrīd spēkā ir Ministru kabineta 1998.gada 12.maija noteikumi Nr.177 „Prakses ārsta civiltiesiskās atbildības obligātās apdrošināšanas kārtība”, kuru 4.punkts paredz</w:t>
            </w:r>
            <w:r w:rsidRPr="00B20BC2">
              <w:rPr>
                <w:rFonts w:ascii="Times New Roman" w:hAnsi="Times New Roman" w:cs="Times New Roman"/>
                <w:sz w:val="24"/>
                <w:szCs w:val="24"/>
                <w:lang w:val="lv-LV"/>
              </w:rPr>
              <w:t xml:space="preserve"> prakses ārstu apdrošināšanas minimālo apdrošinājuma summu 1000 latu gadā.</w:t>
            </w:r>
          </w:p>
          <w:p w:rsidR="00A858EB" w:rsidRPr="00675D97" w:rsidRDefault="00675D97" w:rsidP="00A858EB">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Tā kā ārstu prakses atbilst ārstniecības iestādes statusam atbilstoši Ārstniecības likuma 1.panta trešajam punktam</w:t>
            </w:r>
            <w:r w:rsidR="00A858EB">
              <w:rPr>
                <w:rFonts w:ascii="Times New Roman" w:eastAsia="Times New Roman" w:hAnsi="Times New Roman"/>
                <w:sz w:val="24"/>
                <w:szCs w:val="24"/>
                <w:lang w:val="lv-LV"/>
              </w:rPr>
              <w:t xml:space="preserve"> </w:t>
            </w:r>
            <w:r w:rsidR="00A858EB" w:rsidRPr="00A858EB">
              <w:rPr>
                <w:rFonts w:ascii="Times New Roman" w:eastAsia="Times New Roman" w:hAnsi="Times New Roman"/>
                <w:sz w:val="24"/>
                <w:szCs w:val="24"/>
                <w:lang w:val="lv-LV"/>
              </w:rPr>
              <w:t>(</w:t>
            </w:r>
            <w:r w:rsidR="00A858EB" w:rsidRPr="00A858EB">
              <w:rPr>
                <w:rFonts w:ascii="Times New Roman" w:hAnsi="Times New Roman"/>
                <w:bCs/>
                <w:sz w:val="24"/>
                <w:szCs w:val="24"/>
                <w:lang w:val="lv-LV"/>
              </w:rPr>
              <w:t xml:space="preserve">ārstniecības iestādes </w:t>
            </w:r>
            <w:r w:rsidR="00A858EB">
              <w:rPr>
                <w:rFonts w:ascii="Times New Roman" w:hAnsi="Times New Roman"/>
                <w:sz w:val="24"/>
                <w:szCs w:val="24"/>
                <w:lang w:val="lv-LV"/>
              </w:rPr>
              <w:t>-</w:t>
            </w:r>
            <w:r w:rsidR="00A858EB" w:rsidRPr="00A858EB">
              <w:rPr>
                <w:rFonts w:ascii="Times New Roman" w:hAnsi="Times New Roman"/>
                <w:sz w:val="24"/>
                <w:szCs w:val="24"/>
                <w:lang w:val="lv-LV"/>
              </w:rPr>
              <w:t xml:space="preserve"> 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w:t>
            </w:r>
            <w:r>
              <w:rPr>
                <w:rFonts w:ascii="Times New Roman" w:eastAsia="Times New Roman" w:hAnsi="Times New Roman"/>
                <w:sz w:val="24"/>
                <w:szCs w:val="24"/>
                <w:lang w:val="lv-LV"/>
              </w:rPr>
              <w:t xml:space="preserve">, tad attiecībā uz tām ir piemērojama Pacientu tiesību likuma 17.panta trešā daļa, kas </w:t>
            </w:r>
            <w:r>
              <w:rPr>
                <w:rFonts w:ascii="Times New Roman" w:eastAsia="Times New Roman" w:hAnsi="Times New Roman"/>
                <w:sz w:val="24"/>
                <w:szCs w:val="24"/>
                <w:lang w:val="lv-LV"/>
              </w:rPr>
              <w:lastRenderedPageBreak/>
              <w:t>nozīmē, ka ārstu praksēm ir katru gadu jāveic ārstniecības riska maksājumi Ārstniecības riska fondā. Lai privātpraksēm nebūtu jāveic dubults maksājums, kas šobrīd sanāk kā obligāta prasība atbilstoši normatīvajam regulējumam, t.i., gan Ārstniecības riska fondā, gan ar</w:t>
            </w:r>
            <w:r w:rsidR="00A858EB">
              <w:rPr>
                <w:rFonts w:ascii="Times New Roman" w:eastAsia="Times New Roman" w:hAnsi="Times New Roman"/>
                <w:sz w:val="24"/>
                <w:szCs w:val="24"/>
                <w:lang w:val="lv-LV"/>
              </w:rPr>
              <w:t xml:space="preserve">ī jāpērk apdrošināšanas polise, </w:t>
            </w:r>
            <w:r>
              <w:rPr>
                <w:rFonts w:ascii="Times New Roman" w:eastAsia="Times New Roman" w:hAnsi="Times New Roman"/>
                <w:sz w:val="24"/>
                <w:szCs w:val="24"/>
                <w:lang w:val="lv-LV"/>
              </w:rPr>
              <w:t>ir nepieciešams veikt grozījumu likumā „Par prakses ārstiem”</w:t>
            </w:r>
            <w:r w:rsidR="00A858E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00A858EB">
              <w:rPr>
                <w:rFonts w:ascii="Times New Roman" w:eastAsia="Times New Roman" w:hAnsi="Times New Roman"/>
                <w:sz w:val="24"/>
                <w:szCs w:val="24"/>
                <w:lang w:val="lv-LV"/>
              </w:rPr>
              <w:t>izslēdzot normu par prakses ārsta civiltiesiskās atbildības obligāto apdrošināšanu.</w:t>
            </w:r>
          </w:p>
        </w:tc>
      </w:tr>
      <w:tr w:rsidR="00D176BF" w:rsidRPr="009008AC" w:rsidTr="008F0541">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176BF" w:rsidRPr="003F6650" w:rsidRDefault="003F6650" w:rsidP="00D176BF">
            <w:pPr>
              <w:spacing w:before="75" w:after="75" w:line="240" w:lineRule="auto"/>
              <w:rPr>
                <w:rFonts w:ascii="Times New Roman" w:eastAsia="Times New Roman" w:hAnsi="Times New Roman" w:cs="Times New Roman"/>
                <w:sz w:val="24"/>
                <w:szCs w:val="24"/>
                <w:lang w:val="lv-LV" w:eastAsia="lv-LV"/>
              </w:rPr>
            </w:pPr>
            <w:r w:rsidRPr="003F6650">
              <w:rPr>
                <w:rFonts w:ascii="Times New Roman" w:eastAsia="Calibri" w:hAnsi="Times New Roman" w:cs="Times New Roman"/>
                <w:sz w:val="24"/>
                <w:szCs w:val="24"/>
                <w:lang w:val="lv-LV"/>
              </w:rPr>
              <w:t>Projekts šo jomu neskar</w:t>
            </w:r>
            <w:r w:rsidR="00675D97">
              <w:rPr>
                <w:rFonts w:ascii="Times New Roman" w:eastAsia="Calibri" w:hAnsi="Times New Roman" w:cs="Times New Roman"/>
                <w:sz w:val="24"/>
                <w:szCs w:val="24"/>
                <w:lang w:val="lv-LV"/>
              </w:rPr>
              <w:t>.</w:t>
            </w:r>
          </w:p>
        </w:tc>
      </w:tr>
      <w:tr w:rsidR="00D176BF" w:rsidRPr="00AA7CA8" w:rsidTr="000752B8">
        <w:trPr>
          <w:trHeight w:val="252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0752B8" w:rsidRDefault="00B20BC2" w:rsidP="009A2AE8">
            <w:pPr>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   </w:t>
            </w:r>
            <w:r w:rsidR="00694649" w:rsidRPr="00060E6A">
              <w:rPr>
                <w:rFonts w:ascii="Times New Roman" w:hAnsi="Times New Roman" w:cs="Times New Roman"/>
                <w:sz w:val="24"/>
                <w:szCs w:val="24"/>
                <w:lang w:val="lv-LV"/>
              </w:rPr>
              <w:t>Likum</w:t>
            </w:r>
            <w:r w:rsidR="004B68DA" w:rsidRPr="00060E6A">
              <w:rPr>
                <w:rFonts w:ascii="Times New Roman" w:hAnsi="Times New Roman" w:cs="Times New Roman"/>
                <w:sz w:val="24"/>
                <w:szCs w:val="24"/>
                <w:lang w:val="lv-LV"/>
              </w:rPr>
              <w:t>projekts</w:t>
            </w:r>
            <w:r w:rsidR="00992F12" w:rsidRPr="00060E6A">
              <w:rPr>
                <w:rFonts w:ascii="Times New Roman" w:hAnsi="Times New Roman" w:cs="Times New Roman"/>
                <w:b/>
                <w:bCs/>
                <w:sz w:val="24"/>
                <w:szCs w:val="24"/>
                <w:lang w:val="lv-LV"/>
              </w:rPr>
              <w:t xml:space="preserve"> </w:t>
            </w:r>
            <w:r w:rsidR="00060E6A" w:rsidRPr="00060E6A">
              <w:rPr>
                <w:rFonts w:ascii="Times New Roman" w:hAnsi="Times New Roman" w:cs="Times New Roman"/>
                <w:bCs/>
                <w:sz w:val="24"/>
                <w:szCs w:val="24"/>
                <w:lang w:val="lv-LV"/>
              </w:rPr>
              <w:t>„Grozījumi</w:t>
            </w:r>
            <w:r w:rsidR="00992F12" w:rsidRPr="00060E6A">
              <w:rPr>
                <w:rFonts w:ascii="Times New Roman" w:hAnsi="Times New Roman" w:cs="Times New Roman"/>
                <w:bCs/>
                <w:sz w:val="24"/>
                <w:szCs w:val="24"/>
                <w:lang w:val="lv-LV"/>
              </w:rPr>
              <w:t xml:space="preserve"> </w:t>
            </w:r>
            <w:r w:rsidR="001B141F">
              <w:rPr>
                <w:rFonts w:ascii="Times New Roman" w:hAnsi="Times New Roman" w:cs="Times New Roman"/>
                <w:bCs/>
                <w:sz w:val="24"/>
                <w:szCs w:val="24"/>
                <w:lang w:val="lv-LV"/>
              </w:rPr>
              <w:t>likumā „Par prakses ārstiem</w:t>
            </w:r>
            <w:r w:rsidR="00992F12" w:rsidRPr="00060E6A">
              <w:rPr>
                <w:rFonts w:ascii="Times New Roman" w:hAnsi="Times New Roman" w:cs="Times New Roman"/>
                <w:bCs/>
                <w:sz w:val="24"/>
                <w:szCs w:val="24"/>
                <w:lang w:val="lv-LV"/>
              </w:rPr>
              <w:t>”</w:t>
            </w:r>
            <w:r w:rsidR="001B141F">
              <w:rPr>
                <w:rFonts w:ascii="Times New Roman" w:hAnsi="Times New Roman" w:cs="Times New Roman"/>
                <w:bCs/>
                <w:sz w:val="24"/>
                <w:szCs w:val="24"/>
                <w:lang w:val="lv-LV"/>
              </w:rPr>
              <w:t>”</w:t>
            </w:r>
            <w:r w:rsidR="00992F12" w:rsidRPr="00060E6A">
              <w:rPr>
                <w:rFonts w:ascii="Times New Roman" w:hAnsi="Times New Roman" w:cs="Times New Roman"/>
                <w:b/>
                <w:bCs/>
                <w:sz w:val="24"/>
                <w:szCs w:val="24"/>
                <w:lang w:val="lv-LV"/>
              </w:rPr>
              <w:t xml:space="preserve"> </w:t>
            </w:r>
            <w:r w:rsidR="00992F12" w:rsidRPr="00060E6A">
              <w:rPr>
                <w:rFonts w:ascii="Times New Roman" w:hAnsi="Times New Roman" w:cs="Times New Roman"/>
                <w:bCs/>
                <w:sz w:val="24"/>
                <w:szCs w:val="24"/>
                <w:lang w:val="lv-LV"/>
              </w:rPr>
              <w:t>(turpmāk – likumprojekts)</w:t>
            </w:r>
            <w:r w:rsidR="00992F12" w:rsidRPr="00060E6A">
              <w:rPr>
                <w:rFonts w:ascii="Times New Roman" w:hAnsi="Times New Roman" w:cs="Times New Roman"/>
                <w:b/>
                <w:bCs/>
                <w:sz w:val="24"/>
                <w:szCs w:val="24"/>
                <w:lang w:val="lv-LV"/>
              </w:rPr>
              <w:t xml:space="preserve"> </w:t>
            </w:r>
            <w:r w:rsidR="004B68DA" w:rsidRPr="00060E6A">
              <w:rPr>
                <w:rFonts w:ascii="Times New Roman" w:hAnsi="Times New Roman" w:cs="Times New Roman"/>
                <w:sz w:val="24"/>
                <w:szCs w:val="24"/>
                <w:lang w:val="lv-LV"/>
              </w:rPr>
              <w:t>paredz</w:t>
            </w:r>
            <w:r w:rsidR="00A858EB">
              <w:rPr>
                <w:rFonts w:ascii="Times New Roman" w:hAnsi="Times New Roman" w:cs="Times New Roman"/>
                <w:sz w:val="24"/>
                <w:szCs w:val="24"/>
                <w:lang w:val="lv-LV"/>
              </w:rPr>
              <w:t xml:space="preserve"> izslēgt 17.pantu, kas nosaka, </w:t>
            </w:r>
            <w:r w:rsidR="00A858EB" w:rsidRPr="00A858EB">
              <w:rPr>
                <w:rFonts w:ascii="Times New Roman" w:hAnsi="Times New Roman" w:cs="Times New Roman"/>
                <w:sz w:val="24"/>
                <w:szCs w:val="24"/>
                <w:lang w:val="lv-LV"/>
              </w:rPr>
              <w:t>ka prakses ārsta civiltiesiskās atbildības obligātās apdrošināšanas kārtību nosaka Ministru kabinets.</w:t>
            </w:r>
            <w:r w:rsidR="000752B8">
              <w:rPr>
                <w:rFonts w:ascii="Times New Roman" w:hAnsi="Times New Roman" w:cs="Times New Roman"/>
                <w:sz w:val="24"/>
                <w:szCs w:val="24"/>
                <w:lang w:val="lv-LV"/>
              </w:rPr>
              <w:t xml:space="preserve"> </w:t>
            </w:r>
          </w:p>
          <w:p w:rsidR="00D176BF" w:rsidRPr="00060E6A" w:rsidRDefault="000752B8" w:rsidP="009A2AE8">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B141F">
              <w:rPr>
                <w:rFonts w:ascii="Times New Roman" w:hAnsi="Times New Roman" w:cs="Times New Roman"/>
                <w:sz w:val="24"/>
                <w:szCs w:val="24"/>
                <w:lang w:val="lv-LV"/>
              </w:rPr>
              <w:t>Likumprojekta spēkā stāšanās paredzēta 2013.gada 25.oktobrī</w:t>
            </w:r>
            <w:r w:rsidR="00345CFC">
              <w:rPr>
                <w:rFonts w:ascii="Times New Roman" w:hAnsi="Times New Roman" w:cs="Times New Roman"/>
                <w:sz w:val="24"/>
                <w:szCs w:val="24"/>
                <w:lang w:val="lv-LV"/>
              </w:rPr>
              <w:t>.</w:t>
            </w:r>
            <w:r w:rsidR="00B807E7">
              <w:rPr>
                <w:rFonts w:ascii="Times New Roman" w:hAnsi="Times New Roman" w:cs="Times New Roman"/>
                <w:sz w:val="24"/>
                <w:szCs w:val="24"/>
                <w:lang w:val="lv-LV"/>
              </w:rPr>
              <w:t xml:space="preserve"> </w:t>
            </w:r>
            <w:r w:rsidR="009A2AE8">
              <w:rPr>
                <w:rFonts w:ascii="Times New Roman" w:hAnsi="Times New Roman" w:cs="Times New Roman"/>
                <w:sz w:val="24"/>
                <w:szCs w:val="24"/>
                <w:lang w:val="lv-LV"/>
              </w:rPr>
              <w:t>Likum</w:t>
            </w:r>
            <w:r w:rsidR="00FC0A93" w:rsidRPr="0004227B">
              <w:rPr>
                <w:rFonts w:ascii="Times New Roman" w:hAnsi="Times New Roman" w:cs="Times New Roman"/>
                <w:sz w:val="24"/>
                <w:szCs w:val="24"/>
                <w:lang w:val="lv-LV"/>
              </w:rPr>
              <w:t>projekts pilnībā atrisinās anotācijas I sadaļas 2.punktā minētās problēmas.</w:t>
            </w:r>
          </w:p>
        </w:tc>
      </w:tr>
      <w:tr w:rsidR="00D176BF" w:rsidRPr="00F359DF" w:rsidTr="008F0541">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5.</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176BF" w:rsidRPr="00C624C4" w:rsidRDefault="00D176BF" w:rsidP="00CE1F61">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CE1F61">
              <w:rPr>
                <w:rFonts w:ascii="Times New Roman" w:eastAsia="Times New Roman" w:hAnsi="Times New Roman" w:cs="Times New Roman"/>
                <w:sz w:val="24"/>
                <w:szCs w:val="24"/>
                <w:lang w:val="lv-LV" w:eastAsia="lv-LV"/>
              </w:rPr>
              <w:t>Projekts šo jomu neskar.</w:t>
            </w:r>
            <w:r w:rsidR="00C624C4">
              <w:rPr>
                <w:rFonts w:ascii="Times New Roman" w:hAnsi="Times New Roman" w:cs="Times New Roman"/>
                <w:sz w:val="24"/>
                <w:szCs w:val="24"/>
                <w:lang w:val="lv-LV"/>
              </w:rPr>
              <w:t xml:space="preserve"> </w:t>
            </w:r>
          </w:p>
        </w:tc>
      </w:tr>
      <w:tr w:rsidR="00D176BF" w:rsidRPr="00AA7CA8" w:rsidTr="000752B8">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135079" w:rsidRPr="001B141F" w:rsidRDefault="0031547E" w:rsidP="009A2AE8">
            <w:pPr>
              <w:jc w:val="both"/>
              <w:rPr>
                <w:rFonts w:ascii="Times New Roman" w:hAnsi="Times New Roman" w:cs="Times New Roman"/>
                <w:bCs/>
                <w:sz w:val="24"/>
                <w:szCs w:val="24"/>
                <w:lang w:val="lv-LV"/>
              </w:rPr>
            </w:pPr>
            <w:r>
              <w:rPr>
                <w:rFonts w:ascii="Times New Roman" w:hAnsi="Times New Roman" w:cs="Times New Roman"/>
                <w:sz w:val="24"/>
                <w:szCs w:val="24"/>
                <w:lang w:val="lv-LV"/>
              </w:rPr>
              <w:t xml:space="preserve"> </w:t>
            </w:r>
            <w:r w:rsidR="00135079" w:rsidRPr="001B141F">
              <w:rPr>
                <w:rFonts w:ascii="Times New Roman" w:hAnsi="Times New Roman" w:cs="Times New Roman"/>
                <w:sz w:val="24"/>
                <w:szCs w:val="24"/>
                <w:lang w:val="lv-LV"/>
              </w:rPr>
              <w:t xml:space="preserve">Veselības ministrijas </w:t>
            </w:r>
            <w:r w:rsidR="00A47AD0" w:rsidRPr="001B141F">
              <w:rPr>
                <w:rFonts w:ascii="Times New Roman" w:hAnsi="Times New Roman" w:cs="Times New Roman"/>
                <w:sz w:val="24"/>
                <w:szCs w:val="24"/>
                <w:lang w:val="lv-LV"/>
              </w:rPr>
              <w:t>informējoša vēstule Latvijas Ģimenes ārstu asociācija</w:t>
            </w:r>
            <w:r w:rsidR="00915468" w:rsidRPr="001B141F">
              <w:rPr>
                <w:rFonts w:ascii="Times New Roman" w:hAnsi="Times New Roman" w:cs="Times New Roman"/>
                <w:sz w:val="24"/>
                <w:szCs w:val="24"/>
                <w:lang w:val="lv-LV"/>
              </w:rPr>
              <w:t xml:space="preserve">i par to, ka </w:t>
            </w:r>
            <w:r w:rsidR="00345CFC">
              <w:rPr>
                <w:rFonts w:ascii="Times New Roman" w:hAnsi="Times New Roman" w:cs="Times New Roman"/>
                <w:bCs/>
                <w:sz w:val="24"/>
                <w:szCs w:val="24"/>
                <w:lang w:val="lv-LV"/>
              </w:rPr>
              <w:t>prakses ārstie</w:t>
            </w:r>
            <w:r w:rsidR="00915468" w:rsidRPr="001B141F">
              <w:rPr>
                <w:rFonts w:ascii="Times New Roman" w:hAnsi="Times New Roman" w:cs="Times New Roman"/>
                <w:bCs/>
                <w:sz w:val="24"/>
                <w:szCs w:val="24"/>
                <w:lang w:val="lv-LV"/>
              </w:rPr>
              <w:t xml:space="preserve">m ar 2013.gada 25.oktobri būs jāveic nevis civiltiesiskās atbildības obligātā apdrošināšana, bet gan jāveic atbilstīgs ārstniecības riska maksājums Ārstniecības riska fondā </w:t>
            </w:r>
            <w:r w:rsidR="00915468" w:rsidRPr="001B141F">
              <w:rPr>
                <w:rFonts w:ascii="Times New Roman" w:hAnsi="Times New Roman" w:cs="Times New Roman"/>
                <w:sz w:val="24"/>
                <w:szCs w:val="24"/>
                <w:lang w:val="lv-LV"/>
              </w:rPr>
              <w:t>(</w:t>
            </w:r>
            <w:r w:rsidR="00135079" w:rsidRPr="001B141F">
              <w:rPr>
                <w:rFonts w:ascii="Times New Roman" w:hAnsi="Times New Roman" w:cs="Times New Roman"/>
                <w:sz w:val="24"/>
                <w:szCs w:val="24"/>
                <w:lang w:val="lv-LV"/>
              </w:rPr>
              <w:t>2012.gada 28.aprīļa vēstule Nr.01-18.12/1953</w:t>
            </w:r>
            <w:r w:rsidR="00915468" w:rsidRPr="001B141F">
              <w:rPr>
                <w:rFonts w:ascii="Times New Roman" w:hAnsi="Times New Roman" w:cs="Times New Roman"/>
                <w:sz w:val="24"/>
                <w:szCs w:val="24"/>
                <w:lang w:val="lv-LV"/>
              </w:rPr>
              <w:t>0)</w:t>
            </w:r>
            <w:r w:rsidR="00135079" w:rsidRPr="001B141F">
              <w:rPr>
                <w:rFonts w:ascii="Times New Roman" w:hAnsi="Times New Roman" w:cs="Times New Roman"/>
                <w:sz w:val="24"/>
                <w:szCs w:val="24"/>
                <w:lang w:val="lv-LV"/>
              </w:rPr>
              <w:t>.</w:t>
            </w:r>
            <w:r w:rsidR="009A2AE8">
              <w:rPr>
                <w:rFonts w:ascii="Times New Roman" w:hAnsi="Times New Roman" w:cs="Times New Roman"/>
                <w:sz w:val="24"/>
                <w:szCs w:val="24"/>
                <w:lang w:val="lv-LV"/>
              </w:rPr>
              <w:t xml:space="preserve"> </w:t>
            </w:r>
            <w:r w:rsidR="009A2AE8" w:rsidRPr="00915468">
              <w:rPr>
                <w:rFonts w:ascii="Times New Roman" w:eastAsia="Times New Roman" w:hAnsi="Times New Roman" w:cs="Times New Roman"/>
                <w:sz w:val="24"/>
                <w:szCs w:val="24"/>
                <w:lang w:val="lv-LV" w:eastAsia="lv-LV"/>
              </w:rPr>
              <w:t xml:space="preserve">Saskaņā ar Ārstniecības likuma 1.panta trešo daļu </w:t>
            </w:r>
            <w:r w:rsidR="009A2AE8" w:rsidRPr="00915468">
              <w:rPr>
                <w:rFonts w:ascii="Times New Roman" w:hAnsi="Times New Roman" w:cs="Times New Roman"/>
                <w:bCs/>
                <w:sz w:val="24"/>
                <w:szCs w:val="24"/>
                <w:lang w:val="lv-LV"/>
              </w:rPr>
              <w:t>ārstniecības iestādes</w:t>
            </w:r>
            <w:r w:rsidR="009A2AE8">
              <w:rPr>
                <w:rFonts w:ascii="Times New Roman" w:hAnsi="Times New Roman" w:cs="Times New Roman"/>
                <w:b/>
                <w:bCs/>
                <w:sz w:val="24"/>
                <w:szCs w:val="24"/>
                <w:lang w:val="lv-LV"/>
              </w:rPr>
              <w:t xml:space="preserve"> </w:t>
            </w:r>
            <w:r w:rsidR="009A2AE8" w:rsidRPr="00915468">
              <w:rPr>
                <w:rFonts w:ascii="Times New Roman" w:hAnsi="Times New Roman" w:cs="Times New Roman"/>
                <w:bCs/>
                <w:sz w:val="24"/>
                <w:szCs w:val="24"/>
                <w:lang w:val="lv-LV"/>
              </w:rPr>
              <w:t xml:space="preserve">ir </w:t>
            </w:r>
            <w:r w:rsidR="009A2AE8" w:rsidRPr="00915468">
              <w:rPr>
                <w:rFonts w:ascii="Times New Roman" w:hAnsi="Times New Roman" w:cs="Times New Roman"/>
                <w:sz w:val="24"/>
                <w:szCs w:val="24"/>
                <w:lang w:val="lv-LV"/>
              </w:rPr>
              <w:t>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w:t>
            </w:r>
            <w:r w:rsidR="009A2AE8">
              <w:rPr>
                <w:rFonts w:ascii="Times New Roman" w:hAnsi="Times New Roman" w:cs="Times New Roman"/>
                <w:sz w:val="24"/>
                <w:szCs w:val="24"/>
                <w:lang w:val="lv-LV"/>
              </w:rPr>
              <w:t>.</w:t>
            </w:r>
            <w:r w:rsidR="009A2AE8">
              <w:rPr>
                <w:rFonts w:ascii="Times New Roman" w:hAnsi="Times New Roman" w:cs="Times New Roman"/>
                <w:bCs/>
                <w:sz w:val="24"/>
                <w:szCs w:val="24"/>
                <w:lang w:val="lv-LV"/>
              </w:rPr>
              <w:t xml:space="preserve"> </w:t>
            </w:r>
            <w:r w:rsidR="009A2AE8" w:rsidRPr="00915468">
              <w:rPr>
                <w:rFonts w:ascii="Times New Roman" w:eastAsia="Times New Roman" w:hAnsi="Times New Roman" w:cs="Times New Roman"/>
                <w:sz w:val="24"/>
                <w:szCs w:val="24"/>
                <w:lang w:val="lv-LV" w:eastAsia="lv-LV"/>
              </w:rPr>
              <w:t>Par likumprojekta izstrādes uzsākšanu</w:t>
            </w:r>
            <w:r w:rsidR="009A2AE8" w:rsidRPr="00D34FB1">
              <w:rPr>
                <w:rFonts w:ascii="Times New Roman" w:eastAsia="Times New Roman" w:hAnsi="Times New Roman" w:cs="Times New Roman"/>
                <w:sz w:val="24"/>
                <w:szCs w:val="24"/>
                <w:lang w:val="lv-LV" w:eastAsia="lv-LV"/>
              </w:rPr>
              <w:t xml:space="preserve"> sabiedrība netika informēta, jo jau šobrīd Pacientu tiesību likuma 17.panta trešā daļa paredz, ka</w:t>
            </w:r>
            <w:r w:rsidR="009A2AE8" w:rsidRPr="00D34FB1">
              <w:rPr>
                <w:rFonts w:ascii="Times New Roman" w:hAnsi="Times New Roman" w:cs="Times New Roman"/>
                <w:sz w:val="24"/>
                <w:szCs w:val="24"/>
                <w:lang w:val="lv-LV"/>
              </w:rPr>
              <w:t xml:space="preserve"> ārstniecības riska maksājumu</w:t>
            </w:r>
            <w:r w:rsidR="009A2AE8">
              <w:rPr>
                <w:rFonts w:ascii="Times New Roman" w:hAnsi="Times New Roman" w:cs="Times New Roman"/>
                <w:sz w:val="24"/>
                <w:szCs w:val="24"/>
                <w:lang w:val="lv-LV"/>
              </w:rPr>
              <w:t>s</w:t>
            </w:r>
            <w:r w:rsidR="009A2AE8" w:rsidRPr="00D34FB1">
              <w:rPr>
                <w:rFonts w:ascii="Times New Roman" w:hAnsi="Times New Roman" w:cs="Times New Roman"/>
                <w:sz w:val="24"/>
                <w:szCs w:val="24"/>
                <w:lang w:val="lv-LV"/>
              </w:rPr>
              <w:t xml:space="preserve"> </w:t>
            </w:r>
            <w:r w:rsidR="009A2AE8">
              <w:rPr>
                <w:rFonts w:ascii="Times New Roman" w:hAnsi="Times New Roman" w:cs="Times New Roman"/>
                <w:sz w:val="24"/>
                <w:szCs w:val="24"/>
                <w:lang w:val="lv-LV"/>
              </w:rPr>
              <w:t xml:space="preserve">Ārstniecības riska fondā </w:t>
            </w:r>
            <w:r w:rsidR="009A2AE8" w:rsidRPr="00D34FB1">
              <w:rPr>
                <w:rFonts w:ascii="Times New Roman" w:hAnsi="Times New Roman" w:cs="Times New Roman"/>
                <w:sz w:val="24"/>
                <w:szCs w:val="24"/>
                <w:lang w:val="lv-LV"/>
              </w:rPr>
              <w:t xml:space="preserve">katru gadu veic ārstniecības iestādes. </w:t>
            </w:r>
            <w:r w:rsidR="009A2AE8">
              <w:rPr>
                <w:rFonts w:ascii="Times New Roman" w:hAnsi="Times New Roman" w:cs="Times New Roman"/>
                <w:sz w:val="24"/>
                <w:szCs w:val="24"/>
                <w:lang w:val="lv-LV"/>
              </w:rPr>
              <w:t xml:space="preserve">Tādējādi likumprojekts paredz </w:t>
            </w:r>
            <w:r w:rsidR="009A2AE8">
              <w:rPr>
                <w:rFonts w:ascii="Times New Roman" w:hAnsi="Times New Roman" w:cs="Times New Roman"/>
                <w:sz w:val="24"/>
                <w:szCs w:val="24"/>
                <w:lang w:val="lv-LV"/>
              </w:rPr>
              <w:lastRenderedPageBreak/>
              <w:t>grozījumu, kas ir tehniskas dabas un kā rezultātā ārstu praksēm būs jāveic ārstniecības riska maksājumi Ārstniecības riska fondā saskaņā ar Pacientu tiesību likumā noteikto kārtību, novēršot dubulto maksājumu kā obligātu prasību.</w:t>
            </w:r>
          </w:p>
        </w:tc>
      </w:tr>
      <w:tr w:rsidR="00D176BF" w:rsidRPr="009008AC" w:rsidTr="008F0541">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7.</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88018F">
              <w:rPr>
                <w:rFonts w:ascii="Times New Roman" w:eastAsia="Times New Roman" w:hAnsi="Times New Roman" w:cs="Times New Roman"/>
                <w:sz w:val="24"/>
                <w:szCs w:val="24"/>
                <w:lang w:val="lv-LV" w:eastAsia="lv-LV"/>
              </w:rPr>
              <w:t>Nav</w:t>
            </w:r>
          </w:p>
        </w:tc>
      </w:tr>
    </w:tbl>
    <w:p w:rsidR="00D176BF" w:rsidRPr="00D176BF" w:rsidRDefault="00D176BF" w:rsidP="00ED2F20">
      <w:pPr>
        <w:spacing w:before="75" w:after="75" w:line="240" w:lineRule="auto"/>
        <w:jc w:val="both"/>
        <w:rPr>
          <w:rFonts w:ascii="Times New Roman" w:eastAsia="Times New Roman" w:hAnsi="Times New Roman" w:cs="Times New Roman"/>
          <w:sz w:val="24"/>
          <w:szCs w:val="24"/>
          <w:lang w:val="lv-LV" w:eastAsia="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0"/>
        <w:gridCol w:w="5245"/>
      </w:tblGrid>
      <w:tr w:rsidR="00D176BF" w:rsidRPr="00AA7CA8"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C80A77"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C80A77">
              <w:rPr>
                <w:rFonts w:ascii="Times New Roman" w:eastAsia="Times New Roman" w:hAnsi="Times New Roman" w:cs="Times New Roman"/>
                <w:b/>
                <w:bCs/>
                <w:sz w:val="24"/>
                <w:szCs w:val="24"/>
                <w:lang w:val="lv-LV" w:eastAsia="lv-LV"/>
              </w:rPr>
              <w:t> II. Tiesību akta projekta ietekme uz sabiedrību</w:t>
            </w:r>
          </w:p>
        </w:tc>
      </w:tr>
      <w:tr w:rsidR="00D176BF" w:rsidRPr="00AA7CA8" w:rsidTr="008F0541">
        <w:trPr>
          <w:trHeight w:val="46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D176BF" w:rsidRPr="00C80A77" w:rsidRDefault="00D176BF"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1.</w:t>
            </w:r>
          </w:p>
        </w:tc>
        <w:tc>
          <w:tcPr>
            <w:tcW w:w="4160" w:type="dxa"/>
            <w:tcBorders>
              <w:top w:val="outset" w:sz="6" w:space="0" w:color="auto"/>
              <w:left w:val="outset" w:sz="6" w:space="0" w:color="auto"/>
              <w:bottom w:val="outset" w:sz="6" w:space="0" w:color="auto"/>
              <w:right w:val="outset" w:sz="6" w:space="0" w:color="auto"/>
            </w:tcBorders>
            <w:hideMark/>
          </w:tcPr>
          <w:p w:rsidR="00D176BF" w:rsidRPr="00C80A77" w:rsidRDefault="00D176BF"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xml:space="preserve"> Sabiedrības </w:t>
            </w:r>
            <w:proofErr w:type="spellStart"/>
            <w:r w:rsidRPr="00C80A77">
              <w:rPr>
                <w:rFonts w:ascii="Times New Roman" w:eastAsia="Times New Roman" w:hAnsi="Times New Roman" w:cs="Times New Roman"/>
                <w:sz w:val="24"/>
                <w:szCs w:val="24"/>
                <w:lang w:val="lv-LV" w:eastAsia="lv-LV"/>
              </w:rPr>
              <w:t>mērķgrupa</w:t>
            </w:r>
            <w:proofErr w:type="spellEnd"/>
          </w:p>
        </w:tc>
        <w:tc>
          <w:tcPr>
            <w:tcW w:w="5245" w:type="dxa"/>
            <w:tcBorders>
              <w:top w:val="outset" w:sz="6" w:space="0" w:color="auto"/>
              <w:left w:val="outset" w:sz="6" w:space="0" w:color="auto"/>
              <w:bottom w:val="outset" w:sz="6" w:space="0" w:color="auto"/>
              <w:right w:val="outset" w:sz="6" w:space="0" w:color="auto"/>
            </w:tcBorders>
            <w:hideMark/>
          </w:tcPr>
          <w:p w:rsidR="00A90041" w:rsidRPr="00724701" w:rsidRDefault="00D176BF" w:rsidP="00724701">
            <w:pPr>
              <w:spacing w:before="75" w:after="75" w:line="240" w:lineRule="auto"/>
              <w:jc w:val="both"/>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00724701">
              <w:rPr>
                <w:rFonts w:ascii="Times New Roman" w:eastAsia="Times New Roman" w:hAnsi="Times New Roman" w:cs="Times New Roman"/>
                <w:sz w:val="24"/>
                <w:szCs w:val="24"/>
                <w:lang w:val="lv-LV" w:eastAsia="lv-LV"/>
              </w:rPr>
              <w:t xml:space="preserve">Veselības inspekcijas </w:t>
            </w:r>
            <w:r w:rsidR="003A6A1A">
              <w:rPr>
                <w:rFonts w:ascii="Times New Roman" w:eastAsia="Times New Roman" w:hAnsi="Times New Roman" w:cs="Times New Roman"/>
                <w:sz w:val="24"/>
                <w:szCs w:val="24"/>
                <w:lang w:val="lv-LV" w:eastAsia="lv-LV"/>
              </w:rPr>
              <w:t>Ārstniecības iestāž</w:t>
            </w:r>
            <w:r w:rsidR="00724701">
              <w:rPr>
                <w:rFonts w:ascii="Times New Roman" w:eastAsia="Times New Roman" w:hAnsi="Times New Roman" w:cs="Times New Roman"/>
                <w:sz w:val="24"/>
                <w:szCs w:val="24"/>
                <w:lang w:val="lv-LV" w:eastAsia="lv-LV"/>
              </w:rPr>
              <w:t xml:space="preserve">u reģistrā </w:t>
            </w:r>
            <w:r w:rsidR="00345CFC">
              <w:rPr>
                <w:rFonts w:ascii="Times New Roman" w:eastAsia="Times New Roman" w:hAnsi="Times New Roman" w:cs="Times New Roman"/>
                <w:sz w:val="24"/>
                <w:szCs w:val="24"/>
                <w:lang w:val="lv-LV" w:eastAsia="lv-LV"/>
              </w:rPr>
              <w:t>esošās ārstu prakses, tai skaitā</w:t>
            </w:r>
            <w:r w:rsidR="00724701">
              <w:rPr>
                <w:rFonts w:ascii="Times New Roman" w:eastAsia="Times New Roman" w:hAnsi="Times New Roman" w:cs="Times New Roman"/>
                <w:sz w:val="24"/>
                <w:szCs w:val="24"/>
                <w:lang w:val="lv-LV" w:eastAsia="lv-LV"/>
              </w:rPr>
              <w:t xml:space="preserve"> ģimenes  ārsta </w:t>
            </w:r>
            <w:r w:rsidR="00B807E7">
              <w:rPr>
                <w:rFonts w:ascii="Times New Roman" w:eastAsia="Times New Roman" w:hAnsi="Times New Roman" w:cs="Times New Roman"/>
                <w:sz w:val="24"/>
                <w:szCs w:val="24"/>
                <w:lang w:val="lv-LV" w:eastAsia="lv-LV"/>
              </w:rPr>
              <w:t xml:space="preserve">prakses </w:t>
            </w:r>
            <w:r w:rsidR="00724701">
              <w:rPr>
                <w:rFonts w:ascii="Times New Roman" w:eastAsia="Times New Roman" w:hAnsi="Times New Roman" w:cs="Times New Roman"/>
                <w:sz w:val="24"/>
                <w:szCs w:val="24"/>
                <w:lang w:val="lv-LV" w:eastAsia="lv-LV"/>
              </w:rPr>
              <w:t>uz 2013.gada 8.janvāri 1882 un zobārstu prakses  364.</w:t>
            </w:r>
          </w:p>
        </w:tc>
      </w:tr>
      <w:tr w:rsidR="00FC0A93" w:rsidRPr="00AA7CA8" w:rsidTr="008F0541">
        <w:trPr>
          <w:trHeight w:val="523"/>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2.</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xml:space="preserve"> Citas sabiedrības grupas (bez </w:t>
            </w:r>
            <w:proofErr w:type="spellStart"/>
            <w:r w:rsidRPr="00C80A77">
              <w:rPr>
                <w:rFonts w:ascii="Times New Roman" w:eastAsia="Times New Roman" w:hAnsi="Times New Roman" w:cs="Times New Roman"/>
                <w:sz w:val="24"/>
                <w:szCs w:val="24"/>
                <w:lang w:val="lv-LV" w:eastAsia="lv-LV"/>
              </w:rPr>
              <w:t>mērķgrupas</w:t>
            </w:r>
            <w:proofErr w:type="spellEnd"/>
            <w:r w:rsidRPr="00C80A77">
              <w:rPr>
                <w:rFonts w:ascii="Times New Roman" w:eastAsia="Times New Roman" w:hAnsi="Times New Roman" w:cs="Times New Roman"/>
                <w:sz w:val="24"/>
                <w:szCs w:val="24"/>
                <w:lang w:val="lv-LV" w:eastAsia="lv-LV"/>
              </w:rPr>
              <w:t>), kuras tiesiskais regulējums arī ietekmē vai varētu ietekmēt</w:t>
            </w:r>
          </w:p>
        </w:tc>
        <w:tc>
          <w:tcPr>
            <w:tcW w:w="5245" w:type="dxa"/>
            <w:tcBorders>
              <w:top w:val="outset" w:sz="6" w:space="0" w:color="auto"/>
              <w:left w:val="outset" w:sz="6" w:space="0" w:color="auto"/>
              <w:bottom w:val="outset" w:sz="6" w:space="0" w:color="auto"/>
              <w:right w:val="outset" w:sz="6" w:space="0" w:color="auto"/>
            </w:tcBorders>
            <w:hideMark/>
          </w:tcPr>
          <w:p w:rsidR="00FC0A93" w:rsidRPr="009B24FF" w:rsidRDefault="009B24FF" w:rsidP="003A6A1A">
            <w:pPr>
              <w:pStyle w:val="NormalWeb"/>
              <w:jc w:val="both"/>
              <w:rPr>
                <w:color w:val="FF0000"/>
              </w:rPr>
            </w:pPr>
            <w:r w:rsidRPr="009B24FF">
              <w:rPr>
                <w:lang w:eastAsia="en-US"/>
              </w:rPr>
              <w:t xml:space="preserve">Nacionālais veselības dienests kā Ārstniecības riska fonda finanšu līdzekļu turētājs un rīkotājs. </w:t>
            </w:r>
          </w:p>
        </w:tc>
      </w:tr>
      <w:tr w:rsidR="00FC0A93" w:rsidRPr="00AA7CA8"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3.</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Tiesiskā regulējuma finansiālā ietekme</w:t>
            </w:r>
          </w:p>
        </w:tc>
        <w:tc>
          <w:tcPr>
            <w:tcW w:w="5245" w:type="dxa"/>
            <w:tcBorders>
              <w:top w:val="outset" w:sz="6" w:space="0" w:color="auto"/>
              <w:left w:val="outset" w:sz="6" w:space="0" w:color="auto"/>
              <w:bottom w:val="outset" w:sz="6" w:space="0" w:color="auto"/>
              <w:right w:val="outset" w:sz="6" w:space="0" w:color="auto"/>
            </w:tcBorders>
            <w:hideMark/>
          </w:tcPr>
          <w:p w:rsidR="008C093F" w:rsidRDefault="001B141F" w:rsidP="009A2AE8">
            <w:pPr>
              <w:pStyle w:val="NormalWeb"/>
              <w:spacing w:before="0" w:after="0"/>
              <w:jc w:val="both"/>
              <w:rPr>
                <w:rFonts w:eastAsia="Calibri"/>
              </w:rPr>
            </w:pPr>
            <w:r w:rsidRPr="00C80A77">
              <w:rPr>
                <w:rFonts w:eastAsia="Calibri"/>
              </w:rPr>
              <w:t>Projekts šo jomu neskar</w:t>
            </w:r>
            <w:r w:rsidR="00345CFC">
              <w:rPr>
                <w:rFonts w:eastAsia="Calibri"/>
              </w:rPr>
              <w:t>. Likumprojekts nerada ietekmi uz valsts budžetu, jo 2013.gada diviem mēnešiem un 2014. un 2015.gadam ārstniecības iestādēm, kas sniedz no valsts budžeta apmaksātos veselības aprūpes pakalpojumus, nepieciešamie finanšu līdzekļi ārstniecības riska maksājumu nodrošināšanai ir iestrādāti veselības aprūpes nozares budžetā.</w:t>
            </w:r>
          </w:p>
          <w:p w:rsidR="000752B8" w:rsidRPr="008C093F" w:rsidRDefault="000752B8" w:rsidP="009A2AE8">
            <w:pPr>
              <w:pStyle w:val="NormalWeb"/>
              <w:spacing w:before="0" w:after="0"/>
              <w:jc w:val="both"/>
              <w:rPr>
                <w:lang w:eastAsia="en-US"/>
              </w:rPr>
            </w:pPr>
          </w:p>
        </w:tc>
      </w:tr>
      <w:tr w:rsidR="00FC0A93" w:rsidRPr="00AA7CA8"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4.</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Tiesiskā regulējuma nefinansiālā ietekme</w:t>
            </w:r>
          </w:p>
        </w:tc>
        <w:tc>
          <w:tcPr>
            <w:tcW w:w="5245" w:type="dxa"/>
            <w:tcBorders>
              <w:top w:val="outset" w:sz="6" w:space="0" w:color="auto"/>
              <w:left w:val="outset" w:sz="6" w:space="0" w:color="auto"/>
              <w:bottom w:val="outset" w:sz="6" w:space="0" w:color="auto"/>
              <w:right w:val="outset" w:sz="6" w:space="0" w:color="auto"/>
            </w:tcBorders>
            <w:hideMark/>
          </w:tcPr>
          <w:p w:rsidR="008C093F" w:rsidRPr="008C093F" w:rsidRDefault="001B141F" w:rsidP="008C093F">
            <w:pPr>
              <w:spacing w:after="0" w:line="240" w:lineRule="auto"/>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Ārstu praksēm kā ārstniecības iestādēm tiks novērsta dubult</w:t>
            </w:r>
            <w:r w:rsidR="00345CFC">
              <w:rPr>
                <w:rFonts w:ascii="Times New Roman" w:eastAsia="Calibri" w:hAnsi="Times New Roman" w:cs="Times New Roman"/>
                <w:sz w:val="24"/>
                <w:szCs w:val="24"/>
                <w:lang w:val="lv-LV"/>
              </w:rPr>
              <w:t xml:space="preserve">ā </w:t>
            </w:r>
            <w:r>
              <w:rPr>
                <w:rFonts w:ascii="Times New Roman" w:eastAsia="Calibri" w:hAnsi="Times New Roman" w:cs="Times New Roman"/>
                <w:sz w:val="24"/>
                <w:szCs w:val="24"/>
                <w:lang w:val="lv-LV"/>
              </w:rPr>
              <w:t xml:space="preserve">maksājuma iespējamība gan Ārstniecības riska fondā, gan iegādājoties apdrošināšanas polisi. </w:t>
            </w:r>
          </w:p>
        </w:tc>
      </w:tr>
      <w:tr w:rsidR="00A90041" w:rsidRPr="00C80A77" w:rsidTr="008F0541">
        <w:trPr>
          <w:trHeight w:val="531"/>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5.</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Administratīvās procedūras raksturojums</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jc w:val="both"/>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Projekts šo jomu neskar</w:t>
            </w:r>
            <w:r w:rsidR="00345CFC">
              <w:rPr>
                <w:rFonts w:ascii="Times New Roman" w:eastAsia="Calibri" w:hAnsi="Times New Roman" w:cs="Times New Roman"/>
                <w:sz w:val="24"/>
                <w:szCs w:val="24"/>
                <w:lang w:val="lv-LV"/>
              </w:rPr>
              <w:t>.</w:t>
            </w:r>
          </w:p>
        </w:tc>
      </w:tr>
      <w:tr w:rsidR="00A90041" w:rsidRPr="00C80A77" w:rsidTr="008F0541">
        <w:trPr>
          <w:trHeight w:val="35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6.</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Administratīvo izmaksu monetārs novērtējums</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Projekts šo jomu neskar</w:t>
            </w:r>
            <w:r w:rsidR="00345CFC">
              <w:rPr>
                <w:rFonts w:ascii="Times New Roman" w:eastAsia="Calibri" w:hAnsi="Times New Roman" w:cs="Times New Roman"/>
                <w:sz w:val="24"/>
                <w:szCs w:val="24"/>
                <w:lang w:val="lv-LV"/>
              </w:rPr>
              <w:t>.</w:t>
            </w:r>
          </w:p>
        </w:tc>
      </w:tr>
      <w:tr w:rsidR="00A90041" w:rsidRPr="00C80A77" w:rsidTr="008F0541">
        <w:trPr>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7.</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Cita informācija</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Nav</w:t>
            </w:r>
          </w:p>
        </w:tc>
      </w:tr>
    </w:tbl>
    <w:p w:rsidR="00D77185" w:rsidRDefault="00D176BF" w:rsidP="0066508E">
      <w:pPr>
        <w:spacing w:before="75" w:after="75" w:line="240" w:lineRule="auto"/>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p>
    <w:p w:rsidR="000752B8" w:rsidRDefault="000752B8" w:rsidP="0066508E">
      <w:pPr>
        <w:spacing w:before="75" w:after="75" w:line="240" w:lineRule="auto"/>
        <w:jc w:val="both"/>
        <w:rPr>
          <w:rFonts w:ascii="Times New Roman" w:eastAsia="Times New Roman" w:hAnsi="Times New Roman" w:cs="Times New Roman"/>
          <w:sz w:val="24"/>
          <w:szCs w:val="24"/>
          <w:lang w:val="lv-LV" w:eastAsia="lv-LV"/>
        </w:rPr>
      </w:pPr>
    </w:p>
    <w:tbl>
      <w:tblPr>
        <w:tblW w:w="993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2"/>
      </w:tblGrid>
      <w:tr w:rsidR="00D77185" w:rsidRPr="00AA7CA8" w:rsidTr="00D77185">
        <w:trPr>
          <w:jc w:val="center"/>
        </w:trPr>
        <w:tc>
          <w:tcPr>
            <w:tcW w:w="9932" w:type="dxa"/>
          </w:tcPr>
          <w:p w:rsidR="00D77185" w:rsidRPr="007C0F2C" w:rsidRDefault="00D77185" w:rsidP="00D77185">
            <w:pPr>
              <w:pStyle w:val="naisnod"/>
              <w:spacing w:before="0" w:after="0"/>
            </w:pPr>
            <w:r>
              <w:t>III</w:t>
            </w:r>
            <w:r w:rsidRPr="007C0F2C">
              <w:t xml:space="preserve">. </w:t>
            </w:r>
            <w:r w:rsidRPr="00964BD3">
              <w:t>Tiesību akta projekta ietekme uz valsts budžetu un pašvaldību budžetiem</w:t>
            </w:r>
          </w:p>
        </w:tc>
      </w:tr>
      <w:tr w:rsidR="00D77185" w:rsidRPr="00AA7CA8" w:rsidTr="00D77185">
        <w:trPr>
          <w:jc w:val="center"/>
        </w:trPr>
        <w:tc>
          <w:tcPr>
            <w:tcW w:w="9932" w:type="dxa"/>
          </w:tcPr>
          <w:p w:rsidR="00D77185" w:rsidRPr="00D77185" w:rsidRDefault="00D77185" w:rsidP="00D77185">
            <w:pPr>
              <w:pStyle w:val="naisnod"/>
              <w:spacing w:before="0" w:after="0"/>
              <w:rPr>
                <w:b w:val="0"/>
                <w:i/>
              </w:rPr>
            </w:pPr>
            <w:r w:rsidRPr="00D77185">
              <w:rPr>
                <w:b w:val="0"/>
                <w:i/>
              </w:rPr>
              <w:t>Projekts šo jomu neskar</w:t>
            </w:r>
          </w:p>
        </w:tc>
      </w:tr>
    </w:tbl>
    <w:p w:rsidR="00E46C79" w:rsidRDefault="00E46C79" w:rsidP="006E619B">
      <w:pPr>
        <w:pStyle w:val="naisf"/>
        <w:spacing w:before="0" w:after="0"/>
        <w:ind w:firstLine="0"/>
        <w:rPr>
          <w:iCs/>
          <w:sz w:val="28"/>
          <w:szCs w:val="28"/>
        </w:rPr>
      </w:pPr>
    </w:p>
    <w:p w:rsidR="000752B8" w:rsidRDefault="000752B8" w:rsidP="006E619B">
      <w:pPr>
        <w:pStyle w:val="naisf"/>
        <w:spacing w:before="0" w:after="0"/>
        <w:ind w:firstLine="0"/>
        <w:rPr>
          <w:iCs/>
          <w:sz w:val="28"/>
          <w:szCs w:val="28"/>
        </w:rPr>
      </w:pPr>
    </w:p>
    <w:tbl>
      <w:tblPr>
        <w:tblW w:w="993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4123"/>
        <w:gridCol w:w="5273"/>
      </w:tblGrid>
      <w:tr w:rsidR="00E46C79" w:rsidRPr="00AA7CA8" w:rsidTr="005602A4">
        <w:trPr>
          <w:jc w:val="center"/>
        </w:trPr>
        <w:tc>
          <w:tcPr>
            <w:tcW w:w="9932" w:type="dxa"/>
            <w:gridSpan w:val="3"/>
          </w:tcPr>
          <w:p w:rsidR="00E46C79" w:rsidRPr="007C0F2C" w:rsidRDefault="00E46C79" w:rsidP="00E46C79">
            <w:pPr>
              <w:pStyle w:val="naisnod"/>
              <w:spacing w:before="0" w:after="0"/>
            </w:pPr>
            <w:r w:rsidRPr="007C0F2C">
              <w:lastRenderedPageBreak/>
              <w:t>IV. Tiesību akta projekta ietekme uz spēkā esošo tiesību normu sistēmu</w:t>
            </w:r>
          </w:p>
        </w:tc>
      </w:tr>
      <w:tr w:rsidR="00E46C79" w:rsidRPr="00AA7CA8" w:rsidTr="00D77185">
        <w:trPr>
          <w:jc w:val="center"/>
        </w:trPr>
        <w:tc>
          <w:tcPr>
            <w:tcW w:w="536" w:type="dxa"/>
          </w:tcPr>
          <w:p w:rsidR="00E46C79" w:rsidRPr="00711F59" w:rsidRDefault="00E46C79" w:rsidP="00E46C79">
            <w:pPr>
              <w:pStyle w:val="naiskr"/>
              <w:tabs>
                <w:tab w:val="left" w:pos="2628"/>
              </w:tabs>
              <w:spacing w:before="0" w:after="0"/>
              <w:jc w:val="both"/>
              <w:rPr>
                <w:iCs/>
              </w:rPr>
            </w:pPr>
            <w:r w:rsidRPr="00711F59">
              <w:rPr>
                <w:iCs/>
              </w:rPr>
              <w:t>1.</w:t>
            </w:r>
          </w:p>
        </w:tc>
        <w:tc>
          <w:tcPr>
            <w:tcW w:w="4123" w:type="dxa"/>
          </w:tcPr>
          <w:p w:rsidR="00E46C79" w:rsidRPr="00711F59" w:rsidRDefault="00E46C79" w:rsidP="00E46C79">
            <w:pPr>
              <w:pStyle w:val="naiskr"/>
              <w:tabs>
                <w:tab w:val="left" w:pos="2628"/>
              </w:tabs>
              <w:spacing w:before="0" w:after="0"/>
              <w:jc w:val="both"/>
              <w:rPr>
                <w:iCs/>
              </w:rPr>
            </w:pPr>
            <w:r w:rsidRPr="00711F59">
              <w:rPr>
                <w:sz w:val="22"/>
                <w:szCs w:val="22"/>
              </w:rPr>
              <w:t>Nepieciešamie saistītie tiesību aktu projekti</w:t>
            </w:r>
          </w:p>
        </w:tc>
        <w:tc>
          <w:tcPr>
            <w:tcW w:w="5273" w:type="dxa"/>
          </w:tcPr>
          <w:p w:rsidR="00076727" w:rsidRPr="00F44DBB" w:rsidRDefault="00D77185" w:rsidP="00D7718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Atbilstoši </w:t>
            </w:r>
            <w:r w:rsidRPr="00D77185">
              <w:rPr>
                <w:rFonts w:ascii="Times New Roman" w:hAnsi="Times New Roman" w:cs="Times New Roman"/>
                <w:sz w:val="24"/>
                <w:szCs w:val="24"/>
                <w:lang w:val="lv-LV"/>
              </w:rPr>
              <w:t>Oficiālo publikāciju un tiesiskās inf</w:t>
            </w:r>
            <w:r>
              <w:rPr>
                <w:rFonts w:ascii="Times New Roman" w:hAnsi="Times New Roman" w:cs="Times New Roman"/>
                <w:sz w:val="24"/>
                <w:szCs w:val="24"/>
                <w:lang w:val="lv-LV"/>
              </w:rPr>
              <w:t xml:space="preserve">ormācijas likuma 9. panta piektajai daļai, </w:t>
            </w:r>
            <w:r w:rsidRPr="00D77185">
              <w:rPr>
                <w:rFonts w:ascii="Times New Roman" w:hAnsi="Times New Roman" w:cs="Times New Roman"/>
                <w:sz w:val="24"/>
                <w:szCs w:val="24"/>
                <w:lang w:val="lv-LV"/>
              </w:rPr>
              <w:t>ja spēku zaudē normatīvā akta izdošanas tiesiskais pamats (augstāka juridiska spēka tiesību norma, uz kuras pamata izdots cits normatīvais akts), tad spēku zaudē arī uz šā pamata izdotais normatīvais akts vai tā daļa</w:t>
            </w:r>
            <w:r>
              <w:rPr>
                <w:rFonts w:ascii="Times New Roman" w:hAnsi="Times New Roman" w:cs="Times New Roman"/>
                <w:sz w:val="24"/>
                <w:szCs w:val="24"/>
                <w:lang w:val="lv-LV"/>
              </w:rPr>
              <w:t>. Tādējādi</w:t>
            </w:r>
            <w:r w:rsidR="007A3C0A" w:rsidRPr="00D7718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ar </w:t>
            </w:r>
            <w:r w:rsidR="007A3C0A" w:rsidRPr="00D77185">
              <w:rPr>
                <w:rFonts w:ascii="Times New Roman" w:hAnsi="Times New Roman" w:cs="Times New Roman"/>
                <w:sz w:val="24"/>
                <w:szCs w:val="24"/>
                <w:lang w:val="lv-LV"/>
              </w:rPr>
              <w:t>likumprojekta spēkā stāšanos 2013.gada 25.oktobrī spēku zaudēs Ministru kabineta 1998.gada 12.maija noteikumi Nr.177 „Prakses ārsta civiltiesiskās</w:t>
            </w:r>
            <w:r w:rsidR="007A3C0A">
              <w:rPr>
                <w:rFonts w:ascii="Times New Roman" w:hAnsi="Times New Roman" w:cs="Times New Roman"/>
                <w:sz w:val="24"/>
                <w:szCs w:val="24"/>
                <w:lang w:val="lv-LV"/>
              </w:rPr>
              <w:t xml:space="preserve"> obligātās apdrošināšanas kārtība”. </w:t>
            </w:r>
            <w:r w:rsidR="00F44DBB">
              <w:rPr>
                <w:rFonts w:ascii="Times New Roman" w:hAnsi="Times New Roman" w:cs="Times New Roman"/>
                <w:sz w:val="24"/>
                <w:szCs w:val="24"/>
                <w:lang w:val="lv-LV"/>
              </w:rPr>
              <w:t>Tāpat 2012.gada</w:t>
            </w:r>
            <w:r w:rsidR="00772C22">
              <w:rPr>
                <w:rFonts w:ascii="Times New Roman" w:hAnsi="Times New Roman" w:cs="Times New Roman"/>
                <w:sz w:val="24"/>
                <w:szCs w:val="24"/>
                <w:lang w:val="lv-LV"/>
              </w:rPr>
              <w:t xml:space="preserve"> </w:t>
            </w:r>
            <w:r>
              <w:rPr>
                <w:rFonts w:ascii="Times New Roman" w:hAnsi="Times New Roman" w:cs="Times New Roman"/>
                <w:sz w:val="24"/>
                <w:szCs w:val="24"/>
                <w:lang w:val="lv-LV"/>
              </w:rPr>
              <w:t>aprīlī</w:t>
            </w:r>
            <w:r w:rsidR="00F44DBB">
              <w:rPr>
                <w:rFonts w:ascii="Times New Roman" w:hAnsi="Times New Roman" w:cs="Times New Roman"/>
                <w:sz w:val="24"/>
                <w:szCs w:val="24"/>
                <w:lang w:val="lv-LV"/>
              </w:rPr>
              <w:t xml:space="preserve"> plānots valsts sekretāru sanāksmē iesniegt likumprojektu </w:t>
            </w:r>
            <w:r w:rsidR="007A3C0A">
              <w:rPr>
                <w:rFonts w:ascii="Times New Roman" w:hAnsi="Times New Roman" w:cs="Times New Roman"/>
                <w:sz w:val="24"/>
                <w:szCs w:val="24"/>
                <w:lang w:val="lv-LV"/>
              </w:rPr>
              <w:t>„Grozījumi Pacientu tiesību likumā” un Mini</w:t>
            </w:r>
            <w:r w:rsidR="00F44DBB">
              <w:rPr>
                <w:rFonts w:ascii="Times New Roman" w:hAnsi="Times New Roman" w:cs="Times New Roman"/>
                <w:sz w:val="24"/>
                <w:szCs w:val="24"/>
                <w:lang w:val="lv-LV"/>
              </w:rPr>
              <w:t>stru kabineta noteikumu projektu</w:t>
            </w:r>
            <w:r w:rsidR="007A3C0A">
              <w:rPr>
                <w:rFonts w:ascii="Times New Roman" w:hAnsi="Times New Roman" w:cs="Times New Roman"/>
                <w:sz w:val="24"/>
                <w:szCs w:val="24"/>
                <w:lang w:val="lv-LV"/>
              </w:rPr>
              <w:t xml:space="preserve"> „Noteikumi par Ārs</w:t>
            </w:r>
            <w:r>
              <w:rPr>
                <w:rFonts w:ascii="Times New Roman" w:hAnsi="Times New Roman" w:cs="Times New Roman"/>
                <w:sz w:val="24"/>
                <w:szCs w:val="24"/>
                <w:lang w:val="lv-LV"/>
              </w:rPr>
              <w:t xml:space="preserve">tniecības riska fonda darbību”. </w:t>
            </w:r>
            <w:r w:rsidR="00B41505" w:rsidRPr="00B41505">
              <w:rPr>
                <w:rFonts w:ascii="Times New Roman" w:eastAsia="Times New Roman" w:hAnsi="Times New Roman" w:cs="Times New Roman"/>
                <w:sz w:val="24"/>
                <w:szCs w:val="24"/>
                <w:lang w:val="lv-LV" w:eastAsia="lv-LV"/>
              </w:rPr>
              <w:t xml:space="preserve">Veselības ministrija </w:t>
            </w:r>
            <w:r w:rsidR="009A2AE8">
              <w:rPr>
                <w:rFonts w:ascii="Times New Roman" w:eastAsia="Times New Roman" w:hAnsi="Times New Roman" w:cs="Times New Roman"/>
                <w:sz w:val="24"/>
                <w:szCs w:val="24"/>
                <w:lang w:val="lv-LV" w:eastAsia="lv-LV"/>
              </w:rPr>
              <w:t>ir</w:t>
            </w:r>
            <w:r w:rsidR="00B41505" w:rsidRPr="00B41505">
              <w:rPr>
                <w:rFonts w:ascii="Times New Roman" w:eastAsia="Times New Roman" w:hAnsi="Times New Roman" w:cs="Times New Roman"/>
                <w:sz w:val="24"/>
                <w:szCs w:val="24"/>
                <w:lang w:val="lv-LV" w:eastAsia="lv-LV"/>
              </w:rPr>
              <w:t xml:space="preserve"> atbildīgā institūcija</w:t>
            </w:r>
            <w:r w:rsidR="007A3C0A">
              <w:rPr>
                <w:rFonts w:ascii="Times New Roman" w:eastAsia="Times New Roman" w:hAnsi="Times New Roman" w:cs="Times New Roman"/>
                <w:sz w:val="24"/>
                <w:szCs w:val="24"/>
                <w:lang w:val="lv-LV" w:eastAsia="lv-LV"/>
              </w:rPr>
              <w:t xml:space="preserve"> par minēto projektu izstrādi.</w:t>
            </w:r>
          </w:p>
        </w:tc>
      </w:tr>
      <w:tr w:rsidR="00E46C79" w:rsidRPr="00711F59" w:rsidTr="00D77185">
        <w:trPr>
          <w:jc w:val="center"/>
        </w:trPr>
        <w:tc>
          <w:tcPr>
            <w:tcW w:w="536" w:type="dxa"/>
          </w:tcPr>
          <w:p w:rsidR="00E46C79" w:rsidRPr="00711F59" w:rsidRDefault="00E46C79" w:rsidP="00E46C79">
            <w:pPr>
              <w:pStyle w:val="naiskr"/>
              <w:tabs>
                <w:tab w:val="left" w:pos="2628"/>
              </w:tabs>
              <w:spacing w:before="0" w:after="0"/>
              <w:jc w:val="both"/>
              <w:rPr>
                <w:iCs/>
              </w:rPr>
            </w:pPr>
            <w:r w:rsidRPr="00711F59">
              <w:rPr>
                <w:iCs/>
              </w:rPr>
              <w:t>2.</w:t>
            </w:r>
          </w:p>
        </w:tc>
        <w:tc>
          <w:tcPr>
            <w:tcW w:w="4123" w:type="dxa"/>
          </w:tcPr>
          <w:p w:rsidR="00E46C79" w:rsidRPr="00711F59" w:rsidRDefault="00E46C79" w:rsidP="00E46C79">
            <w:pPr>
              <w:pStyle w:val="naiskr"/>
              <w:tabs>
                <w:tab w:val="left" w:pos="2628"/>
              </w:tabs>
              <w:spacing w:before="0" w:after="0"/>
              <w:jc w:val="both"/>
              <w:rPr>
                <w:iCs/>
              </w:rPr>
            </w:pPr>
            <w:r w:rsidRPr="00711F59">
              <w:rPr>
                <w:sz w:val="22"/>
                <w:szCs w:val="22"/>
              </w:rPr>
              <w:t>Cita informācija</w:t>
            </w:r>
          </w:p>
        </w:tc>
        <w:tc>
          <w:tcPr>
            <w:tcW w:w="5273" w:type="dxa"/>
          </w:tcPr>
          <w:p w:rsidR="00E46C79" w:rsidRPr="00711F59" w:rsidRDefault="00E46C79" w:rsidP="00E46C79">
            <w:pPr>
              <w:pStyle w:val="naiskr"/>
              <w:tabs>
                <w:tab w:val="left" w:pos="2628"/>
              </w:tabs>
              <w:spacing w:before="0" w:after="0"/>
              <w:jc w:val="both"/>
              <w:rPr>
                <w:iCs/>
              </w:rPr>
            </w:pPr>
            <w:r w:rsidRPr="00711F59">
              <w:rPr>
                <w:sz w:val="22"/>
                <w:szCs w:val="22"/>
              </w:rPr>
              <w:t>Nav</w:t>
            </w:r>
          </w:p>
        </w:tc>
      </w:tr>
    </w:tbl>
    <w:p w:rsidR="00306641" w:rsidRDefault="00306641" w:rsidP="00406D82">
      <w:pPr>
        <w:pStyle w:val="naisf"/>
        <w:spacing w:before="0" w:after="0"/>
        <w:ind w:firstLine="0"/>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4088"/>
        <w:gridCol w:w="5244"/>
        <w:gridCol w:w="24"/>
      </w:tblGrid>
      <w:tr w:rsidR="00D77185" w:rsidRPr="007C0F2C" w:rsidTr="00D77185">
        <w:trPr>
          <w:tblCellSpacing w:w="0" w:type="dxa"/>
          <w:jc w:val="center"/>
        </w:trPr>
        <w:tc>
          <w:tcPr>
            <w:tcW w:w="9921" w:type="dxa"/>
            <w:gridSpan w:val="4"/>
            <w:tcBorders>
              <w:top w:val="outset" w:sz="6" w:space="0" w:color="auto"/>
              <w:left w:val="outset" w:sz="6" w:space="0" w:color="auto"/>
              <w:bottom w:val="outset" w:sz="6" w:space="0" w:color="auto"/>
              <w:right w:val="outset" w:sz="6" w:space="0" w:color="auto"/>
            </w:tcBorders>
            <w:hideMark/>
          </w:tcPr>
          <w:p w:rsidR="00D77185" w:rsidRPr="00D77185" w:rsidRDefault="00D77185" w:rsidP="00D77185">
            <w:pPr>
              <w:spacing w:before="75" w:after="75"/>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V</w:t>
            </w:r>
            <w:r w:rsidRPr="00D77185">
              <w:rPr>
                <w:rFonts w:ascii="Times New Roman" w:eastAsia="Times New Roman" w:hAnsi="Times New Roman"/>
                <w:b/>
                <w:bCs/>
                <w:sz w:val="24"/>
                <w:szCs w:val="24"/>
                <w:lang w:val="lv-LV" w:eastAsia="lv-LV"/>
              </w:rPr>
              <w:t xml:space="preserve">. </w:t>
            </w:r>
            <w:r w:rsidRPr="003F4512">
              <w:rPr>
                <w:rFonts w:ascii="Times New Roman" w:hAnsi="Times New Roman" w:cs="Times New Roman"/>
                <w:b/>
                <w:bCs/>
                <w:sz w:val="24"/>
                <w:szCs w:val="24"/>
                <w:lang w:val="lv-LV" w:bidi="lo-LA"/>
              </w:rPr>
              <w:t>Tiesību akta projekta atbilstība Latvijas Republikas starptautiskajām saistībām</w:t>
            </w:r>
          </w:p>
        </w:tc>
      </w:tr>
      <w:tr w:rsidR="00D77185" w:rsidRPr="00D77185" w:rsidTr="00D77185">
        <w:trPr>
          <w:tblCellSpacing w:w="0" w:type="dxa"/>
          <w:jc w:val="center"/>
        </w:trPr>
        <w:tc>
          <w:tcPr>
            <w:tcW w:w="9921" w:type="dxa"/>
            <w:gridSpan w:val="4"/>
            <w:tcBorders>
              <w:top w:val="outset" w:sz="6" w:space="0" w:color="auto"/>
              <w:left w:val="outset" w:sz="6" w:space="0" w:color="auto"/>
              <w:bottom w:val="outset" w:sz="6" w:space="0" w:color="auto"/>
              <w:right w:val="outset" w:sz="6" w:space="0" w:color="auto"/>
            </w:tcBorders>
            <w:hideMark/>
          </w:tcPr>
          <w:p w:rsidR="00D77185" w:rsidRPr="00D77185" w:rsidRDefault="00D77185" w:rsidP="00D77185">
            <w:pPr>
              <w:spacing w:before="75" w:after="75"/>
              <w:jc w:val="center"/>
              <w:rPr>
                <w:rFonts w:ascii="Times New Roman" w:eastAsia="Times New Roman" w:hAnsi="Times New Roman"/>
                <w:bCs/>
                <w:i/>
                <w:sz w:val="24"/>
                <w:szCs w:val="24"/>
                <w:lang w:val="lv-LV" w:eastAsia="lv-LV"/>
              </w:rPr>
            </w:pPr>
            <w:r w:rsidRPr="00D77185">
              <w:rPr>
                <w:rFonts w:ascii="Times New Roman" w:eastAsia="Times New Roman" w:hAnsi="Times New Roman"/>
                <w:bCs/>
                <w:i/>
                <w:sz w:val="24"/>
                <w:szCs w:val="24"/>
                <w:lang w:val="lv-LV" w:eastAsia="lv-LV"/>
              </w:rPr>
              <w:t>Projekts šo jomu neskar</w:t>
            </w:r>
          </w:p>
        </w:tc>
      </w:tr>
      <w:tr w:rsidR="00D77185" w:rsidRPr="00D77185" w:rsidTr="00D77185">
        <w:trPr>
          <w:tblCellSpacing w:w="0" w:type="dxa"/>
          <w:jc w:val="center"/>
        </w:trPr>
        <w:tc>
          <w:tcPr>
            <w:tcW w:w="9921" w:type="dxa"/>
            <w:gridSpan w:val="4"/>
            <w:tcBorders>
              <w:top w:val="outset" w:sz="6" w:space="0" w:color="auto"/>
              <w:left w:val="outset" w:sz="6" w:space="0" w:color="auto"/>
              <w:bottom w:val="outset" w:sz="6" w:space="0" w:color="auto"/>
              <w:right w:val="outset" w:sz="6" w:space="0" w:color="auto"/>
            </w:tcBorders>
            <w:hideMark/>
          </w:tcPr>
          <w:p w:rsidR="00D77185" w:rsidRPr="00D77185" w:rsidRDefault="00D77185" w:rsidP="00D77185">
            <w:pPr>
              <w:spacing w:before="75" w:after="75"/>
              <w:jc w:val="center"/>
              <w:rPr>
                <w:rFonts w:ascii="Times New Roman" w:eastAsia="Times New Roman" w:hAnsi="Times New Roman"/>
                <w:bCs/>
                <w:i/>
                <w:sz w:val="24"/>
                <w:szCs w:val="24"/>
                <w:lang w:val="lv-LV" w:eastAsia="lv-LV"/>
              </w:rPr>
            </w:pPr>
            <w:r>
              <w:rPr>
                <w:rFonts w:ascii="Times New Roman" w:eastAsia="Times New Roman" w:hAnsi="Times New Roman"/>
                <w:b/>
                <w:bCs/>
                <w:sz w:val="24"/>
                <w:szCs w:val="24"/>
                <w:lang w:val="lv-LV" w:eastAsia="lv-LV"/>
              </w:rPr>
              <w:t>VI</w:t>
            </w:r>
            <w:r w:rsidRPr="00D77185">
              <w:rPr>
                <w:rFonts w:ascii="Times New Roman" w:eastAsia="Times New Roman" w:hAnsi="Times New Roman"/>
                <w:b/>
                <w:bCs/>
                <w:sz w:val="24"/>
                <w:szCs w:val="24"/>
                <w:lang w:val="lv-LV" w:eastAsia="lv-LV"/>
              </w:rPr>
              <w:t xml:space="preserve">. </w:t>
            </w:r>
            <w:r w:rsidRPr="004631F4">
              <w:rPr>
                <w:rFonts w:ascii="Times New Roman" w:eastAsia="Times New Roman" w:hAnsi="Times New Roman" w:cs="Times New Roman"/>
                <w:b/>
                <w:bCs/>
                <w:sz w:val="24"/>
                <w:szCs w:val="24"/>
                <w:lang w:val="lv-LV" w:eastAsia="lv-LV"/>
              </w:rPr>
              <w:t>Sabiedrības līdzdalība un šīs līdzdalības rezultāti</w:t>
            </w:r>
          </w:p>
        </w:tc>
      </w:tr>
      <w:tr w:rsidR="00D77185" w:rsidRPr="00D77185" w:rsidTr="00D77185">
        <w:trPr>
          <w:tblCellSpacing w:w="0" w:type="dxa"/>
          <w:jc w:val="center"/>
        </w:trPr>
        <w:tc>
          <w:tcPr>
            <w:tcW w:w="9921" w:type="dxa"/>
            <w:gridSpan w:val="4"/>
            <w:tcBorders>
              <w:top w:val="outset" w:sz="6" w:space="0" w:color="auto"/>
              <w:left w:val="outset" w:sz="6" w:space="0" w:color="auto"/>
              <w:bottom w:val="outset" w:sz="6" w:space="0" w:color="auto"/>
              <w:right w:val="outset" w:sz="6" w:space="0" w:color="auto"/>
            </w:tcBorders>
            <w:hideMark/>
          </w:tcPr>
          <w:p w:rsidR="00D77185" w:rsidRDefault="00D77185" w:rsidP="00D77185">
            <w:pPr>
              <w:spacing w:before="75" w:after="75"/>
              <w:jc w:val="center"/>
              <w:rPr>
                <w:rFonts w:ascii="Times New Roman" w:eastAsia="Times New Roman" w:hAnsi="Times New Roman"/>
                <w:bCs/>
                <w:i/>
                <w:sz w:val="24"/>
                <w:szCs w:val="24"/>
                <w:lang w:val="lv-LV" w:eastAsia="lv-LV"/>
              </w:rPr>
            </w:pPr>
            <w:r w:rsidRPr="00D77185">
              <w:rPr>
                <w:rFonts w:ascii="Times New Roman" w:eastAsia="Times New Roman" w:hAnsi="Times New Roman"/>
                <w:bCs/>
                <w:i/>
                <w:sz w:val="24"/>
                <w:szCs w:val="24"/>
                <w:lang w:val="lv-LV" w:eastAsia="lv-LV"/>
              </w:rPr>
              <w:t>Projekts šo jomu neskar</w:t>
            </w:r>
          </w:p>
        </w:tc>
      </w:tr>
      <w:tr w:rsidR="00651E70" w:rsidRPr="00AA7CA8" w:rsidTr="00DA343B">
        <w:trPr>
          <w:tblCellSpacing w:w="0" w:type="dxa"/>
          <w:jc w:val="center"/>
        </w:trPr>
        <w:tc>
          <w:tcPr>
            <w:tcW w:w="9921" w:type="dxa"/>
            <w:gridSpan w:val="4"/>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651E70" w:rsidRPr="00AA7CA8" w:rsidTr="000752B8">
        <w:trPr>
          <w:gridAfter w:val="1"/>
          <w:wAfter w:w="24" w:type="dxa"/>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408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5244" w:type="dxa"/>
            <w:tcBorders>
              <w:top w:val="outset" w:sz="6" w:space="0" w:color="auto"/>
              <w:left w:val="outset" w:sz="6" w:space="0" w:color="auto"/>
              <w:bottom w:val="outset" w:sz="6" w:space="0" w:color="auto"/>
              <w:right w:val="outset" w:sz="6" w:space="0" w:color="auto"/>
            </w:tcBorders>
            <w:hideMark/>
          </w:tcPr>
          <w:p w:rsidR="00651E70" w:rsidRPr="00C80A77" w:rsidRDefault="00651E70" w:rsidP="000752B8">
            <w:pPr>
              <w:spacing w:before="75" w:after="75" w:line="240" w:lineRule="auto"/>
              <w:jc w:val="both"/>
              <w:rPr>
                <w:rFonts w:ascii="Times New Roman" w:eastAsia="Times New Roman" w:hAnsi="Times New Roman" w:cs="Times New Roman"/>
                <w:sz w:val="24"/>
                <w:szCs w:val="24"/>
                <w:lang w:val="lv-LV" w:eastAsia="lv-LV"/>
              </w:rPr>
            </w:pPr>
            <w:r w:rsidRPr="00C80A77">
              <w:rPr>
                <w:rFonts w:ascii="Times New Roman" w:eastAsia="Times New Roman" w:hAnsi="Times New Roman"/>
                <w:sz w:val="24"/>
                <w:szCs w:val="24"/>
                <w:lang w:val="lv-LV" w:eastAsia="lv-LV"/>
              </w:rPr>
              <w:t> </w:t>
            </w:r>
            <w:r w:rsidR="00915468">
              <w:rPr>
                <w:rFonts w:ascii="Times New Roman" w:eastAsia="Times New Roman" w:hAnsi="Times New Roman"/>
                <w:sz w:val="24"/>
                <w:szCs w:val="24"/>
                <w:lang w:val="lv-LV" w:eastAsia="lv-LV"/>
              </w:rPr>
              <w:t xml:space="preserve">Likumprojekta izpildi nodrošinās </w:t>
            </w:r>
            <w:r w:rsidR="0025543A">
              <w:rPr>
                <w:rFonts w:ascii="Times New Roman" w:eastAsia="Times New Roman" w:hAnsi="Times New Roman"/>
                <w:sz w:val="24"/>
                <w:szCs w:val="24"/>
                <w:lang w:val="lv-LV" w:eastAsia="lv-LV"/>
              </w:rPr>
              <w:t>Nacionālais veselības dienests</w:t>
            </w:r>
            <w:r w:rsidR="000752B8">
              <w:rPr>
                <w:rFonts w:ascii="Times New Roman" w:eastAsia="Times New Roman" w:hAnsi="Times New Roman"/>
                <w:sz w:val="24"/>
                <w:szCs w:val="24"/>
                <w:lang w:val="lv-LV" w:eastAsia="lv-LV"/>
              </w:rPr>
              <w:t>.</w:t>
            </w:r>
          </w:p>
        </w:tc>
      </w:tr>
      <w:tr w:rsidR="00651E70" w:rsidRPr="00C80A77" w:rsidTr="000752B8">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408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5268" w:type="dxa"/>
            <w:gridSpan w:val="2"/>
            <w:tcBorders>
              <w:top w:val="outset" w:sz="6" w:space="0" w:color="auto"/>
              <w:left w:val="outset" w:sz="6" w:space="0" w:color="auto"/>
              <w:bottom w:val="outset" w:sz="6" w:space="0" w:color="auto"/>
              <w:right w:val="outset" w:sz="6" w:space="0" w:color="auto"/>
            </w:tcBorders>
            <w:hideMark/>
          </w:tcPr>
          <w:p w:rsidR="00651E70" w:rsidRPr="00C80A77" w:rsidRDefault="008F0541"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0752B8">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408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5268" w:type="dxa"/>
            <w:gridSpan w:val="2"/>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008F0541"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0752B8">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408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5268" w:type="dxa"/>
            <w:gridSpan w:val="2"/>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008F0541"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0752B8">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408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5268" w:type="dxa"/>
            <w:gridSpan w:val="2"/>
            <w:tcBorders>
              <w:top w:val="outset" w:sz="6" w:space="0" w:color="auto"/>
              <w:left w:val="outset" w:sz="6" w:space="0" w:color="auto"/>
              <w:bottom w:val="outset" w:sz="6" w:space="0" w:color="auto"/>
              <w:right w:val="outset" w:sz="6" w:space="0" w:color="auto"/>
            </w:tcBorders>
            <w:hideMark/>
          </w:tcPr>
          <w:p w:rsidR="00651E70" w:rsidRPr="00C80A77" w:rsidRDefault="008F0541"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0752B8">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6.</w:t>
            </w:r>
          </w:p>
        </w:tc>
        <w:tc>
          <w:tcPr>
            <w:tcW w:w="408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5268" w:type="dxa"/>
            <w:gridSpan w:val="2"/>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25543A" w:rsidRPr="000752B8" w:rsidRDefault="0025543A" w:rsidP="000752B8">
      <w:pPr>
        <w:pStyle w:val="naisf"/>
        <w:spacing w:before="0" w:after="0"/>
        <w:ind w:firstLine="0"/>
        <w:rPr>
          <w:iCs/>
          <w:sz w:val="28"/>
          <w:szCs w:val="28"/>
        </w:rPr>
      </w:pPr>
    </w:p>
    <w:p w:rsidR="000752B8" w:rsidRDefault="000752B8" w:rsidP="009501D0">
      <w:pPr>
        <w:pStyle w:val="naisf"/>
        <w:spacing w:before="0" w:after="0"/>
        <w:ind w:firstLine="0"/>
        <w:jc w:val="center"/>
        <w:rPr>
          <w:color w:val="000000"/>
          <w:sz w:val="28"/>
          <w:szCs w:val="28"/>
        </w:rPr>
      </w:pPr>
    </w:p>
    <w:p w:rsidR="000752B8" w:rsidRDefault="000752B8" w:rsidP="009501D0">
      <w:pPr>
        <w:pStyle w:val="naisf"/>
        <w:spacing w:before="0" w:after="0"/>
        <w:ind w:firstLine="0"/>
        <w:jc w:val="center"/>
        <w:rPr>
          <w:color w:val="000000"/>
          <w:sz w:val="28"/>
          <w:szCs w:val="28"/>
        </w:rPr>
      </w:pPr>
    </w:p>
    <w:p w:rsidR="007D7058" w:rsidRPr="007D7058" w:rsidRDefault="0066508E" w:rsidP="009501D0">
      <w:pPr>
        <w:pStyle w:val="naisf"/>
        <w:spacing w:before="0" w:after="0"/>
        <w:ind w:firstLine="0"/>
        <w:jc w:val="center"/>
        <w:rPr>
          <w:iCs/>
          <w:sz w:val="28"/>
          <w:szCs w:val="28"/>
        </w:rPr>
      </w:pPr>
      <w:r>
        <w:rPr>
          <w:color w:val="000000"/>
          <w:sz w:val="28"/>
          <w:szCs w:val="28"/>
        </w:rPr>
        <w:t>Veselības ministr</w:t>
      </w:r>
      <w:r w:rsidR="009501D0">
        <w:rPr>
          <w:color w:val="000000"/>
          <w:sz w:val="28"/>
          <w:szCs w:val="28"/>
        </w:rPr>
        <w:t xml:space="preserve">e                                                                        </w:t>
      </w:r>
      <w:proofErr w:type="spellStart"/>
      <w:r w:rsidR="009501D0">
        <w:rPr>
          <w:color w:val="000000"/>
          <w:sz w:val="28"/>
          <w:szCs w:val="28"/>
        </w:rPr>
        <w:t>I.Circene</w:t>
      </w:r>
      <w:proofErr w:type="spellEnd"/>
    </w:p>
    <w:p w:rsidR="003D1D07" w:rsidRDefault="003D1D07" w:rsidP="00BA30E3">
      <w:pPr>
        <w:suppressAutoHyphens/>
        <w:spacing w:before="120" w:after="0" w:line="240" w:lineRule="auto"/>
        <w:rPr>
          <w:rFonts w:ascii="Times New Roman" w:hAnsi="Times New Roman" w:cs="Times New Roman"/>
          <w:lang w:val="lv-LV"/>
        </w:rPr>
      </w:pPr>
    </w:p>
    <w:p w:rsidR="0025543A" w:rsidRDefault="0025543A" w:rsidP="00BA30E3">
      <w:pPr>
        <w:suppressAutoHyphens/>
        <w:spacing w:before="120" w:after="0" w:line="240" w:lineRule="auto"/>
        <w:rPr>
          <w:rFonts w:ascii="Times New Roman" w:hAnsi="Times New Roman" w:cs="Times New Roman"/>
          <w:lang w:val="lv-LV"/>
        </w:rPr>
      </w:pPr>
    </w:p>
    <w:p w:rsidR="000752B8" w:rsidRDefault="000752B8" w:rsidP="00BA30E3">
      <w:pPr>
        <w:suppressAutoHyphens/>
        <w:spacing w:before="120" w:after="0" w:line="240" w:lineRule="auto"/>
        <w:rPr>
          <w:rFonts w:ascii="Times New Roman" w:hAnsi="Times New Roman" w:cs="Times New Roman"/>
          <w:lang w:val="lv-LV"/>
        </w:rPr>
      </w:pPr>
    </w:p>
    <w:p w:rsidR="00D77185" w:rsidRDefault="00D77185" w:rsidP="00067F88">
      <w:pPr>
        <w:suppressAutoHyphens/>
        <w:spacing w:after="0" w:line="240" w:lineRule="auto"/>
        <w:rPr>
          <w:rFonts w:ascii="Times New Roman" w:hAnsi="Times New Roman" w:cs="Times New Roman"/>
          <w:lang w:val="lv-LV"/>
        </w:rPr>
      </w:pPr>
      <w:r>
        <w:rPr>
          <w:rFonts w:ascii="Times New Roman" w:hAnsi="Times New Roman" w:cs="Times New Roman"/>
          <w:lang w:val="lv-LV"/>
        </w:rPr>
        <w:t>02.04.2013</w:t>
      </w:r>
      <w:r w:rsidR="000752B8">
        <w:rPr>
          <w:rFonts w:ascii="Times New Roman" w:hAnsi="Times New Roman" w:cs="Times New Roman"/>
          <w:lang w:val="lv-LV"/>
        </w:rPr>
        <w:t xml:space="preserve">    12:18</w:t>
      </w:r>
    </w:p>
    <w:p w:rsidR="00E8755F" w:rsidRPr="00101CAA" w:rsidRDefault="000752B8" w:rsidP="00067F88">
      <w:pPr>
        <w:suppressAutoHyphens/>
        <w:spacing w:after="0" w:line="240" w:lineRule="auto"/>
        <w:rPr>
          <w:rFonts w:ascii="Times New Roman" w:hAnsi="Times New Roman" w:cs="Times New Roman"/>
          <w:lang w:val="lv-LV"/>
        </w:rPr>
      </w:pPr>
      <w:r>
        <w:rPr>
          <w:rFonts w:ascii="Times New Roman" w:hAnsi="Times New Roman" w:cs="Times New Roman"/>
          <w:lang w:val="lv-LV"/>
        </w:rPr>
        <w:t>903</w:t>
      </w:r>
    </w:p>
    <w:p w:rsidR="00E8755F" w:rsidRPr="00101CAA" w:rsidRDefault="00E8755F" w:rsidP="00067F88">
      <w:pPr>
        <w:suppressAutoHyphens/>
        <w:spacing w:after="0" w:line="240" w:lineRule="auto"/>
        <w:rPr>
          <w:rFonts w:ascii="Times New Roman" w:hAnsi="Times New Roman" w:cs="Times New Roman"/>
          <w:lang w:val="lv-LV"/>
        </w:rPr>
      </w:pPr>
      <w:r w:rsidRPr="00101CAA">
        <w:rPr>
          <w:rFonts w:ascii="Times New Roman" w:hAnsi="Times New Roman" w:cs="Times New Roman"/>
          <w:lang w:val="lv-LV"/>
        </w:rPr>
        <w:t>Ž.Zvaigzne</w:t>
      </w:r>
    </w:p>
    <w:p w:rsidR="00E8755F" w:rsidRPr="00101CAA" w:rsidRDefault="00E8755F" w:rsidP="00101CAA">
      <w:pPr>
        <w:suppressAutoHyphens/>
        <w:spacing w:after="0" w:line="240" w:lineRule="auto"/>
        <w:rPr>
          <w:rFonts w:ascii="Times New Roman" w:hAnsi="Times New Roman" w:cs="Times New Roman"/>
          <w:lang w:val="lv-LV"/>
        </w:rPr>
      </w:pPr>
      <w:r w:rsidRPr="00101CAA">
        <w:rPr>
          <w:rFonts w:ascii="Times New Roman" w:hAnsi="Times New Roman" w:cs="Times New Roman"/>
          <w:lang w:val="lv-LV"/>
        </w:rPr>
        <w:t>67876041, Zanete.Zvaigzne@vm.gov.lv</w:t>
      </w:r>
    </w:p>
    <w:p w:rsidR="00D176BF" w:rsidRPr="00E8755F" w:rsidRDefault="00D176BF" w:rsidP="00E8755F">
      <w:pPr>
        <w:spacing w:after="0" w:line="240" w:lineRule="auto"/>
        <w:jc w:val="both"/>
        <w:rPr>
          <w:rFonts w:ascii="Times New Roman" w:eastAsia="Times New Roman" w:hAnsi="Times New Roman" w:cs="Times New Roman"/>
          <w:sz w:val="24"/>
          <w:szCs w:val="24"/>
          <w:lang w:val="lv-LV" w:eastAsia="lv-LV"/>
        </w:rPr>
      </w:pPr>
    </w:p>
    <w:sectPr w:rsidR="00D176BF" w:rsidRPr="00E8755F"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85" w:rsidRDefault="00D77185" w:rsidP="00D176BF">
      <w:pPr>
        <w:spacing w:after="0" w:line="240" w:lineRule="auto"/>
      </w:pPr>
      <w:r>
        <w:separator/>
      </w:r>
    </w:p>
  </w:endnote>
  <w:endnote w:type="continuationSeparator" w:id="0">
    <w:p w:rsidR="00D77185" w:rsidRDefault="00D77185"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85" w:rsidRPr="007A3C0A" w:rsidRDefault="00D77185" w:rsidP="007A3C0A">
    <w:pPr>
      <w:jc w:val="both"/>
      <w:rPr>
        <w:rFonts w:ascii="Times New Roman" w:hAnsi="Times New Roman" w:cs="Times New Roman"/>
        <w:lang w:val="lv-LV"/>
      </w:rPr>
    </w:pPr>
    <w:r w:rsidRPr="00C80A77">
      <w:rPr>
        <w:rFonts w:ascii="Times New Roman" w:hAnsi="Times New Roman" w:cs="Times New Roman"/>
        <w:lang w:val="lv-LV"/>
      </w:rPr>
      <w:t>VMAnot_</w:t>
    </w:r>
    <w:r>
      <w:rPr>
        <w:rFonts w:ascii="Times New Roman" w:hAnsi="Times New Roman" w:cs="Times New Roman"/>
        <w:lang w:val="lv-LV"/>
      </w:rPr>
      <w:t>020413_prakses</w:t>
    </w:r>
    <w:r w:rsidRPr="00C80A77">
      <w:rPr>
        <w:rFonts w:ascii="Times New Roman" w:hAnsi="Times New Roman" w:cs="Times New Roman"/>
        <w:lang w:val="lv-LV"/>
      </w:rPr>
      <w:t xml:space="preserve">; </w:t>
    </w:r>
    <w:bookmarkStart w:id="2" w:name="OLE_LINK8"/>
    <w:bookmarkStart w:id="3" w:name="OLE_LINK9"/>
    <w:r w:rsidRPr="005054CC">
      <w:rPr>
        <w:rFonts w:ascii="Times New Roman" w:hAnsi="Times New Roman" w:cs="Times New Roman"/>
        <w:lang w:val="lv-LV"/>
      </w:rPr>
      <w:t>Likumprojekta „</w:t>
    </w:r>
    <w:r>
      <w:rPr>
        <w:rFonts w:ascii="Times New Roman" w:hAnsi="Times New Roman" w:cs="Times New Roman"/>
        <w:bCs/>
        <w:lang w:val="lv-LV"/>
      </w:rPr>
      <w:t>Grozījums</w:t>
    </w:r>
    <w:r w:rsidRPr="005054CC">
      <w:rPr>
        <w:rFonts w:ascii="Times New Roman" w:hAnsi="Times New Roman" w:cs="Times New Roman"/>
        <w:bCs/>
        <w:lang w:val="lv-LV"/>
      </w:rPr>
      <w:t xml:space="preserve"> </w:t>
    </w:r>
    <w:r>
      <w:rPr>
        <w:rFonts w:ascii="Times New Roman" w:hAnsi="Times New Roman" w:cs="Times New Roman"/>
        <w:bCs/>
        <w:lang w:val="lv-LV"/>
      </w:rPr>
      <w:t>likumā „Par prakses ārstiem”</w:t>
    </w:r>
    <w:r w:rsidRPr="005054CC">
      <w:rPr>
        <w:rFonts w:ascii="Times New Roman" w:hAnsi="Times New Roman" w:cs="Times New Roman"/>
        <w:lang w:val="lv-LV"/>
      </w:rPr>
      <w:t>”</w:t>
    </w:r>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85" w:rsidRPr="005054CC" w:rsidRDefault="00D77185" w:rsidP="00E8755F">
    <w:pPr>
      <w:jc w:val="both"/>
      <w:rPr>
        <w:rFonts w:ascii="Times New Roman" w:hAnsi="Times New Roman" w:cs="Times New Roman"/>
        <w:lang w:val="lv-LV"/>
      </w:rPr>
    </w:pPr>
    <w:r w:rsidRPr="00C80A77">
      <w:rPr>
        <w:rFonts w:ascii="Times New Roman" w:hAnsi="Times New Roman" w:cs="Times New Roman"/>
        <w:lang w:val="lv-LV"/>
      </w:rPr>
      <w:t>VMAnot_</w:t>
    </w:r>
    <w:r>
      <w:rPr>
        <w:rFonts w:ascii="Times New Roman" w:hAnsi="Times New Roman" w:cs="Times New Roman"/>
        <w:lang w:val="lv-LV"/>
      </w:rPr>
      <w:t>020413_prakses</w:t>
    </w:r>
    <w:r w:rsidRPr="00C80A77">
      <w:rPr>
        <w:rFonts w:ascii="Times New Roman" w:hAnsi="Times New Roman" w:cs="Times New Roman"/>
        <w:lang w:val="lv-LV"/>
      </w:rPr>
      <w:t xml:space="preserve">; </w:t>
    </w:r>
    <w:bookmarkStart w:id="4" w:name="_Hlk243982562"/>
    <w:bookmarkStart w:id="5" w:name="OLE_LINK5"/>
    <w:bookmarkStart w:id="6" w:name="OLE_LINK6"/>
    <w:bookmarkStart w:id="7" w:name="OLE_LINK7"/>
    <w:bookmarkStart w:id="8" w:name="OLE_LINK14"/>
    <w:bookmarkStart w:id="9" w:name="OLE_LINK15"/>
    <w:bookmarkStart w:id="10" w:name="OLE_LINK3"/>
    <w:bookmarkStart w:id="11" w:name="OLE_LINK4"/>
    <w:r w:rsidRPr="005054CC">
      <w:rPr>
        <w:rFonts w:ascii="Times New Roman" w:hAnsi="Times New Roman" w:cs="Times New Roman"/>
        <w:lang w:val="lv-LV"/>
      </w:rPr>
      <w:t>Likumprojekta „</w:t>
    </w:r>
    <w:r>
      <w:rPr>
        <w:rFonts w:ascii="Times New Roman" w:hAnsi="Times New Roman" w:cs="Times New Roman"/>
        <w:bCs/>
        <w:lang w:val="lv-LV"/>
      </w:rPr>
      <w:t>Grozījums</w:t>
    </w:r>
    <w:r w:rsidRPr="005054CC">
      <w:rPr>
        <w:rFonts w:ascii="Times New Roman" w:hAnsi="Times New Roman" w:cs="Times New Roman"/>
        <w:bCs/>
        <w:lang w:val="lv-LV"/>
      </w:rPr>
      <w:t xml:space="preserve"> </w:t>
    </w:r>
    <w:r>
      <w:rPr>
        <w:rFonts w:ascii="Times New Roman" w:hAnsi="Times New Roman" w:cs="Times New Roman"/>
        <w:bCs/>
        <w:lang w:val="lv-LV"/>
      </w:rPr>
      <w:t>likumā „Par prakses ārstiem”</w:t>
    </w:r>
    <w:r w:rsidRPr="005054CC">
      <w:rPr>
        <w:rFonts w:ascii="Times New Roman" w:hAnsi="Times New Roman" w:cs="Times New Roman"/>
        <w:lang w:val="lv-LV"/>
      </w:rPr>
      <w:t>”</w:t>
    </w:r>
    <w:bookmarkEnd w:id="4"/>
    <w:bookmarkEnd w:id="5"/>
    <w:bookmarkEnd w:id="6"/>
    <w:bookmarkEnd w:id="7"/>
    <w:bookmarkEnd w:id="8"/>
    <w:bookmarkEnd w:id="9"/>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10"/>
    <w:bookmarkEnd w:id="11"/>
  </w:p>
  <w:p w:rsidR="00D77185" w:rsidRPr="00C80A77" w:rsidRDefault="00D77185">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85" w:rsidRDefault="00D77185" w:rsidP="00D176BF">
      <w:pPr>
        <w:spacing w:after="0" w:line="240" w:lineRule="auto"/>
      </w:pPr>
      <w:r>
        <w:separator/>
      </w:r>
    </w:p>
  </w:footnote>
  <w:footnote w:type="continuationSeparator" w:id="0">
    <w:p w:rsidR="00D77185" w:rsidRDefault="00D77185"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D77185" w:rsidRDefault="00D77185">
        <w:pPr>
          <w:pStyle w:val="Header"/>
          <w:jc w:val="center"/>
        </w:pPr>
        <w:r w:rsidRPr="008F0541">
          <w:rPr>
            <w:rFonts w:ascii="Times New Roman" w:hAnsi="Times New Roman" w:cs="Times New Roman"/>
          </w:rPr>
          <w:fldChar w:fldCharType="begin"/>
        </w:r>
        <w:r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0752B8">
          <w:rPr>
            <w:rFonts w:ascii="Times New Roman" w:hAnsi="Times New Roman" w:cs="Times New Roman"/>
            <w:noProof/>
          </w:rPr>
          <w:t>5</w:t>
        </w:r>
        <w:r w:rsidRPr="008F0541">
          <w:rPr>
            <w:rFonts w:ascii="Times New Roman" w:hAnsi="Times New Roman" w:cs="Times New Roman"/>
          </w:rPr>
          <w:fldChar w:fldCharType="end"/>
        </w:r>
      </w:p>
    </w:sdtContent>
  </w:sdt>
  <w:p w:rsidR="00D77185" w:rsidRDefault="00D77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11728"/>
    <w:rsid w:val="000178DB"/>
    <w:rsid w:val="00020C0C"/>
    <w:rsid w:val="00025013"/>
    <w:rsid w:val="000253A5"/>
    <w:rsid w:val="0004227B"/>
    <w:rsid w:val="00053897"/>
    <w:rsid w:val="00060E6A"/>
    <w:rsid w:val="00063230"/>
    <w:rsid w:val="00067F88"/>
    <w:rsid w:val="000752B8"/>
    <w:rsid w:val="00076727"/>
    <w:rsid w:val="000833C5"/>
    <w:rsid w:val="000834BE"/>
    <w:rsid w:val="000914ED"/>
    <w:rsid w:val="0009665A"/>
    <w:rsid w:val="0009784C"/>
    <w:rsid w:val="000C5F3C"/>
    <w:rsid w:val="000C77C4"/>
    <w:rsid w:val="000D469D"/>
    <w:rsid w:val="000E03FB"/>
    <w:rsid w:val="000F0009"/>
    <w:rsid w:val="000F08D1"/>
    <w:rsid w:val="000F12B2"/>
    <w:rsid w:val="000F53A1"/>
    <w:rsid w:val="00101CAA"/>
    <w:rsid w:val="001028CB"/>
    <w:rsid w:val="00104C96"/>
    <w:rsid w:val="0011335C"/>
    <w:rsid w:val="0011591E"/>
    <w:rsid w:val="00135079"/>
    <w:rsid w:val="00142244"/>
    <w:rsid w:val="00150589"/>
    <w:rsid w:val="00154FFB"/>
    <w:rsid w:val="00171B5A"/>
    <w:rsid w:val="0017506D"/>
    <w:rsid w:val="00176877"/>
    <w:rsid w:val="00191346"/>
    <w:rsid w:val="001941BF"/>
    <w:rsid w:val="001A0BBA"/>
    <w:rsid w:val="001B05B2"/>
    <w:rsid w:val="001B141F"/>
    <w:rsid w:val="001B4C40"/>
    <w:rsid w:val="001B51C8"/>
    <w:rsid w:val="001C0BF7"/>
    <w:rsid w:val="001D5605"/>
    <w:rsid w:val="001D59DA"/>
    <w:rsid w:val="001F33B8"/>
    <w:rsid w:val="002001A5"/>
    <w:rsid w:val="0021084F"/>
    <w:rsid w:val="00211D92"/>
    <w:rsid w:val="00222B6F"/>
    <w:rsid w:val="00227725"/>
    <w:rsid w:val="00235FE6"/>
    <w:rsid w:val="00245710"/>
    <w:rsid w:val="0025078C"/>
    <w:rsid w:val="00251BDC"/>
    <w:rsid w:val="0025543A"/>
    <w:rsid w:val="002637E7"/>
    <w:rsid w:val="002639BD"/>
    <w:rsid w:val="00267BEC"/>
    <w:rsid w:val="002825B3"/>
    <w:rsid w:val="002864A5"/>
    <w:rsid w:val="00292F2A"/>
    <w:rsid w:val="002A4881"/>
    <w:rsid w:val="002A51C6"/>
    <w:rsid w:val="00306641"/>
    <w:rsid w:val="00312F06"/>
    <w:rsid w:val="0031547E"/>
    <w:rsid w:val="003203BC"/>
    <w:rsid w:val="00324283"/>
    <w:rsid w:val="00335F3F"/>
    <w:rsid w:val="00341F31"/>
    <w:rsid w:val="00345CFC"/>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50C6"/>
    <w:rsid w:val="003D1D07"/>
    <w:rsid w:val="003E306E"/>
    <w:rsid w:val="003E4ED8"/>
    <w:rsid w:val="003F0001"/>
    <w:rsid w:val="003F0CA5"/>
    <w:rsid w:val="003F412B"/>
    <w:rsid w:val="003F4512"/>
    <w:rsid w:val="003F6650"/>
    <w:rsid w:val="004013E2"/>
    <w:rsid w:val="00406D82"/>
    <w:rsid w:val="00411537"/>
    <w:rsid w:val="004144CF"/>
    <w:rsid w:val="004234B0"/>
    <w:rsid w:val="00425645"/>
    <w:rsid w:val="0042610B"/>
    <w:rsid w:val="00431D99"/>
    <w:rsid w:val="00455411"/>
    <w:rsid w:val="0046030E"/>
    <w:rsid w:val="00460C11"/>
    <w:rsid w:val="004631F4"/>
    <w:rsid w:val="0046466C"/>
    <w:rsid w:val="00476CBE"/>
    <w:rsid w:val="00492D51"/>
    <w:rsid w:val="004A1BC5"/>
    <w:rsid w:val="004A4E32"/>
    <w:rsid w:val="004B405B"/>
    <w:rsid w:val="004B68DA"/>
    <w:rsid w:val="004C3A89"/>
    <w:rsid w:val="004E32E7"/>
    <w:rsid w:val="005054CC"/>
    <w:rsid w:val="005265C4"/>
    <w:rsid w:val="00540818"/>
    <w:rsid w:val="005411E1"/>
    <w:rsid w:val="005506A0"/>
    <w:rsid w:val="005534FE"/>
    <w:rsid w:val="005557D8"/>
    <w:rsid w:val="005602A4"/>
    <w:rsid w:val="00561DD1"/>
    <w:rsid w:val="005651E9"/>
    <w:rsid w:val="005677C2"/>
    <w:rsid w:val="0057017B"/>
    <w:rsid w:val="005866EF"/>
    <w:rsid w:val="0059461C"/>
    <w:rsid w:val="005D15E8"/>
    <w:rsid w:val="005D4AE6"/>
    <w:rsid w:val="005F5533"/>
    <w:rsid w:val="005F76A5"/>
    <w:rsid w:val="00646059"/>
    <w:rsid w:val="00651E70"/>
    <w:rsid w:val="006528C4"/>
    <w:rsid w:val="006614D3"/>
    <w:rsid w:val="00663130"/>
    <w:rsid w:val="00663B03"/>
    <w:rsid w:val="0066508E"/>
    <w:rsid w:val="00666600"/>
    <w:rsid w:val="00675CEE"/>
    <w:rsid w:val="00675D97"/>
    <w:rsid w:val="00677602"/>
    <w:rsid w:val="00694649"/>
    <w:rsid w:val="006A5353"/>
    <w:rsid w:val="006A7D54"/>
    <w:rsid w:val="006B1A03"/>
    <w:rsid w:val="006B2600"/>
    <w:rsid w:val="006B35FF"/>
    <w:rsid w:val="006C126F"/>
    <w:rsid w:val="006C63FD"/>
    <w:rsid w:val="006C64C5"/>
    <w:rsid w:val="006C71B1"/>
    <w:rsid w:val="006E0ADB"/>
    <w:rsid w:val="006E1B1F"/>
    <w:rsid w:val="006E49B0"/>
    <w:rsid w:val="006E5FD1"/>
    <w:rsid w:val="006E619B"/>
    <w:rsid w:val="006E7258"/>
    <w:rsid w:val="007014D9"/>
    <w:rsid w:val="0070292C"/>
    <w:rsid w:val="00711B2F"/>
    <w:rsid w:val="007205B7"/>
    <w:rsid w:val="00724701"/>
    <w:rsid w:val="00726E72"/>
    <w:rsid w:val="00741751"/>
    <w:rsid w:val="0075021F"/>
    <w:rsid w:val="0075091C"/>
    <w:rsid w:val="00753290"/>
    <w:rsid w:val="00760809"/>
    <w:rsid w:val="00772A6B"/>
    <w:rsid w:val="00772C22"/>
    <w:rsid w:val="00780206"/>
    <w:rsid w:val="0078736E"/>
    <w:rsid w:val="007A3C0A"/>
    <w:rsid w:val="007A7F2E"/>
    <w:rsid w:val="007C16A4"/>
    <w:rsid w:val="007D1667"/>
    <w:rsid w:val="007D7058"/>
    <w:rsid w:val="007E0C28"/>
    <w:rsid w:val="007E24D9"/>
    <w:rsid w:val="007E3E6A"/>
    <w:rsid w:val="00811A3F"/>
    <w:rsid w:val="008139E2"/>
    <w:rsid w:val="008143D2"/>
    <w:rsid w:val="00821980"/>
    <w:rsid w:val="00822B8C"/>
    <w:rsid w:val="00825ECD"/>
    <w:rsid w:val="008535C3"/>
    <w:rsid w:val="008671C0"/>
    <w:rsid w:val="0088018F"/>
    <w:rsid w:val="008946F9"/>
    <w:rsid w:val="008A3639"/>
    <w:rsid w:val="008B0C2D"/>
    <w:rsid w:val="008B224F"/>
    <w:rsid w:val="008B36C6"/>
    <w:rsid w:val="008C093F"/>
    <w:rsid w:val="008C0B8F"/>
    <w:rsid w:val="008C325D"/>
    <w:rsid w:val="008C5AC5"/>
    <w:rsid w:val="008E3E63"/>
    <w:rsid w:val="008E7072"/>
    <w:rsid w:val="008F0541"/>
    <w:rsid w:val="008F62BB"/>
    <w:rsid w:val="009008AC"/>
    <w:rsid w:val="00903B19"/>
    <w:rsid w:val="00904C68"/>
    <w:rsid w:val="00915468"/>
    <w:rsid w:val="009253D0"/>
    <w:rsid w:val="0093718E"/>
    <w:rsid w:val="009501D0"/>
    <w:rsid w:val="00964BD3"/>
    <w:rsid w:val="0097354B"/>
    <w:rsid w:val="00992F12"/>
    <w:rsid w:val="00996A24"/>
    <w:rsid w:val="009A25F8"/>
    <w:rsid w:val="009A269C"/>
    <w:rsid w:val="009A2AE8"/>
    <w:rsid w:val="009A2ECD"/>
    <w:rsid w:val="009A2F72"/>
    <w:rsid w:val="009A75CC"/>
    <w:rsid w:val="009B24FF"/>
    <w:rsid w:val="009B48E2"/>
    <w:rsid w:val="009B656C"/>
    <w:rsid w:val="009C299F"/>
    <w:rsid w:val="009D31CB"/>
    <w:rsid w:val="009D451B"/>
    <w:rsid w:val="009E1CCA"/>
    <w:rsid w:val="009E1DC9"/>
    <w:rsid w:val="009E3562"/>
    <w:rsid w:val="009E6FBA"/>
    <w:rsid w:val="009F2D54"/>
    <w:rsid w:val="00A01DA9"/>
    <w:rsid w:val="00A14F85"/>
    <w:rsid w:val="00A17681"/>
    <w:rsid w:val="00A226E5"/>
    <w:rsid w:val="00A22853"/>
    <w:rsid w:val="00A36BC2"/>
    <w:rsid w:val="00A47AD0"/>
    <w:rsid w:val="00A57CED"/>
    <w:rsid w:val="00A619FC"/>
    <w:rsid w:val="00A62C32"/>
    <w:rsid w:val="00A76594"/>
    <w:rsid w:val="00A77B33"/>
    <w:rsid w:val="00A83D9E"/>
    <w:rsid w:val="00A858EB"/>
    <w:rsid w:val="00A90041"/>
    <w:rsid w:val="00A9062C"/>
    <w:rsid w:val="00A90A37"/>
    <w:rsid w:val="00A90B79"/>
    <w:rsid w:val="00A917BE"/>
    <w:rsid w:val="00AA7CA8"/>
    <w:rsid w:val="00AB1850"/>
    <w:rsid w:val="00AD23CD"/>
    <w:rsid w:val="00AD6B1B"/>
    <w:rsid w:val="00AE471D"/>
    <w:rsid w:val="00AF0A73"/>
    <w:rsid w:val="00AF1B69"/>
    <w:rsid w:val="00AF22E3"/>
    <w:rsid w:val="00B01999"/>
    <w:rsid w:val="00B02314"/>
    <w:rsid w:val="00B10414"/>
    <w:rsid w:val="00B107D0"/>
    <w:rsid w:val="00B20BC2"/>
    <w:rsid w:val="00B35014"/>
    <w:rsid w:val="00B41505"/>
    <w:rsid w:val="00B51920"/>
    <w:rsid w:val="00B555F1"/>
    <w:rsid w:val="00B621B6"/>
    <w:rsid w:val="00B62ED7"/>
    <w:rsid w:val="00B807E7"/>
    <w:rsid w:val="00B9753B"/>
    <w:rsid w:val="00BA2565"/>
    <w:rsid w:val="00BA30E3"/>
    <w:rsid w:val="00BB1494"/>
    <w:rsid w:val="00BB4AF8"/>
    <w:rsid w:val="00BC6D08"/>
    <w:rsid w:val="00BE2810"/>
    <w:rsid w:val="00C13395"/>
    <w:rsid w:val="00C27CC2"/>
    <w:rsid w:val="00C4647A"/>
    <w:rsid w:val="00C4720E"/>
    <w:rsid w:val="00C473DB"/>
    <w:rsid w:val="00C50A62"/>
    <w:rsid w:val="00C519B9"/>
    <w:rsid w:val="00C56CE1"/>
    <w:rsid w:val="00C56E67"/>
    <w:rsid w:val="00C624C4"/>
    <w:rsid w:val="00C64D79"/>
    <w:rsid w:val="00C71D38"/>
    <w:rsid w:val="00C80A77"/>
    <w:rsid w:val="00C82C07"/>
    <w:rsid w:val="00C855DF"/>
    <w:rsid w:val="00C90053"/>
    <w:rsid w:val="00C94BA4"/>
    <w:rsid w:val="00C94FF8"/>
    <w:rsid w:val="00CA0A59"/>
    <w:rsid w:val="00CA3E1C"/>
    <w:rsid w:val="00CA444C"/>
    <w:rsid w:val="00CA6033"/>
    <w:rsid w:val="00CB207B"/>
    <w:rsid w:val="00CD5BDB"/>
    <w:rsid w:val="00CE0648"/>
    <w:rsid w:val="00CE149F"/>
    <w:rsid w:val="00CE1F61"/>
    <w:rsid w:val="00CE37A3"/>
    <w:rsid w:val="00CE5A39"/>
    <w:rsid w:val="00CF6FA9"/>
    <w:rsid w:val="00CF7CAA"/>
    <w:rsid w:val="00D02021"/>
    <w:rsid w:val="00D0490D"/>
    <w:rsid w:val="00D110E9"/>
    <w:rsid w:val="00D176BF"/>
    <w:rsid w:val="00D23050"/>
    <w:rsid w:val="00D301EC"/>
    <w:rsid w:val="00D34275"/>
    <w:rsid w:val="00D34FB1"/>
    <w:rsid w:val="00D72EA4"/>
    <w:rsid w:val="00D77185"/>
    <w:rsid w:val="00D77995"/>
    <w:rsid w:val="00D904EA"/>
    <w:rsid w:val="00D908F7"/>
    <w:rsid w:val="00D913E3"/>
    <w:rsid w:val="00D92465"/>
    <w:rsid w:val="00D97DF6"/>
    <w:rsid w:val="00DA343B"/>
    <w:rsid w:val="00DA530D"/>
    <w:rsid w:val="00DA687D"/>
    <w:rsid w:val="00DD50D2"/>
    <w:rsid w:val="00DD5244"/>
    <w:rsid w:val="00DF6D63"/>
    <w:rsid w:val="00E01C8A"/>
    <w:rsid w:val="00E03159"/>
    <w:rsid w:val="00E46C79"/>
    <w:rsid w:val="00E47831"/>
    <w:rsid w:val="00E556DE"/>
    <w:rsid w:val="00E57163"/>
    <w:rsid w:val="00E60065"/>
    <w:rsid w:val="00E631DF"/>
    <w:rsid w:val="00E80D61"/>
    <w:rsid w:val="00E8692C"/>
    <w:rsid w:val="00E8755F"/>
    <w:rsid w:val="00E930F3"/>
    <w:rsid w:val="00E9665D"/>
    <w:rsid w:val="00EB40E9"/>
    <w:rsid w:val="00EB4AD0"/>
    <w:rsid w:val="00EC07C2"/>
    <w:rsid w:val="00ED26BA"/>
    <w:rsid w:val="00ED2F20"/>
    <w:rsid w:val="00EF50BE"/>
    <w:rsid w:val="00F04828"/>
    <w:rsid w:val="00F14405"/>
    <w:rsid w:val="00F319E8"/>
    <w:rsid w:val="00F359DF"/>
    <w:rsid w:val="00F408B2"/>
    <w:rsid w:val="00F44DBB"/>
    <w:rsid w:val="00F6163C"/>
    <w:rsid w:val="00F63AD2"/>
    <w:rsid w:val="00F70AF2"/>
    <w:rsid w:val="00F714F8"/>
    <w:rsid w:val="00F76510"/>
    <w:rsid w:val="00F81A95"/>
    <w:rsid w:val="00F81B85"/>
    <w:rsid w:val="00F85632"/>
    <w:rsid w:val="00F90BB0"/>
    <w:rsid w:val="00F94F58"/>
    <w:rsid w:val="00FB11D6"/>
    <w:rsid w:val="00FB5418"/>
    <w:rsid w:val="00FB5823"/>
    <w:rsid w:val="00FB5831"/>
    <w:rsid w:val="00FC0A93"/>
    <w:rsid w:val="00FD543A"/>
    <w:rsid w:val="00FD54E0"/>
    <w:rsid w:val="00FE58E6"/>
    <w:rsid w:val="00FE66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927</Words>
  <Characters>6626</Characters>
  <Application>Microsoft Office Word</Application>
  <DocSecurity>0</DocSecurity>
  <Lines>228</Lines>
  <Paragraphs>106</Paragraphs>
  <ScaleCrop>false</ScaleCrop>
  <HeadingPairs>
    <vt:vector size="2" baseType="variant">
      <vt:variant>
        <vt:lpstr>Title</vt:lpstr>
      </vt:variant>
      <vt:variant>
        <vt:i4>1</vt:i4>
      </vt:variant>
    </vt:vector>
  </HeadingPairs>
  <TitlesOfParts>
    <vt:vector size="1" baseType="lpstr">
      <vt:lpstr>Likumprojekta „Grozījums likumā „Par prakses ārstiem”” sākotnējās (ex-ante) ietekmes novērtējuma ziņojums (anotācija)</vt:lpstr>
    </vt:vector>
  </TitlesOfParts>
  <Company>Veselības ministrija</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prakses ārstiem””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15</cp:revision>
  <cp:lastPrinted>2012-08-22T13:35:00Z</cp:lastPrinted>
  <dcterms:created xsi:type="dcterms:W3CDTF">2012-10-16T12:35:00Z</dcterms:created>
  <dcterms:modified xsi:type="dcterms:W3CDTF">2013-04-02T09:18:00Z</dcterms:modified>
</cp:coreProperties>
</file>