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30" w:rsidRPr="00961F39" w:rsidRDefault="00145830" w:rsidP="003E19B8">
      <w:pPr>
        <w:jc w:val="center"/>
        <w:rPr>
          <w:b/>
          <w:sz w:val="28"/>
          <w:szCs w:val="28"/>
          <w:lang w:val="lv-LV"/>
        </w:rPr>
      </w:pPr>
      <w:r w:rsidRPr="00961F39">
        <w:rPr>
          <w:b/>
          <w:sz w:val="28"/>
          <w:szCs w:val="28"/>
          <w:lang w:val="lv-LV"/>
        </w:rPr>
        <w:t>Ministru kabineta noteikumu projekta</w:t>
      </w:r>
    </w:p>
    <w:p w:rsidR="003E19B8" w:rsidRDefault="003E19B8" w:rsidP="009363D9">
      <w:pPr>
        <w:jc w:val="center"/>
        <w:rPr>
          <w:b/>
          <w:sz w:val="28"/>
          <w:szCs w:val="28"/>
          <w:lang w:val="lv-LV"/>
        </w:rPr>
      </w:pPr>
      <w:r>
        <w:rPr>
          <w:b/>
          <w:sz w:val="28"/>
          <w:szCs w:val="28"/>
          <w:lang w:val="lv-LV"/>
        </w:rPr>
        <w:t>”</w:t>
      </w:r>
      <w:r w:rsidR="00B83BE2" w:rsidRPr="00B83BE2">
        <w:rPr>
          <w:b/>
          <w:sz w:val="28"/>
          <w:szCs w:val="28"/>
          <w:lang w:val="lv-LV"/>
        </w:rPr>
        <w:t>Grozījumi Ministru kabineta 2007.ga</w:t>
      </w:r>
      <w:r>
        <w:rPr>
          <w:b/>
          <w:sz w:val="28"/>
          <w:szCs w:val="28"/>
          <w:lang w:val="lv-LV"/>
        </w:rPr>
        <w:t>da 26.jūnija noteikumos Nr.416 ”</w:t>
      </w:r>
      <w:r w:rsidR="00B83BE2" w:rsidRPr="00B83BE2">
        <w:rPr>
          <w:b/>
          <w:sz w:val="28"/>
          <w:szCs w:val="28"/>
          <w:lang w:val="lv-LV"/>
        </w:rPr>
        <w:t>Zāļu izplatīšanas un kvalitātes kontroles kārtība”</w:t>
      </w:r>
      <w:r>
        <w:rPr>
          <w:b/>
          <w:sz w:val="28"/>
          <w:szCs w:val="28"/>
          <w:lang w:val="lv-LV"/>
        </w:rPr>
        <w:t>”</w:t>
      </w:r>
    </w:p>
    <w:p w:rsidR="00145830" w:rsidRPr="00B83BE2" w:rsidRDefault="00B83BE2" w:rsidP="009363D9">
      <w:pPr>
        <w:jc w:val="center"/>
        <w:rPr>
          <w:b/>
          <w:bCs/>
          <w:sz w:val="28"/>
          <w:szCs w:val="28"/>
          <w:lang w:val="lv-LV"/>
        </w:rPr>
      </w:pPr>
      <w:r>
        <w:rPr>
          <w:b/>
          <w:sz w:val="28"/>
          <w:szCs w:val="28"/>
          <w:lang w:val="lv-LV"/>
        </w:rPr>
        <w:t xml:space="preserve"> </w:t>
      </w:r>
      <w:r w:rsidR="001D602B" w:rsidRPr="00B83BE2">
        <w:rPr>
          <w:b/>
          <w:sz w:val="28"/>
          <w:szCs w:val="28"/>
          <w:lang w:val="lv-LV"/>
        </w:rPr>
        <w:t>sākotnējās ietekmes novērtējuma ziņojums</w:t>
      </w:r>
      <w:r w:rsidR="00145830" w:rsidRPr="00B83BE2">
        <w:rPr>
          <w:b/>
          <w:bCs/>
          <w:sz w:val="28"/>
          <w:szCs w:val="28"/>
          <w:lang w:val="lv-LV"/>
        </w:rPr>
        <w:t xml:space="preserve"> (anotācija)</w:t>
      </w:r>
    </w:p>
    <w:p w:rsidR="00145830" w:rsidRPr="00961F39" w:rsidRDefault="00145830" w:rsidP="00145830">
      <w:pPr>
        <w:jc w:val="center"/>
        <w:rPr>
          <w:b/>
          <w:sz w:val="28"/>
          <w:szCs w:val="28"/>
          <w:lang w:val="lv-LV"/>
        </w:rPr>
      </w:pPr>
    </w:p>
    <w:tbl>
      <w:tblPr>
        <w:tblW w:w="97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
        <w:gridCol w:w="193"/>
        <w:gridCol w:w="10"/>
        <w:gridCol w:w="42"/>
        <w:gridCol w:w="271"/>
        <w:gridCol w:w="191"/>
        <w:gridCol w:w="125"/>
        <w:gridCol w:w="818"/>
        <w:gridCol w:w="284"/>
        <w:gridCol w:w="141"/>
        <w:gridCol w:w="283"/>
        <w:gridCol w:w="10"/>
        <w:gridCol w:w="103"/>
        <w:gridCol w:w="1589"/>
        <w:gridCol w:w="151"/>
        <w:gridCol w:w="349"/>
        <w:gridCol w:w="492"/>
        <w:gridCol w:w="904"/>
        <w:gridCol w:w="1364"/>
        <w:gridCol w:w="2126"/>
        <w:gridCol w:w="152"/>
      </w:tblGrid>
      <w:tr w:rsidR="00145830" w:rsidRPr="00961F39" w:rsidTr="00736685">
        <w:trPr>
          <w:gridAfter w:val="1"/>
          <w:wAfter w:w="152" w:type="dxa"/>
        </w:trPr>
        <w:tc>
          <w:tcPr>
            <w:tcW w:w="9640" w:type="dxa"/>
            <w:gridSpan w:val="20"/>
          </w:tcPr>
          <w:p w:rsidR="00145830" w:rsidRPr="00961F39" w:rsidRDefault="00145830" w:rsidP="00E54238">
            <w:pPr>
              <w:jc w:val="center"/>
              <w:rPr>
                <w:b/>
                <w:lang w:val="lv-LV"/>
              </w:rPr>
            </w:pPr>
            <w:r w:rsidRPr="00961F39">
              <w:rPr>
                <w:b/>
                <w:lang w:val="lv-LV"/>
              </w:rPr>
              <w:t xml:space="preserve">I. Tiesību </w:t>
            </w:r>
            <w:smartTag w:uri="schemas-tilde-lv/tildestengine" w:element="veidnes">
              <w:smartTagPr>
                <w:attr w:name="baseform" w:val="akt|s"/>
                <w:attr w:name="id" w:val="-1"/>
                <w:attr w:name="text" w:val="akta"/>
              </w:smartTagPr>
              <w:r w:rsidRPr="00961F39">
                <w:rPr>
                  <w:b/>
                  <w:lang w:val="lv-LV"/>
                </w:rPr>
                <w:t>akta</w:t>
              </w:r>
            </w:smartTag>
            <w:r w:rsidRPr="00961F39">
              <w:rPr>
                <w:b/>
                <w:lang w:val="lv-LV"/>
              </w:rPr>
              <w:t xml:space="preserve"> projekta izstrādes nepieciešamība</w:t>
            </w:r>
          </w:p>
        </w:tc>
      </w:tr>
      <w:tr w:rsidR="00145830" w:rsidRPr="00112ADB" w:rsidTr="00736685">
        <w:trPr>
          <w:gridAfter w:val="1"/>
          <w:wAfter w:w="152" w:type="dxa"/>
        </w:trPr>
        <w:tc>
          <w:tcPr>
            <w:tcW w:w="397" w:type="dxa"/>
            <w:gridSpan w:val="3"/>
          </w:tcPr>
          <w:p w:rsidR="00145830" w:rsidRPr="00961F39" w:rsidRDefault="00145830" w:rsidP="00E54238">
            <w:pPr>
              <w:rPr>
                <w:lang w:val="lv-LV"/>
              </w:rPr>
            </w:pPr>
            <w:r w:rsidRPr="00961F39">
              <w:rPr>
                <w:lang w:val="lv-LV"/>
              </w:rPr>
              <w:t>1.</w:t>
            </w:r>
          </w:p>
        </w:tc>
        <w:tc>
          <w:tcPr>
            <w:tcW w:w="1447" w:type="dxa"/>
            <w:gridSpan w:val="5"/>
          </w:tcPr>
          <w:p w:rsidR="00145830" w:rsidRPr="00961F39" w:rsidRDefault="00145830" w:rsidP="00E54238">
            <w:pPr>
              <w:jc w:val="both"/>
              <w:rPr>
                <w:lang w:val="lv-LV"/>
              </w:rPr>
            </w:pPr>
            <w:r w:rsidRPr="00961F39">
              <w:rPr>
                <w:lang w:val="lv-LV"/>
              </w:rPr>
              <w:t>Pamatojums</w:t>
            </w:r>
          </w:p>
        </w:tc>
        <w:tc>
          <w:tcPr>
            <w:tcW w:w="7796" w:type="dxa"/>
            <w:gridSpan w:val="12"/>
          </w:tcPr>
          <w:p w:rsidR="00010FF0" w:rsidRDefault="00010FF0" w:rsidP="003E19B8">
            <w:pPr>
              <w:jc w:val="both"/>
              <w:rPr>
                <w:lang w:val="lv-LV"/>
              </w:rPr>
            </w:pPr>
            <w:r w:rsidRPr="00EB62DA">
              <w:rPr>
                <w:lang w:val="lv-LV"/>
              </w:rPr>
              <w:t>Ministru kabineta noteikumu projekts ”Grozījumi Ministru kabineta 2007.gada 26.jūnija noteikumos Nr.416 ”Zāļu izplatīšanas un kvalitātes kontroles kārtība”” (turpmāk - Noteikumu projekts) ir izstrādāts</w:t>
            </w:r>
            <w:r>
              <w:rPr>
                <w:lang w:val="lv-LV"/>
              </w:rPr>
              <w:t>:</w:t>
            </w:r>
          </w:p>
          <w:p w:rsidR="00010FF0" w:rsidRPr="00943250" w:rsidRDefault="00010FF0" w:rsidP="003E19B8">
            <w:pPr>
              <w:jc w:val="both"/>
              <w:rPr>
                <w:lang w:val="lv-LV"/>
              </w:rPr>
            </w:pPr>
            <w:r>
              <w:rPr>
                <w:lang w:val="lv-LV"/>
              </w:rPr>
              <w:t>1. </w:t>
            </w:r>
            <w:r w:rsidR="004121DA" w:rsidRPr="00B83BE2">
              <w:rPr>
                <w:lang w:val="lv-LV"/>
              </w:rPr>
              <w:t>Lai nodrošinātu Ei</w:t>
            </w:r>
            <w:r w:rsidR="00B83BE2" w:rsidRPr="00B83BE2">
              <w:rPr>
                <w:lang w:val="lv-LV"/>
              </w:rPr>
              <w:t>ropas Parlamenta un Padomes 2011</w:t>
            </w:r>
            <w:r w:rsidR="004121DA" w:rsidRPr="00B83BE2">
              <w:rPr>
                <w:lang w:val="lv-LV"/>
              </w:rPr>
              <w:t xml:space="preserve">.gada </w:t>
            </w:r>
            <w:r w:rsidR="00B83BE2" w:rsidRPr="00B83BE2">
              <w:rPr>
                <w:lang w:val="lv-LV"/>
              </w:rPr>
              <w:t>9.marta Direktīvas Nr</w:t>
            </w:r>
            <w:r w:rsidR="00B83BE2" w:rsidRPr="00010FF0">
              <w:rPr>
                <w:lang w:val="lv-LV"/>
              </w:rPr>
              <w:t>.2011/24/ES</w:t>
            </w:r>
            <w:r w:rsidR="004121DA" w:rsidRPr="00010FF0">
              <w:rPr>
                <w:lang w:val="lv-LV"/>
              </w:rPr>
              <w:t xml:space="preserve"> </w:t>
            </w:r>
            <w:r w:rsidR="00B83BE2" w:rsidRPr="00010FF0">
              <w:rPr>
                <w:lang w:val="lv-LV"/>
              </w:rPr>
              <w:t>par pacientu tiesību piemērošanu pārrobežu veselības aprūpē</w:t>
            </w:r>
            <w:r w:rsidR="00A979DF" w:rsidRPr="00010FF0">
              <w:rPr>
                <w:lang w:val="lv-LV"/>
              </w:rPr>
              <w:t xml:space="preserve"> (turpmāk</w:t>
            </w:r>
            <w:r w:rsidR="003E19B8" w:rsidRPr="00010FF0">
              <w:rPr>
                <w:lang w:val="lv-LV"/>
              </w:rPr>
              <w:t> - </w:t>
            </w:r>
            <w:r w:rsidR="00A979DF" w:rsidRPr="00010FF0">
              <w:rPr>
                <w:lang w:val="lv-LV"/>
              </w:rPr>
              <w:t xml:space="preserve"> Direktīva</w:t>
            </w:r>
            <w:r w:rsidR="00B83BE2" w:rsidRPr="00010FF0">
              <w:rPr>
                <w:lang w:val="lv-LV"/>
              </w:rPr>
              <w:t xml:space="preserve"> 2011</w:t>
            </w:r>
            <w:r w:rsidR="007647EA" w:rsidRPr="00010FF0">
              <w:rPr>
                <w:lang w:val="lv-LV"/>
              </w:rPr>
              <w:t>/</w:t>
            </w:r>
            <w:r w:rsidR="00B83BE2" w:rsidRPr="00010FF0">
              <w:rPr>
                <w:lang w:val="lv-LV"/>
              </w:rPr>
              <w:t>24</w:t>
            </w:r>
            <w:r w:rsidR="00EC2BEA" w:rsidRPr="00010FF0">
              <w:rPr>
                <w:lang w:val="lv-LV"/>
              </w:rPr>
              <w:t>)</w:t>
            </w:r>
            <w:r w:rsidR="0085187D" w:rsidRPr="00010FF0">
              <w:rPr>
                <w:lang w:val="lv-LV"/>
              </w:rPr>
              <w:t xml:space="preserve"> </w:t>
            </w:r>
            <w:r w:rsidR="0075377C" w:rsidRPr="00010FF0">
              <w:rPr>
                <w:lang w:val="lv-LV"/>
              </w:rPr>
              <w:t>un Komisijas 2012.gada 20.decembra īstenošanas Direktīvas Nr.2012/52/ES ar kuru paredz pasākumus, kas atvieglotu citā dalībvalstī izsn</w:t>
            </w:r>
            <w:r w:rsidR="003E19B8" w:rsidRPr="00010FF0">
              <w:rPr>
                <w:lang w:val="lv-LV"/>
              </w:rPr>
              <w:t>iegtu recepšu atzīšanu (turpmāk - Īstenošanas Direktīva 2012/52</w:t>
            </w:r>
            <w:r w:rsidR="0075377C" w:rsidRPr="00010FF0">
              <w:rPr>
                <w:lang w:val="lv-LV"/>
              </w:rPr>
              <w:t xml:space="preserve">) </w:t>
            </w:r>
            <w:r w:rsidR="004121DA" w:rsidRPr="00010FF0">
              <w:rPr>
                <w:lang w:val="lv-LV"/>
              </w:rPr>
              <w:t>pārņemš</w:t>
            </w:r>
            <w:r w:rsidRPr="00010FF0">
              <w:rPr>
                <w:lang w:val="lv-LV"/>
              </w:rPr>
              <w:t>anu nacionālajos tiesību aktos</w:t>
            </w:r>
            <w:r w:rsidR="00000AE7">
              <w:rPr>
                <w:lang w:val="lv-LV"/>
              </w:rPr>
              <w:t>.</w:t>
            </w:r>
          </w:p>
          <w:p w:rsidR="00010FF0" w:rsidRPr="00010FF0" w:rsidRDefault="00010FF0" w:rsidP="00943250">
            <w:pPr>
              <w:pStyle w:val="Bezatstarpm1"/>
              <w:jc w:val="both"/>
              <w:rPr>
                <w:rFonts w:ascii="Times New Roman" w:hAnsi="Times New Roman"/>
                <w:sz w:val="24"/>
                <w:szCs w:val="24"/>
                <w:lang w:val="lv-LV"/>
              </w:rPr>
            </w:pPr>
            <w:r w:rsidRPr="00943250">
              <w:rPr>
                <w:rFonts w:ascii="Times New Roman" w:hAnsi="Times New Roman"/>
                <w:sz w:val="24"/>
                <w:szCs w:val="24"/>
              </w:rPr>
              <w:t>2. </w:t>
            </w:r>
            <w:r w:rsidRPr="00943250">
              <w:rPr>
                <w:rFonts w:ascii="Times New Roman" w:hAnsi="Times New Roman"/>
                <w:sz w:val="24"/>
                <w:szCs w:val="24"/>
                <w:lang w:val="lv-LV"/>
              </w:rPr>
              <w:t xml:space="preserve">Saistībā ar Farmācijas likuma 5.panta 3.punktu, lai ieviestu normas, kas izriet no </w:t>
            </w:r>
            <w:r w:rsidR="00943250" w:rsidRPr="00943250">
              <w:rPr>
                <w:rFonts w:ascii="Times New Roman" w:hAnsi="Times New Roman"/>
                <w:bCs/>
                <w:sz w:val="24"/>
                <w:szCs w:val="24"/>
                <w:lang w:val="lv-LV"/>
              </w:rPr>
              <w:t xml:space="preserve">Eiropas Komisijas 2013.gada </w:t>
            </w:r>
            <w:r w:rsidR="00943250" w:rsidRPr="00367C5C">
              <w:rPr>
                <w:rFonts w:ascii="Times New Roman" w:hAnsi="Times New Roman"/>
                <w:b/>
                <w:bCs/>
                <w:sz w:val="24"/>
                <w:szCs w:val="24"/>
                <w:lang w:val="lv-LV"/>
              </w:rPr>
              <w:t>5</w:t>
            </w:r>
            <w:r w:rsidRPr="00367C5C">
              <w:rPr>
                <w:rFonts w:ascii="Times New Roman" w:hAnsi="Times New Roman"/>
                <w:b/>
                <w:bCs/>
                <w:sz w:val="24"/>
                <w:szCs w:val="24"/>
                <w:lang w:val="lv-LV"/>
              </w:rPr>
              <w:t>.</w:t>
            </w:r>
            <w:r w:rsidR="00943250" w:rsidRPr="00367C5C">
              <w:rPr>
                <w:rFonts w:ascii="Times New Roman" w:hAnsi="Times New Roman"/>
                <w:b/>
                <w:bCs/>
                <w:sz w:val="24"/>
                <w:szCs w:val="24"/>
                <w:lang w:val="lv-LV"/>
              </w:rPr>
              <w:t>novembra</w:t>
            </w:r>
            <w:r w:rsidRPr="00943250">
              <w:rPr>
                <w:rFonts w:ascii="Times New Roman" w:hAnsi="Times New Roman"/>
                <w:bCs/>
                <w:sz w:val="24"/>
                <w:szCs w:val="24"/>
                <w:lang w:val="lv-LV"/>
              </w:rPr>
              <w:t xml:space="preserve"> pieņemtajām pamatnostādnes par cilvēkiem paredzētu zāļu labu izplatīšanas praksi </w:t>
            </w:r>
            <w:r w:rsidR="00943250" w:rsidRPr="00943250">
              <w:rPr>
                <w:rFonts w:ascii="Times New Roman" w:hAnsi="Times New Roman"/>
                <w:bCs/>
                <w:sz w:val="24"/>
                <w:szCs w:val="24"/>
                <w:lang w:val="lv-LV"/>
              </w:rPr>
              <w:t>(</w:t>
            </w:r>
            <w:r w:rsidR="00943250" w:rsidRPr="00943250">
              <w:rPr>
                <w:rStyle w:val="hps"/>
                <w:rFonts w:ascii="Times New Roman" w:hAnsi="Times New Roman"/>
                <w:b/>
                <w:sz w:val="24"/>
                <w:szCs w:val="24"/>
                <w:lang w:val="lv-LV"/>
              </w:rPr>
              <w:t>2013/C 343/01).</w:t>
            </w:r>
          </w:p>
        </w:tc>
      </w:tr>
      <w:tr w:rsidR="00145830" w:rsidRPr="00112ADB" w:rsidTr="00736685">
        <w:trPr>
          <w:gridAfter w:val="1"/>
          <w:wAfter w:w="152" w:type="dxa"/>
        </w:trPr>
        <w:tc>
          <w:tcPr>
            <w:tcW w:w="397" w:type="dxa"/>
            <w:gridSpan w:val="3"/>
          </w:tcPr>
          <w:p w:rsidR="00145830" w:rsidRPr="00961F39" w:rsidRDefault="00145830" w:rsidP="00E54238">
            <w:pPr>
              <w:rPr>
                <w:lang w:val="lv-LV"/>
              </w:rPr>
            </w:pPr>
            <w:r w:rsidRPr="00961F39">
              <w:rPr>
                <w:lang w:val="lv-LV"/>
              </w:rPr>
              <w:t xml:space="preserve">2. </w:t>
            </w:r>
          </w:p>
        </w:tc>
        <w:tc>
          <w:tcPr>
            <w:tcW w:w="1447" w:type="dxa"/>
            <w:gridSpan w:val="5"/>
          </w:tcPr>
          <w:p w:rsidR="00145830" w:rsidRPr="00961F39" w:rsidRDefault="00145830" w:rsidP="00E54238">
            <w:pPr>
              <w:jc w:val="both"/>
              <w:rPr>
                <w:lang w:val="lv-LV"/>
              </w:rPr>
            </w:pPr>
            <w:r w:rsidRPr="00961F39">
              <w:rPr>
                <w:lang w:val="lv-LV"/>
              </w:rPr>
              <w:t>Pašreizējā situācija un problēmas</w:t>
            </w:r>
          </w:p>
        </w:tc>
        <w:tc>
          <w:tcPr>
            <w:tcW w:w="7796" w:type="dxa"/>
            <w:gridSpan w:val="12"/>
          </w:tcPr>
          <w:p w:rsidR="006D689A" w:rsidRPr="00961F39" w:rsidRDefault="00420D09" w:rsidP="006D689A">
            <w:pPr>
              <w:jc w:val="both"/>
              <w:rPr>
                <w:lang w:val="lv-LV"/>
              </w:rPr>
            </w:pPr>
            <w:r>
              <w:rPr>
                <w:lang w:val="lv-LV"/>
              </w:rPr>
              <w:t>1. </w:t>
            </w:r>
            <w:r w:rsidR="007C6F00" w:rsidRPr="00961F39">
              <w:rPr>
                <w:lang w:val="lv-LV"/>
              </w:rPr>
              <w:t>Saskaņ</w:t>
            </w:r>
            <w:r w:rsidR="00B83BE2">
              <w:rPr>
                <w:lang w:val="lv-LV"/>
              </w:rPr>
              <w:t>ā ar Farmācijas likuma 5.panta 3</w:t>
            </w:r>
            <w:r w:rsidR="007C6F00" w:rsidRPr="00961F39">
              <w:rPr>
                <w:lang w:val="lv-LV"/>
              </w:rPr>
              <w:t xml:space="preserve">.punktu </w:t>
            </w:r>
            <w:r w:rsidR="00B83BE2">
              <w:rPr>
                <w:lang w:val="lv-LV"/>
              </w:rPr>
              <w:t xml:space="preserve">un 19.pantu </w:t>
            </w:r>
            <w:r w:rsidR="007C6F00" w:rsidRPr="00961F39">
              <w:rPr>
                <w:lang w:val="lv-LV"/>
              </w:rPr>
              <w:t xml:space="preserve">izdoti </w:t>
            </w:r>
            <w:r w:rsidR="00B83BE2" w:rsidRPr="00B83BE2">
              <w:rPr>
                <w:lang w:val="lv-LV"/>
              </w:rPr>
              <w:t>Ministru kabineta 2007.g</w:t>
            </w:r>
            <w:r w:rsidR="003E19B8">
              <w:rPr>
                <w:lang w:val="lv-LV"/>
              </w:rPr>
              <w:t>ada 26.jūnija noteikumi Nr.416 ”</w:t>
            </w:r>
            <w:r w:rsidR="00B83BE2" w:rsidRPr="00B83BE2">
              <w:rPr>
                <w:lang w:val="lv-LV"/>
              </w:rPr>
              <w:t>Zāļu izplatīšanas un kvalitātes kontroles kārtība”</w:t>
            </w:r>
            <w:r w:rsidR="003E19B8">
              <w:rPr>
                <w:lang w:val="lv-LV"/>
              </w:rPr>
              <w:t xml:space="preserve"> (turpmāk - </w:t>
            </w:r>
            <w:r w:rsidR="007C6F00" w:rsidRPr="00B83BE2">
              <w:rPr>
                <w:lang w:val="lv-LV"/>
              </w:rPr>
              <w:t>Noteikumi Nr.</w:t>
            </w:r>
            <w:r w:rsidR="00B83BE2" w:rsidRPr="00B83BE2">
              <w:rPr>
                <w:lang w:val="lv-LV"/>
              </w:rPr>
              <w:t>416</w:t>
            </w:r>
            <w:r w:rsidR="007C6F00" w:rsidRPr="00B83BE2">
              <w:rPr>
                <w:lang w:val="lv-LV"/>
              </w:rPr>
              <w:t>), kas š</w:t>
            </w:r>
            <w:r w:rsidR="00CD4B79" w:rsidRPr="00B83BE2">
              <w:rPr>
                <w:lang w:val="lv-LV"/>
              </w:rPr>
              <w:t xml:space="preserve">obrīd </w:t>
            </w:r>
            <w:r w:rsidR="007C6F00" w:rsidRPr="00B83BE2">
              <w:rPr>
                <w:lang w:val="lv-LV"/>
              </w:rPr>
              <w:t xml:space="preserve">nosaka </w:t>
            </w:r>
            <w:r w:rsidR="00CC7DD8" w:rsidRPr="00B83BE2">
              <w:rPr>
                <w:lang w:val="lv-LV"/>
              </w:rPr>
              <w:t>zāļu, tajā skaitā homeopātisko zāļu un augu izcelsmes zāļu izplatīšanas un kvalitātes kontroles kārtību</w:t>
            </w:r>
            <w:r w:rsidR="007C6F00" w:rsidRPr="00961F39">
              <w:rPr>
                <w:lang w:val="lv-LV"/>
              </w:rPr>
              <w:t>.</w:t>
            </w:r>
          </w:p>
          <w:p w:rsidR="00EA5C94" w:rsidRPr="00961F39" w:rsidRDefault="00CC7DD8" w:rsidP="006D689A">
            <w:pPr>
              <w:jc w:val="both"/>
              <w:rPr>
                <w:lang w:val="lv-LV"/>
              </w:rPr>
            </w:pPr>
            <w:r>
              <w:rPr>
                <w:lang w:val="lv-LV"/>
              </w:rPr>
              <w:t>Ņemot vērā, ka Direktīva 2011/24</w:t>
            </w:r>
            <w:r w:rsidR="007647EA" w:rsidRPr="00961F39">
              <w:rPr>
                <w:lang w:val="lv-LV"/>
              </w:rPr>
              <w:t xml:space="preserve"> </w:t>
            </w:r>
            <w:r w:rsidR="0075377C">
              <w:rPr>
                <w:lang w:val="lv-LV"/>
              </w:rPr>
              <w:t xml:space="preserve">un </w:t>
            </w:r>
            <w:r w:rsidR="003E19B8">
              <w:rPr>
                <w:lang w:val="lv-LV"/>
              </w:rPr>
              <w:t>Īstenošanas Direktīva 2012/52</w:t>
            </w:r>
            <w:r w:rsidR="0075377C" w:rsidRPr="0075377C">
              <w:rPr>
                <w:lang w:val="lv-LV"/>
              </w:rPr>
              <w:t xml:space="preserve"> </w:t>
            </w:r>
            <w:r w:rsidR="007647EA" w:rsidRPr="00961F39">
              <w:rPr>
                <w:lang w:val="lv-LV"/>
              </w:rPr>
              <w:t xml:space="preserve">paredz </w:t>
            </w:r>
            <w:r w:rsidRPr="00CC7DD8">
              <w:rPr>
                <w:lang w:val="lv-LV"/>
              </w:rPr>
              <w:t>Eiropas Savienības, Eiropas Ekonomikas zonas valstīs un Šveices Konfederācijā izrakstītās receptes</w:t>
            </w:r>
            <w:r>
              <w:rPr>
                <w:lang w:val="lv-LV"/>
              </w:rPr>
              <w:t xml:space="preserve"> atzīšanu un izmantošanu dalībvalstu teritorijā</w:t>
            </w:r>
            <w:r w:rsidR="007647EA" w:rsidRPr="00961F39">
              <w:rPr>
                <w:lang w:val="lv-LV"/>
              </w:rPr>
              <w:t>, kas attieca</w:t>
            </w:r>
            <w:r>
              <w:rPr>
                <w:lang w:val="lv-LV"/>
              </w:rPr>
              <w:t xml:space="preserve">s uz cilvēkiem paredzētām zālēm, </w:t>
            </w:r>
            <w:r w:rsidR="007647EA" w:rsidRPr="00961F39">
              <w:rPr>
                <w:lang w:val="lv-LV"/>
              </w:rPr>
              <w:t xml:space="preserve">ir nepieciešams izstrādāt </w:t>
            </w:r>
            <w:r>
              <w:rPr>
                <w:lang w:val="lv-LV"/>
              </w:rPr>
              <w:t xml:space="preserve">grozījumus </w:t>
            </w:r>
            <w:r w:rsidR="0075377C">
              <w:rPr>
                <w:lang w:val="lv-LV"/>
              </w:rPr>
              <w:t>N</w:t>
            </w:r>
            <w:r>
              <w:rPr>
                <w:lang w:val="lv-LV"/>
              </w:rPr>
              <w:t>oteikumos Nr.416</w:t>
            </w:r>
            <w:r w:rsidR="007647EA" w:rsidRPr="00961F39">
              <w:rPr>
                <w:lang w:val="lv-LV"/>
              </w:rPr>
              <w:t>,</w:t>
            </w:r>
            <w:r w:rsidR="00ED5D5E">
              <w:rPr>
                <w:lang w:val="lv-LV"/>
              </w:rPr>
              <w:t xml:space="preserve"> </w:t>
            </w:r>
            <w:r w:rsidR="007647EA" w:rsidRPr="00961F39">
              <w:rPr>
                <w:lang w:val="lv-LV"/>
              </w:rPr>
              <w:t>kuros tiktu imple</w:t>
            </w:r>
            <w:r w:rsidR="006D689A" w:rsidRPr="00961F39">
              <w:rPr>
                <w:lang w:val="lv-LV"/>
              </w:rPr>
              <w:t xml:space="preserve">mentētas minētās normas, līdz ar to nepieciešams </w:t>
            </w:r>
            <w:r w:rsidR="0075377C">
              <w:rPr>
                <w:lang w:val="lv-LV"/>
              </w:rPr>
              <w:t>papildināt Ministru kabineta N</w:t>
            </w:r>
            <w:r w:rsidR="00ED5D5E">
              <w:rPr>
                <w:lang w:val="lv-LV"/>
              </w:rPr>
              <w:t>oteikumus Nr.416</w:t>
            </w:r>
            <w:r w:rsidR="00E7681B" w:rsidRPr="00961F39">
              <w:rPr>
                <w:lang w:val="lv-LV"/>
              </w:rPr>
              <w:t>.</w:t>
            </w:r>
          </w:p>
          <w:p w:rsidR="00352930" w:rsidRPr="001561FD" w:rsidRDefault="00CD4B79" w:rsidP="00352930">
            <w:pPr>
              <w:pStyle w:val="naisf"/>
              <w:tabs>
                <w:tab w:val="left" w:pos="1134"/>
              </w:tabs>
              <w:spacing w:before="0" w:beforeAutospacing="0" w:after="0" w:afterAutospacing="0"/>
              <w:jc w:val="both"/>
              <w:rPr>
                <w:lang w:val="lv-LV"/>
              </w:rPr>
            </w:pPr>
            <w:r w:rsidRPr="00961F39">
              <w:rPr>
                <w:lang w:val="lv-LV"/>
              </w:rPr>
              <w:t>Noteikumi Nr.</w:t>
            </w:r>
            <w:r w:rsidR="00ED5D5E">
              <w:rPr>
                <w:lang w:val="lv-LV"/>
              </w:rPr>
              <w:t>416</w:t>
            </w:r>
            <w:r w:rsidRPr="00961F39">
              <w:rPr>
                <w:lang w:val="lv-LV"/>
              </w:rPr>
              <w:t xml:space="preserve"> </w:t>
            </w:r>
            <w:r w:rsidR="000B4D58" w:rsidRPr="00961F39">
              <w:rPr>
                <w:lang w:val="lv-LV"/>
              </w:rPr>
              <w:t xml:space="preserve">līdz šim noteica </w:t>
            </w:r>
            <w:r w:rsidR="00ED5D5E">
              <w:rPr>
                <w:lang w:val="lv-LV"/>
              </w:rPr>
              <w:t>zāļu izplatīšanas kārtīb</w:t>
            </w:r>
            <w:r w:rsidR="0075377C">
              <w:rPr>
                <w:lang w:val="lv-LV"/>
              </w:rPr>
              <w:t>u pret recepti, tikai Latvijas R</w:t>
            </w:r>
            <w:r w:rsidR="00ED5D5E">
              <w:rPr>
                <w:lang w:val="lv-LV"/>
              </w:rPr>
              <w:t xml:space="preserve">epublikā izrakstītai receptei un neparedzēja </w:t>
            </w:r>
            <w:r w:rsidR="00ED5D5E" w:rsidRPr="00ED5D5E">
              <w:rPr>
                <w:lang w:val="lv-LV"/>
              </w:rPr>
              <w:t>Eiropas Savienības, Eiropas Ekonomikas zonas valstīs un Šveices Konfederācijā izrakstītās receptes</w:t>
            </w:r>
            <w:r w:rsidR="00ED5D5E">
              <w:rPr>
                <w:lang w:val="lv-LV"/>
              </w:rPr>
              <w:t xml:space="preserve"> atzīšanu un </w:t>
            </w:r>
            <w:proofErr w:type="spellStart"/>
            <w:r w:rsidR="00ED5D5E">
              <w:rPr>
                <w:lang w:val="lv-LV"/>
              </w:rPr>
              <w:t>atprečošanu</w:t>
            </w:r>
            <w:proofErr w:type="spellEnd"/>
            <w:r w:rsidR="00ED5D5E">
              <w:rPr>
                <w:lang w:val="lv-LV"/>
              </w:rPr>
              <w:t xml:space="preserve"> </w:t>
            </w:r>
            <w:r w:rsidR="000B4D58" w:rsidRPr="00961F39">
              <w:rPr>
                <w:lang w:val="lv-LV"/>
              </w:rPr>
              <w:t>kā būs paredzēts Note</w:t>
            </w:r>
            <w:r w:rsidR="00ED5D5E">
              <w:rPr>
                <w:lang w:val="lv-LV"/>
              </w:rPr>
              <w:t>ikumu projektā</w:t>
            </w:r>
            <w:r w:rsidR="005E03E1" w:rsidRPr="00961F39">
              <w:rPr>
                <w:lang w:val="lv-LV"/>
              </w:rPr>
              <w:t>.</w:t>
            </w:r>
            <w:r w:rsidR="005D4ACC" w:rsidRPr="00961F39">
              <w:rPr>
                <w:lang w:val="lv-LV"/>
              </w:rPr>
              <w:t xml:space="preserve"> </w:t>
            </w:r>
            <w:r w:rsidR="007C6F00" w:rsidRPr="00961F39">
              <w:rPr>
                <w:lang w:val="lv-LV"/>
              </w:rPr>
              <w:t xml:space="preserve">Tāpat </w:t>
            </w:r>
            <w:r w:rsidR="00EA5C94" w:rsidRPr="00961F39">
              <w:rPr>
                <w:lang w:val="lv-LV"/>
              </w:rPr>
              <w:t>nepieciešams būtiski precizēt</w:t>
            </w:r>
            <w:r w:rsidR="007C6F00" w:rsidRPr="00961F39">
              <w:rPr>
                <w:lang w:val="lv-LV"/>
              </w:rPr>
              <w:t xml:space="preserve"> </w:t>
            </w:r>
            <w:r w:rsidR="00EA5C94" w:rsidRPr="00961F39">
              <w:rPr>
                <w:lang w:val="lv-LV"/>
              </w:rPr>
              <w:t>un papildināt</w:t>
            </w:r>
            <w:r w:rsidR="000B4D58" w:rsidRPr="00961F39">
              <w:rPr>
                <w:lang w:val="lv-LV"/>
              </w:rPr>
              <w:t xml:space="preserve"> </w:t>
            </w:r>
            <w:r w:rsidR="00352930" w:rsidRPr="00ED5D5E">
              <w:rPr>
                <w:lang w:val="lv-LV"/>
              </w:rPr>
              <w:t>Eiropas Savienības, Eiropas Ekonomikas zonas valstīs un Šveices Konfederācijā izrakstītās receptes</w:t>
            </w:r>
            <w:r w:rsidR="00352930">
              <w:rPr>
                <w:lang w:val="lv-LV"/>
              </w:rPr>
              <w:t xml:space="preserve"> atzīšanas kārtību un farmaceita</w:t>
            </w:r>
            <w:r w:rsidR="00952E87" w:rsidRPr="00961F39">
              <w:rPr>
                <w:lang w:val="lv-LV"/>
              </w:rPr>
              <w:t xml:space="preserve"> </w:t>
            </w:r>
            <w:r w:rsidR="00EA5C94" w:rsidRPr="00961F39">
              <w:rPr>
                <w:lang w:val="lv-LV"/>
              </w:rPr>
              <w:t>pienākumus</w:t>
            </w:r>
            <w:r w:rsidR="000B4D58" w:rsidRPr="00961F39">
              <w:rPr>
                <w:lang w:val="lv-LV"/>
              </w:rPr>
              <w:t>,</w:t>
            </w:r>
            <w:r w:rsidR="00EA5C94" w:rsidRPr="00961F39">
              <w:rPr>
                <w:lang w:val="lv-LV"/>
              </w:rPr>
              <w:t xml:space="preserve"> kas paredz </w:t>
            </w:r>
            <w:r w:rsidR="00352930">
              <w:rPr>
                <w:lang w:val="lv-LV"/>
              </w:rPr>
              <w:t xml:space="preserve">pārbaudes, atpazīšanas, </w:t>
            </w:r>
            <w:r w:rsidR="00352930" w:rsidRPr="001561FD">
              <w:rPr>
                <w:lang w:val="lv-LV"/>
              </w:rPr>
              <w:t>identificēšanas un citas pro</w:t>
            </w:r>
            <w:r w:rsidR="00A066BE" w:rsidRPr="001561FD">
              <w:rPr>
                <w:lang w:val="lv-LV"/>
              </w:rPr>
              <w:t>cedūras pirms zāļu izsniegšanas pacientam.</w:t>
            </w:r>
            <w:r w:rsidR="001561FD" w:rsidRPr="001561FD">
              <w:rPr>
                <w:lang w:val="lv-LV"/>
              </w:rPr>
              <w:t xml:space="preserve"> Recepte pēc zāļu izsniegšanas recepte paliek aptiekā. Aptieka izsniedz receptes kopiju pacienta</w:t>
            </w:r>
            <w:r w:rsidR="00131D6A">
              <w:rPr>
                <w:lang w:val="lv-LV"/>
              </w:rPr>
              <w:t>m</w:t>
            </w:r>
            <w:r w:rsidR="001561FD" w:rsidRPr="001561FD">
              <w:rPr>
                <w:lang w:val="lv-LV"/>
              </w:rPr>
              <w:t xml:space="preserve"> uz pieprasījumu. Receptes oriģināls ir pierādījums receptes autentiskumam. Savukārt saņemot recepti aptiekā, kas izrakstīta kādā no Eiropas Savienības, Eiropas Ekonomikas zonas valstīs un Šveices Konfederācijā, to nav iespējams izkontrolēt pie atkārtotas lietošanas. Turklāt aptieka recepšu zāles ir tiesīga izsniegt tikai pret recepti, jeb veikt </w:t>
            </w:r>
            <w:r w:rsidR="001561FD" w:rsidRPr="001561FD">
              <w:rPr>
                <w:lang w:val="lv-LV"/>
              </w:rPr>
              <w:lastRenderedPageBreak/>
              <w:t>apmaiņas procesu izsniedzot zāles un saņemot pretī pierādījumu tam, ka konkrētais pacients ir tiesīgs iegādāties attiecīgās recepšu zāles, jo pastāv būtisks risks pacienta veselībai, ja pacients vēlētos iegādāties recepšu zāles bez attiecīgās receptes vai arī recepte būtu viltota vai nelikumīgi iegūta, līdz ar to, aptiekai ir jāveic visas nepieciešamās darbības lai aizsargātu pacientu veselību un tas ir samērīgi ar pacientu tiesībām un interesēm. Atbilstošais nosacījums ir samērojams ar Eiropas Parlamenta un Padomes 2011.gada 9.marta Direktīvai Nr.2011/24/ES par pacientu tiesību piemērošanu pārrobežu veselības aprūpē un Eiropas Komisijas 2012.gada 20.decembra īstenošanas Direktīvai Nr.2012/52/ES arī situācijā, ja zāļu recepte ir derīga ilgākam laika periodam, farmaceitam lūdzot iegādāties visas izrakstītās zāles.</w:t>
            </w:r>
          </w:p>
          <w:p w:rsidR="00145830" w:rsidRDefault="007647EA" w:rsidP="00352930">
            <w:pPr>
              <w:pStyle w:val="naisf"/>
              <w:tabs>
                <w:tab w:val="left" w:pos="1134"/>
              </w:tabs>
              <w:spacing w:before="0" w:beforeAutospacing="0" w:after="0" w:afterAutospacing="0"/>
              <w:jc w:val="both"/>
              <w:rPr>
                <w:lang w:val="lv-LV"/>
              </w:rPr>
            </w:pPr>
            <w:r w:rsidRPr="00961F39">
              <w:rPr>
                <w:lang w:val="lv-LV"/>
              </w:rPr>
              <w:t xml:space="preserve">Paredzams, ka izstrādātais Noteikumu projekts </w:t>
            </w:r>
            <w:r w:rsidR="00352930">
              <w:rPr>
                <w:lang w:val="lv-LV"/>
              </w:rPr>
              <w:t>papildinās</w:t>
            </w:r>
            <w:r w:rsidRPr="00961F39">
              <w:rPr>
                <w:lang w:val="lv-LV"/>
              </w:rPr>
              <w:t xml:space="preserve"> </w:t>
            </w:r>
            <w:r w:rsidR="005A1622" w:rsidRPr="00961F39">
              <w:rPr>
                <w:lang w:val="lv-LV"/>
              </w:rPr>
              <w:t>šobrī</w:t>
            </w:r>
            <w:r w:rsidR="00352930">
              <w:rPr>
                <w:lang w:val="lv-LV"/>
              </w:rPr>
              <w:t>d spēkā esošos Noteikumus Nr.416</w:t>
            </w:r>
            <w:r w:rsidR="005A1622" w:rsidRPr="00961F39">
              <w:rPr>
                <w:lang w:val="lv-LV"/>
              </w:rPr>
              <w:t>.</w:t>
            </w:r>
          </w:p>
          <w:p w:rsidR="00420D09" w:rsidRDefault="00420D09" w:rsidP="00352930">
            <w:pPr>
              <w:pStyle w:val="naisf"/>
              <w:tabs>
                <w:tab w:val="left" w:pos="1134"/>
              </w:tabs>
              <w:spacing w:before="0" w:beforeAutospacing="0" w:after="0" w:afterAutospacing="0"/>
              <w:jc w:val="both"/>
              <w:rPr>
                <w:lang w:val="lv-LV"/>
              </w:rPr>
            </w:pPr>
          </w:p>
          <w:p w:rsidR="005C5704" w:rsidRDefault="00420D09" w:rsidP="002921EE">
            <w:pPr>
              <w:jc w:val="both"/>
              <w:rPr>
                <w:lang w:val="lv-LV"/>
              </w:rPr>
            </w:pPr>
            <w:r>
              <w:t>2. </w:t>
            </w:r>
            <w:r w:rsidR="00C97A2B" w:rsidRPr="002921EE">
              <w:rPr>
                <w:lang w:val="lv-LV"/>
              </w:rPr>
              <w:t xml:space="preserve">Eiropas Komisija (EK) </w:t>
            </w:r>
            <w:r w:rsidR="002921EE" w:rsidRPr="002921EE">
              <w:rPr>
                <w:lang w:val="lv-LV"/>
              </w:rPr>
              <w:t xml:space="preserve">2013.gada 7.martā pieņēma </w:t>
            </w:r>
            <w:r w:rsidR="00C97A2B" w:rsidRPr="002921EE">
              <w:rPr>
                <w:lang w:val="lv-LV"/>
              </w:rPr>
              <w:t>zāļu labas izplatīšanas prakses principus un pieņēmusi pamatnostādnes par cilvēkiem paredzētu zāļu labu izplatīšanas praksi (2013/C 68/01)</w:t>
            </w:r>
            <w:r w:rsidR="002921EE" w:rsidRPr="002921EE">
              <w:rPr>
                <w:lang w:val="lv-LV"/>
              </w:rPr>
              <w:t xml:space="preserve"> (turpmāk – EK pamatnostādnes par zāļu labu izplatīšanas praksi (2013/C 68/01)</w:t>
            </w:r>
            <w:r w:rsidR="00C97A2B" w:rsidRPr="002921EE">
              <w:rPr>
                <w:lang w:val="lv-LV"/>
              </w:rPr>
              <w:t>, kas aizstāj iepriekšējās EK pamatnostādnes (94/C 63/03). EK p</w:t>
            </w:r>
            <w:r w:rsidR="00C97A2B" w:rsidRPr="002921EE">
              <w:rPr>
                <w:rStyle w:val="hps"/>
                <w:lang w:val="lv-LV"/>
              </w:rPr>
              <w:t>amatnostādnes par zāļu labu izplatīšanas praksi stājās spēkā 2013.gada 8.septembrī.</w:t>
            </w:r>
            <w:r w:rsidR="00C97A2B" w:rsidRPr="002921EE">
              <w:rPr>
                <w:lang w:val="lv-LV"/>
              </w:rPr>
              <w:t xml:space="preserve"> Šo pamatnostādņu publisko apspriešanu EK organizēja no 2011.gada 15.jūlija līdz 2011.gada 31.decembrim par ko informācija pieejama Eiropas Komisijas tīmekļa vietnē: </w:t>
            </w:r>
            <w:hyperlink r:id="rId8" w:history="1">
              <w:r w:rsidR="00C97A2B" w:rsidRPr="002921EE">
                <w:rPr>
                  <w:rStyle w:val="Hyperlink"/>
                  <w:color w:val="auto"/>
                  <w:u w:val="none"/>
                  <w:lang w:val="lv-LV"/>
                </w:rPr>
                <w:t>http://ec.europa.eu/health/human-use/good_distribution_practice/index_en.htm</w:t>
              </w:r>
            </w:hyperlink>
            <w:r w:rsidR="00C97A2B" w:rsidRPr="002921EE">
              <w:rPr>
                <w:lang w:val="lv-LV"/>
              </w:rPr>
              <w:t xml:space="preserve">. </w:t>
            </w:r>
          </w:p>
          <w:p w:rsidR="005C5704" w:rsidRPr="005C5704" w:rsidRDefault="00ED01DA" w:rsidP="002921EE">
            <w:pPr>
              <w:jc w:val="both"/>
              <w:rPr>
                <w:lang w:val="lv-LV"/>
              </w:rPr>
            </w:pPr>
            <w:r w:rsidRPr="005C5704">
              <w:rPr>
                <w:lang w:val="lv-LV"/>
              </w:rPr>
              <w:t>Eiropa</w:t>
            </w:r>
            <w:r w:rsidR="002921EE" w:rsidRPr="005C5704">
              <w:rPr>
                <w:lang w:val="lv-LV"/>
              </w:rPr>
              <w:t>s</w:t>
            </w:r>
            <w:r w:rsidRPr="005C5704">
              <w:rPr>
                <w:lang w:val="lv-LV"/>
              </w:rPr>
              <w:t xml:space="preserve"> Komisijas </w:t>
            </w:r>
            <w:r w:rsidR="005C5704" w:rsidRPr="005C5704">
              <w:rPr>
                <w:lang w:val="lv-LV"/>
              </w:rPr>
              <w:t xml:space="preserve">Jaunajās EK pamatnostādnēs ietvertie nosacījumi palīdz zāļu vairumtirgotājiem darba pienākumu izpildē, kā arī un vērti uz to, lai novērstu viltotu zāļu nokļūšanu legālās piegādes ķēdē un tiks nodrošināta stingrāka kontrole pār zāļu izplatīšanas ķēdi, tādējādi uzturot zāļu kvalitātes līmenis un drošums. </w:t>
            </w:r>
          </w:p>
          <w:p w:rsidR="005C5704" w:rsidRDefault="005C5704" w:rsidP="002921EE">
            <w:pPr>
              <w:jc w:val="both"/>
            </w:pPr>
          </w:p>
          <w:p w:rsidR="002921EE" w:rsidRPr="005C5704" w:rsidRDefault="00ED01DA" w:rsidP="005C5704">
            <w:pPr>
              <w:jc w:val="both"/>
              <w:rPr>
                <w:lang w:val="lv-LV"/>
              </w:rPr>
            </w:pPr>
            <w:r w:rsidRPr="005C5704">
              <w:rPr>
                <w:lang w:val="lv-LV"/>
              </w:rPr>
              <w:t xml:space="preserve">Farmaceitiskās komitejas 2013.gada 23.oktobra sanāksmē dalībvalstis </w:t>
            </w:r>
            <w:r w:rsidR="002921EE" w:rsidRPr="005C5704">
              <w:rPr>
                <w:lang w:val="lv-LV"/>
              </w:rPr>
              <w:t>tika iepazīstinātas</w:t>
            </w:r>
            <w:r w:rsidRPr="005C5704">
              <w:rPr>
                <w:lang w:val="lv-LV"/>
              </w:rPr>
              <w:t xml:space="preserve"> ar grozījumiem </w:t>
            </w:r>
            <w:r w:rsidR="002921EE" w:rsidRPr="005C5704">
              <w:rPr>
                <w:lang w:val="lv-LV"/>
              </w:rPr>
              <w:t xml:space="preserve">EK pamatnostādnēs par zāļu labu izplatīšanas praksi (2013/C 68/01), </w:t>
            </w:r>
            <w:r w:rsidR="002921EE" w:rsidRPr="005C5704">
              <w:rPr>
                <w:rStyle w:val="hps"/>
                <w:lang w:val="lv-LV"/>
              </w:rPr>
              <w:t xml:space="preserve">un </w:t>
            </w:r>
            <w:r w:rsidR="002921EE" w:rsidRPr="005C5704">
              <w:rPr>
                <w:rStyle w:val="hps"/>
                <w:b/>
                <w:lang w:val="lv-LV"/>
              </w:rPr>
              <w:t>Eiropas Komisija tos ir pieņēmusi 2013.gada 5.novembrī (2013/C 343/01),</w:t>
            </w:r>
            <w:r w:rsidR="002921EE" w:rsidRPr="005C5704">
              <w:rPr>
                <w:rStyle w:val="hps"/>
                <w:lang w:val="lv-LV"/>
              </w:rPr>
              <w:t xml:space="preserve"> aizstājot </w:t>
            </w:r>
            <w:r w:rsidR="002921EE" w:rsidRPr="005C5704">
              <w:rPr>
                <w:lang w:val="lv-LV"/>
              </w:rPr>
              <w:t>EK pamatnostādnes par zāļu labu izplatīšanas praksi (2013/C 68/01). Līdz ar grozījumiem veikti preci</w:t>
            </w:r>
            <w:r w:rsidR="005C5704" w:rsidRPr="005C5704">
              <w:rPr>
                <w:lang w:val="lv-LV"/>
              </w:rPr>
              <w:t>zējumi pamatnostādņu 5.5 un 6.3</w:t>
            </w:r>
            <w:r w:rsidR="002921EE" w:rsidRPr="005C5704">
              <w:rPr>
                <w:lang w:val="lv-LV"/>
              </w:rPr>
              <w:t xml:space="preserve">apakšnodaļā. </w:t>
            </w:r>
            <w:r w:rsidR="005C5704" w:rsidRPr="005C5704">
              <w:rPr>
                <w:lang w:val="lv-LV"/>
              </w:rPr>
              <w:t>Grozījumi paredz, ka ”</w:t>
            </w:r>
            <w:r w:rsidR="002921EE" w:rsidRPr="005C5704">
              <w:rPr>
                <w:lang w:val="lv-LV"/>
              </w:rPr>
              <w:t xml:space="preserve">zāles, kurām </w:t>
            </w:r>
            <w:r w:rsidR="002921EE" w:rsidRPr="005C5704">
              <w:rPr>
                <w:bCs/>
                <w:lang w:val="lv-LV"/>
              </w:rPr>
              <w:t>drīz beigsies derīguma termiņš / glabāšanas laiks</w:t>
            </w:r>
            <w:r w:rsidR="002921EE" w:rsidRPr="005C5704">
              <w:rPr>
                <w:lang w:val="lv-LV"/>
              </w:rPr>
              <w:t>, nekavējoties jāizņem no pārdošanai paredzēto zāļu krājuma fiziski vai ar citu līdzvērtīgu elektroniskās nošķiršanas paņēmienu”. Pirms tam bija iekļautas arī zāles, kurām jau beidzies derīguma termiņš. Sav</w:t>
            </w:r>
            <w:r w:rsidR="005C5704" w:rsidRPr="005C5704">
              <w:rPr>
                <w:lang w:val="lv-LV"/>
              </w:rPr>
              <w:t>ukārt izmaiņas 6.3.apakšnodaļā</w:t>
            </w:r>
            <w:r w:rsidR="002921EE" w:rsidRPr="005C5704">
              <w:rPr>
                <w:lang w:val="lv-LV"/>
              </w:rPr>
              <w:t xml:space="preserve"> bija nepieciešamas, lai novērstu </w:t>
            </w:r>
            <w:r w:rsidR="005C5704" w:rsidRPr="005C5704">
              <w:rPr>
                <w:lang w:val="lv-LV"/>
              </w:rPr>
              <w:t>nepareizu interpretāciju</w:t>
            </w:r>
            <w:r w:rsidR="002921EE" w:rsidRPr="005C5704">
              <w:rPr>
                <w:lang w:val="lv-LV"/>
              </w:rPr>
              <w:t>. Spēkā es</w:t>
            </w:r>
            <w:r w:rsidR="005C5704" w:rsidRPr="005C5704">
              <w:rPr>
                <w:lang w:val="lv-LV"/>
              </w:rPr>
              <w:t>ošajā redakcijā svītrots vārds ”vienmēr” un precizēts, ka ”</w:t>
            </w:r>
            <w:r w:rsidR="002921EE" w:rsidRPr="005C5704">
              <w:rPr>
                <w:lang w:val="lv-LV"/>
              </w:rPr>
              <w:t xml:space="preserve">zāles, kas saņemtas atpakaļ no klienta (.....) vai no aptiekām, kurām ir atļauts izplatīt zāles iedzīvotājiem, </w:t>
            </w:r>
            <w:r w:rsidR="002921EE" w:rsidRPr="005C5704">
              <w:rPr>
                <w:bCs/>
                <w:lang w:val="lv-LV"/>
              </w:rPr>
              <w:t>jāievieto</w:t>
            </w:r>
            <w:r w:rsidR="002921EE" w:rsidRPr="005C5704">
              <w:rPr>
                <w:lang w:val="lv-LV"/>
              </w:rPr>
              <w:t xml:space="preserve"> atpakaļ pārdošanai paredzēto zāļu krājumā </w:t>
            </w:r>
            <w:r w:rsidR="002921EE" w:rsidRPr="005C5704">
              <w:rPr>
                <w:bCs/>
                <w:lang w:val="lv-LV"/>
              </w:rPr>
              <w:t>tikai tad</w:t>
            </w:r>
            <w:r w:rsidR="002921EE" w:rsidRPr="005C5704">
              <w:rPr>
                <w:lang w:val="lv-LV"/>
              </w:rPr>
              <w:t>, ja tās atdotas atpakaļ pieņemamā laika</w:t>
            </w:r>
            <w:r w:rsidR="005C5704">
              <w:rPr>
                <w:lang w:val="lv-LV"/>
              </w:rPr>
              <w:t xml:space="preserve"> </w:t>
            </w:r>
            <w:r w:rsidR="002921EE" w:rsidRPr="005C5704">
              <w:rPr>
                <w:lang w:val="lv-LV"/>
              </w:rPr>
              <w:t>posmā, piemēram, desmit dienu laikā.”</w:t>
            </w:r>
          </w:p>
          <w:p w:rsidR="002921EE" w:rsidRPr="005C5704" w:rsidRDefault="002921EE" w:rsidP="002921EE">
            <w:pPr>
              <w:pStyle w:val="Default"/>
              <w:jc w:val="both"/>
              <w:rPr>
                <w:color w:val="auto"/>
              </w:rPr>
            </w:pPr>
            <w:r w:rsidRPr="005C5704">
              <w:t xml:space="preserve"> </w:t>
            </w:r>
          </w:p>
          <w:p w:rsidR="00C97A2B" w:rsidRPr="005C5704" w:rsidRDefault="002921EE" w:rsidP="00C97A2B">
            <w:pPr>
              <w:pStyle w:val="Default"/>
              <w:jc w:val="both"/>
              <w:rPr>
                <w:color w:val="auto"/>
              </w:rPr>
            </w:pPr>
            <w:r w:rsidRPr="005C5704">
              <w:rPr>
                <w:color w:val="auto"/>
              </w:rPr>
              <w:lastRenderedPageBreak/>
              <w:t xml:space="preserve">Tā kā jaunās EK </w:t>
            </w:r>
            <w:r w:rsidR="00B63073" w:rsidRPr="00B63073">
              <w:rPr>
                <w:b/>
                <w:color w:val="auto"/>
              </w:rPr>
              <w:t>2013.gada 5.novembra</w:t>
            </w:r>
            <w:r w:rsidR="00B63073">
              <w:rPr>
                <w:color w:val="auto"/>
              </w:rPr>
              <w:t xml:space="preserve"> </w:t>
            </w:r>
            <w:r w:rsidRPr="005C5704">
              <w:rPr>
                <w:color w:val="auto"/>
              </w:rPr>
              <w:t>pamatnostādnes par zāļu labu izplatīšanas praksi (</w:t>
            </w:r>
            <w:r w:rsidR="000009E2" w:rsidRPr="005C5704">
              <w:rPr>
                <w:rStyle w:val="hps"/>
                <w:b/>
              </w:rPr>
              <w:t>2013/C 343/01</w:t>
            </w:r>
            <w:r w:rsidRPr="005C5704">
              <w:rPr>
                <w:color w:val="auto"/>
              </w:rPr>
              <w:t xml:space="preserve">) ir  apjomīga satura dokuments un to iekļaušana MK noteikumos Nr.416  var radīt situāciju, kad normatīvais akts nav uztverams un pārskatāms, kā arī </w:t>
            </w:r>
            <w:r w:rsidR="005C5704" w:rsidRPr="005C5704">
              <w:rPr>
                <w:iCs/>
                <w:szCs w:val="26"/>
              </w:rPr>
              <w:t>to</w:t>
            </w:r>
            <w:r w:rsidRPr="005C5704">
              <w:rPr>
                <w:iCs/>
                <w:szCs w:val="26"/>
              </w:rPr>
              <w:t xml:space="preserve"> biežās grozīšanas dēļ </w:t>
            </w:r>
            <w:r w:rsidRPr="005C5704">
              <w:rPr>
                <w:color w:val="auto"/>
              </w:rPr>
              <w:t>Zāļu valsts aģentūra var savā tīmekļa vietnē publiskot šo pamatnostādņu EK tulkojumu latviešu valodā vai arī norādīt saiti uz EK tīmekļa vietni, kur ir pieejama aktuālā redakcija latviešu valodā. EK p</w:t>
            </w:r>
            <w:r w:rsidRPr="005C5704">
              <w:rPr>
                <w:rStyle w:val="hps"/>
                <w:color w:val="auto"/>
              </w:rPr>
              <w:t xml:space="preserve">amatnostādņu par zāļu labu izplatīšanas praksi aktuālā redakcija ir pieejamas latviešu valodā EK tīmekļa vietnē: </w:t>
            </w:r>
            <w:hyperlink r:id="rId9" w:history="1">
              <w:r w:rsidRPr="005C5704">
                <w:rPr>
                  <w:rStyle w:val="Hyperlink"/>
                  <w:color w:val="auto"/>
                </w:rPr>
                <w:t>http://eur-lex.europa.eu/LexUriServ/LexUriServ.do?uri=OJ:C:2013:343:0001:0014:LV:PDF</w:t>
              </w:r>
            </w:hyperlink>
          </w:p>
          <w:p w:rsidR="008B3619" w:rsidRPr="005C5704" w:rsidRDefault="008B3619" w:rsidP="00C97A2B">
            <w:pPr>
              <w:pStyle w:val="tv213"/>
              <w:spacing w:before="0" w:beforeAutospacing="0" w:after="0" w:afterAutospacing="0" w:line="285" w:lineRule="atLeast"/>
              <w:jc w:val="both"/>
              <w:rPr>
                <w:rFonts w:ascii="EUAlbertina" w:hAnsi="EUAlbertina" w:cs="EUAlbertina"/>
              </w:rPr>
            </w:pPr>
          </w:p>
          <w:p w:rsidR="003267DE" w:rsidRPr="003267DE" w:rsidRDefault="008B3619" w:rsidP="003267DE">
            <w:pPr>
              <w:pStyle w:val="tv213"/>
              <w:spacing w:before="0" w:beforeAutospacing="0" w:after="0" w:afterAutospacing="0" w:line="285" w:lineRule="atLeast"/>
              <w:jc w:val="both"/>
              <w:rPr>
                <w:shd w:val="clear" w:color="auto" w:fill="F1F1F1"/>
              </w:rPr>
            </w:pPr>
            <w:r>
              <w:rPr>
                <w:rFonts w:ascii="EUAlbertina" w:hAnsi="EUAlbertina" w:cs="EUAlbertina"/>
              </w:rPr>
              <w:t>Pašreiz z</w:t>
            </w:r>
            <w:r w:rsidR="00C97A2B">
              <w:rPr>
                <w:rFonts w:ascii="EUAlbertina" w:hAnsi="EUAlbertina" w:cs="EUAlbertina"/>
              </w:rPr>
              <w:t>āļu vairumtirdzniecības definīcija atbilstoši Direktīvas 2001/83 1.panta 17.punktam</w:t>
            </w:r>
            <w:r w:rsidR="00C97A2B" w:rsidRPr="00522A55">
              <w:rPr>
                <w:rFonts w:ascii="EUAlbertina" w:hAnsi="EUAlbertina" w:cs="EUAlbertina"/>
              </w:rPr>
              <w:t xml:space="preserve"> </w:t>
            </w:r>
            <w:r w:rsidR="00C97A2B">
              <w:rPr>
                <w:rFonts w:ascii="EUAlbertina" w:hAnsi="EUAlbertina" w:cs="EUAlbertina"/>
              </w:rPr>
              <w:t xml:space="preserve">ir ietverta MK noteikumu </w:t>
            </w:r>
            <w:r w:rsidR="00C97A2B" w:rsidRPr="006D1BD3">
              <w:t>Nr.416</w:t>
            </w:r>
            <w:r w:rsidR="00C97A2B">
              <w:t xml:space="preserve"> 5.6.apakšpunktā, un tā ir atļauta Latvijā, ja ir saņemta attiecīgā Zāļu valsts aģentūras izdotā speciālā atļauja (licence), kas dod tiesīb</w:t>
            </w:r>
            <w:r w:rsidR="009A1AB5">
              <w:t xml:space="preserve">as veikt vairumtirdzniecību. </w:t>
            </w:r>
            <w:r w:rsidR="00C97A2B">
              <w:t>Tas izriet no Farmācijas likuma 10.panta 12.punkta, 25.panta (atkāpes no šīs normas nosaka Farmācijas likuma 25.</w:t>
            </w:r>
            <w:r w:rsidR="00C97A2B">
              <w:rPr>
                <w:vertAlign w:val="superscript"/>
              </w:rPr>
              <w:t>1</w:t>
            </w:r>
            <w:r w:rsidR="00C97A2B">
              <w:t>pants), 45. un 54.panta normas, kā arī no MK noteikumu Nr.416 11.punkta normas.</w:t>
            </w:r>
            <w:r w:rsidR="00C97A2B" w:rsidRPr="006D1BD3">
              <w:t xml:space="preserve"> </w:t>
            </w:r>
            <w:r>
              <w:t>Savukārt z</w:t>
            </w:r>
            <w:r w:rsidR="00C97A2B" w:rsidRPr="00D87E9C">
              <w:t xml:space="preserve">āļu vairumtirgotājiem </w:t>
            </w:r>
            <w:r>
              <w:t xml:space="preserve">ir </w:t>
            </w:r>
            <w:r w:rsidR="00C97A2B" w:rsidRPr="00D87E9C">
              <w:t>jāievēro labas zāļu</w:t>
            </w:r>
            <w:r>
              <w:t xml:space="preserve"> izplatīšanas prakse</w:t>
            </w:r>
            <w:r w:rsidR="00C97A2B" w:rsidRPr="00D87E9C">
              <w:t xml:space="preserve"> </w:t>
            </w:r>
            <w:r w:rsidR="00C97A2B" w:rsidRPr="00D87E9C">
              <w:rPr>
                <w:shd w:val="clear" w:color="auto" w:fill="F1F1F1"/>
              </w:rPr>
              <w:t>saskaņā ar Eiropas Komisijas publicētajiem norādījumiem un saskaņā ar Eiropas Savienības tiesību aktiem</w:t>
            </w:r>
            <w:r w:rsidR="009A1AB5">
              <w:rPr>
                <w:shd w:val="clear" w:color="auto" w:fill="F1F1F1"/>
              </w:rPr>
              <w:t> </w:t>
            </w:r>
            <w:r>
              <w:t>-</w:t>
            </w:r>
            <w:r w:rsidR="009A1AB5">
              <w:t> </w:t>
            </w:r>
            <w:r w:rsidRPr="00522A55">
              <w:t>Eiropas Parl</w:t>
            </w:r>
            <w:r w:rsidR="00724E80">
              <w:t>amenta un Padomes 2001.gada 6.</w:t>
            </w:r>
            <w:r w:rsidRPr="00522A55">
              <w:t xml:space="preserve">novembra Direktīvas 2001/83/EK par Kopienas kodeksu, kas attiecas uz cilvēkiem paredzētām zālēm </w:t>
            </w:r>
            <w:r>
              <w:t>(turpmāka - </w:t>
            </w:r>
            <w:r>
              <w:rPr>
                <w:rFonts w:ascii="EUAlbertina" w:hAnsi="EUAlbertina" w:cs="EUAlbertina"/>
              </w:rPr>
              <w:t>Direktīvas 2001/83)</w:t>
            </w:r>
            <w:r w:rsidRPr="00522A55">
              <w:rPr>
                <w:rFonts w:ascii="EUAlbertina" w:hAnsi="EUAlbertina" w:cs="EUAlbertina"/>
              </w:rPr>
              <w:t xml:space="preserve"> </w:t>
            </w:r>
            <w:r>
              <w:t>84. pantu un 85.b panta 3.punktu</w:t>
            </w:r>
            <w:r w:rsidRPr="00522A55">
              <w:t>.</w:t>
            </w:r>
            <w:r>
              <w:t xml:space="preserve"> Latvijas tiesību aktos to </w:t>
            </w:r>
            <w:r w:rsidR="00C97A2B" w:rsidRPr="00D87E9C">
              <w:t xml:space="preserve">nosaka Farmācijas likuma 22.panta </w:t>
            </w:r>
            <w:r>
              <w:rPr>
                <w:shd w:val="clear" w:color="auto" w:fill="F1F1F1"/>
              </w:rPr>
              <w:t>(3</w:t>
            </w:r>
            <w:r w:rsidR="00C97A2B" w:rsidRPr="00D87E9C">
              <w:rPr>
                <w:shd w:val="clear" w:color="auto" w:fill="F1F1F1"/>
              </w:rPr>
              <w:t>)</w:t>
            </w:r>
            <w:r>
              <w:rPr>
                <w:shd w:val="clear" w:color="auto" w:fill="F1F1F1"/>
              </w:rPr>
              <w:t xml:space="preserve"> </w:t>
            </w:r>
            <w:r w:rsidR="00C97A2B" w:rsidRPr="00D87E9C">
              <w:rPr>
                <w:shd w:val="clear" w:color="auto" w:fill="F1F1F1"/>
              </w:rPr>
              <w:t xml:space="preserve">daļas norma, atbilstoši </w:t>
            </w:r>
            <w:r w:rsidR="00EA2E08">
              <w:t>Direktīvas 2001/83/EK 80.</w:t>
            </w:r>
            <w:r w:rsidR="00C97A2B" w:rsidRPr="003267DE">
              <w:t xml:space="preserve">panta g) punkta normai. </w:t>
            </w:r>
            <w:r w:rsidR="003267DE" w:rsidRPr="003267DE">
              <w:t xml:space="preserve">Pašreiz </w:t>
            </w:r>
            <w:r w:rsidR="00C97A2B" w:rsidRPr="003267DE">
              <w:t xml:space="preserve">zāļu labas izplatīšanas prakses prasības ir ietvertas MK noteikumu </w:t>
            </w:r>
            <w:r w:rsidR="00AB53A3">
              <w:t>Nr.416 III.</w:t>
            </w:r>
            <w:r w:rsidR="00E62B36">
              <w:t> </w:t>
            </w:r>
            <w:r w:rsidR="00C97A2B" w:rsidRPr="003267DE">
              <w:t>nodaļā saskaņā iepriekšējām EK pamatnostādnēm par labu izplatīšanas praksi (94/C 63/03), tāpēc MK noteikum</w:t>
            </w:r>
            <w:r w:rsidRPr="003267DE">
              <w:t>i</w:t>
            </w:r>
            <w:r w:rsidR="00C97A2B" w:rsidRPr="003267DE">
              <w:t xml:space="preserve"> Nr.416 </w:t>
            </w:r>
            <w:r w:rsidR="003267DE" w:rsidRPr="003267DE">
              <w:t>ir jāprecizē, ņ</w:t>
            </w:r>
            <w:r w:rsidR="00EA2E08">
              <w:t xml:space="preserve">emot vērā arī to, ka atsevišķu </w:t>
            </w:r>
            <w:r w:rsidR="003267DE" w:rsidRPr="003267DE">
              <w:rPr>
                <w:shd w:val="clear" w:color="auto" w:fill="F1F1F1"/>
              </w:rPr>
              <w:t xml:space="preserve">zāļu labas izplatīšanas prakses normu ievērošana ir noteikta arī aptiekām, tai skaitā saistībā ar zāļu uzglabāšanu, kā arī izplatīšanu </w:t>
            </w:r>
            <w:r w:rsidR="003267DE" w:rsidRPr="003267DE">
              <w:t>ārstniecības iestādēm, sociālās aprūpes institūcijām, praktizējošiem veterinārārstiem un veterinārmedicīniskās aprūpes iestādēm</w:t>
            </w:r>
            <w:r w:rsidR="003267DE">
              <w:t>.</w:t>
            </w:r>
          </w:p>
          <w:p w:rsidR="003267DE" w:rsidRPr="003267DE" w:rsidRDefault="003267DE" w:rsidP="00C97A2B">
            <w:pPr>
              <w:pStyle w:val="tv213"/>
              <w:spacing w:before="0" w:beforeAutospacing="0" w:after="0" w:afterAutospacing="0" w:line="285" w:lineRule="atLeast"/>
              <w:jc w:val="both"/>
            </w:pPr>
          </w:p>
          <w:p w:rsidR="003267DE" w:rsidRDefault="00C97A2B" w:rsidP="00C97A2B">
            <w:pPr>
              <w:pStyle w:val="tv213"/>
              <w:spacing w:before="0" w:beforeAutospacing="0" w:after="0" w:afterAutospacing="0" w:line="285" w:lineRule="atLeast"/>
              <w:jc w:val="both"/>
            </w:pPr>
            <w:r w:rsidRPr="00522A55">
              <w:t xml:space="preserve">Tā kā Eiropas Komisijas </w:t>
            </w:r>
            <w:r w:rsidR="00CB15D5" w:rsidRPr="00CB15D5">
              <w:rPr>
                <w:b/>
              </w:rPr>
              <w:t>2013.gada 5.novembra</w:t>
            </w:r>
            <w:r w:rsidR="00CB15D5">
              <w:t xml:space="preserve"> </w:t>
            </w:r>
            <w:r>
              <w:t>pamatnostādnēs</w:t>
            </w:r>
            <w:r w:rsidRPr="00522A55">
              <w:t xml:space="preserve"> par cilvēkiem paredzētu zāļu </w:t>
            </w:r>
            <w:r w:rsidRPr="0004793A">
              <w:t>labu izplatīšanas praksi (</w:t>
            </w:r>
            <w:r w:rsidR="00077F30" w:rsidRPr="005C5704">
              <w:rPr>
                <w:rStyle w:val="hps"/>
                <w:b/>
              </w:rPr>
              <w:t>2013/C 343/01</w:t>
            </w:r>
            <w:r w:rsidRPr="0004793A">
              <w:t>)</w:t>
            </w:r>
            <w:r>
              <w:t xml:space="preserve"> </w:t>
            </w:r>
            <w:r w:rsidR="008B3619">
              <w:t xml:space="preserve">ir skaidrots </w:t>
            </w:r>
            <w:r>
              <w:t>termins</w:t>
            </w:r>
            <w:r w:rsidRPr="00522A55">
              <w:t xml:space="preserve"> ”eksports”</w:t>
            </w:r>
            <w:r>
              <w:t xml:space="preserve">, kā zāļu izvešana uz trešajām </w:t>
            </w:r>
            <w:r w:rsidRPr="00522A55">
              <w:t xml:space="preserve">valstīm, bet MK noteikumu </w:t>
            </w:r>
            <w:r>
              <w:t xml:space="preserve">Nr.416 </w:t>
            </w:r>
            <w:r w:rsidRPr="00522A55">
              <w:t xml:space="preserve">130.1.1.apakšpunktā un 19. un 123.punktā </w:t>
            </w:r>
            <w:r>
              <w:t>šis</w:t>
            </w:r>
            <w:r w:rsidRPr="00522A55">
              <w:t xml:space="preserve"> termins lī</w:t>
            </w:r>
            <w:r>
              <w:t xml:space="preserve">dz šim tika attiecināts arī uz </w:t>
            </w:r>
            <w:r w:rsidRPr="00522A55">
              <w:t xml:space="preserve">zāļu piegādi uz Eiropas Savienības valstīm, </w:t>
            </w:r>
            <w:r>
              <w:t xml:space="preserve">tad </w:t>
            </w:r>
            <w:r w:rsidRPr="00522A55">
              <w:t xml:space="preserve">MK </w:t>
            </w:r>
            <w:r>
              <w:t xml:space="preserve">noteikumi </w:t>
            </w:r>
            <w:r w:rsidR="003267DE">
              <w:t>Nr.416 ir jāprecizē.</w:t>
            </w:r>
          </w:p>
          <w:p w:rsidR="003267DE" w:rsidRDefault="003267DE" w:rsidP="00C97A2B">
            <w:pPr>
              <w:pStyle w:val="tv213"/>
              <w:spacing w:before="0" w:beforeAutospacing="0" w:after="0" w:afterAutospacing="0" w:line="285" w:lineRule="atLeast"/>
              <w:jc w:val="both"/>
            </w:pPr>
          </w:p>
          <w:p w:rsidR="00C97A2B" w:rsidRPr="00214B00" w:rsidRDefault="00C97A2B" w:rsidP="00C97A2B">
            <w:pPr>
              <w:pStyle w:val="tv213"/>
              <w:spacing w:before="0" w:beforeAutospacing="0" w:after="0" w:afterAutospacing="0" w:line="285" w:lineRule="atLeast"/>
              <w:jc w:val="both"/>
              <w:rPr>
                <w:rFonts w:ascii="Arial" w:hAnsi="Arial" w:cs="Arial"/>
                <w:i/>
                <w:iCs/>
                <w:color w:val="414142"/>
                <w:sz w:val="20"/>
                <w:szCs w:val="20"/>
              </w:rPr>
            </w:pPr>
            <w:r w:rsidRPr="00522A55">
              <w:t xml:space="preserve">Tā kā Eiropas Komisijas </w:t>
            </w:r>
            <w:r w:rsidR="00CB15D5" w:rsidRPr="00CB15D5">
              <w:rPr>
                <w:b/>
              </w:rPr>
              <w:t>2013.gada 5.novembra</w:t>
            </w:r>
            <w:r w:rsidR="00CB15D5">
              <w:t xml:space="preserve"> </w:t>
            </w:r>
            <w:r>
              <w:t>pamatnostādnēs</w:t>
            </w:r>
            <w:r w:rsidRPr="00522A55">
              <w:t xml:space="preserve"> par cilvēkiem paredzētu zāļu </w:t>
            </w:r>
            <w:r w:rsidRPr="0004793A">
              <w:t>labu izplatīšanas praksi (</w:t>
            </w:r>
            <w:r w:rsidR="00077F30" w:rsidRPr="005C5704">
              <w:rPr>
                <w:rStyle w:val="hps"/>
                <w:b/>
              </w:rPr>
              <w:t>2013/C 343/01</w:t>
            </w:r>
            <w:r w:rsidRPr="0004793A">
              <w:t>)</w:t>
            </w:r>
            <w:r>
              <w:t xml:space="preserve"> </w:t>
            </w:r>
            <w:r w:rsidRPr="00522A55">
              <w:t xml:space="preserve">paredz </w:t>
            </w:r>
            <w:r>
              <w:t xml:space="preserve">arī </w:t>
            </w:r>
            <w:r w:rsidR="003267DE">
              <w:t xml:space="preserve">zāļu izplatītāju un </w:t>
            </w:r>
            <w:r w:rsidRPr="00522A55">
              <w:t>pircēju kvalificēšanu, lai pārliecinātos, vai viņi ir tiesīgi izplatīt un saņemt zāles</w:t>
            </w:r>
            <w:r>
              <w:t>,</w:t>
            </w:r>
            <w:r w:rsidRPr="00522A55">
              <w:t xml:space="preserve"> MK noteikumos Nr.416 </w:t>
            </w:r>
            <w:r>
              <w:t xml:space="preserve">normas </w:t>
            </w:r>
            <w:r w:rsidRPr="00522A55">
              <w:t xml:space="preserve">būtu </w:t>
            </w:r>
            <w:r w:rsidR="003267DE">
              <w:t>jāprecizē</w:t>
            </w:r>
            <w:r w:rsidR="00BD5D1F">
              <w:t>,</w:t>
            </w:r>
            <w:r w:rsidR="003267DE">
              <w:t xml:space="preserve"> un lai </w:t>
            </w:r>
            <w:r>
              <w:lastRenderedPageBreak/>
              <w:t>nodrošinā</w:t>
            </w:r>
            <w:r w:rsidR="003267DE">
              <w:t>tu šo normu īstenošanas iespēju</w:t>
            </w:r>
            <w:r>
              <w:t xml:space="preserve">, attiecīgi </w:t>
            </w:r>
            <w:r w:rsidR="003267DE">
              <w:t xml:space="preserve">jāparedz norma, kas nosaka </w:t>
            </w:r>
            <w:r w:rsidRPr="00522A55">
              <w:t xml:space="preserve">Zāļu valsts aģentūras izdoto licenču un </w:t>
            </w:r>
            <w:r w:rsidRPr="00522A55">
              <w:rPr>
                <w:shd w:val="clear" w:color="auto" w:fill="F1F1F1"/>
              </w:rPr>
              <w:t>Farmācijas likuma 4</w:t>
            </w:r>
            <w:r w:rsidR="00E46F49">
              <w:rPr>
                <w:shd w:val="clear" w:color="auto" w:fill="F1F1F1"/>
              </w:rPr>
              <w:t>8</w:t>
            </w:r>
            <w:r w:rsidRPr="00522A55">
              <w:rPr>
                <w:shd w:val="clear" w:color="auto" w:fill="F1F1F1"/>
              </w:rPr>
              <w:t>.</w:t>
            </w:r>
            <w:r w:rsidRPr="00ED5CB6">
              <w:rPr>
                <w:shd w:val="clear" w:color="auto" w:fill="F1F1F1"/>
              </w:rPr>
              <w:t xml:space="preserve">panta pirmo daļā minēto </w:t>
            </w:r>
            <w:r w:rsidRPr="00ED5CB6">
              <w:t xml:space="preserve">atļauju publiskošanu Zāļu valsts aģentūras tīmekļa vietnē. </w:t>
            </w:r>
            <w:r w:rsidR="003267DE">
              <w:t xml:space="preserve">Praksē </w:t>
            </w:r>
            <w:r w:rsidRPr="00ED5CB6">
              <w:t xml:space="preserve">Zāļu valsts aģentūra jau </w:t>
            </w:r>
            <w:r w:rsidR="003267DE">
              <w:t xml:space="preserve">pašreiz </w:t>
            </w:r>
            <w:r w:rsidR="009A1AB5">
              <w:t xml:space="preserve">publisko savā tīmekļa </w:t>
            </w:r>
            <w:r w:rsidRPr="00ED5CB6">
              <w:t xml:space="preserve">vietnē </w:t>
            </w:r>
            <w:r w:rsidRPr="003267DE">
              <w:t>(</w:t>
            </w:r>
            <w:hyperlink r:id="rId10" w:history="1">
              <w:r w:rsidRPr="003267DE">
                <w:rPr>
                  <w:rStyle w:val="Hyperlink"/>
                  <w:color w:val="auto"/>
                  <w:u w:val="none"/>
                </w:rPr>
                <w:t>www.zva.gov.lv</w:t>
              </w:r>
            </w:hyperlink>
            <w:r w:rsidRPr="003267DE">
              <w:t>)</w:t>
            </w:r>
            <w:r w:rsidRPr="00ED5CB6">
              <w:t xml:space="preserve"> informāciju par </w:t>
            </w:r>
            <w:r w:rsidRPr="00ED5CB6">
              <w:rPr>
                <w:shd w:val="clear" w:color="auto" w:fill="F1F1F1"/>
              </w:rPr>
              <w:t>licencētām aptiekām, zāļu lieltirgotavām, zāļu ražotājiem.</w:t>
            </w:r>
          </w:p>
          <w:p w:rsidR="00420D09" w:rsidRDefault="00420D09" w:rsidP="00352930">
            <w:pPr>
              <w:pStyle w:val="naisf"/>
              <w:tabs>
                <w:tab w:val="left" w:pos="1134"/>
              </w:tabs>
              <w:spacing w:before="0" w:beforeAutospacing="0" w:after="0" w:afterAutospacing="0"/>
              <w:jc w:val="both"/>
              <w:rPr>
                <w:lang w:val="lv-LV"/>
              </w:rPr>
            </w:pPr>
          </w:p>
          <w:p w:rsidR="00C97A2B" w:rsidRPr="004C51F8" w:rsidRDefault="00C97A2B" w:rsidP="00C97A2B">
            <w:pPr>
              <w:pStyle w:val="Bezatstarpm1"/>
              <w:jc w:val="both"/>
              <w:rPr>
                <w:rFonts w:ascii="Times New Roman" w:hAnsi="Times New Roman"/>
                <w:sz w:val="24"/>
                <w:szCs w:val="24"/>
                <w:lang w:val="lv-LV"/>
              </w:rPr>
            </w:pPr>
            <w:r w:rsidRPr="00522A55">
              <w:rPr>
                <w:rStyle w:val="spelle"/>
                <w:rFonts w:ascii="Times New Roman" w:hAnsi="Times New Roman"/>
                <w:sz w:val="24"/>
                <w:szCs w:val="24"/>
                <w:lang w:val="lv-LV"/>
              </w:rPr>
              <w:t xml:space="preserve">3. MK noteikumos Nr.416 ir jāprecizē kārtība, paredzot iespēju saņemt atļauju paralēli importēto zāļu izplatīšanai, atlikušo zāļu krājumu izplatīšanai un nereģistrētu zāļu izplatīšanai  elektroniskajā formātā vai </w:t>
            </w:r>
            <w:r w:rsidRPr="00522A55">
              <w:rPr>
                <w:rFonts w:ascii="Times New Roman" w:hAnsi="Times New Roman"/>
                <w:sz w:val="24"/>
                <w:szCs w:val="24"/>
                <w:lang w:val="lv-LV"/>
              </w:rPr>
              <w:t xml:space="preserve">pēc personas izvēles </w:t>
            </w:r>
            <w:r w:rsidRPr="00522A55">
              <w:rPr>
                <w:rStyle w:val="spelle"/>
                <w:rFonts w:ascii="Times New Roman" w:hAnsi="Times New Roman"/>
                <w:sz w:val="24"/>
                <w:szCs w:val="24"/>
                <w:lang w:val="lv-LV"/>
              </w:rPr>
              <w:t xml:space="preserve">citā </w:t>
            </w:r>
            <w:r w:rsidRPr="00522A55">
              <w:rPr>
                <w:rFonts w:ascii="Times New Roman" w:hAnsi="Times New Roman"/>
                <w:sz w:val="24"/>
                <w:szCs w:val="24"/>
                <w:lang w:val="lv-LV"/>
              </w:rPr>
              <w:t xml:space="preserve">formā atbilstoši Elektronisko dokumentu likuma 6.panta ceturtajai daļai, veicinot dokumentu saņemšanu elektroniskā formā un uzlabot ziņu (piemēram, atļauju, sertifikātu, licenču, paziņojumu, izziņu) uzticamību, dokumentu izsniegšanas operativitāti, kā arī samazināt administratīvo slogu iedzīvotājam un izmaksas valsts pārvaldei. </w:t>
            </w:r>
            <w:r w:rsidRPr="00522A55">
              <w:rPr>
                <w:rFonts w:ascii="Times New Roman" w:hAnsi="Times New Roman"/>
                <w:color w:val="000000"/>
                <w:sz w:val="24"/>
                <w:szCs w:val="24"/>
                <w:lang w:val="lv-LV"/>
              </w:rPr>
              <w:t>Pašreiz MK noteikumu Nr.416 normas nekonkretizē šādu dokumentu saņemšanas veida iespēju</w:t>
            </w:r>
            <w:r w:rsidRPr="00522A55">
              <w:rPr>
                <w:rStyle w:val="spelle"/>
                <w:rFonts w:ascii="Times New Roman" w:hAnsi="Times New Roman"/>
                <w:sz w:val="24"/>
                <w:szCs w:val="24"/>
                <w:lang w:val="lv-LV"/>
              </w:rPr>
              <w:t>. Tā kā saskaņā ar Ministru kabineta 2011.gada 3.maija noteikumu Nr.333 13.punktu, kā arī 2013.gada 9.aprīlī Ministru kabinetā apstiprinātā  informatīvā ziņojuma par ”Uzņēmējdarbības vides uzlabošanas pasākumu plāna 2012.gadam uzdevuma izpildi un situācijas izpēti un rekomendācijām atļauju izsniegšanai elektroniskā formā” 3.nodaļā noteikto</w:t>
            </w:r>
            <w:r w:rsidRPr="00522A55">
              <w:rPr>
                <w:rFonts w:ascii="Times New Roman" w:hAnsi="Times New Roman"/>
                <w:sz w:val="24"/>
                <w:szCs w:val="24"/>
                <w:lang w:val="lv-LV"/>
              </w:rPr>
              <w:t xml:space="preserve">, jāparedz diferencēta maksa par pakalpojuma sniegšanu atkarībā no pakalpojuma saņemšanas veida (klātienē / elektroniski / papīrā), pakalpojuma sniegšanai izsniedzot  papīra dokumenta formu par </w:t>
            </w:r>
            <w:r w:rsidRPr="00522A55">
              <w:rPr>
                <w:rStyle w:val="spelle"/>
                <w:rFonts w:ascii="Times New Roman" w:hAnsi="Times New Roman"/>
                <w:sz w:val="24"/>
                <w:szCs w:val="24"/>
                <w:lang w:val="lv-LV"/>
              </w:rPr>
              <w:t xml:space="preserve">papildus maksu </w:t>
            </w:r>
            <w:r w:rsidRPr="00522A55">
              <w:rPr>
                <w:rFonts w:ascii="Times New Roman" w:hAnsi="Times New Roman"/>
                <w:sz w:val="24"/>
                <w:szCs w:val="24"/>
                <w:lang w:val="lv-LV"/>
              </w:rPr>
              <w:t xml:space="preserve">nosakāms pārejas periods saistībā ar attiecīgo </w:t>
            </w:r>
            <w:r w:rsidRPr="00522A55">
              <w:rPr>
                <w:rFonts w:ascii="Times New Roman" w:hAnsi="Times New Roman"/>
                <w:noProof/>
                <w:sz w:val="24"/>
                <w:szCs w:val="24"/>
                <w:lang w:val="lv-LV"/>
              </w:rPr>
              <w:t>normu ieviešanu, tai skaitā grozot arī  Ministru kabineta 2013.gada 29.janvāra noteikumus Nr.75 ”Zāļu valsts aģentūras maksas pakalpojumu cenrādis”.</w:t>
            </w:r>
          </w:p>
          <w:p w:rsidR="00C97A2B" w:rsidRPr="00522A55" w:rsidRDefault="00C97A2B" w:rsidP="00C97A2B">
            <w:pPr>
              <w:pStyle w:val="Bezatstarpm1"/>
              <w:jc w:val="both"/>
              <w:rPr>
                <w:rFonts w:ascii="Times New Roman" w:hAnsi="Times New Roman"/>
                <w:sz w:val="24"/>
                <w:szCs w:val="24"/>
                <w:lang w:val="lv-LV"/>
              </w:rPr>
            </w:pPr>
          </w:p>
          <w:p w:rsidR="00C97A2B" w:rsidRPr="00961F39" w:rsidRDefault="00C97A2B" w:rsidP="004C51F8">
            <w:pPr>
              <w:pStyle w:val="naisf"/>
              <w:tabs>
                <w:tab w:val="left" w:pos="1134"/>
              </w:tabs>
              <w:spacing w:before="0" w:beforeAutospacing="0" w:after="0" w:afterAutospacing="0"/>
              <w:jc w:val="both"/>
              <w:rPr>
                <w:lang w:val="lv-LV"/>
              </w:rPr>
            </w:pPr>
            <w:r w:rsidRPr="00522A55">
              <w:rPr>
                <w:lang w:val="lv-LV"/>
              </w:rPr>
              <w:t xml:space="preserve">4. Pašreiz MK noteikumu Nr.416 paredz divu veidu nereģistrētu zāļu atļauju izsniegšanu </w:t>
            </w:r>
            <w:r w:rsidRPr="00522A55">
              <w:rPr>
                <w:shd w:val="clear" w:color="auto" w:fill="F1F1F1"/>
                <w:lang w:val="lv-LV"/>
              </w:rPr>
              <w:t>Eiropas Ekonomikas zonas valstī reģistrētu, bet Latvijas Republikā nereģistrētu zāļu izplatīšanai</w:t>
            </w:r>
            <w:r w:rsidRPr="00522A55">
              <w:rPr>
                <w:rStyle w:val="apple-converted-space"/>
                <w:shd w:val="clear" w:color="auto" w:fill="F1F1F1"/>
                <w:lang w:val="lv-LV"/>
              </w:rPr>
              <w:t> (MK noteikumu 86.punkts) un n</w:t>
            </w:r>
            <w:r w:rsidRPr="00522A55">
              <w:rPr>
                <w:shd w:val="clear" w:color="auto" w:fill="F1F1F1"/>
                <w:lang w:val="lv-LV"/>
              </w:rPr>
              <w:t>ereģistrētu zāļu izplatīšanas atļauja individuāli piešķirtām zālēm (94.punkts). Nekvalitatīvu zāļu, kā arī viltojumu konstatācijas gadījumā, lai pēc iespējas ātri varētu zāles  atsaukt no tirgus nepieciešams zināt</w:t>
            </w:r>
            <w:r>
              <w:rPr>
                <w:shd w:val="clear" w:color="auto" w:fill="F1F1F1"/>
                <w:lang w:val="lv-LV"/>
              </w:rPr>
              <w:t>,</w:t>
            </w:r>
            <w:r w:rsidRPr="00522A55">
              <w:rPr>
                <w:shd w:val="clear" w:color="auto" w:fill="F1F1F1"/>
                <w:lang w:val="lv-LV"/>
              </w:rPr>
              <w:t xml:space="preserve"> kādas šo zāļu sēri</w:t>
            </w:r>
            <w:r w:rsidR="004C51F8">
              <w:rPr>
                <w:shd w:val="clear" w:color="auto" w:fill="F1F1F1"/>
                <w:lang w:val="lv-LV"/>
              </w:rPr>
              <w:t>jas atrodas izplatīšanā Latvijā. T</w:t>
            </w:r>
            <w:r w:rsidRPr="00522A55">
              <w:rPr>
                <w:shd w:val="clear" w:color="auto" w:fill="F1F1F1"/>
                <w:lang w:val="lv-LV"/>
              </w:rPr>
              <w:t xml:space="preserve">āpēc MK noteikumu Nr.416 95.punkta norma </w:t>
            </w:r>
            <w:r>
              <w:rPr>
                <w:shd w:val="clear" w:color="auto" w:fill="F1F1F1"/>
                <w:lang w:val="lv-LV"/>
              </w:rPr>
              <w:t>nosaka, ka</w:t>
            </w:r>
            <w:r w:rsidRPr="00522A55">
              <w:rPr>
                <w:shd w:val="clear" w:color="auto" w:fill="F1F1F1"/>
                <w:lang w:val="lv-LV"/>
              </w:rPr>
              <w:t xml:space="preserve"> </w:t>
            </w:r>
            <w:r w:rsidRPr="005860CD">
              <w:rPr>
                <w:lang w:val="lv-LV"/>
              </w:rPr>
              <w:t>pirms zāļu izplatīšanas uzsākšanas persona</w:t>
            </w:r>
            <w:r>
              <w:rPr>
                <w:lang w:val="lv-LV"/>
              </w:rPr>
              <w:t>, kura</w:t>
            </w:r>
            <w:r w:rsidRPr="005860CD">
              <w:rPr>
                <w:lang w:val="lv-LV"/>
              </w:rPr>
              <w:t xml:space="preserve"> izsniedz nereģistrētu zāļu izplatīšanas atļauju, paziņo Zāļu valsts aģentūrai par izplatāmo zāļu sēriju numuriem. Savukārt par </w:t>
            </w:r>
            <w:r w:rsidRPr="005860CD">
              <w:rPr>
                <w:shd w:val="clear" w:color="auto" w:fill="F1F1F1"/>
                <w:lang w:val="lv-LV"/>
              </w:rPr>
              <w:t>Eiropas Ekonomikas zonas valstī reģistrētu, bet Latvijas Republikā nereģistrētām zālēm</w:t>
            </w:r>
            <w:r>
              <w:rPr>
                <w:shd w:val="clear" w:color="auto" w:fill="F1F1F1"/>
                <w:lang w:val="lv-LV"/>
              </w:rPr>
              <w:t>,</w:t>
            </w:r>
            <w:r w:rsidRPr="005860CD">
              <w:rPr>
                <w:shd w:val="clear" w:color="auto" w:fill="F1F1F1"/>
                <w:lang w:val="lv-LV"/>
              </w:rPr>
              <w:t xml:space="preserve"> </w:t>
            </w:r>
            <w:r w:rsidRPr="005860CD">
              <w:rPr>
                <w:lang w:val="lv-LV"/>
              </w:rPr>
              <w:t xml:space="preserve">kurām </w:t>
            </w:r>
            <w:r>
              <w:rPr>
                <w:lang w:val="lv-LV"/>
              </w:rPr>
              <w:t xml:space="preserve">Zāļu valsts aģentūra izdod </w:t>
            </w:r>
            <w:r w:rsidRPr="005860CD">
              <w:rPr>
                <w:lang w:val="lv-LV"/>
              </w:rPr>
              <w:t>nereģi</w:t>
            </w:r>
            <w:r>
              <w:rPr>
                <w:lang w:val="lv-LV"/>
              </w:rPr>
              <w:t>strētu zāļu izplatīšanas atļauju (MK noteikumu 86.punkts)</w:t>
            </w:r>
            <w:r w:rsidRPr="005860CD">
              <w:rPr>
                <w:lang w:val="lv-LV"/>
              </w:rPr>
              <w:t xml:space="preserve">, </w:t>
            </w:r>
            <w:r w:rsidRPr="005860CD">
              <w:rPr>
                <w:rStyle w:val="apple-converted-space"/>
                <w:shd w:val="clear" w:color="auto" w:fill="F1F1F1"/>
                <w:lang w:val="lv-LV"/>
              </w:rPr>
              <w:t>šāda informācija netiek saņemta</w:t>
            </w:r>
            <w:r w:rsidR="004C51F8">
              <w:rPr>
                <w:rStyle w:val="apple-converted-space"/>
                <w:shd w:val="clear" w:color="auto" w:fill="F1F1F1"/>
                <w:lang w:val="lv-LV"/>
              </w:rPr>
              <w:t>. Šāda situācija</w:t>
            </w:r>
            <w:r w:rsidRPr="005860CD">
              <w:rPr>
                <w:rStyle w:val="apple-converted-space"/>
                <w:shd w:val="clear" w:color="auto" w:fill="F1F1F1"/>
                <w:lang w:val="lv-LV"/>
              </w:rPr>
              <w:t xml:space="preserve"> </w:t>
            </w:r>
            <w:r>
              <w:rPr>
                <w:rStyle w:val="apple-converted-space"/>
                <w:shd w:val="clear" w:color="auto" w:fill="F1F1F1"/>
                <w:lang w:val="lv-LV"/>
              </w:rPr>
              <w:t xml:space="preserve">atklāto produktu defektu gadījumā </w:t>
            </w:r>
            <w:r w:rsidRPr="005860CD">
              <w:rPr>
                <w:lang w:val="lv-LV"/>
              </w:rPr>
              <w:t xml:space="preserve">var </w:t>
            </w:r>
            <w:r>
              <w:rPr>
                <w:lang w:val="lv-LV"/>
              </w:rPr>
              <w:t>ietekmēt zāļu atsaukšanas efektivitāti</w:t>
            </w:r>
            <w:r w:rsidRPr="005860CD">
              <w:rPr>
                <w:lang w:val="lv-LV"/>
              </w:rPr>
              <w:t>, jo nav zināms vai konkrētās zāles un ar kādu ražošanas sēriju Latvijas tirgū reāli izplata</w:t>
            </w:r>
            <w:r w:rsidR="004C51F8">
              <w:rPr>
                <w:lang w:val="lv-LV"/>
              </w:rPr>
              <w:t>, tāpēc MK noteikumi</w:t>
            </w:r>
            <w:r w:rsidR="00851D41">
              <w:rPr>
                <w:lang w:val="lv-LV"/>
              </w:rPr>
              <w:t xml:space="preserve"> </w:t>
            </w:r>
            <w:r w:rsidR="004C51F8">
              <w:rPr>
                <w:lang w:val="lv-LV"/>
              </w:rPr>
              <w:t>Nr.416 ir jāprecizē.</w:t>
            </w:r>
          </w:p>
        </w:tc>
      </w:tr>
      <w:tr w:rsidR="00145830" w:rsidRPr="00961F39" w:rsidTr="00736685">
        <w:trPr>
          <w:gridAfter w:val="1"/>
          <w:wAfter w:w="152" w:type="dxa"/>
        </w:trPr>
        <w:tc>
          <w:tcPr>
            <w:tcW w:w="397" w:type="dxa"/>
            <w:gridSpan w:val="3"/>
          </w:tcPr>
          <w:p w:rsidR="00145830" w:rsidRPr="00961F39" w:rsidRDefault="00145830" w:rsidP="00E54238">
            <w:pPr>
              <w:rPr>
                <w:lang w:val="lv-LV"/>
              </w:rPr>
            </w:pPr>
            <w:r w:rsidRPr="00961F39">
              <w:rPr>
                <w:lang w:val="lv-LV"/>
              </w:rPr>
              <w:lastRenderedPageBreak/>
              <w:t xml:space="preserve">3. </w:t>
            </w:r>
          </w:p>
        </w:tc>
        <w:tc>
          <w:tcPr>
            <w:tcW w:w="1447" w:type="dxa"/>
            <w:gridSpan w:val="5"/>
          </w:tcPr>
          <w:p w:rsidR="00145830" w:rsidRPr="00961F39" w:rsidRDefault="00145830" w:rsidP="00E54238">
            <w:pPr>
              <w:jc w:val="both"/>
              <w:rPr>
                <w:lang w:val="lv-LV"/>
              </w:rPr>
            </w:pPr>
            <w:r w:rsidRPr="00961F39">
              <w:rPr>
                <w:lang w:val="lv-LV"/>
              </w:rPr>
              <w:t xml:space="preserve">Saistītie politikas ietekmes </w:t>
            </w:r>
            <w:r w:rsidRPr="00961F39">
              <w:rPr>
                <w:lang w:val="lv-LV"/>
              </w:rPr>
              <w:lastRenderedPageBreak/>
              <w:t>novērtējumi un pētījumi</w:t>
            </w:r>
          </w:p>
        </w:tc>
        <w:tc>
          <w:tcPr>
            <w:tcW w:w="7796" w:type="dxa"/>
            <w:gridSpan w:val="12"/>
          </w:tcPr>
          <w:p w:rsidR="00145830" w:rsidRPr="00961F39" w:rsidRDefault="00B15CD1" w:rsidP="00E54238">
            <w:pPr>
              <w:autoSpaceDE w:val="0"/>
              <w:autoSpaceDN w:val="0"/>
              <w:adjustRightInd w:val="0"/>
              <w:jc w:val="both"/>
              <w:rPr>
                <w:lang w:val="lv-LV"/>
              </w:rPr>
            </w:pPr>
            <w:r w:rsidRPr="00961F39">
              <w:rPr>
                <w:lang w:val="lv-LV"/>
              </w:rPr>
              <w:lastRenderedPageBreak/>
              <w:t>P</w:t>
            </w:r>
            <w:r w:rsidR="001601E6" w:rsidRPr="00961F39">
              <w:rPr>
                <w:lang w:val="lv-LV"/>
              </w:rPr>
              <w:t>rojekts šo jomu neskar</w:t>
            </w:r>
            <w:r w:rsidR="001601E6" w:rsidRPr="00961F39">
              <w:t>.</w:t>
            </w:r>
          </w:p>
        </w:tc>
      </w:tr>
      <w:tr w:rsidR="00145830" w:rsidRPr="00961F39" w:rsidTr="00736685">
        <w:trPr>
          <w:gridAfter w:val="1"/>
          <w:wAfter w:w="152" w:type="dxa"/>
        </w:trPr>
        <w:tc>
          <w:tcPr>
            <w:tcW w:w="397" w:type="dxa"/>
            <w:gridSpan w:val="3"/>
          </w:tcPr>
          <w:p w:rsidR="00145830" w:rsidRPr="00961F39" w:rsidRDefault="00145830" w:rsidP="00E54238">
            <w:pPr>
              <w:rPr>
                <w:lang w:val="lv-LV"/>
              </w:rPr>
            </w:pPr>
            <w:r w:rsidRPr="00961F39">
              <w:rPr>
                <w:lang w:val="lv-LV"/>
              </w:rPr>
              <w:lastRenderedPageBreak/>
              <w:t>4.</w:t>
            </w:r>
          </w:p>
        </w:tc>
        <w:tc>
          <w:tcPr>
            <w:tcW w:w="1447" w:type="dxa"/>
            <w:gridSpan w:val="5"/>
          </w:tcPr>
          <w:p w:rsidR="00145830" w:rsidRPr="00961F39" w:rsidRDefault="00145830" w:rsidP="00E54238">
            <w:pPr>
              <w:jc w:val="both"/>
              <w:rPr>
                <w:lang w:val="lv-LV"/>
              </w:rPr>
            </w:pPr>
            <w:r w:rsidRPr="00961F39">
              <w:rPr>
                <w:lang w:val="lv-LV"/>
              </w:rPr>
              <w:t>Tiesiskā regulējuma mērķis un būtība</w:t>
            </w:r>
          </w:p>
        </w:tc>
        <w:tc>
          <w:tcPr>
            <w:tcW w:w="7796" w:type="dxa"/>
            <w:gridSpan w:val="12"/>
          </w:tcPr>
          <w:p w:rsidR="00352930" w:rsidRDefault="004C51F8" w:rsidP="002F42B3">
            <w:pPr>
              <w:jc w:val="both"/>
              <w:rPr>
                <w:lang w:val="lv-LV"/>
              </w:rPr>
            </w:pPr>
            <w:r>
              <w:rPr>
                <w:lang w:val="lv-LV"/>
              </w:rPr>
              <w:t>1. </w:t>
            </w:r>
            <w:r w:rsidR="005E03E1" w:rsidRPr="00961F39">
              <w:rPr>
                <w:lang w:val="lv-LV"/>
              </w:rPr>
              <w:t>N</w:t>
            </w:r>
            <w:r w:rsidR="00145830" w:rsidRPr="00961F39">
              <w:rPr>
                <w:lang w:val="lv-LV"/>
              </w:rPr>
              <w:t>oteikumu projekt</w:t>
            </w:r>
            <w:r w:rsidR="000151F4">
              <w:rPr>
                <w:lang w:val="lv-LV"/>
              </w:rPr>
              <w:t>a tiesiskā regulējuma mērķis ir</w:t>
            </w:r>
            <w:r w:rsidR="005E03E1" w:rsidRPr="00961F39">
              <w:rPr>
                <w:lang w:val="lv-LV"/>
              </w:rPr>
              <w:t xml:space="preserve"> ieviest Direktīvas </w:t>
            </w:r>
            <w:r w:rsidR="00352930">
              <w:rPr>
                <w:lang w:val="lv-LV"/>
              </w:rPr>
              <w:t>2011</w:t>
            </w:r>
            <w:r w:rsidR="005A1622" w:rsidRPr="00961F39">
              <w:rPr>
                <w:lang w:val="lv-LV"/>
              </w:rPr>
              <w:t>/</w:t>
            </w:r>
            <w:r w:rsidR="00352930">
              <w:rPr>
                <w:lang w:val="lv-LV"/>
              </w:rPr>
              <w:t>2</w:t>
            </w:r>
            <w:r w:rsidR="003E19B8">
              <w:rPr>
                <w:lang w:val="lv-LV"/>
              </w:rPr>
              <w:t>4</w:t>
            </w:r>
            <w:r w:rsidR="0075377C">
              <w:rPr>
                <w:lang w:val="lv-LV"/>
              </w:rPr>
              <w:t xml:space="preserve"> un </w:t>
            </w:r>
            <w:r w:rsidR="003E19B8">
              <w:rPr>
                <w:lang w:val="lv-LV"/>
              </w:rPr>
              <w:t>Direktīvas 2012/52</w:t>
            </w:r>
            <w:r w:rsidR="005A1622" w:rsidRPr="00961F39">
              <w:rPr>
                <w:lang w:val="lv-LV"/>
              </w:rPr>
              <w:t xml:space="preserve"> </w:t>
            </w:r>
            <w:r w:rsidR="005E03E1" w:rsidRPr="00961F39">
              <w:rPr>
                <w:lang w:val="lv-LV"/>
              </w:rPr>
              <w:t>prasības,</w:t>
            </w:r>
            <w:r w:rsidR="00A376C1" w:rsidRPr="00961F39">
              <w:rPr>
                <w:lang w:val="lv-LV"/>
              </w:rPr>
              <w:t xml:space="preserve"> </w:t>
            </w:r>
            <w:r w:rsidR="005E03E1" w:rsidRPr="00961F39">
              <w:rPr>
                <w:bCs/>
                <w:lang w:val="lv-LV"/>
              </w:rPr>
              <w:t>nosakot</w:t>
            </w:r>
            <w:r w:rsidR="00A376C1" w:rsidRPr="00961F39">
              <w:rPr>
                <w:bCs/>
                <w:lang w:val="lv-LV"/>
              </w:rPr>
              <w:t xml:space="preserve"> </w:t>
            </w:r>
            <w:r w:rsidR="00352930" w:rsidRPr="00CC7DD8">
              <w:rPr>
                <w:lang w:val="lv-LV"/>
              </w:rPr>
              <w:t>Eiropas Savienības, Eiropas Ekonomikas zonas valstīs un Šveices Konfederācijā izrakstītās receptes</w:t>
            </w:r>
            <w:r w:rsidR="00352930">
              <w:rPr>
                <w:lang w:val="lv-LV"/>
              </w:rPr>
              <w:t xml:space="preserve"> atzīšanu un izmantošanu </w:t>
            </w:r>
            <w:r w:rsidR="0075377C">
              <w:rPr>
                <w:lang w:val="lv-LV"/>
              </w:rPr>
              <w:t>Latvijas Republikas</w:t>
            </w:r>
            <w:r w:rsidR="00352930">
              <w:rPr>
                <w:lang w:val="lv-LV"/>
              </w:rPr>
              <w:t xml:space="preserve"> teritorijā.</w:t>
            </w:r>
          </w:p>
          <w:p w:rsidR="006D3DFC" w:rsidRPr="00961F39" w:rsidRDefault="006D3DFC" w:rsidP="00E54238">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 xml:space="preserve">Noteikumu projekts paredz </w:t>
            </w:r>
            <w:r w:rsidR="00F65DE5">
              <w:rPr>
                <w:rFonts w:ascii="Times New Roman" w:hAnsi="Times New Roman"/>
                <w:sz w:val="24"/>
                <w:szCs w:val="24"/>
              </w:rPr>
              <w:t>noteikt</w:t>
            </w:r>
            <w:r w:rsidRPr="00961F39">
              <w:rPr>
                <w:rFonts w:ascii="Times New Roman" w:hAnsi="Times New Roman"/>
                <w:sz w:val="24"/>
                <w:szCs w:val="24"/>
              </w:rPr>
              <w:t>:</w:t>
            </w:r>
          </w:p>
          <w:p w:rsidR="00145830" w:rsidRPr="00352930" w:rsidRDefault="003E19B8" w:rsidP="00E542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 </w:t>
            </w:r>
            <w:r w:rsidR="00352930">
              <w:rPr>
                <w:rFonts w:ascii="Times New Roman" w:hAnsi="Times New Roman"/>
                <w:sz w:val="24"/>
                <w:szCs w:val="24"/>
              </w:rPr>
              <w:t xml:space="preserve">farmaceitu un pacientu </w:t>
            </w:r>
            <w:r w:rsidR="006D3DFC" w:rsidRPr="00961F39">
              <w:rPr>
                <w:rFonts w:ascii="Times New Roman" w:hAnsi="Times New Roman"/>
                <w:sz w:val="24"/>
                <w:szCs w:val="24"/>
              </w:rPr>
              <w:t xml:space="preserve">tiesības un pienākumus, lai nodrošinātu </w:t>
            </w:r>
            <w:r w:rsidR="00352930" w:rsidRPr="00352930">
              <w:rPr>
                <w:rFonts w:ascii="Times New Roman" w:hAnsi="Times New Roman"/>
                <w:sz w:val="24"/>
                <w:szCs w:val="24"/>
              </w:rPr>
              <w:t>pacientu tiesību piemērošanu pārrobežu veselības aprūpē</w:t>
            </w:r>
            <w:r w:rsidR="006D3DFC" w:rsidRPr="00352930">
              <w:rPr>
                <w:rFonts w:ascii="Times New Roman" w:hAnsi="Times New Roman"/>
                <w:sz w:val="24"/>
                <w:szCs w:val="24"/>
              </w:rPr>
              <w:t xml:space="preserve"> sistēmas efektīvu funkcionēšanu;</w:t>
            </w:r>
          </w:p>
          <w:p w:rsidR="006D3DFC" w:rsidRPr="00961F39" w:rsidRDefault="003E19B8" w:rsidP="00E542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 </w:t>
            </w:r>
            <w:r w:rsidR="007B4536" w:rsidRPr="00961F39">
              <w:rPr>
                <w:rFonts w:ascii="Times New Roman" w:hAnsi="Times New Roman"/>
                <w:sz w:val="24"/>
                <w:szCs w:val="24"/>
              </w:rPr>
              <w:t xml:space="preserve">ar zāļu </w:t>
            </w:r>
            <w:r w:rsidR="00352930">
              <w:rPr>
                <w:rFonts w:ascii="Times New Roman" w:hAnsi="Times New Roman"/>
                <w:sz w:val="24"/>
                <w:szCs w:val="24"/>
              </w:rPr>
              <w:t xml:space="preserve">izplatīšanas </w:t>
            </w:r>
            <w:r w:rsidR="007B4536" w:rsidRPr="00961F39">
              <w:rPr>
                <w:rFonts w:ascii="Times New Roman" w:hAnsi="Times New Roman"/>
                <w:sz w:val="24"/>
                <w:szCs w:val="24"/>
              </w:rPr>
              <w:t>drošumu saistīto ierobežojumu kārtību</w:t>
            </w:r>
            <w:r w:rsidR="00F65DE5">
              <w:rPr>
                <w:rFonts w:ascii="Times New Roman" w:hAnsi="Times New Roman"/>
                <w:sz w:val="24"/>
                <w:szCs w:val="24"/>
              </w:rPr>
              <w:t>;</w:t>
            </w:r>
          </w:p>
          <w:p w:rsidR="00A14EBF" w:rsidRDefault="00541BF4" w:rsidP="00541BF4">
            <w:pPr>
              <w:pStyle w:val="ListParagraph"/>
              <w:spacing w:after="0" w:line="240" w:lineRule="auto"/>
              <w:ind w:left="0"/>
              <w:jc w:val="both"/>
              <w:rPr>
                <w:rFonts w:ascii="Times New Roman" w:hAnsi="Times New Roman"/>
                <w:bCs/>
                <w:sz w:val="24"/>
                <w:szCs w:val="24"/>
              </w:rPr>
            </w:pPr>
            <w:r>
              <w:rPr>
                <w:rFonts w:ascii="Times New Roman" w:hAnsi="Times New Roman"/>
                <w:sz w:val="24"/>
                <w:szCs w:val="24"/>
              </w:rPr>
              <w:t>3</w:t>
            </w:r>
            <w:r w:rsidR="003E19B8">
              <w:rPr>
                <w:rFonts w:ascii="Times New Roman" w:hAnsi="Times New Roman"/>
                <w:sz w:val="24"/>
                <w:szCs w:val="24"/>
              </w:rPr>
              <w:t>) </w:t>
            </w:r>
            <w:r w:rsidR="00BC2AC0" w:rsidRPr="00BC2AC0">
              <w:rPr>
                <w:rFonts w:ascii="Times New Roman" w:hAnsi="Times New Roman"/>
                <w:bCs/>
                <w:sz w:val="24"/>
                <w:szCs w:val="24"/>
              </w:rPr>
              <w:t xml:space="preserve">atsauci uz </w:t>
            </w:r>
            <w:r w:rsidR="00AE4026">
              <w:rPr>
                <w:rFonts w:ascii="Times New Roman" w:hAnsi="Times New Roman"/>
                <w:sz w:val="24"/>
                <w:szCs w:val="24"/>
              </w:rPr>
              <w:t>Eiropas Savienības direktīvām</w:t>
            </w:r>
            <w:r w:rsidR="00BC2AC0" w:rsidRPr="00BC2AC0">
              <w:rPr>
                <w:rFonts w:ascii="Times New Roman" w:hAnsi="Times New Roman"/>
                <w:bCs/>
                <w:sz w:val="24"/>
                <w:szCs w:val="24"/>
              </w:rPr>
              <w:t xml:space="preserve">, </w:t>
            </w:r>
            <w:r w:rsidR="00BC2AC0">
              <w:rPr>
                <w:rFonts w:ascii="Times New Roman" w:hAnsi="Times New Roman"/>
                <w:bCs/>
                <w:sz w:val="24"/>
                <w:szCs w:val="24"/>
              </w:rPr>
              <w:t>kas</w:t>
            </w:r>
            <w:r w:rsidR="00BC2AC0" w:rsidRPr="00BC2AC0">
              <w:rPr>
                <w:rFonts w:ascii="Times New Roman" w:hAnsi="Times New Roman"/>
                <w:bCs/>
                <w:sz w:val="24"/>
                <w:szCs w:val="24"/>
              </w:rPr>
              <w:t xml:space="preserve"> apliecin</w:t>
            </w:r>
            <w:r w:rsidR="00AE4026">
              <w:rPr>
                <w:rFonts w:ascii="Times New Roman" w:hAnsi="Times New Roman"/>
                <w:bCs/>
                <w:sz w:val="24"/>
                <w:szCs w:val="24"/>
              </w:rPr>
              <w:t>a, ka ir ieviestas</w:t>
            </w:r>
            <w:r w:rsidR="00BC2AC0" w:rsidRPr="00BC2AC0">
              <w:rPr>
                <w:rFonts w:ascii="Times New Roman" w:hAnsi="Times New Roman"/>
                <w:bCs/>
                <w:sz w:val="24"/>
                <w:szCs w:val="24"/>
              </w:rPr>
              <w:t xml:space="preserve"> direktīv</w:t>
            </w:r>
            <w:r w:rsidR="00AE4026">
              <w:rPr>
                <w:rFonts w:ascii="Times New Roman" w:hAnsi="Times New Roman"/>
                <w:bCs/>
                <w:sz w:val="24"/>
                <w:szCs w:val="24"/>
              </w:rPr>
              <w:t xml:space="preserve">u prasības </w:t>
            </w:r>
            <w:r w:rsidR="00BC2AC0" w:rsidRPr="00BC2AC0">
              <w:rPr>
                <w:rFonts w:ascii="Times New Roman" w:hAnsi="Times New Roman"/>
                <w:bCs/>
                <w:sz w:val="24"/>
                <w:szCs w:val="24"/>
              </w:rPr>
              <w:t xml:space="preserve">saistībā ar </w:t>
            </w:r>
            <w:r w:rsidR="00352930" w:rsidRPr="00352930">
              <w:rPr>
                <w:rFonts w:ascii="Times New Roman" w:hAnsi="Times New Roman"/>
                <w:bCs/>
                <w:sz w:val="24"/>
                <w:szCs w:val="24"/>
              </w:rPr>
              <w:t>pacientu tiesību piemērošanu pārrobežu veselības aprūpē</w:t>
            </w:r>
            <w:r w:rsidR="00E77814">
              <w:rPr>
                <w:rFonts w:ascii="Times New Roman" w:hAnsi="Times New Roman"/>
                <w:bCs/>
                <w:sz w:val="24"/>
                <w:szCs w:val="24"/>
              </w:rPr>
              <w:t>;</w:t>
            </w:r>
          </w:p>
          <w:p w:rsidR="00E77814" w:rsidRPr="009B024A" w:rsidRDefault="00E77814" w:rsidP="009B024A">
            <w:pPr>
              <w:jc w:val="both"/>
              <w:rPr>
                <w:bCs/>
                <w:lang w:val="lv-LV"/>
              </w:rPr>
            </w:pPr>
            <w:r>
              <w:rPr>
                <w:lang w:val="lv-LV"/>
              </w:rPr>
              <w:t>c) n</w:t>
            </w:r>
            <w:r w:rsidRPr="004601F2">
              <w:rPr>
                <w:bCs/>
                <w:lang w:val="lv-LV"/>
              </w:rPr>
              <w:t xml:space="preserve">orādīt atsauci uz </w:t>
            </w:r>
            <w:r w:rsidR="009B024A" w:rsidRPr="00961F39">
              <w:rPr>
                <w:lang w:val="lv-LV"/>
              </w:rPr>
              <w:t xml:space="preserve">Direktīvas </w:t>
            </w:r>
            <w:r w:rsidR="009B024A">
              <w:rPr>
                <w:lang w:val="lv-LV"/>
              </w:rPr>
              <w:t>2011</w:t>
            </w:r>
            <w:r w:rsidR="009B024A" w:rsidRPr="00961F39">
              <w:rPr>
                <w:lang w:val="lv-LV"/>
              </w:rPr>
              <w:t>/</w:t>
            </w:r>
            <w:r w:rsidR="009B024A">
              <w:rPr>
                <w:lang w:val="lv-LV"/>
              </w:rPr>
              <w:t>24 un Direktīvas 2012/52</w:t>
            </w:r>
            <w:r w:rsidR="009B024A">
              <w:rPr>
                <w:bCs/>
                <w:lang w:val="lv-LV"/>
              </w:rPr>
              <w:t>. Līdz ar to ir apliecināta šo direktīvu ieviešana.</w:t>
            </w:r>
          </w:p>
          <w:p w:rsidR="004C51F8" w:rsidRPr="00062BE9" w:rsidRDefault="00291AF5" w:rsidP="00541BF4">
            <w:pPr>
              <w:pStyle w:val="ListParagraph"/>
              <w:spacing w:after="0" w:line="240" w:lineRule="auto"/>
              <w:ind w:left="0"/>
              <w:jc w:val="both"/>
              <w:rPr>
                <w:rFonts w:ascii="Times New Roman" w:hAnsi="Times New Roman"/>
                <w:sz w:val="24"/>
                <w:szCs w:val="24"/>
              </w:rPr>
            </w:pPr>
            <w:r>
              <w:rPr>
                <w:rFonts w:ascii="Times New Roman" w:hAnsi="Times New Roman"/>
                <w:bCs/>
                <w:sz w:val="24"/>
                <w:szCs w:val="24"/>
              </w:rPr>
              <w:t xml:space="preserve">(Noteikumu projekta </w:t>
            </w:r>
            <w:r w:rsidR="004C51F8">
              <w:rPr>
                <w:rFonts w:ascii="Times New Roman" w:hAnsi="Times New Roman"/>
                <w:bCs/>
                <w:sz w:val="24"/>
                <w:szCs w:val="24"/>
              </w:rPr>
              <w:t>2</w:t>
            </w:r>
            <w:r>
              <w:rPr>
                <w:rFonts w:ascii="Times New Roman" w:hAnsi="Times New Roman"/>
                <w:bCs/>
                <w:sz w:val="24"/>
                <w:szCs w:val="24"/>
              </w:rPr>
              <w:t>5</w:t>
            </w:r>
            <w:r w:rsidR="004C51F8">
              <w:rPr>
                <w:rFonts w:ascii="Times New Roman" w:hAnsi="Times New Roman"/>
                <w:bCs/>
                <w:sz w:val="24"/>
                <w:szCs w:val="24"/>
              </w:rPr>
              <w:t>.</w:t>
            </w:r>
            <w:r>
              <w:rPr>
                <w:rFonts w:ascii="Times New Roman" w:hAnsi="Times New Roman"/>
                <w:bCs/>
                <w:sz w:val="24"/>
                <w:szCs w:val="24"/>
              </w:rPr>
              <w:t xml:space="preserve"> un 33</w:t>
            </w:r>
            <w:r w:rsidR="00011574">
              <w:rPr>
                <w:rFonts w:ascii="Times New Roman" w:hAnsi="Times New Roman"/>
                <w:bCs/>
                <w:sz w:val="24"/>
                <w:szCs w:val="24"/>
              </w:rPr>
              <w:t>.</w:t>
            </w:r>
            <w:r w:rsidR="004C51F8">
              <w:rPr>
                <w:rFonts w:ascii="Times New Roman" w:hAnsi="Times New Roman"/>
                <w:bCs/>
                <w:sz w:val="24"/>
                <w:szCs w:val="24"/>
              </w:rPr>
              <w:t>punkts).</w:t>
            </w:r>
          </w:p>
          <w:p w:rsidR="00A36A8D" w:rsidRDefault="00A36A8D" w:rsidP="009363D9">
            <w:pPr>
              <w:pStyle w:val="ListParagraph"/>
              <w:spacing w:after="0" w:line="240" w:lineRule="auto"/>
              <w:ind w:left="0"/>
              <w:jc w:val="both"/>
              <w:rPr>
                <w:rFonts w:ascii="Times New Roman" w:eastAsia="Times New Roman" w:hAnsi="Times New Roman"/>
                <w:noProof/>
                <w:sz w:val="24"/>
                <w:szCs w:val="24"/>
              </w:rPr>
            </w:pPr>
          </w:p>
          <w:p w:rsidR="00145830" w:rsidRDefault="00145830" w:rsidP="009363D9">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Noteikumu projekts atrisinās šīs sadaļas 2.</w:t>
            </w:r>
            <w:r w:rsidR="00420D09">
              <w:rPr>
                <w:rFonts w:ascii="Times New Roman" w:hAnsi="Times New Roman"/>
                <w:sz w:val="24"/>
                <w:szCs w:val="24"/>
              </w:rPr>
              <w:t>1.apakš</w:t>
            </w:r>
            <w:r w:rsidRPr="00961F39">
              <w:rPr>
                <w:rFonts w:ascii="Times New Roman" w:hAnsi="Times New Roman"/>
                <w:sz w:val="24"/>
                <w:szCs w:val="24"/>
              </w:rPr>
              <w:t>punktā minēt</w:t>
            </w:r>
            <w:r w:rsidR="00BC2AC0">
              <w:rPr>
                <w:rFonts w:ascii="Times New Roman" w:hAnsi="Times New Roman"/>
                <w:sz w:val="24"/>
                <w:szCs w:val="24"/>
              </w:rPr>
              <w:t>ās</w:t>
            </w:r>
            <w:r w:rsidRPr="00961F39">
              <w:rPr>
                <w:rFonts w:ascii="Times New Roman" w:hAnsi="Times New Roman"/>
                <w:sz w:val="24"/>
                <w:szCs w:val="24"/>
              </w:rPr>
              <w:t xml:space="preserve"> problēm</w:t>
            </w:r>
            <w:r w:rsidR="00BC2AC0">
              <w:rPr>
                <w:rFonts w:ascii="Times New Roman" w:hAnsi="Times New Roman"/>
                <w:sz w:val="24"/>
                <w:szCs w:val="24"/>
              </w:rPr>
              <w:t>as</w:t>
            </w:r>
            <w:r w:rsidRPr="00961F39">
              <w:rPr>
                <w:rFonts w:ascii="Times New Roman" w:hAnsi="Times New Roman"/>
                <w:sz w:val="24"/>
                <w:szCs w:val="24"/>
              </w:rPr>
              <w:t>.</w:t>
            </w:r>
          </w:p>
          <w:p w:rsidR="00C97A2B" w:rsidRPr="004E6D79" w:rsidRDefault="00C97A2B" w:rsidP="009363D9">
            <w:pPr>
              <w:pStyle w:val="ListParagraph"/>
              <w:spacing w:after="0" w:line="240" w:lineRule="auto"/>
              <w:ind w:left="0"/>
              <w:jc w:val="both"/>
              <w:rPr>
                <w:rFonts w:ascii="Times New Roman" w:hAnsi="Times New Roman"/>
                <w:sz w:val="24"/>
                <w:szCs w:val="24"/>
              </w:rPr>
            </w:pPr>
          </w:p>
          <w:p w:rsidR="00C97A2B" w:rsidRPr="002D7D4C" w:rsidRDefault="004C51F8" w:rsidP="002D7D4C">
            <w:pPr>
              <w:pStyle w:val="NoSpacing"/>
              <w:jc w:val="both"/>
              <w:rPr>
                <w:rFonts w:ascii="Times New Roman" w:hAnsi="Times New Roman"/>
                <w:sz w:val="24"/>
                <w:szCs w:val="24"/>
                <w:shd w:val="clear" w:color="auto" w:fill="F1F1F1"/>
              </w:rPr>
            </w:pPr>
            <w:r w:rsidRPr="004E6D79">
              <w:rPr>
                <w:rFonts w:ascii="Times New Roman" w:hAnsi="Times New Roman"/>
                <w:sz w:val="24"/>
                <w:szCs w:val="24"/>
              </w:rPr>
              <w:t>2.</w:t>
            </w:r>
            <w:r w:rsidR="00C97A2B" w:rsidRPr="004E6D79">
              <w:rPr>
                <w:rFonts w:ascii="Times New Roman" w:hAnsi="Times New Roman"/>
                <w:sz w:val="24"/>
                <w:szCs w:val="24"/>
              </w:rPr>
              <w:t> </w:t>
            </w:r>
            <w:r w:rsidR="004E6D79">
              <w:rPr>
                <w:rFonts w:ascii="Times New Roman" w:hAnsi="Times New Roman"/>
                <w:sz w:val="24"/>
                <w:szCs w:val="24"/>
              </w:rPr>
              <w:t xml:space="preserve">Precizēt zāļu </w:t>
            </w:r>
            <w:r w:rsidR="004E6D79" w:rsidRPr="00B57183">
              <w:rPr>
                <w:rFonts w:ascii="Times New Roman" w:hAnsi="Times New Roman"/>
                <w:sz w:val="24"/>
                <w:szCs w:val="24"/>
              </w:rPr>
              <w:t>vairumtirgotāju pienākumus zāļu izplatīšanā</w:t>
            </w:r>
            <w:r w:rsidR="00912619" w:rsidRPr="00B57183">
              <w:rPr>
                <w:rFonts w:ascii="Times New Roman" w:hAnsi="Times New Roman"/>
                <w:sz w:val="24"/>
                <w:szCs w:val="24"/>
              </w:rPr>
              <w:t>, sniegt</w:t>
            </w:r>
            <w:r w:rsidR="004E6D79" w:rsidRPr="00B57183">
              <w:rPr>
                <w:rFonts w:ascii="Times New Roman" w:hAnsi="Times New Roman"/>
                <w:sz w:val="24"/>
                <w:szCs w:val="24"/>
              </w:rPr>
              <w:t xml:space="preserve"> </w:t>
            </w:r>
            <w:r w:rsidR="00912619" w:rsidRPr="00B57183">
              <w:rPr>
                <w:rFonts w:ascii="Times New Roman" w:hAnsi="Times New Roman"/>
                <w:sz w:val="24"/>
                <w:szCs w:val="24"/>
              </w:rPr>
              <w:t xml:space="preserve">zāļu labas zāļu izplatīšanas prakses termina skaidrojumu un </w:t>
            </w:r>
            <w:r w:rsidR="004E6D79" w:rsidRPr="00B57183">
              <w:rPr>
                <w:rFonts w:ascii="Times New Roman" w:hAnsi="Times New Roman"/>
                <w:sz w:val="24"/>
                <w:szCs w:val="24"/>
              </w:rPr>
              <w:t>noteikt</w:t>
            </w:r>
            <w:r w:rsidR="00B2019C" w:rsidRPr="00B57183">
              <w:rPr>
                <w:rFonts w:ascii="Times New Roman" w:hAnsi="Times New Roman"/>
                <w:sz w:val="24"/>
                <w:szCs w:val="24"/>
              </w:rPr>
              <w:t>, ka</w:t>
            </w:r>
            <w:r w:rsidR="00C97A2B" w:rsidRPr="00B57183">
              <w:rPr>
                <w:rFonts w:ascii="Times New Roman" w:hAnsi="Times New Roman"/>
                <w:sz w:val="24"/>
                <w:szCs w:val="24"/>
              </w:rPr>
              <w:t xml:space="preserve"> </w:t>
            </w:r>
            <w:r w:rsidR="004E6D79" w:rsidRPr="00B57183">
              <w:rPr>
                <w:rFonts w:ascii="Times New Roman" w:hAnsi="Times New Roman"/>
                <w:sz w:val="24"/>
                <w:szCs w:val="24"/>
              </w:rPr>
              <w:t xml:space="preserve">zāļu vairumtirgotājiem </w:t>
            </w:r>
            <w:r w:rsidR="00B2019C" w:rsidRPr="00B57183">
              <w:rPr>
                <w:rFonts w:ascii="Times New Roman" w:hAnsi="Times New Roman"/>
                <w:sz w:val="24"/>
                <w:szCs w:val="24"/>
              </w:rPr>
              <w:t xml:space="preserve">ir jāievēro </w:t>
            </w:r>
            <w:r w:rsidR="00C97A2B" w:rsidRPr="00B57183">
              <w:rPr>
                <w:rFonts w:ascii="Times New Roman" w:hAnsi="Times New Roman"/>
                <w:sz w:val="24"/>
                <w:szCs w:val="24"/>
              </w:rPr>
              <w:t>zāļu labas zāļu izplatīšanas prakses prasības</w:t>
            </w:r>
            <w:r w:rsidR="004E6D79" w:rsidRPr="00B57183">
              <w:rPr>
                <w:rFonts w:ascii="Times New Roman" w:hAnsi="Times New Roman"/>
                <w:sz w:val="24"/>
                <w:szCs w:val="24"/>
              </w:rPr>
              <w:t xml:space="preserve"> </w:t>
            </w:r>
            <w:r w:rsidR="004E6D79" w:rsidRPr="00B57183">
              <w:rPr>
                <w:rFonts w:ascii="Times New Roman" w:hAnsi="Times New Roman"/>
                <w:sz w:val="24"/>
                <w:szCs w:val="24"/>
                <w:shd w:val="clear" w:color="auto" w:fill="F1F1F1"/>
              </w:rPr>
              <w:t>atbilstoši</w:t>
            </w:r>
            <w:r w:rsidR="004E6D79" w:rsidRPr="00B57183">
              <w:rPr>
                <w:rFonts w:ascii="Times New Roman" w:hAnsi="Times New Roman"/>
                <w:sz w:val="24"/>
                <w:szCs w:val="24"/>
              </w:rPr>
              <w:t xml:space="preserve"> </w:t>
            </w:r>
            <w:r w:rsidR="00010BBB">
              <w:rPr>
                <w:rFonts w:ascii="Times New Roman" w:hAnsi="Times New Roman"/>
                <w:bCs/>
                <w:sz w:val="24"/>
                <w:szCs w:val="24"/>
              </w:rPr>
              <w:t xml:space="preserve">Eiropas Komisijas </w:t>
            </w:r>
            <w:r w:rsidR="00010BBB" w:rsidRPr="00CB15D5">
              <w:rPr>
                <w:rFonts w:ascii="Times New Roman" w:hAnsi="Times New Roman"/>
                <w:b/>
                <w:bCs/>
                <w:sz w:val="24"/>
                <w:szCs w:val="24"/>
              </w:rPr>
              <w:t>2013.gada</w:t>
            </w:r>
            <w:r w:rsidR="00010BBB" w:rsidRPr="008F418F">
              <w:rPr>
                <w:rFonts w:ascii="Times New Roman" w:hAnsi="Times New Roman"/>
                <w:bCs/>
                <w:sz w:val="24"/>
                <w:szCs w:val="24"/>
              </w:rPr>
              <w:t xml:space="preserve"> </w:t>
            </w:r>
            <w:r w:rsidR="00010BBB" w:rsidRPr="008F418F">
              <w:rPr>
                <w:rFonts w:ascii="Times New Roman" w:hAnsi="Times New Roman"/>
                <w:b/>
                <w:bCs/>
                <w:sz w:val="24"/>
                <w:szCs w:val="24"/>
              </w:rPr>
              <w:t>5</w:t>
            </w:r>
            <w:r w:rsidR="004E6D79" w:rsidRPr="008F418F">
              <w:rPr>
                <w:rFonts w:ascii="Times New Roman" w:hAnsi="Times New Roman"/>
                <w:b/>
                <w:bCs/>
                <w:sz w:val="24"/>
                <w:szCs w:val="24"/>
              </w:rPr>
              <w:t>.</w:t>
            </w:r>
            <w:r w:rsidR="00010BBB" w:rsidRPr="008F418F">
              <w:rPr>
                <w:rFonts w:ascii="Times New Roman" w:hAnsi="Times New Roman"/>
                <w:b/>
                <w:bCs/>
                <w:sz w:val="24"/>
                <w:szCs w:val="24"/>
              </w:rPr>
              <w:t>novembra</w:t>
            </w:r>
            <w:r w:rsidR="004E6D79" w:rsidRPr="008F418F">
              <w:rPr>
                <w:rFonts w:ascii="Times New Roman" w:hAnsi="Times New Roman"/>
                <w:bCs/>
                <w:sz w:val="24"/>
                <w:szCs w:val="24"/>
              </w:rPr>
              <w:t xml:space="preserve"> pamatnostādnēm par cilvēkiem paredzētu zāļu labu izplatīšanas praksi </w:t>
            </w:r>
            <w:r w:rsidR="004E6D79" w:rsidRPr="008F418F">
              <w:rPr>
                <w:rFonts w:ascii="Times New Roman" w:hAnsi="Times New Roman"/>
                <w:sz w:val="24"/>
                <w:szCs w:val="24"/>
              </w:rPr>
              <w:t>(</w:t>
            </w:r>
            <w:r w:rsidR="00010BBB" w:rsidRPr="008F418F">
              <w:rPr>
                <w:rStyle w:val="hps"/>
                <w:rFonts w:ascii="Times New Roman" w:hAnsi="Times New Roman"/>
                <w:b/>
                <w:sz w:val="24"/>
                <w:szCs w:val="24"/>
              </w:rPr>
              <w:t>2013/C 343/01</w:t>
            </w:r>
            <w:r w:rsidR="004E6D79" w:rsidRPr="008F418F">
              <w:rPr>
                <w:rFonts w:ascii="Times New Roman" w:hAnsi="Times New Roman"/>
                <w:sz w:val="24"/>
                <w:szCs w:val="24"/>
              </w:rPr>
              <w:t xml:space="preserve">) (Noteikumu projekta </w:t>
            </w:r>
            <w:r w:rsidR="00912619" w:rsidRPr="008F418F">
              <w:rPr>
                <w:rFonts w:ascii="Times New Roman" w:hAnsi="Times New Roman"/>
                <w:sz w:val="24"/>
                <w:szCs w:val="24"/>
              </w:rPr>
              <w:t xml:space="preserve">2., </w:t>
            </w:r>
            <w:r w:rsidR="003B7248" w:rsidRPr="008F418F">
              <w:rPr>
                <w:rFonts w:ascii="Times New Roman" w:hAnsi="Times New Roman"/>
                <w:sz w:val="24"/>
                <w:szCs w:val="24"/>
              </w:rPr>
              <w:t xml:space="preserve">3., </w:t>
            </w:r>
            <w:r w:rsidR="00291AF5" w:rsidRPr="008F418F">
              <w:rPr>
                <w:rFonts w:ascii="Times New Roman" w:hAnsi="Times New Roman"/>
                <w:sz w:val="24"/>
                <w:szCs w:val="24"/>
              </w:rPr>
              <w:t>4.</w:t>
            </w:r>
            <w:r w:rsidR="003B7248" w:rsidRPr="008F418F">
              <w:rPr>
                <w:rFonts w:ascii="Times New Roman" w:hAnsi="Times New Roman"/>
                <w:sz w:val="24"/>
                <w:szCs w:val="24"/>
              </w:rPr>
              <w:t xml:space="preserve"> un 24.</w:t>
            </w:r>
            <w:r w:rsidR="004E6D79" w:rsidRPr="008F418F">
              <w:rPr>
                <w:rFonts w:ascii="Times New Roman" w:hAnsi="Times New Roman"/>
                <w:sz w:val="24"/>
                <w:szCs w:val="24"/>
              </w:rPr>
              <w:t>punkts</w:t>
            </w:r>
            <w:r w:rsidR="000D10AE" w:rsidRPr="008F418F">
              <w:rPr>
                <w:rFonts w:ascii="Times New Roman" w:hAnsi="Times New Roman"/>
                <w:sz w:val="24"/>
                <w:szCs w:val="24"/>
              </w:rPr>
              <w:t>)</w:t>
            </w:r>
            <w:r w:rsidR="00C97A2B" w:rsidRPr="008F418F">
              <w:rPr>
                <w:rFonts w:ascii="Times New Roman" w:hAnsi="Times New Roman"/>
                <w:sz w:val="24"/>
                <w:szCs w:val="24"/>
              </w:rPr>
              <w:t xml:space="preserve">, </w:t>
            </w:r>
            <w:r w:rsidR="004E6D79" w:rsidRPr="008F418F">
              <w:rPr>
                <w:rFonts w:ascii="Times New Roman" w:hAnsi="Times New Roman"/>
                <w:sz w:val="24"/>
                <w:szCs w:val="24"/>
              </w:rPr>
              <w:t xml:space="preserve">precizēt zāļu labas izplatīšanas prasības aptiekām, </w:t>
            </w:r>
            <w:r w:rsidR="00C97A2B" w:rsidRPr="008F418F">
              <w:rPr>
                <w:rFonts w:ascii="Times New Roman" w:hAnsi="Times New Roman"/>
                <w:sz w:val="24"/>
                <w:szCs w:val="24"/>
              </w:rPr>
              <w:t xml:space="preserve">tai skaitā </w:t>
            </w:r>
            <w:r w:rsidR="004E6D79" w:rsidRPr="008F418F">
              <w:rPr>
                <w:rFonts w:ascii="Times New Roman" w:hAnsi="Times New Roman"/>
                <w:sz w:val="24"/>
                <w:szCs w:val="24"/>
              </w:rPr>
              <w:t>izplatot zāles</w:t>
            </w:r>
            <w:r w:rsidR="00C97A2B" w:rsidRPr="008F418F">
              <w:rPr>
                <w:rFonts w:ascii="Times New Roman" w:hAnsi="Times New Roman"/>
                <w:sz w:val="24"/>
                <w:szCs w:val="24"/>
              </w:rPr>
              <w:t xml:space="preserve"> </w:t>
            </w:r>
            <w:r w:rsidR="00C97A2B" w:rsidRPr="008F418F">
              <w:rPr>
                <w:rFonts w:ascii="Times New Roman" w:hAnsi="Times New Roman"/>
                <w:sz w:val="24"/>
                <w:szCs w:val="24"/>
                <w:shd w:val="clear" w:color="auto" w:fill="F1F1F1"/>
              </w:rPr>
              <w:t>ārstniecības iestādēm</w:t>
            </w:r>
            <w:r w:rsidR="00C97A2B" w:rsidRPr="004E6D79">
              <w:rPr>
                <w:rFonts w:ascii="Times New Roman" w:hAnsi="Times New Roman"/>
                <w:sz w:val="24"/>
                <w:szCs w:val="24"/>
                <w:shd w:val="clear" w:color="auto" w:fill="F1F1F1"/>
              </w:rPr>
              <w:t xml:space="preserve"> (prakses ārstiem), sociālās aprūpes </w:t>
            </w:r>
            <w:r w:rsidR="005D121B">
              <w:rPr>
                <w:rFonts w:ascii="Times New Roman" w:hAnsi="Times New Roman"/>
                <w:sz w:val="24"/>
                <w:szCs w:val="24"/>
                <w:shd w:val="clear" w:color="auto" w:fill="F1F1F1"/>
              </w:rPr>
              <w:t>un in</w:t>
            </w:r>
            <w:r w:rsidR="00C97A2B" w:rsidRPr="004E6D79">
              <w:rPr>
                <w:rFonts w:ascii="Times New Roman" w:hAnsi="Times New Roman"/>
                <w:sz w:val="24"/>
                <w:szCs w:val="24"/>
                <w:shd w:val="clear" w:color="auto" w:fill="F1F1F1"/>
              </w:rPr>
              <w:t>stitūcijām, praktizējošiem</w:t>
            </w:r>
            <w:r w:rsidR="00C97A2B" w:rsidRPr="007F397C">
              <w:rPr>
                <w:rFonts w:ascii="Times New Roman" w:hAnsi="Times New Roman"/>
                <w:sz w:val="24"/>
                <w:szCs w:val="24"/>
                <w:shd w:val="clear" w:color="auto" w:fill="F1F1F1"/>
              </w:rPr>
              <w:t xml:space="preserve"> veterinārārstiem un veterin</w:t>
            </w:r>
            <w:r w:rsidR="00D6663E">
              <w:rPr>
                <w:rFonts w:ascii="Times New Roman" w:hAnsi="Times New Roman"/>
                <w:sz w:val="24"/>
                <w:szCs w:val="24"/>
                <w:shd w:val="clear" w:color="auto" w:fill="F1F1F1"/>
              </w:rPr>
              <w:t>ārmedicīniskās aprūpes iestādēm</w:t>
            </w:r>
            <w:r w:rsidR="00C97A2B" w:rsidRPr="007F397C">
              <w:rPr>
                <w:rFonts w:ascii="Times New Roman" w:hAnsi="Times New Roman"/>
                <w:sz w:val="24"/>
                <w:szCs w:val="24"/>
                <w:shd w:val="clear" w:color="auto" w:fill="F1F1F1"/>
              </w:rPr>
              <w:t xml:space="preserve"> </w:t>
            </w:r>
            <w:r w:rsidR="000D10AE">
              <w:rPr>
                <w:rFonts w:ascii="Times New Roman" w:hAnsi="Times New Roman"/>
                <w:sz w:val="24"/>
                <w:szCs w:val="24"/>
              </w:rPr>
              <w:t xml:space="preserve">(Noteikumu projekta </w:t>
            </w:r>
            <w:r w:rsidR="00D6663E">
              <w:rPr>
                <w:rFonts w:ascii="Times New Roman" w:hAnsi="Times New Roman"/>
                <w:sz w:val="24"/>
                <w:szCs w:val="24"/>
              </w:rPr>
              <w:t>5</w:t>
            </w:r>
            <w:r w:rsidR="00C97A2B" w:rsidRPr="007F397C">
              <w:rPr>
                <w:rFonts w:ascii="Times New Roman" w:hAnsi="Times New Roman"/>
                <w:sz w:val="24"/>
                <w:szCs w:val="24"/>
              </w:rPr>
              <w:t>.</w:t>
            </w:r>
            <w:r w:rsidR="000D10AE">
              <w:rPr>
                <w:rFonts w:ascii="Times New Roman" w:hAnsi="Times New Roman"/>
                <w:sz w:val="24"/>
                <w:szCs w:val="24"/>
              </w:rPr>
              <w:t>, 6.,</w:t>
            </w:r>
            <w:r w:rsidR="00291AF5">
              <w:rPr>
                <w:rFonts w:ascii="Times New Roman" w:hAnsi="Times New Roman"/>
                <w:sz w:val="24"/>
                <w:szCs w:val="24"/>
              </w:rPr>
              <w:t xml:space="preserve"> </w:t>
            </w:r>
            <w:r w:rsidR="00A36A8D">
              <w:rPr>
                <w:rFonts w:ascii="Times New Roman" w:hAnsi="Times New Roman"/>
                <w:sz w:val="24"/>
                <w:szCs w:val="24"/>
              </w:rPr>
              <w:t>7., 10</w:t>
            </w:r>
            <w:r w:rsidR="00D6663E">
              <w:rPr>
                <w:rFonts w:ascii="Times New Roman" w:hAnsi="Times New Roman"/>
                <w:sz w:val="24"/>
                <w:szCs w:val="24"/>
              </w:rPr>
              <w:t>.,</w:t>
            </w:r>
            <w:r w:rsidR="00A36A8D">
              <w:rPr>
                <w:rFonts w:ascii="Times New Roman" w:hAnsi="Times New Roman"/>
                <w:sz w:val="24"/>
                <w:szCs w:val="24"/>
              </w:rPr>
              <w:t xml:space="preserve"> 11., 12., 13., 14., 15., 16., 17., 18</w:t>
            </w:r>
            <w:r w:rsidR="007576B2">
              <w:rPr>
                <w:rFonts w:ascii="Times New Roman" w:hAnsi="Times New Roman"/>
                <w:sz w:val="24"/>
                <w:szCs w:val="24"/>
              </w:rPr>
              <w:t>., 19., 20., 21</w:t>
            </w:r>
            <w:r w:rsidR="00912619">
              <w:rPr>
                <w:rFonts w:ascii="Times New Roman" w:hAnsi="Times New Roman"/>
                <w:sz w:val="24"/>
                <w:szCs w:val="24"/>
              </w:rPr>
              <w:t>.</w:t>
            </w:r>
            <w:r w:rsidR="00E77814">
              <w:rPr>
                <w:rFonts w:ascii="Times New Roman" w:hAnsi="Times New Roman"/>
                <w:sz w:val="24"/>
                <w:szCs w:val="24"/>
              </w:rPr>
              <w:t>,</w:t>
            </w:r>
            <w:r w:rsidR="007576B2">
              <w:rPr>
                <w:rFonts w:ascii="Times New Roman" w:hAnsi="Times New Roman"/>
                <w:sz w:val="24"/>
                <w:szCs w:val="24"/>
              </w:rPr>
              <w:t xml:space="preserve"> 22. un 23</w:t>
            </w:r>
            <w:r w:rsidR="00912619">
              <w:rPr>
                <w:rFonts w:ascii="Times New Roman" w:hAnsi="Times New Roman"/>
                <w:sz w:val="24"/>
                <w:szCs w:val="24"/>
              </w:rPr>
              <w:t>.punkts), kā arī sniegt termina</w:t>
            </w:r>
            <w:r w:rsidR="00912619" w:rsidRPr="007F397C">
              <w:rPr>
                <w:rFonts w:ascii="Times New Roman" w:hAnsi="Times New Roman"/>
                <w:sz w:val="24"/>
                <w:szCs w:val="24"/>
              </w:rPr>
              <w:t xml:space="preserve"> ”eksports</w:t>
            </w:r>
            <w:r w:rsidR="00912619">
              <w:rPr>
                <w:rFonts w:ascii="Times New Roman" w:hAnsi="Times New Roman"/>
                <w:sz w:val="24"/>
                <w:szCs w:val="24"/>
              </w:rPr>
              <w:t>” skaidrojumu un precizēt MK noteikumus Nr.416 attiecībā uz zāļu piegādēm uz Eiropas Ekonomikas zonas valstīm (</w:t>
            </w:r>
            <w:r w:rsidR="00912619" w:rsidRPr="007E29C6">
              <w:rPr>
                <w:rFonts w:ascii="Times New Roman" w:hAnsi="Times New Roman"/>
                <w:sz w:val="24"/>
                <w:szCs w:val="24"/>
              </w:rPr>
              <w:t>No</w:t>
            </w:r>
            <w:r w:rsidR="00291AF5">
              <w:rPr>
                <w:rFonts w:ascii="Times New Roman" w:hAnsi="Times New Roman"/>
                <w:sz w:val="24"/>
                <w:szCs w:val="24"/>
              </w:rPr>
              <w:t>teikumu projekta 1.</w:t>
            </w:r>
            <w:r w:rsidR="000D10AE">
              <w:rPr>
                <w:rFonts w:ascii="Times New Roman" w:hAnsi="Times New Roman"/>
                <w:sz w:val="24"/>
                <w:szCs w:val="24"/>
              </w:rPr>
              <w:t>,</w:t>
            </w:r>
            <w:r w:rsidR="004424E4">
              <w:rPr>
                <w:rFonts w:ascii="Times New Roman" w:hAnsi="Times New Roman"/>
                <w:sz w:val="24"/>
                <w:szCs w:val="24"/>
              </w:rPr>
              <w:t xml:space="preserve"> 8</w:t>
            </w:r>
            <w:r w:rsidR="00912619" w:rsidRPr="007E29C6">
              <w:rPr>
                <w:rFonts w:ascii="Times New Roman" w:hAnsi="Times New Roman"/>
                <w:sz w:val="24"/>
                <w:szCs w:val="24"/>
              </w:rPr>
              <w:t>.</w:t>
            </w:r>
            <w:r w:rsidR="004424E4">
              <w:rPr>
                <w:rFonts w:ascii="Times New Roman" w:hAnsi="Times New Roman"/>
                <w:sz w:val="24"/>
                <w:szCs w:val="24"/>
              </w:rPr>
              <w:t>, 9</w:t>
            </w:r>
            <w:r w:rsidR="00291AF5">
              <w:rPr>
                <w:rFonts w:ascii="Times New Roman" w:hAnsi="Times New Roman"/>
                <w:sz w:val="24"/>
                <w:szCs w:val="24"/>
              </w:rPr>
              <w:t>., 29. un 30</w:t>
            </w:r>
            <w:r w:rsidR="00912619" w:rsidRPr="007E29C6">
              <w:rPr>
                <w:rFonts w:ascii="Times New Roman" w:hAnsi="Times New Roman"/>
                <w:sz w:val="24"/>
                <w:szCs w:val="24"/>
              </w:rPr>
              <w:t xml:space="preserve">.punkts). </w:t>
            </w:r>
            <w:r w:rsidR="007E29C6" w:rsidRPr="007E29C6">
              <w:rPr>
                <w:rFonts w:ascii="Times New Roman" w:hAnsi="Times New Roman"/>
                <w:bCs/>
                <w:sz w:val="24"/>
                <w:szCs w:val="24"/>
              </w:rPr>
              <w:t xml:space="preserve">Eiropas Komisijas </w:t>
            </w:r>
            <w:r w:rsidR="00F44293" w:rsidRPr="00CB15D5">
              <w:rPr>
                <w:rFonts w:ascii="Times New Roman" w:hAnsi="Times New Roman"/>
                <w:b/>
                <w:bCs/>
                <w:sz w:val="24"/>
                <w:szCs w:val="24"/>
              </w:rPr>
              <w:t>2013.gada 5</w:t>
            </w:r>
            <w:r w:rsidR="007E29C6" w:rsidRPr="00CB15D5">
              <w:rPr>
                <w:rFonts w:ascii="Times New Roman" w:hAnsi="Times New Roman"/>
                <w:b/>
                <w:bCs/>
                <w:sz w:val="24"/>
                <w:szCs w:val="24"/>
              </w:rPr>
              <w:t>.</w:t>
            </w:r>
            <w:r w:rsidR="00F44293" w:rsidRPr="00CB15D5">
              <w:rPr>
                <w:rFonts w:ascii="Times New Roman" w:hAnsi="Times New Roman"/>
                <w:b/>
                <w:bCs/>
                <w:sz w:val="24"/>
                <w:szCs w:val="24"/>
              </w:rPr>
              <w:t>novembra</w:t>
            </w:r>
            <w:r w:rsidR="007E29C6">
              <w:rPr>
                <w:rFonts w:ascii="Times New Roman" w:hAnsi="Times New Roman"/>
                <w:bCs/>
                <w:sz w:val="24"/>
                <w:szCs w:val="24"/>
              </w:rPr>
              <w:t xml:space="preserve"> pamatnostādņu</w:t>
            </w:r>
            <w:r w:rsidR="007E29C6" w:rsidRPr="007E29C6">
              <w:rPr>
                <w:rFonts w:ascii="Times New Roman" w:hAnsi="Times New Roman"/>
                <w:bCs/>
                <w:sz w:val="24"/>
                <w:szCs w:val="24"/>
              </w:rPr>
              <w:t xml:space="preserve"> par cilvēkiem paredzētu zāļu labu izplatīšanas </w:t>
            </w:r>
            <w:r w:rsidR="007E29C6" w:rsidRPr="00F44293">
              <w:rPr>
                <w:rFonts w:ascii="Times New Roman" w:hAnsi="Times New Roman"/>
                <w:bCs/>
                <w:sz w:val="24"/>
                <w:szCs w:val="24"/>
              </w:rPr>
              <w:t xml:space="preserve">praksi </w:t>
            </w:r>
            <w:r w:rsidR="00F44293" w:rsidRPr="00F44293">
              <w:rPr>
                <w:rFonts w:ascii="Times New Roman" w:hAnsi="Times New Roman"/>
                <w:sz w:val="24"/>
                <w:szCs w:val="24"/>
              </w:rPr>
              <w:t>(</w:t>
            </w:r>
            <w:r w:rsidR="00F44293" w:rsidRPr="00F44293">
              <w:rPr>
                <w:rStyle w:val="hps"/>
                <w:rFonts w:ascii="Times New Roman" w:hAnsi="Times New Roman"/>
                <w:b/>
                <w:sz w:val="24"/>
                <w:szCs w:val="24"/>
              </w:rPr>
              <w:t>2013/C 343/01</w:t>
            </w:r>
            <w:r w:rsidR="007E29C6" w:rsidRPr="00F44293">
              <w:rPr>
                <w:rFonts w:ascii="Times New Roman" w:hAnsi="Times New Roman"/>
                <w:sz w:val="24"/>
                <w:szCs w:val="24"/>
              </w:rPr>
              <w:t xml:space="preserve">) aktuālā </w:t>
            </w:r>
            <w:r w:rsidR="007E29C6" w:rsidRPr="00F44293">
              <w:rPr>
                <w:rFonts w:ascii="Times New Roman" w:hAnsi="Times New Roman"/>
                <w:iCs/>
                <w:sz w:val="24"/>
                <w:szCs w:val="24"/>
              </w:rPr>
              <w:t>redakcija tiks publicēta latviešu valodā Zāļu valsts aģentūras tīmekļa vietnē</w:t>
            </w:r>
            <w:r w:rsidR="007E29C6" w:rsidRPr="00F44293">
              <w:rPr>
                <w:rFonts w:ascii="Times New Roman" w:hAnsi="Times New Roman"/>
                <w:sz w:val="24"/>
                <w:szCs w:val="24"/>
              </w:rPr>
              <w:t xml:space="preserve"> (</w:t>
            </w:r>
            <w:hyperlink r:id="rId11" w:history="1">
              <w:r w:rsidR="007E29C6" w:rsidRPr="00F44293">
                <w:rPr>
                  <w:rStyle w:val="Hyperlink"/>
                  <w:rFonts w:ascii="Times New Roman" w:hAnsi="Times New Roman"/>
                  <w:color w:val="auto"/>
                  <w:sz w:val="24"/>
                  <w:szCs w:val="24"/>
                  <w:u w:val="none"/>
                </w:rPr>
                <w:t>www.zva.gov.lv</w:t>
              </w:r>
            </w:hyperlink>
            <w:r w:rsidR="007E29C6" w:rsidRPr="00F44293">
              <w:rPr>
                <w:rFonts w:ascii="Times New Roman" w:hAnsi="Times New Roman"/>
                <w:sz w:val="24"/>
                <w:szCs w:val="24"/>
              </w:rPr>
              <w:t xml:space="preserve">). </w:t>
            </w:r>
            <w:r w:rsidR="00C97A2B" w:rsidRPr="00F44293">
              <w:rPr>
                <w:rFonts w:ascii="Times New Roman" w:hAnsi="Times New Roman"/>
                <w:sz w:val="24"/>
                <w:szCs w:val="24"/>
              </w:rPr>
              <w:t>Precizēt Zāļu valsts aģentūra  tīmekļa</w:t>
            </w:r>
            <w:r w:rsidR="00C97A2B" w:rsidRPr="007E29C6">
              <w:rPr>
                <w:rFonts w:ascii="Times New Roman" w:hAnsi="Times New Roman"/>
                <w:sz w:val="24"/>
                <w:szCs w:val="24"/>
              </w:rPr>
              <w:t xml:space="preserve">  vietnē</w:t>
            </w:r>
            <w:r w:rsidR="00C97A2B" w:rsidRPr="007F397C">
              <w:rPr>
                <w:rFonts w:ascii="Times New Roman" w:hAnsi="Times New Roman"/>
                <w:sz w:val="24"/>
                <w:szCs w:val="24"/>
              </w:rPr>
              <w:t xml:space="preserve"> (</w:t>
            </w:r>
            <w:hyperlink r:id="rId12" w:history="1">
              <w:r w:rsidR="00C97A2B" w:rsidRPr="007F397C">
                <w:rPr>
                  <w:rStyle w:val="Hyperlink"/>
                  <w:rFonts w:ascii="Times New Roman" w:hAnsi="Times New Roman"/>
                  <w:color w:val="auto"/>
                  <w:sz w:val="24"/>
                  <w:szCs w:val="24"/>
                  <w:u w:val="none"/>
                </w:rPr>
                <w:t>www.zva.gov.lv</w:t>
              </w:r>
            </w:hyperlink>
            <w:r w:rsidR="00C97A2B" w:rsidRPr="007F397C">
              <w:rPr>
                <w:rFonts w:ascii="Times New Roman" w:hAnsi="Times New Roman"/>
                <w:sz w:val="24"/>
                <w:szCs w:val="24"/>
              </w:rPr>
              <w:t xml:space="preserve">) publiskojamo informāciju saistībā ar izdotajām licencēm un </w:t>
            </w:r>
            <w:r w:rsidR="00C97A2B" w:rsidRPr="007F397C">
              <w:rPr>
                <w:rFonts w:ascii="Times New Roman" w:hAnsi="Times New Roman"/>
                <w:sz w:val="24"/>
                <w:szCs w:val="24"/>
                <w:shd w:val="clear" w:color="auto" w:fill="F1F1F1"/>
              </w:rPr>
              <w:t>Farmācijas likuma 4</w:t>
            </w:r>
            <w:r w:rsidR="00E46F49">
              <w:rPr>
                <w:rFonts w:ascii="Times New Roman" w:hAnsi="Times New Roman"/>
                <w:sz w:val="24"/>
                <w:szCs w:val="24"/>
                <w:shd w:val="clear" w:color="auto" w:fill="F1F1F1"/>
              </w:rPr>
              <w:t>8</w:t>
            </w:r>
            <w:r w:rsidR="00C97A2B" w:rsidRPr="007F397C">
              <w:rPr>
                <w:rFonts w:ascii="Times New Roman" w:hAnsi="Times New Roman"/>
                <w:sz w:val="24"/>
                <w:szCs w:val="24"/>
                <w:shd w:val="clear" w:color="auto" w:fill="F1F1F1"/>
              </w:rPr>
              <w:t xml:space="preserve">.panta pirmo daļā minētajām </w:t>
            </w:r>
            <w:r w:rsidR="00C97A2B" w:rsidRPr="007F397C">
              <w:rPr>
                <w:rFonts w:ascii="Times New Roman" w:hAnsi="Times New Roman"/>
                <w:sz w:val="24"/>
                <w:szCs w:val="24"/>
              </w:rPr>
              <w:t>a</w:t>
            </w:r>
            <w:r w:rsidR="00291AF5">
              <w:rPr>
                <w:rFonts w:ascii="Times New Roman" w:hAnsi="Times New Roman"/>
                <w:sz w:val="24"/>
                <w:szCs w:val="24"/>
              </w:rPr>
              <w:t>tļaujām (Noteikumu projekta 31</w:t>
            </w:r>
            <w:r w:rsidR="00C97A2B" w:rsidRPr="007F397C">
              <w:rPr>
                <w:rFonts w:ascii="Times New Roman" w:hAnsi="Times New Roman"/>
                <w:sz w:val="24"/>
                <w:szCs w:val="24"/>
              </w:rPr>
              <w:t>.punts).</w:t>
            </w:r>
          </w:p>
          <w:p w:rsidR="00912619" w:rsidRDefault="00912619" w:rsidP="00912619">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Noteikumu projekts atrisinās šīs sadaļas 2.</w:t>
            </w:r>
            <w:r>
              <w:rPr>
                <w:rFonts w:ascii="Times New Roman" w:hAnsi="Times New Roman"/>
                <w:sz w:val="24"/>
                <w:szCs w:val="24"/>
              </w:rPr>
              <w:t>2.apakš</w:t>
            </w:r>
            <w:r w:rsidRPr="00961F39">
              <w:rPr>
                <w:rFonts w:ascii="Times New Roman" w:hAnsi="Times New Roman"/>
                <w:sz w:val="24"/>
                <w:szCs w:val="24"/>
              </w:rPr>
              <w:t>punktā minēt</w:t>
            </w:r>
            <w:r>
              <w:rPr>
                <w:rFonts w:ascii="Times New Roman" w:hAnsi="Times New Roman"/>
                <w:sz w:val="24"/>
                <w:szCs w:val="24"/>
              </w:rPr>
              <w:t>ās</w:t>
            </w:r>
            <w:r w:rsidRPr="00961F39">
              <w:rPr>
                <w:rFonts w:ascii="Times New Roman" w:hAnsi="Times New Roman"/>
                <w:sz w:val="24"/>
                <w:szCs w:val="24"/>
              </w:rPr>
              <w:t xml:space="preserve"> problēm</w:t>
            </w:r>
            <w:r>
              <w:rPr>
                <w:rFonts w:ascii="Times New Roman" w:hAnsi="Times New Roman"/>
                <w:sz w:val="24"/>
                <w:szCs w:val="24"/>
              </w:rPr>
              <w:t>as</w:t>
            </w:r>
            <w:r w:rsidRPr="00961F39">
              <w:rPr>
                <w:rFonts w:ascii="Times New Roman" w:hAnsi="Times New Roman"/>
                <w:sz w:val="24"/>
                <w:szCs w:val="24"/>
              </w:rPr>
              <w:t>.</w:t>
            </w:r>
          </w:p>
          <w:p w:rsidR="00912619" w:rsidRPr="00F82535" w:rsidRDefault="00912619" w:rsidP="00C97A2B">
            <w:pPr>
              <w:jc w:val="both"/>
              <w:rPr>
                <w:strike/>
                <w:lang w:val="lv-LV"/>
              </w:rPr>
            </w:pPr>
          </w:p>
          <w:p w:rsidR="00C97A2B" w:rsidRDefault="00C97A2B" w:rsidP="00C97A2B">
            <w:pPr>
              <w:jc w:val="both"/>
              <w:rPr>
                <w:lang w:val="lv-LV"/>
              </w:rPr>
            </w:pPr>
            <w:r>
              <w:rPr>
                <w:rStyle w:val="spelle"/>
                <w:lang w:val="lv-LV"/>
              </w:rPr>
              <w:t>3</w:t>
            </w:r>
            <w:r w:rsidRPr="007F397C">
              <w:rPr>
                <w:rStyle w:val="spelle"/>
                <w:lang w:val="lv-LV"/>
              </w:rPr>
              <w:t>. </w:t>
            </w:r>
            <w:r w:rsidRPr="007F397C">
              <w:rPr>
                <w:lang w:val="lv-LV"/>
              </w:rPr>
              <w:t xml:space="preserve">Nodrošināt </w:t>
            </w:r>
            <w:r w:rsidRPr="007F397C">
              <w:rPr>
                <w:rStyle w:val="spelle"/>
                <w:lang w:val="lv-LV"/>
              </w:rPr>
              <w:t xml:space="preserve">atļaujas paralēli importēto zāļu izplatīšanai, atlikušo zāļu krājumu izplatīšanai un nereģistrētu zāļu </w:t>
            </w:r>
            <w:r w:rsidRPr="007F397C">
              <w:rPr>
                <w:lang w:val="lv-LV"/>
              </w:rPr>
              <w:t>izsniegšanu elektroniskā formātā vai papīra formā pēc izvēles un pārejas periodu normu ieviešanai saistībā ar papildus maksu par dokumenta saņemšanu papīra</w:t>
            </w:r>
            <w:r w:rsidR="00291AF5">
              <w:rPr>
                <w:lang w:val="lv-LV"/>
              </w:rPr>
              <w:t xml:space="preserve"> formātā (Noteikumu projekta </w:t>
            </w:r>
            <w:r w:rsidR="004E6D79">
              <w:rPr>
                <w:lang w:val="lv-LV"/>
              </w:rPr>
              <w:t>2</w:t>
            </w:r>
            <w:r w:rsidR="004424E4">
              <w:rPr>
                <w:lang w:val="lv-LV"/>
              </w:rPr>
              <w:t>4</w:t>
            </w:r>
            <w:r w:rsidR="00291AF5">
              <w:rPr>
                <w:lang w:val="lv-LV"/>
              </w:rPr>
              <w:t xml:space="preserve">., </w:t>
            </w:r>
            <w:r w:rsidR="004E6D79">
              <w:rPr>
                <w:lang w:val="lv-LV"/>
              </w:rPr>
              <w:t>2</w:t>
            </w:r>
            <w:r w:rsidR="00291AF5">
              <w:rPr>
                <w:lang w:val="lv-LV"/>
              </w:rPr>
              <w:t xml:space="preserve">6., </w:t>
            </w:r>
            <w:r w:rsidR="004E6D79">
              <w:rPr>
                <w:lang w:val="lv-LV"/>
              </w:rPr>
              <w:t>2</w:t>
            </w:r>
            <w:r w:rsidR="00291AF5">
              <w:rPr>
                <w:lang w:val="lv-LV"/>
              </w:rPr>
              <w:t xml:space="preserve">8. un </w:t>
            </w:r>
            <w:r w:rsidR="004E6D79">
              <w:rPr>
                <w:lang w:val="lv-LV"/>
              </w:rPr>
              <w:t>3</w:t>
            </w:r>
            <w:r w:rsidR="00291AF5">
              <w:rPr>
                <w:lang w:val="lv-LV"/>
              </w:rPr>
              <w:t>2</w:t>
            </w:r>
            <w:r w:rsidRPr="007F397C">
              <w:rPr>
                <w:lang w:val="lv-LV"/>
              </w:rPr>
              <w:t>.punkts).</w:t>
            </w:r>
          </w:p>
          <w:p w:rsidR="00912619" w:rsidRDefault="00912619" w:rsidP="00912619">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lastRenderedPageBreak/>
              <w:t>Noteikumu projekts atrisinās šīs sadaļas 2.</w:t>
            </w:r>
            <w:r>
              <w:rPr>
                <w:rFonts w:ascii="Times New Roman" w:hAnsi="Times New Roman"/>
                <w:sz w:val="24"/>
                <w:szCs w:val="24"/>
              </w:rPr>
              <w:t>3.apakš</w:t>
            </w:r>
            <w:r w:rsidRPr="00961F39">
              <w:rPr>
                <w:rFonts w:ascii="Times New Roman" w:hAnsi="Times New Roman"/>
                <w:sz w:val="24"/>
                <w:szCs w:val="24"/>
              </w:rPr>
              <w:t>punktā minēt</w:t>
            </w:r>
            <w:r>
              <w:rPr>
                <w:rFonts w:ascii="Times New Roman" w:hAnsi="Times New Roman"/>
                <w:sz w:val="24"/>
                <w:szCs w:val="24"/>
              </w:rPr>
              <w:t>ās</w:t>
            </w:r>
            <w:r w:rsidRPr="00961F39">
              <w:rPr>
                <w:rFonts w:ascii="Times New Roman" w:hAnsi="Times New Roman"/>
                <w:sz w:val="24"/>
                <w:szCs w:val="24"/>
              </w:rPr>
              <w:t xml:space="preserve"> problēm</w:t>
            </w:r>
            <w:r>
              <w:rPr>
                <w:rFonts w:ascii="Times New Roman" w:hAnsi="Times New Roman"/>
                <w:sz w:val="24"/>
                <w:szCs w:val="24"/>
              </w:rPr>
              <w:t>as</w:t>
            </w:r>
            <w:r w:rsidRPr="00961F39">
              <w:rPr>
                <w:rFonts w:ascii="Times New Roman" w:hAnsi="Times New Roman"/>
                <w:sz w:val="24"/>
                <w:szCs w:val="24"/>
              </w:rPr>
              <w:t>.</w:t>
            </w:r>
          </w:p>
          <w:p w:rsidR="00E77814" w:rsidRDefault="00E77814" w:rsidP="004E6D79">
            <w:pPr>
              <w:pStyle w:val="Bezatstarpm1"/>
              <w:jc w:val="both"/>
              <w:rPr>
                <w:rFonts w:ascii="Times New Roman" w:hAnsi="Times New Roman"/>
                <w:sz w:val="24"/>
                <w:szCs w:val="24"/>
              </w:rPr>
            </w:pPr>
          </w:p>
          <w:p w:rsidR="00912619" w:rsidRPr="00BC228D" w:rsidRDefault="00724E80" w:rsidP="004E6D79">
            <w:pPr>
              <w:pStyle w:val="Bezatstarpm1"/>
              <w:jc w:val="both"/>
              <w:rPr>
                <w:rFonts w:ascii="Times New Roman" w:hAnsi="Times New Roman"/>
                <w:sz w:val="24"/>
                <w:szCs w:val="24"/>
                <w:shd w:val="clear" w:color="auto" w:fill="F1F1F1"/>
                <w:lang w:val="lv-LV"/>
              </w:rPr>
            </w:pPr>
            <w:r>
              <w:rPr>
                <w:rFonts w:ascii="Times New Roman" w:hAnsi="Times New Roman"/>
                <w:sz w:val="24"/>
                <w:szCs w:val="24"/>
              </w:rPr>
              <w:t>4. </w:t>
            </w:r>
            <w:r w:rsidR="00C97A2B" w:rsidRPr="004E6D79">
              <w:rPr>
                <w:rFonts w:ascii="Times New Roman" w:hAnsi="Times New Roman"/>
                <w:sz w:val="24"/>
                <w:szCs w:val="24"/>
                <w:lang w:val="lv-LV"/>
              </w:rPr>
              <w:t>Precizēt</w:t>
            </w:r>
            <w:r w:rsidR="00C97A2B" w:rsidRPr="004E6D79">
              <w:rPr>
                <w:rFonts w:ascii="Times New Roman" w:hAnsi="Times New Roman"/>
                <w:b/>
                <w:sz w:val="24"/>
                <w:szCs w:val="24"/>
                <w:lang w:val="lv-LV"/>
              </w:rPr>
              <w:t xml:space="preserve"> </w:t>
            </w:r>
            <w:r w:rsidR="00C97A2B" w:rsidRPr="004E6D79">
              <w:rPr>
                <w:rFonts w:ascii="Times New Roman" w:hAnsi="Times New Roman"/>
                <w:sz w:val="24"/>
                <w:szCs w:val="24"/>
                <w:lang w:val="lv-LV"/>
              </w:rPr>
              <w:t xml:space="preserve">par nereģistrētajām zālēm, kuras izplata, pamatojoties uz sniegšanu </w:t>
            </w:r>
            <w:r w:rsidR="00C97A2B" w:rsidRPr="004E6D79">
              <w:rPr>
                <w:rFonts w:ascii="Times New Roman" w:hAnsi="Times New Roman"/>
                <w:sz w:val="24"/>
                <w:szCs w:val="24"/>
                <w:shd w:val="clear" w:color="auto" w:fill="F1F1F1"/>
                <w:lang w:val="lv-LV"/>
              </w:rPr>
              <w:t xml:space="preserve">Eiropas Ekonomikas zonas valstī reģistrētu, bet Latvijas Republikā nereģistrētu zāļu </w:t>
            </w:r>
            <w:r w:rsidR="00C97A2B" w:rsidRPr="00BC228D">
              <w:rPr>
                <w:rFonts w:ascii="Times New Roman" w:hAnsi="Times New Roman"/>
                <w:sz w:val="24"/>
                <w:szCs w:val="24"/>
                <w:shd w:val="clear" w:color="auto" w:fill="F1F1F1"/>
                <w:lang w:val="lv-LV"/>
              </w:rPr>
              <w:t>izplatīšanas</w:t>
            </w:r>
            <w:r w:rsidR="004E6D79" w:rsidRPr="00BC228D">
              <w:rPr>
                <w:rFonts w:ascii="Times New Roman" w:hAnsi="Times New Roman"/>
                <w:sz w:val="24"/>
                <w:szCs w:val="24"/>
                <w:shd w:val="clear" w:color="auto" w:fill="F1F1F1"/>
                <w:lang w:val="lv-LV"/>
              </w:rPr>
              <w:t xml:space="preserve"> atļauju</w:t>
            </w:r>
            <w:r w:rsidR="00912619" w:rsidRPr="00BC228D">
              <w:rPr>
                <w:rFonts w:ascii="Times New Roman" w:hAnsi="Times New Roman"/>
                <w:sz w:val="24"/>
                <w:szCs w:val="24"/>
                <w:shd w:val="clear" w:color="auto" w:fill="F1F1F1"/>
                <w:lang w:val="lv-LV"/>
              </w:rPr>
              <w:t xml:space="preserve">, sniedzamo informāciju </w:t>
            </w:r>
            <w:r w:rsidR="00291AF5">
              <w:rPr>
                <w:rFonts w:ascii="Times New Roman" w:hAnsi="Times New Roman"/>
                <w:sz w:val="24"/>
                <w:szCs w:val="24"/>
                <w:shd w:val="clear" w:color="auto" w:fill="F1F1F1"/>
                <w:lang w:val="lv-LV"/>
              </w:rPr>
              <w:t xml:space="preserve">(Noteikumu projekta </w:t>
            </w:r>
            <w:r w:rsidR="004E6D79" w:rsidRPr="00BC228D">
              <w:rPr>
                <w:rFonts w:ascii="Times New Roman" w:hAnsi="Times New Roman"/>
                <w:sz w:val="24"/>
                <w:szCs w:val="24"/>
                <w:shd w:val="clear" w:color="auto" w:fill="F1F1F1"/>
                <w:lang w:val="lv-LV"/>
              </w:rPr>
              <w:t>2</w:t>
            </w:r>
            <w:r w:rsidR="00291AF5">
              <w:rPr>
                <w:rFonts w:ascii="Times New Roman" w:hAnsi="Times New Roman"/>
                <w:sz w:val="24"/>
                <w:szCs w:val="24"/>
                <w:shd w:val="clear" w:color="auto" w:fill="F1F1F1"/>
                <w:lang w:val="lv-LV"/>
              </w:rPr>
              <w:t>7</w:t>
            </w:r>
            <w:r w:rsidR="00C97A2B" w:rsidRPr="00BC228D">
              <w:rPr>
                <w:rFonts w:ascii="Times New Roman" w:hAnsi="Times New Roman"/>
                <w:sz w:val="24"/>
                <w:szCs w:val="24"/>
                <w:shd w:val="clear" w:color="auto" w:fill="F1F1F1"/>
                <w:lang w:val="lv-LV"/>
              </w:rPr>
              <w:t>.punkts).</w:t>
            </w:r>
          </w:p>
          <w:p w:rsidR="00912619" w:rsidRPr="004E6D79" w:rsidRDefault="00912619" w:rsidP="004E6D79">
            <w:pPr>
              <w:pStyle w:val="Bezatstarpm1"/>
              <w:jc w:val="both"/>
              <w:rPr>
                <w:rFonts w:ascii="Times New Roman" w:hAnsi="Times New Roman"/>
                <w:b/>
                <w:color w:val="414142"/>
                <w:sz w:val="24"/>
                <w:szCs w:val="24"/>
                <w:lang w:val="lv-LV"/>
              </w:rPr>
            </w:pPr>
            <w:r w:rsidRPr="00BC228D">
              <w:rPr>
                <w:rFonts w:ascii="Times New Roman" w:hAnsi="Times New Roman"/>
                <w:sz w:val="24"/>
                <w:szCs w:val="24"/>
                <w:lang w:val="lv-LV"/>
              </w:rPr>
              <w:t>Noteikumu projekts atrisinās šīs sadaļas 2.</w:t>
            </w:r>
            <w:r w:rsidR="00851D41" w:rsidRPr="00BC228D">
              <w:rPr>
                <w:rFonts w:ascii="Times New Roman" w:hAnsi="Times New Roman"/>
                <w:sz w:val="24"/>
                <w:szCs w:val="24"/>
                <w:lang w:val="lv-LV"/>
              </w:rPr>
              <w:t>4</w:t>
            </w:r>
            <w:r w:rsidRPr="00BC228D">
              <w:rPr>
                <w:rFonts w:ascii="Times New Roman" w:hAnsi="Times New Roman"/>
                <w:sz w:val="24"/>
                <w:szCs w:val="24"/>
                <w:lang w:val="lv-LV"/>
              </w:rPr>
              <w:t>.apakšpunktā minētās problēmas.</w:t>
            </w:r>
          </w:p>
        </w:tc>
      </w:tr>
      <w:tr w:rsidR="00145830" w:rsidRPr="00961F39" w:rsidTr="00736685">
        <w:trPr>
          <w:gridAfter w:val="1"/>
          <w:wAfter w:w="152" w:type="dxa"/>
        </w:trPr>
        <w:tc>
          <w:tcPr>
            <w:tcW w:w="397" w:type="dxa"/>
            <w:gridSpan w:val="3"/>
          </w:tcPr>
          <w:p w:rsidR="00145830" w:rsidRPr="00961F39" w:rsidRDefault="00145830" w:rsidP="00E54238">
            <w:pPr>
              <w:rPr>
                <w:lang w:val="lv-LV"/>
              </w:rPr>
            </w:pPr>
            <w:r w:rsidRPr="00961F39">
              <w:rPr>
                <w:lang w:val="lv-LV"/>
              </w:rPr>
              <w:lastRenderedPageBreak/>
              <w:t>5.</w:t>
            </w:r>
          </w:p>
        </w:tc>
        <w:tc>
          <w:tcPr>
            <w:tcW w:w="1447" w:type="dxa"/>
            <w:gridSpan w:val="5"/>
          </w:tcPr>
          <w:p w:rsidR="00145830" w:rsidRPr="00961F39" w:rsidRDefault="00145830" w:rsidP="00E54238">
            <w:pPr>
              <w:jc w:val="both"/>
              <w:rPr>
                <w:lang w:val="lv-LV"/>
              </w:rPr>
            </w:pPr>
            <w:r w:rsidRPr="00961F39">
              <w:rPr>
                <w:lang w:val="lv-LV"/>
              </w:rPr>
              <w:t>Projekta izstrādē iesaistītās institūcijas</w:t>
            </w:r>
          </w:p>
        </w:tc>
        <w:tc>
          <w:tcPr>
            <w:tcW w:w="7796" w:type="dxa"/>
            <w:gridSpan w:val="12"/>
          </w:tcPr>
          <w:p w:rsidR="00145830" w:rsidRPr="00961F39" w:rsidRDefault="0075377C" w:rsidP="00E54238">
            <w:pPr>
              <w:pStyle w:val="Heading6"/>
              <w:spacing w:before="0" w:after="0"/>
              <w:jc w:val="both"/>
              <w:rPr>
                <w:b w:val="0"/>
                <w:bCs w:val="0"/>
                <w:sz w:val="24"/>
                <w:szCs w:val="24"/>
                <w:lang w:val="lv-LV"/>
              </w:rPr>
            </w:pPr>
            <w:r>
              <w:rPr>
                <w:b w:val="0"/>
                <w:bCs w:val="0"/>
                <w:sz w:val="24"/>
                <w:szCs w:val="24"/>
                <w:lang w:val="lv-LV"/>
              </w:rPr>
              <w:t xml:space="preserve">Nacionālais veselības dienests, </w:t>
            </w:r>
            <w:r w:rsidR="00145830" w:rsidRPr="00961F39">
              <w:rPr>
                <w:b w:val="0"/>
                <w:bCs w:val="0"/>
                <w:sz w:val="24"/>
                <w:szCs w:val="24"/>
                <w:lang w:val="lv-LV"/>
              </w:rPr>
              <w:t>Zāļu valsts aģentūra</w:t>
            </w:r>
            <w:r>
              <w:rPr>
                <w:b w:val="0"/>
                <w:bCs w:val="0"/>
                <w:sz w:val="24"/>
                <w:szCs w:val="24"/>
                <w:lang w:val="lv-LV"/>
              </w:rPr>
              <w:t>, Veselības inspekcija</w:t>
            </w:r>
          </w:p>
        </w:tc>
      </w:tr>
      <w:tr w:rsidR="00145830" w:rsidRPr="00961F39" w:rsidTr="00736685">
        <w:trPr>
          <w:gridAfter w:val="1"/>
          <w:wAfter w:w="152" w:type="dxa"/>
        </w:trPr>
        <w:tc>
          <w:tcPr>
            <w:tcW w:w="397" w:type="dxa"/>
            <w:gridSpan w:val="3"/>
          </w:tcPr>
          <w:p w:rsidR="00145830" w:rsidRPr="00961F39" w:rsidRDefault="00145830" w:rsidP="00E54238">
            <w:pPr>
              <w:rPr>
                <w:lang w:val="lv-LV"/>
              </w:rPr>
            </w:pPr>
            <w:r w:rsidRPr="00961F39">
              <w:rPr>
                <w:lang w:val="lv-LV"/>
              </w:rPr>
              <w:t>6.</w:t>
            </w:r>
          </w:p>
        </w:tc>
        <w:tc>
          <w:tcPr>
            <w:tcW w:w="1447" w:type="dxa"/>
            <w:gridSpan w:val="5"/>
          </w:tcPr>
          <w:p w:rsidR="00145830" w:rsidRPr="00961F39" w:rsidRDefault="00145830" w:rsidP="00E54238">
            <w:pPr>
              <w:jc w:val="both"/>
              <w:rPr>
                <w:lang w:val="lv-LV"/>
              </w:rPr>
            </w:pPr>
            <w:r w:rsidRPr="00961F39">
              <w:rPr>
                <w:lang w:val="lv-LV"/>
              </w:rPr>
              <w:t>Iemesli, kādēļ netika nodrošināta sabiedrības līdzdalība</w:t>
            </w:r>
          </w:p>
        </w:tc>
        <w:tc>
          <w:tcPr>
            <w:tcW w:w="7796" w:type="dxa"/>
            <w:gridSpan w:val="12"/>
          </w:tcPr>
          <w:p w:rsidR="00145830" w:rsidRPr="00961F39" w:rsidRDefault="00B15CD1" w:rsidP="00E54238">
            <w:pPr>
              <w:jc w:val="both"/>
              <w:rPr>
                <w:lang w:val="lv-LV"/>
              </w:rPr>
            </w:pPr>
            <w:r w:rsidRPr="00961F39">
              <w:rPr>
                <w:lang w:val="lv-LV"/>
              </w:rPr>
              <w:t>P</w:t>
            </w:r>
            <w:r w:rsidR="001601E6" w:rsidRPr="00961F39">
              <w:rPr>
                <w:lang w:val="lv-LV"/>
              </w:rPr>
              <w:t>rojekts šo jomu neskar</w:t>
            </w:r>
          </w:p>
        </w:tc>
      </w:tr>
      <w:tr w:rsidR="00145830" w:rsidRPr="00961F39" w:rsidTr="00736685">
        <w:trPr>
          <w:gridAfter w:val="1"/>
          <w:wAfter w:w="152" w:type="dxa"/>
        </w:trPr>
        <w:tc>
          <w:tcPr>
            <w:tcW w:w="397" w:type="dxa"/>
            <w:gridSpan w:val="3"/>
          </w:tcPr>
          <w:p w:rsidR="00145830" w:rsidRPr="00961F39" w:rsidRDefault="00145830" w:rsidP="00E54238">
            <w:pPr>
              <w:rPr>
                <w:lang w:val="lv-LV"/>
              </w:rPr>
            </w:pPr>
            <w:r w:rsidRPr="00961F39">
              <w:rPr>
                <w:lang w:val="lv-LV"/>
              </w:rPr>
              <w:t xml:space="preserve">7. </w:t>
            </w:r>
          </w:p>
        </w:tc>
        <w:tc>
          <w:tcPr>
            <w:tcW w:w="1447" w:type="dxa"/>
            <w:gridSpan w:val="5"/>
          </w:tcPr>
          <w:p w:rsidR="00145830" w:rsidRPr="00961F39" w:rsidRDefault="00145830" w:rsidP="00E54238">
            <w:pPr>
              <w:jc w:val="both"/>
              <w:rPr>
                <w:lang w:val="lv-LV"/>
              </w:rPr>
            </w:pPr>
            <w:r w:rsidRPr="00961F39">
              <w:rPr>
                <w:lang w:val="lv-LV"/>
              </w:rPr>
              <w:t>Cita informācija</w:t>
            </w:r>
          </w:p>
        </w:tc>
        <w:tc>
          <w:tcPr>
            <w:tcW w:w="7796" w:type="dxa"/>
            <w:gridSpan w:val="12"/>
          </w:tcPr>
          <w:p w:rsidR="00145830" w:rsidRPr="00961F39" w:rsidRDefault="00145830" w:rsidP="00E54238">
            <w:pPr>
              <w:pStyle w:val="naisc"/>
              <w:spacing w:before="0" w:after="0"/>
              <w:jc w:val="both"/>
              <w:rPr>
                <w:lang w:bidi="lo-LA"/>
              </w:rPr>
            </w:pPr>
            <w:r w:rsidRPr="00961F39">
              <w:rPr>
                <w:lang w:bidi="lo-LA"/>
              </w:rPr>
              <w:t>Nav</w:t>
            </w:r>
          </w:p>
        </w:tc>
      </w:tr>
      <w:tr w:rsidR="00145830" w:rsidRPr="00112ADB" w:rsidTr="00736685">
        <w:trPr>
          <w:gridAfter w:val="1"/>
          <w:wAfter w:w="152" w:type="dxa"/>
        </w:trPr>
        <w:tc>
          <w:tcPr>
            <w:tcW w:w="9640" w:type="dxa"/>
            <w:gridSpan w:val="20"/>
          </w:tcPr>
          <w:p w:rsidR="00145830" w:rsidRDefault="00145830" w:rsidP="00E54238">
            <w:pPr>
              <w:jc w:val="center"/>
              <w:rPr>
                <w:b/>
                <w:lang w:val="lv-LV"/>
              </w:rPr>
            </w:pPr>
            <w:r w:rsidRPr="00961F39">
              <w:rPr>
                <w:b/>
                <w:lang w:val="lv-LV"/>
              </w:rPr>
              <w:t xml:space="preserve">II. Tiesību </w:t>
            </w:r>
            <w:smartTag w:uri="schemas-tilde-lv/tildestengine" w:element="veidnes">
              <w:smartTagPr>
                <w:attr w:name="text" w:val="akta"/>
                <w:attr w:name="id" w:val="-1"/>
                <w:attr w:name="baseform" w:val="akt|s"/>
              </w:smartTagPr>
              <w:r w:rsidRPr="00961F39">
                <w:rPr>
                  <w:b/>
                  <w:lang w:val="lv-LV"/>
                </w:rPr>
                <w:t>akta</w:t>
              </w:r>
            </w:smartTag>
            <w:r w:rsidRPr="00961F39">
              <w:rPr>
                <w:b/>
                <w:lang w:val="lv-LV"/>
              </w:rPr>
              <w:t xml:space="preserve"> projekta ietekme uz sabiedrību</w:t>
            </w:r>
          </w:p>
          <w:p w:rsidR="00062BE9" w:rsidRPr="00961F39" w:rsidRDefault="00062BE9" w:rsidP="00E54238">
            <w:pPr>
              <w:jc w:val="center"/>
              <w:rPr>
                <w:b/>
                <w:lang w:val="lv-LV"/>
              </w:rPr>
            </w:pPr>
          </w:p>
        </w:tc>
      </w:tr>
      <w:tr w:rsidR="00145830" w:rsidRPr="00112ADB" w:rsidTr="00736685">
        <w:trPr>
          <w:gridAfter w:val="1"/>
          <w:wAfter w:w="152" w:type="dxa"/>
        </w:trPr>
        <w:tc>
          <w:tcPr>
            <w:tcW w:w="439" w:type="dxa"/>
            <w:gridSpan w:val="4"/>
          </w:tcPr>
          <w:p w:rsidR="00145830" w:rsidRPr="00961F39" w:rsidRDefault="00145830" w:rsidP="00E54238">
            <w:pPr>
              <w:rPr>
                <w:lang w:val="lv-LV"/>
              </w:rPr>
            </w:pPr>
            <w:r w:rsidRPr="00961F39">
              <w:rPr>
                <w:lang w:val="lv-LV"/>
              </w:rPr>
              <w:t>1.</w:t>
            </w:r>
          </w:p>
        </w:tc>
        <w:tc>
          <w:tcPr>
            <w:tcW w:w="1830" w:type="dxa"/>
            <w:gridSpan w:val="6"/>
          </w:tcPr>
          <w:p w:rsidR="00145830" w:rsidRPr="00961F39" w:rsidRDefault="00145830" w:rsidP="00E54238">
            <w:pPr>
              <w:jc w:val="both"/>
              <w:rPr>
                <w:lang w:val="lv-LV"/>
              </w:rPr>
            </w:pPr>
            <w:r w:rsidRPr="00961F39">
              <w:rPr>
                <w:lang w:val="lv-LV"/>
              </w:rPr>
              <w:t>Sabiedrības mērķgrupa</w:t>
            </w:r>
          </w:p>
        </w:tc>
        <w:tc>
          <w:tcPr>
            <w:tcW w:w="7371" w:type="dxa"/>
            <w:gridSpan w:val="10"/>
          </w:tcPr>
          <w:p w:rsidR="00875A8C" w:rsidRDefault="00145830" w:rsidP="00712EF2">
            <w:pPr>
              <w:pStyle w:val="naiskr"/>
              <w:spacing w:before="0" w:after="0"/>
              <w:jc w:val="both"/>
            </w:pPr>
            <w:r w:rsidRPr="00961F39">
              <w:t>Noteikumu projektā ietver</w:t>
            </w:r>
            <w:r w:rsidR="009A1585" w:rsidRPr="00961F39">
              <w:t>tās pr</w:t>
            </w:r>
            <w:r w:rsidR="00B86767" w:rsidRPr="00961F39">
              <w:t>asības attiecas</w:t>
            </w:r>
            <w:r w:rsidR="00875A8C">
              <w:t>:</w:t>
            </w:r>
          </w:p>
          <w:p w:rsidR="00531AC3" w:rsidRDefault="00875A8C" w:rsidP="00712EF2">
            <w:pPr>
              <w:pStyle w:val="naiskr"/>
              <w:spacing w:before="0" w:after="0"/>
              <w:jc w:val="both"/>
            </w:pPr>
            <w:r>
              <w:t>1)</w:t>
            </w:r>
            <w:r w:rsidR="003E19B8">
              <w:t> </w:t>
            </w:r>
            <w:r w:rsidR="00B86767" w:rsidRPr="00961F39">
              <w:t xml:space="preserve">uz tām </w:t>
            </w:r>
            <w:r w:rsidR="009A1585" w:rsidRPr="00961F39">
              <w:t xml:space="preserve">personām, kurām </w:t>
            </w:r>
            <w:r w:rsidR="00541BF4" w:rsidRPr="00CC7DD8">
              <w:t>Eiropas Savienības, Eiropas Ekonomikas zonas valstīs un Šveices Konfederācijā izrakstītās receptes</w:t>
            </w:r>
            <w:r w:rsidR="00541BF4">
              <w:t xml:space="preserve"> atzīšana ir piemērojama</w:t>
            </w:r>
            <w:r>
              <w:t>;</w:t>
            </w:r>
          </w:p>
          <w:p w:rsidR="00875A8C" w:rsidRDefault="003E19B8" w:rsidP="00875A8C">
            <w:pPr>
              <w:pStyle w:val="naiskr"/>
              <w:spacing w:before="0" w:after="0"/>
              <w:jc w:val="both"/>
            </w:pPr>
            <w:r>
              <w:t>2) </w:t>
            </w:r>
            <w:r w:rsidR="006D57F2" w:rsidRPr="00961F39">
              <w:t xml:space="preserve">aptuveni </w:t>
            </w:r>
            <w:r w:rsidR="003D7681" w:rsidRPr="00961F39">
              <w:t>104</w:t>
            </w:r>
            <w:r w:rsidR="00B15CD1" w:rsidRPr="00961F39">
              <w:t>00</w:t>
            </w:r>
            <w:r w:rsidR="003D7681" w:rsidRPr="00961F39">
              <w:t xml:space="preserve"> </w:t>
            </w:r>
            <w:r w:rsidR="00531AC3" w:rsidRPr="00961F39">
              <w:t xml:space="preserve">ārstniecības personām, </w:t>
            </w:r>
            <w:r w:rsidR="00AA751E" w:rsidRPr="00961F39">
              <w:t xml:space="preserve">1500 </w:t>
            </w:r>
            <w:r w:rsidR="00531AC3" w:rsidRPr="00961F39">
              <w:t>farmaceitiem</w:t>
            </w:r>
            <w:r w:rsidR="00875A8C">
              <w:t>;</w:t>
            </w:r>
          </w:p>
          <w:p w:rsidR="00145830" w:rsidRDefault="00875A8C" w:rsidP="003E19B8">
            <w:pPr>
              <w:pStyle w:val="naiskr"/>
              <w:spacing w:before="0" w:after="0"/>
              <w:jc w:val="both"/>
            </w:pPr>
            <w:r>
              <w:t>3)</w:t>
            </w:r>
            <w:r w:rsidR="003E19B8">
              <w:t> </w:t>
            </w:r>
            <w:r w:rsidR="00541BF4">
              <w:t>pacientu tiesību piemērošanas</w:t>
            </w:r>
            <w:r w:rsidR="00541BF4" w:rsidRPr="00541BF4">
              <w:t xml:space="preserve"> pārrobežu veselības aprūpē</w:t>
            </w:r>
            <w:r w:rsidR="00531AC3" w:rsidRPr="00961F39">
              <w:t xml:space="preserve"> nodrošināšanā iesaistīt</w:t>
            </w:r>
            <w:r w:rsidR="00CE79DE" w:rsidRPr="00961F39">
              <w:t xml:space="preserve">o </w:t>
            </w:r>
            <w:r w:rsidR="00531AC3" w:rsidRPr="00961F39">
              <w:t>institūcij</w:t>
            </w:r>
            <w:r w:rsidR="00CE79DE" w:rsidRPr="00961F39">
              <w:t>u</w:t>
            </w:r>
            <w:r w:rsidR="003E19B8">
              <w:t> - </w:t>
            </w:r>
            <w:r w:rsidR="00541BF4">
              <w:t xml:space="preserve">Nacionālā veselības dienesta, </w:t>
            </w:r>
            <w:r w:rsidR="00531AC3" w:rsidRPr="00961F39">
              <w:t>Zāļu valsts aģentūr</w:t>
            </w:r>
            <w:r w:rsidR="00CE79DE" w:rsidRPr="00961F39">
              <w:t>as</w:t>
            </w:r>
            <w:r w:rsidR="00531AC3" w:rsidRPr="00961F39">
              <w:t xml:space="preserve"> un </w:t>
            </w:r>
            <w:r w:rsidR="00767A5C" w:rsidRPr="00961F39">
              <w:t xml:space="preserve">Veselības </w:t>
            </w:r>
            <w:r w:rsidR="00531AC3" w:rsidRPr="00961F39">
              <w:t>inspekcij</w:t>
            </w:r>
            <w:r w:rsidR="00CE79DE" w:rsidRPr="00961F39">
              <w:t>as amatpersonām, kuras iesaistītas noteikumu projektā iekļauto pienākumu izpildē.</w:t>
            </w:r>
          </w:p>
          <w:p w:rsidR="00BC228D" w:rsidRDefault="00BC228D" w:rsidP="003E19B8">
            <w:pPr>
              <w:pStyle w:val="naiskr"/>
              <w:spacing w:before="0" w:after="0"/>
              <w:jc w:val="both"/>
            </w:pPr>
          </w:p>
          <w:p w:rsidR="00BC228D" w:rsidRDefault="00BC228D" w:rsidP="00BC228D">
            <w:pPr>
              <w:jc w:val="both"/>
              <w:rPr>
                <w:lang w:val="lv-LV"/>
              </w:rPr>
            </w:pPr>
            <w:r w:rsidRPr="009D257A">
              <w:rPr>
                <w:lang w:val="lv-LV"/>
              </w:rPr>
              <w:t>Noteikumu projekta tiesiskais regulējums</w:t>
            </w:r>
            <w:r>
              <w:rPr>
                <w:lang w:val="lv-LV"/>
              </w:rPr>
              <w:t xml:space="preserve"> attiecībā uz zāļu izplatīšanu</w:t>
            </w:r>
            <w:r w:rsidRPr="009D257A">
              <w:rPr>
                <w:lang w:val="lv-LV"/>
              </w:rPr>
              <w:t xml:space="preserve"> attiecas uz </w:t>
            </w:r>
            <w:r>
              <w:rPr>
                <w:lang w:val="lv-LV"/>
              </w:rPr>
              <w:t xml:space="preserve">cilvēkiem paredzēto </w:t>
            </w:r>
            <w:r w:rsidRPr="009D257A">
              <w:rPr>
                <w:lang w:val="lv-LV"/>
              </w:rPr>
              <w:t>zāļu ražotājiem</w:t>
            </w:r>
            <w:r>
              <w:rPr>
                <w:lang w:val="lv-LV"/>
              </w:rPr>
              <w:t xml:space="preserve"> un importētājiem, zāļu lieltirgotavām un aptiekām </w:t>
            </w:r>
            <w:r w:rsidRPr="004468B2">
              <w:rPr>
                <w:lang w:val="lv-LV"/>
              </w:rPr>
              <w:t>(Latvijā pēc Zāļu valsts aģentūras datie</w:t>
            </w:r>
            <w:r>
              <w:rPr>
                <w:lang w:val="lv-LV"/>
              </w:rPr>
              <w:t>m uz 16.08.2013. ir 60 zāļu lieltirgotavas; 822 aptieka</w:t>
            </w:r>
            <w:r w:rsidR="00291AF5">
              <w:rPr>
                <w:lang w:val="lv-LV"/>
              </w:rPr>
              <w:t xml:space="preserve"> 9tai skaitā 62.aptiekām, kuras izplata zāles ārstniecības iestādēm un sociālās aprūpes institūcijām)</w:t>
            </w:r>
            <w:r>
              <w:rPr>
                <w:lang w:val="lv-LV"/>
              </w:rPr>
              <w:t xml:space="preserve">; 3 </w:t>
            </w:r>
            <w:r w:rsidRPr="000C1870">
              <w:rPr>
                <w:lang w:val="lv-LV"/>
              </w:rPr>
              <w:t xml:space="preserve">ES dalībvalstī vai EEZ valstī izsniegto speciālo atļauju (licenču) </w:t>
            </w:r>
            <w:r>
              <w:rPr>
                <w:lang w:val="lv-LV"/>
              </w:rPr>
              <w:t>turētāji</w:t>
            </w:r>
            <w:r w:rsidRPr="000C1870">
              <w:rPr>
                <w:lang w:val="lv-LV"/>
              </w:rPr>
              <w:t>,</w:t>
            </w:r>
            <w:r>
              <w:rPr>
                <w:lang w:val="lv-LV"/>
              </w:rPr>
              <w:t xml:space="preserve"> </w:t>
            </w:r>
            <w:r w:rsidRPr="000C1870">
              <w:rPr>
                <w:lang w:val="lv-LV"/>
              </w:rPr>
              <w:t>kas paziņojuši par zāļu vairumtirdzniecī</w:t>
            </w:r>
            <w:r>
              <w:rPr>
                <w:lang w:val="lv-LV"/>
              </w:rPr>
              <w:t>bas uzsākšanu Latvijas Republikā; un uz 21.06.2013. ir 30 personas ar licencēm zāļu ražošanai/importēšanai</w:t>
            </w:r>
            <w:r w:rsidRPr="004468B2">
              <w:rPr>
                <w:lang w:val="lv-LV"/>
              </w:rPr>
              <w:t>)</w:t>
            </w:r>
            <w:r>
              <w:rPr>
                <w:lang w:val="lv-LV"/>
              </w:rPr>
              <w:t>, kā arī</w:t>
            </w:r>
            <w:r w:rsidRPr="004468B2">
              <w:rPr>
                <w:lang w:val="lv-LV"/>
              </w:rPr>
              <w:t xml:space="preserve"> Zāļu valsts aģentūras </w:t>
            </w:r>
            <w:r>
              <w:rPr>
                <w:lang w:val="lv-LV"/>
              </w:rPr>
              <w:t xml:space="preserve">un Veselības inspekcijas </w:t>
            </w:r>
            <w:r w:rsidRPr="004468B2">
              <w:rPr>
                <w:lang w:val="lv-LV"/>
              </w:rPr>
              <w:t>amatpersonām, kuras iesaistītas noteikumu projektā iekļauto pienākumu izpildē</w:t>
            </w:r>
            <w:r>
              <w:rPr>
                <w:lang w:val="lv-LV"/>
              </w:rPr>
              <w:t>.</w:t>
            </w:r>
            <w:r w:rsidRPr="004468B2">
              <w:rPr>
                <w:lang w:val="lv-LV"/>
              </w:rPr>
              <w:t xml:space="preserve"> </w:t>
            </w:r>
          </w:p>
          <w:p w:rsidR="00F83ADF" w:rsidRPr="00961F39" w:rsidRDefault="00BC228D" w:rsidP="00BC228D">
            <w:pPr>
              <w:pStyle w:val="naiskr"/>
              <w:spacing w:before="0" w:after="0"/>
              <w:jc w:val="both"/>
            </w:pPr>
            <w:r w:rsidRPr="004468B2">
              <w:t xml:space="preserve">Noteikumu projekta tiesiskais regulējums attiecas </w:t>
            </w:r>
            <w:r>
              <w:t xml:space="preserve">arī </w:t>
            </w:r>
            <w:r w:rsidRPr="004468B2">
              <w:t xml:space="preserve">uz personām, kas </w:t>
            </w:r>
            <w:r>
              <w:t>nodarbojas ar starpniecības darījumiem ar zālēm</w:t>
            </w:r>
            <w:r w:rsidRPr="004468B2">
              <w:t>.</w:t>
            </w:r>
            <w:r>
              <w:t xml:space="preserve"> Pašreiz nav zināms personu skaits, kuras Latvijā nodarbojas ar starpniecības darījumiem ar zālēm.</w:t>
            </w:r>
          </w:p>
        </w:tc>
      </w:tr>
      <w:tr w:rsidR="00145830" w:rsidRPr="00961F39" w:rsidTr="00736685">
        <w:trPr>
          <w:gridAfter w:val="1"/>
          <w:wAfter w:w="152" w:type="dxa"/>
        </w:trPr>
        <w:tc>
          <w:tcPr>
            <w:tcW w:w="439" w:type="dxa"/>
            <w:gridSpan w:val="4"/>
          </w:tcPr>
          <w:p w:rsidR="00145830" w:rsidRPr="00961F39" w:rsidRDefault="00145830" w:rsidP="00E54238">
            <w:pPr>
              <w:rPr>
                <w:lang w:val="lv-LV"/>
              </w:rPr>
            </w:pPr>
            <w:r w:rsidRPr="00961F39">
              <w:rPr>
                <w:lang w:val="lv-LV"/>
              </w:rPr>
              <w:t xml:space="preserve">2. </w:t>
            </w:r>
          </w:p>
        </w:tc>
        <w:tc>
          <w:tcPr>
            <w:tcW w:w="1830" w:type="dxa"/>
            <w:gridSpan w:val="6"/>
          </w:tcPr>
          <w:p w:rsidR="00145830" w:rsidRPr="00961F39" w:rsidRDefault="00145830" w:rsidP="00E54238">
            <w:pPr>
              <w:jc w:val="both"/>
              <w:rPr>
                <w:lang w:val="lv-LV"/>
              </w:rPr>
            </w:pPr>
            <w:r w:rsidRPr="00961F39">
              <w:rPr>
                <w:lang w:val="lv-LV"/>
              </w:rPr>
              <w:t xml:space="preserve">Citas </w:t>
            </w:r>
            <w:r w:rsidRPr="00961F39">
              <w:rPr>
                <w:lang w:val="lv-LV"/>
              </w:rPr>
              <w:lastRenderedPageBreak/>
              <w:t>sabiedrības grupas (bez mērķgrupas), kuras tiesiskais regulējums arī ietekmē vai varētu ietekmēt</w:t>
            </w:r>
          </w:p>
        </w:tc>
        <w:tc>
          <w:tcPr>
            <w:tcW w:w="7371" w:type="dxa"/>
            <w:gridSpan w:val="10"/>
          </w:tcPr>
          <w:p w:rsidR="00145830" w:rsidRPr="00961F39" w:rsidRDefault="00B15CD1" w:rsidP="00E54238">
            <w:pPr>
              <w:pStyle w:val="naiskr"/>
              <w:spacing w:before="0" w:after="0"/>
              <w:jc w:val="both"/>
            </w:pPr>
            <w:r w:rsidRPr="00961F39">
              <w:lastRenderedPageBreak/>
              <w:t>P</w:t>
            </w:r>
            <w:r w:rsidR="001601E6" w:rsidRPr="00961F39">
              <w:t>rojekts šo jomu neskar.</w:t>
            </w:r>
          </w:p>
        </w:tc>
      </w:tr>
      <w:tr w:rsidR="00145830" w:rsidRPr="00112ADB" w:rsidTr="00736685">
        <w:trPr>
          <w:gridAfter w:val="1"/>
          <w:wAfter w:w="152" w:type="dxa"/>
        </w:trPr>
        <w:tc>
          <w:tcPr>
            <w:tcW w:w="439" w:type="dxa"/>
            <w:gridSpan w:val="4"/>
          </w:tcPr>
          <w:p w:rsidR="00145830" w:rsidRPr="00961F39" w:rsidRDefault="00145830" w:rsidP="00E54238">
            <w:pPr>
              <w:rPr>
                <w:lang w:val="lv-LV"/>
              </w:rPr>
            </w:pPr>
            <w:r w:rsidRPr="00961F39">
              <w:rPr>
                <w:lang w:val="lv-LV"/>
              </w:rPr>
              <w:lastRenderedPageBreak/>
              <w:t xml:space="preserve">3. </w:t>
            </w:r>
          </w:p>
        </w:tc>
        <w:tc>
          <w:tcPr>
            <w:tcW w:w="1830" w:type="dxa"/>
            <w:gridSpan w:val="6"/>
          </w:tcPr>
          <w:p w:rsidR="00145830" w:rsidRPr="00961F39" w:rsidRDefault="00145830" w:rsidP="00E54238">
            <w:pPr>
              <w:jc w:val="both"/>
              <w:rPr>
                <w:lang w:val="lv-LV"/>
              </w:rPr>
            </w:pPr>
            <w:r w:rsidRPr="00961F39">
              <w:rPr>
                <w:lang w:val="lv-LV"/>
              </w:rPr>
              <w:t>Tiesiskā regulējuma finansiālā ietekme</w:t>
            </w:r>
          </w:p>
        </w:tc>
        <w:tc>
          <w:tcPr>
            <w:tcW w:w="7371" w:type="dxa"/>
            <w:gridSpan w:val="10"/>
          </w:tcPr>
          <w:p w:rsidR="00416272" w:rsidRDefault="00A46029" w:rsidP="00712EF2">
            <w:pPr>
              <w:jc w:val="both"/>
              <w:rPr>
                <w:lang w:val="lv-LV"/>
              </w:rPr>
            </w:pPr>
            <w:r>
              <w:rPr>
                <w:lang w:val="lv-LV"/>
              </w:rPr>
              <w:t xml:space="preserve">Tiesiskā regulējuma finansiālā ietekme nav attiecināma uz pacientiem, kā arī ārstniecības personām un farmaceitiem, kuriem pienākums </w:t>
            </w:r>
            <w:r w:rsidR="00416272">
              <w:rPr>
                <w:lang w:val="lv-LV"/>
              </w:rPr>
              <w:t>ievērot zāļu izrakstīšanas, izplatīšanas, izsn</w:t>
            </w:r>
            <w:r w:rsidR="003E19B8">
              <w:rPr>
                <w:lang w:val="lv-LV"/>
              </w:rPr>
              <w:t>iegšanas un saņemšanas kārtību.</w:t>
            </w:r>
          </w:p>
          <w:p w:rsidR="00712EF2" w:rsidRPr="00CB4B58" w:rsidRDefault="00712EF2" w:rsidP="003E19B8">
            <w:pPr>
              <w:jc w:val="both"/>
              <w:rPr>
                <w:lang w:val="lv-LV"/>
              </w:rPr>
            </w:pPr>
          </w:p>
        </w:tc>
      </w:tr>
      <w:tr w:rsidR="00145830" w:rsidRPr="00112ADB" w:rsidTr="00736685">
        <w:trPr>
          <w:gridAfter w:val="1"/>
          <w:wAfter w:w="152" w:type="dxa"/>
        </w:trPr>
        <w:tc>
          <w:tcPr>
            <w:tcW w:w="439" w:type="dxa"/>
            <w:gridSpan w:val="4"/>
          </w:tcPr>
          <w:p w:rsidR="00145830" w:rsidRPr="00961F39" w:rsidRDefault="00145830" w:rsidP="00E54238">
            <w:pPr>
              <w:rPr>
                <w:lang w:val="lv-LV"/>
              </w:rPr>
            </w:pPr>
            <w:r w:rsidRPr="00961F39">
              <w:rPr>
                <w:lang w:val="lv-LV"/>
              </w:rPr>
              <w:t>4.</w:t>
            </w:r>
          </w:p>
        </w:tc>
        <w:tc>
          <w:tcPr>
            <w:tcW w:w="1830" w:type="dxa"/>
            <w:gridSpan w:val="6"/>
          </w:tcPr>
          <w:p w:rsidR="00145830" w:rsidRPr="00961F39" w:rsidRDefault="00145830" w:rsidP="00E54238">
            <w:pPr>
              <w:jc w:val="both"/>
              <w:rPr>
                <w:lang w:val="lv-LV"/>
              </w:rPr>
            </w:pPr>
            <w:r w:rsidRPr="00961F39">
              <w:rPr>
                <w:lang w:val="lv-LV"/>
              </w:rPr>
              <w:t>Tiesiskā regulējuma nefinansiālā ietekme</w:t>
            </w:r>
          </w:p>
        </w:tc>
        <w:tc>
          <w:tcPr>
            <w:tcW w:w="7371" w:type="dxa"/>
            <w:gridSpan w:val="10"/>
          </w:tcPr>
          <w:p w:rsidR="005824AB" w:rsidRDefault="005824AB" w:rsidP="00E54238">
            <w:pPr>
              <w:jc w:val="both"/>
              <w:rPr>
                <w:lang w:val="lv-LV"/>
              </w:rPr>
            </w:pPr>
            <w:r>
              <w:rPr>
                <w:lang w:val="lv-LV"/>
              </w:rPr>
              <w:t>Noteikumu projektā iekļautās normas vērstas</w:t>
            </w:r>
            <w:r w:rsidR="00CE03F0" w:rsidRPr="00961F39">
              <w:rPr>
                <w:lang w:val="lv-LV"/>
              </w:rPr>
              <w:t xml:space="preserve"> uz </w:t>
            </w:r>
            <w:r>
              <w:rPr>
                <w:lang w:val="lv-LV"/>
              </w:rPr>
              <w:t xml:space="preserve">sabiedrības </w:t>
            </w:r>
            <w:r w:rsidR="00CE03F0" w:rsidRPr="00961F39">
              <w:rPr>
                <w:lang w:val="lv-LV"/>
              </w:rPr>
              <w:t>veselīb</w:t>
            </w:r>
            <w:r>
              <w:rPr>
                <w:lang w:val="lv-LV"/>
              </w:rPr>
              <w:t>as aizsardzības</w:t>
            </w:r>
            <w:r w:rsidR="00CE03F0" w:rsidRPr="00961F39">
              <w:rPr>
                <w:lang w:val="lv-LV"/>
              </w:rPr>
              <w:t xml:space="preserve"> </w:t>
            </w:r>
            <w:r w:rsidR="003C6206">
              <w:rPr>
                <w:lang w:val="lv-LV"/>
              </w:rPr>
              <w:t xml:space="preserve">un pacientu tiesību </w:t>
            </w:r>
            <w:r w:rsidR="00CE03F0" w:rsidRPr="00961F39">
              <w:rPr>
                <w:lang w:val="lv-LV"/>
              </w:rPr>
              <w:t>pilnīgāk</w:t>
            </w:r>
            <w:r>
              <w:rPr>
                <w:lang w:val="lv-LV"/>
              </w:rPr>
              <w:t>u</w:t>
            </w:r>
            <w:r w:rsidR="00CE03F0" w:rsidRPr="00961F39">
              <w:rPr>
                <w:lang w:val="lv-LV"/>
              </w:rPr>
              <w:t xml:space="preserve"> nodrošinā</w:t>
            </w:r>
            <w:r>
              <w:rPr>
                <w:lang w:val="lv-LV"/>
              </w:rPr>
              <w:t>šanu</w:t>
            </w:r>
            <w:r w:rsidR="003C6206">
              <w:rPr>
                <w:lang w:val="lv-LV"/>
              </w:rPr>
              <w:t xml:space="preserve"> </w:t>
            </w:r>
            <w:r w:rsidR="003C6206" w:rsidRPr="003C6206">
              <w:rPr>
                <w:lang w:val="lv-LV"/>
              </w:rPr>
              <w:t>Eiropas Savienības, Eiropas Ekonomikas zonas valstīs un Šveices Konfederācijā</w:t>
            </w:r>
            <w:r>
              <w:rPr>
                <w:lang w:val="lv-LV"/>
              </w:rPr>
              <w:t xml:space="preserve">, saistībā ar zāļu </w:t>
            </w:r>
            <w:r w:rsidR="003C6206">
              <w:rPr>
                <w:lang w:val="lv-LV"/>
              </w:rPr>
              <w:t>iegādi, veselības aprūpes pakalpojumu pieejamību un cilvēku mobilitātes nodrošināšanu</w:t>
            </w:r>
            <w:r>
              <w:rPr>
                <w:lang w:val="lv-LV"/>
              </w:rPr>
              <w:t>, paredzot:</w:t>
            </w:r>
          </w:p>
          <w:p w:rsidR="00CE03F0" w:rsidRPr="00961F39" w:rsidRDefault="003E19B8" w:rsidP="00E54238">
            <w:pPr>
              <w:jc w:val="both"/>
              <w:rPr>
                <w:lang w:val="lv-LV"/>
              </w:rPr>
            </w:pPr>
            <w:r>
              <w:rPr>
                <w:lang w:val="lv-LV"/>
              </w:rPr>
              <w:t>- pacientiem - </w:t>
            </w:r>
            <w:r w:rsidR="00DA41FC">
              <w:rPr>
                <w:lang w:val="lv-LV"/>
              </w:rPr>
              <w:t xml:space="preserve">jaunas </w:t>
            </w:r>
            <w:r w:rsidR="005D4ACC" w:rsidRPr="00961F39">
              <w:rPr>
                <w:lang w:val="lv-LV"/>
              </w:rPr>
              <w:t xml:space="preserve">tiesības </w:t>
            </w:r>
            <w:r w:rsidR="003C6206">
              <w:rPr>
                <w:lang w:val="lv-LV"/>
              </w:rPr>
              <w:t xml:space="preserve">savā mītnes valstī izrakstītas receptes izmantošanu ne tikai mītnes valstī, bet arī </w:t>
            </w:r>
            <w:r w:rsidR="003C6206" w:rsidRPr="00416272">
              <w:rPr>
                <w:lang w:val="lv-LV"/>
              </w:rPr>
              <w:t>Eiropas Savienības, Eiropas Ekonomikas zonas valstīs un Šveices Konfederācijā</w:t>
            </w:r>
            <w:r w:rsidR="005D4ACC" w:rsidRPr="00961F39">
              <w:rPr>
                <w:lang w:val="lv-LV"/>
              </w:rPr>
              <w:t>;</w:t>
            </w:r>
          </w:p>
          <w:p w:rsidR="005D4ACC" w:rsidRDefault="00EA5E0C" w:rsidP="003E19B8">
            <w:pPr>
              <w:jc w:val="both"/>
              <w:rPr>
                <w:lang w:val="lv-LV"/>
              </w:rPr>
            </w:pPr>
            <w:r w:rsidRPr="00961F39">
              <w:rPr>
                <w:lang w:val="lv-LV"/>
              </w:rPr>
              <w:t>-</w:t>
            </w:r>
            <w:r w:rsidR="003E19B8">
              <w:rPr>
                <w:lang w:val="lv-LV"/>
              </w:rPr>
              <w:t> </w:t>
            </w:r>
            <w:r w:rsidR="003C6206" w:rsidRPr="00961F39">
              <w:rPr>
                <w:lang w:val="lv-LV"/>
              </w:rPr>
              <w:t>farmaceitiem</w:t>
            </w:r>
            <w:r w:rsidR="003E19B8">
              <w:rPr>
                <w:lang w:val="lv-LV"/>
              </w:rPr>
              <w:t> - </w:t>
            </w:r>
            <w:r w:rsidR="00A066BE">
              <w:rPr>
                <w:lang w:val="lv-LV"/>
              </w:rPr>
              <w:t xml:space="preserve">vairojot brīvu preču apriti, </w:t>
            </w:r>
            <w:r w:rsidR="003C6206">
              <w:rPr>
                <w:lang w:val="lv-LV"/>
              </w:rPr>
              <w:t xml:space="preserve">izsniegt zāles pret </w:t>
            </w:r>
            <w:r w:rsidR="003C6206" w:rsidRPr="003C6206">
              <w:rPr>
                <w:lang w:val="lv-LV"/>
              </w:rPr>
              <w:t>Eiropas Savienības, Eiropas Ekonomikas zonas valstīs un Šveices Konfederācijā</w:t>
            </w:r>
            <w:r w:rsidR="003C6206">
              <w:rPr>
                <w:lang w:val="lv-LV"/>
              </w:rPr>
              <w:t xml:space="preserve"> izrakstītu recepti</w:t>
            </w:r>
            <w:r w:rsidR="00A066BE">
              <w:rPr>
                <w:lang w:val="lv-LV"/>
              </w:rPr>
              <w:t>, pārliecino</w:t>
            </w:r>
            <w:r w:rsidR="003C6206">
              <w:rPr>
                <w:lang w:val="lv-LV"/>
              </w:rPr>
              <w:t xml:space="preserve">ties par receptes </w:t>
            </w:r>
            <w:r w:rsidR="00EB35EB">
              <w:rPr>
                <w:lang w:val="lv-LV"/>
              </w:rPr>
              <w:t>autentiskumu, informējot pacientu par zāļu lietošanu viņam saprotamā veidā.</w:t>
            </w:r>
          </w:p>
          <w:p w:rsidR="00F83ADF" w:rsidRDefault="00F83ADF" w:rsidP="003E19B8">
            <w:pPr>
              <w:jc w:val="both"/>
              <w:rPr>
                <w:lang w:val="lv-LV"/>
              </w:rPr>
            </w:pPr>
          </w:p>
          <w:p w:rsidR="00F83ADF" w:rsidRPr="00F83ADF" w:rsidRDefault="00F83ADF" w:rsidP="00FE13BE">
            <w:pPr>
              <w:jc w:val="both"/>
              <w:rPr>
                <w:lang w:val="lv-LV"/>
              </w:rPr>
            </w:pPr>
            <w:r w:rsidRPr="00F83ADF">
              <w:rPr>
                <w:spacing w:val="-6"/>
                <w:lang w:val="lv-LV"/>
              </w:rPr>
              <w:t xml:space="preserve">Ieviešot </w:t>
            </w:r>
            <w:r w:rsidRPr="00F83ADF">
              <w:rPr>
                <w:lang w:val="lv-LV"/>
              </w:rPr>
              <w:t xml:space="preserve">Eiropas Komisijas </w:t>
            </w:r>
            <w:r w:rsidR="00CB15D5" w:rsidRPr="00CB15D5">
              <w:rPr>
                <w:b/>
              </w:rPr>
              <w:t>2013.gada 5.novembra</w:t>
            </w:r>
            <w:r w:rsidR="00CB15D5">
              <w:t xml:space="preserve"> </w:t>
            </w:r>
            <w:r w:rsidRPr="00F83ADF">
              <w:rPr>
                <w:lang w:val="lv-LV"/>
              </w:rPr>
              <w:t xml:space="preserve">pamatnostādnes par cilvēkiem paredzētu zāļu labu izplatīšanas praksi </w:t>
            </w:r>
            <w:r w:rsidRPr="0004793A">
              <w:t>(</w:t>
            </w:r>
            <w:r w:rsidR="00943250" w:rsidRPr="005C5704">
              <w:rPr>
                <w:rStyle w:val="hps"/>
                <w:b/>
                <w:lang w:val="lv-LV"/>
              </w:rPr>
              <w:t>2013/C 343/01</w:t>
            </w:r>
            <w:r w:rsidRPr="0004793A">
              <w:t xml:space="preserve">), </w:t>
            </w:r>
            <w:r w:rsidRPr="00F83ADF">
              <w:rPr>
                <w:spacing w:val="-6"/>
                <w:lang w:val="lv-LV"/>
              </w:rPr>
              <w:t xml:space="preserve">tiks uzlabota tirgū esošo zāļu drošuma uzraudzība, kas pozitīvi ietekmēs sabiedrības veselību. </w:t>
            </w:r>
            <w:r w:rsidRPr="00F83ADF">
              <w:rPr>
                <w:bCs/>
                <w:iCs/>
                <w:spacing w:val="-6"/>
                <w:lang w:val="lv-LV"/>
              </w:rPr>
              <w:t>Tiks samazināts risks viltotu un nekvalitatīvu zāļu, kas var apdraudēt cilvēka veselību, nokļūšanai legālās piegādes ķēdē.</w:t>
            </w:r>
          </w:p>
        </w:tc>
      </w:tr>
      <w:tr w:rsidR="00145830" w:rsidRPr="00961F39" w:rsidTr="00736685">
        <w:trPr>
          <w:gridAfter w:val="1"/>
          <w:wAfter w:w="152" w:type="dxa"/>
        </w:trPr>
        <w:tc>
          <w:tcPr>
            <w:tcW w:w="439" w:type="dxa"/>
            <w:gridSpan w:val="4"/>
          </w:tcPr>
          <w:p w:rsidR="00145830" w:rsidRPr="00961F39" w:rsidRDefault="00145830" w:rsidP="00E54238">
            <w:pPr>
              <w:rPr>
                <w:lang w:val="lv-LV"/>
              </w:rPr>
            </w:pPr>
            <w:r w:rsidRPr="00961F39">
              <w:rPr>
                <w:lang w:val="lv-LV"/>
              </w:rPr>
              <w:t>5.</w:t>
            </w:r>
          </w:p>
        </w:tc>
        <w:tc>
          <w:tcPr>
            <w:tcW w:w="1830" w:type="dxa"/>
            <w:gridSpan w:val="6"/>
          </w:tcPr>
          <w:p w:rsidR="00145830" w:rsidRPr="00961F39" w:rsidRDefault="00145830" w:rsidP="00E54238">
            <w:pPr>
              <w:jc w:val="both"/>
              <w:rPr>
                <w:lang w:val="lv-LV"/>
              </w:rPr>
            </w:pPr>
            <w:r w:rsidRPr="00961F39">
              <w:rPr>
                <w:lang w:val="lv-LV"/>
              </w:rPr>
              <w:t>Administratīvās procedūras raksturojums</w:t>
            </w:r>
          </w:p>
        </w:tc>
        <w:tc>
          <w:tcPr>
            <w:tcW w:w="7371" w:type="dxa"/>
            <w:gridSpan w:val="10"/>
          </w:tcPr>
          <w:p w:rsidR="00145830" w:rsidRDefault="004123C8" w:rsidP="004123C8">
            <w:pPr>
              <w:jc w:val="both"/>
              <w:rPr>
                <w:lang w:val="lv-LV"/>
              </w:rPr>
            </w:pPr>
            <w:r w:rsidRPr="00776885">
              <w:rPr>
                <w:bCs/>
                <w:iCs/>
                <w:spacing w:val="-6"/>
                <w:lang w:val="lv-LV"/>
              </w:rPr>
              <w:t xml:space="preserve">Samazināts </w:t>
            </w:r>
            <w:r w:rsidRPr="00776885">
              <w:rPr>
                <w:lang w:val="lv-LV"/>
              </w:rPr>
              <w:t xml:space="preserve">administratīvais slogs </w:t>
            </w:r>
            <w:r>
              <w:rPr>
                <w:lang w:val="lv-LV"/>
              </w:rPr>
              <w:t xml:space="preserve">zāļu vairumtirgotājiem </w:t>
            </w:r>
            <w:r>
              <w:rPr>
                <w:rStyle w:val="spelle"/>
                <w:lang w:val="lv-LV"/>
              </w:rPr>
              <w:t>atļaujas</w:t>
            </w:r>
            <w:r w:rsidRPr="00522A55">
              <w:rPr>
                <w:rStyle w:val="spelle"/>
                <w:lang w:val="lv-LV"/>
              </w:rPr>
              <w:t xml:space="preserve"> paralēli importēto zāļu izplatīšanai, atlikušo zāļu krājumu izplatīšanai un nereģistrētu zāļu izplatīšanai </w:t>
            </w:r>
            <w:r>
              <w:rPr>
                <w:lang w:val="lv-LV"/>
              </w:rPr>
              <w:t>izsniegšanai, jo veicināta atteikšanās</w:t>
            </w:r>
            <w:r w:rsidRPr="00776885">
              <w:rPr>
                <w:lang w:val="lv-LV"/>
              </w:rPr>
              <w:t xml:space="preserve"> no papīra veida dokumentu aprites.</w:t>
            </w:r>
          </w:p>
          <w:p w:rsidR="004123C8" w:rsidRDefault="004123C8" w:rsidP="004123C8">
            <w:pPr>
              <w:jc w:val="both"/>
              <w:rPr>
                <w:lang w:val="lv-LV"/>
              </w:rPr>
            </w:pPr>
          </w:p>
          <w:p w:rsidR="004123C8" w:rsidRPr="000A0B28" w:rsidRDefault="004123C8" w:rsidP="00B57183">
            <w:pPr>
              <w:shd w:val="clear" w:color="auto" w:fill="FFFFFF"/>
              <w:ind w:left="10" w:right="38" w:hanging="10"/>
              <w:jc w:val="both"/>
              <w:rPr>
                <w:spacing w:val="-6"/>
              </w:rPr>
            </w:pPr>
            <w:r>
              <w:rPr>
                <w:lang w:val="lv-LV"/>
              </w:rPr>
              <w:t xml:space="preserve">Samazināts administratīvais slogs aptiekām  </w:t>
            </w:r>
            <w:r w:rsidR="000A0B28">
              <w:rPr>
                <w:lang w:val="lv-LV"/>
              </w:rPr>
              <w:t xml:space="preserve">rakstisku procedūru izstrādē saistībā ar zāļu saņemšanu, uzglabāšanu un izplatīšanu </w:t>
            </w:r>
            <w:r w:rsidR="000A0B28" w:rsidRPr="003267DE">
              <w:rPr>
                <w:lang w:val="lv-LV"/>
              </w:rPr>
              <w:t>ārstniecības iestādēm, sociālās aprūpes institūcijām, praktizējošiem veterinārārstiem un veterinārmedicīniskās aprūpes iestādēm</w:t>
            </w:r>
            <w:r w:rsidR="000A0B28">
              <w:rPr>
                <w:lang w:val="lv-LV"/>
              </w:rPr>
              <w:t>, tādējādi novērsta procesa dublēšanā, jo daļu no rakstiskajām procedūrām var ietvert aptiekā apstiprinātajos  iekšējās darba kārtība noteikum</w:t>
            </w:r>
            <w:r w:rsidR="00724E80">
              <w:rPr>
                <w:lang w:val="lv-LV"/>
              </w:rPr>
              <w:t xml:space="preserve">os un priekšrakstos atbilstoši </w:t>
            </w:r>
            <w:r w:rsidR="000A0B28" w:rsidRPr="002F0BD5">
              <w:rPr>
                <w:lang w:val="lv-LV"/>
              </w:rPr>
              <w:t>Ministru kabin</w:t>
            </w:r>
            <w:r w:rsidR="000A0B28">
              <w:rPr>
                <w:lang w:val="lv-LV"/>
              </w:rPr>
              <w:t>eta 2010.gada 23.marta noteikumiem</w:t>
            </w:r>
            <w:r w:rsidR="000A0B28" w:rsidRPr="002F0BD5">
              <w:rPr>
                <w:lang w:val="lv-LV"/>
              </w:rPr>
              <w:t xml:space="preserve"> Nr.288 ”</w:t>
            </w:r>
            <w:r w:rsidR="000A0B28" w:rsidRPr="002F0BD5">
              <w:rPr>
                <w:bCs/>
                <w:lang w:val="lv-LV"/>
              </w:rPr>
              <w:t>Aptieku darbības noteikumi</w:t>
            </w:r>
            <w:r w:rsidR="000A0B28" w:rsidRPr="002F0BD5">
              <w:rPr>
                <w:lang w:val="lv-LV"/>
              </w:rPr>
              <w:t>”</w:t>
            </w:r>
            <w:r w:rsidR="000A0B28">
              <w:rPr>
                <w:spacing w:val="-6"/>
              </w:rPr>
              <w:t>.</w:t>
            </w:r>
          </w:p>
        </w:tc>
      </w:tr>
      <w:tr w:rsidR="00145830" w:rsidRPr="00961F39" w:rsidTr="00736685">
        <w:trPr>
          <w:gridAfter w:val="1"/>
          <w:wAfter w:w="152" w:type="dxa"/>
        </w:trPr>
        <w:tc>
          <w:tcPr>
            <w:tcW w:w="439" w:type="dxa"/>
            <w:gridSpan w:val="4"/>
          </w:tcPr>
          <w:p w:rsidR="00145830" w:rsidRPr="00961F39" w:rsidRDefault="00145830" w:rsidP="00E54238">
            <w:pPr>
              <w:rPr>
                <w:lang w:val="lv-LV"/>
              </w:rPr>
            </w:pPr>
            <w:r w:rsidRPr="00961F39">
              <w:rPr>
                <w:lang w:val="lv-LV"/>
              </w:rPr>
              <w:t>6.</w:t>
            </w:r>
          </w:p>
        </w:tc>
        <w:tc>
          <w:tcPr>
            <w:tcW w:w="1830" w:type="dxa"/>
            <w:gridSpan w:val="6"/>
          </w:tcPr>
          <w:p w:rsidR="00145830" w:rsidRPr="00961F39" w:rsidRDefault="00145830" w:rsidP="00E54238">
            <w:pPr>
              <w:jc w:val="both"/>
              <w:rPr>
                <w:lang w:val="lv-LV"/>
              </w:rPr>
            </w:pPr>
            <w:r w:rsidRPr="00961F39">
              <w:rPr>
                <w:lang w:val="lv-LV"/>
              </w:rPr>
              <w:t>Administratīvo izmaksu monetārs novērtējums</w:t>
            </w:r>
          </w:p>
        </w:tc>
        <w:tc>
          <w:tcPr>
            <w:tcW w:w="7371" w:type="dxa"/>
            <w:gridSpan w:val="10"/>
          </w:tcPr>
          <w:p w:rsidR="00145830" w:rsidRPr="00961F39" w:rsidRDefault="00B15CD1" w:rsidP="00E54238">
            <w:pPr>
              <w:rPr>
                <w:lang w:val="lv-LV"/>
              </w:rPr>
            </w:pPr>
            <w:r w:rsidRPr="00961F39">
              <w:rPr>
                <w:lang w:val="lv-LV"/>
              </w:rPr>
              <w:t>P</w:t>
            </w:r>
            <w:r w:rsidR="005B1D17" w:rsidRPr="00961F39">
              <w:rPr>
                <w:lang w:val="lv-LV"/>
              </w:rPr>
              <w:t>rojekts šo jomu neskar</w:t>
            </w:r>
            <w:r w:rsidR="005B1D17" w:rsidRPr="00961F39">
              <w:t>.</w:t>
            </w:r>
          </w:p>
        </w:tc>
      </w:tr>
      <w:tr w:rsidR="00145830" w:rsidRPr="00961F39" w:rsidTr="00736685">
        <w:trPr>
          <w:gridAfter w:val="1"/>
          <w:wAfter w:w="152" w:type="dxa"/>
        </w:trPr>
        <w:tc>
          <w:tcPr>
            <w:tcW w:w="439" w:type="dxa"/>
            <w:gridSpan w:val="4"/>
          </w:tcPr>
          <w:p w:rsidR="00145830" w:rsidRPr="00961F39" w:rsidRDefault="00145830" w:rsidP="00E54238">
            <w:pPr>
              <w:rPr>
                <w:lang w:val="lv-LV"/>
              </w:rPr>
            </w:pPr>
            <w:r w:rsidRPr="00961F39">
              <w:rPr>
                <w:lang w:val="lv-LV"/>
              </w:rPr>
              <w:lastRenderedPageBreak/>
              <w:t xml:space="preserve">7. </w:t>
            </w:r>
          </w:p>
        </w:tc>
        <w:tc>
          <w:tcPr>
            <w:tcW w:w="1830" w:type="dxa"/>
            <w:gridSpan w:val="6"/>
          </w:tcPr>
          <w:p w:rsidR="00145830" w:rsidRPr="00961F39" w:rsidRDefault="00145830" w:rsidP="00E54238">
            <w:pPr>
              <w:jc w:val="both"/>
              <w:rPr>
                <w:lang w:val="lv-LV"/>
              </w:rPr>
            </w:pPr>
            <w:r w:rsidRPr="00961F39">
              <w:rPr>
                <w:lang w:val="lv-LV"/>
              </w:rPr>
              <w:t>Cita informācija</w:t>
            </w:r>
          </w:p>
        </w:tc>
        <w:tc>
          <w:tcPr>
            <w:tcW w:w="7371" w:type="dxa"/>
            <w:gridSpan w:val="10"/>
          </w:tcPr>
          <w:p w:rsidR="00E64E65" w:rsidRPr="009D257A" w:rsidRDefault="00E64E65" w:rsidP="00E64E65">
            <w:pPr>
              <w:pStyle w:val="naisf"/>
              <w:spacing w:before="0" w:beforeAutospacing="0" w:after="0" w:afterAutospacing="0"/>
              <w:ind w:right="374"/>
              <w:jc w:val="both"/>
              <w:rPr>
                <w:noProof/>
                <w:spacing w:val="-6"/>
                <w:lang w:val="lv-LV"/>
              </w:rPr>
            </w:pPr>
            <w:r w:rsidRPr="009D257A">
              <w:rPr>
                <w:noProof/>
                <w:spacing w:val="-6"/>
                <w:lang w:val="lv-LV"/>
              </w:rPr>
              <w:t xml:space="preserve">Ministru kabineta noteikumu projekts uzliek papildus pienākumus attiecībā uz </w:t>
            </w:r>
            <w:r>
              <w:rPr>
                <w:noProof/>
                <w:spacing w:val="-6"/>
                <w:lang w:val="lv-LV"/>
              </w:rPr>
              <w:t>zāļu labas izplatīsānas prakses</w:t>
            </w:r>
            <w:r w:rsidRPr="009D257A">
              <w:rPr>
                <w:noProof/>
                <w:spacing w:val="-6"/>
                <w:lang w:val="lv-LV"/>
              </w:rPr>
              <w:t xml:space="preserve"> uzraudzību valsts kompetentajām insti</w:t>
            </w:r>
            <w:r>
              <w:rPr>
                <w:noProof/>
                <w:spacing w:val="-6"/>
                <w:lang w:val="lv-LV"/>
              </w:rPr>
              <w:t>tūcijām - Zāļu valsts aģentūrai</w:t>
            </w:r>
            <w:r w:rsidR="00724E80">
              <w:rPr>
                <w:noProof/>
                <w:spacing w:val="-6"/>
                <w:lang w:val="lv-LV"/>
              </w:rPr>
              <w:t>.</w:t>
            </w:r>
          </w:p>
          <w:p w:rsidR="00E64E65" w:rsidRPr="00E64E65" w:rsidRDefault="00E64E65" w:rsidP="00E64E65">
            <w:pPr>
              <w:pStyle w:val="naisf"/>
              <w:spacing w:before="120" w:beforeAutospacing="0" w:after="0" w:afterAutospacing="0"/>
              <w:ind w:right="374"/>
              <w:jc w:val="both"/>
              <w:rPr>
                <w:noProof/>
                <w:lang w:val="lv-LV" w:eastAsia="lv-LV"/>
              </w:rPr>
            </w:pPr>
            <w:r w:rsidRPr="009D257A">
              <w:rPr>
                <w:b/>
                <w:noProof/>
                <w:lang w:val="lv-LV" w:eastAsia="lv-LV"/>
              </w:rPr>
              <w:t>Zāļu valsts aģentūra</w:t>
            </w:r>
            <w:r w:rsidRPr="009D257A">
              <w:rPr>
                <w:noProof/>
                <w:lang w:val="lv-LV" w:eastAsia="lv-LV"/>
              </w:rPr>
              <w:t xml:space="preserve"> saskaņā ar Publisko aģentūru likumu kopš 2013.gada 1.janvāra darbojas kā budžeta nefinansēta institūcija, kuras finansējums no maksas pakalpojumu un citu pašu ieņēmumu līdzekļiem ir ārpus Veselības ministrijas nozares budžeta. ZVA budžetu </w:t>
            </w:r>
            <w:r w:rsidRPr="00E64E65">
              <w:rPr>
                <w:noProof/>
                <w:lang w:val="lv-LV" w:eastAsia="lv-LV"/>
              </w:rPr>
              <w:t>apstiprina Ministru kabinets.</w:t>
            </w:r>
          </w:p>
          <w:p w:rsidR="00E64E65" w:rsidRPr="00E64E65" w:rsidRDefault="00E64E65" w:rsidP="00E64E65">
            <w:pPr>
              <w:autoSpaceDE w:val="0"/>
              <w:autoSpaceDN w:val="0"/>
              <w:adjustRightInd w:val="0"/>
              <w:ind w:right="374"/>
              <w:jc w:val="both"/>
              <w:rPr>
                <w:rFonts w:eastAsia="Calibri"/>
                <w:color w:val="000000"/>
                <w:lang w:val="lv-LV" w:eastAsia="lv-LV"/>
              </w:rPr>
            </w:pPr>
          </w:p>
          <w:p w:rsidR="00E64E65" w:rsidRPr="00E64E65" w:rsidRDefault="00E64E65" w:rsidP="00E64E65">
            <w:pPr>
              <w:tabs>
                <w:tab w:val="left" w:pos="6002"/>
              </w:tabs>
              <w:ind w:right="374"/>
              <w:jc w:val="both"/>
              <w:rPr>
                <w:rFonts w:eastAsia="Calibri"/>
                <w:noProof/>
                <w:lang w:val="lv-LV" w:eastAsia="lv-LV"/>
              </w:rPr>
            </w:pPr>
            <w:r w:rsidRPr="00E64E65">
              <w:rPr>
                <w:rFonts w:eastAsia="Calibri"/>
                <w:noProof/>
                <w:lang w:val="lv-LV" w:eastAsia="lv-LV"/>
              </w:rPr>
              <w:t xml:space="preserve">Noteikumu projekta </w:t>
            </w:r>
            <w:r w:rsidR="004A6434">
              <w:rPr>
                <w:rFonts w:eastAsia="Calibri"/>
                <w:bCs/>
                <w:noProof/>
                <w:lang w:val="lv-LV" w:eastAsia="lv-LV"/>
              </w:rPr>
              <w:t>3.</w:t>
            </w:r>
            <w:r w:rsidRPr="00E64E65">
              <w:rPr>
                <w:rFonts w:eastAsia="Calibri"/>
                <w:bCs/>
                <w:noProof/>
                <w:lang w:val="lv-LV" w:eastAsia="lv-LV"/>
              </w:rPr>
              <w:t>punkts</w:t>
            </w:r>
            <w:r w:rsidRPr="00E64E65">
              <w:rPr>
                <w:rFonts w:eastAsia="Calibri"/>
                <w:noProof/>
                <w:lang w:val="lv-LV" w:eastAsia="lv-LV"/>
              </w:rPr>
              <w:t xml:space="preserve"> paplašina </w:t>
            </w:r>
            <w:r w:rsidRPr="00E64E65">
              <w:rPr>
                <w:rFonts w:eastAsia="Calibri"/>
                <w:bCs/>
                <w:noProof/>
                <w:lang w:val="lv-LV" w:eastAsia="lv-LV"/>
              </w:rPr>
              <w:t>Zāļu valsts aģentūras funkcijas un</w:t>
            </w:r>
            <w:r w:rsidRPr="00E64E65">
              <w:rPr>
                <w:rFonts w:eastAsia="Calibri"/>
                <w:noProof/>
                <w:lang w:val="lv-LV" w:eastAsia="lv-LV"/>
              </w:rPr>
              <w:t xml:space="preserve"> </w:t>
            </w:r>
            <w:r w:rsidRPr="00E64E65">
              <w:rPr>
                <w:rFonts w:eastAsia="Calibri"/>
                <w:bCs/>
                <w:noProof/>
                <w:lang w:val="lv-LV" w:eastAsia="lv-LV"/>
              </w:rPr>
              <w:t>pienākumus saistībā ar zāļu labas izplatīšanas prakses uzraudzību.</w:t>
            </w:r>
          </w:p>
          <w:p w:rsidR="00E64E65" w:rsidRDefault="00E64E65" w:rsidP="00E64E65">
            <w:pPr>
              <w:tabs>
                <w:tab w:val="left" w:pos="6002"/>
              </w:tabs>
              <w:ind w:right="374"/>
              <w:jc w:val="both"/>
              <w:rPr>
                <w:lang w:val="lv-LV"/>
              </w:rPr>
            </w:pPr>
          </w:p>
          <w:p w:rsidR="00E64E65" w:rsidRPr="009D257A" w:rsidRDefault="00E64E65" w:rsidP="00E64E65">
            <w:pPr>
              <w:tabs>
                <w:tab w:val="left" w:pos="6002"/>
              </w:tabs>
              <w:ind w:right="374"/>
              <w:jc w:val="both"/>
              <w:rPr>
                <w:lang w:val="lv-LV"/>
              </w:rPr>
            </w:pPr>
            <w:r w:rsidRPr="009D257A">
              <w:rPr>
                <w:lang w:val="lv-LV"/>
              </w:rPr>
              <w:t xml:space="preserve">Zāļu valsts aģentūra noteikumu projektā paredzētos papildu pienākumus un funkcijas attiecībā uz </w:t>
            </w:r>
            <w:r>
              <w:rPr>
                <w:lang w:val="lv-LV"/>
              </w:rPr>
              <w:t xml:space="preserve">zāļu labas izplatīšanas prakses </w:t>
            </w:r>
            <w:r w:rsidRPr="009D257A">
              <w:rPr>
                <w:lang w:val="lv-LV"/>
              </w:rPr>
              <w:t>uzraudzību nodrošinās no aģentūras ieņēmumiem no maksas pakalpojumiem un citiem pašu ieņēmumiem.</w:t>
            </w:r>
          </w:p>
          <w:p w:rsidR="00E64E65" w:rsidRPr="00E64E65" w:rsidRDefault="00E64E65" w:rsidP="00E64E65">
            <w:pPr>
              <w:tabs>
                <w:tab w:val="left" w:pos="6002"/>
              </w:tabs>
              <w:ind w:right="374"/>
              <w:jc w:val="both"/>
              <w:rPr>
                <w:b/>
                <w:noProof/>
                <w:lang w:val="lv-LV" w:eastAsia="lv-LV"/>
              </w:rPr>
            </w:pPr>
          </w:p>
          <w:p w:rsidR="00E64E65" w:rsidRPr="00E64E65" w:rsidRDefault="00E64E65" w:rsidP="00E64E65">
            <w:pPr>
              <w:ind w:right="374"/>
              <w:jc w:val="both"/>
              <w:rPr>
                <w:noProof/>
                <w:lang w:val="lv-LV" w:eastAsia="lv-LV"/>
              </w:rPr>
            </w:pPr>
            <w:r w:rsidRPr="00E64E65">
              <w:rPr>
                <w:b/>
                <w:noProof/>
                <w:lang w:val="lv-LV" w:eastAsia="lv-LV"/>
              </w:rPr>
              <w:t>Veselības inspekcija</w:t>
            </w:r>
            <w:r w:rsidRPr="00E64E65">
              <w:rPr>
                <w:noProof/>
                <w:lang w:val="lv-LV" w:eastAsia="lv-LV"/>
              </w:rPr>
              <w:t xml:space="preserve"> kā tiešās valsts pārvaldes iestāde tiek finansēta Veselības ministrijas valsts budžeta programmas 40.00.00 ”Veselības nozares uzraudzība” apakšprogrammā 46.01.00 ”Uzraudzība un kontrole”.</w:t>
            </w:r>
          </w:p>
          <w:p w:rsidR="00E64E65" w:rsidRPr="00E64E65" w:rsidRDefault="00E64E65" w:rsidP="00E64E65">
            <w:pPr>
              <w:ind w:right="374"/>
              <w:jc w:val="both"/>
              <w:rPr>
                <w:noProof/>
                <w:lang w:val="lv-LV" w:eastAsia="lv-LV"/>
              </w:rPr>
            </w:pPr>
          </w:p>
          <w:p w:rsidR="00E64E65" w:rsidRPr="00E64E65" w:rsidRDefault="00E64E65" w:rsidP="00E64E65">
            <w:pPr>
              <w:pStyle w:val="NoSpacing"/>
              <w:ind w:right="374"/>
              <w:jc w:val="both"/>
              <w:rPr>
                <w:rFonts w:ascii="Times New Roman" w:hAnsi="Times New Roman"/>
                <w:sz w:val="24"/>
                <w:szCs w:val="24"/>
              </w:rPr>
            </w:pPr>
            <w:r w:rsidRPr="00E64E65">
              <w:rPr>
                <w:rFonts w:ascii="Times New Roman" w:hAnsi="Times New Roman"/>
                <w:noProof/>
                <w:sz w:val="24"/>
                <w:szCs w:val="24"/>
                <w:lang w:eastAsia="lv-LV"/>
              </w:rPr>
              <w:t>Noteikumu projekts paplašina Veselības inspekcijas funkcijas un pienākumus saistībā ar aptieku uzraudzību saistībā a</w:t>
            </w:r>
            <w:r w:rsidR="005B74E4">
              <w:rPr>
                <w:rFonts w:ascii="Times New Roman" w:hAnsi="Times New Roman"/>
                <w:noProof/>
                <w:sz w:val="24"/>
                <w:szCs w:val="24"/>
                <w:lang w:eastAsia="lv-LV"/>
              </w:rPr>
              <w:t>r Noteikumu projekta 3</w:t>
            </w:r>
            <w:r w:rsidR="004424E4">
              <w:rPr>
                <w:rFonts w:ascii="Times New Roman" w:hAnsi="Times New Roman"/>
                <w:noProof/>
                <w:sz w:val="24"/>
                <w:szCs w:val="24"/>
                <w:lang w:eastAsia="lv-LV"/>
              </w:rPr>
              <w:t>.</w:t>
            </w:r>
            <w:r w:rsidR="005B74E4">
              <w:rPr>
                <w:rFonts w:ascii="Times New Roman" w:hAnsi="Times New Roman"/>
                <w:noProof/>
                <w:sz w:val="24"/>
                <w:szCs w:val="24"/>
                <w:lang w:eastAsia="lv-LV"/>
              </w:rPr>
              <w:t xml:space="preserve"> un </w:t>
            </w:r>
            <w:r w:rsidR="008B54CE">
              <w:rPr>
                <w:rFonts w:ascii="Times New Roman" w:hAnsi="Times New Roman"/>
                <w:noProof/>
                <w:sz w:val="24"/>
                <w:szCs w:val="24"/>
                <w:lang w:eastAsia="lv-LV"/>
              </w:rPr>
              <w:t>4.</w:t>
            </w:r>
            <w:r w:rsidR="002817C6">
              <w:rPr>
                <w:rFonts w:ascii="Times New Roman" w:hAnsi="Times New Roman"/>
                <w:noProof/>
                <w:sz w:val="24"/>
                <w:szCs w:val="24"/>
                <w:lang w:eastAsia="lv-LV"/>
              </w:rPr>
              <w:t>p</w:t>
            </w:r>
            <w:r w:rsidRPr="00E64E65">
              <w:rPr>
                <w:rFonts w:ascii="Times New Roman" w:hAnsi="Times New Roman"/>
                <w:noProof/>
                <w:sz w:val="24"/>
                <w:szCs w:val="24"/>
                <w:lang w:eastAsia="lv-LV"/>
              </w:rPr>
              <w:t>unkta normas izpildes uzraudzību, un to, ka paplašinās Zāļu valsts aģentūras funkcijas un pienākumi zāļu labas izplatīšanas prakses uzraudzībā.</w:t>
            </w:r>
          </w:p>
          <w:p w:rsidR="00E64E65" w:rsidRPr="00E64E65" w:rsidRDefault="00E64E65" w:rsidP="00E64E65">
            <w:pPr>
              <w:ind w:right="374"/>
              <w:jc w:val="both"/>
              <w:rPr>
                <w:rFonts w:eastAsia="Calibri"/>
                <w:bCs/>
                <w:noProof/>
                <w:color w:val="000000"/>
                <w:lang w:val="lv-LV" w:eastAsia="lv-LV"/>
              </w:rPr>
            </w:pPr>
          </w:p>
          <w:p w:rsidR="00145830" w:rsidRPr="00961F39" w:rsidRDefault="00E64E65" w:rsidP="00316192">
            <w:pPr>
              <w:shd w:val="clear" w:color="auto" w:fill="F5F5F5"/>
              <w:ind w:right="374"/>
              <w:jc w:val="both"/>
              <w:textAlignment w:val="top"/>
            </w:pPr>
            <w:r w:rsidRPr="00E64E65">
              <w:rPr>
                <w:lang w:val="lv-LV"/>
              </w:rPr>
              <w:t>Veselības inspekcija paredzētos papildu pienākumus, kas izriet no noteikumu projekta normām nodrošinās Veselības ministrijai piešķirto va</w:t>
            </w:r>
            <w:r w:rsidR="00E83A32">
              <w:rPr>
                <w:lang w:val="lv-LV"/>
              </w:rPr>
              <w:t>lsts budžeta līdzekļu ietvaros.</w:t>
            </w:r>
          </w:p>
        </w:tc>
      </w:tr>
      <w:tr w:rsidR="00145830" w:rsidRPr="00CC6015" w:rsidTr="007152A2">
        <w:tblPrEx>
          <w:jc w:val="center"/>
        </w:tblPrEx>
        <w:trPr>
          <w:gridBefore w:val="1"/>
          <w:wBefore w:w="194" w:type="dxa"/>
          <w:trHeight w:val="652"/>
          <w:jc w:val="center"/>
        </w:trPr>
        <w:tc>
          <w:tcPr>
            <w:tcW w:w="9598" w:type="dxa"/>
            <w:gridSpan w:val="20"/>
          </w:tcPr>
          <w:p w:rsidR="00145830" w:rsidRPr="006C3B15" w:rsidRDefault="00145830" w:rsidP="00724E80">
            <w:pPr>
              <w:pStyle w:val="naisnod"/>
              <w:spacing w:before="0" w:after="0"/>
              <w:rPr>
                <w:i/>
              </w:rPr>
            </w:pPr>
            <w:r w:rsidRPr="006C3B15">
              <w:br w:type="page"/>
              <w:t>III. Tiesību akta projekta ietekme uz valsts budžetu un pašvaldību budžetiem</w:t>
            </w:r>
            <w:r w:rsidR="00724E80">
              <w:t> </w:t>
            </w:r>
            <w:r w:rsidR="00FD0E7C">
              <w:t>–</w:t>
            </w:r>
            <w:r w:rsidR="00724E80">
              <w:t> </w:t>
            </w:r>
            <w:r w:rsidR="000F5A37">
              <w:t>projekts</w:t>
            </w:r>
            <w:r w:rsidR="00FD0E7C">
              <w:t xml:space="preserve"> šo jomu neskar.</w:t>
            </w:r>
          </w:p>
        </w:tc>
      </w:tr>
      <w:tr w:rsidR="00776FAA" w:rsidRPr="00112ADB" w:rsidTr="00736685">
        <w:tblPrEx>
          <w:tblCellMar>
            <w:left w:w="0" w:type="dxa"/>
            <w:right w:w="0" w:type="dxa"/>
          </w:tblCellMar>
          <w:tblLook w:val="04A0"/>
        </w:tblPrEx>
        <w:trPr>
          <w:gridAfter w:val="1"/>
          <w:wAfter w:w="152" w:type="dxa"/>
          <w:cantSplit/>
          <w:trHeight w:val="523"/>
        </w:trPr>
        <w:tc>
          <w:tcPr>
            <w:tcW w:w="9640" w:type="dxa"/>
            <w:gridSpan w:val="20"/>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76FAA" w:rsidRPr="00776FAA" w:rsidRDefault="00776FAA" w:rsidP="00610C1B">
            <w:pPr>
              <w:ind w:left="398" w:hanging="341"/>
              <w:jc w:val="center"/>
              <w:rPr>
                <w:b/>
                <w:lang w:val="lv-LV"/>
              </w:rPr>
            </w:pPr>
            <w:r w:rsidRPr="00776FAA">
              <w:rPr>
                <w:b/>
                <w:lang w:val="lv-LV"/>
              </w:rPr>
              <w:t>IV. Tiesību akta projekta ietekme uz spēkā esošo tiesību normu sistēmu</w:t>
            </w:r>
          </w:p>
        </w:tc>
      </w:tr>
      <w:tr w:rsidR="00776FAA" w:rsidRPr="00112ADB" w:rsidTr="007152A2">
        <w:tblPrEx>
          <w:jc w:val="center"/>
        </w:tblPrEx>
        <w:trPr>
          <w:gridBefore w:val="1"/>
          <w:wBefore w:w="194" w:type="dxa"/>
          <w:jc w:val="center"/>
        </w:trPr>
        <w:tc>
          <w:tcPr>
            <w:tcW w:w="707" w:type="dxa"/>
            <w:gridSpan w:val="5"/>
          </w:tcPr>
          <w:p w:rsidR="00776FAA" w:rsidRPr="00961F39" w:rsidRDefault="00776FAA" w:rsidP="00776FAA">
            <w:pPr>
              <w:pStyle w:val="naiskr"/>
              <w:tabs>
                <w:tab w:val="left" w:pos="2628"/>
              </w:tabs>
              <w:spacing w:before="0" w:after="0"/>
              <w:jc w:val="both"/>
              <w:rPr>
                <w:iCs/>
              </w:rPr>
            </w:pPr>
            <w:r w:rsidRPr="00961F39">
              <w:rPr>
                <w:iCs/>
              </w:rPr>
              <w:t>1.</w:t>
            </w:r>
          </w:p>
        </w:tc>
        <w:tc>
          <w:tcPr>
            <w:tcW w:w="1661" w:type="dxa"/>
            <w:gridSpan w:val="6"/>
          </w:tcPr>
          <w:p w:rsidR="00776FAA" w:rsidRPr="00961F39" w:rsidRDefault="00776FAA" w:rsidP="00776FAA">
            <w:pPr>
              <w:pStyle w:val="naiskr"/>
              <w:tabs>
                <w:tab w:val="left" w:pos="2628"/>
              </w:tabs>
              <w:spacing w:before="0" w:after="0"/>
              <w:jc w:val="both"/>
              <w:rPr>
                <w:iCs/>
              </w:rPr>
            </w:pPr>
            <w:r w:rsidRPr="00961F39">
              <w:t>Nepieciešamie saistītie tiesību aktu projekti</w:t>
            </w:r>
          </w:p>
        </w:tc>
        <w:tc>
          <w:tcPr>
            <w:tcW w:w="7230" w:type="dxa"/>
            <w:gridSpan w:val="9"/>
          </w:tcPr>
          <w:p w:rsidR="00BF1F26" w:rsidRPr="00787913" w:rsidRDefault="00BF1F26" w:rsidP="00BF1F26">
            <w:pPr>
              <w:pStyle w:val="naisf"/>
              <w:spacing w:before="0" w:beforeAutospacing="0" w:after="0" w:afterAutospacing="0"/>
              <w:jc w:val="both"/>
              <w:rPr>
                <w:spacing w:val="-6"/>
                <w:lang w:val="lv-LV"/>
              </w:rPr>
            </w:pPr>
            <w:r w:rsidRPr="00787913">
              <w:rPr>
                <w:spacing w:val="-6"/>
                <w:lang w:val="lv-LV"/>
              </w:rPr>
              <w:t xml:space="preserve">Lai </w:t>
            </w:r>
            <w:r w:rsidR="00EB35EB">
              <w:rPr>
                <w:spacing w:val="-6"/>
                <w:lang w:val="lv-LV"/>
              </w:rPr>
              <w:t>ieviestu pilnībā Direktīvas 2011/2</w:t>
            </w:r>
            <w:r w:rsidR="003E19B8">
              <w:rPr>
                <w:spacing w:val="-6"/>
                <w:lang w:val="lv-LV"/>
              </w:rPr>
              <w:t xml:space="preserve">4 </w:t>
            </w:r>
            <w:r w:rsidR="00EB35EB">
              <w:rPr>
                <w:spacing w:val="-6"/>
                <w:lang w:val="lv-LV"/>
              </w:rPr>
              <w:t>un Ī</w:t>
            </w:r>
            <w:r w:rsidR="003E19B8">
              <w:rPr>
                <w:spacing w:val="-6"/>
                <w:lang w:val="lv-LV"/>
              </w:rPr>
              <w:t xml:space="preserve">stenošanas Direktīvas 2012/52 </w:t>
            </w:r>
            <w:r w:rsidRPr="00787913">
              <w:rPr>
                <w:spacing w:val="-6"/>
                <w:lang w:val="lv-LV"/>
              </w:rPr>
              <w:t>normas, ir nepieciešams:</w:t>
            </w:r>
          </w:p>
          <w:p w:rsidR="00BF1F26" w:rsidRPr="007152A2" w:rsidRDefault="003E19B8" w:rsidP="007152A2">
            <w:pPr>
              <w:jc w:val="both"/>
              <w:rPr>
                <w:lang w:val="lv-LV"/>
              </w:rPr>
            </w:pPr>
            <w:r>
              <w:rPr>
                <w:spacing w:val="-6"/>
                <w:lang w:val="lv-LV"/>
              </w:rPr>
              <w:t>1) </w:t>
            </w:r>
            <w:r w:rsidR="00BF1F26" w:rsidRPr="00787913">
              <w:rPr>
                <w:spacing w:val="-6"/>
                <w:lang w:val="lv-LV"/>
              </w:rPr>
              <w:t>Pieņemt grozījumus ”</w:t>
            </w:r>
            <w:r w:rsidR="00EB35EB">
              <w:rPr>
                <w:spacing w:val="-6"/>
                <w:lang w:val="lv-LV"/>
              </w:rPr>
              <w:t>Ārstniecības</w:t>
            </w:r>
            <w:r w:rsidR="00BF1F26" w:rsidRPr="00787913">
              <w:rPr>
                <w:spacing w:val="-6"/>
                <w:lang w:val="lv-LV"/>
              </w:rPr>
              <w:t xml:space="preserve"> likumā”</w:t>
            </w:r>
            <w:r w:rsidR="00B60C94">
              <w:rPr>
                <w:spacing w:val="-6"/>
                <w:lang w:val="lv-LV"/>
              </w:rPr>
              <w:t>.</w:t>
            </w:r>
          </w:p>
          <w:p w:rsidR="00BF1F26" w:rsidRPr="007152A2" w:rsidRDefault="003E19B8" w:rsidP="007152A2">
            <w:pPr>
              <w:jc w:val="both"/>
              <w:rPr>
                <w:lang w:val="lv-LV"/>
              </w:rPr>
            </w:pPr>
            <w:r>
              <w:rPr>
                <w:iCs/>
              </w:rPr>
              <w:t>2) </w:t>
            </w:r>
            <w:r w:rsidR="0026573B">
              <w:rPr>
                <w:iCs/>
              </w:rPr>
              <w:t>P</w:t>
            </w:r>
            <w:r w:rsidR="00CD26E0">
              <w:rPr>
                <w:lang w:val="lv-LV"/>
              </w:rPr>
              <w:t xml:space="preserve">ieņemt grozījumus Ministru kabineta 2006.gada </w:t>
            </w:r>
            <w:r w:rsidR="009E1D25">
              <w:rPr>
                <w:lang w:val="lv-LV"/>
              </w:rPr>
              <w:t xml:space="preserve">19.decembrī noteikumos </w:t>
            </w:r>
            <w:proofErr w:type="gramStart"/>
            <w:r w:rsidR="009E1D25">
              <w:rPr>
                <w:lang w:val="lv-LV"/>
              </w:rPr>
              <w:t>Nr.1046 ”</w:t>
            </w:r>
            <w:proofErr w:type="gramEnd"/>
            <w:r w:rsidR="00CD26E0">
              <w:rPr>
                <w:lang w:val="lv-LV"/>
              </w:rPr>
              <w:t xml:space="preserve">Veselības aprūpes organizēšanas un finansēšanas kārtība” </w:t>
            </w:r>
            <w:r w:rsidR="002F0BD5">
              <w:rPr>
                <w:lang w:val="lv-LV"/>
              </w:rPr>
              <w:t>(t</w:t>
            </w:r>
            <w:r w:rsidR="00B60C94">
              <w:rPr>
                <w:lang w:val="lv-LV"/>
              </w:rPr>
              <w:t>urpmāk  - MK noteikumi Nr.1046).</w:t>
            </w:r>
          </w:p>
          <w:p w:rsidR="00A92C3B" w:rsidRPr="00105D49" w:rsidRDefault="00B66E7C" w:rsidP="007152A2">
            <w:pPr>
              <w:shd w:val="clear" w:color="auto" w:fill="FFFFFF"/>
              <w:ind w:left="10" w:right="38" w:hanging="10"/>
              <w:jc w:val="both"/>
              <w:rPr>
                <w:spacing w:val="-6"/>
                <w:lang w:val="lv-LV"/>
              </w:rPr>
            </w:pPr>
            <w:r>
              <w:rPr>
                <w:color w:val="000000" w:themeColor="text1"/>
                <w:spacing w:val="-3"/>
                <w:lang w:val="lv-LV"/>
              </w:rPr>
              <w:t>3)</w:t>
            </w:r>
            <w:r>
              <w:rPr>
                <w:iCs/>
              </w:rPr>
              <w:t xml:space="preserve"> P</w:t>
            </w:r>
            <w:r>
              <w:rPr>
                <w:lang w:val="lv-LV"/>
              </w:rPr>
              <w:t>ieņemt</w:t>
            </w:r>
            <w:r>
              <w:rPr>
                <w:color w:val="000000" w:themeColor="text1"/>
                <w:spacing w:val="-3"/>
                <w:lang w:val="lv-LV"/>
              </w:rPr>
              <w:t> grozījumus</w:t>
            </w:r>
            <w:r w:rsidRPr="00F24ED4">
              <w:rPr>
                <w:color w:val="000000" w:themeColor="text1"/>
                <w:spacing w:val="-3"/>
                <w:lang w:val="lv-LV"/>
              </w:rPr>
              <w:t xml:space="preserve"> Ministru kabineta 2009.gada 20.janvāra noteikumos Nr.60 ”Noteikumi par obligātajām prasībām ārstniecības iestādēm un to </w:t>
            </w:r>
            <w:r w:rsidRPr="00105D49">
              <w:rPr>
                <w:color w:val="000000" w:themeColor="text1"/>
                <w:spacing w:val="-3"/>
                <w:lang w:val="lv-LV"/>
              </w:rPr>
              <w:t>struktūrvienībām” (turpmāk</w:t>
            </w:r>
            <w:r w:rsidR="0005783C">
              <w:rPr>
                <w:color w:val="000000" w:themeColor="text1"/>
                <w:spacing w:val="-3"/>
                <w:lang w:val="lv-LV"/>
              </w:rPr>
              <w:t> -</w:t>
            </w:r>
            <w:r w:rsidR="00A92C3B" w:rsidRPr="00105D49">
              <w:rPr>
                <w:color w:val="000000" w:themeColor="text1"/>
                <w:spacing w:val="-3"/>
                <w:lang w:val="lv-LV"/>
              </w:rPr>
              <w:t> MK noteikumi Nr.60)</w:t>
            </w:r>
            <w:r w:rsidR="001B7F3F" w:rsidRPr="00105D49">
              <w:rPr>
                <w:color w:val="000000" w:themeColor="text1"/>
                <w:spacing w:val="-3"/>
                <w:lang w:val="lv-LV"/>
              </w:rPr>
              <w:t>.</w:t>
            </w:r>
          </w:p>
          <w:p w:rsidR="00FF20F5" w:rsidRPr="007152A2" w:rsidRDefault="00FF20F5" w:rsidP="007152A2">
            <w:pPr>
              <w:jc w:val="both"/>
              <w:rPr>
                <w:lang w:val="lv-LV"/>
              </w:rPr>
            </w:pPr>
            <w:r w:rsidRPr="00105D49">
              <w:rPr>
                <w:lang w:val="lv-LV"/>
              </w:rPr>
              <w:lastRenderedPageBreak/>
              <w:t>4) </w:t>
            </w:r>
            <w:r w:rsidR="001B2E9A" w:rsidRPr="001B2E9A">
              <w:rPr>
                <w:lang w:val="lv-LV"/>
              </w:rPr>
              <w:t xml:space="preserve">Pieņemt Ministru kabineta noteikumus „Ārstniecības </w:t>
            </w:r>
            <w:r w:rsidR="00B60C94">
              <w:rPr>
                <w:lang w:val="lv-LV"/>
              </w:rPr>
              <w:t>riska fonda darbības noteikumi” - </w:t>
            </w:r>
            <w:r w:rsidR="001B2E9A" w:rsidRPr="001B2E9A">
              <w:rPr>
                <w:lang w:val="lv-LV"/>
              </w:rPr>
              <w:t>2013.gada 22.augustā noteikumu projekts izsludināts Valsts sekretāru sanāksmē (VSS</w:t>
            </w:r>
            <w:r w:rsidR="00B60C94">
              <w:rPr>
                <w:lang w:val="lv-LV"/>
              </w:rPr>
              <w:t> </w:t>
            </w:r>
            <w:r w:rsidR="001B2E9A" w:rsidRPr="001B2E9A">
              <w:rPr>
                <w:lang w:val="lv-LV"/>
              </w:rPr>
              <w:t>-</w:t>
            </w:r>
            <w:r w:rsidR="00B60C94">
              <w:rPr>
                <w:lang w:val="lv-LV"/>
              </w:rPr>
              <w:t> </w:t>
            </w:r>
            <w:r w:rsidR="001B2E9A" w:rsidRPr="001B2E9A">
              <w:rPr>
                <w:lang w:val="lv-LV"/>
              </w:rPr>
              <w:t>1643).</w:t>
            </w:r>
          </w:p>
          <w:p w:rsidR="00D97CE8" w:rsidRPr="007152A2" w:rsidRDefault="00FF20F5" w:rsidP="007152A2">
            <w:pPr>
              <w:shd w:val="clear" w:color="auto" w:fill="FFFFFF"/>
              <w:ind w:left="10" w:right="38" w:hanging="10"/>
              <w:jc w:val="both"/>
              <w:rPr>
                <w:spacing w:val="-6"/>
                <w:lang w:val="lv-LV"/>
              </w:rPr>
            </w:pPr>
            <w:r w:rsidRPr="00105D49">
              <w:rPr>
                <w:spacing w:val="-6"/>
                <w:lang w:val="lv-LV"/>
              </w:rPr>
              <w:t>5</w:t>
            </w:r>
            <w:r w:rsidR="002D006C" w:rsidRPr="00105D49">
              <w:rPr>
                <w:spacing w:val="-6"/>
                <w:lang w:val="lv-LV"/>
              </w:rPr>
              <w:t>)</w:t>
            </w:r>
            <w:r w:rsidR="003E19B8" w:rsidRPr="00105D49">
              <w:rPr>
                <w:spacing w:val="-6"/>
                <w:lang w:val="lv-LV"/>
              </w:rPr>
              <w:t> </w:t>
            </w:r>
            <w:r w:rsidR="006310E1" w:rsidRPr="00105D49">
              <w:rPr>
                <w:iCs/>
                <w:lang w:val="lv-LV"/>
              </w:rPr>
              <w:t>Pieņemt</w:t>
            </w:r>
            <w:r w:rsidR="00CF1E02" w:rsidRPr="00105D49">
              <w:rPr>
                <w:iCs/>
                <w:lang w:val="lv-LV"/>
              </w:rPr>
              <w:t xml:space="preserve"> grozījumus </w:t>
            </w:r>
            <w:r w:rsidR="0025390F" w:rsidRPr="00105D49">
              <w:rPr>
                <w:lang w:val="lv-LV"/>
              </w:rPr>
              <w:t>Ministru kabineta 200</w:t>
            </w:r>
            <w:r w:rsidR="0026573B" w:rsidRPr="00105D49">
              <w:rPr>
                <w:lang w:val="lv-LV"/>
              </w:rPr>
              <w:t>5</w:t>
            </w:r>
            <w:r w:rsidR="0025390F" w:rsidRPr="00105D49">
              <w:rPr>
                <w:lang w:val="lv-LV"/>
              </w:rPr>
              <w:t xml:space="preserve">.gada </w:t>
            </w:r>
            <w:r w:rsidR="0026573B" w:rsidRPr="00105D49">
              <w:rPr>
                <w:lang w:val="lv-LV"/>
              </w:rPr>
              <w:t>8.marta</w:t>
            </w:r>
            <w:r w:rsidR="0025390F" w:rsidRPr="00105D49">
              <w:rPr>
                <w:lang w:val="lv-LV"/>
              </w:rPr>
              <w:t xml:space="preserve"> noteikumos Nr.</w:t>
            </w:r>
            <w:r w:rsidR="002F0BD5" w:rsidRPr="00105D49">
              <w:rPr>
                <w:lang w:val="lv-LV"/>
              </w:rPr>
              <w:t>175 ”</w:t>
            </w:r>
            <w:r w:rsidR="0026573B" w:rsidRPr="00105D49">
              <w:rPr>
                <w:bCs/>
                <w:lang w:val="lv-LV"/>
              </w:rPr>
              <w:t>Recepšu veidlapu izgatavošanas un uzglabāšanas, kā arī recepšu izrakstīšanas un uzglabāšanas noteikumi</w:t>
            </w:r>
            <w:r w:rsidR="0025390F" w:rsidRPr="00105D49">
              <w:rPr>
                <w:lang w:val="lv-LV"/>
              </w:rPr>
              <w:t>” (turpmāk - MK noteikumi Nr.</w:t>
            </w:r>
            <w:r w:rsidR="0026573B" w:rsidRPr="00105D49">
              <w:rPr>
                <w:lang w:val="lv-LV"/>
              </w:rPr>
              <w:t>175</w:t>
            </w:r>
            <w:r w:rsidR="0025390F" w:rsidRPr="00105D49">
              <w:rPr>
                <w:lang w:val="lv-LV"/>
              </w:rPr>
              <w:t>)</w:t>
            </w:r>
            <w:r w:rsidR="0026573B" w:rsidRPr="00105D49">
              <w:rPr>
                <w:spacing w:val="-6"/>
                <w:lang w:val="lv-LV"/>
              </w:rPr>
              <w:t>.</w:t>
            </w:r>
          </w:p>
          <w:p w:rsidR="003A420C" w:rsidRDefault="00FF20F5" w:rsidP="007152A2">
            <w:pPr>
              <w:shd w:val="clear" w:color="auto" w:fill="FFFFFF"/>
              <w:ind w:left="10" w:right="38" w:hanging="10"/>
              <w:jc w:val="both"/>
              <w:rPr>
                <w:lang w:val="lv-LV"/>
              </w:rPr>
            </w:pPr>
            <w:r w:rsidRPr="00105D49">
              <w:rPr>
                <w:lang w:val="lv-LV"/>
              </w:rPr>
              <w:t>6</w:t>
            </w:r>
            <w:r w:rsidR="002F0BD5" w:rsidRPr="00105D49">
              <w:rPr>
                <w:lang w:val="lv-LV"/>
              </w:rPr>
              <w:t>)</w:t>
            </w:r>
            <w:r w:rsidR="00D97CE8" w:rsidRPr="00105D49">
              <w:rPr>
                <w:spacing w:val="-6"/>
                <w:lang w:val="lv-LV"/>
              </w:rPr>
              <w:t> </w:t>
            </w:r>
            <w:r w:rsidR="00D97CE8" w:rsidRPr="00105D49">
              <w:rPr>
                <w:iCs/>
                <w:lang w:val="lv-LV"/>
              </w:rPr>
              <w:t xml:space="preserve">Pieņemt grozījumus </w:t>
            </w:r>
            <w:r w:rsidR="00D97CE8" w:rsidRPr="00105D49">
              <w:rPr>
                <w:lang w:val="lv-LV"/>
              </w:rPr>
              <w:t xml:space="preserve">Ministru kabineta </w:t>
            </w:r>
            <w:r w:rsidR="00B2019C">
              <w:rPr>
                <w:lang w:val="lv-LV"/>
              </w:rPr>
              <w:t xml:space="preserve">2010.gada 23.marta </w:t>
            </w:r>
            <w:r w:rsidR="000A0B28" w:rsidRPr="00105D49">
              <w:rPr>
                <w:lang w:val="lv-LV"/>
              </w:rPr>
              <w:t>noteikumos Nr.288</w:t>
            </w:r>
            <w:r w:rsidR="00B2019C">
              <w:rPr>
                <w:lang w:val="lv-LV"/>
              </w:rPr>
              <w:t xml:space="preserve"> „Aptiek</w:t>
            </w:r>
            <w:r w:rsidR="00B60C94">
              <w:rPr>
                <w:lang w:val="lv-LV"/>
              </w:rPr>
              <w:t>u darbības noteikumi” (turpmāk - </w:t>
            </w:r>
            <w:r w:rsidR="00B2019C">
              <w:rPr>
                <w:lang w:val="lv-LV"/>
              </w:rPr>
              <w:t>noteikumi Nr.288)</w:t>
            </w:r>
            <w:r w:rsidR="000A0B28" w:rsidRPr="00105D49">
              <w:rPr>
                <w:lang w:val="lv-LV"/>
              </w:rPr>
              <w:t>.</w:t>
            </w:r>
          </w:p>
          <w:p w:rsidR="00121EB7" w:rsidRDefault="003A420C" w:rsidP="003A420C">
            <w:pPr>
              <w:pStyle w:val="naiskr"/>
              <w:tabs>
                <w:tab w:val="left" w:pos="2628"/>
              </w:tabs>
              <w:spacing w:before="0" w:after="0"/>
              <w:jc w:val="both"/>
            </w:pPr>
            <w:r>
              <w:t>7</w:t>
            </w:r>
            <w:r w:rsidR="00B60C94">
              <w:t>) </w:t>
            </w:r>
            <w:r w:rsidRPr="00AA0A63">
              <w:t xml:space="preserve">Pieņemt </w:t>
            </w:r>
            <w:r w:rsidRPr="00AA0A63">
              <w:rPr>
                <w:iCs/>
              </w:rPr>
              <w:t xml:space="preserve">grozījumus </w:t>
            </w:r>
            <w:r w:rsidRPr="00AA0A63">
              <w:t>Ministru kabineta 2011.gad</w:t>
            </w:r>
            <w:r w:rsidR="00121EB7">
              <w:t>a 1.novembra noteikumos Nr.850 ”</w:t>
            </w:r>
            <w:r w:rsidRPr="00AA0A63">
              <w:t>Nacionālā veselības dienesta nolikums”.</w:t>
            </w:r>
          </w:p>
          <w:p w:rsidR="00121EB7" w:rsidRPr="007152A2" w:rsidRDefault="003A420C" w:rsidP="007152A2">
            <w:pPr>
              <w:pStyle w:val="naiskr"/>
              <w:tabs>
                <w:tab w:val="left" w:pos="2628"/>
              </w:tabs>
              <w:spacing w:before="0" w:after="0"/>
              <w:jc w:val="both"/>
            </w:pPr>
            <w:r>
              <w:t>8</w:t>
            </w:r>
            <w:r w:rsidR="00B60C94">
              <w:t>) </w:t>
            </w:r>
            <w:r w:rsidRPr="00AA0A63">
              <w:t xml:space="preserve">Pieņemt </w:t>
            </w:r>
            <w:r w:rsidRPr="00AA0A63">
              <w:rPr>
                <w:iCs/>
              </w:rPr>
              <w:t xml:space="preserve">grozījumus </w:t>
            </w:r>
            <w:r w:rsidRPr="00AA0A63">
              <w:t>Ministru kabineta 2008.gada 5.februāra  noteikumos Nr.</w:t>
            </w:r>
            <w:r w:rsidR="00121EB7">
              <w:t>76 ”</w:t>
            </w:r>
            <w:r w:rsidRPr="00AA0A63">
              <w:t>Veselības inspekcijas nolikums”.</w:t>
            </w:r>
          </w:p>
          <w:p w:rsidR="00121EB7" w:rsidRPr="007152A2" w:rsidRDefault="00121EB7" w:rsidP="007152A2">
            <w:pPr>
              <w:shd w:val="clear" w:color="auto" w:fill="FFFFFF"/>
              <w:ind w:right="38"/>
              <w:jc w:val="both"/>
              <w:rPr>
                <w:lang w:val="lv-LV"/>
              </w:rPr>
            </w:pPr>
            <w:r w:rsidRPr="00105D49">
              <w:rPr>
                <w:lang w:val="lv-LV"/>
              </w:rPr>
              <w:t>Atbildīgā institūcija - Veselības ministrija.</w:t>
            </w:r>
            <w:r w:rsidR="00B60C94">
              <w:rPr>
                <w:lang w:val="lv-LV"/>
              </w:rPr>
              <w:t xml:space="preserve"> Termiņš - </w:t>
            </w:r>
            <w:r w:rsidR="00B2019C">
              <w:rPr>
                <w:lang w:val="lv-LV"/>
              </w:rPr>
              <w:t>2013.25.oktobris</w:t>
            </w:r>
          </w:p>
          <w:p w:rsidR="00E64E65" w:rsidRDefault="00E64E65" w:rsidP="00E64E65">
            <w:pPr>
              <w:pStyle w:val="NoSpacing"/>
              <w:jc w:val="both"/>
              <w:rPr>
                <w:rFonts w:ascii="Times New Roman" w:hAnsi="Times New Roman"/>
                <w:sz w:val="24"/>
                <w:szCs w:val="24"/>
              </w:rPr>
            </w:pPr>
            <w:r w:rsidRPr="00184245">
              <w:rPr>
                <w:rFonts w:ascii="Times New Roman" w:hAnsi="Times New Roman"/>
                <w:noProof/>
                <w:spacing w:val="-6"/>
                <w:sz w:val="24"/>
                <w:szCs w:val="24"/>
              </w:rPr>
              <w:t xml:space="preserve">Nepieciešams sagatavot grozījumus </w:t>
            </w:r>
            <w:r w:rsidRPr="00184245">
              <w:rPr>
                <w:rFonts w:ascii="Times New Roman" w:hAnsi="Times New Roman"/>
                <w:noProof/>
                <w:sz w:val="24"/>
                <w:szCs w:val="24"/>
              </w:rPr>
              <w:t xml:space="preserve">Ministru kabineta 2013.gada 29.janvāra noteikumos Nr.75 ”Zāļu valsts aģentūras maksas pakalpojumu cenrādis”, </w:t>
            </w:r>
            <w:r w:rsidRPr="00184245">
              <w:rPr>
                <w:rFonts w:ascii="Times New Roman" w:hAnsi="Times New Roman"/>
                <w:bCs/>
                <w:noProof/>
                <w:spacing w:val="-6"/>
                <w:sz w:val="24"/>
                <w:szCs w:val="24"/>
              </w:rPr>
              <w:t xml:space="preserve">nosakot papildus </w:t>
            </w:r>
            <w:r w:rsidRPr="00184245">
              <w:rPr>
                <w:rFonts w:ascii="Times New Roman" w:hAnsi="Times New Roman"/>
                <w:noProof/>
                <w:spacing w:val="-6"/>
                <w:sz w:val="24"/>
                <w:szCs w:val="24"/>
              </w:rPr>
              <w:t xml:space="preserve">maksas pakalpojumus saistībā ar </w:t>
            </w:r>
            <w:r w:rsidRPr="00184245">
              <w:rPr>
                <w:rStyle w:val="spelle"/>
                <w:rFonts w:ascii="Times New Roman" w:hAnsi="Times New Roman"/>
                <w:sz w:val="24"/>
                <w:szCs w:val="24"/>
              </w:rPr>
              <w:t xml:space="preserve">atļaujas paralēli importēto zāļu izplatīšanai, atlikušo zāļu krājumu izplatīšanai un nereģistrētu zāļu </w:t>
            </w:r>
            <w:r w:rsidRPr="00184245">
              <w:rPr>
                <w:rFonts w:ascii="Times New Roman" w:hAnsi="Times New Roman"/>
                <w:sz w:val="24"/>
                <w:szCs w:val="24"/>
              </w:rPr>
              <w:t>izsniegšanu dokumenta sa</w:t>
            </w:r>
            <w:r w:rsidR="00B60C94">
              <w:rPr>
                <w:rFonts w:ascii="Times New Roman" w:hAnsi="Times New Roman"/>
                <w:sz w:val="24"/>
                <w:szCs w:val="24"/>
              </w:rPr>
              <w:t>ņemšanu papīra formātā. Termiņš - </w:t>
            </w:r>
            <w:r w:rsidRPr="00184245">
              <w:rPr>
                <w:rFonts w:ascii="Times New Roman" w:hAnsi="Times New Roman"/>
                <w:sz w:val="24"/>
                <w:szCs w:val="24"/>
              </w:rPr>
              <w:t>2014.gada 1.jūlijs.</w:t>
            </w:r>
          </w:p>
          <w:p w:rsidR="00E64E65" w:rsidRPr="00184245" w:rsidRDefault="00E64E65" w:rsidP="00E64E65">
            <w:pPr>
              <w:pStyle w:val="NoSpacing"/>
              <w:jc w:val="both"/>
              <w:rPr>
                <w:rFonts w:ascii="Times New Roman" w:hAnsi="Times New Roman"/>
                <w:noProof/>
                <w:sz w:val="24"/>
                <w:szCs w:val="24"/>
              </w:rPr>
            </w:pPr>
          </w:p>
          <w:p w:rsidR="00E64E65" w:rsidRPr="003E19B8" w:rsidRDefault="00E64E65" w:rsidP="00E64E65">
            <w:pPr>
              <w:shd w:val="clear" w:color="auto" w:fill="FFFFFF"/>
              <w:ind w:right="38"/>
              <w:jc w:val="both"/>
            </w:pPr>
            <w:r w:rsidRPr="00184245">
              <w:rPr>
                <w:noProof/>
                <w:spacing w:val="-6"/>
                <w:lang w:val="lv-LV"/>
              </w:rPr>
              <w:t>Par noteikumu projekta sagatavošanu ir atbildīga Veselības ministrija</w:t>
            </w:r>
            <w:r w:rsidR="00EB6EB0">
              <w:rPr>
                <w:noProof/>
                <w:spacing w:val="-6"/>
                <w:lang w:val="lv-LV"/>
              </w:rPr>
              <w:t>.</w:t>
            </w:r>
          </w:p>
        </w:tc>
      </w:tr>
      <w:tr w:rsidR="00776FAA" w:rsidRPr="00112ADB" w:rsidTr="007152A2">
        <w:tblPrEx>
          <w:jc w:val="center"/>
        </w:tblPrEx>
        <w:trPr>
          <w:gridBefore w:val="1"/>
          <w:wBefore w:w="194" w:type="dxa"/>
          <w:jc w:val="center"/>
        </w:trPr>
        <w:tc>
          <w:tcPr>
            <w:tcW w:w="707" w:type="dxa"/>
            <w:gridSpan w:val="5"/>
          </w:tcPr>
          <w:p w:rsidR="00776FAA" w:rsidRPr="00961F39" w:rsidRDefault="00776FAA" w:rsidP="00776FAA">
            <w:pPr>
              <w:pStyle w:val="naiskr"/>
              <w:tabs>
                <w:tab w:val="left" w:pos="2628"/>
              </w:tabs>
              <w:spacing w:before="0" w:after="0"/>
              <w:jc w:val="both"/>
              <w:rPr>
                <w:iCs/>
              </w:rPr>
            </w:pPr>
            <w:r w:rsidRPr="00961F39">
              <w:rPr>
                <w:iCs/>
              </w:rPr>
              <w:lastRenderedPageBreak/>
              <w:t>2.</w:t>
            </w:r>
          </w:p>
        </w:tc>
        <w:tc>
          <w:tcPr>
            <w:tcW w:w="1661" w:type="dxa"/>
            <w:gridSpan w:val="6"/>
          </w:tcPr>
          <w:p w:rsidR="00776FAA" w:rsidRPr="00961F39" w:rsidRDefault="00776FAA" w:rsidP="00776FAA">
            <w:pPr>
              <w:pStyle w:val="naiskr"/>
              <w:tabs>
                <w:tab w:val="left" w:pos="2628"/>
              </w:tabs>
              <w:spacing w:before="0" w:after="0"/>
              <w:jc w:val="both"/>
              <w:rPr>
                <w:iCs/>
              </w:rPr>
            </w:pPr>
            <w:r w:rsidRPr="00961F39">
              <w:t>Cita informācija</w:t>
            </w:r>
          </w:p>
        </w:tc>
        <w:tc>
          <w:tcPr>
            <w:tcW w:w="7230" w:type="dxa"/>
            <w:gridSpan w:val="9"/>
          </w:tcPr>
          <w:p w:rsidR="00610C1B" w:rsidRPr="00961F39" w:rsidRDefault="00610C1B" w:rsidP="00776FAA">
            <w:pPr>
              <w:jc w:val="both"/>
              <w:rPr>
                <w:lang w:val="lv-LV"/>
              </w:rPr>
            </w:pPr>
          </w:p>
        </w:tc>
      </w:tr>
      <w:tr w:rsidR="00776FAA" w:rsidRPr="00961F39" w:rsidTr="00736685">
        <w:tblPrEx>
          <w:tblCellMar>
            <w:left w:w="0" w:type="dxa"/>
            <w:right w:w="0" w:type="dxa"/>
          </w:tblCellMar>
          <w:tblLook w:val="04A0"/>
        </w:tblPrEx>
        <w:trPr>
          <w:gridAfter w:val="1"/>
          <w:wAfter w:w="152" w:type="dxa"/>
          <w:cantSplit/>
          <w:trHeight w:val="523"/>
        </w:trPr>
        <w:tc>
          <w:tcPr>
            <w:tcW w:w="9640" w:type="dxa"/>
            <w:gridSpan w:val="20"/>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76FAA" w:rsidRPr="00961F39" w:rsidRDefault="00776FAA" w:rsidP="00776FAA">
            <w:pPr>
              <w:ind w:left="398" w:hanging="341"/>
              <w:jc w:val="center"/>
              <w:rPr>
                <w:b/>
                <w:lang w:val="lv-LV"/>
              </w:rPr>
            </w:pPr>
            <w:r w:rsidRPr="00961F39">
              <w:rPr>
                <w:b/>
                <w:lang w:val="lv-LV"/>
              </w:rPr>
              <w:t>V. Tiesību akta projekta atbilstība Latvijas Republikas starptautiskajām saistībām</w:t>
            </w:r>
          </w:p>
        </w:tc>
      </w:tr>
      <w:tr w:rsidR="00776FAA" w:rsidRPr="00112ADB"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trPr>
        <w:tc>
          <w:tcPr>
            <w:tcW w:w="387" w:type="dxa"/>
            <w:gridSpan w:val="2"/>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1.</w:t>
            </w:r>
          </w:p>
        </w:tc>
        <w:tc>
          <w:tcPr>
            <w:tcW w:w="2278" w:type="dxa"/>
            <w:gridSpan w:val="11"/>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Saistības pret Eiropas Savienību</w:t>
            </w:r>
          </w:p>
        </w:tc>
        <w:tc>
          <w:tcPr>
            <w:tcW w:w="6975" w:type="dxa"/>
            <w:gridSpan w:val="7"/>
            <w:tcBorders>
              <w:top w:val="outset" w:sz="6" w:space="0" w:color="auto"/>
              <w:left w:val="outset" w:sz="6" w:space="0" w:color="auto"/>
              <w:bottom w:val="outset" w:sz="6" w:space="0" w:color="auto"/>
              <w:right w:val="outset" w:sz="6" w:space="0" w:color="auto"/>
            </w:tcBorders>
          </w:tcPr>
          <w:p w:rsidR="002D7D4C" w:rsidRPr="002D7D4C" w:rsidRDefault="003E19B8" w:rsidP="002D7D4C">
            <w:pPr>
              <w:pStyle w:val="NoSpacing"/>
              <w:rPr>
                <w:rFonts w:ascii="Times New Roman" w:hAnsi="Times New Roman"/>
                <w:sz w:val="24"/>
                <w:szCs w:val="24"/>
              </w:rPr>
            </w:pPr>
            <w:r w:rsidRPr="002D7D4C">
              <w:rPr>
                <w:rFonts w:ascii="Times New Roman" w:hAnsi="Times New Roman"/>
                <w:sz w:val="24"/>
                <w:szCs w:val="24"/>
              </w:rPr>
              <w:t>1) </w:t>
            </w:r>
            <w:r w:rsidR="00776FAA" w:rsidRPr="002D7D4C">
              <w:rPr>
                <w:rFonts w:ascii="Times New Roman" w:hAnsi="Times New Roman"/>
                <w:sz w:val="24"/>
                <w:szCs w:val="24"/>
              </w:rPr>
              <w:t xml:space="preserve">Direktīvas </w:t>
            </w:r>
            <w:hyperlink r:id="rId13" w:tgtFrame="_blank" w:tooltip="DIREKTĪVA" w:history="1">
              <w:r w:rsidR="002D006C" w:rsidRPr="002D7D4C">
                <w:rPr>
                  <w:rStyle w:val="Hyperlink"/>
                  <w:rFonts w:ascii="Times New Roman" w:hAnsi="Times New Roman"/>
                  <w:color w:val="auto"/>
                  <w:sz w:val="24"/>
                  <w:szCs w:val="24"/>
                  <w:u w:val="none"/>
                </w:rPr>
                <w:t>2011</w:t>
              </w:r>
              <w:r w:rsidR="00776FAA" w:rsidRPr="002D7D4C">
                <w:rPr>
                  <w:rStyle w:val="Hyperlink"/>
                  <w:rFonts w:ascii="Times New Roman" w:hAnsi="Times New Roman"/>
                  <w:color w:val="auto"/>
                  <w:sz w:val="24"/>
                  <w:szCs w:val="24"/>
                  <w:u w:val="none"/>
                </w:rPr>
                <w:t>/</w:t>
              </w:r>
              <w:r w:rsidR="002D006C" w:rsidRPr="002D7D4C">
                <w:rPr>
                  <w:rStyle w:val="Hyperlink"/>
                  <w:rFonts w:ascii="Times New Roman" w:hAnsi="Times New Roman"/>
                  <w:color w:val="auto"/>
                  <w:sz w:val="24"/>
                  <w:szCs w:val="24"/>
                  <w:u w:val="none"/>
                </w:rPr>
                <w:t>24</w:t>
              </w:r>
            </w:hyperlink>
            <w:r w:rsidRPr="002D7D4C">
              <w:rPr>
                <w:rFonts w:ascii="Times New Roman" w:hAnsi="Times New Roman"/>
                <w:sz w:val="24"/>
                <w:szCs w:val="24"/>
              </w:rPr>
              <w:t xml:space="preserve"> </w:t>
            </w:r>
            <w:r w:rsidR="005F2474">
              <w:rPr>
                <w:rFonts w:ascii="Times New Roman" w:hAnsi="Times New Roman"/>
                <w:sz w:val="24"/>
                <w:szCs w:val="24"/>
              </w:rPr>
              <w:t>(</w:t>
            </w:r>
            <w:proofErr w:type="spellStart"/>
            <w:r w:rsidR="005B6793">
              <w:rPr>
                <w:rFonts w:ascii="Times New Roman" w:hAnsi="Times New Roman"/>
                <w:i/>
                <w:sz w:val="24"/>
                <w:szCs w:val="24"/>
              </w:rPr>
              <w:t>OficiālaisVēstnesis</w:t>
            </w:r>
            <w:proofErr w:type="spellEnd"/>
            <w:r w:rsidR="00776FAA" w:rsidRPr="005F2474">
              <w:rPr>
                <w:rFonts w:ascii="Times New Roman" w:hAnsi="Times New Roman"/>
                <w:i/>
                <w:sz w:val="24"/>
                <w:szCs w:val="24"/>
              </w:rPr>
              <w:t xml:space="preserve"> L</w:t>
            </w:r>
            <w:r w:rsidR="00776FAA" w:rsidRPr="005F2474">
              <w:rPr>
                <w:rStyle w:val="Heading6Char"/>
                <w:rFonts w:eastAsia="Calibri"/>
                <w:i/>
                <w:sz w:val="24"/>
                <w:szCs w:val="24"/>
                <w:lang w:val="lv-LV"/>
              </w:rPr>
              <w:t xml:space="preserve"> </w:t>
            </w:r>
            <w:r w:rsidR="002D006C" w:rsidRPr="005F2474">
              <w:rPr>
                <w:rStyle w:val="Heading6Char"/>
                <w:rFonts w:eastAsia="Calibri"/>
                <w:b w:val="0"/>
                <w:i/>
                <w:sz w:val="24"/>
                <w:szCs w:val="24"/>
                <w:lang w:val="lv-LV"/>
              </w:rPr>
              <w:t>88/45</w:t>
            </w:r>
            <w:r w:rsidR="00776FAA" w:rsidRPr="005F2474">
              <w:rPr>
                <w:rStyle w:val="Emphasis"/>
                <w:rFonts w:ascii="Times New Roman" w:hAnsi="Times New Roman"/>
                <w:i w:val="0"/>
                <w:sz w:val="24"/>
                <w:szCs w:val="24"/>
              </w:rPr>
              <w:t xml:space="preserve">, </w:t>
            </w:r>
            <w:r w:rsidR="002D006C" w:rsidRPr="005F2474">
              <w:rPr>
                <w:rStyle w:val="Emphasis"/>
                <w:rFonts w:ascii="Times New Roman" w:hAnsi="Times New Roman"/>
                <w:i w:val="0"/>
                <w:sz w:val="24"/>
                <w:szCs w:val="24"/>
              </w:rPr>
              <w:t>04</w:t>
            </w:r>
            <w:r w:rsidR="00776FAA" w:rsidRPr="005F2474">
              <w:rPr>
                <w:rStyle w:val="Emphasis"/>
                <w:rFonts w:ascii="Times New Roman" w:hAnsi="Times New Roman"/>
                <w:i w:val="0"/>
                <w:sz w:val="24"/>
                <w:szCs w:val="24"/>
              </w:rPr>
              <w:t>/</w:t>
            </w:r>
            <w:r w:rsidR="002D006C" w:rsidRPr="005F2474">
              <w:rPr>
                <w:rStyle w:val="Emphasis"/>
                <w:rFonts w:ascii="Times New Roman" w:hAnsi="Times New Roman"/>
                <w:i w:val="0"/>
                <w:sz w:val="24"/>
                <w:szCs w:val="24"/>
              </w:rPr>
              <w:t>04/2011</w:t>
            </w:r>
            <w:r w:rsidR="00776FAA" w:rsidRPr="002D7D4C">
              <w:rPr>
                <w:rStyle w:val="Emphasis"/>
                <w:rFonts w:ascii="Times New Roman" w:hAnsi="Times New Roman"/>
                <w:sz w:val="24"/>
                <w:szCs w:val="24"/>
              </w:rPr>
              <w:t>)</w:t>
            </w:r>
            <w:r w:rsidR="00776FAA" w:rsidRPr="002D7D4C">
              <w:rPr>
                <w:rFonts w:ascii="Times New Roman" w:hAnsi="Times New Roman"/>
                <w:sz w:val="24"/>
                <w:szCs w:val="24"/>
              </w:rPr>
              <w:t>;</w:t>
            </w:r>
          </w:p>
          <w:p w:rsidR="00776FAA" w:rsidRPr="00961F39" w:rsidRDefault="003E19B8" w:rsidP="002D7D4C">
            <w:pPr>
              <w:pStyle w:val="NoSpacing"/>
            </w:pPr>
            <w:r w:rsidRPr="002D7D4C">
              <w:rPr>
                <w:rFonts w:ascii="Times New Roman" w:hAnsi="Times New Roman"/>
                <w:sz w:val="24"/>
                <w:szCs w:val="24"/>
              </w:rPr>
              <w:t>2) </w:t>
            </w:r>
            <w:r w:rsidR="00776FAA" w:rsidRPr="002D7D4C">
              <w:rPr>
                <w:rFonts w:ascii="Times New Roman" w:hAnsi="Times New Roman"/>
                <w:sz w:val="24"/>
                <w:szCs w:val="24"/>
              </w:rPr>
              <w:t xml:space="preserve">Direktīvas </w:t>
            </w:r>
            <w:r w:rsidR="002D006C" w:rsidRPr="002D7D4C">
              <w:rPr>
                <w:rFonts w:ascii="Times New Roman" w:hAnsi="Times New Roman"/>
                <w:sz w:val="24"/>
                <w:szCs w:val="24"/>
              </w:rPr>
              <w:t>2012</w:t>
            </w:r>
            <w:r w:rsidR="0005282C" w:rsidRPr="002D7D4C">
              <w:rPr>
                <w:rFonts w:ascii="Times New Roman" w:hAnsi="Times New Roman"/>
                <w:sz w:val="24"/>
                <w:szCs w:val="24"/>
              </w:rPr>
              <w:t>/</w:t>
            </w:r>
            <w:r w:rsidR="002D006C" w:rsidRPr="002D7D4C">
              <w:rPr>
                <w:rFonts w:ascii="Times New Roman" w:hAnsi="Times New Roman"/>
                <w:sz w:val="24"/>
                <w:szCs w:val="24"/>
              </w:rPr>
              <w:t>52</w:t>
            </w:r>
            <w:r w:rsidRPr="002D7D4C">
              <w:rPr>
                <w:rFonts w:ascii="Times New Roman" w:hAnsi="Times New Roman"/>
                <w:sz w:val="24"/>
                <w:szCs w:val="24"/>
              </w:rPr>
              <w:t xml:space="preserve"> </w:t>
            </w:r>
            <w:r w:rsidR="00776FAA" w:rsidRPr="002D7D4C">
              <w:rPr>
                <w:rFonts w:ascii="Times New Roman" w:hAnsi="Times New Roman"/>
                <w:sz w:val="24"/>
                <w:szCs w:val="24"/>
              </w:rPr>
              <w:t>(</w:t>
            </w:r>
            <w:proofErr w:type="spellStart"/>
            <w:r w:rsidR="005B6793">
              <w:rPr>
                <w:rFonts w:ascii="Times New Roman" w:hAnsi="Times New Roman"/>
                <w:i/>
                <w:sz w:val="24"/>
                <w:szCs w:val="24"/>
              </w:rPr>
              <w:t>OficiālaisVēstnesis</w:t>
            </w:r>
            <w:proofErr w:type="spellEnd"/>
            <w:r w:rsidR="00776FAA" w:rsidRPr="005F2474">
              <w:rPr>
                <w:rFonts w:ascii="Times New Roman" w:hAnsi="Times New Roman"/>
                <w:i/>
                <w:sz w:val="24"/>
                <w:szCs w:val="24"/>
              </w:rPr>
              <w:t xml:space="preserve">, L </w:t>
            </w:r>
            <w:r w:rsidR="002D006C" w:rsidRPr="005F2474">
              <w:rPr>
                <w:rFonts w:ascii="Times New Roman" w:hAnsi="Times New Roman"/>
                <w:i/>
                <w:sz w:val="24"/>
                <w:szCs w:val="24"/>
              </w:rPr>
              <w:t>356/68, 22</w:t>
            </w:r>
            <w:r w:rsidR="00776FAA" w:rsidRPr="005F2474">
              <w:rPr>
                <w:rFonts w:ascii="Times New Roman" w:hAnsi="Times New Roman"/>
                <w:i/>
                <w:sz w:val="24"/>
                <w:szCs w:val="24"/>
              </w:rPr>
              <w:t>/1</w:t>
            </w:r>
            <w:r w:rsidR="002D006C" w:rsidRPr="005F2474">
              <w:rPr>
                <w:rFonts w:ascii="Times New Roman" w:hAnsi="Times New Roman"/>
                <w:i/>
                <w:sz w:val="24"/>
                <w:szCs w:val="24"/>
              </w:rPr>
              <w:t>2/2012</w:t>
            </w:r>
            <w:r w:rsidR="00776FAA" w:rsidRPr="002D7D4C">
              <w:rPr>
                <w:rFonts w:ascii="Times New Roman" w:hAnsi="Times New Roman"/>
                <w:sz w:val="24"/>
                <w:szCs w:val="24"/>
              </w:rPr>
              <w:t>.)</w:t>
            </w:r>
          </w:p>
        </w:tc>
      </w:tr>
      <w:tr w:rsidR="00776FAA" w:rsidRPr="00961F39"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trPr>
        <w:tc>
          <w:tcPr>
            <w:tcW w:w="387" w:type="dxa"/>
            <w:gridSpan w:val="2"/>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2.</w:t>
            </w:r>
          </w:p>
        </w:tc>
        <w:tc>
          <w:tcPr>
            <w:tcW w:w="2278" w:type="dxa"/>
            <w:gridSpan w:val="11"/>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Citas starptautiskās saistības</w:t>
            </w:r>
          </w:p>
        </w:tc>
        <w:tc>
          <w:tcPr>
            <w:tcW w:w="6975" w:type="dxa"/>
            <w:gridSpan w:val="7"/>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Nav</w:t>
            </w:r>
          </w:p>
        </w:tc>
      </w:tr>
      <w:tr w:rsidR="00776FAA" w:rsidRPr="00961F39"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trPr>
        <w:tc>
          <w:tcPr>
            <w:tcW w:w="387" w:type="dxa"/>
            <w:gridSpan w:val="2"/>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3.</w:t>
            </w:r>
          </w:p>
        </w:tc>
        <w:tc>
          <w:tcPr>
            <w:tcW w:w="2278" w:type="dxa"/>
            <w:gridSpan w:val="11"/>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Cita informācija</w:t>
            </w:r>
          </w:p>
        </w:tc>
        <w:tc>
          <w:tcPr>
            <w:tcW w:w="6975" w:type="dxa"/>
            <w:gridSpan w:val="7"/>
            <w:tcBorders>
              <w:top w:val="outset" w:sz="6" w:space="0" w:color="auto"/>
              <w:left w:val="outset" w:sz="6" w:space="0" w:color="auto"/>
              <w:bottom w:val="outset" w:sz="6" w:space="0" w:color="auto"/>
              <w:right w:val="outset" w:sz="6" w:space="0" w:color="auto"/>
            </w:tcBorders>
          </w:tcPr>
          <w:p w:rsidR="00776FAA" w:rsidRPr="00961F39" w:rsidRDefault="00D30D8D" w:rsidP="0049486D">
            <w:pPr>
              <w:ind w:left="57"/>
              <w:rPr>
                <w:lang w:val="lv-LV"/>
              </w:rPr>
            </w:pPr>
            <w:r w:rsidRPr="00277B61">
              <w:rPr>
                <w:iCs/>
                <w:szCs w:val="26"/>
                <w:lang w:val="lv-LV"/>
              </w:rPr>
              <w:t>Komisij</w:t>
            </w:r>
            <w:r w:rsidR="0049486D">
              <w:rPr>
                <w:iCs/>
                <w:szCs w:val="26"/>
                <w:lang w:val="lv-LV"/>
              </w:rPr>
              <w:t>as 2013. gada 5</w:t>
            </w:r>
            <w:r>
              <w:rPr>
                <w:iCs/>
                <w:szCs w:val="26"/>
                <w:lang w:val="lv-LV"/>
              </w:rPr>
              <w:t>.</w:t>
            </w:r>
            <w:r w:rsidR="0049486D">
              <w:rPr>
                <w:iCs/>
                <w:szCs w:val="26"/>
                <w:lang w:val="lv-LV"/>
              </w:rPr>
              <w:t xml:space="preserve">novembra </w:t>
            </w:r>
            <w:r w:rsidRPr="00277B61">
              <w:rPr>
                <w:iCs/>
                <w:szCs w:val="26"/>
                <w:lang w:val="lv-LV"/>
              </w:rPr>
              <w:t xml:space="preserve"> publicētās zāļu labas izplatīšanas prakses pamatnostādnes</w:t>
            </w:r>
            <w:r w:rsidR="004A5115">
              <w:rPr>
                <w:iCs/>
                <w:color w:val="000000" w:themeColor="text1"/>
                <w:szCs w:val="26"/>
                <w:lang w:val="lv-LV"/>
              </w:rPr>
              <w:t xml:space="preserve"> </w:t>
            </w:r>
            <w:r w:rsidR="0049486D" w:rsidRPr="0004793A">
              <w:t>(</w:t>
            </w:r>
            <w:r w:rsidR="0049486D" w:rsidRPr="005C5704">
              <w:rPr>
                <w:rStyle w:val="hps"/>
                <w:b/>
                <w:lang w:val="lv-LV"/>
              </w:rPr>
              <w:t>2013/C 343/01</w:t>
            </w:r>
            <w:r w:rsidR="0049486D" w:rsidRPr="0004793A">
              <w:t xml:space="preserve">), </w:t>
            </w:r>
            <w:r w:rsidR="004A5115">
              <w:rPr>
                <w:iCs/>
                <w:color w:val="000000" w:themeColor="text1"/>
                <w:szCs w:val="26"/>
                <w:lang w:val="lv-LV"/>
              </w:rPr>
              <w:t xml:space="preserve">pārņemtas 2., 3. un </w:t>
            </w:r>
            <w:r w:rsidRPr="00277B61">
              <w:rPr>
                <w:iCs/>
                <w:color w:val="000000" w:themeColor="text1"/>
                <w:szCs w:val="26"/>
                <w:lang w:val="lv-LV"/>
              </w:rPr>
              <w:t xml:space="preserve">4. (attiecībā uz </w:t>
            </w:r>
            <w:r>
              <w:rPr>
                <w:iCs/>
                <w:color w:val="000000" w:themeColor="text1"/>
                <w:szCs w:val="26"/>
                <w:lang w:val="lv-LV"/>
              </w:rPr>
              <w:t xml:space="preserve">MK noteikumu </w:t>
            </w:r>
            <w:r w:rsidR="006E0775">
              <w:rPr>
                <w:iCs/>
                <w:color w:val="000000" w:themeColor="text1"/>
                <w:szCs w:val="26"/>
                <w:lang w:val="lv-LV"/>
              </w:rPr>
              <w:t xml:space="preserve">12.7. un jauno </w:t>
            </w:r>
            <w:r w:rsidR="004A5115">
              <w:rPr>
                <w:iCs/>
                <w:color w:val="000000" w:themeColor="text1"/>
                <w:szCs w:val="26"/>
                <w:lang w:val="lv-LV"/>
              </w:rPr>
              <w:t xml:space="preserve">12.14. un 12.15.apakšpunktu) </w:t>
            </w:r>
            <w:r w:rsidRPr="00277B61">
              <w:rPr>
                <w:iCs/>
                <w:color w:val="000000" w:themeColor="text1"/>
                <w:szCs w:val="26"/>
                <w:lang w:val="lv-LV"/>
              </w:rPr>
              <w:t>punktā.</w:t>
            </w:r>
          </w:p>
        </w:tc>
      </w:tr>
      <w:tr w:rsidR="00776FAA" w:rsidRPr="00787913" w:rsidTr="00736685">
        <w:tblPrEx>
          <w:tblCellMar>
            <w:left w:w="0" w:type="dxa"/>
            <w:right w:w="0" w:type="dxa"/>
          </w:tblCellMar>
          <w:tblLook w:val="04A0"/>
        </w:tblPrEx>
        <w:trPr>
          <w:gridAfter w:val="1"/>
          <w:wAfter w:w="152" w:type="dxa"/>
          <w:cantSplit/>
          <w:trHeight w:val="523"/>
        </w:trPr>
        <w:tc>
          <w:tcPr>
            <w:tcW w:w="9640" w:type="dxa"/>
            <w:gridSpan w:val="20"/>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76FAA" w:rsidRPr="00787913" w:rsidRDefault="00776FAA" w:rsidP="00776FAA">
            <w:pPr>
              <w:ind w:left="398" w:hanging="341"/>
              <w:jc w:val="center"/>
              <w:rPr>
                <w:b/>
                <w:lang w:val="lv-LV"/>
              </w:rPr>
            </w:pPr>
            <w:r w:rsidRPr="00787913">
              <w:rPr>
                <w:b/>
                <w:lang w:val="lv-LV"/>
              </w:rPr>
              <w:t>1.tabula</w:t>
            </w:r>
          </w:p>
          <w:p w:rsidR="000F5A37" w:rsidRPr="00EC1BA6" w:rsidRDefault="00776FAA" w:rsidP="00EC1BA6">
            <w:pPr>
              <w:ind w:left="57"/>
              <w:jc w:val="center"/>
              <w:rPr>
                <w:b/>
                <w:lang w:val="lv-LV"/>
              </w:rPr>
            </w:pPr>
            <w:r w:rsidRPr="00787913">
              <w:rPr>
                <w:b/>
                <w:lang w:val="lv-LV"/>
              </w:rPr>
              <w:t>Tiesību akta projekta atbilstība ES tiesību aktiem</w:t>
            </w:r>
          </w:p>
        </w:tc>
      </w:tr>
      <w:tr w:rsidR="00776FAA" w:rsidRPr="00787913" w:rsidTr="001A2425">
        <w:tblPrEx>
          <w:tblCellMar>
            <w:left w:w="0" w:type="dxa"/>
            <w:right w:w="0" w:type="dxa"/>
          </w:tblCellMar>
          <w:tblLook w:val="04A0"/>
        </w:tblPrEx>
        <w:trPr>
          <w:gridAfter w:val="1"/>
          <w:wAfter w:w="152" w:type="dxa"/>
          <w:cantSplit/>
          <w:trHeight w:val="653"/>
        </w:trPr>
        <w:tc>
          <w:tcPr>
            <w:tcW w:w="5246" w:type="dxa"/>
            <w:gridSpan w:val="1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0F5A37">
            <w:pPr>
              <w:ind w:left="57"/>
              <w:rPr>
                <w:lang w:val="lv-LV"/>
              </w:rPr>
            </w:pPr>
            <w:r w:rsidRPr="00787913">
              <w:rPr>
                <w:lang w:val="lv-LV"/>
              </w:rPr>
              <w:t>Attiecīgā ES tiesību akta datums, numurs un nosaukums</w:t>
            </w:r>
          </w:p>
        </w:tc>
        <w:tc>
          <w:tcPr>
            <w:tcW w:w="4394"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2D006C" w:rsidP="000F5A37">
            <w:pPr>
              <w:jc w:val="both"/>
              <w:rPr>
                <w:lang w:val="lv-LV"/>
              </w:rPr>
            </w:pPr>
            <w:r>
              <w:rPr>
                <w:lang w:val="lv-LV"/>
              </w:rPr>
              <w:t>Direktīva Nr.2011/2</w:t>
            </w:r>
            <w:r w:rsidR="00776FAA" w:rsidRPr="00787913">
              <w:rPr>
                <w:lang w:val="lv-LV"/>
              </w:rPr>
              <w:t>4</w:t>
            </w:r>
          </w:p>
        </w:tc>
      </w:tr>
      <w:tr w:rsidR="00776FAA"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Pr>
        <w:tc>
          <w:tcPr>
            <w:tcW w:w="2128" w:type="dxa"/>
            <w:gridSpan w:val="9"/>
            <w:tcBorders>
              <w:top w:val="outset" w:sz="6" w:space="0" w:color="auto"/>
              <w:left w:val="outset" w:sz="6" w:space="0" w:color="auto"/>
              <w:bottom w:val="outset" w:sz="6" w:space="0" w:color="auto"/>
              <w:right w:val="outset" w:sz="6" w:space="0" w:color="auto"/>
            </w:tcBorders>
            <w:vAlign w:val="center"/>
          </w:tcPr>
          <w:p w:rsidR="00776FAA" w:rsidRPr="00787913" w:rsidRDefault="00776FAA" w:rsidP="000F5A37">
            <w:pPr>
              <w:ind w:left="57"/>
              <w:jc w:val="center"/>
              <w:rPr>
                <w:lang w:val="lv-LV"/>
              </w:rPr>
            </w:pPr>
            <w:r w:rsidRPr="00787913">
              <w:rPr>
                <w:lang w:val="lv-LV"/>
              </w:rPr>
              <w:t>A</w:t>
            </w:r>
          </w:p>
        </w:tc>
        <w:tc>
          <w:tcPr>
            <w:tcW w:w="3118" w:type="dxa"/>
            <w:gridSpan w:val="8"/>
            <w:tcBorders>
              <w:top w:val="outset" w:sz="6" w:space="0" w:color="auto"/>
              <w:left w:val="outset" w:sz="6" w:space="0" w:color="auto"/>
              <w:bottom w:val="outset" w:sz="6" w:space="0" w:color="auto"/>
              <w:right w:val="outset" w:sz="6" w:space="0" w:color="auto"/>
            </w:tcBorders>
            <w:vAlign w:val="center"/>
          </w:tcPr>
          <w:p w:rsidR="00776FAA" w:rsidRPr="00787913" w:rsidRDefault="00776FAA" w:rsidP="000F5A37">
            <w:pPr>
              <w:ind w:left="57"/>
              <w:jc w:val="center"/>
              <w:rPr>
                <w:lang w:val="lv-LV"/>
              </w:rPr>
            </w:pPr>
            <w:r w:rsidRPr="00787913">
              <w:rPr>
                <w:lang w:val="lv-LV"/>
              </w:rPr>
              <w:t>B</w:t>
            </w:r>
          </w:p>
        </w:tc>
        <w:tc>
          <w:tcPr>
            <w:tcW w:w="904" w:type="dxa"/>
            <w:tcBorders>
              <w:top w:val="outset" w:sz="6" w:space="0" w:color="auto"/>
              <w:left w:val="outset" w:sz="6" w:space="0" w:color="auto"/>
              <w:bottom w:val="outset" w:sz="6" w:space="0" w:color="auto"/>
              <w:right w:val="outset" w:sz="6" w:space="0" w:color="auto"/>
            </w:tcBorders>
            <w:vAlign w:val="center"/>
          </w:tcPr>
          <w:p w:rsidR="00776FAA" w:rsidRPr="00787913" w:rsidRDefault="00776FAA" w:rsidP="000F5A37">
            <w:pPr>
              <w:ind w:left="57"/>
              <w:jc w:val="both"/>
              <w:rPr>
                <w:lang w:val="lv-LV"/>
              </w:rPr>
            </w:pPr>
            <w:r w:rsidRPr="00787913">
              <w:rPr>
                <w:lang w:val="lv-LV"/>
              </w:rPr>
              <w:t>C</w:t>
            </w:r>
          </w:p>
        </w:tc>
        <w:tc>
          <w:tcPr>
            <w:tcW w:w="3490" w:type="dxa"/>
            <w:gridSpan w:val="2"/>
            <w:tcBorders>
              <w:top w:val="outset" w:sz="6" w:space="0" w:color="auto"/>
              <w:left w:val="outset" w:sz="6" w:space="0" w:color="auto"/>
              <w:bottom w:val="outset" w:sz="6" w:space="0" w:color="auto"/>
              <w:right w:val="outset" w:sz="6" w:space="0" w:color="auto"/>
            </w:tcBorders>
            <w:vAlign w:val="center"/>
          </w:tcPr>
          <w:p w:rsidR="00776FAA" w:rsidRPr="00787913" w:rsidRDefault="00776FAA" w:rsidP="000F5A37">
            <w:pPr>
              <w:ind w:left="57"/>
              <w:jc w:val="center"/>
              <w:rPr>
                <w:lang w:val="lv-LV"/>
              </w:rPr>
            </w:pPr>
            <w:r w:rsidRPr="00787913">
              <w:rPr>
                <w:lang w:val="lv-LV"/>
              </w:rPr>
              <w:t>D</w:t>
            </w:r>
          </w:p>
        </w:tc>
      </w:tr>
      <w:tr w:rsidR="00776FAA" w:rsidRPr="00787913" w:rsidTr="001A2425">
        <w:tblPrEx>
          <w:tblCellMar>
            <w:left w:w="0" w:type="dxa"/>
            <w:right w:w="0" w:type="dxa"/>
          </w:tblCellMar>
          <w:tblLook w:val="04A0"/>
        </w:tblPrEx>
        <w:trPr>
          <w:gridAfter w:val="1"/>
          <w:wAfter w:w="152" w:type="dxa"/>
          <w:trHeight w:val="2237"/>
        </w:trPr>
        <w:tc>
          <w:tcPr>
            <w:tcW w:w="2128" w:type="dxa"/>
            <w:gridSpan w:val="9"/>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0F5A37">
            <w:pPr>
              <w:spacing w:after="120"/>
              <w:ind w:left="57"/>
              <w:jc w:val="both"/>
              <w:rPr>
                <w:spacing w:val="-3"/>
                <w:lang w:val="lv-LV"/>
              </w:rPr>
            </w:pPr>
            <w:r w:rsidRPr="00787913">
              <w:rPr>
                <w:spacing w:val="-3"/>
                <w:lang w:val="lv-LV"/>
              </w:rPr>
              <w:lastRenderedPageBreak/>
              <w:t>Attiecīgā ES tiesību akta panta numurs (uzskaitot katru tiesību akta vienību – pantu, daļu, punktu, apakšpunktu)</w:t>
            </w:r>
          </w:p>
        </w:tc>
        <w:tc>
          <w:tcPr>
            <w:tcW w:w="3118" w:type="dxa"/>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0F5A37">
            <w:pPr>
              <w:spacing w:after="120"/>
              <w:ind w:left="57"/>
              <w:jc w:val="both"/>
              <w:rPr>
                <w:spacing w:val="-3"/>
                <w:lang w:val="lv-LV"/>
              </w:rPr>
            </w:pPr>
            <w:r w:rsidRPr="00787913">
              <w:rPr>
                <w:spacing w:val="-3"/>
                <w:lang w:val="lv-LV"/>
              </w:rPr>
              <w:t>Projekta vienība, kas pārņem vai ievieš katru šīs tabulas A ailē minēto ES tiesību akta vienību, vai tiesību akts, kur attiecīgā ES tiesību akta vienība pārņemta vai ieviesta.</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0F5A37">
            <w:pPr>
              <w:jc w:val="both"/>
              <w:rPr>
                <w:lang w:val="lv-LV"/>
              </w:rPr>
            </w:pPr>
            <w:r w:rsidRPr="00787913">
              <w:rPr>
                <w:lang w:val="lv-LV"/>
              </w:rPr>
              <w:t>Informācija par to, vai šīs tabulas A ailē minētās ES tiesību akta vienības tiek pārņemtas vai ieviestas pilnībā vai daļēji.</w:t>
            </w:r>
          </w:p>
          <w:p w:rsidR="00776FAA" w:rsidRPr="00787913" w:rsidRDefault="00776FAA" w:rsidP="000F5A37">
            <w:pPr>
              <w:jc w:val="both"/>
              <w:rPr>
                <w:lang w:val="lv-LV"/>
              </w:rPr>
            </w:pPr>
            <w:r w:rsidRPr="00787913">
              <w:rPr>
                <w:lang w:val="lv-LV"/>
              </w:rPr>
              <w:t>Ja attiecīgā ES tiesību akta vienība tiek pārņemta vai ieviesta daļēji, sniedz attiecīgu skaidrojumu, kā arī precīzi norāda, kad un kādā veidā ES tiesību akta vienība tiks pārņemta vai ieviesta pilnībā.</w:t>
            </w:r>
          </w:p>
          <w:p w:rsidR="00776FAA" w:rsidRPr="00787913" w:rsidRDefault="00776FAA" w:rsidP="000F5A37">
            <w:pPr>
              <w:spacing w:after="120"/>
              <w:ind w:left="57"/>
              <w:jc w:val="both"/>
              <w:rPr>
                <w:spacing w:val="-3"/>
                <w:lang w:val="lv-LV"/>
              </w:rPr>
            </w:pPr>
            <w:r w:rsidRPr="00787913">
              <w:rPr>
                <w:lang w:val="lv-LV"/>
              </w:rPr>
              <w:t>Norāda institūciju, kas ir atbildīga par šo saistību izpildi pilnībā</w:t>
            </w:r>
          </w:p>
        </w:tc>
        <w:tc>
          <w:tcPr>
            <w:tcW w:w="212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0F5A37">
            <w:pPr>
              <w:jc w:val="both"/>
              <w:rPr>
                <w:lang w:val="lv-LV"/>
              </w:rPr>
            </w:pPr>
            <w:r w:rsidRPr="00787913">
              <w:rPr>
                <w:lang w:val="lv-LV"/>
              </w:rPr>
              <w:t>Informācija par to, vai šīs tabulas B ailē minētās projekta vienības paredz stingrākas prasības nekā šīs tabulas A ailē minētās ES tiesību akta vienības.</w:t>
            </w:r>
          </w:p>
          <w:p w:rsidR="00776FAA" w:rsidRPr="00787913" w:rsidRDefault="00776FAA" w:rsidP="000F5A37">
            <w:pPr>
              <w:jc w:val="both"/>
              <w:rPr>
                <w:lang w:val="lv-LV"/>
              </w:rPr>
            </w:pPr>
            <w:r w:rsidRPr="00787913">
              <w:rPr>
                <w:lang w:val="lv-LV"/>
              </w:rPr>
              <w:t>Ja projekts satur stingrākas prasības nekā attiecīgais ES tiesību akts, norāda pamatojumu un samērīgumu.</w:t>
            </w:r>
          </w:p>
          <w:p w:rsidR="000F5A37" w:rsidRPr="00787913" w:rsidRDefault="00776FAA" w:rsidP="000F5A37">
            <w:pPr>
              <w:jc w:val="both"/>
              <w:rPr>
                <w:lang w:val="lv-LV"/>
              </w:rPr>
            </w:pPr>
            <w:r w:rsidRPr="00787913">
              <w:rPr>
                <w:lang w:val="lv-LV"/>
              </w:rPr>
              <w:t>Norāda iespējamās alternatīvas (t.sk. alternatīvas, kas nepared</w:t>
            </w:r>
            <w:r w:rsidR="00EC1BA6">
              <w:rPr>
                <w:lang w:val="lv-LV"/>
              </w:rPr>
              <w:t>z tiesiskā regulējuma izstrādi) - </w:t>
            </w:r>
            <w:r w:rsidRPr="00787913">
              <w:rPr>
                <w:lang w:val="lv-LV"/>
              </w:rPr>
              <w:t>kādos gadījumos būtu iespējams izvairīties no stingrāku prasību noteikšanas, nekā paredzēts attiecīgajos ES tiesību aktos</w:t>
            </w:r>
          </w:p>
        </w:tc>
      </w:tr>
      <w:tr w:rsidR="00D97CE8" w:rsidRPr="00787913" w:rsidTr="001A2425">
        <w:tblPrEx>
          <w:tblCellMar>
            <w:left w:w="0" w:type="dxa"/>
            <w:right w:w="0" w:type="dxa"/>
          </w:tblCellMar>
          <w:tblLook w:val="04A0"/>
        </w:tblPrEx>
        <w:trPr>
          <w:gridAfter w:val="1"/>
          <w:wAfter w:w="152" w:type="dxa"/>
          <w:cantSplit/>
          <w:trHeight w:val="1089"/>
        </w:trPr>
        <w:tc>
          <w:tcPr>
            <w:tcW w:w="2128" w:type="dxa"/>
            <w:gridSpan w:val="9"/>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97CE8" w:rsidRPr="00F058F8" w:rsidRDefault="004628A9"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NoSpacing"/>
              <w:rPr>
                <w:rFonts w:ascii="Times New Roman" w:hAnsi="Times New Roman"/>
                <w:spacing w:val="-3"/>
                <w:sz w:val="24"/>
                <w:szCs w:val="24"/>
              </w:rPr>
            </w:pPr>
            <w:r w:rsidRPr="00F058F8">
              <w:rPr>
                <w:rFonts w:ascii="Times New Roman" w:hAnsi="Times New Roman"/>
                <w:spacing w:val="-3"/>
                <w:sz w:val="24"/>
                <w:szCs w:val="24"/>
              </w:rPr>
              <w:t>1.panta 1.punkts</w:t>
            </w:r>
          </w:p>
        </w:tc>
        <w:tc>
          <w:tcPr>
            <w:tcW w:w="3118" w:type="dxa"/>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 jāpārņem, jo norma attiecas uz vispārēju principu ievērošanu ieviešot direktīvas normas dalībvalstīs</w:t>
            </w:r>
          </w:p>
        </w:tc>
        <w:tc>
          <w:tcPr>
            <w:tcW w:w="212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r>
      <w:tr w:rsidR="00D97CE8" w:rsidRPr="00787913" w:rsidTr="001A2425">
        <w:tblPrEx>
          <w:tblCellMar>
            <w:left w:w="0" w:type="dxa"/>
            <w:right w:w="0" w:type="dxa"/>
          </w:tblCellMar>
          <w:tblLook w:val="04A0"/>
        </w:tblPrEx>
        <w:trPr>
          <w:gridAfter w:val="1"/>
          <w:wAfter w:w="152" w:type="dxa"/>
          <w:cantSplit/>
          <w:trHeight w:val="921"/>
        </w:trPr>
        <w:tc>
          <w:tcPr>
            <w:tcW w:w="2128" w:type="dxa"/>
            <w:gridSpan w:val="9"/>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97CE8" w:rsidRPr="00F058F8" w:rsidRDefault="004628A9"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NoSpacing"/>
              <w:rPr>
                <w:rFonts w:ascii="Times New Roman" w:hAnsi="Times New Roman"/>
                <w:spacing w:val="-3"/>
                <w:sz w:val="24"/>
                <w:szCs w:val="24"/>
              </w:rPr>
            </w:pPr>
            <w:r w:rsidRPr="00F058F8">
              <w:rPr>
                <w:rFonts w:ascii="Times New Roman" w:hAnsi="Times New Roman"/>
                <w:spacing w:val="-3"/>
                <w:sz w:val="24"/>
                <w:szCs w:val="24"/>
              </w:rPr>
              <w:t>1.panta 2.punkts</w:t>
            </w:r>
          </w:p>
        </w:tc>
        <w:tc>
          <w:tcPr>
            <w:tcW w:w="3118" w:type="dxa"/>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 jāpārņem, jo norma attiecas uz vispārēju principu ievērošanu ieviešot direktīvas normas dalībvalstīs</w:t>
            </w:r>
          </w:p>
        </w:tc>
        <w:tc>
          <w:tcPr>
            <w:tcW w:w="212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1.panta 3.punkts </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 jāpārņem, jo norma attiecas uz vispārēju principu ievērošanu ieviešot direktīvas normas dalībvalstīs</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NoSpacing"/>
              <w:rPr>
                <w:rFonts w:ascii="Times New Roman" w:hAnsi="Times New Roman"/>
                <w:spacing w:val="-3"/>
                <w:sz w:val="24"/>
                <w:szCs w:val="24"/>
              </w:rPr>
            </w:pPr>
            <w:r w:rsidRPr="00F058F8">
              <w:rPr>
                <w:rFonts w:ascii="Times New Roman" w:hAnsi="Times New Roman"/>
                <w:sz w:val="24"/>
                <w:szCs w:val="24"/>
              </w:rPr>
              <w:lastRenderedPageBreak/>
              <w:t xml:space="preserve">Direktīva </w:t>
            </w:r>
            <w:r w:rsidRPr="00F058F8">
              <w:rPr>
                <w:rFonts w:ascii="Times New Roman" w:hAnsi="Times New Roman"/>
                <w:spacing w:val="-3"/>
                <w:sz w:val="24"/>
                <w:szCs w:val="24"/>
              </w:rPr>
              <w:t>2011/24</w:t>
            </w:r>
          </w:p>
          <w:p w:rsidR="00D97CE8" w:rsidRPr="00F058F8" w:rsidRDefault="00D97CE8"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1.panta 4.punkts </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 jāpārņem, jo norma attiecas uz vispārēju principu ievērošanu ieviešot direktīvas normas dalībvalstīs.</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NoSpacing"/>
              <w:rPr>
                <w:rFonts w:ascii="Times New Roman" w:hAnsi="Times New Roman"/>
                <w:spacing w:val="-3"/>
                <w:sz w:val="24"/>
                <w:szCs w:val="24"/>
              </w:rPr>
            </w:pPr>
            <w:r w:rsidRPr="00F058F8">
              <w:rPr>
                <w:rFonts w:ascii="Times New Roman" w:hAnsi="Times New Roman"/>
                <w:spacing w:val="-3"/>
                <w:sz w:val="24"/>
                <w:szCs w:val="24"/>
              </w:rPr>
              <w:t>2.pants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 jāpārņem, jo norma attiecas uz vispārēju principu ievērošanu ieviešot direktīvas normas dalībvalstīs.</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3.panta a) apakšpunkts </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Direktīvas norma ir pārņemta ar: Ārstniecības likuma 1.panta 1.punktu</w:t>
            </w:r>
          </w:p>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Farmācijas likuma 1.panta 4.punktu un Pacientu tiesību likuma 1.panta otrās daļas 5.punktu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Direktīvas norma ir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NoSpacing"/>
              <w:rPr>
                <w:rFonts w:ascii="Times New Roman" w:hAnsi="Times New Roman"/>
                <w:sz w:val="24"/>
                <w:szCs w:val="24"/>
              </w:rPr>
            </w:pPr>
            <w:r w:rsidRPr="00F058F8">
              <w:rPr>
                <w:rFonts w:ascii="Times New Roman" w:hAnsi="Times New Roman"/>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NoSpacing"/>
              <w:rPr>
                <w:rFonts w:ascii="Times New Roman" w:hAnsi="Times New Roman"/>
                <w:spacing w:val="-3"/>
                <w:sz w:val="24"/>
                <w:szCs w:val="24"/>
              </w:rPr>
            </w:pPr>
            <w:r w:rsidRPr="00F058F8">
              <w:rPr>
                <w:rFonts w:ascii="Times New Roman" w:hAnsi="Times New Roman"/>
                <w:spacing w:val="-3"/>
                <w:sz w:val="24"/>
                <w:szCs w:val="24"/>
              </w:rPr>
              <w:t>3.panta b) i)</w:t>
            </w:r>
          </w:p>
          <w:p w:rsidR="00D97CE8" w:rsidRPr="00F058F8" w:rsidRDefault="00D97CE8" w:rsidP="00F058F8">
            <w:pPr>
              <w:pStyle w:val="NoSpacing"/>
              <w:rPr>
                <w:rFonts w:ascii="Times New Roman" w:hAnsi="Times New Roman"/>
                <w:strike/>
                <w:spacing w:val="-3"/>
                <w:sz w:val="24"/>
                <w:szCs w:val="24"/>
              </w:rPr>
            </w:pPr>
            <w:r w:rsidRPr="00F058F8">
              <w:rPr>
                <w:rFonts w:ascii="Times New Roman" w:hAnsi="Times New Roman"/>
                <w:spacing w:val="-3"/>
                <w:sz w:val="24"/>
                <w:szCs w:val="24"/>
              </w:rPr>
              <w:t>3.panta b) ii)</w:t>
            </w:r>
            <w:r w:rsidRPr="00F058F8">
              <w:rPr>
                <w:rFonts w:ascii="Times New Roman" w:hAnsi="Times New Roman"/>
                <w:strike/>
                <w:spacing w:val="-3"/>
                <w:sz w:val="24"/>
                <w:szCs w:val="24"/>
              </w:rPr>
              <w:t xml:space="preserve"> </w:t>
            </w:r>
          </w:p>
          <w:p w:rsidR="00D97CE8" w:rsidRPr="00F058F8" w:rsidRDefault="00D97CE8"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3.panta c) </w:t>
            </w:r>
            <w:r w:rsidR="002C2477" w:rsidRPr="00F058F8">
              <w:rPr>
                <w:rFonts w:ascii="Times New Roman" w:hAnsi="Times New Roman"/>
                <w:spacing w:val="-3"/>
                <w:sz w:val="24"/>
                <w:szCs w:val="24"/>
              </w:rPr>
              <w:t xml:space="preserve">i) </w:t>
            </w:r>
            <w:proofErr w:type="spellStart"/>
            <w:r w:rsidRPr="00F058F8">
              <w:rPr>
                <w:rFonts w:ascii="Times New Roman" w:hAnsi="Times New Roman"/>
                <w:spacing w:val="-3"/>
                <w:sz w:val="24"/>
                <w:szCs w:val="24"/>
              </w:rPr>
              <w:t>ii</w:t>
            </w:r>
            <w:proofErr w:type="spellEnd"/>
            <w:r w:rsidRPr="00F058F8">
              <w:rPr>
                <w:rFonts w:ascii="Times New Roman" w:hAnsi="Times New Roman"/>
                <w:spacing w:val="-3"/>
                <w:sz w:val="24"/>
                <w:szCs w:val="24"/>
              </w:rPr>
              <w:t>)</w:t>
            </w:r>
            <w:r w:rsidR="002C2477" w:rsidRPr="00F058F8">
              <w:rPr>
                <w:rFonts w:ascii="Times New Roman" w:hAnsi="Times New Roman"/>
                <w:spacing w:val="-3"/>
                <w:sz w:val="24"/>
                <w:szCs w:val="24"/>
              </w:rPr>
              <w:t xml:space="preserve"> apakšpunkts</w:t>
            </w:r>
            <w:r w:rsidRPr="00F058F8">
              <w:rPr>
                <w:rFonts w:ascii="Times New Roman" w:hAnsi="Times New Roman"/>
                <w:spacing w:val="-3"/>
                <w:sz w:val="24"/>
                <w:szCs w:val="24"/>
              </w:rPr>
              <w:t xml:space="preserve"> </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Ārstniecības likuma 17.pants</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NoSpacing"/>
              <w:rPr>
                <w:rFonts w:ascii="Times New Roman" w:hAnsi="Times New Roman"/>
                <w:sz w:val="24"/>
                <w:szCs w:val="24"/>
              </w:rPr>
            </w:pPr>
            <w:r w:rsidRPr="00F058F8">
              <w:rPr>
                <w:rFonts w:ascii="Times New Roman" w:hAnsi="Times New Roman"/>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4628A9" w:rsidRPr="00F058F8" w:rsidRDefault="004628A9" w:rsidP="00F058F8">
            <w:pPr>
              <w:pStyle w:val="NoSpacing"/>
              <w:rPr>
                <w:rFonts w:ascii="Times New Roman" w:hAnsi="Times New Roman"/>
                <w:spacing w:val="-3"/>
              </w:rPr>
            </w:pPr>
            <w:r w:rsidRPr="00F058F8">
              <w:rPr>
                <w:rFonts w:ascii="Times New Roman" w:hAnsi="Times New Roman"/>
              </w:rPr>
              <w:t xml:space="preserve">Direktīva </w:t>
            </w:r>
            <w:r w:rsidRPr="00F058F8">
              <w:rPr>
                <w:rFonts w:ascii="Times New Roman" w:hAnsi="Times New Roman"/>
                <w:spacing w:val="-3"/>
              </w:rPr>
              <w:t>2011/24</w:t>
            </w:r>
          </w:p>
          <w:p w:rsidR="00D97CE8" w:rsidRPr="00F058F8" w:rsidRDefault="00D97CE8" w:rsidP="00F058F8">
            <w:pPr>
              <w:pStyle w:val="NoSpacing"/>
              <w:rPr>
                <w:rFonts w:ascii="Times New Roman" w:hAnsi="Times New Roman"/>
                <w:spacing w:val="-3"/>
              </w:rPr>
            </w:pPr>
            <w:r w:rsidRPr="00F058F8">
              <w:rPr>
                <w:rFonts w:ascii="Times New Roman" w:hAnsi="Times New Roman"/>
                <w:spacing w:val="-3"/>
              </w:rPr>
              <w:t>3.panta d)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Nav jāpārņem, jo sniedz direktīvā lietotā termina skaidrojumu</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NoSpacing"/>
              <w:rPr>
                <w:rFonts w:ascii="Times New Roman" w:hAnsi="Times New Roman"/>
                <w:sz w:val="24"/>
                <w:szCs w:val="24"/>
              </w:rPr>
            </w:pPr>
            <w:r w:rsidRPr="00F058F8">
              <w:rPr>
                <w:rFonts w:ascii="Times New Roman" w:hAnsi="Times New Roman"/>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NoSpacing"/>
              <w:rPr>
                <w:rFonts w:ascii="Times New Roman" w:hAnsi="Times New Roman"/>
                <w:color w:val="000000" w:themeColor="text1"/>
                <w:spacing w:val="-3"/>
              </w:rPr>
            </w:pPr>
            <w:r w:rsidRPr="00F058F8">
              <w:rPr>
                <w:rFonts w:ascii="Times New Roman" w:hAnsi="Times New Roman"/>
              </w:rPr>
              <w:t xml:space="preserve">Direktīva </w:t>
            </w:r>
            <w:r w:rsidRPr="00F058F8">
              <w:rPr>
                <w:rFonts w:ascii="Times New Roman" w:hAnsi="Times New Roman"/>
                <w:color w:val="000000" w:themeColor="text1"/>
                <w:spacing w:val="-3"/>
              </w:rPr>
              <w:t>2011/24</w:t>
            </w:r>
          </w:p>
          <w:p w:rsidR="00D97CE8" w:rsidRPr="00F058F8" w:rsidRDefault="00D97CE8" w:rsidP="00F058F8">
            <w:pPr>
              <w:pStyle w:val="NoSpacing"/>
              <w:rPr>
                <w:rFonts w:ascii="Times New Roman" w:hAnsi="Times New Roman"/>
                <w:color w:val="000000" w:themeColor="text1"/>
                <w:spacing w:val="-3"/>
              </w:rPr>
            </w:pPr>
            <w:r w:rsidRPr="00F058F8">
              <w:rPr>
                <w:rFonts w:ascii="Times New Roman" w:hAnsi="Times New Roman"/>
                <w:color w:val="000000" w:themeColor="text1"/>
                <w:spacing w:val="-3"/>
              </w:rPr>
              <w:t>3.panta e) apakšpunkts</w:t>
            </w:r>
          </w:p>
        </w:tc>
        <w:tc>
          <w:tcPr>
            <w:tcW w:w="3118" w:type="dxa"/>
            <w:gridSpan w:val="8"/>
            <w:tcBorders>
              <w:top w:val="outset" w:sz="6" w:space="0" w:color="auto"/>
              <w:left w:val="outset" w:sz="6" w:space="0" w:color="auto"/>
              <w:bottom w:val="outset" w:sz="6" w:space="0" w:color="auto"/>
              <w:right w:val="outset" w:sz="6" w:space="0" w:color="auto"/>
            </w:tcBorders>
          </w:tcPr>
          <w:p w:rsidR="00D279B5" w:rsidRPr="00F058F8" w:rsidRDefault="00D279B5" w:rsidP="00F058F8">
            <w:pPr>
              <w:pStyle w:val="NoSpacing"/>
              <w:rPr>
                <w:rFonts w:ascii="Times New Roman" w:hAnsi="Times New Roman"/>
                <w:iCs/>
                <w:sz w:val="24"/>
                <w:szCs w:val="24"/>
              </w:rPr>
            </w:pPr>
            <w:r w:rsidRPr="00F058F8">
              <w:rPr>
                <w:rFonts w:ascii="Times New Roman" w:hAnsi="Times New Roman"/>
                <w:sz w:val="24"/>
                <w:szCs w:val="24"/>
              </w:rPr>
              <w:t>Direktīvas norma tiks pārņemta ar grozījumiem</w:t>
            </w:r>
          </w:p>
          <w:p w:rsidR="00D97CE8" w:rsidRPr="00F058F8" w:rsidRDefault="00D279B5" w:rsidP="00F058F8">
            <w:pPr>
              <w:pStyle w:val="NoSpacing"/>
              <w:rPr>
                <w:rFonts w:ascii="Times New Roman" w:hAnsi="Times New Roman"/>
                <w:color w:val="000000" w:themeColor="text1"/>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NoSpacing"/>
              <w:rPr>
                <w:rFonts w:ascii="Times New Roman" w:hAnsi="Times New Roman"/>
                <w:color w:val="000000" w:themeColor="text1"/>
                <w:sz w:val="24"/>
                <w:szCs w:val="24"/>
              </w:rPr>
            </w:pPr>
            <w:r w:rsidRPr="00F058F8">
              <w:rPr>
                <w:rFonts w:ascii="Times New Roman" w:hAnsi="Times New Roman"/>
                <w:color w:val="000000" w:themeColor="text1"/>
                <w:sz w:val="24"/>
                <w:szCs w:val="24"/>
              </w:rPr>
              <w:t>Nav</w:t>
            </w:r>
            <w:r w:rsidR="00D97CE8" w:rsidRPr="00F058F8">
              <w:rPr>
                <w:rFonts w:ascii="Times New Roman" w:hAnsi="Times New Roman"/>
                <w:color w:val="000000" w:themeColor="text1"/>
                <w:sz w:val="24"/>
                <w:szCs w:val="24"/>
              </w:rPr>
              <w:t xml:space="preserve"> </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NoSpacing"/>
              <w:rPr>
                <w:rFonts w:ascii="Times New Roman" w:hAnsi="Times New Roman"/>
                <w:sz w:val="24"/>
                <w:szCs w:val="24"/>
              </w:rPr>
            </w:pPr>
            <w:r w:rsidRPr="00F058F8">
              <w:rPr>
                <w:rFonts w:ascii="Times New Roman" w:hAnsi="Times New Roman"/>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NoSpacing"/>
              <w:rPr>
                <w:rFonts w:ascii="Times New Roman" w:hAnsi="Times New Roman"/>
                <w:spacing w:val="-3"/>
              </w:rPr>
            </w:pPr>
            <w:r w:rsidRPr="00F058F8">
              <w:rPr>
                <w:rFonts w:ascii="Times New Roman" w:hAnsi="Times New Roman"/>
              </w:rPr>
              <w:t xml:space="preserve">Direktīva </w:t>
            </w:r>
            <w:r w:rsidRPr="00F058F8">
              <w:rPr>
                <w:rFonts w:ascii="Times New Roman" w:hAnsi="Times New Roman"/>
                <w:spacing w:val="-3"/>
              </w:rPr>
              <w:t>2011/24</w:t>
            </w:r>
          </w:p>
          <w:p w:rsidR="00D97CE8" w:rsidRPr="00F058F8" w:rsidRDefault="00D97CE8" w:rsidP="00F058F8">
            <w:pPr>
              <w:pStyle w:val="NoSpacing"/>
              <w:rPr>
                <w:rFonts w:ascii="Times New Roman" w:hAnsi="Times New Roman"/>
                <w:spacing w:val="-3"/>
              </w:rPr>
            </w:pPr>
            <w:r w:rsidRPr="00F058F8">
              <w:rPr>
                <w:rFonts w:ascii="Times New Roman" w:hAnsi="Times New Roman"/>
                <w:spacing w:val="-3"/>
              </w:rPr>
              <w:t>3.panta f)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Direktīvas norma pārņemta ar:</w:t>
            </w:r>
          </w:p>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Ārstniecības likuma 1.panta 2.punktu</w:t>
            </w:r>
          </w:p>
          <w:p w:rsidR="00D97CE8" w:rsidRPr="00F058F8" w:rsidRDefault="00D97CE8" w:rsidP="00F058F8">
            <w:pPr>
              <w:pStyle w:val="NoSpacing"/>
              <w:rPr>
                <w:rFonts w:ascii="Times New Roman" w:hAnsi="Times New Roman"/>
                <w:sz w:val="24"/>
                <w:szCs w:val="24"/>
                <w:highlight w:val="yellow"/>
              </w:rPr>
            </w:pPr>
            <w:r w:rsidRPr="00F058F8">
              <w:rPr>
                <w:rFonts w:ascii="Times New Roman" w:hAnsi="Times New Roman"/>
                <w:sz w:val="24"/>
                <w:szCs w:val="24"/>
              </w:rPr>
              <w:t>Farmācijas likuma 1.panta 3.punktu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NoSpacing"/>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NoSpacing"/>
              <w:rPr>
                <w:rFonts w:ascii="Times New Roman" w:hAnsi="Times New Roman"/>
                <w:sz w:val="24"/>
                <w:szCs w:val="24"/>
              </w:rPr>
            </w:pPr>
            <w:r w:rsidRPr="00F058F8">
              <w:rPr>
                <w:rFonts w:ascii="Times New Roman" w:hAnsi="Times New Roman"/>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3.panta g)</w:t>
            </w:r>
            <w:r w:rsidR="002C2477" w:rsidRPr="00F058F8">
              <w:rPr>
                <w:rFonts w:ascii="Times New Roman" w:hAnsi="Times New Roman"/>
                <w:spacing w:val="-3"/>
                <w:sz w:val="24"/>
                <w:szCs w:val="24"/>
              </w:rPr>
              <w:t xml:space="preserve"> </w:t>
            </w:r>
            <w:proofErr w:type="spellStart"/>
            <w:r w:rsidR="002C2477" w:rsidRPr="00F058F8">
              <w:rPr>
                <w:rFonts w:ascii="Times New Roman" w:hAnsi="Times New Roman"/>
                <w:spacing w:val="-3"/>
                <w:sz w:val="24"/>
                <w:szCs w:val="24"/>
              </w:rPr>
              <w:t>apakšpunkts</w:t>
            </w:r>
            <w:proofErr w:type="spellEnd"/>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iCs/>
                <w:sz w:val="24"/>
                <w:szCs w:val="24"/>
              </w:rPr>
            </w:pPr>
            <w:r w:rsidRPr="00F058F8">
              <w:rPr>
                <w:rFonts w:ascii="Times New Roman" w:hAnsi="Times New Roman"/>
                <w:iCs/>
                <w:sz w:val="24"/>
                <w:szCs w:val="24"/>
              </w:rPr>
              <w:t xml:space="preserve">Direktīvas norma pārņemta ar </w:t>
            </w:r>
          </w:p>
          <w:p w:rsidR="00D97CE8" w:rsidRPr="00F058F8" w:rsidRDefault="00D97CE8" w:rsidP="00F058F8">
            <w:pPr>
              <w:pStyle w:val="Bezatstarpm1"/>
              <w:rPr>
                <w:rFonts w:ascii="Times New Roman" w:hAnsi="Times New Roman"/>
                <w:iCs/>
                <w:sz w:val="24"/>
                <w:szCs w:val="24"/>
              </w:rPr>
            </w:pPr>
            <w:r w:rsidRPr="00F058F8">
              <w:rPr>
                <w:rFonts w:ascii="Times New Roman" w:hAnsi="Times New Roman"/>
                <w:iCs/>
                <w:sz w:val="24"/>
                <w:szCs w:val="24"/>
              </w:rPr>
              <w:t>Ārstniecības likuma 1.panta 2., 3.punktu</w:t>
            </w:r>
          </w:p>
          <w:p w:rsidR="00D97CE8" w:rsidRPr="00F058F8" w:rsidRDefault="00D97CE8" w:rsidP="00F058F8">
            <w:pPr>
              <w:pStyle w:val="Bezatstarpm1"/>
              <w:rPr>
                <w:rFonts w:ascii="Times New Roman" w:hAnsi="Times New Roman"/>
                <w:iCs/>
                <w:sz w:val="24"/>
                <w:szCs w:val="24"/>
                <w:highlight w:val="yellow"/>
              </w:rPr>
            </w:pPr>
            <w:r w:rsidRPr="00F058F8">
              <w:rPr>
                <w:rFonts w:ascii="Times New Roman" w:hAnsi="Times New Roman"/>
                <w:iCs/>
                <w:sz w:val="24"/>
                <w:szCs w:val="24"/>
              </w:rPr>
              <w:t>Farmācijas likuma 1.panta 3.punktu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3.panta h)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highlight w:val="yellow"/>
              </w:rPr>
            </w:pPr>
            <w:r w:rsidRPr="00F058F8">
              <w:rPr>
                <w:rFonts w:ascii="Times New Roman" w:hAnsi="Times New Roman"/>
                <w:sz w:val="24"/>
                <w:szCs w:val="24"/>
              </w:rPr>
              <w:t>Direktīvas norma pārņemta ar Ārstniecības likuma 1.panta 11.punktu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lastRenderedPageBreak/>
              <w:t xml:space="preserve">Direktīva </w:t>
            </w:r>
            <w:r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3.panta i)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highlight w:val="yellow"/>
              </w:rPr>
            </w:pPr>
            <w:r w:rsidRPr="00F058F8">
              <w:rPr>
                <w:rFonts w:ascii="Times New Roman" w:hAnsi="Times New Roman"/>
                <w:sz w:val="24"/>
                <w:szCs w:val="24"/>
              </w:rPr>
              <w:t>Direktīvas norma pārņemta ar Farmācijas likuma 1.panta 17.punktu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3.panta j)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highlight w:val="yellow"/>
              </w:rPr>
            </w:pPr>
            <w:r w:rsidRPr="00F058F8">
              <w:rPr>
                <w:rFonts w:ascii="Times New Roman" w:hAnsi="Times New Roman"/>
                <w:sz w:val="24"/>
                <w:szCs w:val="24"/>
              </w:rPr>
              <w:t>Direktīvas norma pārņemta ar Ārstniecības likuma1.panta 21.punktu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 xml:space="preserve">Direktīvas norma pārņemta pilnībā </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3.panta k)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iCs/>
                <w:sz w:val="24"/>
                <w:szCs w:val="24"/>
              </w:rPr>
              <w:t xml:space="preserve">Direktīvas norma pārņemta </w:t>
            </w:r>
            <w:r w:rsidR="00F24ED4" w:rsidRPr="00F058F8">
              <w:rPr>
                <w:rFonts w:ascii="Times New Roman" w:hAnsi="Times New Roman"/>
                <w:iCs/>
                <w:sz w:val="24"/>
                <w:szCs w:val="24"/>
              </w:rPr>
              <w:t>MK noteikumu</w:t>
            </w:r>
            <w:r w:rsidRPr="00F058F8">
              <w:rPr>
                <w:rFonts w:ascii="Times New Roman" w:hAnsi="Times New Roman"/>
                <w:iCs/>
                <w:sz w:val="24"/>
                <w:szCs w:val="24"/>
              </w:rPr>
              <w:t xml:space="preserve"> </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z w:val="24"/>
                <w:szCs w:val="24"/>
              </w:rPr>
              <w:t>Nr.</w:t>
            </w:r>
            <w:r w:rsidR="00E20C71" w:rsidRPr="00F058F8">
              <w:rPr>
                <w:rFonts w:ascii="Times New Roman" w:hAnsi="Times New Roman"/>
                <w:sz w:val="24"/>
                <w:szCs w:val="24"/>
              </w:rPr>
              <w:t xml:space="preserve">175 </w:t>
            </w:r>
            <w:r w:rsidRPr="00F058F8">
              <w:rPr>
                <w:rFonts w:ascii="Times New Roman" w:hAnsi="Times New Roman"/>
                <w:sz w:val="24"/>
                <w:szCs w:val="24"/>
              </w:rPr>
              <w:t>32. un 33.punktu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3.panta l)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daļēji ar Ārstniecības likuma 1.panta 9.punktu</w:t>
            </w:r>
          </w:p>
          <w:p w:rsidR="00D97CE8" w:rsidRPr="00F058F8" w:rsidRDefault="00D97CE8" w:rsidP="00F058F8">
            <w:pPr>
              <w:pStyle w:val="Bezatstarpm1"/>
              <w:rPr>
                <w:rFonts w:ascii="Times New Roman" w:hAnsi="Times New Roman"/>
                <w:sz w:val="24"/>
                <w:szCs w:val="24"/>
              </w:rPr>
            </w:pPr>
          </w:p>
          <w:p w:rsidR="00D97CE8" w:rsidRPr="00F058F8" w:rsidRDefault="00D97CE8" w:rsidP="00F058F8">
            <w:pPr>
              <w:pStyle w:val="Bezatstarpm1"/>
              <w:rPr>
                <w:rFonts w:ascii="Times New Roman" w:hAnsi="Times New Roman"/>
                <w:iCs/>
                <w:sz w:val="24"/>
                <w:szCs w:val="24"/>
              </w:rPr>
            </w:pPr>
            <w:r w:rsidRPr="00F058F8">
              <w:rPr>
                <w:rFonts w:ascii="Times New Roman" w:hAnsi="Times New Roman"/>
                <w:sz w:val="24"/>
                <w:szCs w:val="24"/>
              </w:rPr>
              <w:t>Direktīvas norma tiks ieviesta pilnībā ar grozījumiem</w:t>
            </w:r>
          </w:p>
          <w:p w:rsidR="00D97CE8" w:rsidRPr="00F058F8" w:rsidRDefault="00D97CE8" w:rsidP="00F058F8">
            <w:pPr>
              <w:pStyle w:val="Bezatstarpm1"/>
              <w:rPr>
                <w:rFonts w:ascii="Times New Roman" w:hAnsi="Times New Roman"/>
                <w:b/>
                <w:iCs/>
                <w:sz w:val="24"/>
                <w:szCs w:val="24"/>
              </w:rPr>
            </w:pPr>
            <w:r w:rsidRPr="00F058F8">
              <w:rPr>
                <w:rFonts w:ascii="Times New Roman" w:hAnsi="Times New Roman"/>
                <w:iCs/>
                <w:sz w:val="24"/>
                <w:szCs w:val="24"/>
              </w:rPr>
              <w:t xml:space="preserve">Ārstniecības likumā </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daļēji</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3.panta m)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Direktīvas norma pārņemta ar Pacientu tiesību likuma 1.panta otrās daļas 4.punktu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4.panta </w:t>
            </w:r>
            <w:r w:rsidR="00D97CE8" w:rsidRPr="00F058F8">
              <w:rPr>
                <w:rFonts w:ascii="Times New Roman" w:hAnsi="Times New Roman"/>
                <w:spacing w:val="-3"/>
                <w:sz w:val="24"/>
                <w:szCs w:val="24"/>
              </w:rPr>
              <w:t>1.punkta a)</w:t>
            </w:r>
            <w:r w:rsidR="002C2477" w:rsidRPr="00F058F8">
              <w:rPr>
                <w:rFonts w:ascii="Times New Roman" w:hAnsi="Times New Roman"/>
                <w:spacing w:val="-3"/>
                <w:sz w:val="24"/>
                <w:szCs w:val="24"/>
              </w:rPr>
              <w:t>,</w:t>
            </w:r>
            <w:r w:rsidR="00D97CE8" w:rsidRPr="00F058F8">
              <w:rPr>
                <w:rFonts w:ascii="Times New Roman" w:hAnsi="Times New Roman"/>
                <w:spacing w:val="-3"/>
                <w:sz w:val="24"/>
                <w:szCs w:val="24"/>
              </w:rPr>
              <w:t xml:space="preserve"> b)</w:t>
            </w:r>
            <w:r w:rsidR="002C2477" w:rsidRPr="00F058F8">
              <w:rPr>
                <w:rFonts w:ascii="Times New Roman" w:hAnsi="Times New Roman"/>
                <w:spacing w:val="-3"/>
                <w:sz w:val="24"/>
                <w:szCs w:val="24"/>
              </w:rPr>
              <w:t xml:space="preserve"> un</w:t>
            </w:r>
            <w:r w:rsidR="00D97CE8" w:rsidRPr="00F058F8">
              <w:rPr>
                <w:rFonts w:ascii="Times New Roman" w:hAnsi="Times New Roman"/>
                <w:spacing w:val="-3"/>
                <w:sz w:val="24"/>
                <w:szCs w:val="24"/>
              </w:rPr>
              <w:t xml:space="preserve"> c) apakšpunkt</w:t>
            </w:r>
            <w:r w:rsidR="002C2477" w:rsidRPr="00F058F8">
              <w:rPr>
                <w:rFonts w:ascii="Times New Roman" w:hAnsi="Times New Roman"/>
                <w:spacing w:val="-3"/>
                <w:sz w:val="24"/>
                <w:szCs w:val="24"/>
              </w:rPr>
              <w: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color w:val="000000" w:themeColor="text1"/>
                <w:sz w:val="24"/>
                <w:szCs w:val="24"/>
              </w:rPr>
            </w:pPr>
            <w:r w:rsidRPr="00F058F8">
              <w:rPr>
                <w:rFonts w:ascii="Times New Roman" w:hAnsi="Times New Roman"/>
                <w:color w:val="000000" w:themeColor="text1"/>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color w:val="000000" w:themeColor="text1"/>
                <w:sz w:val="24"/>
                <w:szCs w:val="24"/>
              </w:rPr>
            </w:pPr>
            <w:r w:rsidRPr="00F058F8">
              <w:rPr>
                <w:rFonts w:ascii="Times New Roman" w:hAnsi="Times New Roman"/>
                <w:color w:val="000000" w:themeColor="text1"/>
                <w:spacing w:val="-3"/>
                <w:sz w:val="24"/>
                <w:szCs w:val="24"/>
              </w:rPr>
              <w:t>Nav jāpārņem, jo norma attiecas uz vispārēju principu ievērošanu ieviešot direktīvas normas dalībvalstīs</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color w:val="000000" w:themeColor="text1"/>
                <w:spacing w:val="-3"/>
                <w:sz w:val="24"/>
                <w:szCs w:val="24"/>
              </w:rPr>
            </w:pPr>
            <w:r w:rsidRPr="00F058F8">
              <w:rPr>
                <w:rFonts w:ascii="Times New Roman" w:hAnsi="Times New Roman"/>
                <w:color w:val="000000" w:themeColor="text1"/>
                <w:spacing w:val="-3"/>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pacing w:val="-3"/>
                <w:sz w:val="24"/>
                <w:szCs w:val="24"/>
              </w:rPr>
              <w:t>4.panta</w:t>
            </w:r>
            <w:r w:rsidR="00D97CE8" w:rsidRPr="00F058F8">
              <w:rPr>
                <w:rFonts w:ascii="Times New Roman" w:hAnsi="Times New Roman"/>
                <w:spacing w:val="-3"/>
                <w:sz w:val="24"/>
                <w:szCs w:val="24"/>
              </w:rPr>
              <w:t xml:space="preserve"> 2.punkta a) apakšpunkts</w:t>
            </w:r>
          </w:p>
        </w:tc>
        <w:tc>
          <w:tcPr>
            <w:tcW w:w="3118" w:type="dxa"/>
            <w:gridSpan w:val="8"/>
            <w:tcBorders>
              <w:top w:val="outset" w:sz="6" w:space="0" w:color="auto"/>
              <w:left w:val="outset" w:sz="6" w:space="0" w:color="auto"/>
              <w:bottom w:val="outset" w:sz="6" w:space="0" w:color="auto"/>
              <w:right w:val="outset" w:sz="6" w:space="0" w:color="auto"/>
            </w:tcBorders>
          </w:tcPr>
          <w:p w:rsidR="00D279B5" w:rsidRPr="00F058F8" w:rsidRDefault="00D279B5" w:rsidP="00F058F8">
            <w:pPr>
              <w:pStyle w:val="Bezatstarpm1"/>
              <w:rPr>
                <w:rFonts w:ascii="Times New Roman" w:hAnsi="Times New Roman"/>
                <w:color w:val="000000" w:themeColor="text1"/>
                <w:spacing w:val="-3"/>
                <w:sz w:val="24"/>
                <w:szCs w:val="24"/>
              </w:rPr>
            </w:pPr>
            <w:r w:rsidRPr="00F058F8">
              <w:rPr>
                <w:rFonts w:ascii="Times New Roman" w:hAnsi="Times New Roman"/>
                <w:sz w:val="24"/>
                <w:szCs w:val="24"/>
              </w:rPr>
              <w:t xml:space="preserve">Direktīvas norma tiks pārņemta </w:t>
            </w:r>
            <w:r w:rsidRPr="00F058F8">
              <w:rPr>
                <w:rFonts w:ascii="Times New Roman" w:hAnsi="Times New Roman"/>
                <w:color w:val="000000" w:themeColor="text1"/>
                <w:spacing w:val="-3"/>
                <w:sz w:val="24"/>
                <w:szCs w:val="24"/>
              </w:rPr>
              <w:t>pilnībā ar:</w:t>
            </w:r>
          </w:p>
          <w:p w:rsidR="00D279B5" w:rsidRPr="00F058F8" w:rsidRDefault="00D279B5" w:rsidP="00F058F8">
            <w:pPr>
              <w:pStyle w:val="Bezatstarpm1"/>
              <w:rPr>
                <w:rFonts w:ascii="Times New Roman" w:hAnsi="Times New Roman"/>
                <w:iCs/>
                <w:sz w:val="24"/>
                <w:szCs w:val="24"/>
              </w:rPr>
            </w:pPr>
            <w:r w:rsidRPr="00F058F8">
              <w:rPr>
                <w:rFonts w:ascii="Times New Roman" w:hAnsi="Times New Roman"/>
                <w:sz w:val="24"/>
                <w:szCs w:val="24"/>
              </w:rPr>
              <w:t>grozījumiem</w:t>
            </w:r>
          </w:p>
          <w:p w:rsidR="00D279B5" w:rsidRPr="00F058F8" w:rsidRDefault="00D279B5" w:rsidP="00F058F8">
            <w:pPr>
              <w:pStyle w:val="Bezatstarpm1"/>
              <w:rPr>
                <w:rFonts w:ascii="Times New Roman" w:hAnsi="Times New Roman"/>
                <w:iCs/>
                <w:sz w:val="24"/>
                <w:szCs w:val="24"/>
              </w:rPr>
            </w:pPr>
            <w:r w:rsidRPr="00F058F8">
              <w:rPr>
                <w:rFonts w:ascii="Times New Roman" w:hAnsi="Times New Roman"/>
                <w:iCs/>
                <w:sz w:val="24"/>
                <w:szCs w:val="24"/>
              </w:rPr>
              <w:t>MK noteikumos Nr.1046</w:t>
            </w:r>
          </w:p>
          <w:p w:rsidR="00D97CE8" w:rsidRPr="00F058F8" w:rsidRDefault="00D97CE8" w:rsidP="00F058F8">
            <w:pPr>
              <w:pStyle w:val="Bezatstarpm1"/>
              <w:rPr>
                <w:rFonts w:ascii="Times New Roman" w:hAnsi="Times New Roman"/>
                <w:color w:val="000000" w:themeColor="text1"/>
                <w:spacing w:val="-3"/>
                <w:sz w:val="24"/>
                <w:szCs w:val="24"/>
              </w:rPr>
            </w:pPr>
            <w:r w:rsidRPr="00F058F8">
              <w:rPr>
                <w:rFonts w:ascii="Times New Roman" w:hAnsi="Times New Roman"/>
                <w:color w:val="000000" w:themeColor="text1"/>
                <w:spacing w:val="-3"/>
                <w:sz w:val="24"/>
                <w:szCs w:val="24"/>
              </w:rPr>
              <w:t xml:space="preserve">grozījumiem </w:t>
            </w:r>
            <w:r w:rsidR="00FF20F5" w:rsidRPr="00F058F8">
              <w:rPr>
                <w:rFonts w:ascii="Times New Roman" w:hAnsi="Times New Roman"/>
                <w:color w:val="000000" w:themeColor="text1"/>
                <w:spacing w:val="-3"/>
                <w:sz w:val="24"/>
                <w:szCs w:val="24"/>
              </w:rPr>
              <w:t>MK</w:t>
            </w:r>
            <w:r w:rsidRPr="00F058F8">
              <w:rPr>
                <w:rFonts w:ascii="Times New Roman" w:hAnsi="Times New Roman"/>
                <w:color w:val="000000" w:themeColor="text1"/>
                <w:spacing w:val="-3"/>
                <w:sz w:val="24"/>
                <w:szCs w:val="24"/>
              </w:rPr>
              <w:t xml:space="preserve"> noteikumos Nr.60</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color w:val="000000" w:themeColor="text1"/>
                <w:sz w:val="24"/>
                <w:szCs w:val="24"/>
              </w:rPr>
            </w:pPr>
            <w:r w:rsidRPr="00F058F8">
              <w:rPr>
                <w:rFonts w:ascii="Times New Roman" w:hAnsi="Times New Roman"/>
                <w:color w:val="000000" w:themeColor="text1"/>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pacing w:val="-3"/>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4.panta 2.punkta b)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2401F9" w:rsidRDefault="00D97CE8" w:rsidP="00F058F8">
            <w:pPr>
              <w:pStyle w:val="Bezatstarpm1"/>
              <w:rPr>
                <w:rFonts w:ascii="Times New Roman" w:hAnsi="Times New Roman"/>
                <w:spacing w:val="-3"/>
                <w:sz w:val="24"/>
                <w:szCs w:val="24"/>
                <w:lang w:val="lv-LV"/>
              </w:rPr>
            </w:pPr>
            <w:r w:rsidRPr="002401F9">
              <w:rPr>
                <w:rFonts w:ascii="Times New Roman" w:hAnsi="Times New Roman"/>
                <w:spacing w:val="-3"/>
                <w:sz w:val="24"/>
                <w:szCs w:val="24"/>
                <w:lang w:val="lv-LV"/>
              </w:rPr>
              <w:t>Pacientu tiesību likuma 4.panta pirmā daļa</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proofErr w:type="spellStart"/>
            <w:r w:rsidRPr="00F058F8">
              <w:rPr>
                <w:rFonts w:ascii="Times New Roman" w:hAnsi="Times New Roman"/>
                <w:sz w:val="24"/>
                <w:szCs w:val="24"/>
              </w:rPr>
              <w:t>Direktīvas</w:t>
            </w:r>
            <w:proofErr w:type="spellEnd"/>
            <w:r w:rsidRPr="00F058F8">
              <w:rPr>
                <w:rFonts w:ascii="Times New Roman" w:hAnsi="Times New Roman"/>
                <w:sz w:val="24"/>
                <w:szCs w:val="24"/>
              </w:rPr>
              <w:t xml:space="preserve"> </w:t>
            </w:r>
            <w:proofErr w:type="spellStart"/>
            <w:r w:rsidRPr="00F058F8">
              <w:rPr>
                <w:rFonts w:ascii="Times New Roman" w:hAnsi="Times New Roman"/>
                <w:sz w:val="24"/>
                <w:szCs w:val="24"/>
              </w:rPr>
              <w:t>norma</w:t>
            </w:r>
            <w:proofErr w:type="spellEnd"/>
            <w:r w:rsidRPr="00F058F8">
              <w:rPr>
                <w:rFonts w:ascii="Times New Roman" w:hAnsi="Times New Roman"/>
                <w:sz w:val="24"/>
                <w:szCs w:val="24"/>
              </w:rPr>
              <w:t xml:space="preserve"> </w:t>
            </w:r>
            <w:proofErr w:type="spellStart"/>
            <w:r w:rsidRPr="00F058F8">
              <w:rPr>
                <w:rFonts w:ascii="Times New Roman" w:hAnsi="Times New Roman"/>
                <w:sz w:val="24"/>
                <w:szCs w:val="24"/>
              </w:rPr>
              <w:t>pārņemta</w:t>
            </w:r>
            <w:proofErr w:type="spellEnd"/>
            <w:r w:rsidRPr="00F058F8">
              <w:rPr>
                <w:rFonts w:ascii="Times New Roman" w:hAnsi="Times New Roman"/>
                <w:sz w:val="24"/>
                <w:szCs w:val="24"/>
              </w:rPr>
              <w:t xml:space="preserve"> </w:t>
            </w:r>
            <w:proofErr w:type="spellStart"/>
            <w:r w:rsidRPr="00F058F8">
              <w:rPr>
                <w:rFonts w:ascii="Times New Roman" w:hAnsi="Times New Roman"/>
                <w:sz w:val="24"/>
                <w:szCs w:val="24"/>
              </w:rPr>
              <w:t>pilnībā</w:t>
            </w:r>
            <w:proofErr w:type="spellEnd"/>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4.panta </w:t>
            </w:r>
            <w:r w:rsidR="00D97CE8" w:rsidRPr="00F058F8">
              <w:rPr>
                <w:rFonts w:ascii="Times New Roman" w:hAnsi="Times New Roman"/>
                <w:spacing w:val="-3"/>
                <w:sz w:val="24"/>
                <w:szCs w:val="24"/>
              </w:rPr>
              <w:t>2.punkta c) apakšpunkts</w:t>
            </w:r>
          </w:p>
        </w:tc>
        <w:tc>
          <w:tcPr>
            <w:tcW w:w="3118" w:type="dxa"/>
            <w:gridSpan w:val="8"/>
            <w:tcBorders>
              <w:top w:val="outset" w:sz="6" w:space="0" w:color="auto"/>
              <w:left w:val="outset" w:sz="6" w:space="0" w:color="auto"/>
              <w:bottom w:val="outset" w:sz="6" w:space="0" w:color="auto"/>
              <w:right w:val="outset" w:sz="6" w:space="0" w:color="auto"/>
            </w:tcBorders>
          </w:tcPr>
          <w:p w:rsidR="00D279B5" w:rsidRPr="00F058F8" w:rsidRDefault="00D279B5" w:rsidP="00F058F8">
            <w:pPr>
              <w:pStyle w:val="Bezatstarpm1"/>
              <w:rPr>
                <w:rFonts w:ascii="Times New Roman" w:hAnsi="Times New Roman"/>
                <w:color w:val="000000" w:themeColor="text1"/>
                <w:spacing w:val="-3"/>
                <w:sz w:val="24"/>
                <w:szCs w:val="24"/>
              </w:rPr>
            </w:pPr>
            <w:r w:rsidRPr="00F058F8">
              <w:rPr>
                <w:rFonts w:ascii="Times New Roman" w:hAnsi="Times New Roman"/>
                <w:sz w:val="24"/>
                <w:szCs w:val="24"/>
              </w:rPr>
              <w:t xml:space="preserve">Direktīvas norma tiks pārņemta </w:t>
            </w:r>
            <w:r w:rsidR="00F24ED4" w:rsidRPr="00F058F8">
              <w:rPr>
                <w:rFonts w:ascii="Times New Roman" w:hAnsi="Times New Roman"/>
                <w:color w:val="000000" w:themeColor="text1"/>
                <w:spacing w:val="-3"/>
                <w:sz w:val="24"/>
                <w:szCs w:val="24"/>
              </w:rPr>
              <w:t>pilnībā ar</w:t>
            </w:r>
          </w:p>
          <w:p w:rsidR="00D279B5" w:rsidRPr="00F058F8" w:rsidRDefault="00D279B5" w:rsidP="00F058F8">
            <w:pPr>
              <w:pStyle w:val="Bezatstarpm1"/>
              <w:rPr>
                <w:rFonts w:ascii="Times New Roman" w:hAnsi="Times New Roman"/>
                <w:iCs/>
                <w:sz w:val="24"/>
                <w:szCs w:val="24"/>
              </w:rPr>
            </w:pPr>
            <w:r w:rsidRPr="00F058F8">
              <w:rPr>
                <w:rFonts w:ascii="Times New Roman" w:hAnsi="Times New Roman"/>
                <w:sz w:val="24"/>
                <w:szCs w:val="24"/>
              </w:rPr>
              <w:t>grozījumiem</w:t>
            </w:r>
          </w:p>
          <w:p w:rsidR="00D97CE8" w:rsidRPr="00F058F8" w:rsidRDefault="00D279B5" w:rsidP="00F058F8">
            <w:pPr>
              <w:pStyle w:val="Bezatstarpm1"/>
              <w:rPr>
                <w:rFonts w:ascii="Times New Roman" w:hAnsi="Times New Roman"/>
                <w:iCs/>
                <w:sz w:val="24"/>
                <w:szCs w:val="24"/>
              </w:rPr>
            </w:pPr>
            <w:r w:rsidRPr="00F058F8">
              <w:rPr>
                <w:rFonts w:ascii="Times New Roman" w:hAnsi="Times New Roman"/>
                <w:iCs/>
                <w:sz w:val="24"/>
                <w:szCs w:val="24"/>
              </w:rPr>
              <w:t>MK noteikumos Nr.104</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z w:val="24"/>
                <w:szCs w:val="24"/>
              </w:rPr>
            </w:pPr>
            <w:r w:rsidRPr="00F058F8">
              <w:rPr>
                <w:rFonts w:ascii="Times New Roman" w:hAnsi="Times New Roman"/>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pacing w:val="-3"/>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lastRenderedPageBreak/>
              <w:t xml:space="preserve">Direktīva </w:t>
            </w:r>
            <w:r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4.panta </w:t>
            </w:r>
            <w:r w:rsidR="00D97CE8" w:rsidRPr="00F058F8">
              <w:rPr>
                <w:rFonts w:ascii="Times New Roman" w:hAnsi="Times New Roman"/>
                <w:spacing w:val="-3"/>
                <w:sz w:val="24"/>
                <w:szCs w:val="24"/>
              </w:rPr>
              <w:t>2.punkta d)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tiks pārņemta ar</w:t>
            </w:r>
            <w:r w:rsidR="00D279B5" w:rsidRPr="00F058F8">
              <w:rPr>
                <w:rFonts w:ascii="Times New Roman" w:hAnsi="Times New Roman"/>
                <w:sz w:val="24"/>
                <w:szCs w:val="24"/>
              </w:rPr>
              <w:t>:</w:t>
            </w:r>
            <w:r w:rsidRPr="00F058F8">
              <w:rPr>
                <w:rFonts w:ascii="Times New Roman" w:hAnsi="Times New Roman"/>
                <w:sz w:val="24"/>
                <w:szCs w:val="24"/>
              </w:rPr>
              <w:t xml:space="preserve"> </w:t>
            </w:r>
          </w:p>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Ministru kabineta noteikumi</w:t>
            </w:r>
            <w:r w:rsidR="00F24ED4" w:rsidRPr="00F058F8">
              <w:rPr>
                <w:rFonts w:ascii="Times New Roman" w:hAnsi="Times New Roman"/>
                <w:sz w:val="24"/>
                <w:szCs w:val="24"/>
              </w:rPr>
              <w:t>em ”</w:t>
            </w:r>
            <w:r w:rsidRPr="00F058F8">
              <w:rPr>
                <w:rFonts w:ascii="Times New Roman" w:hAnsi="Times New Roman"/>
                <w:sz w:val="24"/>
                <w:szCs w:val="24"/>
              </w:rPr>
              <w:t>Noteikumi par Ārstniecības riska fonda darbību”</w:t>
            </w:r>
          </w:p>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 xml:space="preserve">grozījumiem </w:t>
            </w:r>
            <w:r w:rsidR="00F24ED4" w:rsidRPr="00F058F8">
              <w:rPr>
                <w:rFonts w:ascii="Times New Roman" w:hAnsi="Times New Roman"/>
                <w:sz w:val="24"/>
                <w:szCs w:val="24"/>
              </w:rPr>
              <w:t>MK</w:t>
            </w:r>
            <w:r w:rsidRPr="00F058F8">
              <w:rPr>
                <w:rFonts w:ascii="Times New Roman" w:hAnsi="Times New Roman"/>
                <w:sz w:val="24"/>
                <w:szCs w:val="24"/>
              </w:rPr>
              <w:t xml:space="preserve"> noteikumos Nr.288</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4.panta 2.punkta e) </w:t>
            </w:r>
            <w:r w:rsidR="00D97CE8" w:rsidRPr="00F058F8">
              <w:rPr>
                <w:rFonts w:ascii="Times New Roman" w:hAnsi="Times New Roman"/>
                <w:spacing w:val="-3"/>
                <w:sz w:val="24"/>
                <w:szCs w:val="24"/>
              </w:rPr>
              <w:t>apakšpunkts</w:t>
            </w:r>
          </w:p>
          <w:p w:rsidR="00D97CE8" w:rsidRPr="00F058F8" w:rsidRDefault="00D97CE8" w:rsidP="00F058F8">
            <w:pPr>
              <w:pStyle w:val="Bezatstarpm1"/>
              <w:rPr>
                <w:rFonts w:ascii="Times New Roman" w:hAnsi="Times New Roman"/>
                <w:spacing w:val="-3"/>
                <w:sz w:val="24"/>
                <w:szCs w:val="24"/>
              </w:rPr>
            </w:pP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iCs/>
                <w:sz w:val="24"/>
                <w:szCs w:val="24"/>
              </w:rPr>
            </w:pPr>
            <w:r w:rsidRPr="00F058F8">
              <w:rPr>
                <w:rFonts w:ascii="Times New Roman" w:hAnsi="Times New Roman"/>
                <w:iCs/>
                <w:sz w:val="24"/>
                <w:szCs w:val="24"/>
              </w:rPr>
              <w:t>Pacientu tiesību likuma 10.pants</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4628A9"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4.panta </w:t>
            </w:r>
            <w:r w:rsidR="00D97CE8" w:rsidRPr="00F058F8">
              <w:rPr>
                <w:rFonts w:ascii="Times New Roman" w:hAnsi="Times New Roman"/>
                <w:spacing w:val="-3"/>
                <w:sz w:val="24"/>
                <w:szCs w:val="24"/>
              </w:rPr>
              <w:t xml:space="preserve">2.punkta f) apakšpunkts </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Pacientu tiesību likuma 9.panta pirmā daļa</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4.panta </w:t>
            </w:r>
            <w:r w:rsidR="00D97CE8" w:rsidRPr="00F058F8">
              <w:rPr>
                <w:rFonts w:ascii="Times New Roman" w:hAnsi="Times New Roman"/>
                <w:spacing w:val="-3"/>
                <w:sz w:val="24"/>
                <w:szCs w:val="24"/>
              </w:rPr>
              <w:t xml:space="preserve">3.punkts </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2"/>
                <w:sz w:val="24"/>
                <w:szCs w:val="24"/>
              </w:rPr>
            </w:pPr>
            <w:r w:rsidRPr="00F058F8">
              <w:rPr>
                <w:rFonts w:ascii="Times New Roman" w:hAnsi="Times New Roman"/>
                <w:spacing w:val="-2"/>
                <w:sz w:val="24"/>
                <w:szCs w:val="24"/>
              </w:rPr>
              <w:t>Pacientu tiesību likuma 3.panta otrā daļa</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 xml:space="preserve">Direktīvas norma pārņemta pilnībā </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1167"/>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4.panta </w:t>
            </w:r>
            <w:r w:rsidR="00D97CE8" w:rsidRPr="00F058F8">
              <w:rPr>
                <w:rFonts w:ascii="Times New Roman" w:hAnsi="Times New Roman"/>
                <w:spacing w:val="-3"/>
                <w:sz w:val="24"/>
                <w:szCs w:val="24"/>
              </w:rPr>
              <w:t xml:space="preserve">4.punkts </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Pacientu tiesību likuma 3.panta otrā daļa</w:t>
            </w:r>
          </w:p>
          <w:p w:rsidR="00F6683D" w:rsidRPr="00F058F8" w:rsidRDefault="00F6683D" w:rsidP="00F058F8">
            <w:pPr>
              <w:pStyle w:val="Bezatstarpm1"/>
              <w:rPr>
                <w:rFonts w:ascii="Times New Roman" w:hAnsi="Times New Roman"/>
                <w:spacing w:val="-3"/>
                <w:sz w:val="24"/>
                <w:szCs w:val="24"/>
              </w:rPr>
            </w:pPr>
            <w:r w:rsidRPr="00F058F8">
              <w:rPr>
                <w:rFonts w:ascii="Times New Roman" w:hAnsi="Times New Roman"/>
                <w:spacing w:val="-3"/>
                <w:sz w:val="24"/>
                <w:szCs w:val="24"/>
              </w:rPr>
              <w:t>Direktīvas norma tiks pilnībā pārņemta ar grozījumiem MK noteikumos Nr.60</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 xml:space="preserve">Direktīvas norma pārņemta </w:t>
            </w:r>
            <w:r w:rsidR="00F6683D" w:rsidRPr="00F058F8">
              <w:rPr>
                <w:rFonts w:ascii="Times New Roman" w:hAnsi="Times New Roman"/>
                <w:sz w:val="24"/>
                <w:szCs w:val="24"/>
              </w:rPr>
              <w:t>daļēji</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F6683D" w:rsidP="00F058F8">
            <w:pPr>
              <w:pStyle w:val="Bezatstarpm1"/>
              <w:rPr>
                <w:rFonts w:ascii="Times New Roman" w:hAnsi="Times New Roman"/>
                <w:spacing w:val="-3"/>
                <w:sz w:val="24"/>
                <w:szCs w:val="24"/>
              </w:rPr>
            </w:pPr>
            <w:r w:rsidRPr="00F058F8">
              <w:rPr>
                <w:rFonts w:ascii="Times New Roman" w:hAnsi="Times New Roman"/>
                <w:spacing w:val="-3"/>
                <w:sz w:val="24"/>
                <w:szCs w:val="24"/>
              </w:rPr>
              <w:t>Nav</w:t>
            </w:r>
          </w:p>
        </w:tc>
      </w:tr>
      <w:tr w:rsidR="00D97CE8" w:rsidRPr="00787913" w:rsidTr="001A242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4.panta  5.punkts </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972EF6" w:rsidRDefault="00D97CE8" w:rsidP="00F058F8">
            <w:pPr>
              <w:pStyle w:val="Bezatstarpm1"/>
              <w:rPr>
                <w:rFonts w:ascii="Times New Roman" w:hAnsi="Times New Roman"/>
                <w:spacing w:val="-3"/>
                <w:sz w:val="24"/>
                <w:szCs w:val="24"/>
                <w:lang w:val="lv-LV"/>
              </w:rPr>
            </w:pPr>
            <w:r w:rsidRPr="00972EF6">
              <w:rPr>
                <w:rFonts w:ascii="Times New Roman" w:hAnsi="Times New Roman"/>
                <w:spacing w:val="-3"/>
                <w:sz w:val="24"/>
                <w:szCs w:val="24"/>
                <w:lang w:val="lv-LV"/>
              </w:rPr>
              <w:t>Valsts valodas likum</w:t>
            </w:r>
            <w:r w:rsidR="00972EF6" w:rsidRPr="00972EF6">
              <w:rPr>
                <w:rFonts w:ascii="Times New Roman" w:hAnsi="Times New Roman"/>
                <w:spacing w:val="-3"/>
                <w:sz w:val="24"/>
                <w:szCs w:val="24"/>
                <w:lang w:val="lv-LV"/>
              </w:rPr>
              <w:t>s</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proofErr w:type="spellStart"/>
            <w:r w:rsidRPr="00F058F8">
              <w:rPr>
                <w:rFonts w:ascii="Times New Roman" w:hAnsi="Times New Roman"/>
                <w:sz w:val="24"/>
                <w:szCs w:val="24"/>
              </w:rPr>
              <w:t>Direktīvas</w:t>
            </w:r>
            <w:proofErr w:type="spellEnd"/>
            <w:r w:rsidRPr="00F058F8">
              <w:rPr>
                <w:rFonts w:ascii="Times New Roman" w:hAnsi="Times New Roman"/>
                <w:sz w:val="24"/>
                <w:szCs w:val="24"/>
              </w:rPr>
              <w:t xml:space="preserve"> </w:t>
            </w:r>
            <w:proofErr w:type="spellStart"/>
            <w:r w:rsidRPr="00F058F8">
              <w:rPr>
                <w:rFonts w:ascii="Times New Roman" w:hAnsi="Times New Roman"/>
                <w:sz w:val="24"/>
                <w:szCs w:val="24"/>
              </w:rPr>
              <w:t>norma</w:t>
            </w:r>
            <w:proofErr w:type="spellEnd"/>
            <w:r w:rsidRPr="00F058F8">
              <w:rPr>
                <w:rFonts w:ascii="Times New Roman" w:hAnsi="Times New Roman"/>
                <w:sz w:val="24"/>
                <w:szCs w:val="24"/>
              </w:rPr>
              <w:t xml:space="preserve"> </w:t>
            </w:r>
            <w:proofErr w:type="spellStart"/>
            <w:r w:rsidRPr="00F058F8">
              <w:rPr>
                <w:rFonts w:ascii="Times New Roman" w:hAnsi="Times New Roman"/>
                <w:sz w:val="24"/>
                <w:szCs w:val="24"/>
              </w:rPr>
              <w:t>pārņemta</w:t>
            </w:r>
            <w:proofErr w:type="spellEnd"/>
            <w:r w:rsidRPr="00F058F8">
              <w:rPr>
                <w:rFonts w:ascii="Times New Roman" w:hAnsi="Times New Roman"/>
                <w:sz w:val="24"/>
                <w:szCs w:val="24"/>
              </w:rPr>
              <w:t xml:space="preserve"> </w:t>
            </w:r>
            <w:proofErr w:type="spellStart"/>
            <w:r w:rsidRPr="00F058F8">
              <w:rPr>
                <w:rFonts w:ascii="Times New Roman" w:hAnsi="Times New Roman"/>
                <w:sz w:val="24"/>
                <w:szCs w:val="24"/>
              </w:rPr>
              <w:t>pilnībā</w:t>
            </w:r>
            <w:proofErr w:type="spellEnd"/>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p w:rsidR="00D97CE8" w:rsidRPr="00F058F8" w:rsidRDefault="00D97CE8" w:rsidP="00F058F8">
            <w:pPr>
              <w:pStyle w:val="Bezatstarpm1"/>
              <w:rPr>
                <w:rFonts w:ascii="Times New Roman" w:hAnsi="Times New Roman"/>
                <w:spacing w:val="-3"/>
                <w:sz w:val="24"/>
                <w:szCs w:val="24"/>
              </w:rPr>
            </w:pPr>
          </w:p>
        </w:tc>
      </w:tr>
      <w:tr w:rsidR="00D97CE8"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5.panta </w:t>
            </w:r>
            <w:r w:rsidR="00D97CE8" w:rsidRPr="00F058F8">
              <w:rPr>
                <w:rFonts w:ascii="Times New Roman" w:hAnsi="Times New Roman"/>
                <w:spacing w:val="-3"/>
                <w:sz w:val="24"/>
                <w:szCs w:val="24"/>
              </w:rPr>
              <w:t>a)</w:t>
            </w:r>
            <w:r w:rsidRPr="00F058F8">
              <w:rPr>
                <w:rFonts w:ascii="Times New Roman" w:hAnsi="Times New Roman"/>
                <w:spacing w:val="-3"/>
                <w:sz w:val="24"/>
                <w:szCs w:val="24"/>
              </w:rPr>
              <w:t> </w:t>
            </w:r>
            <w:r w:rsidR="00D97CE8" w:rsidRPr="00F058F8">
              <w:rPr>
                <w:rFonts w:ascii="Times New Roman" w:hAnsi="Times New Roman"/>
                <w:spacing w:val="-3"/>
                <w:sz w:val="24"/>
                <w:szCs w:val="24"/>
              </w:rPr>
              <w:t>apakšpunkts</w:t>
            </w:r>
          </w:p>
        </w:tc>
        <w:tc>
          <w:tcPr>
            <w:tcW w:w="3118" w:type="dxa"/>
            <w:gridSpan w:val="8"/>
            <w:tcBorders>
              <w:top w:val="outset" w:sz="6" w:space="0" w:color="auto"/>
              <w:left w:val="outset" w:sz="6" w:space="0" w:color="auto"/>
              <w:bottom w:val="outset" w:sz="6" w:space="0" w:color="auto"/>
              <w:right w:val="outset" w:sz="6" w:space="0" w:color="auto"/>
            </w:tcBorders>
          </w:tcPr>
          <w:p w:rsidR="00D279B5" w:rsidRPr="00F058F8" w:rsidRDefault="00D279B5" w:rsidP="00F058F8">
            <w:pPr>
              <w:pStyle w:val="Bezatstarpm1"/>
              <w:rPr>
                <w:rFonts w:ascii="Times New Roman" w:hAnsi="Times New Roman"/>
                <w:color w:val="000000" w:themeColor="text1"/>
                <w:spacing w:val="-3"/>
                <w:sz w:val="24"/>
                <w:szCs w:val="24"/>
              </w:rPr>
            </w:pPr>
            <w:r w:rsidRPr="00F058F8">
              <w:rPr>
                <w:rFonts w:ascii="Times New Roman" w:hAnsi="Times New Roman"/>
                <w:sz w:val="24"/>
                <w:szCs w:val="24"/>
              </w:rPr>
              <w:t xml:space="preserve">Direktīvas norma tiks pārņemta </w:t>
            </w:r>
            <w:r w:rsidR="006D2EAB" w:rsidRPr="00F058F8">
              <w:rPr>
                <w:rFonts w:ascii="Times New Roman" w:hAnsi="Times New Roman"/>
                <w:color w:val="000000" w:themeColor="text1"/>
                <w:spacing w:val="-3"/>
                <w:sz w:val="24"/>
                <w:szCs w:val="24"/>
              </w:rPr>
              <w:t>pilnībā ar</w:t>
            </w:r>
          </w:p>
          <w:p w:rsidR="00D279B5" w:rsidRPr="00F058F8" w:rsidRDefault="00D279B5" w:rsidP="00F058F8">
            <w:pPr>
              <w:pStyle w:val="Bezatstarpm1"/>
              <w:rPr>
                <w:rFonts w:ascii="Times New Roman" w:hAnsi="Times New Roman"/>
                <w:iCs/>
                <w:sz w:val="24"/>
                <w:szCs w:val="24"/>
              </w:rPr>
            </w:pPr>
            <w:r w:rsidRPr="00F058F8">
              <w:rPr>
                <w:rFonts w:ascii="Times New Roman" w:hAnsi="Times New Roman"/>
                <w:sz w:val="24"/>
                <w:szCs w:val="24"/>
              </w:rPr>
              <w:t>grozījumiem</w:t>
            </w:r>
          </w:p>
          <w:p w:rsidR="00D97CE8" w:rsidRPr="00F058F8" w:rsidRDefault="00D279B5" w:rsidP="00F058F8">
            <w:pPr>
              <w:pStyle w:val="Bezatstarpm1"/>
              <w:rPr>
                <w:rFonts w:ascii="Times New Roman" w:hAnsi="Times New Roman"/>
                <w:iCs/>
                <w:sz w:val="24"/>
                <w:szCs w:val="24"/>
              </w:rPr>
            </w:pPr>
            <w:r w:rsidRPr="00F058F8">
              <w:rPr>
                <w:rFonts w:ascii="Times New Roman" w:hAnsi="Times New Roman"/>
                <w:iCs/>
                <w:sz w:val="24"/>
                <w:szCs w:val="24"/>
              </w:rPr>
              <w:t xml:space="preserve">MK </w:t>
            </w:r>
            <w:proofErr w:type="spellStart"/>
            <w:r w:rsidRPr="00F058F8">
              <w:rPr>
                <w:rFonts w:ascii="Times New Roman" w:hAnsi="Times New Roman"/>
                <w:iCs/>
                <w:sz w:val="24"/>
                <w:szCs w:val="24"/>
              </w:rPr>
              <w:t>noteikumos</w:t>
            </w:r>
            <w:proofErr w:type="spellEnd"/>
            <w:r w:rsidRPr="00F058F8">
              <w:rPr>
                <w:rFonts w:ascii="Times New Roman" w:hAnsi="Times New Roman"/>
                <w:iCs/>
                <w:sz w:val="24"/>
                <w:szCs w:val="24"/>
              </w:rPr>
              <w:t xml:space="preserve"> Nr.1046</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z w:val="24"/>
                <w:szCs w:val="24"/>
              </w:rPr>
            </w:pPr>
            <w:r w:rsidRPr="00F058F8">
              <w:rPr>
                <w:rFonts w:ascii="Times New Roman" w:hAnsi="Times New Roman"/>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pacing w:val="-3"/>
                <w:sz w:val="24"/>
                <w:szCs w:val="24"/>
              </w:rPr>
              <w:t>Nav</w:t>
            </w:r>
          </w:p>
        </w:tc>
      </w:tr>
      <w:tr w:rsidR="00D279B5"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279B5" w:rsidRPr="001F5BBB" w:rsidRDefault="00D279B5" w:rsidP="009E1D25">
            <w:pPr>
              <w:spacing w:after="120"/>
              <w:jc w:val="both"/>
              <w:rPr>
                <w:spacing w:val="-3"/>
                <w:lang w:val="lv-LV"/>
              </w:rPr>
            </w:pPr>
            <w:r w:rsidRPr="001F5BBB">
              <w:rPr>
                <w:lang w:val="lv-LV"/>
              </w:rPr>
              <w:t xml:space="preserve">Direktīva </w:t>
            </w:r>
            <w:r w:rsidRPr="001F5BBB">
              <w:rPr>
                <w:spacing w:val="-3"/>
                <w:lang w:val="lv-LV"/>
              </w:rPr>
              <w:t>2011/24</w:t>
            </w:r>
          </w:p>
          <w:p w:rsidR="00D279B5" w:rsidRPr="00E23307" w:rsidRDefault="00D279B5" w:rsidP="009E1D25">
            <w:pPr>
              <w:spacing w:after="120"/>
              <w:ind w:left="57"/>
              <w:jc w:val="both"/>
              <w:rPr>
                <w:spacing w:val="-3"/>
              </w:rPr>
            </w:pPr>
            <w:r w:rsidRPr="001F5BBB">
              <w:rPr>
                <w:spacing w:val="-3"/>
                <w:lang w:val="lv-LV"/>
              </w:rPr>
              <w:t>5.panta  b) apakšpunkts</w:t>
            </w:r>
          </w:p>
        </w:tc>
        <w:tc>
          <w:tcPr>
            <w:tcW w:w="3118" w:type="dxa"/>
            <w:gridSpan w:val="8"/>
            <w:tcBorders>
              <w:top w:val="outset" w:sz="6" w:space="0" w:color="auto"/>
              <w:left w:val="outset" w:sz="6" w:space="0" w:color="auto"/>
              <w:bottom w:val="outset" w:sz="6" w:space="0" w:color="auto"/>
              <w:right w:val="outset" w:sz="6" w:space="0" w:color="auto"/>
            </w:tcBorders>
          </w:tcPr>
          <w:p w:rsidR="00D279B5" w:rsidRPr="00927B65" w:rsidRDefault="00D279B5" w:rsidP="00D279B5">
            <w:pPr>
              <w:pStyle w:val="NoSpacing"/>
              <w:rPr>
                <w:rFonts w:ascii="Times New Roman" w:hAnsi="Times New Roman"/>
                <w:color w:val="000000" w:themeColor="text1"/>
                <w:spacing w:val="-3"/>
                <w:sz w:val="24"/>
                <w:szCs w:val="24"/>
              </w:rPr>
            </w:pPr>
            <w:r w:rsidRPr="00D279B5">
              <w:rPr>
                <w:rFonts w:ascii="Times New Roman" w:hAnsi="Times New Roman"/>
                <w:sz w:val="24"/>
                <w:szCs w:val="24"/>
              </w:rPr>
              <w:t xml:space="preserve">Direktīvas norma tiks </w:t>
            </w:r>
            <w:r w:rsidRPr="00927B65">
              <w:rPr>
                <w:rFonts w:ascii="Times New Roman" w:hAnsi="Times New Roman"/>
                <w:sz w:val="24"/>
                <w:szCs w:val="24"/>
              </w:rPr>
              <w:t xml:space="preserve">pārņemta </w:t>
            </w:r>
            <w:r w:rsidR="006D2EAB" w:rsidRPr="00927B65">
              <w:rPr>
                <w:rFonts w:ascii="Times New Roman" w:hAnsi="Times New Roman"/>
                <w:color w:val="000000" w:themeColor="text1"/>
                <w:spacing w:val="-3"/>
                <w:sz w:val="24"/>
                <w:szCs w:val="24"/>
              </w:rPr>
              <w:t>pilnībā ar</w:t>
            </w:r>
          </w:p>
          <w:p w:rsidR="00D279B5" w:rsidRPr="00927B65" w:rsidRDefault="00D279B5" w:rsidP="00D279B5">
            <w:pPr>
              <w:pStyle w:val="NoSpacing"/>
              <w:rPr>
                <w:rFonts w:ascii="Times New Roman" w:hAnsi="Times New Roman"/>
                <w:iCs/>
                <w:sz w:val="24"/>
                <w:szCs w:val="24"/>
              </w:rPr>
            </w:pPr>
            <w:r w:rsidRPr="00927B65">
              <w:rPr>
                <w:rFonts w:ascii="Times New Roman" w:hAnsi="Times New Roman"/>
                <w:sz w:val="24"/>
                <w:szCs w:val="24"/>
              </w:rPr>
              <w:t>grozījumiem</w:t>
            </w:r>
          </w:p>
          <w:p w:rsidR="00D279B5" w:rsidRPr="00F058F8" w:rsidRDefault="00D279B5" w:rsidP="00F058F8">
            <w:pPr>
              <w:spacing w:after="120"/>
              <w:rPr>
                <w:iCs/>
                <w:lang w:val="lv-LV"/>
              </w:rPr>
            </w:pPr>
            <w:r w:rsidRPr="00927B65">
              <w:rPr>
                <w:iCs/>
                <w:lang w:val="lv-LV"/>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D279B5" w:rsidRPr="004E2C88" w:rsidRDefault="00D279B5" w:rsidP="00D279B5">
            <w:pPr>
              <w:jc w:val="both"/>
              <w:rPr>
                <w:lang w:val="lv-LV"/>
              </w:rPr>
            </w:pPr>
            <w:r w:rsidRPr="004E2C88">
              <w:rPr>
                <w:lang w:val="lv-LV"/>
              </w:rPr>
              <w:t>Nav</w:t>
            </w:r>
          </w:p>
        </w:tc>
        <w:tc>
          <w:tcPr>
            <w:tcW w:w="2126" w:type="dxa"/>
            <w:tcBorders>
              <w:top w:val="outset" w:sz="6" w:space="0" w:color="auto"/>
              <w:left w:val="outset" w:sz="6" w:space="0" w:color="auto"/>
              <w:bottom w:val="outset" w:sz="6" w:space="0" w:color="auto"/>
              <w:right w:val="outset" w:sz="6" w:space="0" w:color="auto"/>
            </w:tcBorders>
          </w:tcPr>
          <w:p w:rsidR="00D279B5" w:rsidRPr="004E2C88" w:rsidRDefault="00D279B5" w:rsidP="00D279B5">
            <w:pPr>
              <w:rPr>
                <w:spacing w:val="-3"/>
                <w:lang w:val="lv-LV"/>
              </w:rPr>
            </w:pPr>
            <w:r w:rsidRPr="004E2C88">
              <w:rPr>
                <w:spacing w:val="-3"/>
                <w:lang w:val="lv-LV"/>
              </w:rPr>
              <w:t>Nav</w:t>
            </w:r>
          </w:p>
        </w:tc>
      </w:tr>
      <w:tr w:rsidR="00D97CE8"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1F5BBB" w:rsidRDefault="00D279B5" w:rsidP="009E1D25">
            <w:pPr>
              <w:spacing w:after="120"/>
              <w:jc w:val="both"/>
              <w:rPr>
                <w:spacing w:val="-3"/>
                <w:lang w:val="lv-LV"/>
              </w:rPr>
            </w:pPr>
            <w:r>
              <w:rPr>
                <w:lang w:val="lv-LV"/>
              </w:rPr>
              <w:t>Direktīva</w:t>
            </w:r>
            <w:r w:rsidRPr="00961F39">
              <w:rPr>
                <w:lang w:val="lv-LV"/>
              </w:rPr>
              <w:t xml:space="preserve"> </w:t>
            </w:r>
            <w:r w:rsidR="004628A9">
              <w:rPr>
                <w:spacing w:val="-3"/>
              </w:rPr>
              <w:t>2011/</w:t>
            </w:r>
            <w:r w:rsidR="004628A9" w:rsidRPr="001F5BBB">
              <w:rPr>
                <w:spacing w:val="-3"/>
                <w:lang w:val="lv-LV"/>
              </w:rPr>
              <w:t>24</w:t>
            </w:r>
          </w:p>
          <w:p w:rsidR="00D97CE8" w:rsidRPr="00E23307" w:rsidRDefault="002C2477" w:rsidP="009E1D25">
            <w:pPr>
              <w:spacing w:after="120"/>
              <w:ind w:left="57"/>
              <w:jc w:val="both"/>
              <w:rPr>
                <w:spacing w:val="-3"/>
              </w:rPr>
            </w:pPr>
            <w:r>
              <w:rPr>
                <w:spacing w:val="-3"/>
                <w:lang w:val="lv-LV"/>
              </w:rPr>
              <w:t xml:space="preserve">5.panta </w:t>
            </w:r>
            <w:r w:rsidR="00D97CE8" w:rsidRPr="001F5BBB">
              <w:rPr>
                <w:spacing w:val="-3"/>
                <w:lang w:val="lv-LV"/>
              </w:rPr>
              <w:t>c)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927B65" w:rsidRDefault="00D97CE8" w:rsidP="009E1D25">
            <w:pPr>
              <w:ind w:left="57"/>
              <w:rPr>
                <w:spacing w:val="-3"/>
                <w:lang w:val="lv-LV"/>
              </w:rPr>
            </w:pPr>
            <w:r w:rsidRPr="00927B65">
              <w:rPr>
                <w:spacing w:val="-3"/>
                <w:lang w:val="lv-LV"/>
              </w:rPr>
              <w:t>Direktīvas norma pārņemta ar Pacientu tiesību likuma 5.panta pirmo daļu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E62B36" w:rsidRDefault="00D97CE8" w:rsidP="009E1D25">
            <w:pPr>
              <w:jc w:val="both"/>
              <w:rPr>
                <w:spacing w:val="-3"/>
                <w:lang w:val="lv-LV"/>
              </w:rPr>
            </w:pPr>
            <w:r w:rsidRPr="00E62B36">
              <w:rPr>
                <w:spacing w:val="-3"/>
                <w:lang w:val="lv-LV"/>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E62B36" w:rsidRDefault="00D97CE8" w:rsidP="009E1D25">
            <w:pPr>
              <w:ind w:left="57"/>
              <w:rPr>
                <w:spacing w:val="-3"/>
                <w:lang w:val="lv-LV"/>
              </w:rPr>
            </w:pPr>
            <w:r w:rsidRPr="00E62B36">
              <w:rPr>
                <w:spacing w:val="-3"/>
                <w:lang w:val="lv-LV"/>
              </w:rPr>
              <w:t>Stingrākas prasības neparedz</w:t>
            </w:r>
          </w:p>
          <w:p w:rsidR="00D97CE8" w:rsidRPr="00E23307" w:rsidRDefault="00D97CE8" w:rsidP="009E1D25">
            <w:pPr>
              <w:ind w:left="57"/>
              <w:rPr>
                <w:spacing w:val="-3"/>
              </w:rPr>
            </w:pPr>
          </w:p>
          <w:p w:rsidR="00D97CE8" w:rsidRPr="00E23307" w:rsidRDefault="00D97CE8" w:rsidP="009E1D25">
            <w:pPr>
              <w:rPr>
                <w:spacing w:val="-3"/>
              </w:rPr>
            </w:pPr>
          </w:p>
        </w:tc>
      </w:tr>
      <w:tr w:rsidR="00D97CE8"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5.panta</w:t>
            </w:r>
            <w:r w:rsidR="00D97CE8" w:rsidRPr="00F058F8">
              <w:rPr>
                <w:rFonts w:ascii="Times New Roman" w:hAnsi="Times New Roman"/>
                <w:spacing w:val="-3"/>
                <w:sz w:val="24"/>
                <w:szCs w:val="24"/>
              </w:rPr>
              <w:t xml:space="preserve"> d)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Direktīvas norma pārņemta ar Pacientu tiesību likuma 4.panta sesto daļu un 9.panta pirmo daļu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D97CE8"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lastRenderedPageBreak/>
              <w:t xml:space="preserve">Direktīva </w:t>
            </w:r>
            <w:r w:rsidR="004628A9"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6.pants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Direktīvas</w:t>
            </w:r>
            <w:proofErr w:type="spellEnd"/>
            <w:r w:rsidRPr="00F058F8">
              <w:rPr>
                <w:rFonts w:ascii="Times New Roman" w:hAnsi="Times New Roman"/>
                <w:spacing w:val="-3"/>
                <w:sz w:val="24"/>
                <w:szCs w:val="24"/>
              </w:rPr>
              <w:t xml:space="preserve"> </w:t>
            </w:r>
            <w:proofErr w:type="spellStart"/>
            <w:r w:rsidRPr="00F058F8">
              <w:rPr>
                <w:rFonts w:ascii="Times New Roman" w:hAnsi="Times New Roman"/>
                <w:spacing w:val="-3"/>
                <w:sz w:val="24"/>
                <w:szCs w:val="24"/>
              </w:rPr>
              <w:t>norma</w:t>
            </w:r>
            <w:proofErr w:type="spellEnd"/>
            <w:r w:rsidRPr="00F058F8">
              <w:rPr>
                <w:rFonts w:ascii="Times New Roman" w:hAnsi="Times New Roman"/>
                <w:spacing w:val="-3"/>
                <w:sz w:val="24"/>
                <w:szCs w:val="24"/>
              </w:rPr>
              <w:t xml:space="preserve"> </w:t>
            </w:r>
            <w:proofErr w:type="spellStart"/>
            <w:r w:rsidRPr="00F058F8">
              <w:rPr>
                <w:rFonts w:ascii="Times New Roman" w:hAnsi="Times New Roman"/>
                <w:spacing w:val="-3"/>
                <w:sz w:val="24"/>
                <w:szCs w:val="24"/>
              </w:rPr>
              <w:t>pārņemta</w:t>
            </w:r>
            <w:proofErr w:type="spellEnd"/>
            <w:r w:rsidRPr="00F058F8">
              <w:rPr>
                <w:rFonts w:ascii="Times New Roman" w:hAnsi="Times New Roman"/>
                <w:spacing w:val="-3"/>
                <w:sz w:val="24"/>
                <w:szCs w:val="24"/>
              </w:rPr>
              <w:t xml:space="preserve"> </w:t>
            </w:r>
            <w:proofErr w:type="spellStart"/>
            <w:r w:rsidRPr="00F058F8">
              <w:rPr>
                <w:rFonts w:ascii="Times New Roman" w:hAnsi="Times New Roman"/>
                <w:spacing w:val="-3"/>
                <w:sz w:val="24"/>
                <w:szCs w:val="24"/>
              </w:rPr>
              <w:t>ar</w:t>
            </w:r>
            <w:proofErr w:type="spellEnd"/>
            <w:r w:rsidRPr="00F058F8">
              <w:rPr>
                <w:rFonts w:ascii="Times New Roman" w:hAnsi="Times New Roman"/>
                <w:spacing w:val="-3"/>
                <w:sz w:val="24"/>
                <w:szCs w:val="24"/>
              </w:rPr>
              <w:t xml:space="preserve"> </w:t>
            </w:r>
            <w:proofErr w:type="spellStart"/>
            <w:r w:rsidR="00D97CE8" w:rsidRPr="00F058F8">
              <w:rPr>
                <w:rFonts w:ascii="Times New Roman" w:hAnsi="Times New Roman"/>
                <w:spacing w:val="-3"/>
                <w:sz w:val="24"/>
                <w:szCs w:val="24"/>
              </w:rPr>
              <w:t>Ministru</w:t>
            </w:r>
            <w:proofErr w:type="spellEnd"/>
            <w:r w:rsidR="00D97CE8" w:rsidRPr="00F058F8">
              <w:rPr>
                <w:rFonts w:ascii="Times New Roman" w:hAnsi="Times New Roman"/>
                <w:spacing w:val="-3"/>
                <w:sz w:val="24"/>
                <w:szCs w:val="24"/>
              </w:rPr>
              <w:t xml:space="preserve"> </w:t>
            </w:r>
            <w:proofErr w:type="spellStart"/>
            <w:r w:rsidR="00D97CE8" w:rsidRPr="00F058F8">
              <w:rPr>
                <w:rFonts w:ascii="Times New Roman" w:hAnsi="Times New Roman"/>
                <w:spacing w:val="-3"/>
                <w:sz w:val="24"/>
                <w:szCs w:val="24"/>
              </w:rPr>
              <w:t>kabineta</w:t>
            </w:r>
            <w:proofErr w:type="spellEnd"/>
            <w:r w:rsidR="00D97CE8" w:rsidRPr="00F058F8">
              <w:rPr>
                <w:rFonts w:ascii="Times New Roman" w:hAnsi="Times New Roman"/>
                <w:spacing w:val="-3"/>
                <w:sz w:val="24"/>
                <w:szCs w:val="24"/>
              </w:rPr>
              <w:t xml:space="preserve"> 2007</w:t>
            </w:r>
            <w:r w:rsidR="00F058F8">
              <w:rPr>
                <w:rFonts w:ascii="Times New Roman" w:hAnsi="Times New Roman"/>
                <w:spacing w:val="-3"/>
                <w:sz w:val="24"/>
                <w:szCs w:val="24"/>
              </w:rPr>
              <w:t xml:space="preserve">.gada 6.marta </w:t>
            </w:r>
            <w:proofErr w:type="spellStart"/>
            <w:r w:rsidR="00F058F8">
              <w:rPr>
                <w:rFonts w:ascii="Times New Roman" w:hAnsi="Times New Roman"/>
                <w:spacing w:val="-3"/>
                <w:sz w:val="24"/>
                <w:szCs w:val="24"/>
              </w:rPr>
              <w:t>noteikumu</w:t>
            </w:r>
            <w:proofErr w:type="spellEnd"/>
            <w:r w:rsidR="00F058F8">
              <w:rPr>
                <w:rFonts w:ascii="Times New Roman" w:hAnsi="Times New Roman"/>
                <w:spacing w:val="-3"/>
                <w:sz w:val="24"/>
                <w:szCs w:val="24"/>
              </w:rPr>
              <w:t xml:space="preserve"> Nr.171 ”</w:t>
            </w:r>
            <w:proofErr w:type="spellStart"/>
            <w:r w:rsidR="00D97CE8" w:rsidRPr="00F058F8">
              <w:rPr>
                <w:rFonts w:ascii="Times New Roman" w:hAnsi="Times New Roman"/>
                <w:spacing w:val="-3"/>
                <w:sz w:val="24"/>
                <w:szCs w:val="24"/>
              </w:rPr>
              <w:t>Kārtība</w:t>
            </w:r>
            <w:proofErr w:type="spellEnd"/>
            <w:r w:rsidR="00D97CE8" w:rsidRPr="00F058F8">
              <w:rPr>
                <w:rFonts w:ascii="Times New Roman" w:hAnsi="Times New Roman"/>
                <w:spacing w:val="-3"/>
                <w:sz w:val="24"/>
                <w:szCs w:val="24"/>
              </w:rPr>
              <w:t xml:space="preserve">, </w:t>
            </w:r>
            <w:proofErr w:type="spellStart"/>
            <w:r w:rsidR="00D97CE8" w:rsidRPr="00F058F8">
              <w:rPr>
                <w:rFonts w:ascii="Times New Roman" w:hAnsi="Times New Roman"/>
                <w:spacing w:val="-3"/>
                <w:sz w:val="24"/>
                <w:szCs w:val="24"/>
              </w:rPr>
              <w:t>kādā</w:t>
            </w:r>
            <w:proofErr w:type="spellEnd"/>
            <w:r w:rsidR="00D97CE8" w:rsidRPr="00F058F8">
              <w:rPr>
                <w:rFonts w:ascii="Times New Roman" w:hAnsi="Times New Roman"/>
                <w:spacing w:val="-3"/>
                <w:sz w:val="24"/>
                <w:szCs w:val="24"/>
              </w:rPr>
              <w:t xml:space="preserve"> </w:t>
            </w:r>
            <w:proofErr w:type="spellStart"/>
            <w:r w:rsidR="00D97CE8" w:rsidRPr="00F058F8">
              <w:rPr>
                <w:rFonts w:ascii="Times New Roman" w:hAnsi="Times New Roman"/>
                <w:spacing w:val="-3"/>
                <w:sz w:val="24"/>
                <w:szCs w:val="24"/>
              </w:rPr>
              <w:t>iestādes</w:t>
            </w:r>
            <w:proofErr w:type="spellEnd"/>
            <w:r w:rsidR="00D97CE8" w:rsidRPr="00F058F8">
              <w:rPr>
                <w:rFonts w:ascii="Times New Roman" w:hAnsi="Times New Roman"/>
                <w:spacing w:val="-3"/>
                <w:sz w:val="24"/>
                <w:szCs w:val="24"/>
              </w:rPr>
              <w:t xml:space="preserve"> </w:t>
            </w:r>
            <w:proofErr w:type="spellStart"/>
            <w:r w:rsidR="00D97CE8" w:rsidRPr="00F058F8">
              <w:rPr>
                <w:rFonts w:ascii="Times New Roman" w:hAnsi="Times New Roman"/>
                <w:spacing w:val="-3"/>
                <w:sz w:val="24"/>
                <w:szCs w:val="24"/>
              </w:rPr>
              <w:t>ievieto</w:t>
            </w:r>
            <w:proofErr w:type="spellEnd"/>
            <w:r w:rsidR="00D97CE8" w:rsidRPr="00F058F8">
              <w:rPr>
                <w:rFonts w:ascii="Times New Roman" w:hAnsi="Times New Roman"/>
                <w:spacing w:val="-3"/>
                <w:sz w:val="24"/>
                <w:szCs w:val="24"/>
              </w:rPr>
              <w:t xml:space="preserve"> </w:t>
            </w:r>
            <w:proofErr w:type="spellStart"/>
            <w:r w:rsidR="00D97CE8" w:rsidRPr="00F058F8">
              <w:rPr>
                <w:rFonts w:ascii="Times New Roman" w:hAnsi="Times New Roman"/>
                <w:spacing w:val="-3"/>
                <w:sz w:val="24"/>
                <w:szCs w:val="24"/>
              </w:rPr>
              <w:t>informāciju</w:t>
            </w:r>
            <w:proofErr w:type="spellEnd"/>
            <w:r w:rsidR="00D97CE8" w:rsidRPr="00F058F8">
              <w:rPr>
                <w:rFonts w:ascii="Times New Roman" w:hAnsi="Times New Roman"/>
                <w:spacing w:val="-3"/>
                <w:sz w:val="24"/>
                <w:szCs w:val="24"/>
              </w:rPr>
              <w:t xml:space="preserve"> </w:t>
            </w:r>
            <w:proofErr w:type="spellStart"/>
            <w:r w:rsidR="00D97CE8" w:rsidRPr="00F058F8">
              <w:rPr>
                <w:rFonts w:ascii="Times New Roman" w:hAnsi="Times New Roman"/>
                <w:spacing w:val="-3"/>
                <w:sz w:val="24"/>
                <w:szCs w:val="24"/>
              </w:rPr>
              <w:t>internetā</w:t>
            </w:r>
            <w:proofErr w:type="spellEnd"/>
            <w:r w:rsidR="00D97CE8" w:rsidRPr="00F058F8">
              <w:rPr>
                <w:rFonts w:ascii="Times New Roman" w:hAnsi="Times New Roman"/>
                <w:spacing w:val="-3"/>
                <w:sz w:val="24"/>
                <w:szCs w:val="24"/>
              </w:rPr>
              <w:t>” 19.punkts</w:t>
            </w:r>
          </w:p>
          <w:p w:rsidR="00D279B5" w:rsidRPr="00F058F8" w:rsidRDefault="00D279B5" w:rsidP="00F058F8">
            <w:pPr>
              <w:pStyle w:val="Bezatstarpm1"/>
              <w:rPr>
                <w:rFonts w:ascii="Times New Roman" w:hAnsi="Times New Roman"/>
                <w:spacing w:val="-3"/>
                <w:sz w:val="24"/>
                <w:szCs w:val="24"/>
              </w:rPr>
            </w:pPr>
          </w:p>
          <w:p w:rsidR="006D2EAB" w:rsidRPr="00F058F8" w:rsidRDefault="00D279B5"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006D2EAB" w:rsidRPr="00F058F8">
              <w:rPr>
                <w:rFonts w:ascii="Times New Roman" w:hAnsi="Times New Roman"/>
                <w:sz w:val="24"/>
                <w:szCs w:val="24"/>
              </w:rPr>
              <w:t>grozījumiem</w:t>
            </w:r>
          </w:p>
          <w:p w:rsidR="00D97CE8" w:rsidRPr="00F058F8" w:rsidRDefault="006D2EAB" w:rsidP="00F058F8">
            <w:pPr>
              <w:pStyle w:val="Bezatstarpm1"/>
              <w:rPr>
                <w:rFonts w:ascii="Times New Roman" w:hAnsi="Times New Roman"/>
                <w:iCs/>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BB265D" w:rsidP="00F058F8">
            <w:pPr>
              <w:pStyle w:val="Bezatstarpm1"/>
              <w:rPr>
                <w:rFonts w:ascii="Times New Roman" w:hAnsi="Times New Roman"/>
                <w:sz w:val="24"/>
                <w:szCs w:val="24"/>
              </w:rPr>
            </w:pPr>
            <w:r w:rsidRPr="00F058F8">
              <w:rPr>
                <w:rFonts w:ascii="Times New Roman" w:hAnsi="Times New Roman"/>
                <w:sz w:val="24"/>
                <w:szCs w:val="24"/>
              </w:rPr>
              <w:t>Direktīvas norma pārņemta daļēji</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pacing w:val="-3"/>
                <w:sz w:val="24"/>
                <w:szCs w:val="24"/>
              </w:rPr>
              <w:t>Nav</w:t>
            </w:r>
          </w:p>
        </w:tc>
      </w:tr>
      <w:tr w:rsidR="00D97CE8"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D97CE8" w:rsidRPr="00F058F8">
              <w:rPr>
                <w:rFonts w:ascii="Times New Roman" w:hAnsi="Times New Roman"/>
                <w:spacing w:val="-3"/>
                <w:sz w:val="24"/>
                <w:szCs w:val="24"/>
              </w:rPr>
              <w:t>1.punkt</w:t>
            </w:r>
            <w:r w:rsidRPr="00F058F8">
              <w:rPr>
                <w:rFonts w:ascii="Times New Roman" w:hAnsi="Times New Roman"/>
                <w:spacing w:val="-3"/>
                <w:sz w:val="24"/>
                <w:szCs w:val="24"/>
              </w:rPr>
              <w:t>s</w:t>
            </w:r>
          </w:p>
        </w:tc>
        <w:tc>
          <w:tcPr>
            <w:tcW w:w="3118" w:type="dxa"/>
            <w:gridSpan w:val="8"/>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D97CE8" w:rsidRPr="00F058F8" w:rsidRDefault="00BB265D" w:rsidP="00F058F8">
            <w:pPr>
              <w:pStyle w:val="Bezatstarpm1"/>
              <w:rPr>
                <w:rFonts w:ascii="Times New Roman" w:hAnsi="Times New Roman"/>
                <w:spacing w:val="-2"/>
                <w:sz w:val="24"/>
                <w:szCs w:val="24"/>
              </w:rPr>
            </w:pPr>
            <w:r w:rsidRPr="00F058F8">
              <w:rPr>
                <w:rFonts w:ascii="Times New Roman" w:hAnsi="Times New Roman"/>
                <w:iCs/>
                <w:sz w:val="24"/>
                <w:szCs w:val="24"/>
              </w:rPr>
              <w:t xml:space="preserve">MK </w:t>
            </w:r>
            <w:proofErr w:type="spellStart"/>
            <w:r w:rsidRPr="00F058F8">
              <w:rPr>
                <w:rFonts w:ascii="Times New Roman" w:hAnsi="Times New Roman"/>
                <w:iCs/>
                <w:sz w:val="24"/>
                <w:szCs w:val="24"/>
              </w:rPr>
              <w:t>noteikumos</w:t>
            </w:r>
            <w:proofErr w:type="spellEnd"/>
            <w:r w:rsidRPr="00F058F8">
              <w:rPr>
                <w:rFonts w:ascii="Times New Roman" w:hAnsi="Times New Roman"/>
                <w:iCs/>
                <w:sz w:val="24"/>
                <w:szCs w:val="24"/>
              </w:rPr>
              <w:t xml:space="preserve"> Nr.1046</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BB265D" w:rsidP="00F058F8">
            <w:pPr>
              <w:pStyle w:val="Bezatstarpm1"/>
              <w:rPr>
                <w:rFonts w:ascii="Times New Roman" w:hAnsi="Times New Roman"/>
                <w:sz w:val="24"/>
                <w:szCs w:val="24"/>
              </w:rPr>
            </w:pPr>
            <w:r w:rsidRPr="00F058F8">
              <w:rPr>
                <w:rFonts w:ascii="Times New Roman" w:hAnsi="Times New Roman"/>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BB265D" w:rsidP="00F058F8">
            <w:pPr>
              <w:pStyle w:val="Bezatstarpm1"/>
              <w:rPr>
                <w:rFonts w:ascii="Times New Roman" w:hAnsi="Times New Roman"/>
                <w:spacing w:val="-3"/>
                <w:sz w:val="24"/>
                <w:szCs w:val="24"/>
              </w:rPr>
            </w:pPr>
            <w:r w:rsidRPr="00F058F8">
              <w:rPr>
                <w:rFonts w:ascii="Times New Roman" w:hAnsi="Times New Roman"/>
                <w:spacing w:val="-3"/>
                <w:sz w:val="24"/>
                <w:szCs w:val="24"/>
              </w:rPr>
              <w:t>Nav</w:t>
            </w:r>
          </w:p>
        </w:tc>
      </w:tr>
      <w:tr w:rsidR="00D97CE8"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pacing w:val="-3"/>
                <w:sz w:val="24"/>
                <w:szCs w:val="24"/>
              </w:rPr>
              <w:t>7.panta</w:t>
            </w:r>
            <w:r w:rsidR="00D97CE8" w:rsidRPr="00F058F8">
              <w:rPr>
                <w:rFonts w:ascii="Times New Roman" w:hAnsi="Times New Roman"/>
                <w:spacing w:val="-3"/>
                <w:sz w:val="24"/>
                <w:szCs w:val="24"/>
              </w:rPr>
              <w:t xml:space="preserve"> 2.punkta a)</w:t>
            </w:r>
            <w:r w:rsidR="002C2477" w:rsidRPr="00F058F8">
              <w:rPr>
                <w:rFonts w:ascii="Times New Roman" w:hAnsi="Times New Roman"/>
                <w:spacing w:val="-3"/>
                <w:sz w:val="24"/>
                <w:szCs w:val="24"/>
              </w:rPr>
              <w:t>,</w:t>
            </w:r>
            <w:r w:rsidR="00D97CE8" w:rsidRPr="00F058F8">
              <w:rPr>
                <w:rFonts w:ascii="Times New Roman" w:hAnsi="Times New Roman"/>
                <w:spacing w:val="-3"/>
                <w:sz w:val="24"/>
                <w:szCs w:val="24"/>
              </w:rPr>
              <w:t xml:space="preserve"> b) apakšpunkts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2"/>
                <w:sz w:val="24"/>
                <w:szCs w:val="24"/>
              </w:rPr>
            </w:pPr>
            <w:r w:rsidRPr="00F058F8">
              <w:rPr>
                <w:rFonts w:ascii="Times New Roman" w:hAnsi="Times New Roman"/>
                <w:spacing w:val="-2"/>
                <w:sz w:val="24"/>
                <w:szCs w:val="24"/>
              </w:rPr>
              <w:t xml:space="preserve">Direktīvas norma pārņemta ar </w:t>
            </w:r>
            <w:r w:rsidR="00927B65" w:rsidRPr="00F058F8">
              <w:rPr>
                <w:rFonts w:ascii="Times New Roman" w:hAnsi="Times New Roman"/>
                <w:spacing w:val="-2"/>
                <w:sz w:val="24"/>
                <w:szCs w:val="24"/>
              </w:rPr>
              <w:t>MK</w:t>
            </w:r>
            <w:r w:rsidR="00BB265D" w:rsidRPr="00F058F8">
              <w:rPr>
                <w:rFonts w:ascii="Times New Roman" w:hAnsi="Times New Roman"/>
                <w:spacing w:val="-2"/>
                <w:sz w:val="24"/>
                <w:szCs w:val="24"/>
              </w:rPr>
              <w:t xml:space="preserve"> noteikumu Nr.1046 </w:t>
            </w:r>
            <w:r w:rsidRPr="00F058F8">
              <w:rPr>
                <w:rFonts w:ascii="Times New Roman" w:hAnsi="Times New Roman"/>
                <w:spacing w:val="-2"/>
                <w:sz w:val="24"/>
                <w:szCs w:val="24"/>
              </w:rPr>
              <w:t>XI nodaļ</w:t>
            </w:r>
            <w:r w:rsidR="00927B65" w:rsidRPr="00F058F8">
              <w:rPr>
                <w:rFonts w:ascii="Times New Roman" w:hAnsi="Times New Roman"/>
                <w:spacing w:val="-2"/>
                <w:sz w:val="24"/>
                <w:szCs w:val="24"/>
              </w:rPr>
              <w:t>u</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normas pārņemtas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BB265D"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BB265D"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BB265D" w:rsidRPr="00F058F8">
              <w:rPr>
                <w:rFonts w:ascii="Times New Roman" w:hAnsi="Times New Roman"/>
                <w:spacing w:val="-3"/>
                <w:sz w:val="24"/>
                <w:szCs w:val="24"/>
              </w:rPr>
              <w:t>3.punkts</w:t>
            </w:r>
          </w:p>
        </w:tc>
        <w:tc>
          <w:tcPr>
            <w:tcW w:w="3118" w:type="dxa"/>
            <w:gridSpan w:val="8"/>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BB265D" w:rsidRPr="00F058F8" w:rsidRDefault="00BB265D" w:rsidP="00F058F8">
            <w:pPr>
              <w:pStyle w:val="Bezatstarpm1"/>
              <w:rPr>
                <w:rFonts w:ascii="Times New Roman" w:hAnsi="Times New Roman"/>
                <w:spacing w:val="-2"/>
                <w:sz w:val="24"/>
                <w:szCs w:val="24"/>
              </w:rPr>
            </w:pPr>
            <w:r w:rsidRPr="00F058F8">
              <w:rPr>
                <w:rFonts w:ascii="Times New Roman" w:hAnsi="Times New Roman"/>
                <w:iCs/>
                <w:sz w:val="24"/>
                <w:szCs w:val="24"/>
              </w:rPr>
              <w:t xml:space="preserve">MK </w:t>
            </w:r>
            <w:proofErr w:type="spellStart"/>
            <w:r w:rsidRPr="00F058F8">
              <w:rPr>
                <w:rFonts w:ascii="Times New Roman" w:hAnsi="Times New Roman"/>
                <w:iCs/>
                <w:sz w:val="24"/>
                <w:szCs w:val="24"/>
              </w:rPr>
              <w:t>noteikumos</w:t>
            </w:r>
            <w:proofErr w:type="spellEnd"/>
            <w:r w:rsidRPr="00F058F8">
              <w:rPr>
                <w:rFonts w:ascii="Times New Roman" w:hAnsi="Times New Roman"/>
                <w:iCs/>
                <w:sz w:val="24"/>
                <w:szCs w:val="24"/>
              </w:rPr>
              <w:t xml:space="preserve"> Nr.1046</w:t>
            </w:r>
          </w:p>
        </w:tc>
        <w:tc>
          <w:tcPr>
            <w:tcW w:w="2268" w:type="dxa"/>
            <w:gridSpan w:val="2"/>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BB265D"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BB265D"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BB265D" w:rsidRPr="00F058F8">
              <w:rPr>
                <w:rFonts w:ascii="Times New Roman" w:hAnsi="Times New Roman"/>
                <w:spacing w:val="-3"/>
                <w:sz w:val="24"/>
                <w:szCs w:val="24"/>
              </w:rPr>
              <w:t>4.punkts</w:t>
            </w:r>
          </w:p>
        </w:tc>
        <w:tc>
          <w:tcPr>
            <w:tcW w:w="3118" w:type="dxa"/>
            <w:gridSpan w:val="8"/>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BB265D" w:rsidRPr="00F058F8" w:rsidRDefault="00BB265D" w:rsidP="00F058F8">
            <w:pPr>
              <w:pStyle w:val="Bezatstarpm1"/>
              <w:rPr>
                <w:rFonts w:ascii="Times New Roman" w:hAnsi="Times New Roman"/>
                <w:spacing w:val="-2"/>
                <w:sz w:val="24"/>
                <w:szCs w:val="24"/>
              </w:rPr>
            </w:pPr>
            <w:r w:rsidRPr="00F058F8">
              <w:rPr>
                <w:rFonts w:ascii="Times New Roman" w:hAnsi="Times New Roman"/>
                <w:iCs/>
                <w:sz w:val="24"/>
                <w:szCs w:val="24"/>
              </w:rPr>
              <w:t xml:space="preserve">MK </w:t>
            </w:r>
            <w:proofErr w:type="spellStart"/>
            <w:r w:rsidRPr="00F058F8">
              <w:rPr>
                <w:rFonts w:ascii="Times New Roman" w:hAnsi="Times New Roman"/>
                <w:iCs/>
                <w:sz w:val="24"/>
                <w:szCs w:val="24"/>
              </w:rPr>
              <w:t>noteikumos</w:t>
            </w:r>
            <w:proofErr w:type="spellEnd"/>
            <w:r w:rsidRPr="00F058F8">
              <w:rPr>
                <w:rFonts w:ascii="Times New Roman" w:hAnsi="Times New Roman"/>
                <w:iCs/>
                <w:sz w:val="24"/>
                <w:szCs w:val="24"/>
              </w:rPr>
              <w:t xml:space="preserve"> Nr.1046</w:t>
            </w:r>
          </w:p>
        </w:tc>
        <w:tc>
          <w:tcPr>
            <w:tcW w:w="2268" w:type="dxa"/>
            <w:gridSpan w:val="2"/>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BB265D" w:rsidRPr="00F058F8" w:rsidRDefault="00BB265D"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D97CE8"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D97CE8" w:rsidRPr="00F058F8">
              <w:rPr>
                <w:rFonts w:ascii="Times New Roman" w:hAnsi="Times New Roman"/>
                <w:spacing w:val="-3"/>
                <w:sz w:val="24"/>
                <w:szCs w:val="24"/>
              </w:rPr>
              <w:t>5.punkts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2"/>
                <w:sz w:val="24"/>
                <w:szCs w:val="24"/>
              </w:rPr>
            </w:pPr>
            <w:proofErr w:type="spellStart"/>
            <w:r w:rsidRPr="00F058F8">
              <w:rPr>
                <w:rFonts w:ascii="Times New Roman" w:hAnsi="Times New Roman"/>
                <w:spacing w:val="-2"/>
                <w:sz w:val="24"/>
                <w:szCs w:val="24"/>
              </w:rPr>
              <w:t>Nav</w:t>
            </w:r>
            <w:proofErr w:type="spellEnd"/>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 xml:space="preserve">Dod dalībvalstij rīcības brīvību ieviest vai neieviest attiecīgo normu </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D97CE8"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D97CE8" w:rsidRPr="00F058F8" w:rsidRDefault="00D279B5"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004628A9" w:rsidRPr="00F058F8">
              <w:rPr>
                <w:rFonts w:ascii="Times New Roman" w:hAnsi="Times New Roman"/>
                <w:spacing w:val="-3"/>
                <w:sz w:val="24"/>
                <w:szCs w:val="24"/>
              </w:rPr>
              <w:t>2011/24</w:t>
            </w:r>
          </w:p>
          <w:p w:rsidR="00D97CE8"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D97CE8" w:rsidRPr="00F058F8">
              <w:rPr>
                <w:rFonts w:ascii="Times New Roman" w:hAnsi="Times New Roman"/>
                <w:spacing w:val="-3"/>
                <w:sz w:val="24"/>
                <w:szCs w:val="24"/>
              </w:rPr>
              <w:t>6.punkts</w:t>
            </w:r>
          </w:p>
        </w:tc>
        <w:tc>
          <w:tcPr>
            <w:tcW w:w="3118" w:type="dxa"/>
            <w:gridSpan w:val="8"/>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lang w:val="af-ZA"/>
              </w:rPr>
            </w:pPr>
            <w:r w:rsidRPr="00F058F8">
              <w:rPr>
                <w:rFonts w:ascii="Times New Roman" w:hAnsi="Times New Roman"/>
                <w:spacing w:val="-3"/>
                <w:sz w:val="24"/>
                <w:szCs w:val="24"/>
                <w:lang w:val="af-ZA"/>
              </w:rPr>
              <w:t xml:space="preserve">Direktīvas norma pārņemta ar </w:t>
            </w:r>
            <w:r w:rsidR="00733D9C" w:rsidRPr="00F058F8">
              <w:rPr>
                <w:rFonts w:ascii="Times New Roman" w:hAnsi="Times New Roman"/>
                <w:spacing w:val="-3"/>
                <w:sz w:val="24"/>
                <w:szCs w:val="24"/>
                <w:lang w:val="af-ZA"/>
              </w:rPr>
              <w:t xml:space="preserve">MK noteikumiem </w:t>
            </w:r>
            <w:r w:rsidRPr="00F058F8">
              <w:rPr>
                <w:rFonts w:ascii="Times New Roman" w:hAnsi="Times New Roman"/>
                <w:spacing w:val="-3"/>
                <w:sz w:val="24"/>
                <w:szCs w:val="24"/>
                <w:lang w:val="af-ZA"/>
              </w:rPr>
              <w:t xml:space="preserve">  Nr.1046</w:t>
            </w:r>
            <w:r w:rsidR="00733D9C" w:rsidRPr="00F058F8">
              <w:rPr>
                <w:rFonts w:ascii="Times New Roman" w:hAnsi="Times New Roman"/>
                <w:spacing w:val="-3"/>
                <w:sz w:val="24"/>
                <w:szCs w:val="24"/>
                <w:lang w:val="af-ZA"/>
              </w:rPr>
              <w:t xml:space="preserve"> </w:t>
            </w:r>
          </w:p>
        </w:tc>
        <w:tc>
          <w:tcPr>
            <w:tcW w:w="2268" w:type="dxa"/>
            <w:gridSpan w:val="2"/>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z w:val="24"/>
                <w:szCs w:val="24"/>
              </w:rPr>
            </w:pPr>
            <w:r w:rsidRPr="00F058F8">
              <w:rPr>
                <w:rFonts w:ascii="Times New Roman" w:hAnsi="Times New Roman"/>
                <w:sz w:val="24"/>
                <w:szCs w:val="24"/>
              </w:rPr>
              <w:t>Direktīvas normas pārņemtas pilnībā</w:t>
            </w:r>
          </w:p>
        </w:tc>
        <w:tc>
          <w:tcPr>
            <w:tcW w:w="2126" w:type="dxa"/>
            <w:tcBorders>
              <w:top w:val="outset" w:sz="6" w:space="0" w:color="auto"/>
              <w:left w:val="outset" w:sz="6" w:space="0" w:color="auto"/>
              <w:bottom w:val="outset" w:sz="6" w:space="0" w:color="auto"/>
              <w:right w:val="outset" w:sz="6" w:space="0" w:color="auto"/>
            </w:tcBorders>
          </w:tcPr>
          <w:p w:rsidR="00D97CE8" w:rsidRPr="00F058F8" w:rsidRDefault="00D97CE8" w:rsidP="00F058F8">
            <w:pPr>
              <w:pStyle w:val="Bezatstarpm1"/>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pacing w:val="-3"/>
                <w:sz w:val="24"/>
                <w:szCs w:val="24"/>
              </w:rPr>
              <w:t>7.pan</w:t>
            </w:r>
            <w:r w:rsidR="002C2477" w:rsidRPr="00F058F8">
              <w:rPr>
                <w:rFonts w:ascii="Times New Roman" w:hAnsi="Times New Roman"/>
                <w:spacing w:val="-3"/>
                <w:sz w:val="24"/>
                <w:szCs w:val="24"/>
              </w:rPr>
              <w:t xml:space="preserve">ta </w:t>
            </w:r>
            <w:r w:rsidRPr="00F058F8">
              <w:rPr>
                <w:rFonts w:ascii="Times New Roman" w:hAnsi="Times New Roman"/>
                <w:spacing w:val="-3"/>
                <w:sz w:val="24"/>
                <w:szCs w:val="24"/>
              </w:rPr>
              <w:t>7.punkts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733D9C" w:rsidRPr="00F058F8">
              <w:rPr>
                <w:rFonts w:ascii="Times New Roman" w:hAnsi="Times New Roman"/>
                <w:spacing w:val="-3"/>
                <w:sz w:val="24"/>
                <w:szCs w:val="24"/>
              </w:rPr>
              <w:t>8.punkts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733D9C" w:rsidRPr="00F058F8">
              <w:rPr>
                <w:rFonts w:ascii="Times New Roman" w:hAnsi="Times New Roman"/>
                <w:spacing w:val="-3"/>
                <w:sz w:val="24"/>
                <w:szCs w:val="24"/>
              </w:rPr>
              <w:t>9.punkts</w:t>
            </w:r>
          </w:p>
          <w:p w:rsidR="00733D9C" w:rsidRPr="00F058F8" w:rsidRDefault="00733D9C" w:rsidP="00F058F8">
            <w:pPr>
              <w:pStyle w:val="Bezatstarpm1"/>
              <w:rPr>
                <w:rFonts w:ascii="Times New Roman" w:hAnsi="Times New Roman"/>
                <w:spacing w:val="-3"/>
                <w:sz w:val="24"/>
                <w:szCs w:val="24"/>
              </w:rPr>
            </w:pP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733D9C" w:rsidRPr="00F058F8">
              <w:rPr>
                <w:rFonts w:ascii="Times New Roman" w:hAnsi="Times New Roman"/>
                <w:spacing w:val="-3"/>
                <w:sz w:val="24"/>
                <w:szCs w:val="24"/>
              </w:rPr>
              <w:t>10.punkts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1819"/>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lastRenderedPageBreak/>
              <w:t xml:space="preserve">Direktīva </w:t>
            </w:r>
            <w:r w:rsidRPr="00F058F8">
              <w:rPr>
                <w:rFonts w:ascii="Times New Roman" w:hAnsi="Times New Roman"/>
                <w:spacing w:val="-3"/>
                <w:sz w:val="24"/>
                <w:szCs w:val="24"/>
              </w:rPr>
              <w:t>2011/24</w:t>
            </w:r>
          </w:p>
          <w:p w:rsidR="00733D9C"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7.panta </w:t>
            </w:r>
            <w:r w:rsidR="00733D9C" w:rsidRPr="00F058F8">
              <w:rPr>
                <w:rFonts w:ascii="Times New Roman" w:hAnsi="Times New Roman"/>
                <w:spacing w:val="-3"/>
                <w:sz w:val="24"/>
                <w:szCs w:val="24"/>
              </w:rPr>
              <w:t>11.punkts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color w:val="000000" w:themeColor="text1"/>
                <w:sz w:val="24"/>
                <w:szCs w:val="24"/>
              </w:rPr>
            </w:pPr>
            <w:r w:rsidRPr="00F058F8">
              <w:rPr>
                <w:rFonts w:ascii="Times New Roman" w:hAnsi="Times New Roman"/>
                <w:color w:val="000000" w:themeColor="text1"/>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color w:val="000000" w:themeColor="text1"/>
                <w:sz w:val="24"/>
                <w:szCs w:val="24"/>
              </w:rPr>
            </w:pPr>
            <w:r w:rsidRPr="00F058F8">
              <w:rPr>
                <w:rFonts w:ascii="Times New Roman" w:hAnsi="Times New Roman"/>
                <w:color w:val="000000" w:themeColor="text1"/>
                <w:spacing w:val="-3"/>
                <w:sz w:val="24"/>
                <w:szCs w:val="24"/>
              </w:rPr>
              <w:t>Nav jāpārņem, jo norma attiecas uz vispārēju principu ievērošanu ieviešot direktīvas normas dalībvalstīs</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color w:val="000000" w:themeColor="text1"/>
                <w:spacing w:val="-3"/>
                <w:sz w:val="24"/>
                <w:szCs w:val="24"/>
              </w:rPr>
            </w:pPr>
            <w:proofErr w:type="spellStart"/>
            <w:r w:rsidRPr="00F058F8">
              <w:rPr>
                <w:rFonts w:ascii="Times New Roman" w:hAnsi="Times New Roman"/>
                <w:color w:val="000000" w:themeColor="text1"/>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8.panta </w:t>
            </w:r>
            <w:r w:rsidR="00733D9C" w:rsidRPr="00F058F8">
              <w:rPr>
                <w:rFonts w:ascii="Times New Roman" w:hAnsi="Times New Roman"/>
                <w:spacing w:val="-3"/>
                <w:sz w:val="24"/>
                <w:szCs w:val="24"/>
              </w:rPr>
              <w:t>1.punkts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pacing w:val="-3"/>
                <w:sz w:val="24"/>
                <w:szCs w:val="24"/>
              </w:rPr>
              <w:t>8.panta 2.punkts a) apakšpunkts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pacing w:val="-3"/>
                <w:sz w:val="24"/>
                <w:szCs w:val="24"/>
              </w:rPr>
              <w:t>8.panta 2.punkts b) apakšpunkts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8.panta 2.punkts c) </w:t>
            </w:r>
            <w:proofErr w:type="spellStart"/>
            <w:r w:rsidRPr="00F058F8">
              <w:rPr>
                <w:rFonts w:ascii="Times New Roman" w:hAnsi="Times New Roman"/>
                <w:spacing w:val="-3"/>
                <w:sz w:val="24"/>
                <w:szCs w:val="24"/>
              </w:rPr>
              <w:t>apakšpunkts</w:t>
            </w:r>
            <w:proofErr w:type="spellEnd"/>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2011/24/ES</w:t>
            </w:r>
          </w:p>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8.panta 3.punkts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8.panta </w:t>
            </w:r>
            <w:r w:rsidR="002C2477" w:rsidRPr="00F058F8">
              <w:rPr>
                <w:rFonts w:ascii="Times New Roman" w:hAnsi="Times New Roman"/>
                <w:spacing w:val="-3"/>
                <w:sz w:val="24"/>
                <w:szCs w:val="24"/>
              </w:rPr>
              <w:t>4.punkts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r w:rsidRPr="00F058F8">
              <w:rPr>
                <w:rFonts w:ascii="Times New Roman" w:hAnsi="Times New Roman"/>
                <w:sz w:val="24"/>
                <w:szCs w:val="24"/>
              </w:rPr>
              <w:t>Dod dalībvalstij rīcības brīvību ieviest vai neieviest attiecīgo normu</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Bezatstarpm1"/>
              <w:rPr>
                <w:rFonts w:ascii="Times New Roman" w:hAnsi="Times New Roman"/>
                <w:spacing w:val="-3"/>
                <w:sz w:val="24"/>
                <w:szCs w:val="24"/>
              </w:rPr>
            </w:pPr>
            <w:r w:rsidRPr="00F058F8">
              <w:rPr>
                <w:rFonts w:ascii="Times New Roman" w:hAnsi="Times New Roman"/>
                <w:spacing w:val="-3"/>
                <w:sz w:val="24"/>
                <w:szCs w:val="24"/>
              </w:rPr>
              <w:t xml:space="preserve">8.panta </w:t>
            </w:r>
            <w:r w:rsidR="002C2477" w:rsidRPr="00F058F8">
              <w:rPr>
                <w:rFonts w:ascii="Times New Roman" w:hAnsi="Times New Roman"/>
                <w:spacing w:val="-3"/>
                <w:sz w:val="24"/>
                <w:szCs w:val="24"/>
              </w:rPr>
              <w:t>5.punkts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Bezatstarpm1"/>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z w:val="24"/>
                <w:szCs w:val="24"/>
              </w:rPr>
            </w:pPr>
            <w:proofErr w:type="spellStart"/>
            <w:r w:rsidRPr="00F058F8">
              <w:rPr>
                <w:rFonts w:ascii="Times New Roman" w:hAnsi="Times New Roman"/>
                <w:sz w:val="24"/>
                <w:szCs w:val="24"/>
              </w:rP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Bezatstarpm1"/>
              <w:rPr>
                <w:rFonts w:ascii="Times New Roman" w:hAnsi="Times New Roman"/>
                <w:spacing w:val="-3"/>
                <w:sz w:val="24"/>
                <w:szCs w:val="24"/>
              </w:rPr>
            </w:pPr>
            <w:proofErr w:type="spellStart"/>
            <w:r w:rsidRPr="00F058F8">
              <w:rPr>
                <w:rFonts w:ascii="Times New Roman" w:hAnsi="Times New Roman"/>
                <w:spacing w:val="-3"/>
                <w:sz w:val="24"/>
                <w:szCs w:val="24"/>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E23307" w:rsidRDefault="00733D9C" w:rsidP="009E1D25">
            <w:pPr>
              <w:spacing w:after="120"/>
              <w:ind w:left="57"/>
              <w:jc w:val="both"/>
              <w:rPr>
                <w:spacing w:val="-3"/>
              </w:rPr>
            </w:pPr>
            <w:r>
              <w:rPr>
                <w:lang w:val="lv-LV"/>
              </w:rPr>
              <w:t>Direktīva</w:t>
            </w:r>
            <w:r w:rsidRPr="00961F39">
              <w:rPr>
                <w:lang w:val="lv-LV"/>
              </w:rPr>
              <w:t xml:space="preserve"> </w:t>
            </w:r>
            <w:r>
              <w:rPr>
                <w:spacing w:val="-3"/>
              </w:rPr>
              <w:t>2011/24</w:t>
            </w:r>
          </w:p>
          <w:p w:rsidR="00733D9C" w:rsidRPr="006B56AB" w:rsidRDefault="00733D9C" w:rsidP="009E1D25">
            <w:pPr>
              <w:spacing w:after="120"/>
              <w:ind w:left="57"/>
              <w:jc w:val="both"/>
              <w:rPr>
                <w:spacing w:val="-3"/>
                <w:lang w:val="lv-LV"/>
              </w:rPr>
            </w:pPr>
            <w:r w:rsidRPr="006B56AB">
              <w:rPr>
                <w:spacing w:val="-3"/>
                <w:lang w:val="lv-LV"/>
              </w:rPr>
              <w:t>8.panta 6.punkts a) apakšpunkts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BB265D" w:rsidRDefault="00733D9C" w:rsidP="00AB008B">
            <w:pPr>
              <w:pStyle w:val="NoSpacing"/>
              <w:rPr>
                <w:rFonts w:ascii="Times New Roman" w:hAnsi="Times New Roman"/>
                <w:iCs/>
                <w:sz w:val="24"/>
                <w:szCs w:val="24"/>
              </w:rPr>
            </w:pPr>
            <w:r w:rsidRPr="00BB265D">
              <w:rPr>
                <w:rFonts w:ascii="Times New Roman" w:hAnsi="Times New Roman"/>
                <w:spacing w:val="-3"/>
                <w:sz w:val="24"/>
                <w:szCs w:val="24"/>
              </w:rPr>
              <w:t xml:space="preserve">Direktīvas norma tiks pārņemta pilnībā ar </w:t>
            </w:r>
            <w:r w:rsidRPr="00BB265D">
              <w:rPr>
                <w:rFonts w:ascii="Times New Roman" w:hAnsi="Times New Roman"/>
                <w:sz w:val="24"/>
                <w:szCs w:val="24"/>
              </w:rPr>
              <w:t>grozījumiem</w:t>
            </w:r>
          </w:p>
          <w:p w:rsidR="00733D9C" w:rsidRPr="00E23307" w:rsidRDefault="00733D9C" w:rsidP="00AB008B">
            <w:pPr>
              <w:spacing w:after="120"/>
              <w:rPr>
                <w:spacing w:val="-2"/>
              </w:rPr>
            </w:pPr>
            <w:r w:rsidRPr="00BB265D">
              <w:rPr>
                <w:iCs/>
                <w:lang w:val="lv-LV"/>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E23307" w:rsidRDefault="00733D9C" w:rsidP="00AB008B">
            <w:pPr>
              <w:jc w:val="both"/>
            </w:pPr>
            <w:proofErr w:type="spellStart"/>
            <w: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E23307" w:rsidRDefault="00733D9C" w:rsidP="002C2477">
            <w:pPr>
              <w:ind w:left="57"/>
              <w:rPr>
                <w:spacing w:val="-3"/>
              </w:rPr>
            </w:pPr>
            <w:proofErr w:type="spellStart"/>
            <w:r>
              <w:rPr>
                <w:spacing w:val="-3"/>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6B56AB" w:rsidRDefault="00733D9C" w:rsidP="009E1D25">
            <w:pPr>
              <w:spacing w:after="120"/>
              <w:jc w:val="both"/>
              <w:rPr>
                <w:spacing w:val="-3"/>
                <w:lang w:val="lv-LV"/>
              </w:rPr>
            </w:pPr>
            <w:r>
              <w:rPr>
                <w:lang w:val="lv-LV"/>
              </w:rPr>
              <w:t>Direktīva</w:t>
            </w:r>
            <w:r w:rsidRPr="00961F39">
              <w:rPr>
                <w:lang w:val="lv-LV"/>
              </w:rPr>
              <w:t xml:space="preserve"> </w:t>
            </w:r>
            <w:r w:rsidRPr="006B56AB">
              <w:rPr>
                <w:spacing w:val="-3"/>
                <w:lang w:val="lv-LV"/>
              </w:rPr>
              <w:t>2011/24</w:t>
            </w:r>
          </w:p>
          <w:p w:rsidR="00733D9C" w:rsidRPr="00E23307" w:rsidRDefault="00733D9C" w:rsidP="009E1D25">
            <w:pPr>
              <w:spacing w:after="120"/>
              <w:ind w:left="57"/>
              <w:jc w:val="both"/>
              <w:rPr>
                <w:spacing w:val="-3"/>
              </w:rPr>
            </w:pPr>
            <w:r w:rsidRPr="006B56AB">
              <w:rPr>
                <w:spacing w:val="-3"/>
                <w:lang w:val="lv-LV"/>
              </w:rPr>
              <w:t>8.panta 6.punkts b) apakšpunkts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BB265D" w:rsidRDefault="00733D9C" w:rsidP="00AB008B">
            <w:pPr>
              <w:pStyle w:val="NoSpacing"/>
              <w:rPr>
                <w:rFonts w:ascii="Times New Roman" w:hAnsi="Times New Roman"/>
                <w:iCs/>
                <w:sz w:val="24"/>
                <w:szCs w:val="24"/>
              </w:rPr>
            </w:pPr>
            <w:r w:rsidRPr="00BB265D">
              <w:rPr>
                <w:rFonts w:ascii="Times New Roman" w:hAnsi="Times New Roman"/>
                <w:spacing w:val="-3"/>
                <w:sz w:val="24"/>
                <w:szCs w:val="24"/>
              </w:rPr>
              <w:t xml:space="preserve">Direktīvas norma tiks pārņemta pilnībā ar </w:t>
            </w:r>
            <w:r w:rsidRPr="00BB265D">
              <w:rPr>
                <w:rFonts w:ascii="Times New Roman" w:hAnsi="Times New Roman"/>
                <w:sz w:val="24"/>
                <w:szCs w:val="24"/>
              </w:rPr>
              <w:t>grozījumiem</w:t>
            </w:r>
          </w:p>
          <w:p w:rsidR="00733D9C" w:rsidRPr="00E23307" w:rsidRDefault="00733D9C" w:rsidP="00AB008B">
            <w:pPr>
              <w:spacing w:after="120"/>
              <w:rPr>
                <w:spacing w:val="-2"/>
              </w:rPr>
            </w:pPr>
            <w:r w:rsidRPr="00BB265D">
              <w:rPr>
                <w:iCs/>
                <w:lang w:val="lv-LV"/>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E23307" w:rsidRDefault="00733D9C" w:rsidP="00AB008B">
            <w:pPr>
              <w:jc w:val="both"/>
            </w:pPr>
            <w:proofErr w:type="spellStart"/>
            <w: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E23307" w:rsidRDefault="00733D9C" w:rsidP="002C2477">
            <w:pPr>
              <w:ind w:left="57"/>
              <w:rPr>
                <w:spacing w:val="-3"/>
              </w:rPr>
            </w:pPr>
            <w:proofErr w:type="spellStart"/>
            <w:r>
              <w:rPr>
                <w:spacing w:val="-3"/>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6B56AB" w:rsidRDefault="00733D9C" w:rsidP="009E1D25">
            <w:pPr>
              <w:spacing w:after="120"/>
              <w:ind w:left="57"/>
              <w:jc w:val="both"/>
              <w:rPr>
                <w:spacing w:val="-3"/>
                <w:lang w:val="lv-LV"/>
              </w:rPr>
            </w:pPr>
            <w:r>
              <w:rPr>
                <w:lang w:val="lv-LV"/>
              </w:rPr>
              <w:t>Direktīva</w:t>
            </w:r>
            <w:r w:rsidRPr="00961F39">
              <w:rPr>
                <w:lang w:val="lv-LV"/>
              </w:rPr>
              <w:t xml:space="preserve"> </w:t>
            </w:r>
            <w:r>
              <w:rPr>
                <w:spacing w:val="-3"/>
              </w:rPr>
              <w:t>2011/</w:t>
            </w:r>
            <w:r w:rsidRPr="006B56AB">
              <w:rPr>
                <w:spacing w:val="-3"/>
                <w:lang w:val="lv-LV"/>
              </w:rPr>
              <w:t>24</w:t>
            </w:r>
          </w:p>
          <w:p w:rsidR="00733D9C" w:rsidRPr="00E23307" w:rsidRDefault="00733D9C" w:rsidP="009E1D25">
            <w:pPr>
              <w:spacing w:after="120"/>
              <w:ind w:left="57"/>
              <w:jc w:val="both"/>
              <w:rPr>
                <w:spacing w:val="-3"/>
              </w:rPr>
            </w:pPr>
            <w:r w:rsidRPr="006B56AB">
              <w:rPr>
                <w:spacing w:val="-3"/>
                <w:lang w:val="lv-LV"/>
              </w:rPr>
              <w:t>8.panta 6.punkta c)apakšpunkts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BB265D" w:rsidRDefault="00733D9C" w:rsidP="00AB008B">
            <w:pPr>
              <w:pStyle w:val="NoSpacing"/>
              <w:rPr>
                <w:rFonts w:ascii="Times New Roman" w:hAnsi="Times New Roman"/>
                <w:iCs/>
                <w:sz w:val="24"/>
                <w:szCs w:val="24"/>
              </w:rPr>
            </w:pPr>
            <w:r w:rsidRPr="00BB265D">
              <w:rPr>
                <w:rFonts w:ascii="Times New Roman" w:hAnsi="Times New Roman"/>
                <w:spacing w:val="-3"/>
                <w:sz w:val="24"/>
                <w:szCs w:val="24"/>
              </w:rPr>
              <w:t xml:space="preserve">Direktīvas norma tiks pārņemta pilnībā ar </w:t>
            </w:r>
            <w:r w:rsidRPr="00BB265D">
              <w:rPr>
                <w:rFonts w:ascii="Times New Roman" w:hAnsi="Times New Roman"/>
                <w:sz w:val="24"/>
                <w:szCs w:val="24"/>
              </w:rPr>
              <w:t>grozījumiem</w:t>
            </w:r>
          </w:p>
          <w:p w:rsidR="00733D9C" w:rsidRPr="00E23307" w:rsidRDefault="00733D9C" w:rsidP="00AB008B">
            <w:pPr>
              <w:spacing w:after="120"/>
              <w:rPr>
                <w:spacing w:val="-2"/>
              </w:rPr>
            </w:pPr>
            <w:r w:rsidRPr="00BB265D">
              <w:rPr>
                <w:iCs/>
                <w:lang w:val="lv-LV"/>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E23307" w:rsidRDefault="00733D9C" w:rsidP="00AB008B">
            <w:pPr>
              <w:jc w:val="both"/>
            </w:pPr>
            <w:proofErr w:type="spellStart"/>
            <w: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E23307" w:rsidRDefault="00733D9C" w:rsidP="002C2477">
            <w:pPr>
              <w:ind w:left="57"/>
              <w:rPr>
                <w:spacing w:val="-3"/>
              </w:rPr>
            </w:pPr>
            <w:proofErr w:type="spellStart"/>
            <w:r>
              <w:rPr>
                <w:spacing w:val="-3"/>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6B56AB" w:rsidRDefault="00733D9C" w:rsidP="009E1D25">
            <w:pPr>
              <w:spacing w:after="120"/>
              <w:ind w:left="57"/>
              <w:jc w:val="both"/>
              <w:rPr>
                <w:spacing w:val="-3"/>
                <w:lang w:val="lv-LV"/>
              </w:rPr>
            </w:pPr>
            <w:r w:rsidRPr="006B56AB">
              <w:rPr>
                <w:lang w:val="lv-LV"/>
              </w:rPr>
              <w:lastRenderedPageBreak/>
              <w:t xml:space="preserve">Direktīva </w:t>
            </w:r>
            <w:r w:rsidRPr="006B56AB">
              <w:rPr>
                <w:spacing w:val="-3"/>
                <w:lang w:val="lv-LV"/>
              </w:rPr>
              <w:t>2011/24</w:t>
            </w:r>
          </w:p>
          <w:p w:rsidR="00733D9C" w:rsidRPr="00E23307" w:rsidRDefault="00733D9C" w:rsidP="009E1D25">
            <w:pPr>
              <w:spacing w:after="120"/>
              <w:ind w:left="57"/>
              <w:jc w:val="both"/>
              <w:rPr>
                <w:spacing w:val="-3"/>
              </w:rPr>
            </w:pPr>
            <w:r w:rsidRPr="006B56AB">
              <w:rPr>
                <w:spacing w:val="-3"/>
                <w:lang w:val="lv-LV"/>
              </w:rPr>
              <w:t>8.panta 6.punkts d) apakšpunkts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BB265D" w:rsidRDefault="00733D9C" w:rsidP="00AB008B">
            <w:pPr>
              <w:pStyle w:val="NoSpacing"/>
              <w:rPr>
                <w:rFonts w:ascii="Times New Roman" w:hAnsi="Times New Roman"/>
                <w:iCs/>
                <w:sz w:val="24"/>
                <w:szCs w:val="24"/>
              </w:rPr>
            </w:pPr>
            <w:r w:rsidRPr="00BB265D">
              <w:rPr>
                <w:rFonts w:ascii="Times New Roman" w:hAnsi="Times New Roman"/>
                <w:spacing w:val="-3"/>
                <w:sz w:val="24"/>
                <w:szCs w:val="24"/>
              </w:rPr>
              <w:t xml:space="preserve">Direktīvas norma tiks pārņemta pilnībā ar </w:t>
            </w:r>
            <w:r w:rsidRPr="00BB265D">
              <w:rPr>
                <w:rFonts w:ascii="Times New Roman" w:hAnsi="Times New Roman"/>
                <w:sz w:val="24"/>
                <w:szCs w:val="24"/>
              </w:rPr>
              <w:t>grozījumiem</w:t>
            </w:r>
          </w:p>
          <w:p w:rsidR="00733D9C" w:rsidRPr="00E23307" w:rsidRDefault="00733D9C" w:rsidP="00AB008B">
            <w:pPr>
              <w:spacing w:after="120"/>
              <w:rPr>
                <w:spacing w:val="-2"/>
              </w:rPr>
            </w:pPr>
            <w:r w:rsidRPr="00BB265D">
              <w:rPr>
                <w:iCs/>
                <w:lang w:val="lv-LV"/>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E23307" w:rsidRDefault="00733D9C" w:rsidP="00AB008B">
            <w:pPr>
              <w:jc w:val="both"/>
            </w:pPr>
            <w:proofErr w:type="spellStart"/>
            <w: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E23307" w:rsidRDefault="00733D9C" w:rsidP="002C2477">
            <w:pPr>
              <w:ind w:left="57"/>
              <w:rPr>
                <w:spacing w:val="-3"/>
              </w:rPr>
            </w:pPr>
            <w:proofErr w:type="spellStart"/>
            <w:r>
              <w:rPr>
                <w:spacing w:val="-3"/>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E23307" w:rsidRDefault="00733D9C" w:rsidP="009E1D25">
            <w:pPr>
              <w:spacing w:after="120"/>
              <w:ind w:left="57"/>
              <w:jc w:val="both"/>
              <w:rPr>
                <w:spacing w:val="-3"/>
              </w:rPr>
            </w:pPr>
            <w:r>
              <w:rPr>
                <w:lang w:val="lv-LV"/>
              </w:rPr>
              <w:t>Direktīva</w:t>
            </w:r>
            <w:r w:rsidRPr="00961F39">
              <w:rPr>
                <w:lang w:val="lv-LV"/>
              </w:rPr>
              <w:t xml:space="preserve"> </w:t>
            </w:r>
            <w:r>
              <w:rPr>
                <w:spacing w:val="-3"/>
              </w:rPr>
              <w:t>2011/24</w:t>
            </w:r>
          </w:p>
          <w:p w:rsidR="00733D9C" w:rsidRPr="00E23307" w:rsidRDefault="00733D9C" w:rsidP="009E1D25">
            <w:pPr>
              <w:spacing w:after="120"/>
              <w:ind w:left="57"/>
              <w:jc w:val="both"/>
              <w:rPr>
                <w:spacing w:val="-3"/>
              </w:rPr>
            </w:pPr>
            <w:r>
              <w:rPr>
                <w:spacing w:val="-3"/>
              </w:rPr>
              <w:t xml:space="preserve">8.panta </w:t>
            </w:r>
            <w:r w:rsidR="002C2477">
              <w:rPr>
                <w:spacing w:val="-3"/>
              </w:rPr>
              <w:t xml:space="preserve">7.punkts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BB265D" w:rsidRDefault="00733D9C" w:rsidP="00AB008B">
            <w:pPr>
              <w:pStyle w:val="NoSpacing"/>
              <w:rPr>
                <w:rFonts w:ascii="Times New Roman" w:hAnsi="Times New Roman"/>
                <w:iCs/>
                <w:sz w:val="24"/>
                <w:szCs w:val="24"/>
              </w:rPr>
            </w:pPr>
            <w:r w:rsidRPr="00BB265D">
              <w:rPr>
                <w:rFonts w:ascii="Times New Roman" w:hAnsi="Times New Roman"/>
                <w:spacing w:val="-3"/>
                <w:sz w:val="24"/>
                <w:szCs w:val="24"/>
              </w:rPr>
              <w:t xml:space="preserve">Direktīvas norma tiks pārņemta pilnībā ar </w:t>
            </w:r>
            <w:r w:rsidRPr="00BB265D">
              <w:rPr>
                <w:rFonts w:ascii="Times New Roman" w:hAnsi="Times New Roman"/>
                <w:sz w:val="24"/>
                <w:szCs w:val="24"/>
              </w:rPr>
              <w:t>grozījumiem</w:t>
            </w:r>
          </w:p>
          <w:p w:rsidR="00733D9C" w:rsidRPr="00E23307" w:rsidRDefault="00733D9C" w:rsidP="00AB008B">
            <w:pPr>
              <w:spacing w:after="120"/>
              <w:rPr>
                <w:spacing w:val="-2"/>
              </w:rPr>
            </w:pPr>
            <w:r w:rsidRPr="00BB265D">
              <w:rPr>
                <w:iCs/>
                <w:lang w:val="lv-LV"/>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E23307" w:rsidRDefault="00733D9C" w:rsidP="00AB008B">
            <w:pPr>
              <w:jc w:val="both"/>
            </w:pPr>
            <w:proofErr w:type="spellStart"/>
            <w:r>
              <w:t>Nav</w:t>
            </w:r>
            <w:proofErr w:type="spellEnd"/>
          </w:p>
        </w:tc>
        <w:tc>
          <w:tcPr>
            <w:tcW w:w="2126" w:type="dxa"/>
            <w:tcBorders>
              <w:top w:val="outset" w:sz="6" w:space="0" w:color="auto"/>
              <w:left w:val="outset" w:sz="6" w:space="0" w:color="auto"/>
              <w:bottom w:val="outset" w:sz="6" w:space="0" w:color="auto"/>
              <w:right w:val="outset" w:sz="6" w:space="0" w:color="auto"/>
            </w:tcBorders>
          </w:tcPr>
          <w:p w:rsidR="00733D9C" w:rsidRPr="00E23307" w:rsidRDefault="00733D9C" w:rsidP="002C2477">
            <w:pPr>
              <w:ind w:left="57"/>
              <w:rPr>
                <w:spacing w:val="-3"/>
              </w:rPr>
            </w:pPr>
            <w:proofErr w:type="spellStart"/>
            <w:r>
              <w:rPr>
                <w:spacing w:val="-3"/>
              </w:rPr>
              <w:t>Nav</w:t>
            </w:r>
            <w:proofErr w:type="spellEnd"/>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9.panta 1.punkts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9.panta </w:t>
            </w:r>
            <w:r w:rsidR="00733D9C" w:rsidRPr="00F058F8">
              <w:rPr>
                <w:rFonts w:ascii="Times New Roman" w:hAnsi="Times New Roman"/>
                <w:spacing w:val="-3"/>
                <w:sz w:val="24"/>
                <w:szCs w:val="24"/>
              </w:rPr>
              <w:t>2.punkts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color w:val="000000" w:themeColor="text1"/>
                <w:spacing w:val="-2"/>
                <w:sz w:val="24"/>
                <w:szCs w:val="24"/>
              </w:rPr>
              <w:t>Direktīvas norma daļēji pārņemta ar</w:t>
            </w:r>
          </w:p>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color w:val="000000" w:themeColor="text1"/>
                <w:spacing w:val="-2"/>
                <w:sz w:val="24"/>
                <w:szCs w:val="24"/>
              </w:rPr>
              <w:t>Administratīvā procesa likumu</w:t>
            </w:r>
          </w:p>
          <w:p w:rsidR="00733D9C" w:rsidRPr="00F058F8" w:rsidRDefault="00733D9C" w:rsidP="00F058F8">
            <w:pPr>
              <w:pStyle w:val="NoSpacing"/>
              <w:rPr>
                <w:rFonts w:ascii="Times New Roman" w:hAnsi="Times New Roman"/>
                <w:color w:val="000000" w:themeColor="text1"/>
                <w:spacing w:val="-2"/>
                <w:sz w:val="24"/>
                <w:szCs w:val="24"/>
              </w:rPr>
            </w:pPr>
          </w:p>
          <w:p w:rsidR="00733D9C" w:rsidRPr="00F058F8" w:rsidRDefault="00733D9C" w:rsidP="00F058F8">
            <w:pPr>
              <w:pStyle w:val="NoSpacing"/>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9.pa</w:t>
            </w:r>
            <w:r w:rsidR="002C2477" w:rsidRPr="00F058F8">
              <w:rPr>
                <w:rFonts w:ascii="Times New Roman" w:hAnsi="Times New Roman"/>
                <w:spacing w:val="-3"/>
                <w:sz w:val="24"/>
                <w:szCs w:val="24"/>
              </w:rPr>
              <w:t xml:space="preserve">nta </w:t>
            </w:r>
            <w:r w:rsidRPr="00F058F8">
              <w:rPr>
                <w:rFonts w:ascii="Times New Roman" w:hAnsi="Times New Roman"/>
                <w:spacing w:val="-3"/>
                <w:sz w:val="24"/>
                <w:szCs w:val="24"/>
              </w:rPr>
              <w:t xml:space="preserve">3.punkts apakšpunkts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color w:val="000000" w:themeColor="text1"/>
                <w:spacing w:val="-2"/>
                <w:sz w:val="24"/>
                <w:szCs w:val="24"/>
              </w:rPr>
              <w:t>Direktīvas norma pārņemta ar</w:t>
            </w:r>
          </w:p>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color w:val="000000" w:themeColor="text1"/>
                <w:spacing w:val="-2"/>
                <w:sz w:val="24"/>
                <w:szCs w:val="24"/>
              </w:rPr>
              <w:t>Administratīvā procesa likumu</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9.panta 4.punkts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color w:val="000000" w:themeColor="text1"/>
                <w:spacing w:val="-2"/>
                <w:sz w:val="24"/>
                <w:szCs w:val="24"/>
              </w:rPr>
              <w:t>Direktīvas norma pārņemta ar</w:t>
            </w:r>
          </w:p>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color w:val="000000" w:themeColor="text1"/>
                <w:spacing w:val="-2"/>
                <w:sz w:val="24"/>
                <w:szCs w:val="24"/>
              </w:rPr>
              <w:t>Administratīvā procesa likumu</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9.panta </w:t>
            </w:r>
            <w:r w:rsidR="00733D9C" w:rsidRPr="00F058F8">
              <w:rPr>
                <w:rFonts w:ascii="Times New Roman" w:hAnsi="Times New Roman"/>
                <w:spacing w:val="-3"/>
                <w:sz w:val="24"/>
                <w:szCs w:val="24"/>
              </w:rPr>
              <w:t xml:space="preserve">5.punkts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color w:val="000000" w:themeColor="text1"/>
                <w:sz w:val="24"/>
                <w:szCs w:val="24"/>
              </w:rPr>
            </w:pPr>
            <w:r w:rsidRPr="00F058F8">
              <w:rPr>
                <w:rFonts w:ascii="Times New Roman" w:hAnsi="Times New Roman"/>
                <w:color w:val="000000" w:themeColor="text1"/>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color w:val="000000" w:themeColor="text1"/>
                <w:sz w:val="24"/>
                <w:szCs w:val="24"/>
              </w:rPr>
            </w:pPr>
            <w:r w:rsidRPr="00F058F8">
              <w:rPr>
                <w:rFonts w:ascii="Times New Roman" w:hAnsi="Times New Roman"/>
                <w:sz w:val="24"/>
                <w:szCs w:val="24"/>
              </w:rPr>
              <w:t>Dod dalībvalstij rīcības brīvību ieviest vai neieviest attiecīgo normu</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color w:val="000000" w:themeColor="text1"/>
                <w:spacing w:val="-3"/>
                <w:sz w:val="24"/>
                <w:szCs w:val="24"/>
              </w:rPr>
            </w:pPr>
            <w:r w:rsidRPr="00F058F8">
              <w:rPr>
                <w:rFonts w:ascii="Times New Roman" w:hAnsi="Times New Roman"/>
                <w:color w:val="000000" w:themeColor="text1"/>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10.panta </w:t>
            </w:r>
            <w:r w:rsidR="00733D9C" w:rsidRPr="00F058F8">
              <w:rPr>
                <w:rFonts w:ascii="Times New Roman" w:hAnsi="Times New Roman"/>
                <w:spacing w:val="-3"/>
                <w:sz w:val="24"/>
                <w:szCs w:val="24"/>
              </w:rPr>
              <w:t>1.punkts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Nav jāpārņem, jo norma attiecas uz dalībvalstu savstarpējo sadarbību</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10.panta </w:t>
            </w:r>
            <w:r w:rsidR="00733D9C" w:rsidRPr="00F058F8">
              <w:rPr>
                <w:rFonts w:ascii="Times New Roman" w:hAnsi="Times New Roman"/>
                <w:spacing w:val="-3"/>
                <w:sz w:val="24"/>
                <w:szCs w:val="24"/>
              </w:rPr>
              <w:t>2.punkts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color w:val="000000" w:themeColor="text1"/>
                <w:spacing w:val="-3"/>
                <w:sz w:val="24"/>
                <w:szCs w:val="24"/>
              </w:rPr>
              <w:t>Nav jāpārņem, jo norma attiecas uz  dalībvalsti</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10.panta </w:t>
            </w:r>
            <w:r w:rsidR="00733D9C" w:rsidRPr="00F058F8">
              <w:rPr>
                <w:rFonts w:ascii="Times New Roman" w:hAnsi="Times New Roman"/>
                <w:spacing w:val="-3"/>
                <w:sz w:val="24"/>
                <w:szCs w:val="24"/>
              </w:rPr>
              <w:t xml:space="preserve">3.punkts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color w:val="000000" w:themeColor="text1"/>
                <w:spacing w:val="-3"/>
                <w:sz w:val="24"/>
                <w:szCs w:val="24"/>
              </w:rPr>
              <w:t>Nav jāpārņem, jo norma attiecas uz  Eiropas Komisiju</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lastRenderedPageBreak/>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10.panta </w:t>
            </w:r>
            <w:r w:rsidR="00733D9C" w:rsidRPr="00F058F8">
              <w:rPr>
                <w:rFonts w:ascii="Times New Roman" w:hAnsi="Times New Roman"/>
                <w:spacing w:val="-3"/>
                <w:sz w:val="24"/>
                <w:szCs w:val="24"/>
              </w:rPr>
              <w:t>4.punkts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 xml:space="preserve">Ministru kabineta 2010.gada 14.septembra noteikumi Nr.848 </w:t>
            </w:r>
          </w:p>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bCs/>
                <w:sz w:val="24"/>
                <w:szCs w:val="24"/>
                <w:shd w:val="clear" w:color="auto" w:fill="FFFFFF"/>
              </w:rPr>
              <w:t>”Noteikumi par informācijas apmaiņu iekšējā tirgus informācijas sistēmas ietvaros, informācijas apmaiņā iesaistīto iestāžu atbildību un informācijas apmaiņas uzraudzību”</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2C2477"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9.panta </w:t>
            </w:r>
            <w:r w:rsidR="00733D9C" w:rsidRPr="00F058F8">
              <w:rPr>
                <w:rFonts w:ascii="Times New Roman" w:hAnsi="Times New Roman"/>
                <w:spacing w:val="-3"/>
                <w:sz w:val="24"/>
                <w:szCs w:val="24"/>
              </w:rPr>
              <w:t>2.punkts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color w:val="000000" w:themeColor="text1"/>
                <w:spacing w:val="-2"/>
                <w:sz w:val="24"/>
                <w:szCs w:val="24"/>
              </w:rPr>
              <w:t>Direktīvas norma daļēji pārņemta ar</w:t>
            </w:r>
          </w:p>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color w:val="000000" w:themeColor="text1"/>
                <w:spacing w:val="-2"/>
                <w:sz w:val="24"/>
                <w:szCs w:val="24"/>
              </w:rPr>
              <w:t>Administratīvā procesa likumu</w:t>
            </w:r>
          </w:p>
          <w:p w:rsidR="00733D9C" w:rsidRPr="00F058F8" w:rsidRDefault="00733D9C" w:rsidP="00F058F8">
            <w:pPr>
              <w:pStyle w:val="NoSpacing"/>
              <w:rPr>
                <w:rFonts w:ascii="Times New Roman" w:hAnsi="Times New Roman"/>
                <w:color w:val="000000" w:themeColor="text1"/>
                <w:spacing w:val="-2"/>
                <w:sz w:val="24"/>
                <w:szCs w:val="24"/>
              </w:rPr>
            </w:pPr>
          </w:p>
          <w:p w:rsidR="00733D9C" w:rsidRPr="00F058F8" w:rsidRDefault="00733D9C" w:rsidP="00F058F8">
            <w:pPr>
              <w:pStyle w:val="NoSpacing"/>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733D9C" w:rsidRPr="00F058F8" w:rsidRDefault="00733D9C" w:rsidP="00F058F8">
            <w:pPr>
              <w:pStyle w:val="NoSpacing"/>
              <w:rPr>
                <w:rFonts w:ascii="Times New Roman" w:hAnsi="Times New Roman"/>
                <w:color w:val="000000" w:themeColor="text1"/>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11.panta 1.punkta pirmā rindkopa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D6663E" w:rsidP="002401F9">
            <w:pPr>
              <w:pStyle w:val="NoSpacing"/>
              <w:rPr>
                <w:rFonts w:ascii="Times New Roman" w:hAnsi="Times New Roman"/>
                <w:spacing w:val="-3"/>
                <w:sz w:val="24"/>
                <w:szCs w:val="24"/>
              </w:rPr>
            </w:pPr>
            <w:r w:rsidRPr="00F058F8">
              <w:rPr>
                <w:rFonts w:ascii="Times New Roman" w:hAnsi="Times New Roman"/>
                <w:spacing w:val="-3"/>
                <w:sz w:val="24"/>
                <w:szCs w:val="24"/>
              </w:rPr>
              <w:t>2</w:t>
            </w:r>
            <w:r w:rsidR="002401F9">
              <w:rPr>
                <w:rFonts w:ascii="Times New Roman" w:hAnsi="Times New Roman"/>
                <w:spacing w:val="-3"/>
                <w:sz w:val="24"/>
                <w:szCs w:val="24"/>
              </w:rPr>
              <w:t>5</w:t>
            </w:r>
            <w:r w:rsidR="00733D9C" w:rsidRPr="00F058F8">
              <w:rPr>
                <w:rFonts w:ascii="Times New Roman" w:hAnsi="Times New Roman"/>
                <w:spacing w:val="-3"/>
                <w:sz w:val="24"/>
                <w:szCs w:val="24"/>
              </w:rPr>
              <w:t>.punkts</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11.panta 1.punkta 2.rindkopa</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spacing w:val="-2"/>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color w:val="000000" w:themeColor="text1"/>
                <w:spacing w:val="-3"/>
                <w:sz w:val="24"/>
                <w:szCs w:val="24"/>
              </w:rPr>
              <w:t>Nav jāpārņem, jo norma attiecas uz vispārēju principu ievērošanu ieviešot direktīvas normas dalībvalstīs</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F31B12"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11.panta 1.punkta 3.rindkopa</w:t>
            </w:r>
          </w:p>
        </w:tc>
        <w:tc>
          <w:tcPr>
            <w:tcW w:w="3118" w:type="dxa"/>
            <w:gridSpan w:val="8"/>
            <w:tcBorders>
              <w:top w:val="outset" w:sz="6" w:space="0" w:color="auto"/>
              <w:left w:val="outset" w:sz="6" w:space="0" w:color="auto"/>
              <w:bottom w:val="outset" w:sz="6" w:space="0" w:color="auto"/>
              <w:right w:val="outset" w:sz="6" w:space="0" w:color="auto"/>
            </w:tcBorders>
          </w:tcPr>
          <w:p w:rsidR="00F31B12" w:rsidRPr="00F058F8" w:rsidRDefault="002401F9" w:rsidP="00F058F8">
            <w:pPr>
              <w:pStyle w:val="NoSpacing"/>
              <w:rPr>
                <w:rFonts w:ascii="Times New Roman" w:hAnsi="Times New Roman"/>
                <w:spacing w:val="-3"/>
                <w:sz w:val="24"/>
                <w:szCs w:val="24"/>
              </w:rPr>
            </w:pPr>
            <w:r w:rsidRPr="00F058F8">
              <w:rPr>
                <w:rFonts w:ascii="Times New Roman" w:hAnsi="Times New Roman"/>
                <w:spacing w:val="-3"/>
                <w:sz w:val="24"/>
                <w:szCs w:val="24"/>
              </w:rPr>
              <w:t>2</w:t>
            </w:r>
            <w:r>
              <w:rPr>
                <w:rFonts w:ascii="Times New Roman" w:hAnsi="Times New Roman"/>
                <w:spacing w:val="-3"/>
                <w:sz w:val="24"/>
                <w:szCs w:val="24"/>
              </w:rPr>
              <w:t>5</w:t>
            </w:r>
            <w:r w:rsidRPr="00F058F8">
              <w:rPr>
                <w:rFonts w:ascii="Times New Roman" w:hAnsi="Times New Roman"/>
                <w:spacing w:val="-3"/>
                <w:sz w:val="24"/>
                <w:szCs w:val="24"/>
              </w:rPr>
              <w:t>.punkts</w:t>
            </w:r>
          </w:p>
        </w:tc>
        <w:tc>
          <w:tcPr>
            <w:tcW w:w="2268" w:type="dxa"/>
            <w:gridSpan w:val="2"/>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F31B12"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F31B12" w:rsidRPr="00F058F8" w:rsidRDefault="00F31B12" w:rsidP="00F058F8">
            <w:pPr>
              <w:pStyle w:val="NoSpacing"/>
              <w:rPr>
                <w:rFonts w:ascii="Times New Roman" w:hAnsi="Times New Roman"/>
                <w:sz w:val="24"/>
                <w:szCs w:val="24"/>
              </w:rPr>
            </w:pPr>
            <w:r w:rsidRPr="00F058F8">
              <w:rPr>
                <w:rFonts w:ascii="Times New Roman" w:hAnsi="Times New Roman"/>
                <w:spacing w:val="-3"/>
                <w:sz w:val="24"/>
                <w:szCs w:val="24"/>
              </w:rPr>
              <w:t>11.panta 1.punkta 4.rindkopa</w:t>
            </w:r>
          </w:p>
        </w:tc>
        <w:tc>
          <w:tcPr>
            <w:tcW w:w="3118" w:type="dxa"/>
            <w:gridSpan w:val="8"/>
            <w:tcBorders>
              <w:top w:val="outset" w:sz="6" w:space="0" w:color="auto"/>
              <w:left w:val="outset" w:sz="6" w:space="0" w:color="auto"/>
              <w:bottom w:val="outset" w:sz="6" w:space="0" w:color="auto"/>
              <w:right w:val="outset" w:sz="6" w:space="0" w:color="auto"/>
            </w:tcBorders>
          </w:tcPr>
          <w:p w:rsidR="00F31B12" w:rsidRPr="00F058F8" w:rsidRDefault="002401F9" w:rsidP="00F058F8">
            <w:pPr>
              <w:pStyle w:val="NoSpacing"/>
              <w:rPr>
                <w:rFonts w:ascii="Times New Roman" w:hAnsi="Times New Roman"/>
                <w:spacing w:val="-3"/>
                <w:sz w:val="24"/>
                <w:szCs w:val="24"/>
              </w:rPr>
            </w:pPr>
            <w:r w:rsidRPr="00F058F8">
              <w:rPr>
                <w:rFonts w:ascii="Times New Roman" w:hAnsi="Times New Roman"/>
                <w:spacing w:val="-3"/>
                <w:sz w:val="24"/>
                <w:szCs w:val="24"/>
              </w:rPr>
              <w:t>2</w:t>
            </w:r>
            <w:r>
              <w:rPr>
                <w:rFonts w:ascii="Times New Roman" w:hAnsi="Times New Roman"/>
                <w:spacing w:val="-3"/>
                <w:sz w:val="24"/>
                <w:szCs w:val="24"/>
              </w:rPr>
              <w:t>5</w:t>
            </w:r>
            <w:r w:rsidRPr="00F058F8">
              <w:rPr>
                <w:rFonts w:ascii="Times New Roman" w:hAnsi="Times New Roman"/>
                <w:spacing w:val="-3"/>
                <w:sz w:val="24"/>
                <w:szCs w:val="24"/>
              </w:rPr>
              <w:t>.punkts</w:t>
            </w:r>
          </w:p>
        </w:tc>
        <w:tc>
          <w:tcPr>
            <w:tcW w:w="2268" w:type="dxa"/>
            <w:gridSpan w:val="2"/>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Stingrākas prasības neparedz</w:t>
            </w:r>
          </w:p>
          <w:p w:rsidR="00F31B12" w:rsidRPr="00F058F8" w:rsidRDefault="00F31B12" w:rsidP="00F058F8">
            <w:pPr>
              <w:pStyle w:val="NoSpacing"/>
              <w:rPr>
                <w:rFonts w:ascii="Times New Roman" w:hAnsi="Times New Roman"/>
                <w:spacing w:val="-3"/>
                <w:sz w:val="24"/>
                <w:szCs w:val="24"/>
              </w:rPr>
            </w:pPr>
          </w:p>
          <w:p w:rsidR="00F31B12" w:rsidRPr="00F058F8" w:rsidRDefault="00F31B12" w:rsidP="00F058F8">
            <w:pPr>
              <w:pStyle w:val="NoSpacing"/>
              <w:rPr>
                <w:rFonts w:ascii="Times New Roman" w:hAnsi="Times New Roman"/>
                <w:spacing w:val="-3"/>
                <w:sz w:val="24"/>
                <w:szCs w:val="24"/>
              </w:rPr>
            </w:pP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11.panta 1.punkta 5.rindkopa</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 jāpārņem, jo LV medicīniskās ierīces izplata bez receptes</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color w:val="000000" w:themeColor="text1"/>
                <w:spacing w:val="-3"/>
                <w:sz w:val="24"/>
                <w:szCs w:val="24"/>
              </w:rPr>
            </w:pPr>
            <w:r w:rsidRPr="00F058F8">
              <w:rPr>
                <w:rFonts w:ascii="Times New Roman" w:hAnsi="Times New Roman"/>
                <w:color w:val="000000" w:themeColor="text1"/>
                <w:spacing w:val="-3"/>
                <w:sz w:val="24"/>
                <w:szCs w:val="24"/>
              </w:rPr>
              <w:t xml:space="preserve"> Nav</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11.pant</w:t>
            </w:r>
            <w:r w:rsidR="001B7878" w:rsidRPr="00F058F8">
              <w:rPr>
                <w:rFonts w:ascii="Times New Roman" w:hAnsi="Times New Roman"/>
                <w:spacing w:val="-3"/>
                <w:sz w:val="24"/>
                <w:szCs w:val="24"/>
              </w:rPr>
              <w:t>a 2., 3., 4. un 5.punkts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2"/>
                <w:sz w:val="24"/>
                <w:szCs w:val="24"/>
              </w:rPr>
            </w:pPr>
            <w:r w:rsidRPr="00F058F8">
              <w:rPr>
                <w:rFonts w:ascii="Times New Roman" w:hAnsi="Times New Roman"/>
                <w:color w:val="000000" w:themeColor="text1"/>
                <w:spacing w:val="-3"/>
                <w:sz w:val="24"/>
                <w:szCs w:val="24"/>
              </w:rPr>
              <w:t xml:space="preserve">Nav jāpārņem, jo norma attiecas uz  </w:t>
            </w:r>
            <w:proofErr w:type="spellStart"/>
            <w:r w:rsidRPr="00F058F8">
              <w:rPr>
                <w:rFonts w:ascii="Times New Roman" w:hAnsi="Times New Roman"/>
                <w:color w:val="000000" w:themeColor="text1"/>
                <w:spacing w:val="-3"/>
                <w:sz w:val="24"/>
                <w:szCs w:val="24"/>
              </w:rPr>
              <w:t>uz</w:t>
            </w:r>
            <w:proofErr w:type="spellEnd"/>
            <w:r w:rsidRPr="00F058F8">
              <w:rPr>
                <w:rFonts w:ascii="Times New Roman" w:hAnsi="Times New Roman"/>
                <w:color w:val="000000" w:themeColor="text1"/>
                <w:spacing w:val="-3"/>
                <w:sz w:val="24"/>
                <w:szCs w:val="24"/>
              </w:rPr>
              <w:t xml:space="preserve"> Eiropas Komisiju</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F31B12"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11.panta 6.punkts</w:t>
            </w:r>
          </w:p>
        </w:tc>
        <w:tc>
          <w:tcPr>
            <w:tcW w:w="3118" w:type="dxa"/>
            <w:gridSpan w:val="8"/>
            <w:tcBorders>
              <w:top w:val="outset" w:sz="6" w:space="0" w:color="auto"/>
              <w:left w:val="outset" w:sz="6" w:space="0" w:color="auto"/>
              <w:bottom w:val="outset" w:sz="6" w:space="0" w:color="auto"/>
              <w:right w:val="outset" w:sz="6" w:space="0" w:color="auto"/>
            </w:tcBorders>
          </w:tcPr>
          <w:p w:rsidR="00F31B12" w:rsidRPr="00F058F8" w:rsidRDefault="002401F9" w:rsidP="00F058F8">
            <w:pPr>
              <w:pStyle w:val="NoSpacing"/>
              <w:rPr>
                <w:rFonts w:ascii="Times New Roman" w:hAnsi="Times New Roman"/>
                <w:spacing w:val="-3"/>
                <w:sz w:val="24"/>
                <w:szCs w:val="24"/>
              </w:rPr>
            </w:pPr>
            <w:r w:rsidRPr="00F058F8">
              <w:rPr>
                <w:rFonts w:ascii="Times New Roman" w:hAnsi="Times New Roman"/>
                <w:spacing w:val="-3"/>
                <w:sz w:val="24"/>
                <w:szCs w:val="24"/>
              </w:rPr>
              <w:t>2</w:t>
            </w:r>
            <w:r>
              <w:rPr>
                <w:rFonts w:ascii="Times New Roman" w:hAnsi="Times New Roman"/>
                <w:spacing w:val="-3"/>
                <w:sz w:val="24"/>
                <w:szCs w:val="24"/>
              </w:rPr>
              <w:t>5</w:t>
            </w:r>
            <w:r w:rsidRPr="00F058F8">
              <w:rPr>
                <w:rFonts w:ascii="Times New Roman" w:hAnsi="Times New Roman"/>
                <w:spacing w:val="-3"/>
                <w:sz w:val="24"/>
                <w:szCs w:val="24"/>
              </w:rPr>
              <w:t>.punkts</w:t>
            </w:r>
          </w:p>
        </w:tc>
        <w:tc>
          <w:tcPr>
            <w:tcW w:w="2268" w:type="dxa"/>
            <w:gridSpan w:val="2"/>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2"/>
                <w:sz w:val="24"/>
                <w:szCs w:val="24"/>
              </w:rPr>
            </w:pPr>
            <w:r w:rsidRPr="00F058F8">
              <w:rPr>
                <w:rFonts w:ascii="Times New Roman" w:hAnsi="Times New Roman"/>
                <w:spacing w:val="-2"/>
                <w:sz w:val="24"/>
                <w:szCs w:val="24"/>
              </w:rPr>
              <w:t>Direktīvas norma pārņemta pilnībā</w:t>
            </w:r>
          </w:p>
        </w:tc>
        <w:tc>
          <w:tcPr>
            <w:tcW w:w="2126" w:type="dxa"/>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Stingrākas prasības neparedz</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rPr>
              <w:lastRenderedPageBreak/>
              <w:t xml:space="preserve">Direktīva </w:t>
            </w:r>
            <w:r w:rsidRPr="00F058F8">
              <w:rPr>
                <w:rFonts w:ascii="Times New Roman" w:hAnsi="Times New Roman"/>
                <w:sz w:val="24"/>
                <w:szCs w:val="24"/>
                <w:lang w:eastAsia="lv-LV"/>
              </w:rPr>
              <w:t>2011/24</w:t>
            </w:r>
          </w:p>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 xml:space="preserve">12.pants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 jāpārņem, jo norma attiecas uz  sadarbību starp Eiropas Komisiju un dalībvalstīm uz sadarbību Eiropas references tīklu darbībā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 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13.pants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pacing w:val="-3"/>
                <w:sz w:val="24"/>
                <w:szCs w:val="24"/>
              </w:rPr>
              <w:t>Nav jāpārņem, jo norma attiecas uz sadarbību starp Eiropas Komisiju un dalībvalstīm reto slimību jautājumā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 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14.pants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pacing w:val="-3"/>
                <w:sz w:val="24"/>
                <w:szCs w:val="24"/>
              </w:rPr>
              <w:t>Nav jāpārņem, jo norma attiecas uz  sadarbību starp Eiropas Komisiju un dalībvalstīm e-veselības jomā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 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pacing w:val="-3"/>
                <w:sz w:val="24"/>
                <w:szCs w:val="24"/>
              </w:rPr>
              <w:t>15.pants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 jāpārņem, jo norma attiecas uz  sadarbību starp Eiropas Komisiju un dalībvalstīm veselības aprūpes tehnoloģiju novērtējumā</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 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16.pants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Nav jāpārņem, jo attiecas uz  Eiropas Komisijas tiesībām saistībā ar deleģētajiem aktiem</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 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17.pants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z w:val="24"/>
                <w:szCs w:val="24"/>
              </w:rPr>
              <w:t>Nav jāpārņem, jo attiecas uz  Eiropas Komisijas tiesībām saistībā ar deleģētajiem aktiem</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 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18.pants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z w:val="24"/>
                <w:szCs w:val="24"/>
              </w:rPr>
              <w:t>Nav jāpārņem, jo attiecas uz  Eiropas Komisijas tiesībām saistībā ar deleģētajiem aktiem</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 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lastRenderedPageBreak/>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19.pants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z w:val="24"/>
                <w:szCs w:val="24"/>
              </w:rPr>
              <w:t>Nav jāpārņem, jo attiecas uz  Eiropas Komisijas tiesībām saistībā ar deleģētajiem aktiem</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 Nav</w:t>
            </w:r>
          </w:p>
          <w:p w:rsidR="00733D9C" w:rsidRPr="00F058F8" w:rsidRDefault="00733D9C" w:rsidP="00F058F8">
            <w:pPr>
              <w:pStyle w:val="NoSpacing"/>
              <w:rPr>
                <w:rFonts w:ascii="Times New Roman" w:hAnsi="Times New Roman"/>
                <w:spacing w:val="-3"/>
                <w:sz w:val="24"/>
                <w:szCs w:val="24"/>
              </w:rPr>
            </w:pP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20.pants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pacing w:val="-3"/>
                <w:sz w:val="24"/>
                <w:szCs w:val="24"/>
              </w:rPr>
              <w:t>Nav jāpārņem, jo norma attiecas uz Eiropas Komisijas pienākumu</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Stingrākas prasības neparedz</w:t>
            </w:r>
          </w:p>
          <w:p w:rsidR="00733D9C" w:rsidRPr="00F058F8" w:rsidRDefault="00733D9C" w:rsidP="00F058F8">
            <w:pPr>
              <w:pStyle w:val="NoSpacing"/>
              <w:rPr>
                <w:rFonts w:ascii="Times New Roman" w:hAnsi="Times New Roman"/>
                <w:sz w:val="24"/>
                <w:szCs w:val="24"/>
              </w:rPr>
            </w:pPr>
          </w:p>
        </w:tc>
      </w:tr>
      <w:tr w:rsidR="00F31B12"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F31B12" w:rsidRPr="00F058F8" w:rsidRDefault="001B7878" w:rsidP="00F058F8">
            <w:pPr>
              <w:pStyle w:val="NoSpacing"/>
              <w:rPr>
                <w:rFonts w:ascii="Times New Roman" w:hAnsi="Times New Roman"/>
                <w:spacing w:val="-3"/>
                <w:sz w:val="24"/>
                <w:szCs w:val="24"/>
              </w:rPr>
            </w:pPr>
            <w:r w:rsidRPr="00F058F8">
              <w:rPr>
                <w:rFonts w:ascii="Times New Roman" w:hAnsi="Times New Roman"/>
                <w:spacing w:val="-3"/>
                <w:sz w:val="24"/>
                <w:szCs w:val="24"/>
              </w:rPr>
              <w:t>21.pants</w:t>
            </w:r>
          </w:p>
        </w:tc>
        <w:tc>
          <w:tcPr>
            <w:tcW w:w="3118" w:type="dxa"/>
            <w:gridSpan w:val="8"/>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F31B12" w:rsidRPr="00F058F8" w:rsidRDefault="00F31B12" w:rsidP="00F058F8">
            <w:pPr>
              <w:pStyle w:val="NoSpacing"/>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z w:val="24"/>
                <w:szCs w:val="24"/>
              </w:rPr>
            </w:pPr>
            <w:r w:rsidRPr="00F058F8">
              <w:rPr>
                <w:rFonts w:ascii="Times New Roman" w:hAnsi="Times New Roman"/>
                <w:sz w:val="24"/>
                <w:szCs w:val="24"/>
              </w:rPr>
              <w:t>Nav</w:t>
            </w:r>
          </w:p>
          <w:p w:rsidR="00F31B12" w:rsidRPr="00F058F8" w:rsidRDefault="00F31B12" w:rsidP="00F058F8">
            <w:pPr>
              <w:pStyle w:val="NoSpacing"/>
              <w:rPr>
                <w:rFonts w:ascii="Times New Roman" w:hAnsi="Times New Roman"/>
                <w:sz w:val="24"/>
                <w:szCs w:val="24"/>
              </w:rPr>
            </w:pPr>
          </w:p>
        </w:tc>
        <w:tc>
          <w:tcPr>
            <w:tcW w:w="2126" w:type="dxa"/>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p w:rsidR="00F31B12" w:rsidRPr="00F058F8" w:rsidRDefault="00F31B12" w:rsidP="00F058F8">
            <w:pPr>
              <w:pStyle w:val="NoSpacing"/>
              <w:rPr>
                <w:rFonts w:ascii="Times New Roman" w:hAnsi="Times New Roman"/>
                <w:spacing w:val="-3"/>
                <w:sz w:val="24"/>
                <w:szCs w:val="24"/>
              </w:rPr>
            </w:pP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22.pants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pacing w:val="-3"/>
                <w:sz w:val="24"/>
                <w:szCs w:val="24"/>
              </w:rPr>
              <w:t>Nav jāpārņem, jo norma nosaka direktīvas spēkā stāšanos</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z w:val="24"/>
                <w:szCs w:val="24"/>
              </w:rPr>
              <w:t xml:space="preserve">Direktīva </w:t>
            </w:r>
            <w:r w:rsidRPr="00F058F8">
              <w:rPr>
                <w:rFonts w:ascii="Times New Roman" w:hAnsi="Times New Roman"/>
                <w:spacing w:val="-3"/>
                <w:sz w:val="24"/>
                <w:szCs w:val="24"/>
              </w:rPr>
              <w:t>2011/24</w:t>
            </w: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23.pants </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rPr>
            </w:pPr>
            <w:r w:rsidRPr="00F058F8">
              <w:rPr>
                <w:rFonts w:ascii="Times New Roman" w:hAnsi="Times New Roman"/>
                <w:spacing w:val="-3"/>
                <w:sz w:val="24"/>
                <w:szCs w:val="24"/>
              </w:rPr>
              <w:t xml:space="preserve">Nav jāpārņem, jo norma  nosaka direktīvas adresātus </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1F5BBB" w:rsidP="00F058F8">
            <w:pPr>
              <w:pStyle w:val="NoSpacing"/>
              <w:rPr>
                <w:rFonts w:ascii="Times New Roman" w:hAnsi="Times New Roman"/>
                <w:i/>
                <w:spacing w:val="-3"/>
                <w:sz w:val="24"/>
                <w:szCs w:val="24"/>
              </w:rPr>
            </w:pPr>
            <w:r w:rsidRPr="00F058F8">
              <w:rPr>
                <w:rStyle w:val="Emphasis"/>
                <w:rFonts w:ascii="Times New Roman" w:hAnsi="Times New Roman"/>
                <w:i w:val="0"/>
                <w:sz w:val="24"/>
                <w:szCs w:val="24"/>
              </w:rPr>
              <w:t>Direktīva</w:t>
            </w:r>
            <w:r w:rsidR="00733D9C" w:rsidRPr="00F058F8">
              <w:rPr>
                <w:rStyle w:val="Emphasis"/>
                <w:rFonts w:ascii="Times New Roman" w:hAnsi="Times New Roman"/>
                <w:i w:val="0"/>
                <w:sz w:val="24"/>
                <w:szCs w:val="24"/>
              </w:rPr>
              <w:t xml:space="preserve"> 2012/52 1.pants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 jāpārņem, jo norma attiecas uz vispārēju principu ievērošanu ieviešot</w:t>
            </w:r>
            <w:r w:rsidR="00492DD7" w:rsidRPr="00F058F8">
              <w:rPr>
                <w:rFonts w:ascii="Times New Roman" w:hAnsi="Times New Roman"/>
                <w:spacing w:val="-3"/>
                <w:sz w:val="24"/>
                <w:szCs w:val="24"/>
              </w:rPr>
              <w:t xml:space="preserve"> direktīvas normas dalībvalstīs</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F058F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991"/>
        </w:trPr>
        <w:tc>
          <w:tcPr>
            <w:tcW w:w="2128" w:type="dxa"/>
            <w:gridSpan w:val="9"/>
            <w:tcBorders>
              <w:top w:val="outset" w:sz="6" w:space="0" w:color="auto"/>
              <w:left w:val="outset" w:sz="6" w:space="0" w:color="auto"/>
              <w:bottom w:val="outset" w:sz="6" w:space="0" w:color="auto"/>
              <w:right w:val="outset" w:sz="6" w:space="0" w:color="auto"/>
            </w:tcBorders>
          </w:tcPr>
          <w:p w:rsidR="001F5BBB" w:rsidRPr="00F058F8" w:rsidRDefault="001F5BBB" w:rsidP="00F058F8">
            <w:pPr>
              <w:pStyle w:val="NoSpacing"/>
              <w:rPr>
                <w:rStyle w:val="Emphasis"/>
                <w:rFonts w:ascii="Times New Roman" w:hAnsi="Times New Roman"/>
                <w:i w:val="0"/>
                <w:sz w:val="24"/>
                <w:szCs w:val="24"/>
              </w:rPr>
            </w:pPr>
            <w:r w:rsidRPr="00F058F8">
              <w:rPr>
                <w:rStyle w:val="Emphasis"/>
                <w:rFonts w:ascii="Times New Roman" w:hAnsi="Times New Roman"/>
                <w:i w:val="0"/>
                <w:sz w:val="24"/>
                <w:szCs w:val="24"/>
              </w:rPr>
              <w:t>Direktīva</w:t>
            </w:r>
          </w:p>
          <w:p w:rsidR="00733D9C" w:rsidRPr="00F058F8" w:rsidRDefault="00733D9C" w:rsidP="00F058F8">
            <w:pPr>
              <w:pStyle w:val="NoSpacing"/>
              <w:rPr>
                <w:rFonts w:ascii="Times New Roman" w:hAnsi="Times New Roman"/>
                <w:i/>
                <w:spacing w:val="-3"/>
                <w:sz w:val="24"/>
                <w:szCs w:val="24"/>
              </w:rPr>
            </w:pPr>
            <w:r w:rsidRPr="00F058F8">
              <w:rPr>
                <w:rStyle w:val="Emphasis"/>
                <w:rFonts w:ascii="Times New Roman" w:hAnsi="Times New Roman"/>
                <w:i w:val="0"/>
                <w:sz w:val="24"/>
                <w:szCs w:val="24"/>
              </w:rPr>
              <w:t>2012/52 2.pants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z w:val="24"/>
                <w:szCs w:val="24"/>
                <w:lang w:eastAsia="lv-LV"/>
              </w:rPr>
            </w:pPr>
            <w:r w:rsidRPr="00F058F8">
              <w:rPr>
                <w:rFonts w:ascii="Times New Roman" w:hAnsi="Times New Roman"/>
                <w:sz w:val="24"/>
                <w:szCs w:val="24"/>
                <w:lang w:eastAsia="lv-LV"/>
              </w:rPr>
              <w:t xml:space="preserve">Direktīvas norma tiks pārņemta ar grozījumiem </w:t>
            </w:r>
            <w:r w:rsidR="00F31B12" w:rsidRPr="00F058F8">
              <w:rPr>
                <w:rFonts w:ascii="Times New Roman" w:hAnsi="Times New Roman"/>
                <w:sz w:val="24"/>
                <w:szCs w:val="24"/>
                <w:lang w:eastAsia="lv-LV"/>
              </w:rPr>
              <w:t xml:space="preserve">MK </w:t>
            </w:r>
            <w:r w:rsidR="00F31B12" w:rsidRPr="00F058F8">
              <w:rPr>
                <w:rFonts w:ascii="Times New Roman" w:hAnsi="Times New Roman"/>
                <w:sz w:val="24"/>
                <w:szCs w:val="24"/>
              </w:rPr>
              <w:t>noteikumos Nr.175</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F058F8" w:rsidRDefault="001F5BBB" w:rsidP="00F058F8">
            <w:pPr>
              <w:pStyle w:val="NoSpacing"/>
              <w:rPr>
                <w:rFonts w:ascii="Times New Roman" w:hAnsi="Times New Roman"/>
                <w:i/>
                <w:spacing w:val="-3"/>
                <w:sz w:val="24"/>
                <w:szCs w:val="24"/>
              </w:rPr>
            </w:pPr>
            <w:r w:rsidRPr="00F058F8">
              <w:rPr>
                <w:rStyle w:val="Emphasis"/>
                <w:rFonts w:ascii="Times New Roman" w:hAnsi="Times New Roman"/>
                <w:i w:val="0"/>
                <w:sz w:val="24"/>
                <w:szCs w:val="24"/>
              </w:rPr>
              <w:t>Direktīva</w:t>
            </w:r>
            <w:r w:rsidR="00733D9C" w:rsidRPr="00F058F8">
              <w:rPr>
                <w:rStyle w:val="Emphasis"/>
                <w:rFonts w:ascii="Times New Roman" w:hAnsi="Times New Roman"/>
                <w:i w:val="0"/>
                <w:sz w:val="24"/>
                <w:szCs w:val="24"/>
              </w:rPr>
              <w:t xml:space="preserve"> 2012/52 3.pants</w:t>
            </w:r>
          </w:p>
        </w:tc>
        <w:tc>
          <w:tcPr>
            <w:tcW w:w="3118" w:type="dxa"/>
            <w:gridSpan w:val="8"/>
            <w:tcBorders>
              <w:top w:val="outset" w:sz="6" w:space="0" w:color="auto"/>
              <w:left w:val="outset" w:sz="6" w:space="0" w:color="auto"/>
              <w:bottom w:val="outset" w:sz="6" w:space="0" w:color="auto"/>
              <w:right w:val="outset" w:sz="6" w:space="0" w:color="auto"/>
            </w:tcBorders>
          </w:tcPr>
          <w:p w:rsidR="00F31B12" w:rsidRPr="00F058F8" w:rsidRDefault="002401F9" w:rsidP="00F058F8">
            <w:pPr>
              <w:pStyle w:val="NoSpacing"/>
              <w:rPr>
                <w:rFonts w:ascii="Times New Roman" w:hAnsi="Times New Roman"/>
                <w:spacing w:val="-3"/>
                <w:sz w:val="24"/>
                <w:szCs w:val="24"/>
              </w:rPr>
            </w:pPr>
            <w:r>
              <w:rPr>
                <w:rFonts w:ascii="Times New Roman" w:hAnsi="Times New Roman"/>
                <w:spacing w:val="-3"/>
                <w:sz w:val="24"/>
                <w:szCs w:val="24"/>
              </w:rPr>
              <w:t>25.</w:t>
            </w:r>
            <w:r w:rsidR="00F31B12" w:rsidRPr="00F058F8">
              <w:rPr>
                <w:rFonts w:ascii="Times New Roman" w:hAnsi="Times New Roman"/>
                <w:spacing w:val="-3"/>
                <w:sz w:val="24"/>
                <w:szCs w:val="24"/>
              </w:rPr>
              <w:t xml:space="preserve">punkts </w:t>
            </w:r>
          </w:p>
          <w:p w:rsidR="00F31B12" w:rsidRPr="00F058F8" w:rsidRDefault="00F31B12" w:rsidP="00F058F8">
            <w:pPr>
              <w:pStyle w:val="NoSpacing"/>
              <w:rPr>
                <w:rFonts w:ascii="Times New Roman" w:hAnsi="Times New Roman"/>
                <w:spacing w:val="-3"/>
                <w:sz w:val="24"/>
                <w:szCs w:val="24"/>
              </w:rPr>
            </w:pPr>
          </w:p>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 xml:space="preserve">Direktīvas norma tiks pārņemta </w:t>
            </w:r>
            <w:r w:rsidR="00F31B12" w:rsidRPr="00F058F8">
              <w:rPr>
                <w:rFonts w:ascii="Times New Roman" w:hAnsi="Times New Roman"/>
                <w:spacing w:val="-3"/>
                <w:sz w:val="24"/>
                <w:szCs w:val="24"/>
              </w:rPr>
              <w:t xml:space="preserve">pilnībā </w:t>
            </w:r>
            <w:r w:rsidRPr="00F058F8">
              <w:rPr>
                <w:rFonts w:ascii="Times New Roman" w:hAnsi="Times New Roman"/>
                <w:spacing w:val="-3"/>
                <w:sz w:val="24"/>
                <w:szCs w:val="24"/>
              </w:rPr>
              <w:t>ar grozījumiem</w:t>
            </w:r>
            <w:r w:rsidR="00F31B12" w:rsidRPr="00F058F8">
              <w:rPr>
                <w:rFonts w:ascii="Times New Roman" w:hAnsi="Times New Roman"/>
                <w:spacing w:val="-3"/>
                <w:sz w:val="24"/>
                <w:szCs w:val="24"/>
              </w:rPr>
              <w:t xml:space="preserve"> MK</w:t>
            </w:r>
            <w:r w:rsidRPr="00F058F8">
              <w:rPr>
                <w:rFonts w:ascii="Times New Roman" w:hAnsi="Times New Roman"/>
                <w:sz w:val="24"/>
                <w:szCs w:val="24"/>
              </w:rPr>
              <w:t xml:space="preserve"> noteikumos Nr.175</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Direktīvas norma pārņemta daļēji</w:t>
            </w:r>
          </w:p>
        </w:tc>
        <w:tc>
          <w:tcPr>
            <w:tcW w:w="2126" w:type="dxa"/>
            <w:tcBorders>
              <w:top w:val="outset" w:sz="6" w:space="0" w:color="auto"/>
              <w:left w:val="outset" w:sz="6" w:space="0" w:color="auto"/>
              <w:bottom w:val="outset" w:sz="6" w:space="0" w:color="auto"/>
              <w:right w:val="outset" w:sz="6" w:space="0" w:color="auto"/>
            </w:tcBorders>
          </w:tcPr>
          <w:p w:rsidR="00733D9C" w:rsidRPr="00F058F8" w:rsidRDefault="00733D9C"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F31B12"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F31B12" w:rsidRPr="00F058F8" w:rsidRDefault="001B7878" w:rsidP="00F058F8">
            <w:pPr>
              <w:pStyle w:val="NoSpacing"/>
              <w:rPr>
                <w:rFonts w:ascii="Times New Roman" w:hAnsi="Times New Roman"/>
                <w:iCs/>
                <w:sz w:val="24"/>
                <w:szCs w:val="24"/>
              </w:rPr>
            </w:pPr>
            <w:r w:rsidRPr="00F058F8">
              <w:rPr>
                <w:rStyle w:val="Emphasis"/>
                <w:rFonts w:ascii="Times New Roman" w:hAnsi="Times New Roman"/>
                <w:i w:val="0"/>
                <w:sz w:val="24"/>
                <w:szCs w:val="24"/>
              </w:rPr>
              <w:t xml:space="preserve">Direktīva </w:t>
            </w:r>
            <w:r w:rsidR="00F31B12" w:rsidRPr="00F058F8">
              <w:rPr>
                <w:rStyle w:val="Emphasis"/>
                <w:rFonts w:ascii="Times New Roman" w:hAnsi="Times New Roman"/>
                <w:i w:val="0"/>
                <w:sz w:val="24"/>
                <w:szCs w:val="24"/>
              </w:rPr>
              <w:t>2012/52 4.pants</w:t>
            </w:r>
          </w:p>
        </w:tc>
        <w:tc>
          <w:tcPr>
            <w:tcW w:w="3118" w:type="dxa"/>
            <w:gridSpan w:val="8"/>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F31B12" w:rsidRPr="00F058F8" w:rsidRDefault="00F31B12" w:rsidP="00F058F8">
            <w:pPr>
              <w:pStyle w:val="NoSpacing"/>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z w:val="24"/>
                <w:szCs w:val="24"/>
              </w:rPr>
            </w:pPr>
            <w:r w:rsidRPr="00F058F8">
              <w:rPr>
                <w:rFonts w:ascii="Times New Roman" w:hAnsi="Times New Roman"/>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F31B12"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F31B12" w:rsidRPr="00F058F8" w:rsidRDefault="001F5BBB" w:rsidP="00F058F8">
            <w:pPr>
              <w:pStyle w:val="NoSpacing"/>
              <w:rPr>
                <w:rFonts w:ascii="Times New Roman" w:hAnsi="Times New Roman"/>
                <w:i/>
                <w:spacing w:val="-3"/>
                <w:sz w:val="24"/>
                <w:szCs w:val="24"/>
              </w:rPr>
            </w:pPr>
            <w:r w:rsidRPr="00F058F8">
              <w:rPr>
                <w:rStyle w:val="Emphasis"/>
                <w:rFonts w:ascii="Times New Roman" w:hAnsi="Times New Roman"/>
                <w:i w:val="0"/>
                <w:sz w:val="24"/>
                <w:szCs w:val="24"/>
              </w:rPr>
              <w:t xml:space="preserve">Direktīva </w:t>
            </w:r>
            <w:r w:rsidR="00F31B12" w:rsidRPr="00F058F8">
              <w:rPr>
                <w:rStyle w:val="Emphasis"/>
                <w:rFonts w:ascii="Times New Roman" w:hAnsi="Times New Roman"/>
                <w:i w:val="0"/>
                <w:sz w:val="24"/>
                <w:szCs w:val="24"/>
              </w:rPr>
              <w:t>2012/52 5.pants</w:t>
            </w:r>
          </w:p>
        </w:tc>
        <w:tc>
          <w:tcPr>
            <w:tcW w:w="3118" w:type="dxa"/>
            <w:gridSpan w:val="8"/>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iCs/>
                <w:sz w:val="24"/>
                <w:szCs w:val="24"/>
              </w:rPr>
            </w:pPr>
            <w:r w:rsidRPr="00F058F8">
              <w:rPr>
                <w:rFonts w:ascii="Times New Roman" w:hAnsi="Times New Roman"/>
                <w:spacing w:val="-3"/>
                <w:sz w:val="24"/>
                <w:szCs w:val="24"/>
              </w:rPr>
              <w:t xml:space="preserve">Direktīvas norma tiks pārņemta pilnībā ar </w:t>
            </w:r>
            <w:r w:rsidRPr="00F058F8">
              <w:rPr>
                <w:rFonts w:ascii="Times New Roman" w:hAnsi="Times New Roman"/>
                <w:sz w:val="24"/>
                <w:szCs w:val="24"/>
              </w:rPr>
              <w:t>grozījumiem</w:t>
            </w:r>
          </w:p>
          <w:p w:rsidR="00F31B12" w:rsidRPr="00F058F8" w:rsidRDefault="00F31B12" w:rsidP="00F058F8">
            <w:pPr>
              <w:pStyle w:val="NoSpacing"/>
              <w:rPr>
                <w:rFonts w:ascii="Times New Roman" w:hAnsi="Times New Roman"/>
                <w:spacing w:val="-2"/>
                <w:sz w:val="24"/>
                <w:szCs w:val="24"/>
              </w:rPr>
            </w:pPr>
            <w:r w:rsidRPr="00F058F8">
              <w:rPr>
                <w:rFonts w:ascii="Times New Roman" w:hAnsi="Times New Roman"/>
                <w:iCs/>
                <w:sz w:val="24"/>
                <w:szCs w:val="24"/>
              </w:rPr>
              <w:t>MK noteikumos Nr.1046</w:t>
            </w:r>
          </w:p>
        </w:tc>
        <w:tc>
          <w:tcPr>
            <w:tcW w:w="2268" w:type="dxa"/>
            <w:gridSpan w:val="2"/>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z w:val="24"/>
                <w:szCs w:val="24"/>
              </w:rPr>
            </w:pPr>
            <w:r w:rsidRPr="00F058F8">
              <w:rPr>
                <w:rFonts w:ascii="Times New Roman" w:hAnsi="Times New Roman"/>
                <w:sz w:val="24"/>
                <w:szCs w:val="24"/>
              </w:rPr>
              <w:t>Nav</w:t>
            </w:r>
          </w:p>
        </w:tc>
        <w:tc>
          <w:tcPr>
            <w:tcW w:w="2126" w:type="dxa"/>
            <w:tcBorders>
              <w:top w:val="outset" w:sz="6" w:space="0" w:color="auto"/>
              <w:left w:val="outset" w:sz="6" w:space="0" w:color="auto"/>
              <w:bottom w:val="outset" w:sz="6" w:space="0" w:color="auto"/>
              <w:right w:val="outset" w:sz="6" w:space="0" w:color="auto"/>
            </w:tcBorders>
          </w:tcPr>
          <w:p w:rsidR="00F31B12" w:rsidRPr="00F058F8" w:rsidRDefault="00F31B12" w:rsidP="00F058F8">
            <w:pPr>
              <w:pStyle w:val="NoSpacing"/>
              <w:rPr>
                <w:rFonts w:ascii="Times New Roman" w:hAnsi="Times New Roman"/>
                <w:spacing w:val="-3"/>
                <w:sz w:val="24"/>
                <w:szCs w:val="24"/>
              </w:rPr>
            </w:pPr>
            <w:r w:rsidRPr="00F058F8">
              <w:rPr>
                <w:rFonts w:ascii="Times New Roman" w:hAnsi="Times New Roman"/>
                <w:spacing w:val="-3"/>
                <w:sz w:val="24"/>
                <w:szCs w:val="24"/>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733D9C" w:rsidRPr="001F5BBB" w:rsidRDefault="001F5BBB" w:rsidP="004628A9">
            <w:pPr>
              <w:spacing w:after="120"/>
              <w:ind w:left="57"/>
              <w:jc w:val="both"/>
              <w:rPr>
                <w:i/>
                <w:spacing w:val="-3"/>
                <w:lang w:val="lv-LV"/>
              </w:rPr>
            </w:pPr>
            <w:r w:rsidRPr="001F5BBB">
              <w:rPr>
                <w:rStyle w:val="Emphasis"/>
                <w:i w:val="0"/>
                <w:lang w:val="lv-LV"/>
              </w:rPr>
              <w:t xml:space="preserve">Direktīva </w:t>
            </w:r>
            <w:r w:rsidR="00733D9C" w:rsidRPr="001F5BBB">
              <w:rPr>
                <w:rStyle w:val="Emphasis"/>
                <w:i w:val="0"/>
                <w:lang w:val="lv-LV"/>
              </w:rPr>
              <w:t>2012/52 6.pants</w:t>
            </w:r>
          </w:p>
        </w:tc>
        <w:tc>
          <w:tcPr>
            <w:tcW w:w="3118" w:type="dxa"/>
            <w:gridSpan w:val="8"/>
            <w:tcBorders>
              <w:top w:val="outset" w:sz="6" w:space="0" w:color="auto"/>
              <w:left w:val="outset" w:sz="6" w:space="0" w:color="auto"/>
              <w:bottom w:val="outset" w:sz="6" w:space="0" w:color="auto"/>
              <w:right w:val="outset" w:sz="6" w:space="0" w:color="auto"/>
            </w:tcBorders>
          </w:tcPr>
          <w:p w:rsidR="00733D9C" w:rsidRPr="003415A9" w:rsidRDefault="00733D9C" w:rsidP="009E1D25">
            <w:pPr>
              <w:jc w:val="both"/>
              <w:rPr>
                <w:lang w:val="lv-LV" w:eastAsia="lv-LV"/>
              </w:rPr>
            </w:pPr>
            <w:r w:rsidRPr="003415A9">
              <w:rPr>
                <w:lang w:val="lv-LV" w:eastAsia="lv-LV"/>
              </w:rPr>
              <w:t>Nav</w:t>
            </w:r>
          </w:p>
        </w:tc>
        <w:tc>
          <w:tcPr>
            <w:tcW w:w="2268" w:type="dxa"/>
            <w:gridSpan w:val="2"/>
            <w:tcBorders>
              <w:top w:val="outset" w:sz="6" w:space="0" w:color="auto"/>
              <w:left w:val="outset" w:sz="6" w:space="0" w:color="auto"/>
              <w:bottom w:val="outset" w:sz="6" w:space="0" w:color="auto"/>
              <w:right w:val="outset" w:sz="6" w:space="0" w:color="auto"/>
            </w:tcBorders>
          </w:tcPr>
          <w:p w:rsidR="00733D9C" w:rsidRPr="003415A9" w:rsidRDefault="00733D9C" w:rsidP="009E1D25">
            <w:pPr>
              <w:rPr>
                <w:spacing w:val="-3"/>
                <w:lang w:val="lv-LV"/>
              </w:rPr>
            </w:pPr>
            <w:r w:rsidRPr="003415A9">
              <w:rPr>
                <w:spacing w:val="-3"/>
                <w:lang w:val="lv-LV"/>
              </w:rPr>
              <w:t>Nav jāpārņem, jo norma attiecas uz direktīvas spēkā stāšanos</w:t>
            </w:r>
          </w:p>
        </w:tc>
        <w:tc>
          <w:tcPr>
            <w:tcW w:w="2126" w:type="dxa"/>
            <w:tcBorders>
              <w:top w:val="outset" w:sz="6" w:space="0" w:color="auto"/>
              <w:left w:val="outset" w:sz="6" w:space="0" w:color="auto"/>
              <w:bottom w:val="outset" w:sz="6" w:space="0" w:color="auto"/>
              <w:right w:val="outset" w:sz="6" w:space="0" w:color="auto"/>
            </w:tcBorders>
          </w:tcPr>
          <w:p w:rsidR="00733D9C" w:rsidRPr="003415A9" w:rsidRDefault="00733D9C" w:rsidP="009E1D25">
            <w:pPr>
              <w:ind w:left="57"/>
              <w:jc w:val="both"/>
              <w:rPr>
                <w:spacing w:val="-3"/>
                <w:lang w:val="lv-LV"/>
              </w:rPr>
            </w:pPr>
            <w:r w:rsidRPr="003415A9">
              <w:rPr>
                <w:spacing w:val="-3"/>
                <w:lang w:val="lv-LV"/>
              </w:rPr>
              <w:t>Nav</w:t>
            </w:r>
          </w:p>
        </w:tc>
      </w:tr>
      <w:tr w:rsidR="003415A9"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45"/>
        </w:trPr>
        <w:tc>
          <w:tcPr>
            <w:tcW w:w="2128" w:type="dxa"/>
            <w:gridSpan w:val="9"/>
            <w:tcBorders>
              <w:top w:val="outset" w:sz="6" w:space="0" w:color="auto"/>
              <w:left w:val="outset" w:sz="6" w:space="0" w:color="auto"/>
              <w:bottom w:val="outset" w:sz="6" w:space="0" w:color="auto"/>
              <w:right w:val="outset" w:sz="6" w:space="0" w:color="auto"/>
            </w:tcBorders>
          </w:tcPr>
          <w:p w:rsidR="003415A9" w:rsidRPr="001F5BBB" w:rsidRDefault="001F5BBB" w:rsidP="009E1D25">
            <w:pPr>
              <w:spacing w:after="120"/>
              <w:ind w:left="57"/>
              <w:jc w:val="both"/>
              <w:rPr>
                <w:spacing w:val="-3"/>
                <w:lang w:val="lv-LV"/>
              </w:rPr>
            </w:pPr>
            <w:r w:rsidRPr="001F5BBB">
              <w:rPr>
                <w:spacing w:val="-3"/>
                <w:lang w:val="lv-LV"/>
              </w:rPr>
              <w:lastRenderedPageBreak/>
              <w:t xml:space="preserve">Direktīva </w:t>
            </w:r>
            <w:r w:rsidR="003415A9" w:rsidRPr="001F5BBB">
              <w:rPr>
                <w:spacing w:val="-3"/>
                <w:lang w:val="lv-LV"/>
              </w:rPr>
              <w:t>2012/52</w:t>
            </w:r>
          </w:p>
          <w:p w:rsidR="003415A9" w:rsidRPr="00B41A44" w:rsidRDefault="003415A9" w:rsidP="009E1D25">
            <w:r w:rsidRPr="001F5BBB">
              <w:rPr>
                <w:spacing w:val="-3"/>
                <w:lang w:val="lv-LV"/>
              </w:rPr>
              <w:t>Pielikums</w:t>
            </w:r>
          </w:p>
        </w:tc>
        <w:tc>
          <w:tcPr>
            <w:tcW w:w="3118" w:type="dxa"/>
            <w:gridSpan w:val="8"/>
            <w:tcBorders>
              <w:top w:val="outset" w:sz="6" w:space="0" w:color="auto"/>
              <w:left w:val="outset" w:sz="6" w:space="0" w:color="auto"/>
              <w:bottom w:val="outset" w:sz="6" w:space="0" w:color="auto"/>
              <w:right w:val="outset" w:sz="6" w:space="0" w:color="auto"/>
            </w:tcBorders>
          </w:tcPr>
          <w:p w:rsidR="003415A9" w:rsidRDefault="002401F9" w:rsidP="009E1D25">
            <w:pPr>
              <w:ind w:left="57"/>
            </w:pPr>
            <w:r>
              <w:rPr>
                <w:spacing w:val="-3"/>
              </w:rPr>
              <w:t>25</w:t>
            </w:r>
            <w:r w:rsidR="003415A9">
              <w:rPr>
                <w:spacing w:val="-3"/>
              </w:rPr>
              <w:t>.punkts</w:t>
            </w:r>
          </w:p>
          <w:p w:rsidR="003415A9" w:rsidRPr="003415A9" w:rsidRDefault="003415A9" w:rsidP="00F31B12">
            <w:pPr>
              <w:ind w:left="57"/>
              <w:rPr>
                <w:spacing w:val="-3"/>
                <w:lang w:val="lv-LV"/>
              </w:rPr>
            </w:pPr>
          </w:p>
          <w:p w:rsidR="003415A9" w:rsidRPr="003415A9" w:rsidRDefault="003415A9" w:rsidP="00F31B12">
            <w:pPr>
              <w:ind w:left="57"/>
              <w:rPr>
                <w:spacing w:val="-3"/>
                <w:lang w:val="lv-LV"/>
              </w:rPr>
            </w:pPr>
            <w:r w:rsidRPr="003415A9">
              <w:rPr>
                <w:spacing w:val="-3"/>
                <w:lang w:val="lv-LV"/>
              </w:rPr>
              <w:t>Direktīvas norma tiks pārņemta pilnībā ar grozījumiem</w:t>
            </w:r>
          </w:p>
          <w:p w:rsidR="003415A9" w:rsidRDefault="003415A9" w:rsidP="00F31B12">
            <w:pPr>
              <w:ind w:left="57"/>
              <w:rPr>
                <w:lang w:eastAsia="lv-LV"/>
              </w:rPr>
            </w:pPr>
            <w:r w:rsidRPr="003415A9">
              <w:rPr>
                <w:spacing w:val="-3"/>
                <w:lang w:val="lv-LV"/>
              </w:rPr>
              <w:t>MK</w:t>
            </w:r>
            <w:r w:rsidRPr="003415A9">
              <w:rPr>
                <w:lang w:val="lv-LV"/>
              </w:rPr>
              <w:t xml:space="preserve"> noteikumos Nr.175</w:t>
            </w:r>
          </w:p>
        </w:tc>
        <w:tc>
          <w:tcPr>
            <w:tcW w:w="2268" w:type="dxa"/>
            <w:gridSpan w:val="2"/>
            <w:tcBorders>
              <w:top w:val="outset" w:sz="6" w:space="0" w:color="auto"/>
              <w:left w:val="outset" w:sz="6" w:space="0" w:color="auto"/>
              <w:bottom w:val="outset" w:sz="6" w:space="0" w:color="auto"/>
              <w:right w:val="outset" w:sz="6" w:space="0" w:color="auto"/>
            </w:tcBorders>
          </w:tcPr>
          <w:p w:rsidR="003415A9" w:rsidRPr="003415A9" w:rsidRDefault="003415A9" w:rsidP="00B66E7C">
            <w:pPr>
              <w:rPr>
                <w:spacing w:val="-3"/>
                <w:lang w:val="lv-LV"/>
              </w:rPr>
            </w:pPr>
            <w:r w:rsidRPr="003415A9">
              <w:rPr>
                <w:spacing w:val="-3"/>
                <w:lang w:val="lv-LV"/>
              </w:rPr>
              <w:t>Direktīvas norma pārņemta daļēji</w:t>
            </w:r>
          </w:p>
        </w:tc>
        <w:tc>
          <w:tcPr>
            <w:tcW w:w="2126" w:type="dxa"/>
            <w:tcBorders>
              <w:top w:val="outset" w:sz="6" w:space="0" w:color="auto"/>
              <w:left w:val="outset" w:sz="6" w:space="0" w:color="auto"/>
              <w:bottom w:val="outset" w:sz="6" w:space="0" w:color="auto"/>
              <w:right w:val="outset" w:sz="6" w:space="0" w:color="auto"/>
            </w:tcBorders>
          </w:tcPr>
          <w:p w:rsidR="003415A9" w:rsidRPr="003415A9" w:rsidRDefault="003415A9" w:rsidP="00B66E7C">
            <w:pPr>
              <w:ind w:left="57"/>
              <w:jc w:val="both"/>
              <w:rPr>
                <w:spacing w:val="-3"/>
                <w:lang w:val="lv-LV"/>
              </w:rPr>
            </w:pPr>
            <w:r w:rsidRPr="003415A9">
              <w:rPr>
                <w:spacing w:val="-3"/>
                <w:lang w:val="lv-LV"/>
              </w:rPr>
              <w:t>Nav</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281"/>
        </w:trPr>
        <w:tc>
          <w:tcPr>
            <w:tcW w:w="2128" w:type="dxa"/>
            <w:gridSpan w:val="9"/>
            <w:tcBorders>
              <w:top w:val="outset" w:sz="6" w:space="0" w:color="auto"/>
              <w:left w:val="outset" w:sz="6" w:space="0" w:color="auto"/>
              <w:bottom w:val="outset" w:sz="6" w:space="0" w:color="auto"/>
              <w:right w:val="outset" w:sz="6" w:space="0" w:color="auto"/>
            </w:tcBorders>
          </w:tcPr>
          <w:p w:rsidR="00733D9C" w:rsidRPr="00787913" w:rsidRDefault="00733D9C" w:rsidP="00776FAA">
            <w:pPr>
              <w:ind w:left="57"/>
              <w:rPr>
                <w:spacing w:val="-3"/>
                <w:lang w:val="lv-LV"/>
              </w:rPr>
            </w:pPr>
            <w:r w:rsidRPr="00787913">
              <w:rPr>
                <w:spacing w:val="-3"/>
                <w:lang w:val="lv-LV"/>
              </w:rPr>
              <w:t>Kā ir izmantota ES tiesību aktā paredzētā rīcības brīvība dalībvalstij pārņemt vai ieviest noteiktas ES tiesību akta normas?</w:t>
            </w:r>
          </w:p>
          <w:p w:rsidR="00733D9C" w:rsidRPr="00787913" w:rsidRDefault="00733D9C" w:rsidP="00776FAA">
            <w:pPr>
              <w:ind w:left="57"/>
              <w:rPr>
                <w:spacing w:val="-3"/>
                <w:lang w:val="lv-LV"/>
              </w:rPr>
            </w:pPr>
            <w:r w:rsidRPr="00787913">
              <w:rPr>
                <w:spacing w:val="-3"/>
                <w:lang w:val="lv-LV"/>
              </w:rPr>
              <w:t>Kādēļ?</w:t>
            </w:r>
          </w:p>
        </w:tc>
        <w:tc>
          <w:tcPr>
            <w:tcW w:w="7512" w:type="dxa"/>
            <w:gridSpan w:val="11"/>
            <w:tcBorders>
              <w:top w:val="outset" w:sz="6" w:space="0" w:color="auto"/>
              <w:left w:val="outset" w:sz="6" w:space="0" w:color="auto"/>
              <w:bottom w:val="outset" w:sz="6" w:space="0" w:color="auto"/>
              <w:right w:val="outset" w:sz="6" w:space="0" w:color="auto"/>
            </w:tcBorders>
          </w:tcPr>
          <w:p w:rsidR="00733D9C" w:rsidRPr="00787913" w:rsidRDefault="00B15A79" w:rsidP="00BF02CE">
            <w:pPr>
              <w:ind w:left="57"/>
              <w:jc w:val="both"/>
              <w:rPr>
                <w:lang w:val="lv-LV"/>
              </w:rPr>
            </w:pPr>
            <w:r w:rsidRPr="00787913">
              <w:rPr>
                <w:lang w:val="lv-LV"/>
              </w:rPr>
              <w:t>Projekts šo jomu neskar</w:t>
            </w:r>
          </w:p>
        </w:tc>
      </w:tr>
      <w:tr w:rsidR="00733D9C" w:rsidRPr="00747589"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913"/>
        </w:trPr>
        <w:tc>
          <w:tcPr>
            <w:tcW w:w="2128" w:type="dxa"/>
            <w:gridSpan w:val="9"/>
            <w:tcBorders>
              <w:top w:val="outset" w:sz="6" w:space="0" w:color="auto"/>
              <w:left w:val="outset" w:sz="6" w:space="0" w:color="auto"/>
              <w:bottom w:val="outset" w:sz="6" w:space="0" w:color="auto"/>
              <w:right w:val="outset" w:sz="6" w:space="0" w:color="auto"/>
            </w:tcBorders>
          </w:tcPr>
          <w:p w:rsidR="00733D9C" w:rsidRPr="00787913" w:rsidRDefault="00733D9C" w:rsidP="00776FAA">
            <w:pPr>
              <w:ind w:left="57"/>
              <w:rPr>
                <w:spacing w:val="-3"/>
                <w:lang w:val="lv-LV"/>
              </w:rPr>
            </w:pPr>
            <w:r w:rsidRPr="00787913">
              <w:rPr>
                <w:spacing w:val="-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12" w:type="dxa"/>
            <w:gridSpan w:val="11"/>
            <w:tcBorders>
              <w:top w:val="outset" w:sz="6" w:space="0" w:color="auto"/>
              <w:left w:val="outset" w:sz="6" w:space="0" w:color="auto"/>
              <w:bottom w:val="outset" w:sz="6" w:space="0" w:color="auto"/>
              <w:right w:val="outset" w:sz="6" w:space="0" w:color="auto"/>
            </w:tcBorders>
          </w:tcPr>
          <w:p w:rsidR="00733D9C" w:rsidRPr="00747589" w:rsidRDefault="007E29C6" w:rsidP="003E19B8">
            <w:pPr>
              <w:ind w:left="57"/>
              <w:jc w:val="both"/>
              <w:rPr>
                <w:lang w:val="lv-LV"/>
              </w:rPr>
            </w:pPr>
            <w:r w:rsidRPr="00787913">
              <w:rPr>
                <w:lang w:val="lv-LV"/>
              </w:rPr>
              <w:t>Projekts šo jomu neskar</w:t>
            </w:r>
          </w:p>
        </w:tc>
      </w:tr>
      <w:tr w:rsidR="00733D9C" w:rsidRPr="00787913" w:rsidTr="007366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After w:val="1"/>
          <w:wAfter w:w="152" w:type="dxa"/>
          <w:cantSplit/>
          <w:trHeight w:val="579"/>
        </w:trPr>
        <w:tc>
          <w:tcPr>
            <w:tcW w:w="2128" w:type="dxa"/>
            <w:gridSpan w:val="9"/>
            <w:tcBorders>
              <w:top w:val="outset" w:sz="6" w:space="0" w:color="auto"/>
              <w:left w:val="outset" w:sz="6" w:space="0" w:color="auto"/>
              <w:bottom w:val="outset" w:sz="6" w:space="0" w:color="auto"/>
              <w:right w:val="outset" w:sz="6" w:space="0" w:color="auto"/>
            </w:tcBorders>
          </w:tcPr>
          <w:p w:rsidR="00733D9C" w:rsidRPr="00787913" w:rsidRDefault="00733D9C" w:rsidP="00776FAA">
            <w:pPr>
              <w:ind w:left="57"/>
              <w:rPr>
                <w:lang w:val="lv-LV"/>
              </w:rPr>
            </w:pPr>
            <w:r w:rsidRPr="00787913">
              <w:rPr>
                <w:lang w:val="lv-LV"/>
              </w:rPr>
              <w:t>Cita informācija</w:t>
            </w:r>
          </w:p>
        </w:tc>
        <w:tc>
          <w:tcPr>
            <w:tcW w:w="7512" w:type="dxa"/>
            <w:gridSpan w:val="11"/>
            <w:tcBorders>
              <w:top w:val="outset" w:sz="6" w:space="0" w:color="auto"/>
              <w:left w:val="outset" w:sz="6" w:space="0" w:color="auto"/>
              <w:bottom w:val="outset" w:sz="6" w:space="0" w:color="auto"/>
              <w:right w:val="outset" w:sz="6" w:space="0" w:color="auto"/>
            </w:tcBorders>
          </w:tcPr>
          <w:p w:rsidR="00733D9C" w:rsidRPr="00277B61" w:rsidRDefault="001B7878" w:rsidP="001B7878">
            <w:pPr>
              <w:rPr>
                <w:lang w:val="lv-LV"/>
              </w:rPr>
            </w:pPr>
            <w:r>
              <w:rPr>
                <w:lang w:val="lv-LV"/>
              </w:rPr>
              <w:t>Nav</w:t>
            </w:r>
          </w:p>
        </w:tc>
      </w:tr>
      <w:tr w:rsidR="00733D9C" w:rsidRPr="00787913" w:rsidTr="00736685">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gridAfter w:val="1"/>
          <w:wAfter w:w="152" w:type="dxa"/>
          <w:tblCellSpacing w:w="0" w:type="dxa"/>
        </w:trPr>
        <w:tc>
          <w:tcPr>
            <w:tcW w:w="9640" w:type="dxa"/>
            <w:gridSpan w:val="20"/>
            <w:tcBorders>
              <w:top w:val="single" w:sz="4" w:space="0" w:color="auto"/>
              <w:left w:val="single" w:sz="4" w:space="0" w:color="auto"/>
              <w:bottom w:val="single" w:sz="4" w:space="0" w:color="auto"/>
              <w:right w:val="single" w:sz="4" w:space="0" w:color="auto"/>
            </w:tcBorders>
          </w:tcPr>
          <w:p w:rsidR="00733D9C" w:rsidRPr="00787913" w:rsidRDefault="00733D9C" w:rsidP="00776FAA">
            <w:pPr>
              <w:pStyle w:val="naisf"/>
              <w:jc w:val="center"/>
              <w:rPr>
                <w:b/>
                <w:lang w:val="lv-LV"/>
              </w:rPr>
            </w:pPr>
            <w:r w:rsidRPr="00787913">
              <w:rPr>
                <w:b/>
                <w:lang w:val="lv-LV"/>
              </w:rPr>
              <w:t>2.tabula</w:t>
            </w:r>
          </w:p>
          <w:p w:rsidR="00733D9C" w:rsidRPr="00787913" w:rsidRDefault="00733D9C" w:rsidP="00776FAA">
            <w:pPr>
              <w:pStyle w:val="naisf"/>
              <w:jc w:val="center"/>
              <w:rPr>
                <w:b/>
                <w:lang w:val="lv-LV"/>
              </w:rPr>
            </w:pPr>
            <w:r w:rsidRPr="00787913">
              <w:rPr>
                <w:b/>
                <w:lang w:val="lv-LV"/>
              </w:rPr>
              <w:t>Ar tiesību akta projektu izpildītās vai uzņemtās saistības, kas izriet no starptautiskajiem tiesību aktiem vai starptautiskas institūcijas vai organizācijas dokumentiem.</w:t>
            </w:r>
          </w:p>
          <w:p w:rsidR="00733D9C" w:rsidRPr="00787913" w:rsidRDefault="00733D9C" w:rsidP="00776FAA">
            <w:pPr>
              <w:pStyle w:val="naisc"/>
              <w:rPr>
                <w:b/>
                <w:bCs/>
              </w:rPr>
            </w:pPr>
            <w:r w:rsidRPr="00787913">
              <w:rPr>
                <w:b/>
              </w:rPr>
              <w:t>Pasākumi šo saistību izpildei</w:t>
            </w:r>
          </w:p>
        </w:tc>
      </w:tr>
      <w:tr w:rsidR="00733D9C" w:rsidRPr="00787913" w:rsidTr="00736685">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gridAfter w:val="1"/>
          <w:wAfter w:w="152" w:type="dxa"/>
          <w:trHeight w:val="694"/>
          <w:tblCellSpacing w:w="0" w:type="dxa"/>
        </w:trPr>
        <w:tc>
          <w:tcPr>
            <w:tcW w:w="2552" w:type="dxa"/>
            <w:gridSpan w:val="11"/>
            <w:tcBorders>
              <w:top w:val="single" w:sz="4" w:space="0" w:color="auto"/>
              <w:left w:val="single" w:sz="4" w:space="0" w:color="auto"/>
              <w:bottom w:val="outset" w:sz="6" w:space="0" w:color="auto"/>
              <w:right w:val="outset" w:sz="6" w:space="0" w:color="auto"/>
            </w:tcBorders>
            <w:vAlign w:val="center"/>
          </w:tcPr>
          <w:p w:rsidR="00733D9C" w:rsidRPr="00787913" w:rsidRDefault="00733D9C" w:rsidP="00776FAA">
            <w:pPr>
              <w:pStyle w:val="naisf"/>
              <w:rPr>
                <w:spacing w:val="-6"/>
                <w:lang w:val="lv-LV"/>
              </w:rPr>
            </w:pPr>
            <w:r w:rsidRPr="00787913">
              <w:rPr>
                <w:spacing w:val="-6"/>
                <w:lang w:val="lv-LV"/>
              </w:rPr>
              <w:t>Attiecīgā starptautiskā tiesību akta vai starptautiskas institūcijas vai organizācijas dokumenta (turpmāk – starptautiskais dokuments) datums, numurs un nosaukums</w:t>
            </w:r>
          </w:p>
        </w:tc>
        <w:tc>
          <w:tcPr>
            <w:tcW w:w="7088" w:type="dxa"/>
            <w:gridSpan w:val="9"/>
            <w:tcBorders>
              <w:top w:val="single" w:sz="4" w:space="0" w:color="auto"/>
              <w:left w:val="outset" w:sz="6" w:space="0" w:color="auto"/>
              <w:bottom w:val="outset" w:sz="6" w:space="0" w:color="auto"/>
              <w:right w:val="single" w:sz="4" w:space="0" w:color="auto"/>
            </w:tcBorders>
          </w:tcPr>
          <w:p w:rsidR="00733D9C" w:rsidRPr="00787913" w:rsidRDefault="00733D9C" w:rsidP="00776FAA">
            <w:pPr>
              <w:pStyle w:val="naisf"/>
              <w:rPr>
                <w:lang w:val="lv-LV"/>
              </w:rPr>
            </w:pPr>
            <w:r w:rsidRPr="00787913">
              <w:rPr>
                <w:lang w:val="lv-LV"/>
              </w:rPr>
              <w:t>Projekts šo jomu neskar</w:t>
            </w:r>
          </w:p>
        </w:tc>
      </w:tr>
      <w:tr w:rsidR="00733D9C" w:rsidRPr="00787913" w:rsidTr="00736685">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gridAfter w:val="1"/>
          <w:wAfter w:w="152" w:type="dxa"/>
          <w:trHeight w:val="380"/>
          <w:tblCellSpacing w:w="0" w:type="dxa"/>
        </w:trPr>
        <w:tc>
          <w:tcPr>
            <w:tcW w:w="2552" w:type="dxa"/>
            <w:gridSpan w:val="11"/>
            <w:tcBorders>
              <w:top w:val="outset" w:sz="6" w:space="0" w:color="auto"/>
              <w:left w:val="single" w:sz="4" w:space="0" w:color="auto"/>
              <w:bottom w:val="outset" w:sz="6" w:space="0" w:color="auto"/>
              <w:right w:val="outset" w:sz="6" w:space="0" w:color="auto"/>
            </w:tcBorders>
            <w:vAlign w:val="center"/>
          </w:tcPr>
          <w:p w:rsidR="00733D9C" w:rsidRPr="00787913" w:rsidRDefault="00733D9C" w:rsidP="00776FAA">
            <w:pPr>
              <w:pStyle w:val="naisf"/>
              <w:ind w:firstLine="115"/>
              <w:rPr>
                <w:lang w:val="lv-LV"/>
              </w:rPr>
            </w:pPr>
            <w:r w:rsidRPr="00787913">
              <w:rPr>
                <w:lang w:val="lv-LV"/>
              </w:rPr>
              <w:lastRenderedPageBreak/>
              <w:t>A</w:t>
            </w:r>
          </w:p>
        </w:tc>
        <w:tc>
          <w:tcPr>
            <w:tcW w:w="2202" w:type="dxa"/>
            <w:gridSpan w:val="5"/>
            <w:tcBorders>
              <w:top w:val="outset" w:sz="6" w:space="0" w:color="auto"/>
              <w:left w:val="outset" w:sz="6" w:space="0" w:color="auto"/>
              <w:bottom w:val="outset" w:sz="6" w:space="0" w:color="auto"/>
              <w:right w:val="outset" w:sz="6" w:space="0" w:color="auto"/>
            </w:tcBorders>
            <w:vAlign w:val="center"/>
          </w:tcPr>
          <w:p w:rsidR="00733D9C" w:rsidRPr="00787913" w:rsidRDefault="00733D9C" w:rsidP="00776FAA">
            <w:pPr>
              <w:pStyle w:val="naisf"/>
              <w:ind w:firstLine="127"/>
              <w:rPr>
                <w:lang w:val="lv-LV"/>
              </w:rPr>
            </w:pPr>
            <w:r w:rsidRPr="00787913">
              <w:rPr>
                <w:lang w:val="lv-LV"/>
              </w:rPr>
              <w:t>B</w:t>
            </w:r>
          </w:p>
        </w:tc>
        <w:tc>
          <w:tcPr>
            <w:tcW w:w="4886" w:type="dxa"/>
            <w:gridSpan w:val="4"/>
            <w:tcBorders>
              <w:top w:val="outset" w:sz="6" w:space="0" w:color="auto"/>
              <w:left w:val="outset" w:sz="6" w:space="0" w:color="auto"/>
              <w:bottom w:val="outset" w:sz="6" w:space="0" w:color="auto"/>
              <w:right w:val="single" w:sz="4" w:space="0" w:color="auto"/>
            </w:tcBorders>
            <w:vAlign w:val="center"/>
          </w:tcPr>
          <w:p w:rsidR="00733D9C" w:rsidRPr="00787913" w:rsidRDefault="00733D9C" w:rsidP="00776FAA">
            <w:pPr>
              <w:pStyle w:val="naisf"/>
              <w:ind w:firstLine="127"/>
              <w:rPr>
                <w:lang w:val="lv-LV"/>
              </w:rPr>
            </w:pPr>
            <w:r w:rsidRPr="00787913">
              <w:rPr>
                <w:lang w:val="lv-LV"/>
              </w:rPr>
              <w:t>C</w:t>
            </w:r>
          </w:p>
        </w:tc>
      </w:tr>
      <w:tr w:rsidR="00733D9C" w:rsidRPr="00787913" w:rsidTr="00736685">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gridAfter w:val="1"/>
          <w:wAfter w:w="152" w:type="dxa"/>
          <w:trHeight w:val="694"/>
          <w:tblCellSpacing w:w="0" w:type="dxa"/>
        </w:trPr>
        <w:tc>
          <w:tcPr>
            <w:tcW w:w="2552" w:type="dxa"/>
            <w:gridSpan w:val="11"/>
            <w:tcBorders>
              <w:top w:val="outset" w:sz="6" w:space="0" w:color="auto"/>
              <w:left w:val="single" w:sz="4" w:space="0" w:color="auto"/>
              <w:bottom w:val="single" w:sz="4" w:space="0" w:color="auto"/>
              <w:right w:val="outset" w:sz="6" w:space="0" w:color="auto"/>
            </w:tcBorders>
          </w:tcPr>
          <w:p w:rsidR="00733D9C" w:rsidRPr="00787913" w:rsidRDefault="00733D9C" w:rsidP="00776FAA">
            <w:pPr>
              <w:pStyle w:val="naisf"/>
              <w:rPr>
                <w:spacing w:val="-6"/>
                <w:lang w:val="lv-LV"/>
              </w:rPr>
            </w:pPr>
            <w:r w:rsidRPr="00787913">
              <w:rPr>
                <w:spacing w:val="-6"/>
                <w:lang w:val="lv-LV"/>
              </w:rPr>
              <w:t>Starptautiskās saistības (pēc būtības), kas izriet no norādītā starptautiskā dokumenta.</w:t>
            </w:r>
          </w:p>
          <w:p w:rsidR="00733D9C" w:rsidRPr="00787913" w:rsidRDefault="00733D9C" w:rsidP="00776FAA">
            <w:pPr>
              <w:pStyle w:val="naisf"/>
              <w:rPr>
                <w:spacing w:val="-6"/>
                <w:lang w:val="lv-LV"/>
              </w:rPr>
            </w:pPr>
            <w:r w:rsidRPr="00787913">
              <w:rPr>
                <w:spacing w:val="-6"/>
                <w:lang w:val="lv-LV"/>
              </w:rPr>
              <w:t>Konkrēti veicamie pasākumi vai uzdevumi, kas nepieciešami šo starptautisko saistību izpildei</w:t>
            </w:r>
          </w:p>
        </w:tc>
        <w:tc>
          <w:tcPr>
            <w:tcW w:w="2202" w:type="dxa"/>
            <w:gridSpan w:val="5"/>
            <w:tcBorders>
              <w:top w:val="outset" w:sz="6" w:space="0" w:color="auto"/>
              <w:left w:val="outset" w:sz="6" w:space="0" w:color="auto"/>
              <w:bottom w:val="single" w:sz="4" w:space="0" w:color="auto"/>
              <w:right w:val="outset" w:sz="6" w:space="0" w:color="auto"/>
            </w:tcBorders>
          </w:tcPr>
          <w:p w:rsidR="00733D9C" w:rsidRPr="00787913" w:rsidRDefault="00733D9C" w:rsidP="00776FAA">
            <w:pPr>
              <w:pStyle w:val="naisf"/>
              <w:rPr>
                <w:spacing w:val="-6"/>
                <w:lang w:val="lv-LV"/>
              </w:rPr>
            </w:pPr>
            <w:r w:rsidRPr="00787913">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886" w:type="dxa"/>
            <w:gridSpan w:val="4"/>
            <w:tcBorders>
              <w:top w:val="outset" w:sz="6" w:space="0" w:color="auto"/>
              <w:left w:val="outset" w:sz="6" w:space="0" w:color="auto"/>
              <w:bottom w:val="single" w:sz="4" w:space="0" w:color="auto"/>
              <w:right w:val="single" w:sz="4" w:space="0" w:color="auto"/>
            </w:tcBorders>
          </w:tcPr>
          <w:p w:rsidR="00733D9C" w:rsidRPr="00787913" w:rsidRDefault="00733D9C" w:rsidP="00776FAA">
            <w:pPr>
              <w:pStyle w:val="naisf"/>
              <w:rPr>
                <w:spacing w:val="-6"/>
                <w:lang w:val="lv-LV"/>
              </w:rPr>
            </w:pPr>
            <w:r w:rsidRPr="00787913">
              <w:rPr>
                <w:spacing w:val="-6"/>
                <w:lang w:val="lv-LV"/>
              </w:rPr>
              <w:t>Informācija par to, vai starptautiskās saistības, kas minētas šīs tabulas A ailē, tiek izpildītas pilnībā vai daļēji.</w:t>
            </w:r>
          </w:p>
          <w:p w:rsidR="00733D9C" w:rsidRPr="00787913" w:rsidRDefault="00733D9C" w:rsidP="00776FAA">
            <w:pPr>
              <w:pStyle w:val="naisf"/>
              <w:rPr>
                <w:spacing w:val="-6"/>
                <w:lang w:val="lv-LV"/>
              </w:rPr>
            </w:pPr>
            <w:r w:rsidRPr="00787913">
              <w:rPr>
                <w:spacing w:val="-6"/>
                <w:lang w:val="lv-LV"/>
              </w:rPr>
              <w:t>Ja attiecīgās starptautiskās saistības tiek izpildītas daļēji, sniedz attiecīgu skaidrojumu, kā arī precīzi norāda, kad un kādā veidā starptautiskās saistības tiks izpildītas pilnībā.</w:t>
            </w:r>
          </w:p>
          <w:p w:rsidR="00733D9C" w:rsidRPr="00787913" w:rsidRDefault="00733D9C" w:rsidP="00776FAA">
            <w:pPr>
              <w:pStyle w:val="naisf"/>
              <w:rPr>
                <w:spacing w:val="-6"/>
                <w:lang w:val="lv-LV"/>
              </w:rPr>
            </w:pPr>
            <w:r w:rsidRPr="00787913">
              <w:rPr>
                <w:spacing w:val="-6"/>
                <w:lang w:val="lv-LV"/>
              </w:rPr>
              <w:t>Norāda institūciju, kas ir atbildīga par šo saistību izpildi pilnībā</w:t>
            </w:r>
          </w:p>
        </w:tc>
      </w:tr>
      <w:tr w:rsidR="00733D9C" w:rsidRPr="00787913" w:rsidTr="00736685">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gridAfter w:val="1"/>
          <w:wAfter w:w="152" w:type="dxa"/>
          <w:trHeight w:val="411"/>
          <w:tblCellSpacing w:w="0" w:type="dxa"/>
        </w:trPr>
        <w:tc>
          <w:tcPr>
            <w:tcW w:w="2552" w:type="dxa"/>
            <w:gridSpan w:val="11"/>
            <w:tcBorders>
              <w:top w:val="outset" w:sz="6" w:space="0" w:color="auto"/>
              <w:left w:val="outset" w:sz="6" w:space="0" w:color="auto"/>
              <w:bottom w:val="outset" w:sz="6" w:space="0" w:color="auto"/>
              <w:right w:val="outset" w:sz="6" w:space="0" w:color="auto"/>
            </w:tcBorders>
          </w:tcPr>
          <w:p w:rsidR="00733D9C" w:rsidRPr="00787913" w:rsidRDefault="00733D9C" w:rsidP="00776FAA">
            <w:pPr>
              <w:pStyle w:val="naisf"/>
              <w:rPr>
                <w:lang w:val="lv-LV"/>
              </w:rPr>
            </w:pPr>
            <w:r w:rsidRPr="00787913">
              <w:rPr>
                <w:lang w:val="lv-LV"/>
              </w:rPr>
              <w:t>Nav</w:t>
            </w:r>
          </w:p>
        </w:tc>
        <w:tc>
          <w:tcPr>
            <w:tcW w:w="2202" w:type="dxa"/>
            <w:gridSpan w:val="5"/>
            <w:tcBorders>
              <w:top w:val="outset" w:sz="6" w:space="0" w:color="auto"/>
              <w:left w:val="outset" w:sz="6" w:space="0" w:color="auto"/>
              <w:bottom w:val="outset" w:sz="6" w:space="0" w:color="auto"/>
              <w:right w:val="outset" w:sz="6" w:space="0" w:color="auto"/>
            </w:tcBorders>
          </w:tcPr>
          <w:p w:rsidR="00733D9C" w:rsidRPr="00787913" w:rsidRDefault="00733D9C" w:rsidP="00776FAA">
            <w:pPr>
              <w:pStyle w:val="naisf"/>
              <w:rPr>
                <w:lang w:val="lv-LV"/>
              </w:rPr>
            </w:pPr>
            <w:r w:rsidRPr="00787913">
              <w:rPr>
                <w:lang w:val="lv-LV"/>
              </w:rPr>
              <w:t>Nav</w:t>
            </w:r>
          </w:p>
        </w:tc>
        <w:tc>
          <w:tcPr>
            <w:tcW w:w="4886" w:type="dxa"/>
            <w:gridSpan w:val="4"/>
            <w:tcBorders>
              <w:top w:val="outset" w:sz="6" w:space="0" w:color="auto"/>
              <w:left w:val="outset" w:sz="6" w:space="0" w:color="auto"/>
              <w:bottom w:val="outset" w:sz="6" w:space="0" w:color="auto"/>
              <w:right w:val="outset" w:sz="6" w:space="0" w:color="auto"/>
            </w:tcBorders>
          </w:tcPr>
          <w:p w:rsidR="00733D9C" w:rsidRPr="00787913" w:rsidRDefault="00733D9C" w:rsidP="00776FAA">
            <w:pPr>
              <w:pStyle w:val="naisf"/>
              <w:rPr>
                <w:lang w:val="lv-LV"/>
              </w:rPr>
            </w:pPr>
            <w:r w:rsidRPr="00787913">
              <w:rPr>
                <w:lang w:val="lv-LV"/>
              </w:rPr>
              <w:t>Nav</w:t>
            </w:r>
          </w:p>
        </w:tc>
      </w:tr>
      <w:tr w:rsidR="00733D9C" w:rsidRPr="00787913" w:rsidTr="00736685">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gridAfter w:val="1"/>
          <w:wAfter w:w="152" w:type="dxa"/>
          <w:trHeight w:val="694"/>
          <w:tblCellSpacing w:w="0" w:type="dxa"/>
        </w:trPr>
        <w:tc>
          <w:tcPr>
            <w:tcW w:w="2552" w:type="dxa"/>
            <w:gridSpan w:val="11"/>
            <w:tcBorders>
              <w:top w:val="outset" w:sz="6" w:space="0" w:color="auto"/>
              <w:left w:val="outset" w:sz="6" w:space="0" w:color="auto"/>
              <w:bottom w:val="outset" w:sz="6" w:space="0" w:color="auto"/>
              <w:right w:val="outset" w:sz="6" w:space="0" w:color="auto"/>
            </w:tcBorders>
          </w:tcPr>
          <w:p w:rsidR="00733D9C" w:rsidRPr="00787913" w:rsidRDefault="00733D9C" w:rsidP="00776FAA">
            <w:pPr>
              <w:pStyle w:val="naisf"/>
              <w:rPr>
                <w:spacing w:val="6"/>
                <w:lang w:val="lv-LV"/>
              </w:rPr>
            </w:pPr>
            <w:r w:rsidRPr="00787913">
              <w:rPr>
                <w:spacing w:val="6"/>
                <w:lang w:val="lv-LV"/>
              </w:rPr>
              <w:t>Vai starptautiskajā dokumentā paredzētās saistības nav pretrunā ar jau esošajām Latvijas Republikas starptautiskajām saistībām</w:t>
            </w:r>
          </w:p>
        </w:tc>
        <w:tc>
          <w:tcPr>
            <w:tcW w:w="7088" w:type="dxa"/>
            <w:gridSpan w:val="9"/>
            <w:tcBorders>
              <w:top w:val="outset" w:sz="6" w:space="0" w:color="auto"/>
              <w:left w:val="outset" w:sz="6" w:space="0" w:color="auto"/>
              <w:bottom w:val="outset" w:sz="6" w:space="0" w:color="auto"/>
              <w:right w:val="outset" w:sz="6" w:space="0" w:color="auto"/>
            </w:tcBorders>
          </w:tcPr>
          <w:p w:rsidR="00733D9C" w:rsidRPr="00787913" w:rsidRDefault="00733D9C" w:rsidP="00776FAA">
            <w:pPr>
              <w:pStyle w:val="naisf"/>
              <w:rPr>
                <w:lang w:val="lv-LV"/>
              </w:rPr>
            </w:pPr>
            <w:r w:rsidRPr="00787913">
              <w:rPr>
                <w:lang w:val="lv-LV"/>
              </w:rPr>
              <w:t>Projekts šo jomu neskar</w:t>
            </w:r>
          </w:p>
        </w:tc>
      </w:tr>
      <w:tr w:rsidR="00733D9C" w:rsidRPr="00787913" w:rsidTr="00736685">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gridAfter w:val="1"/>
          <w:wAfter w:w="152" w:type="dxa"/>
          <w:trHeight w:val="694"/>
          <w:tblCellSpacing w:w="0" w:type="dxa"/>
        </w:trPr>
        <w:tc>
          <w:tcPr>
            <w:tcW w:w="2552" w:type="dxa"/>
            <w:gridSpan w:val="11"/>
            <w:tcBorders>
              <w:top w:val="outset" w:sz="6" w:space="0" w:color="auto"/>
              <w:left w:val="outset" w:sz="6" w:space="0" w:color="auto"/>
              <w:bottom w:val="single" w:sz="4" w:space="0" w:color="auto"/>
              <w:right w:val="outset" w:sz="6" w:space="0" w:color="auto"/>
            </w:tcBorders>
          </w:tcPr>
          <w:p w:rsidR="00733D9C" w:rsidRPr="00787913" w:rsidRDefault="00733D9C" w:rsidP="00776FAA">
            <w:pPr>
              <w:pStyle w:val="naisf"/>
              <w:rPr>
                <w:lang w:val="lv-LV"/>
              </w:rPr>
            </w:pPr>
            <w:r w:rsidRPr="00787913">
              <w:rPr>
                <w:lang w:val="lv-LV"/>
              </w:rPr>
              <w:t>Cita informācija</w:t>
            </w:r>
          </w:p>
        </w:tc>
        <w:tc>
          <w:tcPr>
            <w:tcW w:w="7088" w:type="dxa"/>
            <w:gridSpan w:val="9"/>
            <w:tcBorders>
              <w:top w:val="outset" w:sz="6" w:space="0" w:color="auto"/>
              <w:left w:val="outset" w:sz="6" w:space="0" w:color="auto"/>
              <w:bottom w:val="single" w:sz="4" w:space="0" w:color="auto"/>
              <w:right w:val="outset" w:sz="6" w:space="0" w:color="auto"/>
            </w:tcBorders>
          </w:tcPr>
          <w:p w:rsidR="00733D9C" w:rsidRPr="00787913" w:rsidRDefault="00733D9C" w:rsidP="00776FAA">
            <w:pPr>
              <w:pStyle w:val="naisf"/>
              <w:rPr>
                <w:lang w:val="lv-LV"/>
              </w:rPr>
            </w:pPr>
            <w:r w:rsidRPr="00787913">
              <w:rPr>
                <w:lang w:val="lv-LV"/>
              </w:rPr>
              <w:t>Nav</w:t>
            </w:r>
          </w:p>
        </w:tc>
      </w:tr>
      <w:tr w:rsidR="00733D9C" w:rsidRPr="00112ADB" w:rsidTr="007152A2">
        <w:tblPrEx>
          <w:jc w:val="center"/>
          <w:tblCellMar>
            <w:left w:w="0" w:type="dxa"/>
            <w:right w:w="0" w:type="dxa"/>
          </w:tblCellMar>
          <w:tblLook w:val="0000"/>
        </w:tblPrEx>
        <w:trPr>
          <w:gridBefore w:val="1"/>
          <w:wBefore w:w="194" w:type="dxa"/>
          <w:jc w:val="center"/>
        </w:trPr>
        <w:tc>
          <w:tcPr>
            <w:tcW w:w="9598" w:type="dxa"/>
            <w:gridSpan w:val="20"/>
          </w:tcPr>
          <w:p w:rsidR="00733D9C" w:rsidRPr="00961F39" w:rsidRDefault="00733D9C" w:rsidP="00E54238">
            <w:pPr>
              <w:pStyle w:val="naisnod"/>
              <w:spacing w:before="0" w:after="0"/>
              <w:ind w:left="57" w:right="57"/>
            </w:pPr>
            <w:r w:rsidRPr="00961F39">
              <w:t>VI. Sabiedrības līdzdalība un šīs līdzdalības rezultāti</w:t>
            </w:r>
          </w:p>
        </w:tc>
      </w:tr>
      <w:tr w:rsidR="00733D9C" w:rsidRPr="000A3E6D" w:rsidTr="007152A2">
        <w:tblPrEx>
          <w:jc w:val="center"/>
          <w:tblCellMar>
            <w:left w:w="0" w:type="dxa"/>
            <w:right w:w="0" w:type="dxa"/>
          </w:tblCellMar>
          <w:tblLook w:val="0000"/>
        </w:tblPrEx>
        <w:trPr>
          <w:gridBefore w:val="1"/>
          <w:wBefore w:w="194" w:type="dxa"/>
          <w:trHeight w:val="553"/>
          <w:jc w:val="center"/>
        </w:trPr>
        <w:tc>
          <w:tcPr>
            <w:tcW w:w="832" w:type="dxa"/>
            <w:gridSpan w:val="6"/>
          </w:tcPr>
          <w:p w:rsidR="00733D9C" w:rsidRPr="00961F39" w:rsidRDefault="00733D9C" w:rsidP="00E54238">
            <w:pPr>
              <w:pStyle w:val="naiskr"/>
              <w:spacing w:before="0" w:after="0"/>
              <w:ind w:left="57" w:right="57"/>
              <w:rPr>
                <w:bCs/>
              </w:rPr>
            </w:pPr>
            <w:r w:rsidRPr="00961F39">
              <w:rPr>
                <w:bCs/>
              </w:rPr>
              <w:t>1.</w:t>
            </w:r>
          </w:p>
        </w:tc>
        <w:tc>
          <w:tcPr>
            <w:tcW w:w="3379" w:type="dxa"/>
            <w:gridSpan w:val="8"/>
          </w:tcPr>
          <w:p w:rsidR="00733D9C" w:rsidRPr="009A5FE7" w:rsidRDefault="00733D9C" w:rsidP="00E54238">
            <w:pPr>
              <w:pStyle w:val="naiskr"/>
              <w:tabs>
                <w:tab w:val="left" w:pos="170"/>
              </w:tabs>
              <w:spacing w:before="0" w:after="0"/>
              <w:ind w:left="57" w:right="57"/>
            </w:pPr>
            <w:r w:rsidRPr="009A5FE7">
              <w:t>Sabiedrības informēšana par projekta izstrādes uzsākšanu</w:t>
            </w:r>
          </w:p>
        </w:tc>
        <w:tc>
          <w:tcPr>
            <w:tcW w:w="5387" w:type="dxa"/>
            <w:gridSpan w:val="6"/>
          </w:tcPr>
          <w:p w:rsidR="001D2FE3" w:rsidRPr="000A3E6D" w:rsidRDefault="00733D9C" w:rsidP="001D2FE3">
            <w:pPr>
              <w:pStyle w:val="naiskr"/>
              <w:spacing w:before="0" w:after="0"/>
              <w:ind w:left="57" w:right="57"/>
              <w:jc w:val="both"/>
            </w:pPr>
            <w:r w:rsidRPr="000A3E6D">
              <w:t>Par Noteikumu projekta būtību tika informēta Farmācijas jomas konsultatīvā padome, kuras sastāvā darbojas farmācijas jomas profesionālo organizāciju un pacientu organizāciju pārstāvji 2013.gada 7.janvārī.</w:t>
            </w:r>
          </w:p>
          <w:p w:rsidR="000A3E6D" w:rsidRPr="000A3E6D" w:rsidRDefault="001D2FE3" w:rsidP="001D2FE3">
            <w:pPr>
              <w:jc w:val="both"/>
              <w:rPr>
                <w:lang w:val="lv-LV"/>
              </w:rPr>
            </w:pPr>
            <w:r w:rsidRPr="000A3E6D">
              <w:rPr>
                <w:lang w:val="lv-LV"/>
              </w:rPr>
              <w:t>Direktīva</w:t>
            </w:r>
            <w:r w:rsidR="00C352DD">
              <w:rPr>
                <w:lang w:val="lv-LV"/>
              </w:rPr>
              <w:t>s</w:t>
            </w:r>
            <w:r w:rsidRPr="000A3E6D">
              <w:rPr>
                <w:lang w:val="lv-LV"/>
              </w:rPr>
              <w:t xml:space="preserve"> 2011/24</w:t>
            </w:r>
            <w:r w:rsidR="009A5FE7" w:rsidRPr="000A3E6D">
              <w:rPr>
                <w:lang w:val="lv-LV"/>
              </w:rPr>
              <w:t xml:space="preserve"> un</w:t>
            </w:r>
            <w:r w:rsidRPr="000A3E6D">
              <w:rPr>
                <w:lang w:val="lv-LV"/>
              </w:rPr>
              <w:t xml:space="preserve"> Direktīva</w:t>
            </w:r>
            <w:r w:rsidR="00C352DD">
              <w:rPr>
                <w:lang w:val="lv-LV"/>
              </w:rPr>
              <w:t>s</w:t>
            </w:r>
            <w:r w:rsidRPr="000A3E6D">
              <w:rPr>
                <w:lang w:val="lv-LV"/>
              </w:rPr>
              <w:t xml:space="preserve"> 2012/52 </w:t>
            </w:r>
            <w:r w:rsidR="00C352DD">
              <w:rPr>
                <w:lang w:val="lv-LV"/>
              </w:rPr>
              <w:t xml:space="preserve">pārņemšanas saistībā noteikumu projekts tika nosūtīts </w:t>
            </w:r>
            <w:r w:rsidR="00733D9C" w:rsidRPr="000A3E6D">
              <w:rPr>
                <w:lang w:val="lv-LV"/>
              </w:rPr>
              <w:t>sākotnējai izvērtēšanai visām Farmācijas jomas konsultatīvās padomes sastāvā esošajām nevalstiskajām organizācijām 2013.gada 7.janvārī.</w:t>
            </w:r>
          </w:p>
        </w:tc>
      </w:tr>
      <w:tr w:rsidR="00733D9C" w:rsidRPr="00112ADB" w:rsidTr="007152A2">
        <w:tblPrEx>
          <w:jc w:val="center"/>
          <w:tblCellMar>
            <w:left w:w="0" w:type="dxa"/>
            <w:right w:w="0" w:type="dxa"/>
          </w:tblCellMar>
          <w:tblLook w:val="0000"/>
        </w:tblPrEx>
        <w:trPr>
          <w:gridBefore w:val="1"/>
          <w:wBefore w:w="194" w:type="dxa"/>
          <w:trHeight w:val="339"/>
          <w:jc w:val="center"/>
        </w:trPr>
        <w:tc>
          <w:tcPr>
            <w:tcW w:w="832" w:type="dxa"/>
            <w:gridSpan w:val="6"/>
          </w:tcPr>
          <w:p w:rsidR="00733D9C" w:rsidRPr="00961F39" w:rsidRDefault="00733D9C" w:rsidP="00E54238">
            <w:pPr>
              <w:pStyle w:val="naiskr"/>
              <w:spacing w:before="0" w:after="0"/>
              <w:ind w:left="57" w:right="57"/>
              <w:rPr>
                <w:bCs/>
              </w:rPr>
            </w:pPr>
            <w:r w:rsidRPr="00961F39">
              <w:rPr>
                <w:bCs/>
              </w:rPr>
              <w:t>2.</w:t>
            </w:r>
          </w:p>
        </w:tc>
        <w:tc>
          <w:tcPr>
            <w:tcW w:w="3379" w:type="dxa"/>
            <w:gridSpan w:val="8"/>
          </w:tcPr>
          <w:p w:rsidR="00733D9C" w:rsidRPr="007152A2" w:rsidRDefault="00733D9C" w:rsidP="00C069C9">
            <w:pPr>
              <w:pStyle w:val="naiskr"/>
              <w:spacing w:before="0" w:after="0"/>
              <w:ind w:left="57" w:right="57"/>
            </w:pPr>
            <w:r w:rsidRPr="00961F39">
              <w:t xml:space="preserve">Sabiedrības līdzdalība projekta izstrādē </w:t>
            </w:r>
          </w:p>
        </w:tc>
        <w:tc>
          <w:tcPr>
            <w:tcW w:w="5387" w:type="dxa"/>
            <w:gridSpan w:val="6"/>
          </w:tcPr>
          <w:p w:rsidR="00733D9C" w:rsidRDefault="009A5FE7" w:rsidP="009A5FE7">
            <w:pPr>
              <w:pStyle w:val="naiskr"/>
              <w:spacing w:before="0" w:after="0"/>
              <w:ind w:left="57" w:right="57"/>
              <w:jc w:val="both"/>
            </w:pPr>
            <w:r>
              <w:t>S</w:t>
            </w:r>
            <w:r w:rsidRPr="009A5FE7">
              <w:t>aistībā Direktīva</w:t>
            </w:r>
            <w:r>
              <w:t>s</w:t>
            </w:r>
            <w:r w:rsidRPr="009A5FE7">
              <w:t xml:space="preserve"> 2011/24</w:t>
            </w:r>
            <w:r>
              <w:t xml:space="preserve"> un</w:t>
            </w:r>
            <w:r w:rsidRPr="009A5FE7">
              <w:t xml:space="preserve"> Direktīva</w:t>
            </w:r>
            <w:r>
              <w:t>s</w:t>
            </w:r>
            <w:r w:rsidRPr="009A5FE7">
              <w:t xml:space="preserve"> 2012/52 </w:t>
            </w:r>
            <w:r>
              <w:t>pārņemšanu s</w:t>
            </w:r>
            <w:r w:rsidR="00733D9C" w:rsidRPr="00961F39">
              <w:t xml:space="preserve">aņemti priekšlikumi par noteikumu projektu no Starptautisko inovatīvo </w:t>
            </w:r>
            <w:r w:rsidR="00733D9C">
              <w:t xml:space="preserve">farmaceitisko firmu asociācijas, </w:t>
            </w:r>
            <w:r w:rsidR="00733D9C" w:rsidRPr="00961F39">
              <w:t xml:space="preserve">Latvijas </w:t>
            </w:r>
            <w:r w:rsidR="00733D9C">
              <w:t>Farmaceitu biedrības un Aptieku biedrības</w:t>
            </w:r>
            <w:r w:rsidR="00733D9C" w:rsidRPr="00961F39">
              <w:t>.</w:t>
            </w:r>
          </w:p>
          <w:p w:rsidR="00733D9C" w:rsidRPr="00961F39" w:rsidRDefault="00733D9C" w:rsidP="00CA3C0F">
            <w:pPr>
              <w:pStyle w:val="naiskr"/>
              <w:spacing w:before="0" w:after="0"/>
              <w:ind w:left="57" w:right="57"/>
              <w:jc w:val="both"/>
            </w:pPr>
            <w:r>
              <w:t>Sagatavotais projekts, kurā ņemti vērā nevalstisko organizāciju sniegtie priekšlikumi.</w:t>
            </w:r>
          </w:p>
        </w:tc>
      </w:tr>
      <w:tr w:rsidR="00733D9C" w:rsidRPr="00112ADB" w:rsidTr="007152A2">
        <w:tblPrEx>
          <w:jc w:val="center"/>
          <w:tblCellMar>
            <w:left w:w="0" w:type="dxa"/>
            <w:right w:w="0" w:type="dxa"/>
          </w:tblCellMar>
          <w:tblLook w:val="0000"/>
        </w:tblPrEx>
        <w:trPr>
          <w:gridBefore w:val="1"/>
          <w:wBefore w:w="194" w:type="dxa"/>
          <w:trHeight w:val="375"/>
          <w:jc w:val="center"/>
        </w:trPr>
        <w:tc>
          <w:tcPr>
            <w:tcW w:w="832" w:type="dxa"/>
            <w:gridSpan w:val="6"/>
          </w:tcPr>
          <w:p w:rsidR="00733D9C" w:rsidRPr="00961F39" w:rsidRDefault="00733D9C" w:rsidP="00E54238">
            <w:pPr>
              <w:pStyle w:val="naiskr"/>
              <w:spacing w:before="0" w:after="0"/>
              <w:ind w:left="57" w:right="57"/>
              <w:rPr>
                <w:bCs/>
              </w:rPr>
            </w:pPr>
            <w:r w:rsidRPr="00961F39">
              <w:rPr>
                <w:bCs/>
              </w:rPr>
              <w:t>3.</w:t>
            </w:r>
          </w:p>
        </w:tc>
        <w:tc>
          <w:tcPr>
            <w:tcW w:w="3379" w:type="dxa"/>
            <w:gridSpan w:val="8"/>
          </w:tcPr>
          <w:p w:rsidR="00733D9C" w:rsidRPr="00961F39" w:rsidRDefault="00733D9C" w:rsidP="00E54238">
            <w:pPr>
              <w:pStyle w:val="naiskr"/>
              <w:spacing w:before="0" w:after="0"/>
              <w:ind w:left="57" w:right="57"/>
            </w:pPr>
            <w:r w:rsidRPr="00961F39">
              <w:t xml:space="preserve">Sabiedrības līdzdalības rezultāti </w:t>
            </w:r>
          </w:p>
        </w:tc>
        <w:tc>
          <w:tcPr>
            <w:tcW w:w="5387" w:type="dxa"/>
            <w:gridSpan w:val="6"/>
          </w:tcPr>
          <w:p w:rsidR="00733D9C" w:rsidRPr="00961F39" w:rsidRDefault="00733D9C" w:rsidP="00CA3C0F">
            <w:pPr>
              <w:pStyle w:val="naiskr"/>
              <w:spacing w:before="0" w:after="0"/>
              <w:ind w:left="57" w:right="57"/>
              <w:jc w:val="both"/>
            </w:pPr>
            <w:r w:rsidRPr="00961F39">
              <w:t>Saņemtie priekšlikumi</w:t>
            </w:r>
            <w:r w:rsidR="00A83D35">
              <w:t xml:space="preserve"> no </w:t>
            </w:r>
            <w:r w:rsidR="00A83D35" w:rsidRPr="00961F39">
              <w:t xml:space="preserve">Starptautisko inovatīvo </w:t>
            </w:r>
            <w:r w:rsidR="00A83D35">
              <w:t xml:space="preserve">farmaceitisko firmu asociācijas, </w:t>
            </w:r>
            <w:r w:rsidR="00A83D35" w:rsidRPr="00961F39">
              <w:t xml:space="preserve">Latvijas </w:t>
            </w:r>
            <w:r w:rsidR="00A83D35">
              <w:t xml:space="preserve">Farmaceitu </w:t>
            </w:r>
            <w:r w:rsidR="00A83D35">
              <w:lastRenderedPageBreak/>
              <w:t>biedrības un Aptieku biedrības</w:t>
            </w:r>
            <w:r w:rsidRPr="00961F39">
              <w:t xml:space="preserve"> </w:t>
            </w:r>
            <w:r w:rsidR="00A83D35">
              <w:t xml:space="preserve">ir </w:t>
            </w:r>
            <w:r w:rsidRPr="00961F39">
              <w:t>izvērtēti un ņemti vērā.</w:t>
            </w:r>
          </w:p>
        </w:tc>
      </w:tr>
      <w:tr w:rsidR="00733D9C" w:rsidRPr="00112ADB" w:rsidTr="007152A2">
        <w:tblPrEx>
          <w:jc w:val="center"/>
          <w:tblCellMar>
            <w:left w:w="0" w:type="dxa"/>
            <w:right w:w="0" w:type="dxa"/>
          </w:tblCellMar>
          <w:tblLook w:val="0000"/>
        </w:tblPrEx>
        <w:trPr>
          <w:gridBefore w:val="1"/>
          <w:wBefore w:w="194" w:type="dxa"/>
          <w:trHeight w:val="397"/>
          <w:jc w:val="center"/>
        </w:trPr>
        <w:tc>
          <w:tcPr>
            <w:tcW w:w="832" w:type="dxa"/>
            <w:gridSpan w:val="6"/>
          </w:tcPr>
          <w:p w:rsidR="00733D9C" w:rsidRPr="00961F39" w:rsidRDefault="00733D9C" w:rsidP="00E54238">
            <w:pPr>
              <w:pStyle w:val="naiskr"/>
              <w:spacing w:before="0" w:after="0"/>
              <w:ind w:left="57" w:right="57"/>
              <w:rPr>
                <w:bCs/>
              </w:rPr>
            </w:pPr>
            <w:r w:rsidRPr="00961F39">
              <w:rPr>
                <w:bCs/>
              </w:rPr>
              <w:lastRenderedPageBreak/>
              <w:t>4.</w:t>
            </w:r>
          </w:p>
        </w:tc>
        <w:tc>
          <w:tcPr>
            <w:tcW w:w="3379" w:type="dxa"/>
            <w:gridSpan w:val="8"/>
          </w:tcPr>
          <w:p w:rsidR="00733D9C" w:rsidRPr="00961F39" w:rsidRDefault="00733D9C" w:rsidP="00E54238">
            <w:pPr>
              <w:pStyle w:val="naiskr"/>
              <w:spacing w:before="0" w:after="0"/>
              <w:ind w:left="57" w:right="57"/>
            </w:pPr>
            <w:r w:rsidRPr="00961F39">
              <w:t>Saeimas un ekspertu līdzdalība</w:t>
            </w:r>
          </w:p>
        </w:tc>
        <w:tc>
          <w:tcPr>
            <w:tcW w:w="5387" w:type="dxa"/>
            <w:gridSpan w:val="6"/>
          </w:tcPr>
          <w:p w:rsidR="00733D9C" w:rsidRPr="00961F39" w:rsidRDefault="00733D9C" w:rsidP="005F3AAD">
            <w:pPr>
              <w:pStyle w:val="naiskr"/>
              <w:spacing w:before="0" w:after="0"/>
              <w:ind w:left="57" w:right="57"/>
              <w:jc w:val="both"/>
            </w:pPr>
            <w:r w:rsidRPr="00961F39">
              <w:t>Konsultācijas ar Saeimas komisiju vai apakškomisiju, kā arī ar ekspertiem nav notikušas.</w:t>
            </w:r>
          </w:p>
        </w:tc>
      </w:tr>
      <w:tr w:rsidR="00733D9C" w:rsidRPr="00112ADB" w:rsidTr="007152A2">
        <w:tblPrEx>
          <w:jc w:val="center"/>
          <w:tblCellMar>
            <w:left w:w="0" w:type="dxa"/>
            <w:right w:w="0" w:type="dxa"/>
          </w:tblCellMar>
          <w:tblLook w:val="0000"/>
        </w:tblPrEx>
        <w:trPr>
          <w:gridBefore w:val="1"/>
          <w:wBefore w:w="194" w:type="dxa"/>
          <w:trHeight w:val="476"/>
          <w:jc w:val="center"/>
        </w:trPr>
        <w:tc>
          <w:tcPr>
            <w:tcW w:w="832" w:type="dxa"/>
            <w:gridSpan w:val="6"/>
          </w:tcPr>
          <w:p w:rsidR="00733D9C" w:rsidRPr="00961F39" w:rsidRDefault="00733D9C" w:rsidP="00E54238">
            <w:pPr>
              <w:pStyle w:val="naiskr"/>
              <w:spacing w:before="0" w:after="0"/>
              <w:ind w:left="57" w:right="57"/>
              <w:rPr>
                <w:bCs/>
              </w:rPr>
            </w:pPr>
            <w:r w:rsidRPr="00961F39">
              <w:rPr>
                <w:bCs/>
              </w:rPr>
              <w:t>5.</w:t>
            </w:r>
          </w:p>
        </w:tc>
        <w:tc>
          <w:tcPr>
            <w:tcW w:w="3379" w:type="dxa"/>
            <w:gridSpan w:val="8"/>
          </w:tcPr>
          <w:p w:rsidR="00733D9C" w:rsidRPr="00961F39" w:rsidRDefault="00733D9C" w:rsidP="005F3AAD">
            <w:pPr>
              <w:pStyle w:val="naiskr"/>
              <w:spacing w:before="0" w:after="0"/>
              <w:ind w:left="57" w:right="57"/>
            </w:pPr>
            <w:r w:rsidRPr="00961F39">
              <w:t>Cita informācija</w:t>
            </w:r>
          </w:p>
        </w:tc>
        <w:tc>
          <w:tcPr>
            <w:tcW w:w="5387" w:type="dxa"/>
            <w:gridSpan w:val="6"/>
          </w:tcPr>
          <w:p w:rsidR="00733D9C" w:rsidRPr="00961F39" w:rsidRDefault="00733D9C" w:rsidP="00E54238">
            <w:pPr>
              <w:pStyle w:val="naiskr"/>
              <w:spacing w:before="0" w:after="0"/>
              <w:ind w:left="57" w:right="57"/>
              <w:jc w:val="both"/>
            </w:pPr>
            <w:r w:rsidRPr="00961F39">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961F39">
              <w:t>Sustento</w:t>
            </w:r>
            <w:proofErr w:type="spellEnd"/>
            <w:r w:rsidRPr="00961F39">
              <w:t xml:space="preserve">”, Latvijas Ķīmijas un farmācijas uzņēmēju asociācijas, Latvijas Patērētāju interešu aizstāvības asociācijas, Latvijas </w:t>
            </w:r>
            <w:proofErr w:type="spellStart"/>
            <w:r w:rsidRPr="00961F39">
              <w:t>Patentbrīvo</w:t>
            </w:r>
            <w:proofErr w:type="spellEnd"/>
            <w:r w:rsidRPr="00961F39">
              <w:t xml:space="preserve"> medikamentu asociācijas, Latvijas Zāļu lieltirgotāju asociācijas un Starptautisko inovatīvo farmaceitisko firmu asociācijas.</w:t>
            </w:r>
          </w:p>
        </w:tc>
      </w:tr>
      <w:tr w:rsidR="00733D9C" w:rsidRPr="00112ADB" w:rsidTr="00736685">
        <w:tblPrEx>
          <w:tblCellMar>
            <w:top w:w="28" w:type="dxa"/>
            <w:left w:w="28" w:type="dxa"/>
            <w:bottom w:w="28" w:type="dxa"/>
            <w:right w:w="28" w:type="dxa"/>
          </w:tblCellMar>
          <w:tblLook w:val="0000"/>
        </w:tblPrEx>
        <w:trPr>
          <w:gridAfter w:val="1"/>
          <w:wAfter w:w="152" w:type="dxa"/>
        </w:trPr>
        <w:tc>
          <w:tcPr>
            <w:tcW w:w="9640" w:type="dxa"/>
            <w:gridSpan w:val="20"/>
            <w:tcBorders>
              <w:top w:val="single" w:sz="4" w:space="0" w:color="auto"/>
            </w:tcBorders>
          </w:tcPr>
          <w:p w:rsidR="00733D9C" w:rsidRPr="00961F39" w:rsidRDefault="00733D9C" w:rsidP="00963C15">
            <w:pPr>
              <w:pStyle w:val="naisnod"/>
              <w:spacing w:before="0" w:after="0"/>
              <w:ind w:left="-170" w:right="57" w:firstLine="227"/>
            </w:pPr>
            <w:r w:rsidRPr="00961F39">
              <w:t>VII. Tiesību akta projekta izpildes nodrošināšana un tās ietekme uz institūcijām</w:t>
            </w:r>
          </w:p>
        </w:tc>
      </w:tr>
      <w:tr w:rsidR="00733D9C" w:rsidRPr="00961F39" w:rsidTr="001A2425">
        <w:tblPrEx>
          <w:tblCellMar>
            <w:top w:w="28" w:type="dxa"/>
            <w:left w:w="28" w:type="dxa"/>
            <w:bottom w:w="28" w:type="dxa"/>
            <w:right w:w="28" w:type="dxa"/>
          </w:tblCellMar>
          <w:tblLook w:val="0000"/>
        </w:tblPrEx>
        <w:trPr>
          <w:gridAfter w:val="1"/>
          <w:wAfter w:w="152" w:type="dxa"/>
          <w:trHeight w:val="427"/>
        </w:trPr>
        <w:tc>
          <w:tcPr>
            <w:tcW w:w="710" w:type="dxa"/>
            <w:gridSpan w:val="5"/>
          </w:tcPr>
          <w:p w:rsidR="00733D9C" w:rsidRPr="00961F39" w:rsidRDefault="00733D9C" w:rsidP="00E54238">
            <w:pPr>
              <w:pStyle w:val="naisnod"/>
              <w:spacing w:before="0" w:after="0"/>
              <w:ind w:left="57" w:right="57"/>
              <w:jc w:val="left"/>
              <w:rPr>
                <w:b w:val="0"/>
              </w:rPr>
            </w:pPr>
            <w:r w:rsidRPr="00961F39">
              <w:rPr>
                <w:b w:val="0"/>
              </w:rPr>
              <w:t>1.</w:t>
            </w:r>
          </w:p>
        </w:tc>
        <w:tc>
          <w:tcPr>
            <w:tcW w:w="3544" w:type="dxa"/>
            <w:gridSpan w:val="9"/>
          </w:tcPr>
          <w:p w:rsidR="00733D9C" w:rsidRPr="00961F39" w:rsidRDefault="00733D9C" w:rsidP="00E54238">
            <w:pPr>
              <w:pStyle w:val="naisf"/>
              <w:spacing w:before="0" w:after="0"/>
              <w:ind w:left="57" w:right="57"/>
              <w:rPr>
                <w:lang w:val="lv-LV"/>
              </w:rPr>
            </w:pPr>
            <w:r w:rsidRPr="00961F39">
              <w:rPr>
                <w:lang w:val="lv-LV"/>
              </w:rPr>
              <w:t xml:space="preserve">Projekta izpildē iesaistītās institūcijas </w:t>
            </w:r>
          </w:p>
        </w:tc>
        <w:tc>
          <w:tcPr>
            <w:tcW w:w="5386" w:type="dxa"/>
            <w:gridSpan w:val="6"/>
          </w:tcPr>
          <w:p w:rsidR="00733D9C" w:rsidRPr="00961F39" w:rsidRDefault="00733D9C" w:rsidP="00DD09B0">
            <w:pPr>
              <w:pStyle w:val="naisnod"/>
              <w:spacing w:before="0" w:after="0"/>
              <w:ind w:left="57" w:right="57"/>
              <w:jc w:val="both"/>
              <w:rPr>
                <w:b w:val="0"/>
              </w:rPr>
            </w:pPr>
            <w:r>
              <w:rPr>
                <w:b w:val="0"/>
                <w:iCs/>
              </w:rPr>
              <w:t xml:space="preserve">Nacionālais veselības dienests, </w:t>
            </w:r>
            <w:r w:rsidRPr="00961F39">
              <w:rPr>
                <w:b w:val="0"/>
                <w:iCs/>
              </w:rPr>
              <w:t>Zāļu valsts aģentūra, Veselības inspekcija.</w:t>
            </w:r>
          </w:p>
        </w:tc>
      </w:tr>
      <w:tr w:rsidR="00733D9C" w:rsidRPr="00112ADB" w:rsidTr="001A2425">
        <w:tblPrEx>
          <w:tblCellMar>
            <w:top w:w="28" w:type="dxa"/>
            <w:left w:w="28" w:type="dxa"/>
            <w:bottom w:w="28" w:type="dxa"/>
            <w:right w:w="28" w:type="dxa"/>
          </w:tblCellMar>
          <w:tblLook w:val="0000"/>
        </w:tblPrEx>
        <w:trPr>
          <w:gridAfter w:val="1"/>
          <w:wAfter w:w="152" w:type="dxa"/>
          <w:trHeight w:val="463"/>
        </w:trPr>
        <w:tc>
          <w:tcPr>
            <w:tcW w:w="710" w:type="dxa"/>
            <w:gridSpan w:val="5"/>
          </w:tcPr>
          <w:p w:rsidR="00733D9C" w:rsidRPr="00961F39" w:rsidRDefault="00733D9C" w:rsidP="00E54238">
            <w:pPr>
              <w:pStyle w:val="naisnod"/>
              <w:spacing w:before="0" w:after="0"/>
              <w:ind w:left="57" w:right="57"/>
              <w:jc w:val="left"/>
              <w:rPr>
                <w:b w:val="0"/>
              </w:rPr>
            </w:pPr>
            <w:r w:rsidRPr="00961F39">
              <w:rPr>
                <w:b w:val="0"/>
              </w:rPr>
              <w:t>2.</w:t>
            </w:r>
          </w:p>
        </w:tc>
        <w:tc>
          <w:tcPr>
            <w:tcW w:w="3544" w:type="dxa"/>
            <w:gridSpan w:val="9"/>
          </w:tcPr>
          <w:p w:rsidR="00733D9C" w:rsidRPr="00961F39" w:rsidRDefault="00733D9C" w:rsidP="00E54238">
            <w:pPr>
              <w:pStyle w:val="naisf"/>
              <w:spacing w:before="0" w:after="0"/>
              <w:ind w:left="57" w:right="57"/>
              <w:rPr>
                <w:lang w:val="lv-LV"/>
              </w:rPr>
            </w:pPr>
            <w:r w:rsidRPr="00961F39">
              <w:rPr>
                <w:lang w:val="lv-LV"/>
              </w:rPr>
              <w:t xml:space="preserve">Projekta izpildes ietekme uz pārvaldes funkcijām </w:t>
            </w:r>
          </w:p>
        </w:tc>
        <w:tc>
          <w:tcPr>
            <w:tcW w:w="5386" w:type="dxa"/>
            <w:gridSpan w:val="6"/>
          </w:tcPr>
          <w:p w:rsidR="00733D9C" w:rsidRPr="001D2FE3" w:rsidRDefault="001D2FE3" w:rsidP="00C5439F">
            <w:pPr>
              <w:jc w:val="both"/>
              <w:rPr>
                <w:lang w:val="lv-LV"/>
              </w:rPr>
            </w:pPr>
            <w:r w:rsidRPr="001D2FE3">
              <w:rPr>
                <w:spacing w:val="-6"/>
                <w:lang w:val="lv-LV" w:eastAsia="lv-LV"/>
              </w:rPr>
              <w:t xml:space="preserve">Noteikumu projekts paplašina </w:t>
            </w:r>
            <w:r w:rsidRPr="001D2FE3">
              <w:rPr>
                <w:spacing w:val="-6"/>
                <w:lang w:val="lv-LV"/>
              </w:rPr>
              <w:t>pienākumus un tiesības</w:t>
            </w:r>
            <w:r w:rsidRPr="001D2FE3">
              <w:rPr>
                <w:spacing w:val="-6"/>
                <w:lang w:val="lv-LV" w:eastAsia="lv-LV"/>
              </w:rPr>
              <w:t xml:space="preserve"> </w:t>
            </w:r>
            <w:r w:rsidRPr="001D2FE3">
              <w:rPr>
                <w:spacing w:val="-6"/>
                <w:lang w:val="lv-LV"/>
              </w:rPr>
              <w:t>Zāļu valsts aģentūrai veikt uzraudzības funkcijas par to, kā zāļu vairumtirgotāji ievēro labu izplatīšanas praksi, kā arī pastiprina Veselības inspekcijas uzraudzību par aptiekām.</w:t>
            </w:r>
          </w:p>
        </w:tc>
      </w:tr>
      <w:tr w:rsidR="00733D9C" w:rsidRPr="00112ADB" w:rsidTr="001A2425">
        <w:tblPrEx>
          <w:tblCellMar>
            <w:top w:w="28" w:type="dxa"/>
            <w:left w:w="28" w:type="dxa"/>
            <w:bottom w:w="28" w:type="dxa"/>
            <w:right w:w="28" w:type="dxa"/>
          </w:tblCellMar>
          <w:tblLook w:val="0000"/>
        </w:tblPrEx>
        <w:trPr>
          <w:gridAfter w:val="1"/>
          <w:wAfter w:w="152" w:type="dxa"/>
          <w:trHeight w:val="725"/>
        </w:trPr>
        <w:tc>
          <w:tcPr>
            <w:tcW w:w="710" w:type="dxa"/>
            <w:gridSpan w:val="5"/>
          </w:tcPr>
          <w:p w:rsidR="00733D9C" w:rsidRPr="00961F39" w:rsidRDefault="00733D9C" w:rsidP="00E54238">
            <w:pPr>
              <w:pStyle w:val="naisnod"/>
              <w:spacing w:before="0" w:after="0"/>
              <w:ind w:left="57" w:right="57"/>
              <w:jc w:val="left"/>
              <w:rPr>
                <w:b w:val="0"/>
              </w:rPr>
            </w:pPr>
            <w:r w:rsidRPr="00961F39">
              <w:rPr>
                <w:b w:val="0"/>
              </w:rPr>
              <w:t>3.</w:t>
            </w:r>
          </w:p>
        </w:tc>
        <w:tc>
          <w:tcPr>
            <w:tcW w:w="3544" w:type="dxa"/>
            <w:gridSpan w:val="9"/>
          </w:tcPr>
          <w:p w:rsidR="00733D9C" w:rsidRPr="00961F39" w:rsidRDefault="00733D9C" w:rsidP="00E54238">
            <w:pPr>
              <w:pStyle w:val="naisf"/>
              <w:spacing w:before="0" w:after="0"/>
              <w:ind w:left="57" w:right="57"/>
              <w:rPr>
                <w:lang w:val="lv-LV"/>
              </w:rPr>
            </w:pPr>
            <w:r w:rsidRPr="00961F39">
              <w:rPr>
                <w:lang w:val="lv-LV"/>
              </w:rPr>
              <w:t>Projekta izpildes ietekme uz pārvaldes institucionālo struktūru.</w:t>
            </w:r>
          </w:p>
          <w:p w:rsidR="00733D9C" w:rsidRPr="00961F39" w:rsidRDefault="00733D9C" w:rsidP="00E54238">
            <w:pPr>
              <w:pStyle w:val="naisf"/>
              <w:spacing w:before="0" w:after="0"/>
              <w:ind w:left="57" w:right="57"/>
              <w:rPr>
                <w:lang w:val="lv-LV"/>
              </w:rPr>
            </w:pPr>
            <w:r w:rsidRPr="00961F39">
              <w:rPr>
                <w:lang w:val="lv-LV"/>
              </w:rPr>
              <w:t>Jaunu institūciju izveide</w:t>
            </w:r>
          </w:p>
        </w:tc>
        <w:tc>
          <w:tcPr>
            <w:tcW w:w="5386" w:type="dxa"/>
            <w:gridSpan w:val="6"/>
          </w:tcPr>
          <w:p w:rsidR="00733D9C" w:rsidRPr="00961F39" w:rsidRDefault="001D2FE3" w:rsidP="00E54238">
            <w:pPr>
              <w:pStyle w:val="naisnod"/>
              <w:spacing w:before="0" w:after="0"/>
              <w:ind w:left="57" w:right="57"/>
              <w:jc w:val="left"/>
              <w:rPr>
                <w:b w:val="0"/>
              </w:rPr>
            </w:pPr>
            <w:r w:rsidRPr="004468B2">
              <w:rPr>
                <w:b w:val="0"/>
              </w:rPr>
              <w:t>Projekts šo jomu neskar</w:t>
            </w:r>
          </w:p>
        </w:tc>
      </w:tr>
      <w:tr w:rsidR="00733D9C" w:rsidRPr="00112ADB" w:rsidTr="001A2425">
        <w:tblPrEx>
          <w:tblCellMar>
            <w:top w:w="28" w:type="dxa"/>
            <w:left w:w="28" w:type="dxa"/>
            <w:bottom w:w="28" w:type="dxa"/>
            <w:right w:w="28" w:type="dxa"/>
          </w:tblCellMar>
          <w:tblLook w:val="0000"/>
        </w:tblPrEx>
        <w:trPr>
          <w:gridAfter w:val="1"/>
          <w:wAfter w:w="152" w:type="dxa"/>
          <w:trHeight w:val="780"/>
        </w:trPr>
        <w:tc>
          <w:tcPr>
            <w:tcW w:w="710" w:type="dxa"/>
            <w:gridSpan w:val="5"/>
          </w:tcPr>
          <w:p w:rsidR="00733D9C" w:rsidRPr="00961F39" w:rsidRDefault="00733D9C" w:rsidP="00E54238">
            <w:pPr>
              <w:pStyle w:val="naisnod"/>
              <w:spacing w:before="0" w:after="0"/>
              <w:ind w:left="57" w:right="57"/>
              <w:jc w:val="left"/>
              <w:rPr>
                <w:b w:val="0"/>
              </w:rPr>
            </w:pPr>
            <w:r w:rsidRPr="00961F39">
              <w:rPr>
                <w:b w:val="0"/>
              </w:rPr>
              <w:t>4.</w:t>
            </w:r>
          </w:p>
        </w:tc>
        <w:tc>
          <w:tcPr>
            <w:tcW w:w="3544" w:type="dxa"/>
            <w:gridSpan w:val="9"/>
          </w:tcPr>
          <w:p w:rsidR="00733D9C" w:rsidRPr="00961F39" w:rsidRDefault="00733D9C" w:rsidP="00E54238">
            <w:pPr>
              <w:pStyle w:val="naisf"/>
              <w:spacing w:before="0" w:after="0"/>
              <w:ind w:left="57" w:right="57"/>
              <w:rPr>
                <w:lang w:val="lv-LV"/>
              </w:rPr>
            </w:pPr>
            <w:r w:rsidRPr="00961F39">
              <w:rPr>
                <w:lang w:val="lv-LV"/>
              </w:rPr>
              <w:t>Projekta izpildes ietekme uz pārvaldes institucionālo struktūru.</w:t>
            </w:r>
          </w:p>
          <w:p w:rsidR="00733D9C" w:rsidRPr="00961F39" w:rsidRDefault="00733D9C" w:rsidP="00E54238">
            <w:pPr>
              <w:pStyle w:val="naisf"/>
              <w:spacing w:before="0" w:after="0"/>
              <w:ind w:left="57" w:right="57"/>
              <w:rPr>
                <w:lang w:val="lv-LV"/>
              </w:rPr>
            </w:pPr>
            <w:r w:rsidRPr="00961F39">
              <w:rPr>
                <w:lang w:val="lv-LV"/>
              </w:rPr>
              <w:t>Esošu institūciju likvidācija</w:t>
            </w:r>
          </w:p>
        </w:tc>
        <w:tc>
          <w:tcPr>
            <w:tcW w:w="5386" w:type="dxa"/>
            <w:gridSpan w:val="6"/>
          </w:tcPr>
          <w:p w:rsidR="00733D9C" w:rsidRPr="00961F39" w:rsidRDefault="001D2FE3" w:rsidP="00E54238">
            <w:pPr>
              <w:pStyle w:val="naisnod"/>
              <w:spacing w:before="0" w:after="0"/>
              <w:ind w:left="57" w:right="57"/>
              <w:jc w:val="left"/>
              <w:rPr>
                <w:b w:val="0"/>
              </w:rPr>
            </w:pPr>
            <w:r w:rsidRPr="004468B2">
              <w:rPr>
                <w:b w:val="0"/>
              </w:rPr>
              <w:t>Projekts šo jomu neskar</w:t>
            </w:r>
          </w:p>
        </w:tc>
      </w:tr>
      <w:tr w:rsidR="00733D9C" w:rsidRPr="00112ADB" w:rsidTr="001A2425">
        <w:tblPrEx>
          <w:tblCellMar>
            <w:top w:w="28" w:type="dxa"/>
            <w:left w:w="28" w:type="dxa"/>
            <w:bottom w:w="28" w:type="dxa"/>
            <w:right w:w="28" w:type="dxa"/>
          </w:tblCellMar>
          <w:tblLook w:val="0000"/>
        </w:tblPrEx>
        <w:trPr>
          <w:gridAfter w:val="1"/>
          <w:wAfter w:w="152" w:type="dxa"/>
          <w:trHeight w:val="703"/>
        </w:trPr>
        <w:tc>
          <w:tcPr>
            <w:tcW w:w="710" w:type="dxa"/>
            <w:gridSpan w:val="5"/>
          </w:tcPr>
          <w:p w:rsidR="00733D9C" w:rsidRPr="00961F39" w:rsidRDefault="00733D9C" w:rsidP="00E54238">
            <w:pPr>
              <w:pStyle w:val="naisnod"/>
              <w:spacing w:before="0" w:after="0"/>
              <w:ind w:left="57" w:right="57"/>
              <w:jc w:val="left"/>
              <w:rPr>
                <w:b w:val="0"/>
              </w:rPr>
            </w:pPr>
            <w:r w:rsidRPr="00961F39">
              <w:rPr>
                <w:b w:val="0"/>
              </w:rPr>
              <w:t>5.</w:t>
            </w:r>
          </w:p>
        </w:tc>
        <w:tc>
          <w:tcPr>
            <w:tcW w:w="3544" w:type="dxa"/>
            <w:gridSpan w:val="9"/>
          </w:tcPr>
          <w:p w:rsidR="00733D9C" w:rsidRPr="00961F39" w:rsidRDefault="00733D9C" w:rsidP="00E54238">
            <w:pPr>
              <w:pStyle w:val="naisf"/>
              <w:spacing w:before="0" w:after="0"/>
              <w:ind w:left="57" w:right="57"/>
              <w:rPr>
                <w:lang w:val="lv-LV"/>
              </w:rPr>
            </w:pPr>
            <w:r w:rsidRPr="00961F39">
              <w:rPr>
                <w:lang w:val="lv-LV"/>
              </w:rPr>
              <w:t>Projekta izpildes ietekme uz pārvaldes institucionālo struktūru.</w:t>
            </w:r>
          </w:p>
          <w:p w:rsidR="00733D9C" w:rsidRPr="00961F39" w:rsidRDefault="00733D9C" w:rsidP="00E54238">
            <w:pPr>
              <w:pStyle w:val="naisf"/>
              <w:spacing w:before="0" w:after="0"/>
              <w:ind w:left="57" w:right="57"/>
              <w:rPr>
                <w:lang w:val="lv-LV"/>
              </w:rPr>
            </w:pPr>
            <w:r w:rsidRPr="00961F39">
              <w:rPr>
                <w:lang w:val="lv-LV"/>
              </w:rPr>
              <w:t>Esošu institūciju reorganizācija</w:t>
            </w:r>
          </w:p>
        </w:tc>
        <w:tc>
          <w:tcPr>
            <w:tcW w:w="5386" w:type="dxa"/>
            <w:gridSpan w:val="6"/>
          </w:tcPr>
          <w:p w:rsidR="00733D9C" w:rsidRPr="00961F39" w:rsidRDefault="001D2FE3" w:rsidP="00E54238">
            <w:pPr>
              <w:pStyle w:val="naisnod"/>
              <w:spacing w:before="0" w:after="0"/>
              <w:ind w:left="57" w:right="57"/>
              <w:jc w:val="left"/>
              <w:rPr>
                <w:b w:val="0"/>
              </w:rPr>
            </w:pPr>
            <w:r w:rsidRPr="004468B2">
              <w:rPr>
                <w:b w:val="0"/>
              </w:rPr>
              <w:t>Projekts šo jomu neskar</w:t>
            </w:r>
          </w:p>
        </w:tc>
      </w:tr>
      <w:tr w:rsidR="00733D9C" w:rsidRPr="00961F39" w:rsidTr="001A2425">
        <w:tblPrEx>
          <w:tblCellMar>
            <w:top w:w="28" w:type="dxa"/>
            <w:left w:w="28" w:type="dxa"/>
            <w:bottom w:w="28" w:type="dxa"/>
            <w:right w:w="28" w:type="dxa"/>
          </w:tblCellMar>
          <w:tblLook w:val="0000"/>
        </w:tblPrEx>
        <w:trPr>
          <w:gridAfter w:val="1"/>
          <w:wAfter w:w="152" w:type="dxa"/>
          <w:trHeight w:val="476"/>
        </w:trPr>
        <w:tc>
          <w:tcPr>
            <w:tcW w:w="710" w:type="dxa"/>
            <w:gridSpan w:val="5"/>
          </w:tcPr>
          <w:p w:rsidR="00733D9C" w:rsidRPr="00961F39" w:rsidRDefault="00733D9C" w:rsidP="00E54238">
            <w:pPr>
              <w:pStyle w:val="naiskr"/>
              <w:spacing w:before="0" w:after="0"/>
              <w:ind w:left="57" w:right="57"/>
            </w:pPr>
            <w:r w:rsidRPr="00961F39">
              <w:t>6.</w:t>
            </w:r>
          </w:p>
        </w:tc>
        <w:tc>
          <w:tcPr>
            <w:tcW w:w="3544" w:type="dxa"/>
            <w:gridSpan w:val="9"/>
          </w:tcPr>
          <w:p w:rsidR="00733D9C" w:rsidRPr="00961F39" w:rsidRDefault="00733D9C" w:rsidP="00E54238">
            <w:pPr>
              <w:pStyle w:val="naiskr"/>
              <w:spacing w:before="0" w:after="0"/>
              <w:ind w:left="57" w:right="57"/>
            </w:pPr>
            <w:r w:rsidRPr="00961F39">
              <w:t>Cita informācija</w:t>
            </w:r>
          </w:p>
        </w:tc>
        <w:tc>
          <w:tcPr>
            <w:tcW w:w="5386" w:type="dxa"/>
            <w:gridSpan w:val="6"/>
          </w:tcPr>
          <w:p w:rsidR="00733D9C" w:rsidRPr="00961F39" w:rsidRDefault="004E2C88" w:rsidP="00E54238">
            <w:pPr>
              <w:pStyle w:val="naiskr"/>
              <w:spacing w:before="0" w:after="0"/>
              <w:ind w:left="57" w:right="57"/>
            </w:pPr>
            <w:r>
              <w:t>Nav</w:t>
            </w:r>
          </w:p>
        </w:tc>
      </w:tr>
    </w:tbl>
    <w:p w:rsidR="00145830" w:rsidRPr="00961F39" w:rsidRDefault="00145830" w:rsidP="00145830">
      <w:pPr>
        <w:jc w:val="center"/>
        <w:rPr>
          <w:b/>
          <w:bCs/>
          <w:sz w:val="28"/>
          <w:szCs w:val="28"/>
          <w:lang w:val="lv-LV"/>
        </w:rPr>
      </w:pPr>
    </w:p>
    <w:p w:rsidR="001A2425" w:rsidRDefault="001A2425" w:rsidP="00D9083D">
      <w:pPr>
        <w:rPr>
          <w:bCs/>
          <w:sz w:val="28"/>
          <w:szCs w:val="28"/>
          <w:lang w:val="lv-LV"/>
        </w:rPr>
      </w:pPr>
    </w:p>
    <w:p w:rsidR="000C559A" w:rsidRDefault="000C559A" w:rsidP="000C559A">
      <w:pPr>
        <w:ind w:left="851"/>
        <w:rPr>
          <w:sz w:val="28"/>
          <w:szCs w:val="28"/>
        </w:rPr>
      </w:pPr>
      <w:proofErr w:type="spellStart"/>
      <w:r>
        <w:rPr>
          <w:sz w:val="28"/>
          <w:szCs w:val="28"/>
        </w:rPr>
        <w:t>Veselības</w:t>
      </w:r>
      <w:proofErr w:type="spellEnd"/>
      <w:r>
        <w:rPr>
          <w:sz w:val="28"/>
          <w:szCs w:val="28"/>
        </w:rPr>
        <w:t xml:space="preserve"> </w:t>
      </w:r>
      <w:proofErr w:type="spellStart"/>
      <w:r>
        <w:rPr>
          <w:sz w:val="28"/>
          <w:szCs w:val="28"/>
        </w:rPr>
        <w:t>ministra</w:t>
      </w:r>
      <w:proofErr w:type="spellEnd"/>
      <w:r>
        <w:rPr>
          <w:sz w:val="28"/>
          <w:szCs w:val="28"/>
        </w:rPr>
        <w:t xml:space="preserve"> </w:t>
      </w:r>
      <w:proofErr w:type="spellStart"/>
      <w:r>
        <w:rPr>
          <w:sz w:val="28"/>
          <w:szCs w:val="28"/>
        </w:rPr>
        <w:t>vietā</w:t>
      </w:r>
      <w:proofErr w:type="spellEnd"/>
      <w:r>
        <w:rPr>
          <w:sz w:val="28"/>
          <w:szCs w:val="28"/>
        </w:rPr>
        <w:t xml:space="preserve"> – </w:t>
      </w:r>
    </w:p>
    <w:p w:rsidR="000C559A" w:rsidRDefault="000C559A" w:rsidP="000C559A">
      <w:pPr>
        <w:rPr>
          <w:sz w:val="28"/>
          <w:szCs w:val="28"/>
        </w:rPr>
      </w:pPr>
    </w:p>
    <w:p w:rsidR="000C559A" w:rsidRDefault="00D06A82" w:rsidP="000C559A">
      <w:pPr>
        <w:ind w:left="851"/>
        <w:rPr>
          <w:sz w:val="28"/>
          <w:szCs w:val="28"/>
        </w:rPr>
      </w:pPr>
      <w:proofErr w:type="spellStart"/>
      <w:r>
        <w:rPr>
          <w:sz w:val="28"/>
          <w:szCs w:val="28"/>
        </w:rPr>
        <w:t>Kultūras</w:t>
      </w:r>
      <w:proofErr w:type="spellEnd"/>
      <w:r>
        <w:rPr>
          <w:sz w:val="28"/>
          <w:szCs w:val="28"/>
        </w:rPr>
        <w:t xml:space="preserve"> </w:t>
      </w:r>
      <w:proofErr w:type="spellStart"/>
      <w:r>
        <w:rPr>
          <w:sz w:val="28"/>
          <w:szCs w:val="28"/>
        </w:rPr>
        <w:t>ministre</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D.Mel</w:t>
      </w:r>
      <w:r w:rsidR="000C559A">
        <w:rPr>
          <w:sz w:val="28"/>
          <w:szCs w:val="28"/>
        </w:rPr>
        <w:t>bārde</w:t>
      </w:r>
      <w:proofErr w:type="spellEnd"/>
    </w:p>
    <w:p w:rsidR="000C559A" w:rsidRDefault="000C559A" w:rsidP="000C559A">
      <w:pPr>
        <w:tabs>
          <w:tab w:val="left" w:pos="4962"/>
        </w:tabs>
        <w:rPr>
          <w:sz w:val="28"/>
          <w:szCs w:val="28"/>
        </w:rPr>
      </w:pPr>
    </w:p>
    <w:p w:rsidR="002D7D4C" w:rsidRPr="001A2425" w:rsidRDefault="002D7D4C" w:rsidP="00145830">
      <w:pPr>
        <w:jc w:val="both"/>
        <w:rPr>
          <w:sz w:val="28"/>
          <w:szCs w:val="28"/>
          <w:lang w:val="lv-LV"/>
        </w:rPr>
      </w:pPr>
    </w:p>
    <w:p w:rsidR="002D7D4C" w:rsidRPr="001A2425" w:rsidRDefault="002D7D4C" w:rsidP="00145830">
      <w:pPr>
        <w:jc w:val="both"/>
        <w:rPr>
          <w:sz w:val="28"/>
          <w:szCs w:val="28"/>
          <w:lang w:val="lv-LV"/>
        </w:rPr>
      </w:pPr>
    </w:p>
    <w:p w:rsidR="00963C15" w:rsidRPr="00EC1408" w:rsidRDefault="00413A39" w:rsidP="00145830">
      <w:pPr>
        <w:jc w:val="both"/>
        <w:rPr>
          <w:lang w:val="lv-LV"/>
        </w:rPr>
      </w:pPr>
      <w:r>
        <w:rPr>
          <w:lang w:val="lv-LV"/>
        </w:rPr>
        <w:t>02.12.2013 11</w:t>
      </w:r>
      <w:r w:rsidR="00FA496A">
        <w:rPr>
          <w:lang w:val="lv-LV"/>
        </w:rPr>
        <w:t>:</w:t>
      </w:r>
      <w:r>
        <w:rPr>
          <w:lang w:val="lv-LV"/>
        </w:rPr>
        <w:t>32</w:t>
      </w:r>
    </w:p>
    <w:p w:rsidR="00145830" w:rsidRPr="00EC1408" w:rsidRDefault="00FA496A" w:rsidP="00145830">
      <w:pPr>
        <w:jc w:val="both"/>
        <w:rPr>
          <w:lang w:val="lv-LV"/>
        </w:rPr>
      </w:pPr>
      <w:r>
        <w:rPr>
          <w:lang w:val="lv-LV"/>
        </w:rPr>
        <w:t>5</w:t>
      </w:r>
      <w:r w:rsidR="00E2641E">
        <w:rPr>
          <w:lang w:val="lv-LV"/>
        </w:rPr>
        <w:t>302</w:t>
      </w:r>
    </w:p>
    <w:p w:rsidR="00EC1408" w:rsidRPr="00EC1408" w:rsidRDefault="00EC1408" w:rsidP="00EC1408">
      <w:pPr>
        <w:pStyle w:val="NoSpacing"/>
        <w:jc w:val="both"/>
        <w:rPr>
          <w:rFonts w:ascii="Times New Roman" w:hAnsi="Times New Roman"/>
          <w:sz w:val="24"/>
          <w:szCs w:val="24"/>
        </w:rPr>
      </w:pPr>
      <w:r w:rsidRPr="00EC1408">
        <w:rPr>
          <w:rFonts w:ascii="Times New Roman" w:hAnsi="Times New Roman"/>
          <w:sz w:val="24"/>
          <w:szCs w:val="24"/>
        </w:rPr>
        <w:t>I.Mača</w:t>
      </w:r>
    </w:p>
    <w:p w:rsidR="002D7D4C" w:rsidRPr="001A2425" w:rsidRDefault="00EC1408" w:rsidP="001A2425">
      <w:pPr>
        <w:pStyle w:val="NoSpacing"/>
        <w:jc w:val="both"/>
        <w:rPr>
          <w:rFonts w:ascii="Times New Roman" w:hAnsi="Times New Roman"/>
          <w:sz w:val="24"/>
          <w:szCs w:val="24"/>
        </w:rPr>
      </w:pPr>
      <w:r w:rsidRPr="00EC1408">
        <w:rPr>
          <w:rFonts w:ascii="Times New Roman" w:hAnsi="Times New Roman"/>
          <w:sz w:val="24"/>
          <w:szCs w:val="24"/>
        </w:rPr>
        <w:t xml:space="preserve">67876117, </w:t>
      </w:r>
      <w:hyperlink r:id="rId14" w:history="1">
        <w:r w:rsidRPr="00EC1408">
          <w:rPr>
            <w:rStyle w:val="Hyperlink"/>
            <w:rFonts w:ascii="Times New Roman" w:hAnsi="Times New Roman"/>
            <w:color w:val="auto"/>
            <w:sz w:val="24"/>
            <w:szCs w:val="24"/>
            <w:u w:val="none"/>
          </w:rPr>
          <w:t>Inguna.Maca@vm.gov.lv</w:t>
        </w:r>
      </w:hyperlink>
    </w:p>
    <w:p w:rsidR="00704DB7" w:rsidRPr="00EC1408" w:rsidRDefault="00CA3C0F" w:rsidP="00145830">
      <w:pPr>
        <w:jc w:val="both"/>
        <w:rPr>
          <w:lang w:val="lv-LV"/>
        </w:rPr>
      </w:pPr>
      <w:r w:rsidRPr="00EC1408">
        <w:rPr>
          <w:lang w:val="lv-LV"/>
        </w:rPr>
        <w:t>V.Gulbe</w:t>
      </w:r>
    </w:p>
    <w:p w:rsidR="00EC1408" w:rsidRPr="00736685" w:rsidRDefault="00CA3C0F" w:rsidP="00736685">
      <w:pPr>
        <w:jc w:val="both"/>
        <w:rPr>
          <w:lang w:val="lv-LV"/>
        </w:rPr>
      </w:pPr>
      <w:r w:rsidRPr="00EC1408">
        <w:rPr>
          <w:lang w:val="lv-LV"/>
        </w:rPr>
        <w:t>67876190</w:t>
      </w:r>
      <w:r w:rsidR="00704DB7" w:rsidRPr="00EC1408">
        <w:rPr>
          <w:lang w:val="lv-LV"/>
        </w:rPr>
        <w:t xml:space="preserve"> </w:t>
      </w:r>
      <w:hyperlink r:id="rId15" w:history="1">
        <w:r w:rsidR="00EC1408" w:rsidRPr="00EC1408">
          <w:rPr>
            <w:rStyle w:val="Hyperlink"/>
            <w:color w:val="auto"/>
            <w:u w:val="none"/>
            <w:lang w:val="lv-LV"/>
          </w:rPr>
          <w:t>Viktorija.Gulbe@vm.gov.lv</w:t>
        </w:r>
      </w:hyperlink>
    </w:p>
    <w:sectPr w:rsidR="00EC1408" w:rsidRPr="00736685" w:rsidSect="004E6D79">
      <w:headerReference w:type="default" r:id="rId16"/>
      <w:footerReference w:type="default" r:id="rId17"/>
      <w:footerReference w:type="first" r:id="rId18"/>
      <w:pgSz w:w="12240" w:h="15840"/>
      <w:pgMar w:top="1418" w:right="1134" w:bottom="1134" w:left="1701" w:header="72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EE" w:rsidRDefault="002921EE" w:rsidP="005A459A">
      <w:r>
        <w:separator/>
      </w:r>
    </w:p>
  </w:endnote>
  <w:endnote w:type="continuationSeparator" w:id="0">
    <w:p w:rsidR="002921EE" w:rsidRDefault="002921EE" w:rsidP="005A4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EE" w:rsidRDefault="00D06A82" w:rsidP="003E19B8">
    <w:pPr>
      <w:pStyle w:val="Footer"/>
      <w:jc w:val="both"/>
      <w:rPr>
        <w:lang w:val="lv-LV"/>
      </w:rPr>
    </w:pPr>
    <w:r>
      <w:rPr>
        <w:lang w:val="lv-LV"/>
      </w:rPr>
      <w:t>VMAnot_0212</w:t>
    </w:r>
    <w:r w:rsidR="002921EE">
      <w:rPr>
        <w:lang w:val="lv-LV"/>
      </w:rPr>
      <w:t xml:space="preserve">13_VSS1750; </w:t>
    </w:r>
    <w:r w:rsidR="002921EE" w:rsidRPr="005A3520">
      <w:rPr>
        <w:lang w:val="lv-LV"/>
      </w:rPr>
      <w:t>Ministru kabineta noteikumu projekts ”Grozījumi Ministru kabineta 2007.gada 26.jūnija noteikumos Nr.416 ”Zāļu izplatīšanas un kvalitātes kontroles kārtība””</w:t>
    </w:r>
  </w:p>
  <w:p w:rsidR="002921EE" w:rsidRPr="003E19B8" w:rsidRDefault="002921EE" w:rsidP="003E19B8">
    <w:pPr>
      <w:pStyle w:val="Footer"/>
      <w:jc w:val="both"/>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EE" w:rsidRDefault="00D06A82" w:rsidP="00E7681B">
    <w:pPr>
      <w:pStyle w:val="Footer"/>
      <w:jc w:val="both"/>
      <w:rPr>
        <w:lang w:val="lv-LV"/>
      </w:rPr>
    </w:pPr>
    <w:r>
      <w:rPr>
        <w:lang w:val="lv-LV"/>
      </w:rPr>
      <w:t>VMAnot_0212</w:t>
    </w:r>
    <w:r w:rsidR="002921EE">
      <w:rPr>
        <w:lang w:val="lv-LV"/>
      </w:rPr>
      <w:t xml:space="preserve">13_VSS1750; </w:t>
    </w:r>
    <w:r w:rsidR="002921EE" w:rsidRPr="005A3520">
      <w:rPr>
        <w:lang w:val="lv-LV"/>
      </w:rPr>
      <w:t>Ministru kabineta noteikumu projekts ”Grozījumi Ministru kabineta 2007.gada 26.jūnija noteikumos Nr.416 ”Zāļu izplatīšanas un kvalitātes kontroles kārtība””</w:t>
    </w:r>
  </w:p>
  <w:p w:rsidR="002921EE" w:rsidRPr="00A066BE" w:rsidRDefault="002921EE" w:rsidP="00E7681B">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EE" w:rsidRDefault="002921EE" w:rsidP="005A459A">
      <w:r>
        <w:separator/>
      </w:r>
    </w:p>
  </w:footnote>
  <w:footnote w:type="continuationSeparator" w:id="0">
    <w:p w:rsidR="002921EE" w:rsidRDefault="002921EE" w:rsidP="005A4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5079"/>
      <w:docPartObj>
        <w:docPartGallery w:val="Page Numbers (Top of Page)"/>
        <w:docPartUnique/>
      </w:docPartObj>
    </w:sdtPr>
    <w:sdtContent>
      <w:p w:rsidR="002921EE" w:rsidRDefault="00962B56">
        <w:pPr>
          <w:pStyle w:val="Header"/>
          <w:jc w:val="center"/>
        </w:pPr>
        <w:fldSimple w:instr=" PAGE   \* MERGEFORMAT ">
          <w:r w:rsidR="00413A39">
            <w:rPr>
              <w:noProof/>
            </w:rPr>
            <w:t>23</w:t>
          </w:r>
        </w:fldSimple>
      </w:p>
    </w:sdtContent>
  </w:sdt>
  <w:p w:rsidR="002921EE" w:rsidRDefault="00292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313B"/>
    <w:multiLevelType w:val="hybridMultilevel"/>
    <w:tmpl w:val="1FAED1EC"/>
    <w:lvl w:ilvl="0" w:tplc="4E6E2F1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42F62B0F"/>
    <w:multiLevelType w:val="hybridMultilevel"/>
    <w:tmpl w:val="F622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96609"/>
  </w:hdrShapeDefaults>
  <w:footnotePr>
    <w:footnote w:id="-1"/>
    <w:footnote w:id="0"/>
  </w:footnotePr>
  <w:endnotePr>
    <w:endnote w:id="-1"/>
    <w:endnote w:id="0"/>
  </w:endnotePr>
  <w:compat/>
  <w:rsids>
    <w:rsidRoot w:val="00145830"/>
    <w:rsid w:val="000007CE"/>
    <w:rsid w:val="000009B0"/>
    <w:rsid w:val="000009E2"/>
    <w:rsid w:val="00000AE7"/>
    <w:rsid w:val="00005558"/>
    <w:rsid w:val="00010BBB"/>
    <w:rsid w:val="00010FF0"/>
    <w:rsid w:val="00011574"/>
    <w:rsid w:val="00012CD1"/>
    <w:rsid w:val="00014703"/>
    <w:rsid w:val="000151F4"/>
    <w:rsid w:val="000158D6"/>
    <w:rsid w:val="00030937"/>
    <w:rsid w:val="000342AA"/>
    <w:rsid w:val="00042F21"/>
    <w:rsid w:val="00044AF7"/>
    <w:rsid w:val="000471F9"/>
    <w:rsid w:val="0004792C"/>
    <w:rsid w:val="00051511"/>
    <w:rsid w:val="0005282C"/>
    <w:rsid w:val="0005783C"/>
    <w:rsid w:val="00060202"/>
    <w:rsid w:val="00061344"/>
    <w:rsid w:val="00062BE9"/>
    <w:rsid w:val="00065DE1"/>
    <w:rsid w:val="0006610A"/>
    <w:rsid w:val="00071473"/>
    <w:rsid w:val="00071843"/>
    <w:rsid w:val="000725B7"/>
    <w:rsid w:val="00074D89"/>
    <w:rsid w:val="0007640C"/>
    <w:rsid w:val="00076E1F"/>
    <w:rsid w:val="00077F30"/>
    <w:rsid w:val="0008604D"/>
    <w:rsid w:val="0009399C"/>
    <w:rsid w:val="000A0B28"/>
    <w:rsid w:val="000A0F0F"/>
    <w:rsid w:val="000A3E6D"/>
    <w:rsid w:val="000A73E8"/>
    <w:rsid w:val="000B1459"/>
    <w:rsid w:val="000B1F4C"/>
    <w:rsid w:val="000B210B"/>
    <w:rsid w:val="000B4D58"/>
    <w:rsid w:val="000C559A"/>
    <w:rsid w:val="000C6DEE"/>
    <w:rsid w:val="000D10AE"/>
    <w:rsid w:val="000D6F16"/>
    <w:rsid w:val="000E095E"/>
    <w:rsid w:val="000F5A37"/>
    <w:rsid w:val="000F5B19"/>
    <w:rsid w:val="000F781F"/>
    <w:rsid w:val="00102171"/>
    <w:rsid w:val="00105D49"/>
    <w:rsid w:val="00106B94"/>
    <w:rsid w:val="0011083B"/>
    <w:rsid w:val="00112ADB"/>
    <w:rsid w:val="001166E0"/>
    <w:rsid w:val="0011675D"/>
    <w:rsid w:val="00121EB7"/>
    <w:rsid w:val="00124E14"/>
    <w:rsid w:val="00125604"/>
    <w:rsid w:val="00130979"/>
    <w:rsid w:val="00130B7E"/>
    <w:rsid w:val="00131D6A"/>
    <w:rsid w:val="00136042"/>
    <w:rsid w:val="001365FD"/>
    <w:rsid w:val="0013719D"/>
    <w:rsid w:val="001375CB"/>
    <w:rsid w:val="001411C6"/>
    <w:rsid w:val="00145830"/>
    <w:rsid w:val="00145E92"/>
    <w:rsid w:val="0014784D"/>
    <w:rsid w:val="00152432"/>
    <w:rsid w:val="001561FD"/>
    <w:rsid w:val="001601E6"/>
    <w:rsid w:val="0016066E"/>
    <w:rsid w:val="00167016"/>
    <w:rsid w:val="00174563"/>
    <w:rsid w:val="00174BC9"/>
    <w:rsid w:val="00186ADD"/>
    <w:rsid w:val="001922ED"/>
    <w:rsid w:val="00195FBC"/>
    <w:rsid w:val="00197B2F"/>
    <w:rsid w:val="001A2425"/>
    <w:rsid w:val="001A54D8"/>
    <w:rsid w:val="001B2C43"/>
    <w:rsid w:val="001B2E9A"/>
    <w:rsid w:val="001B7878"/>
    <w:rsid w:val="001B7F3F"/>
    <w:rsid w:val="001D054F"/>
    <w:rsid w:val="001D0BA3"/>
    <w:rsid w:val="001D0C30"/>
    <w:rsid w:val="001D27BE"/>
    <w:rsid w:val="001D2FE3"/>
    <w:rsid w:val="001D50A4"/>
    <w:rsid w:val="001D602B"/>
    <w:rsid w:val="001F5BBB"/>
    <w:rsid w:val="00200148"/>
    <w:rsid w:val="00200436"/>
    <w:rsid w:val="00206BBB"/>
    <w:rsid w:val="00213BBE"/>
    <w:rsid w:val="00214CD0"/>
    <w:rsid w:val="0021597B"/>
    <w:rsid w:val="00216ED9"/>
    <w:rsid w:val="00226CB0"/>
    <w:rsid w:val="00231B8B"/>
    <w:rsid w:val="00237F78"/>
    <w:rsid w:val="002401F9"/>
    <w:rsid w:val="00241119"/>
    <w:rsid w:val="00241868"/>
    <w:rsid w:val="002450B4"/>
    <w:rsid w:val="002509B5"/>
    <w:rsid w:val="0025390F"/>
    <w:rsid w:val="00254A73"/>
    <w:rsid w:val="00255415"/>
    <w:rsid w:val="0026573B"/>
    <w:rsid w:val="00273452"/>
    <w:rsid w:val="00277B61"/>
    <w:rsid w:val="002817C6"/>
    <w:rsid w:val="002915E4"/>
    <w:rsid w:val="00291AF5"/>
    <w:rsid w:val="00291BFE"/>
    <w:rsid w:val="002921EE"/>
    <w:rsid w:val="002937AE"/>
    <w:rsid w:val="00294F8E"/>
    <w:rsid w:val="00296004"/>
    <w:rsid w:val="002A4942"/>
    <w:rsid w:val="002A4E38"/>
    <w:rsid w:val="002A7231"/>
    <w:rsid w:val="002B0F64"/>
    <w:rsid w:val="002B4BAA"/>
    <w:rsid w:val="002C2477"/>
    <w:rsid w:val="002C29B3"/>
    <w:rsid w:val="002C4E4A"/>
    <w:rsid w:val="002D006C"/>
    <w:rsid w:val="002D78BE"/>
    <w:rsid w:val="002D7A07"/>
    <w:rsid w:val="002D7D4C"/>
    <w:rsid w:val="002E06DB"/>
    <w:rsid w:val="002E0D01"/>
    <w:rsid w:val="002E5B66"/>
    <w:rsid w:val="002E75ED"/>
    <w:rsid w:val="002F0BD5"/>
    <w:rsid w:val="002F231E"/>
    <w:rsid w:val="002F42B3"/>
    <w:rsid w:val="002F673F"/>
    <w:rsid w:val="00300D52"/>
    <w:rsid w:val="00315555"/>
    <w:rsid w:val="00316192"/>
    <w:rsid w:val="00317EB8"/>
    <w:rsid w:val="003222CE"/>
    <w:rsid w:val="00322593"/>
    <w:rsid w:val="003232A8"/>
    <w:rsid w:val="00324460"/>
    <w:rsid w:val="003267DE"/>
    <w:rsid w:val="00340F10"/>
    <w:rsid w:val="003415A9"/>
    <w:rsid w:val="00342567"/>
    <w:rsid w:val="0034304A"/>
    <w:rsid w:val="00345B63"/>
    <w:rsid w:val="00352930"/>
    <w:rsid w:val="00362097"/>
    <w:rsid w:val="00363B72"/>
    <w:rsid w:val="00367C5C"/>
    <w:rsid w:val="00377DAE"/>
    <w:rsid w:val="003908FA"/>
    <w:rsid w:val="00393644"/>
    <w:rsid w:val="00394185"/>
    <w:rsid w:val="00394E29"/>
    <w:rsid w:val="00397E88"/>
    <w:rsid w:val="003A420C"/>
    <w:rsid w:val="003A46C9"/>
    <w:rsid w:val="003B57B8"/>
    <w:rsid w:val="003B6D47"/>
    <w:rsid w:val="003B7248"/>
    <w:rsid w:val="003C6206"/>
    <w:rsid w:val="003C723A"/>
    <w:rsid w:val="003D251B"/>
    <w:rsid w:val="003D322F"/>
    <w:rsid w:val="003D433E"/>
    <w:rsid w:val="003D5850"/>
    <w:rsid w:val="003D7681"/>
    <w:rsid w:val="003E19B8"/>
    <w:rsid w:val="003F13B5"/>
    <w:rsid w:val="003F2BEC"/>
    <w:rsid w:val="003F2DA3"/>
    <w:rsid w:val="003F4B01"/>
    <w:rsid w:val="00404AED"/>
    <w:rsid w:val="00411A19"/>
    <w:rsid w:val="004121DA"/>
    <w:rsid w:val="004123C8"/>
    <w:rsid w:val="00413A39"/>
    <w:rsid w:val="00416272"/>
    <w:rsid w:val="00420D09"/>
    <w:rsid w:val="004256AB"/>
    <w:rsid w:val="00427920"/>
    <w:rsid w:val="00430CD9"/>
    <w:rsid w:val="00432604"/>
    <w:rsid w:val="00434CCD"/>
    <w:rsid w:val="00440C65"/>
    <w:rsid w:val="004424E4"/>
    <w:rsid w:val="00452B95"/>
    <w:rsid w:val="00453A55"/>
    <w:rsid w:val="0045415A"/>
    <w:rsid w:val="0045486B"/>
    <w:rsid w:val="004548DE"/>
    <w:rsid w:val="004628A9"/>
    <w:rsid w:val="00463EC0"/>
    <w:rsid w:val="00472BC2"/>
    <w:rsid w:val="00473587"/>
    <w:rsid w:val="00477140"/>
    <w:rsid w:val="00481BE0"/>
    <w:rsid w:val="0049187B"/>
    <w:rsid w:val="00492DD7"/>
    <w:rsid w:val="0049486D"/>
    <w:rsid w:val="0049563A"/>
    <w:rsid w:val="004A5115"/>
    <w:rsid w:val="004A6434"/>
    <w:rsid w:val="004A6A34"/>
    <w:rsid w:val="004B1C94"/>
    <w:rsid w:val="004B63BF"/>
    <w:rsid w:val="004C3910"/>
    <w:rsid w:val="004C51F8"/>
    <w:rsid w:val="004C7DEA"/>
    <w:rsid w:val="004D207D"/>
    <w:rsid w:val="004E0735"/>
    <w:rsid w:val="004E2C88"/>
    <w:rsid w:val="004E5A58"/>
    <w:rsid w:val="004E6D79"/>
    <w:rsid w:val="004F1396"/>
    <w:rsid w:val="004F32E9"/>
    <w:rsid w:val="00503475"/>
    <w:rsid w:val="00504DDC"/>
    <w:rsid w:val="00505FB9"/>
    <w:rsid w:val="0050765E"/>
    <w:rsid w:val="0051125B"/>
    <w:rsid w:val="00517432"/>
    <w:rsid w:val="005217E4"/>
    <w:rsid w:val="005219D0"/>
    <w:rsid w:val="00522C4B"/>
    <w:rsid w:val="00531AC3"/>
    <w:rsid w:val="00536AAD"/>
    <w:rsid w:val="00541BF4"/>
    <w:rsid w:val="00545CAA"/>
    <w:rsid w:val="00554214"/>
    <w:rsid w:val="00571C7C"/>
    <w:rsid w:val="0057288B"/>
    <w:rsid w:val="00572A5F"/>
    <w:rsid w:val="00572EA7"/>
    <w:rsid w:val="005823E4"/>
    <w:rsid w:val="005824AB"/>
    <w:rsid w:val="0058496C"/>
    <w:rsid w:val="00584FFE"/>
    <w:rsid w:val="00592461"/>
    <w:rsid w:val="0059731D"/>
    <w:rsid w:val="005A1622"/>
    <w:rsid w:val="005A390E"/>
    <w:rsid w:val="005A459A"/>
    <w:rsid w:val="005B1D17"/>
    <w:rsid w:val="005B6793"/>
    <w:rsid w:val="005B74E4"/>
    <w:rsid w:val="005C203E"/>
    <w:rsid w:val="005C5704"/>
    <w:rsid w:val="005C7EAC"/>
    <w:rsid w:val="005D121B"/>
    <w:rsid w:val="005D4ACC"/>
    <w:rsid w:val="005D4F76"/>
    <w:rsid w:val="005D7ACC"/>
    <w:rsid w:val="005E03E1"/>
    <w:rsid w:val="005E6509"/>
    <w:rsid w:val="005E6685"/>
    <w:rsid w:val="005F2474"/>
    <w:rsid w:val="005F3AAD"/>
    <w:rsid w:val="00610C1B"/>
    <w:rsid w:val="00613424"/>
    <w:rsid w:val="00614171"/>
    <w:rsid w:val="00615A87"/>
    <w:rsid w:val="006310E1"/>
    <w:rsid w:val="00652786"/>
    <w:rsid w:val="00652E1A"/>
    <w:rsid w:val="00670847"/>
    <w:rsid w:val="00673CCC"/>
    <w:rsid w:val="00674AA5"/>
    <w:rsid w:val="006769B0"/>
    <w:rsid w:val="00680652"/>
    <w:rsid w:val="00681B79"/>
    <w:rsid w:val="00684205"/>
    <w:rsid w:val="006905E1"/>
    <w:rsid w:val="00692698"/>
    <w:rsid w:val="006A21BA"/>
    <w:rsid w:val="006A2B31"/>
    <w:rsid w:val="006A5EEA"/>
    <w:rsid w:val="006A7950"/>
    <w:rsid w:val="006A7A6F"/>
    <w:rsid w:val="006B56AB"/>
    <w:rsid w:val="006B639D"/>
    <w:rsid w:val="006C3B15"/>
    <w:rsid w:val="006C44BD"/>
    <w:rsid w:val="006C6CAD"/>
    <w:rsid w:val="006D069D"/>
    <w:rsid w:val="006D2CA8"/>
    <w:rsid w:val="006D2EAB"/>
    <w:rsid w:val="006D3DFC"/>
    <w:rsid w:val="006D57F2"/>
    <w:rsid w:val="006D689A"/>
    <w:rsid w:val="006D7EA5"/>
    <w:rsid w:val="006E0775"/>
    <w:rsid w:val="006E29A1"/>
    <w:rsid w:val="006E577C"/>
    <w:rsid w:val="006E6CE8"/>
    <w:rsid w:val="00700604"/>
    <w:rsid w:val="007023A7"/>
    <w:rsid w:val="00704DB7"/>
    <w:rsid w:val="007076C0"/>
    <w:rsid w:val="00712EF2"/>
    <w:rsid w:val="007152A2"/>
    <w:rsid w:val="00715ACF"/>
    <w:rsid w:val="00717D34"/>
    <w:rsid w:val="00720899"/>
    <w:rsid w:val="00722A32"/>
    <w:rsid w:val="00723713"/>
    <w:rsid w:val="00724096"/>
    <w:rsid w:val="00724E80"/>
    <w:rsid w:val="00724FF1"/>
    <w:rsid w:val="0073238C"/>
    <w:rsid w:val="00733D9C"/>
    <w:rsid w:val="00736685"/>
    <w:rsid w:val="007406EB"/>
    <w:rsid w:val="007419BB"/>
    <w:rsid w:val="0074302D"/>
    <w:rsid w:val="00747589"/>
    <w:rsid w:val="0075377C"/>
    <w:rsid w:val="007547A0"/>
    <w:rsid w:val="00755FFA"/>
    <w:rsid w:val="007560AD"/>
    <w:rsid w:val="007576B2"/>
    <w:rsid w:val="00762676"/>
    <w:rsid w:val="007630C6"/>
    <w:rsid w:val="007647EA"/>
    <w:rsid w:val="00766A02"/>
    <w:rsid w:val="00767A5C"/>
    <w:rsid w:val="00776FAA"/>
    <w:rsid w:val="0078027E"/>
    <w:rsid w:val="007820FF"/>
    <w:rsid w:val="007937A9"/>
    <w:rsid w:val="00794918"/>
    <w:rsid w:val="007A2ED8"/>
    <w:rsid w:val="007A39ED"/>
    <w:rsid w:val="007A5A8A"/>
    <w:rsid w:val="007A6488"/>
    <w:rsid w:val="007A7B44"/>
    <w:rsid w:val="007B4536"/>
    <w:rsid w:val="007C6F00"/>
    <w:rsid w:val="007D113C"/>
    <w:rsid w:val="007D1479"/>
    <w:rsid w:val="007D520B"/>
    <w:rsid w:val="007D6934"/>
    <w:rsid w:val="007E29C6"/>
    <w:rsid w:val="007E2B8B"/>
    <w:rsid w:val="007E4610"/>
    <w:rsid w:val="007E63A4"/>
    <w:rsid w:val="007F4D83"/>
    <w:rsid w:val="007F7902"/>
    <w:rsid w:val="00801600"/>
    <w:rsid w:val="008162A6"/>
    <w:rsid w:val="0081792E"/>
    <w:rsid w:val="00817A7E"/>
    <w:rsid w:val="00842A5F"/>
    <w:rsid w:val="00844789"/>
    <w:rsid w:val="00850536"/>
    <w:rsid w:val="0085187D"/>
    <w:rsid w:val="00851D41"/>
    <w:rsid w:val="00857966"/>
    <w:rsid w:val="00872B2A"/>
    <w:rsid w:val="00875A8C"/>
    <w:rsid w:val="00880592"/>
    <w:rsid w:val="00890434"/>
    <w:rsid w:val="00891B73"/>
    <w:rsid w:val="00896374"/>
    <w:rsid w:val="00897856"/>
    <w:rsid w:val="008A70A1"/>
    <w:rsid w:val="008A7CEB"/>
    <w:rsid w:val="008B3581"/>
    <w:rsid w:val="008B3619"/>
    <w:rsid w:val="008B4691"/>
    <w:rsid w:val="008B4993"/>
    <w:rsid w:val="008B54CE"/>
    <w:rsid w:val="008D123B"/>
    <w:rsid w:val="008D3027"/>
    <w:rsid w:val="008D605F"/>
    <w:rsid w:val="008E1441"/>
    <w:rsid w:val="008F418F"/>
    <w:rsid w:val="009011B5"/>
    <w:rsid w:val="009074AE"/>
    <w:rsid w:val="00907502"/>
    <w:rsid w:val="00907F5F"/>
    <w:rsid w:val="00912619"/>
    <w:rsid w:val="009128A8"/>
    <w:rsid w:val="00912C26"/>
    <w:rsid w:val="00920059"/>
    <w:rsid w:val="009203D9"/>
    <w:rsid w:val="00925250"/>
    <w:rsid w:val="009277A6"/>
    <w:rsid w:val="00927B65"/>
    <w:rsid w:val="009349A8"/>
    <w:rsid w:val="009363D9"/>
    <w:rsid w:val="009367DB"/>
    <w:rsid w:val="009411A2"/>
    <w:rsid w:val="00943250"/>
    <w:rsid w:val="00945AE8"/>
    <w:rsid w:val="00945F6D"/>
    <w:rsid w:val="00951312"/>
    <w:rsid w:val="009517F4"/>
    <w:rsid w:val="00952E87"/>
    <w:rsid w:val="00953959"/>
    <w:rsid w:val="00961F39"/>
    <w:rsid w:val="009629B0"/>
    <w:rsid w:val="00962B56"/>
    <w:rsid w:val="00962FA8"/>
    <w:rsid w:val="00963BC0"/>
    <w:rsid w:val="00963C15"/>
    <w:rsid w:val="00964089"/>
    <w:rsid w:val="009719E5"/>
    <w:rsid w:val="00971AB3"/>
    <w:rsid w:val="00972EF6"/>
    <w:rsid w:val="0097381C"/>
    <w:rsid w:val="00980607"/>
    <w:rsid w:val="00981E84"/>
    <w:rsid w:val="00986CB8"/>
    <w:rsid w:val="009904C5"/>
    <w:rsid w:val="00992622"/>
    <w:rsid w:val="009A1585"/>
    <w:rsid w:val="009A1AB5"/>
    <w:rsid w:val="009A5FE7"/>
    <w:rsid w:val="009B024A"/>
    <w:rsid w:val="009B095C"/>
    <w:rsid w:val="009B1651"/>
    <w:rsid w:val="009B2231"/>
    <w:rsid w:val="009B2E0B"/>
    <w:rsid w:val="009C2735"/>
    <w:rsid w:val="009C29D5"/>
    <w:rsid w:val="009E1D25"/>
    <w:rsid w:val="009E5154"/>
    <w:rsid w:val="009F5BB3"/>
    <w:rsid w:val="009F7978"/>
    <w:rsid w:val="009F7D7B"/>
    <w:rsid w:val="00A06644"/>
    <w:rsid w:val="00A066BE"/>
    <w:rsid w:val="00A11277"/>
    <w:rsid w:val="00A138BC"/>
    <w:rsid w:val="00A14EBF"/>
    <w:rsid w:val="00A152DE"/>
    <w:rsid w:val="00A20D96"/>
    <w:rsid w:val="00A302B2"/>
    <w:rsid w:val="00A367D3"/>
    <w:rsid w:val="00A36A8D"/>
    <w:rsid w:val="00A376C1"/>
    <w:rsid w:val="00A442DA"/>
    <w:rsid w:val="00A44C76"/>
    <w:rsid w:val="00A4569D"/>
    <w:rsid w:val="00A45A11"/>
    <w:rsid w:val="00A46029"/>
    <w:rsid w:val="00A50349"/>
    <w:rsid w:val="00A56099"/>
    <w:rsid w:val="00A67F8E"/>
    <w:rsid w:val="00A7590F"/>
    <w:rsid w:val="00A76B5C"/>
    <w:rsid w:val="00A80239"/>
    <w:rsid w:val="00A81C38"/>
    <w:rsid w:val="00A833F0"/>
    <w:rsid w:val="00A83D35"/>
    <w:rsid w:val="00A86863"/>
    <w:rsid w:val="00A92C3B"/>
    <w:rsid w:val="00A9615C"/>
    <w:rsid w:val="00A979DF"/>
    <w:rsid w:val="00AA12A1"/>
    <w:rsid w:val="00AA1CBE"/>
    <w:rsid w:val="00AA36E5"/>
    <w:rsid w:val="00AA4636"/>
    <w:rsid w:val="00AA751E"/>
    <w:rsid w:val="00AB008B"/>
    <w:rsid w:val="00AB53A3"/>
    <w:rsid w:val="00AB632C"/>
    <w:rsid w:val="00AB70B1"/>
    <w:rsid w:val="00AC2048"/>
    <w:rsid w:val="00AC3FD4"/>
    <w:rsid w:val="00AD2CC7"/>
    <w:rsid w:val="00AD47FC"/>
    <w:rsid w:val="00AD69FC"/>
    <w:rsid w:val="00AE3D77"/>
    <w:rsid w:val="00AE4026"/>
    <w:rsid w:val="00AE4773"/>
    <w:rsid w:val="00AE65A3"/>
    <w:rsid w:val="00AF30EB"/>
    <w:rsid w:val="00B0106B"/>
    <w:rsid w:val="00B027EB"/>
    <w:rsid w:val="00B1433B"/>
    <w:rsid w:val="00B15A79"/>
    <w:rsid w:val="00B15CD1"/>
    <w:rsid w:val="00B172EA"/>
    <w:rsid w:val="00B2019C"/>
    <w:rsid w:val="00B20A56"/>
    <w:rsid w:val="00B234A1"/>
    <w:rsid w:val="00B34B15"/>
    <w:rsid w:val="00B36BE0"/>
    <w:rsid w:val="00B446BF"/>
    <w:rsid w:val="00B469AE"/>
    <w:rsid w:val="00B57183"/>
    <w:rsid w:val="00B57BD2"/>
    <w:rsid w:val="00B60161"/>
    <w:rsid w:val="00B60C94"/>
    <w:rsid w:val="00B63073"/>
    <w:rsid w:val="00B66185"/>
    <w:rsid w:val="00B66E7C"/>
    <w:rsid w:val="00B67054"/>
    <w:rsid w:val="00B706AA"/>
    <w:rsid w:val="00B7525F"/>
    <w:rsid w:val="00B80E40"/>
    <w:rsid w:val="00B8183C"/>
    <w:rsid w:val="00B83BE2"/>
    <w:rsid w:val="00B86767"/>
    <w:rsid w:val="00B869E2"/>
    <w:rsid w:val="00B952D9"/>
    <w:rsid w:val="00B95806"/>
    <w:rsid w:val="00BA6FB0"/>
    <w:rsid w:val="00BA710C"/>
    <w:rsid w:val="00BB16CC"/>
    <w:rsid w:val="00BB265D"/>
    <w:rsid w:val="00BB422B"/>
    <w:rsid w:val="00BC228D"/>
    <w:rsid w:val="00BC2AC0"/>
    <w:rsid w:val="00BC3BE4"/>
    <w:rsid w:val="00BC40F4"/>
    <w:rsid w:val="00BD0E44"/>
    <w:rsid w:val="00BD157E"/>
    <w:rsid w:val="00BD1FAB"/>
    <w:rsid w:val="00BD5D1F"/>
    <w:rsid w:val="00BD6D80"/>
    <w:rsid w:val="00BF02CE"/>
    <w:rsid w:val="00BF1F26"/>
    <w:rsid w:val="00C069C9"/>
    <w:rsid w:val="00C1245C"/>
    <w:rsid w:val="00C16E38"/>
    <w:rsid w:val="00C17D47"/>
    <w:rsid w:val="00C21AF4"/>
    <w:rsid w:val="00C24158"/>
    <w:rsid w:val="00C30764"/>
    <w:rsid w:val="00C352DD"/>
    <w:rsid w:val="00C4045B"/>
    <w:rsid w:val="00C42390"/>
    <w:rsid w:val="00C424E5"/>
    <w:rsid w:val="00C42B10"/>
    <w:rsid w:val="00C4552E"/>
    <w:rsid w:val="00C45980"/>
    <w:rsid w:val="00C5142A"/>
    <w:rsid w:val="00C52B01"/>
    <w:rsid w:val="00C5439F"/>
    <w:rsid w:val="00C55F98"/>
    <w:rsid w:val="00C6027B"/>
    <w:rsid w:val="00C60F94"/>
    <w:rsid w:val="00C6239D"/>
    <w:rsid w:val="00C76F99"/>
    <w:rsid w:val="00C77747"/>
    <w:rsid w:val="00C80AF0"/>
    <w:rsid w:val="00C84066"/>
    <w:rsid w:val="00C850DC"/>
    <w:rsid w:val="00C956D6"/>
    <w:rsid w:val="00C97A2B"/>
    <w:rsid w:val="00CA3C0F"/>
    <w:rsid w:val="00CA7989"/>
    <w:rsid w:val="00CB15D5"/>
    <w:rsid w:val="00CB30A1"/>
    <w:rsid w:val="00CB4B58"/>
    <w:rsid w:val="00CC6015"/>
    <w:rsid w:val="00CC6A78"/>
    <w:rsid w:val="00CC7DD8"/>
    <w:rsid w:val="00CD14B6"/>
    <w:rsid w:val="00CD26E0"/>
    <w:rsid w:val="00CD4B79"/>
    <w:rsid w:val="00CE03F0"/>
    <w:rsid w:val="00CE79DE"/>
    <w:rsid w:val="00CF1D28"/>
    <w:rsid w:val="00CF1E02"/>
    <w:rsid w:val="00CF5DB2"/>
    <w:rsid w:val="00CF6ED3"/>
    <w:rsid w:val="00CF76D3"/>
    <w:rsid w:val="00D04859"/>
    <w:rsid w:val="00D06362"/>
    <w:rsid w:val="00D06A82"/>
    <w:rsid w:val="00D12D29"/>
    <w:rsid w:val="00D144E5"/>
    <w:rsid w:val="00D16AAE"/>
    <w:rsid w:val="00D16F66"/>
    <w:rsid w:val="00D218B5"/>
    <w:rsid w:val="00D21EC0"/>
    <w:rsid w:val="00D279B5"/>
    <w:rsid w:val="00D30D8D"/>
    <w:rsid w:val="00D418EB"/>
    <w:rsid w:val="00D46967"/>
    <w:rsid w:val="00D53775"/>
    <w:rsid w:val="00D54729"/>
    <w:rsid w:val="00D55CFC"/>
    <w:rsid w:val="00D6663E"/>
    <w:rsid w:val="00D71B67"/>
    <w:rsid w:val="00D73735"/>
    <w:rsid w:val="00D77BB0"/>
    <w:rsid w:val="00D77C9B"/>
    <w:rsid w:val="00D87923"/>
    <w:rsid w:val="00D9083D"/>
    <w:rsid w:val="00D91D9C"/>
    <w:rsid w:val="00D9215E"/>
    <w:rsid w:val="00D97CE8"/>
    <w:rsid w:val="00DA3DD5"/>
    <w:rsid w:val="00DA41FC"/>
    <w:rsid w:val="00DA4F9E"/>
    <w:rsid w:val="00DA749B"/>
    <w:rsid w:val="00DB1868"/>
    <w:rsid w:val="00DB2F3F"/>
    <w:rsid w:val="00DB41BB"/>
    <w:rsid w:val="00DB75A6"/>
    <w:rsid w:val="00DC49C4"/>
    <w:rsid w:val="00DD09B0"/>
    <w:rsid w:val="00DD0DA1"/>
    <w:rsid w:val="00DD24E8"/>
    <w:rsid w:val="00DD355A"/>
    <w:rsid w:val="00DD7C87"/>
    <w:rsid w:val="00DF6372"/>
    <w:rsid w:val="00DF66AB"/>
    <w:rsid w:val="00E062A6"/>
    <w:rsid w:val="00E06C54"/>
    <w:rsid w:val="00E106FB"/>
    <w:rsid w:val="00E10C96"/>
    <w:rsid w:val="00E13AA4"/>
    <w:rsid w:val="00E156B5"/>
    <w:rsid w:val="00E20C71"/>
    <w:rsid w:val="00E24D38"/>
    <w:rsid w:val="00E2641E"/>
    <w:rsid w:val="00E30D7A"/>
    <w:rsid w:val="00E37810"/>
    <w:rsid w:val="00E4129F"/>
    <w:rsid w:val="00E43B28"/>
    <w:rsid w:val="00E46423"/>
    <w:rsid w:val="00E46481"/>
    <w:rsid w:val="00E46F49"/>
    <w:rsid w:val="00E54238"/>
    <w:rsid w:val="00E56096"/>
    <w:rsid w:val="00E62B36"/>
    <w:rsid w:val="00E6475B"/>
    <w:rsid w:val="00E64E65"/>
    <w:rsid w:val="00E658B3"/>
    <w:rsid w:val="00E702DE"/>
    <w:rsid w:val="00E70DF4"/>
    <w:rsid w:val="00E7556F"/>
    <w:rsid w:val="00E7681B"/>
    <w:rsid w:val="00E77814"/>
    <w:rsid w:val="00E82F71"/>
    <w:rsid w:val="00E83A32"/>
    <w:rsid w:val="00E87A48"/>
    <w:rsid w:val="00E91870"/>
    <w:rsid w:val="00E95BD5"/>
    <w:rsid w:val="00EA0C06"/>
    <w:rsid w:val="00EA2E08"/>
    <w:rsid w:val="00EA5C94"/>
    <w:rsid w:val="00EA5E0C"/>
    <w:rsid w:val="00EB2903"/>
    <w:rsid w:val="00EB32F4"/>
    <w:rsid w:val="00EB35EB"/>
    <w:rsid w:val="00EB6EB0"/>
    <w:rsid w:val="00EC1408"/>
    <w:rsid w:val="00EC1BA6"/>
    <w:rsid w:val="00EC2091"/>
    <w:rsid w:val="00EC2BEA"/>
    <w:rsid w:val="00EC476C"/>
    <w:rsid w:val="00ED01DA"/>
    <w:rsid w:val="00ED16E7"/>
    <w:rsid w:val="00ED1B8E"/>
    <w:rsid w:val="00ED415D"/>
    <w:rsid w:val="00ED4C07"/>
    <w:rsid w:val="00ED5D5E"/>
    <w:rsid w:val="00EE08DB"/>
    <w:rsid w:val="00EE18AD"/>
    <w:rsid w:val="00EE546D"/>
    <w:rsid w:val="00EE6467"/>
    <w:rsid w:val="00EE6B8C"/>
    <w:rsid w:val="00EE6FD8"/>
    <w:rsid w:val="00EF368A"/>
    <w:rsid w:val="00EF752B"/>
    <w:rsid w:val="00F058F8"/>
    <w:rsid w:val="00F072D0"/>
    <w:rsid w:val="00F10E44"/>
    <w:rsid w:val="00F13F67"/>
    <w:rsid w:val="00F24ED4"/>
    <w:rsid w:val="00F264C0"/>
    <w:rsid w:val="00F3100B"/>
    <w:rsid w:val="00F31699"/>
    <w:rsid w:val="00F31B12"/>
    <w:rsid w:val="00F36D44"/>
    <w:rsid w:val="00F37113"/>
    <w:rsid w:val="00F44293"/>
    <w:rsid w:val="00F50A2B"/>
    <w:rsid w:val="00F53125"/>
    <w:rsid w:val="00F571E6"/>
    <w:rsid w:val="00F65DE5"/>
    <w:rsid w:val="00F6683D"/>
    <w:rsid w:val="00F71BF7"/>
    <w:rsid w:val="00F77440"/>
    <w:rsid w:val="00F82D4B"/>
    <w:rsid w:val="00F83862"/>
    <w:rsid w:val="00F83ADF"/>
    <w:rsid w:val="00FA1C36"/>
    <w:rsid w:val="00FA496A"/>
    <w:rsid w:val="00FA7489"/>
    <w:rsid w:val="00FC12D8"/>
    <w:rsid w:val="00FC330C"/>
    <w:rsid w:val="00FC3FFC"/>
    <w:rsid w:val="00FC6F18"/>
    <w:rsid w:val="00FD0E7C"/>
    <w:rsid w:val="00FD33A1"/>
    <w:rsid w:val="00FD5DD7"/>
    <w:rsid w:val="00FD63D4"/>
    <w:rsid w:val="00FD79C6"/>
    <w:rsid w:val="00FD7A62"/>
    <w:rsid w:val="00FE13BE"/>
    <w:rsid w:val="00FE573C"/>
    <w:rsid w:val="00FE67B8"/>
    <w:rsid w:val="00FE757A"/>
    <w:rsid w:val="00FE7E98"/>
    <w:rsid w:val="00FF173A"/>
    <w:rsid w:val="00FF20F5"/>
    <w:rsid w:val="00FF2A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30"/>
    <w:rPr>
      <w:rFonts w:ascii="Times New Roman" w:eastAsia="Times New Roman" w:hAnsi="Times New Roman"/>
      <w:sz w:val="24"/>
      <w:szCs w:val="24"/>
      <w:lang w:val="en-GB"/>
    </w:rPr>
  </w:style>
  <w:style w:type="paragraph" w:styleId="Heading6">
    <w:name w:val="heading 6"/>
    <w:basedOn w:val="Normal"/>
    <w:next w:val="Normal"/>
    <w:link w:val="Heading6Char"/>
    <w:qFormat/>
    <w:rsid w:val="00145830"/>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45830"/>
    <w:rPr>
      <w:rFonts w:ascii="Times New Roman" w:eastAsia="Times New Roman" w:hAnsi="Times New Roman" w:cs="Times New Roman"/>
      <w:b/>
      <w:bCs/>
      <w:lang w:val="en-AU" w:eastAsia="lv-LV"/>
    </w:rPr>
  </w:style>
  <w:style w:type="character" w:styleId="Strong">
    <w:name w:val="Strong"/>
    <w:basedOn w:val="DefaultParagraphFont"/>
    <w:qFormat/>
    <w:rsid w:val="00145830"/>
    <w:rPr>
      <w:b/>
      <w:bCs/>
    </w:rPr>
  </w:style>
  <w:style w:type="paragraph" w:customStyle="1" w:styleId="naisf">
    <w:name w:val="naisf"/>
    <w:basedOn w:val="Normal"/>
    <w:rsid w:val="00145830"/>
    <w:pPr>
      <w:spacing w:before="100" w:beforeAutospacing="1" w:after="100" w:afterAutospacing="1"/>
    </w:pPr>
  </w:style>
  <w:style w:type="character" w:styleId="Hyperlink">
    <w:name w:val="Hyperlink"/>
    <w:basedOn w:val="DefaultParagraphFont"/>
    <w:uiPriority w:val="99"/>
    <w:rsid w:val="00145830"/>
    <w:rPr>
      <w:color w:val="0000FF"/>
      <w:u w:val="single"/>
    </w:rPr>
  </w:style>
  <w:style w:type="paragraph" w:customStyle="1" w:styleId="naisnod">
    <w:name w:val="naisnod"/>
    <w:basedOn w:val="Normal"/>
    <w:rsid w:val="00145830"/>
    <w:pPr>
      <w:spacing w:before="150" w:after="150"/>
      <w:jc w:val="center"/>
    </w:pPr>
    <w:rPr>
      <w:b/>
      <w:bCs/>
      <w:lang w:val="lv-LV" w:eastAsia="lv-LV"/>
    </w:rPr>
  </w:style>
  <w:style w:type="paragraph" w:customStyle="1" w:styleId="naiskr">
    <w:name w:val="naiskr"/>
    <w:basedOn w:val="Normal"/>
    <w:rsid w:val="00145830"/>
    <w:pPr>
      <w:spacing w:before="75" w:after="75"/>
    </w:pPr>
    <w:rPr>
      <w:lang w:val="lv-LV" w:eastAsia="lv-LV"/>
    </w:rPr>
  </w:style>
  <w:style w:type="paragraph" w:styleId="ListParagraph">
    <w:name w:val="List Paragraph"/>
    <w:basedOn w:val="Normal"/>
    <w:uiPriority w:val="99"/>
    <w:qFormat/>
    <w:rsid w:val="00145830"/>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145830"/>
    <w:rPr>
      <w:i/>
      <w:iCs/>
    </w:rPr>
  </w:style>
  <w:style w:type="paragraph" w:customStyle="1" w:styleId="naisc">
    <w:name w:val="naisc"/>
    <w:basedOn w:val="Normal"/>
    <w:rsid w:val="00145830"/>
    <w:pPr>
      <w:spacing w:before="75" w:after="75"/>
      <w:jc w:val="center"/>
    </w:pPr>
    <w:rPr>
      <w:lang w:val="lv-LV" w:eastAsia="lv-LV"/>
    </w:rPr>
  </w:style>
  <w:style w:type="paragraph" w:styleId="Header">
    <w:name w:val="header"/>
    <w:basedOn w:val="Normal"/>
    <w:link w:val="HeaderChar"/>
    <w:uiPriority w:val="99"/>
    <w:unhideWhenUsed/>
    <w:rsid w:val="005A459A"/>
    <w:pPr>
      <w:tabs>
        <w:tab w:val="center" w:pos="4153"/>
        <w:tab w:val="right" w:pos="8306"/>
      </w:tabs>
    </w:pPr>
  </w:style>
  <w:style w:type="character" w:customStyle="1" w:styleId="HeaderChar">
    <w:name w:val="Header Char"/>
    <w:basedOn w:val="DefaultParagraphFont"/>
    <w:link w:val="Header"/>
    <w:uiPriority w:val="99"/>
    <w:rsid w:val="005A459A"/>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5A459A"/>
    <w:pPr>
      <w:tabs>
        <w:tab w:val="center" w:pos="4153"/>
        <w:tab w:val="right" w:pos="8306"/>
      </w:tabs>
    </w:pPr>
  </w:style>
  <w:style w:type="character" w:customStyle="1" w:styleId="FooterChar">
    <w:name w:val="Footer Char"/>
    <w:basedOn w:val="DefaultParagraphFont"/>
    <w:link w:val="Footer"/>
    <w:uiPriority w:val="99"/>
    <w:rsid w:val="005A459A"/>
    <w:rPr>
      <w:rFonts w:ascii="Times New Roman" w:eastAsia="Times New Roman" w:hAnsi="Times New Roman"/>
      <w:sz w:val="24"/>
      <w:szCs w:val="24"/>
      <w:lang w:val="en-GB" w:eastAsia="en-US"/>
    </w:rPr>
  </w:style>
  <w:style w:type="paragraph" w:customStyle="1" w:styleId="Default">
    <w:name w:val="Default"/>
    <w:rsid w:val="000B210B"/>
    <w:pPr>
      <w:autoSpaceDE w:val="0"/>
      <w:autoSpaceDN w:val="0"/>
      <w:adjustRightInd w:val="0"/>
    </w:pPr>
    <w:rPr>
      <w:rFonts w:ascii="Times New Roman" w:hAnsi="Times New Roman"/>
      <w:color w:val="000000"/>
      <w:sz w:val="24"/>
      <w:szCs w:val="24"/>
      <w:lang w:val="lv-LV" w:eastAsia="lv-LV"/>
    </w:rPr>
  </w:style>
  <w:style w:type="paragraph" w:styleId="BalloonText">
    <w:name w:val="Balloon Text"/>
    <w:basedOn w:val="Normal"/>
    <w:link w:val="BalloonTextChar"/>
    <w:uiPriority w:val="99"/>
    <w:semiHidden/>
    <w:unhideWhenUsed/>
    <w:rsid w:val="00767A5C"/>
    <w:rPr>
      <w:rFonts w:ascii="Tahoma" w:hAnsi="Tahoma" w:cs="Tahoma"/>
      <w:sz w:val="16"/>
      <w:szCs w:val="16"/>
    </w:rPr>
  </w:style>
  <w:style w:type="character" w:customStyle="1" w:styleId="BalloonTextChar">
    <w:name w:val="Balloon Text Char"/>
    <w:basedOn w:val="DefaultParagraphFont"/>
    <w:link w:val="BalloonText"/>
    <w:uiPriority w:val="99"/>
    <w:semiHidden/>
    <w:rsid w:val="00767A5C"/>
    <w:rPr>
      <w:rFonts w:ascii="Tahoma" w:eastAsia="Times New Roman" w:hAnsi="Tahoma" w:cs="Tahoma"/>
      <w:sz w:val="16"/>
      <w:szCs w:val="16"/>
      <w:lang w:val="en-GB"/>
    </w:rPr>
  </w:style>
  <w:style w:type="paragraph" w:customStyle="1" w:styleId="CM4">
    <w:name w:val="CM4"/>
    <w:basedOn w:val="Normal"/>
    <w:next w:val="Normal"/>
    <w:uiPriority w:val="99"/>
    <w:rsid w:val="00DD09B0"/>
    <w:pPr>
      <w:autoSpaceDE w:val="0"/>
      <w:autoSpaceDN w:val="0"/>
      <w:adjustRightInd w:val="0"/>
    </w:pPr>
    <w:rPr>
      <w:rFonts w:eastAsia="Calibri"/>
      <w:lang w:val="en-US"/>
    </w:rPr>
  </w:style>
  <w:style w:type="character" w:styleId="CommentReference">
    <w:name w:val="annotation reference"/>
    <w:basedOn w:val="DefaultParagraphFont"/>
    <w:uiPriority w:val="99"/>
    <w:semiHidden/>
    <w:unhideWhenUsed/>
    <w:rsid w:val="00200436"/>
    <w:rPr>
      <w:sz w:val="16"/>
      <w:szCs w:val="16"/>
    </w:rPr>
  </w:style>
  <w:style w:type="paragraph" w:styleId="CommentText">
    <w:name w:val="annotation text"/>
    <w:basedOn w:val="Normal"/>
    <w:link w:val="CommentTextChar"/>
    <w:uiPriority w:val="99"/>
    <w:semiHidden/>
    <w:unhideWhenUsed/>
    <w:rsid w:val="00200436"/>
    <w:rPr>
      <w:sz w:val="20"/>
      <w:szCs w:val="20"/>
    </w:rPr>
  </w:style>
  <w:style w:type="character" w:customStyle="1" w:styleId="CommentTextChar">
    <w:name w:val="Comment Text Char"/>
    <w:basedOn w:val="DefaultParagraphFont"/>
    <w:link w:val="CommentText"/>
    <w:uiPriority w:val="99"/>
    <w:semiHidden/>
    <w:rsid w:val="0020043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200436"/>
    <w:rPr>
      <w:b/>
      <w:bCs/>
    </w:rPr>
  </w:style>
  <w:style w:type="character" w:customStyle="1" w:styleId="CommentSubjectChar">
    <w:name w:val="Comment Subject Char"/>
    <w:basedOn w:val="CommentTextChar"/>
    <w:link w:val="CommentSubject"/>
    <w:uiPriority w:val="99"/>
    <w:semiHidden/>
    <w:rsid w:val="00200436"/>
    <w:rPr>
      <w:b/>
      <w:bCs/>
    </w:rPr>
  </w:style>
  <w:style w:type="paragraph" w:styleId="NoSpacing">
    <w:name w:val="No Spacing"/>
    <w:link w:val="NoSpacingChar"/>
    <w:uiPriority w:val="1"/>
    <w:qFormat/>
    <w:rsid w:val="00776FAA"/>
    <w:rPr>
      <w:sz w:val="22"/>
      <w:szCs w:val="22"/>
      <w:lang w:val="lv-LV"/>
    </w:rPr>
  </w:style>
  <w:style w:type="character" w:customStyle="1" w:styleId="NoSpacingChar">
    <w:name w:val="No Spacing Char"/>
    <w:basedOn w:val="DefaultParagraphFont"/>
    <w:link w:val="NoSpacing"/>
    <w:uiPriority w:val="1"/>
    <w:rsid w:val="00D97CE8"/>
    <w:rPr>
      <w:sz w:val="22"/>
      <w:szCs w:val="22"/>
      <w:lang w:val="lv-LV"/>
    </w:rPr>
  </w:style>
  <w:style w:type="paragraph" w:customStyle="1" w:styleId="tv2131">
    <w:name w:val="tv2131"/>
    <w:basedOn w:val="Normal"/>
    <w:rsid w:val="00D97CE8"/>
    <w:pPr>
      <w:spacing w:before="240" w:line="360" w:lineRule="auto"/>
      <w:ind w:firstLine="300"/>
      <w:jc w:val="both"/>
    </w:pPr>
    <w:rPr>
      <w:rFonts w:ascii="Verdana" w:hAnsi="Verdana"/>
      <w:sz w:val="18"/>
      <w:szCs w:val="18"/>
      <w:lang w:val="en-US"/>
    </w:rPr>
  </w:style>
  <w:style w:type="paragraph" w:customStyle="1" w:styleId="Bezatstarpm1">
    <w:name w:val="Bez atstarpēm1"/>
    <w:uiPriority w:val="1"/>
    <w:qFormat/>
    <w:rsid w:val="00010FF0"/>
    <w:rPr>
      <w:rFonts w:eastAsia="Times New Roman"/>
      <w:sz w:val="22"/>
      <w:szCs w:val="22"/>
    </w:rPr>
  </w:style>
  <w:style w:type="character" w:customStyle="1" w:styleId="hps">
    <w:name w:val="hps"/>
    <w:rsid w:val="00C97A2B"/>
  </w:style>
  <w:style w:type="paragraph" w:customStyle="1" w:styleId="tv213">
    <w:name w:val="tv213"/>
    <w:basedOn w:val="Normal"/>
    <w:rsid w:val="00C97A2B"/>
    <w:pPr>
      <w:spacing w:before="100" w:beforeAutospacing="1" w:after="100" w:afterAutospacing="1"/>
    </w:pPr>
    <w:rPr>
      <w:lang w:val="lv-LV" w:eastAsia="lv-LV"/>
    </w:rPr>
  </w:style>
  <w:style w:type="character" w:customStyle="1" w:styleId="spelle">
    <w:name w:val="spelle"/>
    <w:basedOn w:val="DefaultParagraphFont"/>
    <w:rsid w:val="00C97A2B"/>
  </w:style>
  <w:style w:type="character" w:customStyle="1" w:styleId="apple-converted-space">
    <w:name w:val="apple-converted-space"/>
    <w:basedOn w:val="DefaultParagraphFont"/>
    <w:rsid w:val="00C97A2B"/>
  </w:style>
  <w:style w:type="character" w:styleId="FollowedHyperlink">
    <w:name w:val="FollowedHyperlink"/>
    <w:basedOn w:val="DefaultParagraphFont"/>
    <w:uiPriority w:val="99"/>
    <w:semiHidden/>
    <w:unhideWhenUsed/>
    <w:rsid w:val="002921EE"/>
    <w:rPr>
      <w:color w:val="800080" w:themeColor="followedHyperlink"/>
      <w:u w:val="single"/>
    </w:rPr>
  </w:style>
  <w:style w:type="paragraph" w:styleId="NormalWeb">
    <w:name w:val="Normal (Web)"/>
    <w:basedOn w:val="Normal"/>
    <w:uiPriority w:val="99"/>
    <w:semiHidden/>
    <w:unhideWhenUsed/>
    <w:rsid w:val="002921EE"/>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085109727">
      <w:bodyDiv w:val="1"/>
      <w:marLeft w:val="0"/>
      <w:marRight w:val="0"/>
      <w:marTop w:val="0"/>
      <w:marBottom w:val="0"/>
      <w:divBdr>
        <w:top w:val="none" w:sz="0" w:space="0" w:color="auto"/>
        <w:left w:val="none" w:sz="0" w:space="0" w:color="auto"/>
        <w:bottom w:val="none" w:sz="0" w:space="0" w:color="auto"/>
        <w:right w:val="none" w:sz="0" w:space="0" w:color="auto"/>
      </w:divBdr>
    </w:div>
    <w:div w:id="14843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human-use/good_distribution_practice/index_en.htm" TargetMode="External"/><Relationship Id="rId13" Type="http://schemas.openxmlformats.org/officeDocument/2006/relationships/hyperlink" Target="http://pro.nais.lv/naiser/esdoc.cfm?esid=32001L008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v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a.gov.lv" TargetMode="External"/><Relationship Id="rId5" Type="http://schemas.openxmlformats.org/officeDocument/2006/relationships/webSettings" Target="webSettings.xml"/><Relationship Id="rId15" Type="http://schemas.openxmlformats.org/officeDocument/2006/relationships/hyperlink" Target="mailto:Viktorija.Gulbe@vm.gov.lv" TargetMode="External"/><Relationship Id="rId10" Type="http://schemas.openxmlformats.org/officeDocument/2006/relationships/hyperlink" Target="http://www.zv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OJ:C:2013:343:0001:0014:LV:PDF" TargetMode="External"/><Relationship Id="rId14" Type="http://schemas.openxmlformats.org/officeDocument/2006/relationships/hyperlink" Target="mailto:Inguna.Maca@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8488-4C20-472F-9F18-DEE6BABF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6447</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2007.gada 26.jūnija noteikumos Nr.416 "Zāļu izplatīšanas un kvalitātes kontroles kārtība""</vt:lpstr>
    </vt:vector>
  </TitlesOfParts>
  <Company>Veselības ministrija</Company>
  <LinksUpToDate>false</LinksUpToDate>
  <CharactersWithSpaces>43109</CharactersWithSpaces>
  <SharedDoc>false</SharedDoc>
  <HLinks>
    <vt:vector size="24" baseType="variant">
      <vt:variant>
        <vt:i4>7274599</vt:i4>
      </vt:variant>
      <vt:variant>
        <vt:i4>9</vt:i4>
      </vt:variant>
      <vt:variant>
        <vt:i4>0</vt:i4>
      </vt:variant>
      <vt:variant>
        <vt:i4>5</vt:i4>
      </vt:variant>
      <vt:variant>
        <vt:lpwstr>http://pro.nais.lv/naiser/esdoc.cfm?esid=32004L0027</vt:lpwstr>
      </vt:variant>
      <vt:variant>
        <vt:lpwstr/>
      </vt:variant>
      <vt:variant>
        <vt:i4>6291559</vt:i4>
      </vt:variant>
      <vt:variant>
        <vt:i4>6</vt:i4>
      </vt:variant>
      <vt:variant>
        <vt:i4>0</vt:i4>
      </vt:variant>
      <vt:variant>
        <vt:i4>5</vt:i4>
      </vt:variant>
      <vt:variant>
        <vt:lpwstr>http://pro.nais.lv/naiser/esdoc.cfm?esid=32001L0083</vt:lpwstr>
      </vt:variant>
      <vt:variant>
        <vt:lpwstr/>
      </vt:variant>
      <vt:variant>
        <vt:i4>7274599</vt:i4>
      </vt:variant>
      <vt:variant>
        <vt:i4>3</vt:i4>
      </vt:variant>
      <vt:variant>
        <vt:i4>0</vt:i4>
      </vt:variant>
      <vt:variant>
        <vt:i4>5</vt:i4>
      </vt:variant>
      <vt:variant>
        <vt:lpwstr>http://pro.nais.lv/naiser/esdoc.cfm?esid=32004L0027</vt:lpwstr>
      </vt:variant>
      <vt:variant>
        <vt:lpwstr/>
      </vt:variant>
      <vt:variant>
        <vt:i4>6291559</vt:i4>
      </vt:variant>
      <vt:variant>
        <vt:i4>0</vt:i4>
      </vt:variant>
      <vt:variant>
        <vt:i4>0</vt:i4>
      </vt:variant>
      <vt:variant>
        <vt:i4>5</vt:i4>
      </vt:variant>
      <vt:variant>
        <vt:lpwstr>http://pro.nais.lv/naiser/esdoc.cfm?esid=32001L0083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2007.gada 26.jūnija noteikumos Nr.416 "Zāļu izplatīšanas un kvalitātes kontroles kārtība""</dc:title>
  <dc:subject>Anotācija</dc:subject>
  <dc:creator>Ingūna Mača;Viktorija Gulbe</dc:creator>
  <dc:description>Inguna.Maca@vm.gov.lv, tālr. 67876117_x000d_
Viktorija.Gulbe@vm.gov.lv, tālr. 67876190</dc:description>
  <cp:lastModifiedBy>imaca</cp:lastModifiedBy>
  <cp:revision>26</cp:revision>
  <cp:lastPrinted>2013-05-15T13:56:00Z</cp:lastPrinted>
  <dcterms:created xsi:type="dcterms:W3CDTF">2013-10-30T08:19:00Z</dcterms:created>
  <dcterms:modified xsi:type="dcterms:W3CDTF">2013-12-02T09:35:00Z</dcterms:modified>
</cp:coreProperties>
</file>