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9F" w:rsidRDefault="00BE09F3" w:rsidP="00A5439E">
      <w:pPr>
        <w:spacing w:before="120" w:after="120"/>
        <w:jc w:val="center"/>
        <w:rPr>
          <w:b/>
          <w:bCs/>
          <w:sz w:val="28"/>
          <w:szCs w:val="28"/>
        </w:rPr>
      </w:pPr>
      <w:bookmarkStart w:id="0" w:name="OLE_LINK1"/>
      <w:bookmarkStart w:id="1" w:name="OLE_LINK2"/>
      <w:bookmarkStart w:id="2" w:name="OLE_LINK5"/>
      <w:bookmarkStart w:id="3" w:name="OLE_LINK6"/>
      <w:r w:rsidRPr="000F0B0D">
        <w:rPr>
          <w:b/>
          <w:bCs/>
          <w:sz w:val="28"/>
          <w:szCs w:val="28"/>
        </w:rPr>
        <w:t xml:space="preserve">Ministru kabineta </w:t>
      </w:r>
      <w:r w:rsidR="00721A69">
        <w:rPr>
          <w:b/>
          <w:bCs/>
          <w:sz w:val="28"/>
          <w:szCs w:val="28"/>
        </w:rPr>
        <w:t>rīkojuma</w:t>
      </w:r>
      <w:r w:rsidRPr="000F0B0D">
        <w:rPr>
          <w:b/>
          <w:bCs/>
          <w:sz w:val="28"/>
          <w:szCs w:val="28"/>
        </w:rPr>
        <w:t xml:space="preserve"> projekta „</w:t>
      </w:r>
      <w:r w:rsidR="00721A69">
        <w:rPr>
          <w:b/>
          <w:sz w:val="29"/>
          <w:szCs w:val="29"/>
        </w:rPr>
        <w:t>Grozījumi</w:t>
      </w:r>
      <w:r w:rsidR="00721A69" w:rsidRPr="00A6136A">
        <w:rPr>
          <w:b/>
          <w:sz w:val="29"/>
          <w:szCs w:val="29"/>
        </w:rPr>
        <w:t xml:space="preserve"> darbības programmas „</w:t>
      </w:r>
      <w:r w:rsidR="00721A69">
        <w:rPr>
          <w:b/>
          <w:sz w:val="29"/>
          <w:szCs w:val="29"/>
        </w:rPr>
        <w:t>Infrastruktūra un pakalpojumi</w:t>
      </w:r>
      <w:r w:rsidR="00721A69" w:rsidRPr="00A6136A">
        <w:rPr>
          <w:b/>
          <w:sz w:val="29"/>
          <w:szCs w:val="29"/>
        </w:rPr>
        <w:t>” papildinājumā</w:t>
      </w:r>
      <w:r w:rsidRPr="000F0B0D">
        <w:rPr>
          <w:b/>
          <w:bCs/>
          <w:sz w:val="28"/>
          <w:szCs w:val="28"/>
        </w:rPr>
        <w:t>”</w:t>
      </w:r>
      <w:r w:rsidRPr="000F0B0D">
        <w:rPr>
          <w:b/>
          <w:sz w:val="28"/>
          <w:szCs w:val="28"/>
        </w:rPr>
        <w:t xml:space="preserve"> </w:t>
      </w:r>
      <w:r w:rsidR="008B37F0">
        <w:rPr>
          <w:b/>
          <w:sz w:val="28"/>
          <w:szCs w:val="28"/>
        </w:rPr>
        <w:t>sākotnējās ietekmes novērtējuma ziņojums (</w:t>
      </w:r>
      <w:r w:rsidRPr="000F0B0D">
        <w:rPr>
          <w:b/>
          <w:bCs/>
          <w:sz w:val="28"/>
          <w:szCs w:val="28"/>
        </w:rPr>
        <w:t>anotācija</w:t>
      </w:r>
      <w:bookmarkEnd w:id="0"/>
      <w:bookmarkEnd w:id="1"/>
      <w:r w:rsidR="008B37F0">
        <w:rPr>
          <w:b/>
          <w:bCs/>
          <w:sz w:val="28"/>
          <w:szCs w:val="28"/>
        </w:rPr>
        <w:t>)</w:t>
      </w:r>
      <w:bookmarkEnd w:id="2"/>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876"/>
        <w:gridCol w:w="5759"/>
      </w:tblGrid>
      <w:tr w:rsidR="00BE09F3" w:rsidRPr="001E3003" w:rsidTr="001E3003">
        <w:trPr>
          <w:trHeight w:val="559"/>
        </w:trPr>
        <w:tc>
          <w:tcPr>
            <w:tcW w:w="9287"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44069F">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1.</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Pamatojums</w:t>
            </w:r>
          </w:p>
        </w:tc>
        <w:tc>
          <w:tcPr>
            <w:tcW w:w="5759" w:type="dxa"/>
            <w:vAlign w:val="center"/>
          </w:tcPr>
          <w:p w:rsidR="00BE09F3" w:rsidRPr="00050B11" w:rsidRDefault="00050B11" w:rsidP="0044069F">
            <w:pPr>
              <w:spacing w:before="100" w:beforeAutospacing="1" w:after="100" w:afterAutospacing="1"/>
              <w:jc w:val="both"/>
            </w:pPr>
            <w:r w:rsidRPr="00050B11">
              <w:rPr>
                <w:iCs/>
              </w:rPr>
              <w:t>Grozījumi darbības programmas „Infrastruktūra un pakalpojumi” papildinājumā</w:t>
            </w:r>
            <w:r w:rsidRPr="00050B11">
              <w:t xml:space="preserve"> sagatavoti saskaņā ar 2007.gada 26.jūnija Ministru kabineta noteikumu Nr.419 „Kārtība, kādā Eiropas Savienības struktūrfondu un Kohēzijas fonda vadībā iesaistītās institūcijas nodrošina plānošanas </w:t>
            </w:r>
            <w:r w:rsidRPr="001F68AB">
              <w:rPr>
                <w:iCs/>
              </w:rPr>
              <w:t>dokumentu sagatavošanu un šo fondu ieviešanu” 9.punktu</w:t>
            </w:r>
            <w:r w:rsidR="001F68AB" w:rsidRPr="001F68AB">
              <w:rPr>
                <w:iCs/>
              </w:rPr>
              <w:t>, kas paredz, ka vadošā iestāde sadarbībā ar Eiropas Savienības struktūrfondu vadībā iesaistītajām institūcijām izstrādā un iesniedz apstiprināšanai Ministru kabinetā darbības programmas papildinājumu, bet attiecīgā atbildīgā iestāde darbības programmas papildinājuma grozījumus.</w:t>
            </w:r>
          </w:p>
        </w:tc>
      </w:tr>
      <w:tr w:rsidR="00BE09F3" w:rsidRPr="001E3003" w:rsidTr="0044069F">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2.</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Pašreizējā situācija un problēmas</w:t>
            </w:r>
          </w:p>
        </w:tc>
        <w:tc>
          <w:tcPr>
            <w:tcW w:w="5759" w:type="dxa"/>
            <w:vAlign w:val="center"/>
          </w:tcPr>
          <w:p w:rsidR="000A7097" w:rsidRPr="00BE1CBA" w:rsidRDefault="000A7097" w:rsidP="000A7097">
            <w:pPr>
              <w:spacing w:before="60" w:after="60"/>
              <w:jc w:val="both"/>
              <w:rPr>
                <w:color w:val="FF0000"/>
              </w:rPr>
            </w:pPr>
            <w:r>
              <w:t>Atbilstoši Ministru kabineta 2008</w:t>
            </w:r>
            <w:r w:rsidRPr="00B825D6">
              <w:t xml:space="preserve">.gada </w:t>
            </w:r>
            <w:r>
              <w:t>21</w:t>
            </w:r>
            <w:r w:rsidRPr="00B825D6">
              <w:t>.</w:t>
            </w:r>
            <w:r>
              <w:t xml:space="preserve">oktobra sēdes </w:t>
            </w:r>
            <w:r w:rsidRPr="00B825D6">
              <w:t>protokola Nr.</w:t>
            </w:r>
            <w:r>
              <w:t>75 61</w:t>
            </w:r>
            <w:r w:rsidRPr="00B825D6">
              <w:t>.§ 2</w:t>
            </w:r>
            <w:r>
              <w:t xml:space="preserve">.punktam </w:t>
            </w:r>
            <w:r w:rsidRPr="00DE28CC">
              <w:t xml:space="preserve">no valsts budžeta līdzekļiem Veselības ministrijas pārziņā esošajām Eiropas Savienības (turpmāk – ES) struktūrfondu apakšaktivitātēm, kurās finansējuma saņēmēji ir valsts un pašvaldības kapitālsabiedrības, var tikt nodrošināta daļa no nacionālā līdzfinansējuma ne vairāk kā 11 570 237 latu apmērā, vidēji 7,5 procentu apmērā no kopējā ES struktūrfondu apakšaktivitāšu ES finansējuma un valsts budžeta finansējuma apjoma šiem finansējuma saņēmējiem. </w:t>
            </w:r>
          </w:p>
          <w:p w:rsidR="000A7097" w:rsidRPr="00CC62CA" w:rsidRDefault="000A7097" w:rsidP="000A7097">
            <w:pPr>
              <w:spacing w:before="120"/>
              <w:jc w:val="both"/>
            </w:pPr>
            <w:r>
              <w:t>Š</w:t>
            </w:r>
            <w:r w:rsidRPr="00CC62CA">
              <w:t xml:space="preserve">obrīd </w:t>
            </w:r>
            <w:r w:rsidRPr="00DE28CC">
              <w:t>Veselības ministrijas pārziņā esošajām ES struktūrfondu apakšaktivitātēm</w:t>
            </w:r>
            <w:r w:rsidRPr="00CC62CA">
              <w:t xml:space="preserve"> pieejamais</w:t>
            </w:r>
            <w:r>
              <w:t xml:space="preserve"> valsts budžeta</w:t>
            </w:r>
            <w:r w:rsidRPr="00CC62CA">
              <w:t xml:space="preserve"> </w:t>
            </w:r>
            <w:r>
              <w:t>līdz</w:t>
            </w:r>
            <w:r w:rsidRPr="00CC62CA">
              <w:t xml:space="preserve">finansējums valsts un pašvaldību kapitālsabiedrībām </w:t>
            </w:r>
            <w:r>
              <w:t>ir 9 990 154 lati, tai skaitā</w:t>
            </w:r>
            <w:r w:rsidRPr="00CC62CA">
              <w:t>:</w:t>
            </w:r>
          </w:p>
          <w:p w:rsidR="000A7097" w:rsidRPr="00CC62CA" w:rsidRDefault="000A7097" w:rsidP="000A7097">
            <w:pPr>
              <w:numPr>
                <w:ilvl w:val="0"/>
                <w:numId w:val="13"/>
              </w:numPr>
              <w:autoSpaceDE w:val="0"/>
              <w:autoSpaceDN w:val="0"/>
              <w:adjustRightInd w:val="0"/>
              <w:ind w:left="317" w:firstLine="0"/>
              <w:jc w:val="both"/>
            </w:pPr>
            <w:r>
              <w:t>3.1.5.3.1.apakšaktivitātē „</w:t>
            </w:r>
            <w:r w:rsidRPr="00CC62CA">
              <w:t>Stacionā</w:t>
            </w:r>
            <w:r>
              <w:t>rās veselības aprūpes attīstība” (turpmāk - 3.1.5.3.1.apakšaktivitāte)</w:t>
            </w:r>
            <w:r w:rsidRPr="00CC62CA">
              <w:t xml:space="preserve"> 8 533 002 </w:t>
            </w:r>
            <w:r>
              <w:t>lati</w:t>
            </w:r>
            <w:r w:rsidRPr="00CC62CA">
              <w:t>;</w:t>
            </w:r>
          </w:p>
          <w:p w:rsidR="000A7097" w:rsidRDefault="000A7097" w:rsidP="000A7097">
            <w:pPr>
              <w:numPr>
                <w:ilvl w:val="0"/>
                <w:numId w:val="13"/>
              </w:numPr>
              <w:autoSpaceDE w:val="0"/>
              <w:autoSpaceDN w:val="0"/>
              <w:adjustRightInd w:val="0"/>
              <w:ind w:left="317" w:firstLine="0"/>
              <w:jc w:val="both"/>
            </w:pPr>
            <w:r>
              <w:t>3.1.5.3.2.apakšaktivitātē „</w:t>
            </w:r>
            <w:r w:rsidRPr="00CC62CA">
              <w:t>Onkoloģijas slimnieku radi</w:t>
            </w:r>
            <w:r>
              <w:t>oterapijas ārstēšanas attīstība”</w:t>
            </w:r>
            <w:r w:rsidRPr="00CC62CA">
              <w:t xml:space="preserve"> 1 457 152 </w:t>
            </w:r>
            <w:r>
              <w:t>lati.</w:t>
            </w:r>
          </w:p>
          <w:p w:rsidR="000A7097" w:rsidRPr="00CC62CA" w:rsidRDefault="000A7097" w:rsidP="000A7097">
            <w:pPr>
              <w:autoSpaceDE w:val="0"/>
              <w:autoSpaceDN w:val="0"/>
              <w:adjustRightInd w:val="0"/>
              <w:ind w:left="33"/>
              <w:jc w:val="both"/>
            </w:pPr>
            <w:r>
              <w:t>Līdz ar to starpība starp Ministru kabineta 2008</w:t>
            </w:r>
            <w:r w:rsidRPr="00B825D6">
              <w:t xml:space="preserve">.gada </w:t>
            </w:r>
            <w:r>
              <w:t>21</w:t>
            </w:r>
            <w:r w:rsidRPr="00B825D6">
              <w:t>.</w:t>
            </w:r>
            <w:r>
              <w:t xml:space="preserve">oktobra sēdes </w:t>
            </w:r>
            <w:r w:rsidRPr="00B825D6">
              <w:t>protokola Nr.</w:t>
            </w:r>
            <w:r>
              <w:t>75 61</w:t>
            </w:r>
            <w:r w:rsidRPr="00B825D6">
              <w:t>.§ 2</w:t>
            </w:r>
            <w:r>
              <w:t xml:space="preserve">.punktā noteikto finansējumu (t.i., </w:t>
            </w:r>
            <w:r w:rsidRPr="00DE28CC">
              <w:t>no valsts budžeta līdzekļiem</w:t>
            </w:r>
            <w:r>
              <w:t xml:space="preserve"> </w:t>
            </w:r>
            <w:r w:rsidRPr="00DE28CC">
              <w:t>struktūrfondu apakšaktivitātēm, kurās finansējuma saņēmēji ir valsts un pašvaldības kapitālsabiedrības, var tikt nodrošināta daļa no nacionālā līdzfinansējuma ne vairāk kā 11 570 237 latu apmērā</w:t>
            </w:r>
            <w:r>
              <w:t>) ir 1 580 083 lati.</w:t>
            </w:r>
          </w:p>
          <w:p w:rsidR="000A7097" w:rsidRDefault="000A7097" w:rsidP="000A7097">
            <w:pPr>
              <w:spacing w:before="120"/>
              <w:jc w:val="both"/>
            </w:pPr>
            <w:r w:rsidRPr="00B825D6">
              <w:t xml:space="preserve">Pašreizējais aktivitātes regulējums Ministru kabineta 2009.gada 13.janvāra noteikumi Nr.44 „Noteikumi par darbības programmas „Infrastruktūra un pakalpojumi” papildinājuma 3.1.5.3.1.apakšaktivitāti „Stacionārās </w:t>
            </w:r>
            <w:r w:rsidRPr="00B825D6">
              <w:lastRenderedPageBreak/>
              <w:t>veselības aprūpes attīstība”” (turpmāk –</w:t>
            </w:r>
            <w:r>
              <w:t xml:space="preserve"> </w:t>
            </w:r>
            <w:r w:rsidRPr="00B825D6">
              <w:t>noteikumi</w:t>
            </w:r>
            <w:r>
              <w:t xml:space="preserve"> Nr.44</w:t>
            </w:r>
            <w:r w:rsidRPr="00B825D6">
              <w:t xml:space="preserve">) </w:t>
            </w:r>
            <w:r>
              <w:t>nosaka, ka a</w:t>
            </w:r>
            <w:r w:rsidRPr="00F7063B">
              <w:t>ktivitātei pieejamais kopējais finansējums ir 141 794 220 latu, tajā skaitā Eiropas Reģionālās attīstības fonda</w:t>
            </w:r>
            <w:r>
              <w:t xml:space="preserve"> (turpmāk - ERAF)</w:t>
            </w:r>
            <w:r w:rsidRPr="00F7063B">
              <w:t xml:space="preserve"> līdzfinansējums - 120 075 088 lati, valsts budžeta līdzfinansējums - ne vairāk kā</w:t>
            </w:r>
            <w:r>
              <w:t xml:space="preserve"> 9 120 237 </w:t>
            </w:r>
            <w:r w:rsidRPr="00F7063B">
              <w:t>lati un privātais finansējums, ko nodrošina projekta iesniedzējs, - ne mazāk kā 12 598 895 lati.</w:t>
            </w:r>
          </w:p>
          <w:p w:rsidR="000A7097" w:rsidRDefault="000A7097" w:rsidP="000A7097">
            <w:pPr>
              <w:spacing w:before="60" w:after="60"/>
              <w:jc w:val="both"/>
            </w:pPr>
            <w:r>
              <w:t xml:space="preserve">Lai atvieglotu finansiālo slogu uz slimnīcām un atbrīvotu slimnīcu budžetu veselības aprūpes pakalpojumu sniegšanai un pakalpojumu pieejamības uzlabošanai un lai ievērotu </w:t>
            </w:r>
            <w:r w:rsidRPr="00B825D6">
              <w:t xml:space="preserve">Ministru kabineta </w:t>
            </w:r>
            <w:r>
              <w:t>2008</w:t>
            </w:r>
            <w:r w:rsidRPr="00B825D6">
              <w:t xml:space="preserve">.gada </w:t>
            </w:r>
            <w:r>
              <w:t>21</w:t>
            </w:r>
            <w:r w:rsidRPr="00B825D6">
              <w:t>.</w:t>
            </w:r>
            <w:r>
              <w:t xml:space="preserve">oktobra sēdes </w:t>
            </w:r>
            <w:r w:rsidRPr="00B825D6">
              <w:t>protokola Nr.</w:t>
            </w:r>
            <w:r>
              <w:t>75 61</w:t>
            </w:r>
            <w:r w:rsidRPr="00B825D6">
              <w:t>.§ 2</w:t>
            </w:r>
            <w:r>
              <w:t xml:space="preserve">.punktā noteikto, tādējādi neveidojot precedentu, kad papildus tika piešķirts valsts budžeta līdzfinansējums, ir nepieciešams nodrošināt reģionālās daudzprofilu slimnīcas un specializētās slimnīcas (kas ir </w:t>
            </w:r>
            <w:r w:rsidRPr="00A21D51">
              <w:t>trešās projektu iesni</w:t>
            </w:r>
            <w:r>
              <w:t>egumu atlases kārtas projektu iesniedzēji) ar līdzfinansējumu no valsts budžeta 1 580 083 latu apmērā. Tādējādi, s</w:t>
            </w:r>
            <w:r w:rsidRPr="00B825D6">
              <w:t xml:space="preserve">akarā ar aktualizēto situāciju </w:t>
            </w:r>
            <w:r w:rsidRPr="00DE28CC">
              <w:t>3.1.5.3.1.apakšaktivitāt</w:t>
            </w:r>
            <w:r>
              <w:t xml:space="preserve">es </w:t>
            </w:r>
            <w:r w:rsidRPr="00B825D6">
              <w:t>ieviešanas procesā</w:t>
            </w:r>
            <w:r>
              <w:t>, nepieciešam</w:t>
            </w:r>
            <w:r w:rsidRPr="00B825D6">
              <w:t xml:space="preserve">s </w:t>
            </w:r>
            <w:r>
              <w:t>veikt</w:t>
            </w:r>
            <w:r w:rsidRPr="00B825D6">
              <w:t xml:space="preserve"> </w:t>
            </w:r>
            <w:r>
              <w:t>grozījumus</w:t>
            </w:r>
            <w:r w:rsidRPr="00B825D6">
              <w:t xml:space="preserve"> </w:t>
            </w:r>
            <w:r>
              <w:t xml:space="preserve">darbības programmas „Infrastruktūra un pakalpojumi” papildinājumā, lai secīgi varētu veikt atbilstošus grozījumus </w:t>
            </w:r>
            <w:r w:rsidRPr="00B825D6">
              <w:t xml:space="preserve">esošajā noteikumu </w:t>
            </w:r>
            <w:r>
              <w:t xml:space="preserve">Nr.44 </w:t>
            </w:r>
            <w:r w:rsidRPr="00B825D6">
              <w:t>redakcijā</w:t>
            </w:r>
            <w:r>
              <w:t xml:space="preserve">, palielinot 3.1.5.3.1.apakšaktivitātei valsts un pašvaldību kapitālsabiedrībām pieejamo valsts budžeta līdzfinansējumu līdz 10 700 320 latiem, samazinot privātā finansējuma apjomu līdz 11 018 812 latiem un papildu finansējumu sadalot starp </w:t>
            </w:r>
            <w:r w:rsidRPr="00DE28CC">
              <w:t>3.1.5.3.1.apakšaktivitāt</w:t>
            </w:r>
            <w:r>
              <w:t>es trešās kārtas finansējuma saņēmējiem, kam nav pieejams valsts galvotā aizdevuma finansējums, kas ļautu nodrošināt 5,8% valsts budžeta līdzfinansējumu.</w:t>
            </w:r>
          </w:p>
          <w:p w:rsidR="00E737EB" w:rsidRPr="00393926" w:rsidRDefault="00E737EB" w:rsidP="000A7097">
            <w:pPr>
              <w:jc w:val="both"/>
            </w:pPr>
          </w:p>
        </w:tc>
      </w:tr>
      <w:tr w:rsidR="00BE09F3" w:rsidRPr="001E3003" w:rsidTr="0044069F">
        <w:trPr>
          <w:trHeight w:val="478"/>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lastRenderedPageBreak/>
              <w:t> 3.</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Saistītie politikas ietekmes novērtējumi un pētījumi</w:t>
            </w:r>
          </w:p>
        </w:tc>
        <w:tc>
          <w:tcPr>
            <w:tcW w:w="5759" w:type="dxa"/>
            <w:vAlign w:val="center"/>
          </w:tcPr>
          <w:p w:rsidR="00BE09F3" w:rsidRPr="001E3003" w:rsidRDefault="00894A1B" w:rsidP="0044069F">
            <w:pPr>
              <w:jc w:val="both"/>
              <w:rPr>
                <w:color w:val="2A2A2A"/>
              </w:rPr>
            </w:pPr>
            <w:r>
              <w:rPr>
                <w:color w:val="2A2A2A"/>
              </w:rPr>
              <w:t xml:space="preserve">Projekts šo jomu </w:t>
            </w:r>
            <w:r w:rsidR="00771341">
              <w:rPr>
                <w:color w:val="2A2A2A"/>
              </w:rPr>
              <w:t>neskar</w:t>
            </w:r>
          </w:p>
        </w:tc>
      </w:tr>
      <w:tr w:rsidR="00BE09F3" w:rsidRPr="001E3003" w:rsidTr="0044069F">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t> 4.</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Tiesiskā regulējuma mērķis un būtība</w:t>
            </w:r>
          </w:p>
        </w:tc>
        <w:tc>
          <w:tcPr>
            <w:tcW w:w="5759" w:type="dxa"/>
            <w:vAlign w:val="center"/>
          </w:tcPr>
          <w:p w:rsidR="0081706D" w:rsidRPr="001E3003" w:rsidRDefault="000A7097" w:rsidP="000A7097">
            <w:pPr>
              <w:spacing w:before="120" w:after="120"/>
              <w:jc w:val="both"/>
            </w:pPr>
            <w:r>
              <w:t>Ministru kabineta r</w:t>
            </w:r>
            <w:r w:rsidRPr="000A7097">
              <w:t xml:space="preserve">īkojuma </w:t>
            </w:r>
            <w:r>
              <w:t>„</w:t>
            </w:r>
            <w:r w:rsidRPr="000A7097">
              <w:t>Grozījumi darbības programmas „Infrastruktūra un pakalpojumi” papildinājumā</w:t>
            </w:r>
            <w:r>
              <w:t>”</w:t>
            </w:r>
            <w:r w:rsidRPr="000A7097">
              <w:t xml:space="preserve"> projekta</w:t>
            </w:r>
            <w:r>
              <w:t xml:space="preserve"> (turpmāk – rīkojuma projekts)</w:t>
            </w:r>
            <w:r w:rsidRPr="000A7097">
              <w:t xml:space="preserve"> mērķis ir nodrošināt reģionālās daudzprofilu slimnīcas un specializētās slimnīcas (kas ir trešās projektu iesniegumu atlases kārtas projektu</w:t>
            </w:r>
            <w:r>
              <w:t xml:space="preserve"> iesniedzēji), kam nav pieejams valsts galvotā aizdevuma finansējums, ar valsts budžeta līdzfinansējumu un rīkojuma projekts paredz precizēt finanšu plānu ES fondu 3.1.5.3.1.apakšaktivitātei, pārceļot finansējumu 2 248 256 EUR apmērā no privātā finansējuma uz nacionālo publisko finansējumu. </w:t>
            </w:r>
            <w:r w:rsidR="0081706D">
              <w:t>Projekts atrisina visas anotācijas 2.punktā minētās problēmas.</w:t>
            </w:r>
          </w:p>
        </w:tc>
      </w:tr>
      <w:tr w:rsidR="009A7369" w:rsidRPr="001E3003" w:rsidTr="0044069F">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5.</w:t>
            </w:r>
          </w:p>
        </w:tc>
        <w:tc>
          <w:tcPr>
            <w:tcW w:w="2876" w:type="dxa"/>
          </w:tcPr>
          <w:p w:rsidR="009A7369" w:rsidRPr="000F0B0D" w:rsidRDefault="009A7369" w:rsidP="001E3003">
            <w:pPr>
              <w:spacing w:before="100" w:beforeAutospacing="1" w:after="100" w:afterAutospacing="1"/>
              <w:rPr>
                <w:lang w:eastAsia="lv-LV" w:bidi="lo-LA"/>
              </w:rPr>
            </w:pPr>
            <w:r w:rsidRPr="000F0B0D">
              <w:rPr>
                <w:lang w:eastAsia="lv-LV" w:bidi="lo-LA"/>
              </w:rPr>
              <w:t>Projekta izstrādē iesaistītās institūcijas</w:t>
            </w:r>
          </w:p>
        </w:tc>
        <w:tc>
          <w:tcPr>
            <w:tcW w:w="5759" w:type="dxa"/>
            <w:vAlign w:val="center"/>
          </w:tcPr>
          <w:p w:rsidR="009A7369" w:rsidRPr="001E3003" w:rsidRDefault="000A7097" w:rsidP="0044069F">
            <w:pPr>
              <w:ind w:right="244"/>
              <w:jc w:val="both"/>
              <w:rPr>
                <w:iCs/>
                <w:sz w:val="22"/>
                <w:szCs w:val="22"/>
              </w:rPr>
            </w:pPr>
            <w:r>
              <w:t>Rīkojuma</w:t>
            </w:r>
            <w:r w:rsidR="00402AEB" w:rsidRPr="00D05BC4">
              <w:t xml:space="preserve"> projekta izstrādei speciāla darba grupa netika veidota</w:t>
            </w:r>
            <w:r w:rsidR="009A7369" w:rsidRPr="001E3003">
              <w:rPr>
                <w:iCs/>
                <w:sz w:val="22"/>
                <w:szCs w:val="22"/>
              </w:rPr>
              <w:t>.</w:t>
            </w:r>
          </w:p>
        </w:tc>
      </w:tr>
      <w:tr w:rsidR="009A7369" w:rsidRPr="001E3003" w:rsidTr="0044069F">
        <w:tc>
          <w:tcPr>
            <w:tcW w:w="652" w:type="dxa"/>
          </w:tcPr>
          <w:p w:rsidR="009A7369" w:rsidRPr="000F0B0D" w:rsidRDefault="009A7369" w:rsidP="001E3003">
            <w:pPr>
              <w:spacing w:before="100" w:beforeAutospacing="1" w:after="100" w:afterAutospacing="1"/>
              <w:rPr>
                <w:lang w:eastAsia="lv-LV" w:bidi="lo-LA"/>
              </w:rPr>
            </w:pPr>
            <w:r w:rsidRPr="000F0B0D">
              <w:rPr>
                <w:lang w:eastAsia="lv-LV" w:bidi="lo-LA"/>
              </w:rPr>
              <w:t> 6.</w:t>
            </w:r>
          </w:p>
        </w:tc>
        <w:tc>
          <w:tcPr>
            <w:tcW w:w="2876" w:type="dxa"/>
          </w:tcPr>
          <w:p w:rsidR="009A7369" w:rsidRPr="000F0B0D" w:rsidRDefault="009A7369" w:rsidP="001E3003">
            <w:pPr>
              <w:spacing w:before="100" w:beforeAutospacing="1" w:after="100" w:afterAutospacing="1"/>
              <w:rPr>
                <w:lang w:eastAsia="lv-LV" w:bidi="lo-LA"/>
              </w:rPr>
            </w:pPr>
            <w:r w:rsidRPr="000F0B0D">
              <w:rPr>
                <w:lang w:eastAsia="lv-LV" w:bidi="lo-LA"/>
              </w:rPr>
              <w:t xml:space="preserve">Iemesli, kādēļ netika </w:t>
            </w:r>
            <w:r w:rsidRPr="000F0B0D">
              <w:rPr>
                <w:lang w:eastAsia="lv-LV" w:bidi="lo-LA"/>
              </w:rPr>
              <w:lastRenderedPageBreak/>
              <w:t>nodrošināta sabiedrības līdzdalība</w:t>
            </w:r>
          </w:p>
        </w:tc>
        <w:tc>
          <w:tcPr>
            <w:tcW w:w="5759" w:type="dxa"/>
            <w:vAlign w:val="center"/>
          </w:tcPr>
          <w:p w:rsidR="009A7369" w:rsidRPr="00F05A22" w:rsidRDefault="00050B11" w:rsidP="0081706D">
            <w:pPr>
              <w:jc w:val="both"/>
            </w:pPr>
            <w:r>
              <w:lastRenderedPageBreak/>
              <w:t>Sabiedrības līdzdalība tika nodrošināta D</w:t>
            </w:r>
            <w:r w:rsidR="0081706D">
              <w:t xml:space="preserve">arbības </w:t>
            </w:r>
            <w:r w:rsidR="0081706D">
              <w:lastRenderedPageBreak/>
              <w:t>programmas „Infrastruktūra un pakalpojumi” papildinājuma</w:t>
            </w:r>
            <w:r>
              <w:t xml:space="preserve"> sākotnējā izstrādē un plašāka sabiedrības līdzdalība rīkojuma projekta saskaņošanā netika nodrošināta.</w:t>
            </w:r>
          </w:p>
        </w:tc>
      </w:tr>
      <w:tr w:rsidR="00BE09F3" w:rsidRPr="001E3003" w:rsidTr="0044069F">
        <w:trPr>
          <w:trHeight w:val="70"/>
        </w:trPr>
        <w:tc>
          <w:tcPr>
            <w:tcW w:w="652" w:type="dxa"/>
          </w:tcPr>
          <w:p w:rsidR="00BE09F3" w:rsidRPr="000F0B0D" w:rsidRDefault="00BE09F3" w:rsidP="001E3003">
            <w:pPr>
              <w:spacing w:before="100" w:beforeAutospacing="1" w:after="100" w:afterAutospacing="1"/>
              <w:rPr>
                <w:lang w:eastAsia="lv-LV" w:bidi="lo-LA"/>
              </w:rPr>
            </w:pPr>
            <w:r w:rsidRPr="000F0B0D">
              <w:rPr>
                <w:lang w:eastAsia="lv-LV" w:bidi="lo-LA"/>
              </w:rPr>
              <w:lastRenderedPageBreak/>
              <w:t> 7.</w:t>
            </w:r>
          </w:p>
        </w:tc>
        <w:tc>
          <w:tcPr>
            <w:tcW w:w="2876" w:type="dxa"/>
          </w:tcPr>
          <w:p w:rsidR="00BE09F3" w:rsidRPr="000F0B0D" w:rsidRDefault="00BE09F3" w:rsidP="001E3003">
            <w:pPr>
              <w:spacing w:before="100" w:beforeAutospacing="1" w:after="100" w:afterAutospacing="1"/>
              <w:rPr>
                <w:lang w:eastAsia="lv-LV" w:bidi="lo-LA"/>
              </w:rPr>
            </w:pPr>
            <w:r w:rsidRPr="000F0B0D">
              <w:rPr>
                <w:lang w:eastAsia="lv-LV" w:bidi="lo-LA"/>
              </w:rPr>
              <w:t>Cita informācija</w:t>
            </w:r>
          </w:p>
        </w:tc>
        <w:tc>
          <w:tcPr>
            <w:tcW w:w="5759" w:type="dxa"/>
            <w:vAlign w:val="center"/>
          </w:tcPr>
          <w:p w:rsidR="00BE09F3" w:rsidRPr="000F0B0D" w:rsidRDefault="000F0B0D" w:rsidP="0044069F">
            <w:r w:rsidRPr="000F0B0D">
              <w:t>Nav</w:t>
            </w:r>
          </w:p>
        </w:tc>
      </w:tr>
    </w:tbl>
    <w:p w:rsidR="0044069F" w:rsidRPr="000F0B0D" w:rsidRDefault="0044069F"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694"/>
        <w:gridCol w:w="5939"/>
      </w:tblGrid>
      <w:tr w:rsidR="000F0B0D" w:rsidRPr="001E3003" w:rsidTr="001E3003">
        <w:trPr>
          <w:trHeight w:val="503"/>
        </w:trPr>
        <w:tc>
          <w:tcPr>
            <w:tcW w:w="9287" w:type="dxa"/>
            <w:gridSpan w:val="3"/>
            <w:vAlign w:val="center"/>
          </w:tcPr>
          <w:p w:rsidR="000F0B0D" w:rsidRPr="001E3003" w:rsidRDefault="000F0B0D" w:rsidP="001E3003">
            <w:pPr>
              <w:autoSpaceDE w:val="0"/>
              <w:autoSpaceDN w:val="0"/>
              <w:adjustRightInd w:val="0"/>
              <w:rPr>
                <w:b/>
                <w:noProof/>
                <w:sz w:val="28"/>
                <w:szCs w:val="28"/>
              </w:rPr>
            </w:pPr>
            <w:r w:rsidRPr="001E3003">
              <w:rPr>
                <w:b/>
                <w:lang w:eastAsia="lv-LV" w:bidi="lo-LA"/>
              </w:rPr>
              <w:t>II. Tiesību akta projekta ietekme uz sabiedrību</w:t>
            </w:r>
          </w:p>
        </w:tc>
      </w:tr>
      <w:tr w:rsidR="000F0B0D" w:rsidRPr="001E3003" w:rsidTr="0044069F">
        <w:tc>
          <w:tcPr>
            <w:tcW w:w="654" w:type="dxa"/>
          </w:tcPr>
          <w:p w:rsidR="000F0B0D" w:rsidRPr="000F0B0D" w:rsidRDefault="000F0B0D" w:rsidP="001E3003">
            <w:pPr>
              <w:spacing w:before="100" w:beforeAutospacing="1" w:after="100" w:afterAutospacing="1"/>
              <w:rPr>
                <w:lang w:eastAsia="lv-LV" w:bidi="lo-LA"/>
              </w:rPr>
            </w:pPr>
            <w:r w:rsidRPr="000F0B0D">
              <w:rPr>
                <w:lang w:eastAsia="lv-LV" w:bidi="lo-LA"/>
              </w:rPr>
              <w:t> 1.</w:t>
            </w:r>
          </w:p>
        </w:tc>
        <w:tc>
          <w:tcPr>
            <w:tcW w:w="2694" w:type="dxa"/>
          </w:tcPr>
          <w:p w:rsidR="000F0B0D" w:rsidRPr="000F0B0D" w:rsidRDefault="000F0B0D" w:rsidP="001E3003">
            <w:pPr>
              <w:spacing w:before="100" w:beforeAutospacing="1" w:after="100" w:afterAutospacing="1"/>
              <w:rPr>
                <w:lang w:eastAsia="lv-LV" w:bidi="lo-LA"/>
              </w:rPr>
            </w:pPr>
            <w:r w:rsidRPr="000F0B0D">
              <w:rPr>
                <w:lang w:eastAsia="lv-LV" w:bidi="lo-LA"/>
              </w:rPr>
              <w:t>Sabiedrības mērķgrupa</w:t>
            </w:r>
          </w:p>
        </w:tc>
        <w:tc>
          <w:tcPr>
            <w:tcW w:w="5939" w:type="dxa"/>
            <w:vAlign w:val="center"/>
          </w:tcPr>
          <w:p w:rsidR="004242A4" w:rsidRPr="00655269" w:rsidRDefault="000A7097" w:rsidP="00DD4F27">
            <w:pPr>
              <w:jc w:val="both"/>
            </w:pPr>
            <w:r w:rsidRPr="00957553">
              <w:t>Stacionārās veselības aprūpes pakalpojumu sniedzēji un stacionārās veselības aprūpes pakalpojumu saņēmēji. Saņemt stacionārās veselības aprūpes pakalpojumus ir tiesības visiem Latvijas iedzīvotājiem.</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2.</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Citas sabiedrības grupas (bez mērķgrupas), kuras tiesiskais regulējums arī ietekmē vai varētu ietekmēt</w:t>
            </w:r>
          </w:p>
        </w:tc>
        <w:tc>
          <w:tcPr>
            <w:tcW w:w="5939" w:type="dxa"/>
            <w:vAlign w:val="center"/>
          </w:tcPr>
          <w:p w:rsidR="007F2B5D" w:rsidRPr="0084368C" w:rsidRDefault="00894A1B" w:rsidP="0044069F">
            <w:pPr>
              <w:pStyle w:val="naiskr"/>
            </w:pPr>
            <w:r>
              <w:rPr>
                <w:iCs/>
              </w:rPr>
              <w:t>Projekts šo jomu neskar</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3.</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Tiesiskā regulējuma finansiālā ietekme</w:t>
            </w:r>
          </w:p>
        </w:tc>
        <w:tc>
          <w:tcPr>
            <w:tcW w:w="5939" w:type="dxa"/>
            <w:vAlign w:val="center"/>
          </w:tcPr>
          <w:p w:rsidR="007F2B5D" w:rsidRPr="000F0B0D" w:rsidRDefault="00894A1B" w:rsidP="0044069F">
            <w:pPr>
              <w:pStyle w:val="naiskr"/>
              <w:spacing w:before="0" w:beforeAutospacing="0" w:after="0" w:afterAutospacing="0"/>
              <w:jc w:val="both"/>
            </w:pPr>
            <w:r>
              <w:rPr>
                <w:iCs/>
              </w:rPr>
              <w:t>Projekts šo jomu neskar</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4.</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Tiesiskā regulējuma nefinansiālā ietekme</w:t>
            </w:r>
          </w:p>
        </w:tc>
        <w:tc>
          <w:tcPr>
            <w:tcW w:w="5939" w:type="dxa"/>
            <w:vAlign w:val="center"/>
          </w:tcPr>
          <w:p w:rsidR="000A7097" w:rsidRPr="00957553" w:rsidRDefault="000A7097" w:rsidP="000A7097">
            <w:pPr>
              <w:pStyle w:val="naiskr"/>
              <w:spacing w:before="0" w:beforeAutospacing="0" w:after="0" w:afterAutospacing="0"/>
              <w:ind w:left="318"/>
              <w:jc w:val="both"/>
              <w:rPr>
                <w:b/>
              </w:rPr>
            </w:pPr>
            <w:r w:rsidRPr="00957553">
              <w:rPr>
                <w:b/>
              </w:rPr>
              <w:t>Tiešās finansiālās izmaksas</w:t>
            </w:r>
          </w:p>
          <w:p w:rsidR="000A7097" w:rsidRPr="00957553" w:rsidRDefault="000A7097" w:rsidP="000A7097">
            <w:pPr>
              <w:pStyle w:val="naiskr"/>
              <w:spacing w:before="0" w:beforeAutospacing="0" w:after="0" w:afterAutospacing="0"/>
              <w:jc w:val="both"/>
            </w:pPr>
            <w:r>
              <w:t>Rīkojuma</w:t>
            </w:r>
            <w:r w:rsidRPr="00957553">
              <w:t xml:space="preserve"> projektam nav ietekmes uz tiešajām finansiālajām izmaksām. </w:t>
            </w:r>
          </w:p>
          <w:p w:rsidR="000A7097" w:rsidRPr="00957553" w:rsidRDefault="000A7097" w:rsidP="000A7097">
            <w:pPr>
              <w:pStyle w:val="naiskr"/>
              <w:spacing w:before="0" w:beforeAutospacing="0" w:after="0" w:afterAutospacing="0"/>
              <w:ind w:left="318"/>
              <w:jc w:val="both"/>
              <w:rPr>
                <w:b/>
              </w:rPr>
            </w:pPr>
            <w:r w:rsidRPr="00957553">
              <w:rPr>
                <w:b/>
              </w:rPr>
              <w:t>Netiešās finansiālās izmaksas</w:t>
            </w:r>
          </w:p>
          <w:p w:rsidR="000A7097" w:rsidRPr="00957553" w:rsidRDefault="000A7097" w:rsidP="000A7097">
            <w:pPr>
              <w:pStyle w:val="naiskr"/>
              <w:spacing w:before="0" w:beforeAutospacing="0" w:after="0" w:afterAutospacing="0"/>
              <w:ind w:left="34"/>
              <w:jc w:val="both"/>
            </w:pPr>
            <w:r>
              <w:t>Rīkojuma</w:t>
            </w:r>
            <w:r w:rsidRPr="00957553">
              <w:t xml:space="preserve"> projektam nav ietekmes uz netiešajām finansiālajām izmaksām. </w:t>
            </w:r>
          </w:p>
          <w:p w:rsidR="000A7097" w:rsidRPr="00957553" w:rsidRDefault="000A7097" w:rsidP="000A7097">
            <w:pPr>
              <w:pStyle w:val="naiskr"/>
              <w:spacing w:before="0" w:beforeAutospacing="0" w:after="0" w:afterAutospacing="0"/>
              <w:ind w:left="318"/>
              <w:jc w:val="both"/>
              <w:rPr>
                <w:b/>
              </w:rPr>
            </w:pPr>
            <w:r w:rsidRPr="00957553">
              <w:rPr>
                <w:b/>
              </w:rPr>
              <w:t>Ietekme uz ienākumiem</w:t>
            </w:r>
          </w:p>
          <w:p w:rsidR="007F2B5D" w:rsidRPr="000F0B0D" w:rsidRDefault="000A7097" w:rsidP="000A7097">
            <w:pPr>
              <w:jc w:val="both"/>
            </w:pPr>
            <w:r>
              <w:t>Rīkojuma</w:t>
            </w:r>
            <w:r w:rsidRPr="00957553">
              <w:t xml:space="preserve"> projektam nav ietekmes uz ienākumiem.</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5.</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Administratīvās procedūras raksturojums</w:t>
            </w:r>
          </w:p>
        </w:tc>
        <w:tc>
          <w:tcPr>
            <w:tcW w:w="5939" w:type="dxa"/>
            <w:vAlign w:val="center"/>
          </w:tcPr>
          <w:p w:rsidR="007F2B5D" w:rsidRPr="0084368C" w:rsidRDefault="00894A1B" w:rsidP="0044069F">
            <w:pPr>
              <w:pStyle w:val="naiskr"/>
            </w:pPr>
            <w:r>
              <w:rPr>
                <w:iCs/>
              </w:rPr>
              <w:t>Projekts šo jomu neskar</w:t>
            </w:r>
          </w:p>
        </w:tc>
      </w:tr>
      <w:tr w:rsidR="007F2B5D" w:rsidRPr="001E3003" w:rsidTr="0044069F">
        <w:tc>
          <w:tcPr>
            <w:tcW w:w="654" w:type="dxa"/>
          </w:tcPr>
          <w:p w:rsidR="007F2B5D" w:rsidRPr="000F0B0D" w:rsidRDefault="007F2B5D" w:rsidP="001E3003">
            <w:pPr>
              <w:spacing w:before="100" w:beforeAutospacing="1" w:after="100" w:afterAutospacing="1"/>
              <w:rPr>
                <w:lang w:eastAsia="lv-LV" w:bidi="lo-LA"/>
              </w:rPr>
            </w:pPr>
            <w:r w:rsidRPr="000F0B0D">
              <w:rPr>
                <w:lang w:eastAsia="lv-LV" w:bidi="lo-LA"/>
              </w:rPr>
              <w:t> 6.</w:t>
            </w:r>
          </w:p>
        </w:tc>
        <w:tc>
          <w:tcPr>
            <w:tcW w:w="2694" w:type="dxa"/>
          </w:tcPr>
          <w:p w:rsidR="007F2B5D" w:rsidRPr="000F0B0D" w:rsidRDefault="007F2B5D" w:rsidP="001E3003">
            <w:pPr>
              <w:spacing w:before="100" w:beforeAutospacing="1" w:after="100" w:afterAutospacing="1"/>
              <w:rPr>
                <w:lang w:eastAsia="lv-LV" w:bidi="lo-LA"/>
              </w:rPr>
            </w:pPr>
            <w:r w:rsidRPr="000F0B0D">
              <w:rPr>
                <w:lang w:eastAsia="lv-LV" w:bidi="lo-LA"/>
              </w:rPr>
              <w:t>Administratīvo izmaksu monetārs novērtējums</w:t>
            </w:r>
          </w:p>
        </w:tc>
        <w:tc>
          <w:tcPr>
            <w:tcW w:w="5939" w:type="dxa"/>
            <w:vAlign w:val="center"/>
          </w:tcPr>
          <w:p w:rsidR="007F2B5D" w:rsidRPr="0084368C" w:rsidRDefault="00894A1B" w:rsidP="0044069F">
            <w:pPr>
              <w:pStyle w:val="naiskr"/>
            </w:pPr>
            <w:r>
              <w:rPr>
                <w:iCs/>
              </w:rPr>
              <w:t>Projekts šo jomu neskar</w:t>
            </w:r>
          </w:p>
        </w:tc>
      </w:tr>
      <w:tr w:rsidR="007F2B5D" w:rsidRPr="001E3003" w:rsidTr="0044069F">
        <w:trPr>
          <w:trHeight w:val="174"/>
        </w:trPr>
        <w:tc>
          <w:tcPr>
            <w:tcW w:w="654" w:type="dxa"/>
            <w:vAlign w:val="center"/>
          </w:tcPr>
          <w:p w:rsidR="007F2B5D" w:rsidRPr="000F0B0D" w:rsidRDefault="007F2B5D" w:rsidP="001E3003">
            <w:pPr>
              <w:spacing w:before="100" w:beforeAutospacing="1" w:after="100" w:afterAutospacing="1"/>
              <w:rPr>
                <w:lang w:eastAsia="lv-LV" w:bidi="lo-LA"/>
              </w:rPr>
            </w:pPr>
            <w:r w:rsidRPr="000F0B0D">
              <w:rPr>
                <w:lang w:eastAsia="lv-LV" w:bidi="lo-LA"/>
              </w:rPr>
              <w:t> 7.</w:t>
            </w:r>
          </w:p>
        </w:tc>
        <w:tc>
          <w:tcPr>
            <w:tcW w:w="2694" w:type="dxa"/>
            <w:vAlign w:val="center"/>
          </w:tcPr>
          <w:p w:rsidR="007F2B5D" w:rsidRPr="000F0B0D" w:rsidRDefault="007F2B5D" w:rsidP="001E3003">
            <w:pPr>
              <w:spacing w:before="100" w:beforeAutospacing="1" w:after="100" w:afterAutospacing="1"/>
              <w:rPr>
                <w:lang w:eastAsia="lv-LV" w:bidi="lo-LA"/>
              </w:rPr>
            </w:pPr>
            <w:r w:rsidRPr="000F0B0D">
              <w:rPr>
                <w:lang w:eastAsia="lv-LV" w:bidi="lo-LA"/>
              </w:rPr>
              <w:t>Cita informācija</w:t>
            </w:r>
          </w:p>
        </w:tc>
        <w:tc>
          <w:tcPr>
            <w:tcW w:w="5939" w:type="dxa"/>
            <w:vAlign w:val="center"/>
          </w:tcPr>
          <w:p w:rsidR="007F2B5D" w:rsidRPr="0084368C" w:rsidRDefault="007F2B5D" w:rsidP="0044069F">
            <w:pPr>
              <w:pStyle w:val="naiskr"/>
            </w:pPr>
            <w:r w:rsidRPr="0084368C">
              <w:t>Nav</w:t>
            </w:r>
          </w:p>
        </w:tc>
      </w:tr>
    </w:tbl>
    <w:p w:rsidR="0044069F" w:rsidRDefault="0044069F" w:rsidP="00B9292C">
      <w:pPr>
        <w:autoSpaceDE w:val="0"/>
        <w:autoSpaceDN w:val="0"/>
        <w:adjustRightInd w:val="0"/>
        <w:rPr>
          <w:noProof/>
          <w:sz w:val="28"/>
          <w:szCs w:val="28"/>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1963C1" w:rsidRPr="00957553" w:rsidTr="001A3545">
        <w:trPr>
          <w:trHeight w:val="551"/>
        </w:trPr>
        <w:tc>
          <w:tcPr>
            <w:tcW w:w="9339" w:type="dxa"/>
            <w:gridSpan w:val="6"/>
            <w:vAlign w:val="center"/>
          </w:tcPr>
          <w:p w:rsidR="001963C1" w:rsidRPr="00957553" w:rsidRDefault="001963C1" w:rsidP="001A3545">
            <w:pPr>
              <w:autoSpaceDE w:val="0"/>
              <w:autoSpaceDN w:val="0"/>
              <w:adjustRightInd w:val="0"/>
              <w:rPr>
                <w:b/>
                <w:noProof/>
                <w:sz w:val="28"/>
                <w:szCs w:val="28"/>
              </w:rPr>
            </w:pPr>
            <w:r w:rsidRPr="00957553">
              <w:rPr>
                <w:b/>
                <w:lang w:eastAsia="lv-LV" w:bidi="lo-LA"/>
              </w:rPr>
              <w:t>III. Tiesību akta projekta ietekme uz valsts budžetu un pašvaldību budžetiem</w:t>
            </w:r>
          </w:p>
        </w:tc>
      </w:tr>
      <w:tr w:rsidR="001963C1" w:rsidRPr="00957553" w:rsidTr="001A3545">
        <w:tc>
          <w:tcPr>
            <w:tcW w:w="3369" w:type="dxa"/>
            <w:vMerge w:val="restart"/>
            <w:vAlign w:val="center"/>
          </w:tcPr>
          <w:p w:rsidR="001963C1" w:rsidRPr="00957553" w:rsidRDefault="001963C1" w:rsidP="001A3545">
            <w:pPr>
              <w:autoSpaceDE w:val="0"/>
              <w:autoSpaceDN w:val="0"/>
              <w:adjustRightInd w:val="0"/>
              <w:jc w:val="center"/>
              <w:rPr>
                <w:noProof/>
                <w:sz w:val="28"/>
                <w:szCs w:val="28"/>
              </w:rPr>
            </w:pPr>
            <w:r w:rsidRPr="00957553">
              <w:rPr>
                <w:bCs/>
                <w:lang w:eastAsia="lv-LV" w:bidi="lo-LA"/>
              </w:rPr>
              <w:t>Rādītāji</w:t>
            </w:r>
          </w:p>
        </w:tc>
        <w:tc>
          <w:tcPr>
            <w:tcW w:w="2405" w:type="dxa"/>
            <w:gridSpan w:val="2"/>
            <w:vMerge w:val="restart"/>
            <w:vAlign w:val="center"/>
          </w:tcPr>
          <w:p w:rsidR="001963C1" w:rsidRPr="00957553" w:rsidRDefault="001963C1" w:rsidP="001A3545">
            <w:pPr>
              <w:autoSpaceDE w:val="0"/>
              <w:autoSpaceDN w:val="0"/>
              <w:adjustRightInd w:val="0"/>
              <w:jc w:val="center"/>
              <w:rPr>
                <w:noProof/>
                <w:sz w:val="28"/>
                <w:szCs w:val="28"/>
              </w:rPr>
            </w:pPr>
            <w:r w:rsidRPr="00957553">
              <w:rPr>
                <w:bCs/>
                <w:lang w:eastAsia="lv-LV" w:bidi="lo-LA"/>
              </w:rPr>
              <w:t>201</w:t>
            </w:r>
            <w:r>
              <w:rPr>
                <w:bCs/>
                <w:lang w:eastAsia="lv-LV" w:bidi="lo-LA"/>
              </w:rPr>
              <w:t>1</w:t>
            </w:r>
            <w:r w:rsidRPr="00957553">
              <w:rPr>
                <w:bCs/>
                <w:lang w:eastAsia="lv-LV" w:bidi="lo-LA"/>
              </w:rPr>
              <w:t>.</w:t>
            </w:r>
          </w:p>
        </w:tc>
        <w:tc>
          <w:tcPr>
            <w:tcW w:w="3565" w:type="dxa"/>
            <w:gridSpan w:val="3"/>
            <w:vAlign w:val="center"/>
          </w:tcPr>
          <w:p w:rsidR="001963C1" w:rsidRPr="00957553" w:rsidRDefault="001963C1" w:rsidP="001A3545">
            <w:pPr>
              <w:autoSpaceDE w:val="0"/>
              <w:autoSpaceDN w:val="0"/>
              <w:adjustRightInd w:val="0"/>
              <w:jc w:val="center"/>
              <w:rPr>
                <w:noProof/>
                <w:sz w:val="28"/>
                <w:szCs w:val="28"/>
              </w:rPr>
            </w:pPr>
            <w:r w:rsidRPr="00957553">
              <w:rPr>
                <w:lang w:eastAsia="lv-LV" w:bidi="lo-LA"/>
              </w:rPr>
              <w:t>Turpmākie trīs gadi (tūkst. latu)</w:t>
            </w:r>
          </w:p>
        </w:tc>
      </w:tr>
      <w:tr w:rsidR="001963C1" w:rsidRPr="00957553" w:rsidTr="001A3545">
        <w:tc>
          <w:tcPr>
            <w:tcW w:w="3369" w:type="dxa"/>
            <w:vMerge/>
          </w:tcPr>
          <w:p w:rsidR="001963C1" w:rsidRPr="00957553" w:rsidRDefault="001963C1" w:rsidP="001A3545">
            <w:pPr>
              <w:autoSpaceDE w:val="0"/>
              <w:autoSpaceDN w:val="0"/>
              <w:adjustRightInd w:val="0"/>
              <w:jc w:val="center"/>
              <w:rPr>
                <w:noProof/>
                <w:sz w:val="28"/>
                <w:szCs w:val="28"/>
              </w:rPr>
            </w:pPr>
          </w:p>
        </w:tc>
        <w:tc>
          <w:tcPr>
            <w:tcW w:w="2405" w:type="dxa"/>
            <w:gridSpan w:val="2"/>
            <w:vMerge/>
            <w:vAlign w:val="center"/>
          </w:tcPr>
          <w:p w:rsidR="001963C1" w:rsidRPr="00957553" w:rsidRDefault="001963C1" w:rsidP="001A3545">
            <w:pPr>
              <w:autoSpaceDE w:val="0"/>
              <w:autoSpaceDN w:val="0"/>
              <w:adjustRightInd w:val="0"/>
              <w:jc w:val="center"/>
              <w:rPr>
                <w:noProof/>
                <w:sz w:val="28"/>
                <w:szCs w:val="28"/>
              </w:rPr>
            </w:pPr>
          </w:p>
        </w:tc>
        <w:tc>
          <w:tcPr>
            <w:tcW w:w="1171"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201</w:t>
            </w:r>
            <w:r>
              <w:rPr>
                <w:lang w:eastAsia="lv-LV" w:bidi="lo-LA"/>
              </w:rPr>
              <w:t>2</w:t>
            </w:r>
            <w:r w:rsidRPr="00957553">
              <w:rPr>
                <w:lang w:eastAsia="lv-LV" w:bidi="lo-LA"/>
              </w:rPr>
              <w:t>.</w:t>
            </w:r>
          </w:p>
        </w:tc>
        <w:tc>
          <w:tcPr>
            <w:tcW w:w="1218"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201</w:t>
            </w:r>
            <w:r>
              <w:rPr>
                <w:lang w:eastAsia="lv-LV" w:bidi="lo-LA"/>
              </w:rPr>
              <w:t>3</w:t>
            </w:r>
            <w:r w:rsidRPr="00957553">
              <w:rPr>
                <w:lang w:eastAsia="lv-LV" w:bidi="lo-LA"/>
              </w:rPr>
              <w:t>.</w:t>
            </w:r>
          </w:p>
        </w:tc>
        <w:tc>
          <w:tcPr>
            <w:tcW w:w="1176"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201</w:t>
            </w:r>
            <w:r>
              <w:rPr>
                <w:lang w:eastAsia="lv-LV" w:bidi="lo-LA"/>
              </w:rPr>
              <w:t>4</w:t>
            </w:r>
            <w:r w:rsidRPr="00957553">
              <w:rPr>
                <w:lang w:eastAsia="lv-LV" w:bidi="lo-LA"/>
              </w:rPr>
              <w:t>.</w:t>
            </w:r>
          </w:p>
        </w:tc>
      </w:tr>
      <w:tr w:rsidR="001963C1" w:rsidRPr="00957553" w:rsidTr="001A3545">
        <w:tc>
          <w:tcPr>
            <w:tcW w:w="3369" w:type="dxa"/>
            <w:vMerge/>
          </w:tcPr>
          <w:p w:rsidR="001963C1" w:rsidRPr="00957553" w:rsidRDefault="001963C1" w:rsidP="001A3545">
            <w:pPr>
              <w:autoSpaceDE w:val="0"/>
              <w:autoSpaceDN w:val="0"/>
              <w:adjustRightInd w:val="0"/>
              <w:jc w:val="center"/>
              <w:rPr>
                <w:noProof/>
                <w:sz w:val="28"/>
                <w:szCs w:val="28"/>
              </w:rPr>
            </w:pPr>
          </w:p>
        </w:tc>
        <w:tc>
          <w:tcPr>
            <w:tcW w:w="1176"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Saskaņā ar valsts budžetu kārtējam gadam</w:t>
            </w:r>
          </w:p>
        </w:tc>
        <w:tc>
          <w:tcPr>
            <w:tcW w:w="1229"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Izmaiņas kārtējā gadā, salīdzinot ar budžetu kārtējam gadam</w:t>
            </w:r>
          </w:p>
        </w:tc>
        <w:tc>
          <w:tcPr>
            <w:tcW w:w="1171"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Izmaiņas, salīdzinot ar 201</w:t>
            </w:r>
            <w:r>
              <w:rPr>
                <w:lang w:eastAsia="lv-LV" w:bidi="lo-LA"/>
              </w:rPr>
              <w:t>1</w:t>
            </w:r>
            <w:r w:rsidRPr="00957553">
              <w:rPr>
                <w:lang w:eastAsia="lv-LV" w:bidi="lo-LA"/>
              </w:rPr>
              <w:t>. gadu</w:t>
            </w:r>
          </w:p>
        </w:tc>
        <w:tc>
          <w:tcPr>
            <w:tcW w:w="1218"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Izmaiņas, salīdzinot ar 201</w:t>
            </w:r>
            <w:r>
              <w:rPr>
                <w:lang w:eastAsia="lv-LV" w:bidi="lo-LA"/>
              </w:rPr>
              <w:t>1</w:t>
            </w:r>
            <w:r w:rsidRPr="00957553">
              <w:rPr>
                <w:lang w:eastAsia="lv-LV" w:bidi="lo-LA"/>
              </w:rPr>
              <w:t>. gadu</w:t>
            </w:r>
          </w:p>
        </w:tc>
        <w:tc>
          <w:tcPr>
            <w:tcW w:w="1176" w:type="dxa"/>
            <w:vAlign w:val="center"/>
          </w:tcPr>
          <w:p w:rsidR="001963C1" w:rsidRPr="00957553" w:rsidRDefault="001963C1" w:rsidP="001A3545">
            <w:pPr>
              <w:spacing w:before="100" w:beforeAutospacing="1" w:after="100" w:afterAutospacing="1"/>
              <w:jc w:val="center"/>
              <w:rPr>
                <w:lang w:eastAsia="lv-LV" w:bidi="lo-LA"/>
              </w:rPr>
            </w:pPr>
            <w:r w:rsidRPr="00957553">
              <w:rPr>
                <w:lang w:eastAsia="lv-LV" w:bidi="lo-LA"/>
              </w:rPr>
              <w:t>Izmaiņas, salīdzinot ar 201</w:t>
            </w:r>
            <w:r>
              <w:rPr>
                <w:lang w:eastAsia="lv-LV" w:bidi="lo-LA"/>
              </w:rPr>
              <w:t>1</w:t>
            </w:r>
            <w:r w:rsidRPr="00957553">
              <w:rPr>
                <w:lang w:eastAsia="lv-LV" w:bidi="lo-LA"/>
              </w:rPr>
              <w:t>. gadu</w:t>
            </w:r>
          </w:p>
        </w:tc>
      </w:tr>
      <w:tr w:rsidR="001963C1" w:rsidRPr="00957553" w:rsidTr="001A3545">
        <w:tc>
          <w:tcPr>
            <w:tcW w:w="3369" w:type="dxa"/>
          </w:tcPr>
          <w:p w:rsidR="001963C1" w:rsidRPr="00957553" w:rsidRDefault="001963C1" w:rsidP="001A3545">
            <w:pPr>
              <w:spacing w:before="100" w:beforeAutospacing="1" w:after="100" w:afterAutospacing="1"/>
              <w:rPr>
                <w:b/>
                <w:lang w:eastAsia="lv-LV" w:bidi="lo-LA"/>
              </w:rPr>
            </w:pPr>
            <w:r w:rsidRPr="00957553">
              <w:rPr>
                <w:b/>
                <w:lang w:eastAsia="lv-LV" w:bidi="lo-LA"/>
              </w:rPr>
              <w:t> 1. Budžeta ieņēmumi:</w:t>
            </w:r>
          </w:p>
        </w:tc>
        <w:tc>
          <w:tcPr>
            <w:tcW w:w="1176" w:type="dxa"/>
            <w:vAlign w:val="center"/>
          </w:tcPr>
          <w:p w:rsidR="001963C1" w:rsidRPr="003B7EA5" w:rsidRDefault="001963C1" w:rsidP="001A3545">
            <w:pPr>
              <w:jc w:val="center"/>
              <w:rPr>
                <w:b/>
              </w:rPr>
            </w:pPr>
            <w:r>
              <w:rPr>
                <w:b/>
              </w:rPr>
              <w:t>22 666,9</w:t>
            </w:r>
          </w:p>
        </w:tc>
        <w:tc>
          <w:tcPr>
            <w:tcW w:w="1229" w:type="dxa"/>
            <w:vAlign w:val="center"/>
          </w:tcPr>
          <w:p w:rsidR="001963C1" w:rsidRPr="003B7EA5" w:rsidRDefault="001963C1" w:rsidP="001A3545">
            <w:pPr>
              <w:jc w:val="center"/>
              <w:rPr>
                <w:b/>
              </w:rPr>
            </w:pPr>
            <w:r>
              <w:rPr>
                <w:b/>
              </w:rPr>
              <w:t>0,0</w:t>
            </w:r>
          </w:p>
        </w:tc>
        <w:tc>
          <w:tcPr>
            <w:tcW w:w="1171" w:type="dxa"/>
            <w:vAlign w:val="center"/>
          </w:tcPr>
          <w:p w:rsidR="001963C1" w:rsidRPr="003B7EA5" w:rsidRDefault="001963C1" w:rsidP="001A3545">
            <w:pPr>
              <w:jc w:val="center"/>
              <w:rPr>
                <w:b/>
              </w:rPr>
            </w:pPr>
            <w:r>
              <w:rPr>
                <w:b/>
              </w:rPr>
              <w:t>8 556,6</w:t>
            </w:r>
          </w:p>
        </w:tc>
        <w:tc>
          <w:tcPr>
            <w:tcW w:w="1218" w:type="dxa"/>
            <w:vAlign w:val="center"/>
          </w:tcPr>
          <w:p w:rsidR="001963C1" w:rsidRPr="003B7EA5" w:rsidRDefault="001963C1" w:rsidP="001A3545">
            <w:pPr>
              <w:jc w:val="center"/>
              <w:rPr>
                <w:b/>
              </w:rPr>
            </w:pPr>
            <w:r>
              <w:rPr>
                <w:b/>
              </w:rPr>
              <w:t>5 258,8</w:t>
            </w:r>
          </w:p>
        </w:tc>
        <w:tc>
          <w:tcPr>
            <w:tcW w:w="1176" w:type="dxa"/>
            <w:vAlign w:val="center"/>
          </w:tcPr>
          <w:p w:rsidR="001963C1" w:rsidRPr="003B7EA5" w:rsidRDefault="001963C1" w:rsidP="001A3545">
            <w:pPr>
              <w:jc w:val="center"/>
              <w:rPr>
                <w:b/>
              </w:rPr>
            </w:pPr>
            <w:r>
              <w:rPr>
                <w:b/>
              </w:rPr>
              <w:t>-14 516,9</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1.1. valsts pamatbudžets, tai skaitā ieņēmumi no maksas pakalpojumiem un citi pašu ieņēmumi</w:t>
            </w:r>
          </w:p>
        </w:tc>
        <w:tc>
          <w:tcPr>
            <w:tcW w:w="1176" w:type="dxa"/>
            <w:vAlign w:val="center"/>
          </w:tcPr>
          <w:p w:rsidR="001963C1" w:rsidRPr="00E70A7F" w:rsidRDefault="001963C1" w:rsidP="001A3545">
            <w:pPr>
              <w:jc w:val="right"/>
            </w:pPr>
            <w:r>
              <w:t>22 666,9</w:t>
            </w:r>
          </w:p>
        </w:tc>
        <w:tc>
          <w:tcPr>
            <w:tcW w:w="1229" w:type="dxa"/>
            <w:vAlign w:val="center"/>
          </w:tcPr>
          <w:p w:rsidR="001963C1" w:rsidRPr="00E70A7F" w:rsidRDefault="001963C1" w:rsidP="001A3545">
            <w:pPr>
              <w:jc w:val="right"/>
            </w:pPr>
          </w:p>
        </w:tc>
        <w:tc>
          <w:tcPr>
            <w:tcW w:w="1171" w:type="dxa"/>
            <w:vAlign w:val="center"/>
          </w:tcPr>
          <w:p w:rsidR="001963C1" w:rsidRPr="00E70A7F" w:rsidRDefault="001963C1" w:rsidP="001A3545">
            <w:pPr>
              <w:jc w:val="right"/>
            </w:pPr>
            <w:r>
              <w:t>8 556,6</w:t>
            </w:r>
          </w:p>
        </w:tc>
        <w:tc>
          <w:tcPr>
            <w:tcW w:w="1218" w:type="dxa"/>
            <w:vAlign w:val="center"/>
          </w:tcPr>
          <w:p w:rsidR="001963C1" w:rsidRPr="00E70A7F" w:rsidRDefault="001963C1" w:rsidP="001A3545">
            <w:pPr>
              <w:jc w:val="right"/>
            </w:pPr>
            <w:r>
              <w:t>5 258,8</w:t>
            </w:r>
          </w:p>
        </w:tc>
        <w:tc>
          <w:tcPr>
            <w:tcW w:w="1176" w:type="dxa"/>
            <w:vAlign w:val="center"/>
          </w:tcPr>
          <w:p w:rsidR="001963C1" w:rsidRPr="00E70A7F" w:rsidRDefault="001963C1" w:rsidP="001A3545">
            <w:pPr>
              <w:jc w:val="right"/>
            </w:pPr>
            <w:r>
              <w:t>-14 516,9</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1.2. valsts speciālais budžets</w:t>
            </w:r>
          </w:p>
        </w:tc>
        <w:tc>
          <w:tcPr>
            <w:tcW w:w="1176" w:type="dxa"/>
          </w:tcPr>
          <w:p w:rsidR="001963C1" w:rsidRPr="00957553" w:rsidRDefault="001963C1" w:rsidP="001A3545">
            <w:pPr>
              <w:jc w:val="right"/>
            </w:pPr>
            <w:r w:rsidRPr="00957553">
              <w:t>0,0</w:t>
            </w:r>
          </w:p>
        </w:tc>
        <w:tc>
          <w:tcPr>
            <w:tcW w:w="1229" w:type="dxa"/>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lastRenderedPageBreak/>
              <w:t> 1.3. pašvaldību budžets</w:t>
            </w:r>
          </w:p>
        </w:tc>
        <w:tc>
          <w:tcPr>
            <w:tcW w:w="1176" w:type="dxa"/>
          </w:tcPr>
          <w:p w:rsidR="001963C1" w:rsidRPr="00957553" w:rsidRDefault="001963C1" w:rsidP="001A3545">
            <w:pPr>
              <w:jc w:val="right"/>
            </w:pPr>
            <w:r w:rsidRPr="00957553">
              <w:t>0,0</w:t>
            </w:r>
          </w:p>
        </w:tc>
        <w:tc>
          <w:tcPr>
            <w:tcW w:w="1229" w:type="dxa"/>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rPr>
                <w:b/>
                <w:lang w:eastAsia="lv-LV" w:bidi="lo-LA"/>
              </w:rPr>
            </w:pPr>
            <w:r w:rsidRPr="00957553">
              <w:rPr>
                <w:b/>
                <w:lang w:eastAsia="lv-LV" w:bidi="lo-LA"/>
              </w:rPr>
              <w:t> 2. Budžeta izdevumi:</w:t>
            </w:r>
          </w:p>
        </w:tc>
        <w:tc>
          <w:tcPr>
            <w:tcW w:w="1176" w:type="dxa"/>
            <w:vAlign w:val="center"/>
          </w:tcPr>
          <w:p w:rsidR="001963C1" w:rsidRPr="003B7EA5" w:rsidRDefault="001963C1" w:rsidP="001A3545">
            <w:pPr>
              <w:jc w:val="center"/>
              <w:rPr>
                <w:b/>
              </w:rPr>
            </w:pPr>
            <w:r w:rsidRPr="003B7EA5">
              <w:rPr>
                <w:b/>
              </w:rPr>
              <w:t>25 </w:t>
            </w:r>
            <w:r>
              <w:rPr>
                <w:b/>
              </w:rPr>
              <w:t>387</w:t>
            </w:r>
            <w:r w:rsidRPr="003B7EA5">
              <w:rPr>
                <w:b/>
              </w:rPr>
              <w:t>,</w:t>
            </w:r>
            <w:r>
              <w:rPr>
                <w:b/>
              </w:rPr>
              <w:t>6</w:t>
            </w:r>
          </w:p>
        </w:tc>
        <w:tc>
          <w:tcPr>
            <w:tcW w:w="1229" w:type="dxa"/>
            <w:vAlign w:val="center"/>
          </w:tcPr>
          <w:p w:rsidR="001963C1" w:rsidRPr="003B7EA5" w:rsidRDefault="001963C1" w:rsidP="001A3545">
            <w:pPr>
              <w:jc w:val="center"/>
              <w:rPr>
                <w:b/>
              </w:rPr>
            </w:pPr>
            <w:r>
              <w:rPr>
                <w:b/>
              </w:rPr>
              <w:t>38,8</w:t>
            </w:r>
          </w:p>
        </w:tc>
        <w:tc>
          <w:tcPr>
            <w:tcW w:w="1171" w:type="dxa"/>
            <w:vAlign w:val="center"/>
          </w:tcPr>
          <w:p w:rsidR="001963C1" w:rsidRPr="003B7EA5" w:rsidRDefault="001963C1" w:rsidP="001A3545">
            <w:pPr>
              <w:jc w:val="center"/>
              <w:rPr>
                <w:b/>
              </w:rPr>
            </w:pPr>
            <w:r>
              <w:rPr>
                <w:b/>
              </w:rPr>
              <w:t>8 052,0</w:t>
            </w:r>
          </w:p>
        </w:tc>
        <w:tc>
          <w:tcPr>
            <w:tcW w:w="1218" w:type="dxa"/>
            <w:vAlign w:val="center"/>
          </w:tcPr>
          <w:p w:rsidR="001963C1" w:rsidRPr="003B7EA5" w:rsidRDefault="001963C1" w:rsidP="001A3545">
            <w:pPr>
              <w:jc w:val="center"/>
              <w:rPr>
                <w:b/>
              </w:rPr>
            </w:pPr>
            <w:r>
              <w:rPr>
                <w:b/>
              </w:rPr>
              <w:t>4 203,6</w:t>
            </w:r>
          </w:p>
        </w:tc>
        <w:tc>
          <w:tcPr>
            <w:tcW w:w="1176" w:type="dxa"/>
            <w:vAlign w:val="center"/>
          </w:tcPr>
          <w:p w:rsidR="001963C1" w:rsidRPr="003B7EA5" w:rsidRDefault="001963C1" w:rsidP="001A3545">
            <w:pPr>
              <w:jc w:val="center"/>
              <w:rPr>
                <w:b/>
              </w:rPr>
            </w:pPr>
            <w:r>
              <w:rPr>
                <w:b/>
              </w:rPr>
              <w:t>-17 107,8</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2.1. valsts pamatbudžets</w:t>
            </w:r>
          </w:p>
        </w:tc>
        <w:tc>
          <w:tcPr>
            <w:tcW w:w="1176" w:type="dxa"/>
            <w:vAlign w:val="center"/>
          </w:tcPr>
          <w:p w:rsidR="001963C1" w:rsidRPr="00E70A7F" w:rsidRDefault="001963C1" w:rsidP="001A3545">
            <w:pPr>
              <w:jc w:val="right"/>
            </w:pPr>
            <w:r>
              <w:t>25 387,6</w:t>
            </w:r>
          </w:p>
        </w:tc>
        <w:tc>
          <w:tcPr>
            <w:tcW w:w="1229" w:type="dxa"/>
            <w:vAlign w:val="center"/>
          </w:tcPr>
          <w:p w:rsidR="001963C1" w:rsidRPr="00E70A7F" w:rsidRDefault="001963C1" w:rsidP="001A3545">
            <w:pPr>
              <w:jc w:val="right"/>
            </w:pPr>
            <w:r>
              <w:t>38,8</w:t>
            </w:r>
          </w:p>
        </w:tc>
        <w:tc>
          <w:tcPr>
            <w:tcW w:w="1171" w:type="dxa"/>
            <w:vAlign w:val="center"/>
          </w:tcPr>
          <w:p w:rsidR="001963C1" w:rsidRPr="00E70A7F" w:rsidRDefault="001963C1" w:rsidP="001A3545">
            <w:pPr>
              <w:jc w:val="right"/>
            </w:pPr>
            <w:r>
              <w:t>8 052,0</w:t>
            </w:r>
          </w:p>
        </w:tc>
        <w:tc>
          <w:tcPr>
            <w:tcW w:w="1218" w:type="dxa"/>
            <w:vAlign w:val="center"/>
          </w:tcPr>
          <w:p w:rsidR="001963C1" w:rsidRPr="00E70A7F" w:rsidRDefault="001963C1" w:rsidP="001A3545">
            <w:pPr>
              <w:jc w:val="right"/>
            </w:pPr>
            <w:r>
              <w:t>4 203,6</w:t>
            </w:r>
          </w:p>
        </w:tc>
        <w:tc>
          <w:tcPr>
            <w:tcW w:w="1176" w:type="dxa"/>
            <w:vAlign w:val="center"/>
          </w:tcPr>
          <w:p w:rsidR="001963C1" w:rsidRPr="00E70A7F" w:rsidRDefault="001963C1" w:rsidP="001A3545">
            <w:pPr>
              <w:jc w:val="right"/>
            </w:pPr>
            <w:r>
              <w:t>-17 107,8</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2.2. valsts speciālais budžets</w:t>
            </w:r>
          </w:p>
        </w:tc>
        <w:tc>
          <w:tcPr>
            <w:tcW w:w="1176" w:type="dxa"/>
          </w:tcPr>
          <w:p w:rsidR="001963C1" w:rsidRPr="00957553" w:rsidRDefault="001963C1" w:rsidP="001A3545">
            <w:pPr>
              <w:jc w:val="right"/>
            </w:pPr>
            <w:r w:rsidRPr="00957553">
              <w:t>0,0</w:t>
            </w:r>
          </w:p>
        </w:tc>
        <w:tc>
          <w:tcPr>
            <w:tcW w:w="1229" w:type="dxa"/>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2.3. pašvaldību budžets</w:t>
            </w:r>
          </w:p>
        </w:tc>
        <w:tc>
          <w:tcPr>
            <w:tcW w:w="1176" w:type="dxa"/>
          </w:tcPr>
          <w:p w:rsidR="001963C1" w:rsidRPr="00957553" w:rsidRDefault="001963C1" w:rsidP="001A3545">
            <w:pPr>
              <w:jc w:val="right"/>
            </w:pPr>
            <w:r w:rsidRPr="00957553">
              <w:t>0,0</w:t>
            </w:r>
          </w:p>
        </w:tc>
        <w:tc>
          <w:tcPr>
            <w:tcW w:w="1229" w:type="dxa"/>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rPr>
                <w:b/>
                <w:lang w:eastAsia="lv-LV" w:bidi="lo-LA"/>
              </w:rPr>
            </w:pPr>
            <w:r w:rsidRPr="00957553">
              <w:rPr>
                <w:b/>
                <w:lang w:eastAsia="lv-LV" w:bidi="lo-LA"/>
              </w:rPr>
              <w:t> 3. Finansiālā ietekme:</w:t>
            </w:r>
          </w:p>
        </w:tc>
        <w:tc>
          <w:tcPr>
            <w:tcW w:w="1176" w:type="dxa"/>
            <w:vAlign w:val="center"/>
          </w:tcPr>
          <w:p w:rsidR="001963C1" w:rsidRPr="003B7EA5" w:rsidRDefault="001963C1" w:rsidP="001A3545">
            <w:pPr>
              <w:jc w:val="center"/>
              <w:rPr>
                <w:b/>
              </w:rPr>
            </w:pPr>
            <w:r>
              <w:rPr>
                <w:b/>
              </w:rPr>
              <w:t>-2 720,7</w:t>
            </w:r>
          </w:p>
        </w:tc>
        <w:tc>
          <w:tcPr>
            <w:tcW w:w="1229" w:type="dxa"/>
          </w:tcPr>
          <w:p w:rsidR="001963C1" w:rsidRPr="003B7EA5" w:rsidRDefault="001963C1" w:rsidP="001A3545">
            <w:pPr>
              <w:jc w:val="center"/>
              <w:rPr>
                <w:b/>
              </w:rPr>
            </w:pPr>
            <w:r>
              <w:rPr>
                <w:b/>
              </w:rPr>
              <w:t>-38,8</w:t>
            </w:r>
          </w:p>
        </w:tc>
        <w:tc>
          <w:tcPr>
            <w:tcW w:w="1171" w:type="dxa"/>
          </w:tcPr>
          <w:p w:rsidR="001963C1" w:rsidRPr="003B7EA5" w:rsidRDefault="001963C1" w:rsidP="001A3545">
            <w:pPr>
              <w:jc w:val="center"/>
              <w:rPr>
                <w:b/>
              </w:rPr>
            </w:pPr>
            <w:r>
              <w:rPr>
                <w:b/>
              </w:rPr>
              <w:t>504,6</w:t>
            </w:r>
          </w:p>
        </w:tc>
        <w:tc>
          <w:tcPr>
            <w:tcW w:w="1218" w:type="dxa"/>
          </w:tcPr>
          <w:p w:rsidR="001963C1" w:rsidRPr="003B7EA5" w:rsidRDefault="001963C1" w:rsidP="001A3545">
            <w:pPr>
              <w:jc w:val="center"/>
              <w:rPr>
                <w:b/>
              </w:rPr>
            </w:pPr>
            <w:r>
              <w:rPr>
                <w:b/>
              </w:rPr>
              <w:t>1 055,2</w:t>
            </w:r>
          </w:p>
        </w:tc>
        <w:tc>
          <w:tcPr>
            <w:tcW w:w="1176" w:type="dxa"/>
          </w:tcPr>
          <w:p w:rsidR="001963C1" w:rsidRPr="003B7EA5" w:rsidRDefault="001963C1" w:rsidP="001A3545">
            <w:pPr>
              <w:jc w:val="center"/>
              <w:rPr>
                <w:b/>
              </w:rPr>
            </w:pPr>
            <w:r>
              <w:rPr>
                <w:b/>
              </w:rPr>
              <w:t>2 590,9</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3.1. valsts pamatbudžets</w:t>
            </w:r>
          </w:p>
        </w:tc>
        <w:tc>
          <w:tcPr>
            <w:tcW w:w="1176" w:type="dxa"/>
            <w:vAlign w:val="center"/>
          </w:tcPr>
          <w:p w:rsidR="001963C1" w:rsidRPr="00E70A7F" w:rsidRDefault="001963C1" w:rsidP="001A3545">
            <w:pPr>
              <w:jc w:val="right"/>
            </w:pPr>
            <w:r>
              <w:t>-2 720,7</w:t>
            </w:r>
          </w:p>
        </w:tc>
        <w:tc>
          <w:tcPr>
            <w:tcW w:w="1229" w:type="dxa"/>
          </w:tcPr>
          <w:p w:rsidR="001963C1" w:rsidRDefault="001963C1" w:rsidP="001A3545">
            <w:pPr>
              <w:jc w:val="right"/>
            </w:pPr>
            <w:r>
              <w:t>-38,8</w:t>
            </w:r>
          </w:p>
        </w:tc>
        <w:tc>
          <w:tcPr>
            <w:tcW w:w="1171" w:type="dxa"/>
          </w:tcPr>
          <w:p w:rsidR="001963C1" w:rsidRDefault="001963C1" w:rsidP="001A3545">
            <w:pPr>
              <w:jc w:val="right"/>
            </w:pPr>
            <w:r>
              <w:t>504,6</w:t>
            </w:r>
          </w:p>
        </w:tc>
        <w:tc>
          <w:tcPr>
            <w:tcW w:w="1218" w:type="dxa"/>
          </w:tcPr>
          <w:p w:rsidR="001963C1" w:rsidRDefault="001963C1" w:rsidP="001A3545">
            <w:pPr>
              <w:jc w:val="right"/>
            </w:pPr>
            <w:r>
              <w:t>1 055,2</w:t>
            </w:r>
          </w:p>
        </w:tc>
        <w:tc>
          <w:tcPr>
            <w:tcW w:w="1176" w:type="dxa"/>
          </w:tcPr>
          <w:p w:rsidR="001963C1" w:rsidRDefault="001963C1" w:rsidP="001A3545">
            <w:pPr>
              <w:jc w:val="right"/>
            </w:pPr>
            <w:r>
              <w:t>2 590,9</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3.2. speciālais budžets</w:t>
            </w:r>
          </w:p>
        </w:tc>
        <w:tc>
          <w:tcPr>
            <w:tcW w:w="1176" w:type="dxa"/>
          </w:tcPr>
          <w:p w:rsidR="001963C1" w:rsidRPr="00957553" w:rsidRDefault="001963C1" w:rsidP="001A3545">
            <w:pPr>
              <w:jc w:val="right"/>
            </w:pPr>
            <w:r w:rsidRPr="00957553">
              <w:t>0,0</w:t>
            </w:r>
          </w:p>
        </w:tc>
        <w:tc>
          <w:tcPr>
            <w:tcW w:w="1229" w:type="dxa"/>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3.3. pašvaldību budžets</w:t>
            </w:r>
          </w:p>
        </w:tc>
        <w:tc>
          <w:tcPr>
            <w:tcW w:w="1176" w:type="dxa"/>
          </w:tcPr>
          <w:p w:rsidR="001963C1" w:rsidRPr="00957553" w:rsidRDefault="001963C1" w:rsidP="001A3545">
            <w:pPr>
              <w:jc w:val="right"/>
            </w:pPr>
            <w:r w:rsidRPr="00957553">
              <w:t>0,0</w:t>
            </w:r>
          </w:p>
        </w:tc>
        <w:tc>
          <w:tcPr>
            <w:tcW w:w="1229" w:type="dxa"/>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rPr>
          <w:trHeight w:val="125"/>
        </w:trPr>
        <w:tc>
          <w:tcPr>
            <w:tcW w:w="3369" w:type="dxa"/>
            <w:vMerge w:val="restart"/>
          </w:tcPr>
          <w:p w:rsidR="001963C1" w:rsidRPr="00957553" w:rsidRDefault="001963C1" w:rsidP="001A3545">
            <w:pPr>
              <w:spacing w:before="100" w:beforeAutospacing="1" w:after="100" w:afterAutospacing="1"/>
              <w:rPr>
                <w:lang w:eastAsia="lv-LV" w:bidi="lo-LA"/>
              </w:rPr>
            </w:pPr>
            <w:r w:rsidRPr="00957553">
              <w:rPr>
                <w:lang w:eastAsia="lv-LV" w:bidi="lo-LA"/>
              </w:rPr>
              <w:t> 4. Finanšu līdzekļi papildu izde</w:t>
            </w:r>
            <w:r w:rsidRPr="00957553">
              <w:rPr>
                <w:lang w:eastAsia="lv-LV" w:bidi="lo-LA"/>
              </w:rPr>
              <w:softHyphen/>
              <w:t>vumu finansēšanai (kompensējošu izdevumu samazinājumu norāda ar "+" zīmi)</w:t>
            </w:r>
          </w:p>
        </w:tc>
        <w:tc>
          <w:tcPr>
            <w:tcW w:w="1176" w:type="dxa"/>
            <w:vMerge w:val="restart"/>
            <w:vAlign w:val="center"/>
          </w:tcPr>
          <w:p w:rsidR="001963C1" w:rsidRPr="00957553" w:rsidRDefault="001963C1" w:rsidP="001A3545">
            <w:pPr>
              <w:autoSpaceDE w:val="0"/>
              <w:autoSpaceDN w:val="0"/>
              <w:adjustRightInd w:val="0"/>
              <w:jc w:val="center"/>
              <w:rPr>
                <w:noProof/>
                <w:sz w:val="28"/>
                <w:szCs w:val="28"/>
              </w:rPr>
            </w:pPr>
            <w:r w:rsidRPr="00957553">
              <w:rPr>
                <w:noProof/>
                <w:sz w:val="28"/>
                <w:szCs w:val="28"/>
              </w:rPr>
              <w:t>X</w:t>
            </w:r>
          </w:p>
        </w:tc>
        <w:tc>
          <w:tcPr>
            <w:tcW w:w="1229" w:type="dxa"/>
            <w:vAlign w:val="center"/>
          </w:tcPr>
          <w:p w:rsidR="001963C1" w:rsidRPr="00957553" w:rsidRDefault="001963C1" w:rsidP="001A3545">
            <w:pPr>
              <w:jc w:val="right"/>
            </w:pPr>
            <w:r w:rsidRPr="00957553">
              <w:t>0,0</w:t>
            </w:r>
          </w:p>
        </w:tc>
        <w:tc>
          <w:tcPr>
            <w:tcW w:w="1171" w:type="dxa"/>
          </w:tcPr>
          <w:p w:rsidR="001963C1" w:rsidRPr="00957553" w:rsidRDefault="001963C1" w:rsidP="001A3545">
            <w:pPr>
              <w:jc w:val="right"/>
            </w:pPr>
            <w:r w:rsidRPr="00957553">
              <w:t>0,0</w:t>
            </w:r>
          </w:p>
        </w:tc>
        <w:tc>
          <w:tcPr>
            <w:tcW w:w="1218" w:type="dxa"/>
          </w:tcPr>
          <w:p w:rsidR="001963C1" w:rsidRPr="00957553" w:rsidRDefault="001963C1" w:rsidP="001A3545">
            <w:pPr>
              <w:jc w:val="right"/>
            </w:pPr>
            <w:r w:rsidRPr="00957553">
              <w:t>0,0</w:t>
            </w:r>
          </w:p>
        </w:tc>
        <w:tc>
          <w:tcPr>
            <w:tcW w:w="1176" w:type="dxa"/>
          </w:tcPr>
          <w:p w:rsidR="001963C1" w:rsidRPr="00957553" w:rsidRDefault="001963C1" w:rsidP="001A3545">
            <w:pPr>
              <w:jc w:val="right"/>
            </w:pPr>
            <w:r w:rsidRPr="00957553">
              <w:t>0,0</w:t>
            </w:r>
          </w:p>
        </w:tc>
      </w:tr>
      <w:tr w:rsidR="001963C1" w:rsidRPr="00957553" w:rsidTr="001A3545">
        <w:trPr>
          <w:trHeight w:val="293"/>
        </w:trPr>
        <w:tc>
          <w:tcPr>
            <w:tcW w:w="3369" w:type="dxa"/>
            <w:vMerge/>
            <w:vAlign w:val="center"/>
          </w:tcPr>
          <w:p w:rsidR="001963C1" w:rsidRPr="00957553" w:rsidRDefault="001963C1" w:rsidP="001A3545">
            <w:pPr>
              <w:rPr>
                <w:lang w:eastAsia="lv-LV" w:bidi="lo-LA"/>
              </w:rPr>
            </w:pPr>
          </w:p>
        </w:tc>
        <w:tc>
          <w:tcPr>
            <w:tcW w:w="1176" w:type="dxa"/>
            <w:vMerge/>
            <w:vAlign w:val="center"/>
          </w:tcPr>
          <w:p w:rsidR="001963C1" w:rsidRPr="00957553" w:rsidRDefault="001963C1" w:rsidP="001A3545">
            <w:pPr>
              <w:autoSpaceDE w:val="0"/>
              <w:autoSpaceDN w:val="0"/>
              <w:adjustRightInd w:val="0"/>
              <w:jc w:val="center"/>
              <w:rPr>
                <w:noProof/>
                <w:sz w:val="28"/>
                <w:szCs w:val="28"/>
              </w:rPr>
            </w:pPr>
          </w:p>
        </w:tc>
        <w:tc>
          <w:tcPr>
            <w:tcW w:w="1229" w:type="dxa"/>
            <w:vAlign w:val="center"/>
          </w:tcPr>
          <w:p w:rsidR="001963C1" w:rsidRPr="00957553" w:rsidRDefault="001963C1" w:rsidP="001A3545">
            <w:pPr>
              <w:jc w:val="right"/>
            </w:pPr>
            <w:r w:rsidRPr="00957553">
              <w:t>0,0</w:t>
            </w:r>
          </w:p>
        </w:tc>
        <w:tc>
          <w:tcPr>
            <w:tcW w:w="1171" w:type="dxa"/>
            <w:vAlign w:val="center"/>
          </w:tcPr>
          <w:p w:rsidR="001963C1" w:rsidRPr="00957553" w:rsidRDefault="001963C1" w:rsidP="001A3545">
            <w:pPr>
              <w:jc w:val="right"/>
            </w:pPr>
            <w:r w:rsidRPr="00957553">
              <w:t>0,0</w:t>
            </w:r>
          </w:p>
        </w:tc>
        <w:tc>
          <w:tcPr>
            <w:tcW w:w="1218" w:type="dxa"/>
            <w:vAlign w:val="center"/>
          </w:tcPr>
          <w:p w:rsidR="001963C1" w:rsidRPr="00957553" w:rsidRDefault="001963C1" w:rsidP="001A3545">
            <w:pPr>
              <w:jc w:val="right"/>
            </w:pPr>
            <w:r w:rsidRPr="00957553">
              <w:t>0,0</w:t>
            </w:r>
          </w:p>
        </w:tc>
        <w:tc>
          <w:tcPr>
            <w:tcW w:w="1176" w:type="dxa"/>
            <w:vAlign w:val="center"/>
          </w:tcPr>
          <w:p w:rsidR="001963C1" w:rsidRPr="00957553" w:rsidRDefault="001963C1" w:rsidP="001A3545">
            <w:pPr>
              <w:jc w:val="right"/>
            </w:pPr>
            <w:r w:rsidRPr="00957553">
              <w:t>0,0</w:t>
            </w:r>
          </w:p>
        </w:tc>
      </w:tr>
      <w:tr w:rsidR="001963C1" w:rsidRPr="00957553" w:rsidTr="001A3545">
        <w:trPr>
          <w:trHeight w:val="70"/>
        </w:trPr>
        <w:tc>
          <w:tcPr>
            <w:tcW w:w="3369" w:type="dxa"/>
            <w:vMerge/>
            <w:vAlign w:val="center"/>
          </w:tcPr>
          <w:p w:rsidR="001963C1" w:rsidRPr="00957553" w:rsidRDefault="001963C1" w:rsidP="001A3545">
            <w:pPr>
              <w:rPr>
                <w:lang w:eastAsia="lv-LV" w:bidi="lo-LA"/>
              </w:rPr>
            </w:pPr>
          </w:p>
        </w:tc>
        <w:tc>
          <w:tcPr>
            <w:tcW w:w="1176" w:type="dxa"/>
            <w:vMerge/>
            <w:vAlign w:val="center"/>
          </w:tcPr>
          <w:p w:rsidR="001963C1" w:rsidRPr="00957553" w:rsidRDefault="001963C1" w:rsidP="001A3545">
            <w:pPr>
              <w:autoSpaceDE w:val="0"/>
              <w:autoSpaceDN w:val="0"/>
              <w:adjustRightInd w:val="0"/>
              <w:jc w:val="center"/>
              <w:rPr>
                <w:noProof/>
                <w:sz w:val="28"/>
                <w:szCs w:val="28"/>
              </w:rPr>
            </w:pPr>
          </w:p>
        </w:tc>
        <w:tc>
          <w:tcPr>
            <w:tcW w:w="1229" w:type="dxa"/>
            <w:vAlign w:val="center"/>
          </w:tcPr>
          <w:p w:rsidR="001963C1" w:rsidRPr="00957553" w:rsidRDefault="001963C1" w:rsidP="001A3545">
            <w:pPr>
              <w:jc w:val="right"/>
            </w:pPr>
            <w:r w:rsidRPr="00957553">
              <w:t>0,0</w:t>
            </w:r>
          </w:p>
        </w:tc>
        <w:tc>
          <w:tcPr>
            <w:tcW w:w="1171" w:type="dxa"/>
            <w:vAlign w:val="center"/>
          </w:tcPr>
          <w:p w:rsidR="001963C1" w:rsidRPr="00957553" w:rsidRDefault="001963C1" w:rsidP="001A3545">
            <w:pPr>
              <w:jc w:val="right"/>
            </w:pPr>
            <w:r w:rsidRPr="00957553">
              <w:t>0,0</w:t>
            </w:r>
          </w:p>
        </w:tc>
        <w:tc>
          <w:tcPr>
            <w:tcW w:w="1218" w:type="dxa"/>
            <w:vAlign w:val="center"/>
          </w:tcPr>
          <w:p w:rsidR="001963C1" w:rsidRPr="00957553" w:rsidRDefault="001963C1" w:rsidP="001A3545">
            <w:pPr>
              <w:jc w:val="right"/>
            </w:pPr>
            <w:r w:rsidRPr="00957553">
              <w:t>0,0</w:t>
            </w:r>
          </w:p>
        </w:tc>
        <w:tc>
          <w:tcPr>
            <w:tcW w:w="1176" w:type="dxa"/>
            <w:vAlign w:val="center"/>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rPr>
                <w:lang w:eastAsia="lv-LV" w:bidi="lo-LA"/>
              </w:rPr>
            </w:pPr>
            <w:r w:rsidRPr="00957553">
              <w:rPr>
                <w:lang w:eastAsia="lv-LV" w:bidi="lo-LA"/>
              </w:rPr>
              <w:t> 5. Precizēta finansiālā ietekme:</w:t>
            </w:r>
          </w:p>
        </w:tc>
        <w:tc>
          <w:tcPr>
            <w:tcW w:w="1176" w:type="dxa"/>
            <w:vMerge w:val="restart"/>
            <w:vAlign w:val="center"/>
          </w:tcPr>
          <w:p w:rsidR="001963C1" w:rsidRPr="00957553" w:rsidRDefault="001963C1" w:rsidP="001A3545">
            <w:pPr>
              <w:autoSpaceDE w:val="0"/>
              <w:autoSpaceDN w:val="0"/>
              <w:adjustRightInd w:val="0"/>
              <w:jc w:val="center"/>
              <w:rPr>
                <w:noProof/>
                <w:sz w:val="28"/>
                <w:szCs w:val="28"/>
              </w:rPr>
            </w:pPr>
            <w:r w:rsidRPr="00957553">
              <w:rPr>
                <w:noProof/>
                <w:sz w:val="28"/>
                <w:szCs w:val="28"/>
              </w:rPr>
              <w:t>X</w:t>
            </w:r>
          </w:p>
        </w:tc>
        <w:tc>
          <w:tcPr>
            <w:tcW w:w="1229" w:type="dxa"/>
            <w:vAlign w:val="center"/>
          </w:tcPr>
          <w:p w:rsidR="001963C1" w:rsidRPr="003B7EA5" w:rsidRDefault="001963C1" w:rsidP="001A3545">
            <w:pPr>
              <w:jc w:val="center"/>
              <w:rPr>
                <w:b/>
              </w:rPr>
            </w:pPr>
            <w:r w:rsidRPr="003B7EA5">
              <w:rPr>
                <w:b/>
              </w:rPr>
              <w:t>0,0</w:t>
            </w:r>
          </w:p>
        </w:tc>
        <w:tc>
          <w:tcPr>
            <w:tcW w:w="1171" w:type="dxa"/>
            <w:vAlign w:val="center"/>
          </w:tcPr>
          <w:p w:rsidR="001963C1" w:rsidRPr="003B7EA5" w:rsidRDefault="001963C1" w:rsidP="001A3545">
            <w:pPr>
              <w:jc w:val="center"/>
              <w:rPr>
                <w:b/>
              </w:rPr>
            </w:pPr>
            <w:r w:rsidRPr="003B7EA5">
              <w:rPr>
                <w:b/>
              </w:rPr>
              <w:t>0,0</w:t>
            </w:r>
          </w:p>
        </w:tc>
        <w:tc>
          <w:tcPr>
            <w:tcW w:w="1218" w:type="dxa"/>
            <w:vAlign w:val="center"/>
          </w:tcPr>
          <w:p w:rsidR="001963C1" w:rsidRPr="003B7EA5" w:rsidRDefault="001963C1" w:rsidP="001A3545">
            <w:pPr>
              <w:jc w:val="center"/>
              <w:rPr>
                <w:b/>
              </w:rPr>
            </w:pPr>
            <w:r w:rsidRPr="003B7EA5">
              <w:rPr>
                <w:b/>
              </w:rPr>
              <w:t>0,0</w:t>
            </w:r>
          </w:p>
        </w:tc>
        <w:tc>
          <w:tcPr>
            <w:tcW w:w="1176" w:type="dxa"/>
            <w:vAlign w:val="center"/>
          </w:tcPr>
          <w:p w:rsidR="001963C1" w:rsidRPr="003B7EA5" w:rsidRDefault="001963C1" w:rsidP="001A3545">
            <w:pPr>
              <w:jc w:val="center"/>
              <w:rPr>
                <w:b/>
              </w:rPr>
            </w:pPr>
            <w:r w:rsidRPr="003B7EA5">
              <w:rPr>
                <w:b/>
              </w:rPr>
              <w:t>0,0</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5.1. valsts pamatbudžets</w:t>
            </w:r>
          </w:p>
        </w:tc>
        <w:tc>
          <w:tcPr>
            <w:tcW w:w="1176" w:type="dxa"/>
            <w:vMerge/>
          </w:tcPr>
          <w:p w:rsidR="001963C1" w:rsidRPr="00957553" w:rsidRDefault="001963C1" w:rsidP="001A3545">
            <w:pPr>
              <w:autoSpaceDE w:val="0"/>
              <w:autoSpaceDN w:val="0"/>
              <w:adjustRightInd w:val="0"/>
              <w:rPr>
                <w:noProof/>
                <w:sz w:val="28"/>
                <w:szCs w:val="28"/>
              </w:rPr>
            </w:pPr>
          </w:p>
        </w:tc>
        <w:tc>
          <w:tcPr>
            <w:tcW w:w="1229" w:type="dxa"/>
            <w:vAlign w:val="center"/>
          </w:tcPr>
          <w:p w:rsidR="001963C1" w:rsidRPr="00957553" w:rsidRDefault="001963C1" w:rsidP="001A3545">
            <w:pPr>
              <w:jc w:val="right"/>
            </w:pPr>
            <w:r w:rsidRPr="00957553">
              <w:t>0,0</w:t>
            </w:r>
          </w:p>
        </w:tc>
        <w:tc>
          <w:tcPr>
            <w:tcW w:w="1171" w:type="dxa"/>
            <w:vAlign w:val="center"/>
          </w:tcPr>
          <w:p w:rsidR="001963C1" w:rsidRPr="00957553" w:rsidRDefault="001963C1" w:rsidP="001A3545">
            <w:pPr>
              <w:jc w:val="right"/>
            </w:pPr>
            <w:r w:rsidRPr="00957553">
              <w:t>0,0</w:t>
            </w:r>
          </w:p>
        </w:tc>
        <w:tc>
          <w:tcPr>
            <w:tcW w:w="1218" w:type="dxa"/>
            <w:vAlign w:val="center"/>
          </w:tcPr>
          <w:p w:rsidR="001963C1" w:rsidRPr="00957553" w:rsidRDefault="001963C1" w:rsidP="001A3545">
            <w:pPr>
              <w:jc w:val="right"/>
            </w:pPr>
            <w:r w:rsidRPr="00957553">
              <w:t>0,0</w:t>
            </w:r>
          </w:p>
        </w:tc>
        <w:tc>
          <w:tcPr>
            <w:tcW w:w="1176" w:type="dxa"/>
            <w:vAlign w:val="center"/>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5.2. speciālais budžets</w:t>
            </w:r>
          </w:p>
        </w:tc>
        <w:tc>
          <w:tcPr>
            <w:tcW w:w="1176" w:type="dxa"/>
            <w:vMerge/>
          </w:tcPr>
          <w:p w:rsidR="001963C1" w:rsidRPr="00957553" w:rsidRDefault="001963C1" w:rsidP="001A3545">
            <w:pPr>
              <w:autoSpaceDE w:val="0"/>
              <w:autoSpaceDN w:val="0"/>
              <w:adjustRightInd w:val="0"/>
              <w:rPr>
                <w:noProof/>
                <w:sz w:val="28"/>
                <w:szCs w:val="28"/>
              </w:rPr>
            </w:pPr>
          </w:p>
        </w:tc>
        <w:tc>
          <w:tcPr>
            <w:tcW w:w="1229" w:type="dxa"/>
            <w:vAlign w:val="center"/>
          </w:tcPr>
          <w:p w:rsidR="001963C1" w:rsidRPr="00957553" w:rsidRDefault="001963C1" w:rsidP="001A3545">
            <w:pPr>
              <w:jc w:val="right"/>
            </w:pPr>
            <w:r w:rsidRPr="00957553">
              <w:t>0,0</w:t>
            </w:r>
          </w:p>
        </w:tc>
        <w:tc>
          <w:tcPr>
            <w:tcW w:w="1171" w:type="dxa"/>
            <w:vAlign w:val="center"/>
          </w:tcPr>
          <w:p w:rsidR="001963C1" w:rsidRPr="00957553" w:rsidRDefault="001963C1" w:rsidP="001A3545">
            <w:pPr>
              <w:jc w:val="right"/>
            </w:pPr>
            <w:r w:rsidRPr="00957553">
              <w:t>0,0</w:t>
            </w:r>
          </w:p>
        </w:tc>
        <w:tc>
          <w:tcPr>
            <w:tcW w:w="1218" w:type="dxa"/>
            <w:vAlign w:val="center"/>
          </w:tcPr>
          <w:p w:rsidR="001963C1" w:rsidRPr="00957553" w:rsidRDefault="001963C1" w:rsidP="001A3545">
            <w:pPr>
              <w:jc w:val="right"/>
            </w:pPr>
            <w:r w:rsidRPr="00957553">
              <w:t>0,0</w:t>
            </w:r>
          </w:p>
        </w:tc>
        <w:tc>
          <w:tcPr>
            <w:tcW w:w="1176" w:type="dxa"/>
            <w:vAlign w:val="center"/>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5.3. pašvaldību budžets</w:t>
            </w:r>
          </w:p>
        </w:tc>
        <w:tc>
          <w:tcPr>
            <w:tcW w:w="1176" w:type="dxa"/>
            <w:vMerge/>
          </w:tcPr>
          <w:p w:rsidR="001963C1" w:rsidRPr="00957553" w:rsidRDefault="001963C1" w:rsidP="001A3545">
            <w:pPr>
              <w:autoSpaceDE w:val="0"/>
              <w:autoSpaceDN w:val="0"/>
              <w:adjustRightInd w:val="0"/>
              <w:rPr>
                <w:noProof/>
                <w:sz w:val="28"/>
                <w:szCs w:val="28"/>
              </w:rPr>
            </w:pPr>
          </w:p>
        </w:tc>
        <w:tc>
          <w:tcPr>
            <w:tcW w:w="1229" w:type="dxa"/>
            <w:vAlign w:val="center"/>
          </w:tcPr>
          <w:p w:rsidR="001963C1" w:rsidRPr="00957553" w:rsidRDefault="001963C1" w:rsidP="001A3545">
            <w:pPr>
              <w:jc w:val="right"/>
            </w:pPr>
            <w:r w:rsidRPr="00957553">
              <w:t>0,0</w:t>
            </w:r>
          </w:p>
        </w:tc>
        <w:tc>
          <w:tcPr>
            <w:tcW w:w="1171" w:type="dxa"/>
            <w:vAlign w:val="center"/>
          </w:tcPr>
          <w:p w:rsidR="001963C1" w:rsidRPr="00957553" w:rsidRDefault="001963C1" w:rsidP="001A3545">
            <w:pPr>
              <w:jc w:val="right"/>
            </w:pPr>
            <w:r w:rsidRPr="00957553">
              <w:t>0,0</w:t>
            </w:r>
          </w:p>
        </w:tc>
        <w:tc>
          <w:tcPr>
            <w:tcW w:w="1218" w:type="dxa"/>
            <w:vAlign w:val="center"/>
          </w:tcPr>
          <w:p w:rsidR="001963C1" w:rsidRPr="00957553" w:rsidRDefault="001963C1" w:rsidP="001A3545">
            <w:pPr>
              <w:jc w:val="right"/>
            </w:pPr>
            <w:r w:rsidRPr="00957553">
              <w:t>0,0</w:t>
            </w:r>
          </w:p>
        </w:tc>
        <w:tc>
          <w:tcPr>
            <w:tcW w:w="1176" w:type="dxa"/>
            <w:vAlign w:val="center"/>
          </w:tcPr>
          <w:p w:rsidR="001963C1" w:rsidRPr="00957553" w:rsidRDefault="001963C1" w:rsidP="001A3545">
            <w:pPr>
              <w:jc w:val="right"/>
            </w:pPr>
            <w:r w:rsidRPr="00957553">
              <w:t>0,0</w:t>
            </w:r>
          </w:p>
        </w:tc>
      </w:tr>
      <w:tr w:rsidR="001963C1" w:rsidRPr="00957553" w:rsidTr="001A3545">
        <w:tc>
          <w:tcPr>
            <w:tcW w:w="3369" w:type="dxa"/>
          </w:tcPr>
          <w:p w:rsidR="001963C1" w:rsidRPr="00957553" w:rsidRDefault="001963C1" w:rsidP="001A3545">
            <w:pPr>
              <w:spacing w:before="100" w:beforeAutospacing="1" w:after="100" w:afterAutospacing="1"/>
              <w:rPr>
                <w:lang w:eastAsia="lv-LV" w:bidi="lo-LA"/>
              </w:rPr>
            </w:pPr>
            <w:r w:rsidRPr="00957553">
              <w:rPr>
                <w:lang w:eastAsia="lv-LV" w:bidi="lo-LA"/>
              </w:rPr>
              <w:t> 6. Detalizēts ieņēmumu un izdevu</w:t>
            </w:r>
            <w:r w:rsidRPr="00957553">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1963C1" w:rsidRPr="008B0407" w:rsidRDefault="001963C1" w:rsidP="001A3545">
            <w:pPr>
              <w:pStyle w:val="Default"/>
              <w:jc w:val="both"/>
              <w:rPr>
                <w:bCs/>
                <w:color w:val="FF0000"/>
              </w:rPr>
            </w:pPr>
            <w:r w:rsidRPr="00957553">
              <w:rPr>
                <w:bCs/>
              </w:rPr>
              <w:t xml:space="preserve">Budžeta ieņēmumi ir </w:t>
            </w:r>
            <w:r>
              <w:rPr>
                <w:bCs/>
              </w:rPr>
              <w:t>ERAF</w:t>
            </w:r>
            <w:r w:rsidRPr="00957553">
              <w:rPr>
                <w:bCs/>
              </w:rPr>
              <w:t xml:space="preserve"> daļa un budžeta izdevumi ir kopējie nepieciešamie līdzekļi </w:t>
            </w:r>
            <w:r w:rsidRPr="00C05A65">
              <w:rPr>
                <w:bCs/>
                <w:color w:val="auto"/>
              </w:rPr>
              <w:t>attiecīgajā gadā. Atbilstoši darbības programmas “Infrastruktūra un pakalpojumi” papildi</w:t>
            </w:r>
            <w:r w:rsidRPr="00C05A65">
              <w:rPr>
                <w:bCs/>
                <w:color w:val="auto"/>
              </w:rPr>
              <w:softHyphen/>
              <w:t>nājumā (ar grozījumiem, kas izdarīti ar Ministru kabineta</w:t>
            </w:r>
            <w:r>
              <w:rPr>
                <w:bCs/>
                <w:color w:val="auto"/>
              </w:rPr>
              <w:t xml:space="preserve"> 2011.gada 5.jūlija</w:t>
            </w:r>
            <w:r w:rsidRPr="00C05A65">
              <w:rPr>
                <w:bCs/>
                <w:color w:val="auto"/>
              </w:rPr>
              <w:t xml:space="preserve"> rīkojumu Nr.295) ietverta</w:t>
            </w:r>
            <w:r>
              <w:rPr>
                <w:bCs/>
                <w:color w:val="auto"/>
              </w:rPr>
              <w:t>ja</w:t>
            </w:r>
            <w:r w:rsidRPr="00C05A65">
              <w:rPr>
                <w:bCs/>
                <w:color w:val="auto"/>
              </w:rPr>
              <w:t xml:space="preserve">m finanšu plānam 3.1.5.3.1.apakšaktivitātei pieejamais kopējais attiecināmais finansējums ir 141 794 220 lati, tai skaitā ERAF finansējuma apmērs ir 120 075 088 lati  un valsts budžets 9 120 237 lati, pārējo </w:t>
            </w:r>
            <w:r w:rsidRPr="00C05A65">
              <w:rPr>
                <w:color w:val="auto"/>
              </w:rPr>
              <w:t xml:space="preserve">3.1.5.3.1.apakšaktivitātes </w:t>
            </w:r>
            <w:r w:rsidRPr="00C05A65">
              <w:rPr>
                <w:bCs/>
                <w:color w:val="auto"/>
              </w:rPr>
              <w:t xml:space="preserve">līdzfinansējumu veido privātais finansējums, ko nodrošina projekta iesniedzējs, ne mazāk </w:t>
            </w:r>
            <w:r>
              <w:rPr>
                <w:bCs/>
                <w:color w:val="auto"/>
              </w:rPr>
              <w:t xml:space="preserve">kā </w:t>
            </w:r>
            <w:r w:rsidRPr="00C05A65">
              <w:rPr>
                <w:bCs/>
                <w:color w:val="auto"/>
              </w:rPr>
              <w:t>12 598 895</w:t>
            </w:r>
            <w:r>
              <w:rPr>
                <w:bCs/>
                <w:color w:val="auto"/>
              </w:rPr>
              <w:t xml:space="preserve">  latu</w:t>
            </w:r>
            <w:r w:rsidRPr="00C05A65">
              <w:rPr>
                <w:bCs/>
                <w:color w:val="auto"/>
              </w:rPr>
              <w:t xml:space="preserve">. Pēc noteikumu projekta apstiprināšanas </w:t>
            </w:r>
            <w:r w:rsidRPr="00C05A65">
              <w:rPr>
                <w:color w:val="auto"/>
              </w:rPr>
              <w:t>valsts budžeta līdzfinansējums būs 10 700 320 latu apmērā (tiks palielināts par 1 580 083 latiem</w:t>
            </w:r>
            <w:r>
              <w:t xml:space="preserve">), savukārt, privātais finansējums tiks samazināts par 1 580 083 latiem, un būs </w:t>
            </w:r>
            <w:r w:rsidRPr="00C05A65">
              <w:t>11 018 812 latu apmērā.</w:t>
            </w:r>
            <w:r>
              <w:t xml:space="preserve"> </w:t>
            </w:r>
          </w:p>
          <w:p w:rsidR="001963C1" w:rsidRPr="00957553" w:rsidRDefault="001963C1" w:rsidP="001A3545">
            <w:pPr>
              <w:pStyle w:val="naisf"/>
              <w:tabs>
                <w:tab w:val="num" w:pos="1391"/>
              </w:tabs>
              <w:spacing w:before="0" w:beforeAutospacing="0" w:after="0" w:afterAutospacing="0"/>
              <w:rPr>
                <w:bCs/>
                <w:lang w:val="lv-LV"/>
              </w:rPr>
            </w:pPr>
            <w:r w:rsidRPr="000427CE">
              <w:rPr>
                <w:lang w:val="lv-LV"/>
              </w:rPr>
              <w:t xml:space="preserve">3.1.5.3.1.apakšaktivitātes </w:t>
            </w:r>
            <w:r w:rsidRPr="00957553">
              <w:rPr>
                <w:bCs/>
                <w:lang w:val="lv-LV"/>
              </w:rPr>
              <w:t>ieviešana tika uzsākta 2009.gadā un tās projektu īstenošanai finansējuma piesaiste valsts budžeta programmas 62.00.00 „Eiropas Reģionālās attīstības fonda (ERAF) projektu un pasākumu īstenošana” ietvaros šādos apmēros:</w:t>
            </w:r>
          </w:p>
          <w:p w:rsidR="001963C1" w:rsidRPr="00957553" w:rsidRDefault="001963C1" w:rsidP="001A3545">
            <w:pPr>
              <w:numPr>
                <w:ilvl w:val="0"/>
                <w:numId w:val="11"/>
              </w:numPr>
              <w:jc w:val="both"/>
              <w:rPr>
                <w:bCs/>
              </w:rPr>
            </w:pPr>
            <w:r w:rsidRPr="000427CE">
              <w:t xml:space="preserve">3.1.5.3.1.apakšaktivitātes </w:t>
            </w:r>
            <w:r w:rsidRPr="00957553">
              <w:rPr>
                <w:bCs/>
              </w:rPr>
              <w:t xml:space="preserve">īstenošanai 2009.gadā tika piesaistīts </w:t>
            </w:r>
            <w:r>
              <w:rPr>
                <w:bCs/>
              </w:rPr>
              <w:t>ERAF</w:t>
            </w:r>
            <w:r w:rsidRPr="00957553">
              <w:rPr>
                <w:bCs/>
              </w:rPr>
              <w:t xml:space="preserve"> 12 526 839 latu apmērā u</w:t>
            </w:r>
            <w:r>
              <w:rPr>
                <w:bCs/>
              </w:rPr>
              <w:t>n valsts budžeta finansējums</w:t>
            </w:r>
            <w:r w:rsidRPr="00957553">
              <w:rPr>
                <w:bCs/>
              </w:rPr>
              <w:t xml:space="preserve"> </w:t>
            </w:r>
            <w:r>
              <w:rPr>
                <w:bCs/>
              </w:rPr>
              <w:t xml:space="preserve">2 </w:t>
            </w:r>
            <w:r w:rsidRPr="00957553">
              <w:rPr>
                <w:bCs/>
              </w:rPr>
              <w:t>035</w:t>
            </w:r>
            <w:r>
              <w:rPr>
                <w:bCs/>
              </w:rPr>
              <w:t> </w:t>
            </w:r>
            <w:r w:rsidRPr="00957553">
              <w:rPr>
                <w:bCs/>
              </w:rPr>
              <w:t>599</w:t>
            </w:r>
            <w:r>
              <w:rPr>
                <w:bCs/>
              </w:rPr>
              <w:t xml:space="preserve"> </w:t>
            </w:r>
            <w:r w:rsidRPr="00957553">
              <w:rPr>
                <w:bCs/>
              </w:rPr>
              <w:t>latu apmērā (finansējums 2009.gadā tika plānots valsts budžeta programmas 04.00.00 „Eiropas Reģionālās attīstības fonda (ERAF) sabiedrības veselības pasākumi”)</w:t>
            </w:r>
            <w:r>
              <w:rPr>
                <w:bCs/>
              </w:rPr>
              <w:t>;</w:t>
            </w:r>
          </w:p>
          <w:p w:rsidR="001963C1" w:rsidRPr="00357958" w:rsidRDefault="001963C1" w:rsidP="001A3545">
            <w:pPr>
              <w:numPr>
                <w:ilvl w:val="0"/>
                <w:numId w:val="11"/>
              </w:numPr>
              <w:jc w:val="both"/>
              <w:rPr>
                <w:bCs/>
              </w:rPr>
            </w:pPr>
            <w:r w:rsidRPr="000427CE">
              <w:t xml:space="preserve">3.1.5.3.1.apakšaktivitātes </w:t>
            </w:r>
            <w:r w:rsidRPr="00357958">
              <w:rPr>
                <w:bCs/>
              </w:rPr>
              <w:t xml:space="preserve">īstenošanai 2010.gadā tika piesaistīts </w:t>
            </w:r>
            <w:r>
              <w:rPr>
                <w:bCs/>
              </w:rPr>
              <w:t>ERAF</w:t>
            </w:r>
            <w:r w:rsidRPr="00357958">
              <w:rPr>
                <w:bCs/>
              </w:rPr>
              <w:t xml:space="preserve"> finansējums 17 582 191 latu apmērā un valsts budžeta finansējumu 1 894 450 latu apmērā</w:t>
            </w:r>
            <w:r>
              <w:rPr>
                <w:bCs/>
              </w:rPr>
              <w:t>;</w:t>
            </w:r>
          </w:p>
          <w:p w:rsidR="001963C1" w:rsidRPr="00BC197A" w:rsidRDefault="001963C1" w:rsidP="001A3545">
            <w:pPr>
              <w:numPr>
                <w:ilvl w:val="0"/>
                <w:numId w:val="11"/>
              </w:numPr>
              <w:jc w:val="both"/>
              <w:rPr>
                <w:color w:val="FF0000"/>
              </w:rPr>
            </w:pPr>
            <w:r w:rsidRPr="00DD0B19">
              <w:t xml:space="preserve">3.1.5.3.1.apakšaktivitātes </w:t>
            </w:r>
            <w:r w:rsidRPr="00DD0B19">
              <w:rPr>
                <w:bCs/>
              </w:rPr>
              <w:t xml:space="preserve">īstenošanai 2011.gadā tiek piesaistīts </w:t>
            </w:r>
            <w:r>
              <w:rPr>
                <w:bCs/>
              </w:rPr>
              <w:t>ERAF</w:t>
            </w:r>
            <w:r w:rsidRPr="00DD0B19">
              <w:rPr>
                <w:bCs/>
              </w:rPr>
              <w:t xml:space="preserve"> finansējums</w:t>
            </w:r>
            <w:r w:rsidRPr="00357958">
              <w:rPr>
                <w:bCs/>
              </w:rPr>
              <w:t xml:space="preserve"> </w:t>
            </w:r>
            <w:r>
              <w:t xml:space="preserve">22 666 880 </w:t>
            </w:r>
            <w:r w:rsidRPr="00357958">
              <w:rPr>
                <w:bCs/>
              </w:rPr>
              <w:t xml:space="preserve">latu apmērā un valsts budžeta </w:t>
            </w:r>
            <w:r>
              <w:rPr>
                <w:bCs/>
              </w:rPr>
              <w:t>finansējums</w:t>
            </w:r>
            <w:r w:rsidRPr="00357958">
              <w:rPr>
                <w:bCs/>
              </w:rPr>
              <w:t xml:space="preserve"> </w:t>
            </w:r>
            <w:r>
              <w:t xml:space="preserve">2 720 748 </w:t>
            </w:r>
            <w:r w:rsidRPr="00357958">
              <w:rPr>
                <w:bCs/>
              </w:rPr>
              <w:t>latu apmērā.</w:t>
            </w:r>
            <w:r w:rsidRPr="00B53560">
              <w:rPr>
                <w:bCs/>
              </w:rPr>
              <w:t xml:space="preserve"> </w:t>
            </w:r>
            <w:r w:rsidRPr="00B53560">
              <w:rPr>
                <w:bCs/>
              </w:rPr>
              <w:lastRenderedPageBreak/>
              <w:t xml:space="preserve">Papildus </w:t>
            </w:r>
            <w:r>
              <w:rPr>
                <w:bCs/>
              </w:rPr>
              <w:t>2011</w:t>
            </w:r>
            <w:r w:rsidRPr="00357958">
              <w:rPr>
                <w:bCs/>
              </w:rPr>
              <w:t xml:space="preserve">.gadā </w:t>
            </w:r>
            <w:r w:rsidRPr="00B53560">
              <w:rPr>
                <w:bCs/>
              </w:rPr>
              <w:t xml:space="preserve">paredzēts pieprasīt valsts budžeta </w:t>
            </w:r>
            <w:r w:rsidRPr="00B53560">
              <w:t>finansējumu 37 982 latu apmērā noteiktajā kārtībā no valsts budžeta programmas 80.00.00 „Nesadalītais finansējums Eiropas Savienības politiku instrumentu un pārējās ārvalstu finanšu palīdzības līdzfinansēto projektu un pasākumu īstenošanai”</w:t>
            </w:r>
            <w:r>
              <w:t xml:space="preserve"> (turpmāk- valsts budžeta programma</w:t>
            </w:r>
            <w:r w:rsidRPr="00B53560">
              <w:t xml:space="preserve"> 80.00.00</w:t>
            </w:r>
            <w:r>
              <w:t>)</w:t>
            </w:r>
            <w:r w:rsidRPr="00B53560">
              <w:rPr>
                <w:bCs/>
              </w:rPr>
              <w:t>;</w:t>
            </w:r>
          </w:p>
          <w:p w:rsidR="001963C1" w:rsidRPr="00357958" w:rsidRDefault="001963C1" w:rsidP="001A3545">
            <w:pPr>
              <w:numPr>
                <w:ilvl w:val="0"/>
                <w:numId w:val="11"/>
              </w:numPr>
              <w:jc w:val="both"/>
              <w:rPr>
                <w:bCs/>
              </w:rPr>
            </w:pPr>
            <w:r w:rsidRPr="000427CE">
              <w:t xml:space="preserve">3.1.5.3.1.apakšaktivitātes </w:t>
            </w:r>
            <w:r w:rsidRPr="00357958">
              <w:rPr>
                <w:bCs/>
              </w:rPr>
              <w:t xml:space="preserve">īstenošanai 2012.gadā plānots piesaistīt </w:t>
            </w:r>
            <w:r>
              <w:rPr>
                <w:bCs/>
              </w:rPr>
              <w:t>ERAF</w:t>
            </w:r>
            <w:r w:rsidRPr="00357958">
              <w:rPr>
                <w:bCs/>
              </w:rPr>
              <w:t xml:space="preserve"> finansējumu </w:t>
            </w:r>
            <w:r>
              <w:t xml:space="preserve">31 223 496 </w:t>
            </w:r>
            <w:r w:rsidRPr="00357958">
              <w:rPr>
                <w:bCs/>
              </w:rPr>
              <w:t xml:space="preserve">latu apmērā un valsts budžeta finansējumu </w:t>
            </w:r>
            <w:r>
              <w:t xml:space="preserve">1 475 016 </w:t>
            </w:r>
            <w:r>
              <w:rPr>
                <w:bCs/>
              </w:rPr>
              <w:t xml:space="preserve">latu apmērā. </w:t>
            </w:r>
            <w:r w:rsidRPr="00B53560">
              <w:rPr>
                <w:bCs/>
              </w:rPr>
              <w:t xml:space="preserve">Papildus </w:t>
            </w:r>
            <w:r w:rsidRPr="00357958">
              <w:rPr>
                <w:bCs/>
              </w:rPr>
              <w:t xml:space="preserve">2012.gadā </w:t>
            </w:r>
            <w:r w:rsidRPr="00B53560">
              <w:rPr>
                <w:bCs/>
              </w:rPr>
              <w:t xml:space="preserve">paredzēts pieprasīt valsts budžeta </w:t>
            </w:r>
            <w:r w:rsidRPr="00B53560">
              <w:t xml:space="preserve">finansējumu </w:t>
            </w:r>
            <w:r>
              <w:t xml:space="preserve">741 146 </w:t>
            </w:r>
            <w:r w:rsidRPr="00B53560">
              <w:t>latu apmērā noteiktajā kārtībā no valsts budžeta programmas 80.00.00</w:t>
            </w:r>
            <w:r>
              <w:t>;</w:t>
            </w:r>
          </w:p>
          <w:p w:rsidR="001963C1" w:rsidRPr="00357958" w:rsidRDefault="001963C1" w:rsidP="001A3545">
            <w:pPr>
              <w:numPr>
                <w:ilvl w:val="0"/>
                <w:numId w:val="11"/>
              </w:numPr>
              <w:jc w:val="both"/>
              <w:rPr>
                <w:bCs/>
              </w:rPr>
            </w:pPr>
            <w:r w:rsidRPr="000427CE">
              <w:t xml:space="preserve">3.1.5.3.1.apakšaktivitātes </w:t>
            </w:r>
            <w:r w:rsidRPr="00357958">
              <w:rPr>
                <w:bCs/>
              </w:rPr>
              <w:t xml:space="preserve">īstenošanai 2013.gadā plānots piesaistīt </w:t>
            </w:r>
            <w:r>
              <w:rPr>
                <w:bCs/>
              </w:rPr>
              <w:t>ERAF</w:t>
            </w:r>
            <w:r w:rsidRPr="00357958">
              <w:rPr>
                <w:bCs/>
              </w:rPr>
              <w:t xml:space="preserve"> finansējumu </w:t>
            </w:r>
            <w:r>
              <w:t xml:space="preserve">27 925 710 </w:t>
            </w:r>
            <w:r w:rsidRPr="00357958">
              <w:rPr>
                <w:bCs/>
              </w:rPr>
              <w:t xml:space="preserve">latu apmērā un valsts budžeta finansējumu </w:t>
            </w:r>
            <w:r>
              <w:t xml:space="preserve">981 544 </w:t>
            </w:r>
            <w:r w:rsidRPr="00357958">
              <w:rPr>
                <w:bCs/>
              </w:rPr>
              <w:t>latu apmērā</w:t>
            </w:r>
            <w:r>
              <w:rPr>
                <w:bCs/>
              </w:rPr>
              <w:t xml:space="preserve">. </w:t>
            </w:r>
            <w:r w:rsidRPr="00B53560">
              <w:rPr>
                <w:bCs/>
              </w:rPr>
              <w:t xml:space="preserve">Papildus </w:t>
            </w:r>
            <w:r>
              <w:rPr>
                <w:bCs/>
              </w:rPr>
              <w:t>2013</w:t>
            </w:r>
            <w:r w:rsidRPr="00357958">
              <w:rPr>
                <w:bCs/>
              </w:rPr>
              <w:t xml:space="preserve">.gadā </w:t>
            </w:r>
            <w:r w:rsidRPr="00B53560">
              <w:rPr>
                <w:bCs/>
              </w:rPr>
              <w:t xml:space="preserve">paredzēts pieprasīt valsts budžeta </w:t>
            </w:r>
            <w:r w:rsidRPr="00B53560">
              <w:t xml:space="preserve">finansējumu </w:t>
            </w:r>
            <w:r>
              <w:t xml:space="preserve">684 023 </w:t>
            </w:r>
            <w:r w:rsidRPr="00B53560">
              <w:t>latu apmērā noteiktajā kārtībā no valsts budžeta programmas 80.00.00</w:t>
            </w:r>
            <w:r>
              <w:t>;</w:t>
            </w:r>
          </w:p>
          <w:p w:rsidR="001963C1" w:rsidRPr="00306FC9" w:rsidRDefault="001963C1" w:rsidP="001A3545">
            <w:pPr>
              <w:numPr>
                <w:ilvl w:val="0"/>
                <w:numId w:val="11"/>
              </w:numPr>
              <w:jc w:val="both"/>
              <w:rPr>
                <w:bCs/>
              </w:rPr>
            </w:pPr>
            <w:r w:rsidRPr="000427CE">
              <w:t xml:space="preserve">3.1.5.3.1.apakšaktivitātes </w:t>
            </w:r>
            <w:r w:rsidRPr="00357958">
              <w:rPr>
                <w:bCs/>
              </w:rPr>
              <w:t xml:space="preserve">īstenošanai 2014.gadā plānots piesaistīt </w:t>
            </w:r>
            <w:r>
              <w:rPr>
                <w:bCs/>
              </w:rPr>
              <w:t>ERAF</w:t>
            </w:r>
            <w:r w:rsidRPr="00357958">
              <w:rPr>
                <w:bCs/>
              </w:rPr>
              <w:t xml:space="preserve"> finansējumu </w:t>
            </w:r>
            <w:r>
              <w:t xml:space="preserve">8 149 972 </w:t>
            </w:r>
            <w:r w:rsidRPr="00357958">
              <w:rPr>
                <w:bCs/>
              </w:rPr>
              <w:t>latu apmērā</w:t>
            </w:r>
            <w:r>
              <w:rPr>
                <w:bCs/>
              </w:rPr>
              <w:t xml:space="preserve"> </w:t>
            </w:r>
            <w:r w:rsidRPr="00357958">
              <w:rPr>
                <w:bCs/>
              </w:rPr>
              <w:t xml:space="preserve">un valsts budžeta finansējumu </w:t>
            </w:r>
            <w:r>
              <w:t xml:space="preserve">12 880 </w:t>
            </w:r>
            <w:r w:rsidRPr="00357958">
              <w:rPr>
                <w:bCs/>
              </w:rPr>
              <w:t>latu apmērā.</w:t>
            </w:r>
            <w:r>
              <w:rPr>
                <w:bCs/>
              </w:rPr>
              <w:t xml:space="preserve"> </w:t>
            </w:r>
            <w:r w:rsidRPr="00B53560">
              <w:rPr>
                <w:bCs/>
              </w:rPr>
              <w:t xml:space="preserve">Papildus </w:t>
            </w:r>
            <w:r>
              <w:rPr>
                <w:bCs/>
              </w:rPr>
              <w:t>2014</w:t>
            </w:r>
            <w:r w:rsidRPr="00357958">
              <w:rPr>
                <w:bCs/>
              </w:rPr>
              <w:t xml:space="preserve">.gadā </w:t>
            </w:r>
            <w:r w:rsidRPr="00B53560">
              <w:rPr>
                <w:bCs/>
              </w:rPr>
              <w:t xml:space="preserve">paredzēts pieprasīt valsts budžeta </w:t>
            </w:r>
            <w:r w:rsidRPr="00B53560">
              <w:t xml:space="preserve">finansējumu </w:t>
            </w:r>
            <w:r>
              <w:t xml:space="preserve">116 932 </w:t>
            </w:r>
            <w:r w:rsidRPr="00B53560">
              <w:t>latu apmērā noteiktajā kārtībā no valsts budžeta programmas 80.00.00</w:t>
            </w:r>
            <w:r>
              <w:t>.</w:t>
            </w: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6.1. detalizēts ieņēmumu aprēķins</w:t>
            </w:r>
          </w:p>
        </w:tc>
        <w:tc>
          <w:tcPr>
            <w:tcW w:w="5970" w:type="dxa"/>
            <w:gridSpan w:val="5"/>
            <w:vMerge/>
          </w:tcPr>
          <w:p w:rsidR="001963C1" w:rsidRPr="00957553" w:rsidRDefault="001963C1" w:rsidP="001A3545">
            <w:pPr>
              <w:autoSpaceDE w:val="0"/>
              <w:autoSpaceDN w:val="0"/>
              <w:adjustRightInd w:val="0"/>
              <w:rPr>
                <w:noProof/>
                <w:sz w:val="28"/>
                <w:szCs w:val="28"/>
              </w:rPr>
            </w:pPr>
          </w:p>
        </w:tc>
      </w:tr>
      <w:tr w:rsidR="001963C1" w:rsidRPr="00957553" w:rsidTr="001A3545">
        <w:tc>
          <w:tcPr>
            <w:tcW w:w="3369" w:type="dxa"/>
          </w:tcPr>
          <w:p w:rsidR="001963C1" w:rsidRPr="00957553" w:rsidRDefault="001963C1" w:rsidP="001A3545">
            <w:pPr>
              <w:spacing w:before="100" w:beforeAutospacing="1" w:after="100" w:afterAutospacing="1"/>
              <w:ind w:left="284"/>
              <w:rPr>
                <w:lang w:eastAsia="lv-LV" w:bidi="lo-LA"/>
              </w:rPr>
            </w:pPr>
            <w:r w:rsidRPr="00957553">
              <w:rPr>
                <w:lang w:eastAsia="lv-LV" w:bidi="lo-LA"/>
              </w:rPr>
              <w:t> 6.2. detalizēts izdevumu aprēķins</w:t>
            </w:r>
          </w:p>
        </w:tc>
        <w:tc>
          <w:tcPr>
            <w:tcW w:w="5970" w:type="dxa"/>
            <w:gridSpan w:val="5"/>
            <w:vMerge/>
          </w:tcPr>
          <w:p w:rsidR="001963C1" w:rsidRPr="00957553" w:rsidRDefault="001963C1" w:rsidP="001A3545">
            <w:pPr>
              <w:autoSpaceDE w:val="0"/>
              <w:autoSpaceDN w:val="0"/>
              <w:adjustRightInd w:val="0"/>
              <w:rPr>
                <w:noProof/>
                <w:sz w:val="28"/>
                <w:szCs w:val="28"/>
              </w:rPr>
            </w:pPr>
          </w:p>
        </w:tc>
      </w:tr>
      <w:tr w:rsidR="001963C1" w:rsidRPr="00957553" w:rsidTr="001A3545">
        <w:tc>
          <w:tcPr>
            <w:tcW w:w="3369" w:type="dxa"/>
          </w:tcPr>
          <w:p w:rsidR="001963C1" w:rsidRPr="00957553" w:rsidRDefault="001963C1" w:rsidP="001A3545">
            <w:pPr>
              <w:spacing w:before="100" w:beforeAutospacing="1" w:after="100" w:afterAutospacing="1"/>
              <w:rPr>
                <w:lang w:eastAsia="lv-LV" w:bidi="lo-LA"/>
              </w:rPr>
            </w:pPr>
            <w:r w:rsidRPr="00957553">
              <w:rPr>
                <w:lang w:eastAsia="lv-LV" w:bidi="lo-LA"/>
              </w:rPr>
              <w:lastRenderedPageBreak/>
              <w:t> 7. Cita informācija</w:t>
            </w:r>
          </w:p>
        </w:tc>
        <w:tc>
          <w:tcPr>
            <w:tcW w:w="5970" w:type="dxa"/>
            <w:gridSpan w:val="5"/>
          </w:tcPr>
          <w:p w:rsidR="001963C1" w:rsidRPr="00957553" w:rsidRDefault="001963C1" w:rsidP="001A3545">
            <w:pPr>
              <w:autoSpaceDE w:val="0"/>
              <w:autoSpaceDN w:val="0"/>
              <w:adjustRightInd w:val="0"/>
              <w:jc w:val="both"/>
            </w:pPr>
            <w:r>
              <w:t>P</w:t>
            </w:r>
            <w:r w:rsidRPr="00026E17">
              <w:t xml:space="preserve">ēc </w:t>
            </w:r>
            <w:r>
              <w:t xml:space="preserve">noteikumu projekta </w:t>
            </w:r>
            <w:r w:rsidRPr="00B53560">
              <w:t xml:space="preserve">apstiprināšanas </w:t>
            </w:r>
            <w:r>
              <w:t xml:space="preserve">2011.gadā </w:t>
            </w:r>
            <w:r w:rsidRPr="00B53560">
              <w:t>finansējums 37 982 latu apmērā noteiktajā kārtībā tiks pieprasīts no valsts budžeta programmas 80.00.00</w:t>
            </w:r>
            <w:r>
              <w:t xml:space="preserve">. Kopējais 2011.-2014.gadam papildus nepieciešamais valsts budžeta līdzfinansējums </w:t>
            </w:r>
            <w:r w:rsidRPr="00DE28CC">
              <w:t>3.1.5.3.1.apakšaktivitāt</w:t>
            </w:r>
            <w:r>
              <w:t xml:space="preserve">es ietvaros </w:t>
            </w:r>
            <w:r w:rsidRPr="009B791E">
              <w:t xml:space="preserve">trešās </w:t>
            </w:r>
            <w:r w:rsidRPr="00A02148">
              <w:t>projektu iesniegumu atlases kārtas</w:t>
            </w:r>
            <w:r w:rsidRPr="00A02148">
              <w:rPr>
                <w:lang w:eastAsia="lv-LV" w:bidi="lo-LA"/>
              </w:rPr>
              <w:t xml:space="preserve"> reģionālām daudzprofilu slimnīcām vai specializētām slimnīcām</w:t>
            </w:r>
            <w:r>
              <w:rPr>
                <w:lang w:eastAsia="lv-LV" w:bidi="lo-LA"/>
              </w:rPr>
              <w:t xml:space="preserve"> ir</w:t>
            </w:r>
            <w:r w:rsidRPr="00957553">
              <w:t xml:space="preserve"> </w:t>
            </w:r>
            <w:r>
              <w:t>1 580 083 lati.</w:t>
            </w:r>
          </w:p>
        </w:tc>
      </w:tr>
    </w:tbl>
    <w:p w:rsidR="001963C1" w:rsidRDefault="001963C1" w:rsidP="00B9292C">
      <w:pPr>
        <w:autoSpaceDE w:val="0"/>
        <w:autoSpaceDN w:val="0"/>
        <w:adjustRightInd w:val="0"/>
        <w:rPr>
          <w:noProof/>
          <w:sz w:val="28"/>
          <w:szCs w:val="28"/>
        </w:rPr>
      </w:pPr>
    </w:p>
    <w:p w:rsidR="007F2B5D" w:rsidRDefault="007F2B5D" w:rsidP="00B9292C">
      <w:pPr>
        <w:autoSpaceDE w:val="0"/>
        <w:autoSpaceDN w:val="0"/>
        <w:adjustRightInd w:val="0"/>
        <w:rPr>
          <w:noProof/>
          <w:sz w:val="28"/>
          <w:szCs w:val="28"/>
        </w:rPr>
      </w:pPr>
    </w:p>
    <w:p w:rsidR="00F05A22" w:rsidRDefault="008477DD" w:rsidP="00F05A22">
      <w:pPr>
        <w:rPr>
          <w:i/>
          <w:lang w:eastAsia="lv-LV" w:bidi="lo-LA"/>
        </w:rPr>
      </w:pPr>
      <w:r w:rsidRPr="008477DD">
        <w:rPr>
          <w:i/>
          <w:lang w:eastAsia="lv-LV" w:bidi="lo-LA"/>
        </w:rPr>
        <w:t xml:space="preserve">Anotācijas V, VI, VII sadaļa – </w:t>
      </w:r>
      <w:r w:rsidR="00894A1B">
        <w:rPr>
          <w:i/>
          <w:lang w:eastAsia="lv-LV" w:bidi="lo-LA"/>
        </w:rPr>
        <w:t xml:space="preserve">projekts </w:t>
      </w:r>
      <w:r w:rsidR="00861027">
        <w:rPr>
          <w:i/>
          <w:lang w:eastAsia="lv-LV" w:bidi="lo-LA"/>
        </w:rPr>
        <w:t>šīs jomas</w:t>
      </w:r>
      <w:r w:rsidR="00894A1B">
        <w:rPr>
          <w:i/>
          <w:lang w:eastAsia="lv-LV" w:bidi="lo-LA"/>
        </w:rPr>
        <w:t xml:space="preserve"> neskar</w:t>
      </w:r>
      <w:r w:rsidRPr="008477DD">
        <w:rPr>
          <w:i/>
          <w:lang w:eastAsia="lv-LV" w:bidi="lo-LA"/>
        </w:rPr>
        <w:t>.</w:t>
      </w:r>
    </w:p>
    <w:p w:rsidR="0065569F" w:rsidRDefault="0065569F" w:rsidP="00F618D6">
      <w:pPr>
        <w:autoSpaceDE w:val="0"/>
        <w:autoSpaceDN w:val="0"/>
        <w:adjustRightInd w:val="0"/>
        <w:rPr>
          <w:bCs/>
          <w:color w:val="000000"/>
          <w:sz w:val="28"/>
          <w:szCs w:val="28"/>
        </w:rPr>
      </w:pPr>
    </w:p>
    <w:p w:rsidR="001963C1" w:rsidRDefault="001963C1" w:rsidP="00F618D6">
      <w:pPr>
        <w:autoSpaceDE w:val="0"/>
        <w:autoSpaceDN w:val="0"/>
        <w:adjustRightInd w:val="0"/>
        <w:rPr>
          <w:bCs/>
          <w:color w:val="000000"/>
          <w:sz w:val="28"/>
          <w:szCs w:val="28"/>
        </w:rPr>
      </w:pPr>
    </w:p>
    <w:p w:rsidR="001963C1" w:rsidRDefault="001963C1" w:rsidP="00F618D6">
      <w:pPr>
        <w:autoSpaceDE w:val="0"/>
        <w:autoSpaceDN w:val="0"/>
        <w:adjustRightInd w:val="0"/>
        <w:rPr>
          <w:bCs/>
          <w:color w:val="000000"/>
          <w:sz w:val="28"/>
          <w:szCs w:val="28"/>
        </w:rPr>
      </w:pPr>
    </w:p>
    <w:p w:rsidR="00F618D6" w:rsidRPr="00F618D6" w:rsidRDefault="007F70FC" w:rsidP="00F618D6">
      <w:pPr>
        <w:autoSpaceDE w:val="0"/>
        <w:autoSpaceDN w:val="0"/>
        <w:adjustRightInd w:val="0"/>
        <w:rPr>
          <w:bCs/>
          <w:color w:val="000000"/>
          <w:sz w:val="28"/>
          <w:szCs w:val="28"/>
        </w:rPr>
      </w:pPr>
      <w:r>
        <w:rPr>
          <w:bCs/>
          <w:color w:val="000000"/>
          <w:sz w:val="28"/>
          <w:szCs w:val="28"/>
        </w:rPr>
        <w:t>Veselības ministrs</w:t>
      </w:r>
      <w:r w:rsidR="00F618D6" w:rsidRPr="00F618D6">
        <w:rPr>
          <w:bCs/>
          <w:color w:val="000000"/>
          <w:sz w:val="28"/>
          <w:szCs w:val="28"/>
        </w:rPr>
        <w:tab/>
      </w:r>
      <w:r w:rsidR="00F618D6" w:rsidRPr="00F618D6">
        <w:rPr>
          <w:bCs/>
          <w:color w:val="000000"/>
          <w:sz w:val="28"/>
          <w:szCs w:val="28"/>
        </w:rPr>
        <w:tab/>
      </w:r>
      <w:r w:rsidR="00F618D6" w:rsidRPr="00F618D6">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FF0742">
        <w:rPr>
          <w:bCs/>
          <w:color w:val="000000"/>
          <w:sz w:val="28"/>
          <w:szCs w:val="28"/>
        </w:rPr>
        <w:tab/>
      </w:r>
      <w:r w:rsidR="005D2461">
        <w:rPr>
          <w:bCs/>
          <w:color w:val="000000"/>
          <w:sz w:val="28"/>
          <w:szCs w:val="28"/>
        </w:rPr>
        <w:t>J.Bārzdiņš</w:t>
      </w:r>
    </w:p>
    <w:p w:rsidR="00EF4962" w:rsidRDefault="00EF4962" w:rsidP="00CF40A7"/>
    <w:p w:rsidR="00DA0D9B" w:rsidRDefault="00DA0D9B" w:rsidP="00CF40A7"/>
    <w:p w:rsidR="001963C1" w:rsidRPr="00D85C49" w:rsidRDefault="001963C1" w:rsidP="00CF40A7"/>
    <w:p w:rsidR="00C37452" w:rsidRPr="00C37452" w:rsidRDefault="00125E30" w:rsidP="00C37452">
      <w:pPr>
        <w:rPr>
          <w:sz w:val="20"/>
          <w:szCs w:val="20"/>
        </w:rPr>
      </w:pPr>
      <w:r>
        <w:rPr>
          <w:sz w:val="20"/>
          <w:szCs w:val="20"/>
        </w:rPr>
        <w:t>03.10.</w:t>
      </w:r>
      <w:r w:rsidR="005D2461">
        <w:rPr>
          <w:sz w:val="20"/>
          <w:szCs w:val="20"/>
        </w:rPr>
        <w:t>2011</w:t>
      </w:r>
      <w:r w:rsidR="00C37452" w:rsidRPr="00C37452">
        <w:rPr>
          <w:sz w:val="20"/>
          <w:szCs w:val="20"/>
        </w:rPr>
        <w:t xml:space="preserve"> </w:t>
      </w:r>
      <w:r w:rsidR="00384F04">
        <w:rPr>
          <w:sz w:val="20"/>
          <w:szCs w:val="20"/>
        </w:rPr>
        <w:t>1</w:t>
      </w:r>
      <w:r w:rsidR="00DA0D9B">
        <w:rPr>
          <w:sz w:val="20"/>
          <w:szCs w:val="20"/>
        </w:rPr>
        <w:t>8:</w:t>
      </w:r>
      <w:r w:rsidR="00B20337">
        <w:rPr>
          <w:sz w:val="20"/>
          <w:szCs w:val="20"/>
        </w:rPr>
        <w:t>05</w:t>
      </w:r>
    </w:p>
    <w:p w:rsidR="00C37452" w:rsidRDefault="001963C1" w:rsidP="00C37452">
      <w:pPr>
        <w:rPr>
          <w:sz w:val="20"/>
          <w:szCs w:val="20"/>
        </w:rPr>
      </w:pPr>
      <w:r>
        <w:rPr>
          <w:sz w:val="20"/>
          <w:szCs w:val="20"/>
        </w:rPr>
        <w:t>1 440</w:t>
      </w:r>
    </w:p>
    <w:p w:rsidR="00DA0D9B" w:rsidRPr="00164669" w:rsidRDefault="00DA0D9B" w:rsidP="00DA0D9B">
      <w:pPr>
        <w:ind w:right="5527"/>
        <w:rPr>
          <w:sz w:val="22"/>
        </w:rPr>
      </w:pPr>
      <w:bookmarkStart w:id="4" w:name="OLE_LINK7"/>
      <w:bookmarkStart w:id="5" w:name="OLE_LINK8"/>
      <w:r>
        <w:rPr>
          <w:sz w:val="22"/>
        </w:rPr>
        <w:t>J.Blaževičs, tālr.</w:t>
      </w:r>
      <w:r w:rsidRPr="00164669">
        <w:rPr>
          <w:sz w:val="22"/>
        </w:rPr>
        <w:t>67 876</w:t>
      </w:r>
      <w:r>
        <w:rPr>
          <w:sz w:val="22"/>
        </w:rPr>
        <w:t> 046</w:t>
      </w:r>
    </w:p>
    <w:p w:rsidR="00B15208" w:rsidRPr="00DB0EDE" w:rsidRDefault="00DA0D9B" w:rsidP="00DA0D9B">
      <w:pPr>
        <w:ind w:right="5669"/>
        <w:rPr>
          <w:sz w:val="20"/>
          <w:szCs w:val="20"/>
        </w:rPr>
      </w:pPr>
      <w:r>
        <w:rPr>
          <w:sz w:val="22"/>
        </w:rPr>
        <w:t>Jevgenijs.Blazevics</w:t>
      </w:r>
      <w:r w:rsidRPr="00164669">
        <w:rPr>
          <w:sz w:val="22"/>
        </w:rPr>
        <w:t>@vm.gov.lv</w:t>
      </w:r>
      <w:r w:rsidR="00DB0EDE">
        <w:rPr>
          <w:sz w:val="20"/>
          <w:szCs w:val="20"/>
        </w:rPr>
        <w:tab/>
      </w:r>
      <w:bookmarkEnd w:id="4"/>
      <w:bookmarkEnd w:id="5"/>
    </w:p>
    <w:sectPr w:rsidR="00B15208" w:rsidRPr="00DB0EDE" w:rsidSect="00BC0D89">
      <w:headerReference w:type="even" r:id="rId8"/>
      <w:headerReference w:type="default" r:id="rId9"/>
      <w:footerReference w:type="default" r:id="rId10"/>
      <w:footerReference w:type="first" r:id="rId11"/>
      <w:pgSz w:w="11906" w:h="16838" w:code="9"/>
      <w:pgMar w:top="1134" w:right="1134"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F9B" w:rsidRDefault="00FD3F9B">
      <w:r>
        <w:separator/>
      </w:r>
    </w:p>
  </w:endnote>
  <w:endnote w:type="continuationSeparator" w:id="0">
    <w:p w:rsidR="00FD3F9B" w:rsidRDefault="00FD3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9B" w:rsidRPr="00721A69" w:rsidRDefault="00FD3F9B" w:rsidP="00721A69">
    <w:pPr>
      <w:spacing w:before="120" w:after="120"/>
      <w:jc w:val="both"/>
      <w:rPr>
        <w:b/>
        <w:sz w:val="29"/>
        <w:szCs w:val="29"/>
      </w:rPr>
    </w:pPr>
    <w:r w:rsidRPr="00836EAA">
      <w:rPr>
        <w:sz w:val="20"/>
        <w:szCs w:val="20"/>
      </w:rPr>
      <w:t>VMAnot_</w:t>
    </w:r>
    <w:r w:rsidR="00125E30">
      <w:rPr>
        <w:sz w:val="20"/>
        <w:szCs w:val="20"/>
      </w:rPr>
      <w:t>0310</w:t>
    </w:r>
    <w:r w:rsidRPr="00836EAA">
      <w:rPr>
        <w:sz w:val="20"/>
        <w:szCs w:val="20"/>
      </w:rPr>
      <w:t>11_3DPP;</w:t>
    </w:r>
    <w:r w:rsidRPr="00D473C0">
      <w:rPr>
        <w:sz w:val="20"/>
        <w:szCs w:val="20"/>
      </w:rPr>
      <w:t xml:space="preserve"> </w:t>
    </w:r>
    <w:r w:rsidRPr="00721A69">
      <w:rPr>
        <w:bCs/>
        <w:sz w:val="20"/>
        <w:szCs w:val="20"/>
      </w:rPr>
      <w:t>Ministru kabineta rīkojuma projekta „</w:t>
    </w:r>
    <w:r w:rsidRPr="00721A69">
      <w:rPr>
        <w:sz w:val="20"/>
        <w:szCs w:val="20"/>
      </w:rPr>
      <w:t>Grozījumi darbības programmas „Infrastruktūra un pakalpojumi” papildinājumā</w:t>
    </w:r>
    <w:r w:rsidRPr="00721A69">
      <w:rPr>
        <w:bCs/>
        <w:sz w:val="20"/>
        <w:szCs w:val="20"/>
      </w:rPr>
      <w:t>”</w:t>
    </w:r>
    <w:r w:rsidRPr="00721A69">
      <w:rPr>
        <w:sz w:val="20"/>
        <w:szCs w:val="20"/>
      </w:rPr>
      <w:t xml:space="preserve"> </w:t>
    </w:r>
    <w:r w:rsidRPr="00721A69">
      <w:rPr>
        <w:bCs/>
        <w:sz w:val="20"/>
        <w:szCs w:val="20"/>
      </w:rPr>
      <w:t>anotācija</w:t>
    </w:r>
  </w:p>
  <w:p w:rsidR="00FD3F9B" w:rsidRPr="00D473C0" w:rsidRDefault="00FD3F9B" w:rsidP="00D473C0">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9B" w:rsidRPr="00721A69" w:rsidRDefault="00FD3F9B" w:rsidP="00721A69">
    <w:pPr>
      <w:spacing w:before="120" w:after="120"/>
      <w:jc w:val="both"/>
      <w:rPr>
        <w:b/>
        <w:sz w:val="29"/>
        <w:szCs w:val="29"/>
      </w:rPr>
    </w:pPr>
    <w:r w:rsidRPr="00836EAA">
      <w:rPr>
        <w:sz w:val="20"/>
        <w:szCs w:val="20"/>
      </w:rPr>
      <w:t>VMAnot_</w:t>
    </w:r>
    <w:r w:rsidR="00125E30">
      <w:rPr>
        <w:sz w:val="20"/>
        <w:szCs w:val="20"/>
      </w:rPr>
      <w:t>0310</w:t>
    </w:r>
    <w:r w:rsidRPr="00836EAA">
      <w:rPr>
        <w:sz w:val="20"/>
        <w:szCs w:val="20"/>
      </w:rPr>
      <w:t>11_3DPP;</w:t>
    </w:r>
    <w:r w:rsidRPr="00D473C0">
      <w:rPr>
        <w:sz w:val="20"/>
        <w:szCs w:val="20"/>
      </w:rPr>
      <w:t xml:space="preserve"> </w:t>
    </w:r>
    <w:r w:rsidRPr="00721A69">
      <w:rPr>
        <w:bCs/>
        <w:sz w:val="20"/>
        <w:szCs w:val="20"/>
      </w:rPr>
      <w:t>Ministru kabineta rīkojuma projekta „</w:t>
    </w:r>
    <w:r w:rsidRPr="00721A69">
      <w:rPr>
        <w:sz w:val="20"/>
        <w:szCs w:val="20"/>
      </w:rPr>
      <w:t>Grozījumi darbības programmas „Infrastruktūra un pakalpojumi” papildinājumā</w:t>
    </w:r>
    <w:r w:rsidRPr="00721A69">
      <w:rPr>
        <w:bCs/>
        <w:sz w:val="20"/>
        <w:szCs w:val="20"/>
      </w:rPr>
      <w:t>”</w:t>
    </w:r>
    <w:r w:rsidRPr="00721A69">
      <w:rPr>
        <w:sz w:val="20"/>
        <w:szCs w:val="20"/>
      </w:rPr>
      <w:t xml:space="preserve"> </w:t>
    </w:r>
    <w:r w:rsidRPr="00721A69">
      <w:rPr>
        <w:bCs/>
        <w:sz w:val="20"/>
        <w:szCs w:val="20"/>
      </w:rPr>
      <w:t>anotācija</w:t>
    </w:r>
  </w:p>
  <w:p w:rsidR="00FD3F9B" w:rsidRPr="00721A69" w:rsidRDefault="00FD3F9B" w:rsidP="00721A6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F9B" w:rsidRDefault="00FD3F9B">
      <w:r>
        <w:separator/>
      </w:r>
    </w:p>
  </w:footnote>
  <w:footnote w:type="continuationSeparator" w:id="0">
    <w:p w:rsidR="00FD3F9B" w:rsidRDefault="00FD3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9B" w:rsidRDefault="000B177C">
    <w:pPr>
      <w:pStyle w:val="Header"/>
      <w:framePr w:wrap="around" w:vAnchor="text" w:hAnchor="margin" w:xAlign="center" w:y="1"/>
      <w:rPr>
        <w:rStyle w:val="PageNumber"/>
      </w:rPr>
    </w:pPr>
    <w:r>
      <w:rPr>
        <w:rStyle w:val="PageNumber"/>
      </w:rPr>
      <w:fldChar w:fldCharType="begin"/>
    </w:r>
    <w:r w:rsidR="00FD3F9B">
      <w:rPr>
        <w:rStyle w:val="PageNumber"/>
      </w:rPr>
      <w:instrText xml:space="preserve">PAGE  </w:instrText>
    </w:r>
    <w:r>
      <w:rPr>
        <w:rStyle w:val="PageNumber"/>
      </w:rPr>
      <w:fldChar w:fldCharType="end"/>
    </w:r>
  </w:p>
  <w:p w:rsidR="00FD3F9B" w:rsidRDefault="00FD3F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F9B" w:rsidRDefault="000B177C">
    <w:pPr>
      <w:pStyle w:val="Header"/>
      <w:framePr w:wrap="around" w:vAnchor="text" w:hAnchor="margin" w:xAlign="center" w:y="1"/>
      <w:rPr>
        <w:rStyle w:val="PageNumber"/>
      </w:rPr>
    </w:pPr>
    <w:r>
      <w:rPr>
        <w:rStyle w:val="PageNumber"/>
      </w:rPr>
      <w:fldChar w:fldCharType="begin"/>
    </w:r>
    <w:r w:rsidR="00FD3F9B">
      <w:rPr>
        <w:rStyle w:val="PageNumber"/>
      </w:rPr>
      <w:instrText xml:space="preserve">PAGE  </w:instrText>
    </w:r>
    <w:r>
      <w:rPr>
        <w:rStyle w:val="PageNumber"/>
      </w:rPr>
      <w:fldChar w:fldCharType="separate"/>
    </w:r>
    <w:r w:rsidR="00B20337">
      <w:rPr>
        <w:rStyle w:val="PageNumber"/>
        <w:noProof/>
      </w:rPr>
      <w:t>5</w:t>
    </w:r>
    <w:r>
      <w:rPr>
        <w:rStyle w:val="PageNumber"/>
      </w:rPr>
      <w:fldChar w:fldCharType="end"/>
    </w:r>
  </w:p>
  <w:p w:rsidR="00FD3F9B" w:rsidRDefault="00FD3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D476CF"/>
    <w:multiLevelType w:val="hybridMultilevel"/>
    <w:tmpl w:val="86F28CD6"/>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27D73026"/>
    <w:multiLevelType w:val="hybridMultilevel"/>
    <w:tmpl w:val="AFD03D5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8">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E439D"/>
    <w:multiLevelType w:val="hybridMultilevel"/>
    <w:tmpl w:val="591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9451B"/>
    <w:multiLevelType w:val="hybridMultilevel"/>
    <w:tmpl w:val="A01CBB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4">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FD56BA"/>
    <w:multiLevelType w:val="hybridMultilevel"/>
    <w:tmpl w:val="B89E0FF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12"/>
  </w:num>
  <w:num w:numId="3">
    <w:abstractNumId w:val="9"/>
  </w:num>
  <w:num w:numId="4">
    <w:abstractNumId w:val="1"/>
  </w:num>
  <w:num w:numId="5">
    <w:abstractNumId w:val="0"/>
  </w:num>
  <w:num w:numId="6">
    <w:abstractNumId w:val="3"/>
  </w:num>
  <w:num w:numId="7">
    <w:abstractNumId w:val="13"/>
  </w:num>
  <w:num w:numId="8">
    <w:abstractNumId w:val="8"/>
  </w:num>
  <w:num w:numId="9">
    <w:abstractNumId w:val="6"/>
  </w:num>
  <w:num w:numId="10">
    <w:abstractNumId w:val="7"/>
  </w:num>
  <w:num w:numId="11">
    <w:abstractNumId w:val="14"/>
  </w:num>
  <w:num w:numId="12">
    <w:abstractNumId w:val="10"/>
  </w:num>
  <w:num w:numId="13">
    <w:abstractNumId w:val="11"/>
  </w:num>
  <w:num w:numId="14">
    <w:abstractNumId w:val="15"/>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rsids>
    <w:rsidRoot w:val="00051A1C"/>
    <w:rsid w:val="000006CF"/>
    <w:rsid w:val="00010573"/>
    <w:rsid w:val="0001496E"/>
    <w:rsid w:val="00016BD9"/>
    <w:rsid w:val="000173A4"/>
    <w:rsid w:val="00017DF7"/>
    <w:rsid w:val="000214FB"/>
    <w:rsid w:val="00022523"/>
    <w:rsid w:val="00023A89"/>
    <w:rsid w:val="00023BA6"/>
    <w:rsid w:val="00023EAD"/>
    <w:rsid w:val="0002480A"/>
    <w:rsid w:val="00031B47"/>
    <w:rsid w:val="00032A9F"/>
    <w:rsid w:val="000331F5"/>
    <w:rsid w:val="000350F7"/>
    <w:rsid w:val="000401EE"/>
    <w:rsid w:val="00040261"/>
    <w:rsid w:val="00040280"/>
    <w:rsid w:val="0004188B"/>
    <w:rsid w:val="000419AE"/>
    <w:rsid w:val="0004341C"/>
    <w:rsid w:val="00044751"/>
    <w:rsid w:val="00044811"/>
    <w:rsid w:val="000461A6"/>
    <w:rsid w:val="00046C46"/>
    <w:rsid w:val="0004791C"/>
    <w:rsid w:val="00050B11"/>
    <w:rsid w:val="000518C5"/>
    <w:rsid w:val="00051A1C"/>
    <w:rsid w:val="0005514A"/>
    <w:rsid w:val="0005631C"/>
    <w:rsid w:val="0005680A"/>
    <w:rsid w:val="00060FDE"/>
    <w:rsid w:val="00062879"/>
    <w:rsid w:val="00062E81"/>
    <w:rsid w:val="000700EC"/>
    <w:rsid w:val="000703FA"/>
    <w:rsid w:val="000734C7"/>
    <w:rsid w:val="00074C50"/>
    <w:rsid w:val="00075C90"/>
    <w:rsid w:val="00075FE6"/>
    <w:rsid w:val="0007617E"/>
    <w:rsid w:val="0008105E"/>
    <w:rsid w:val="0008118C"/>
    <w:rsid w:val="00081486"/>
    <w:rsid w:val="00081E56"/>
    <w:rsid w:val="00082220"/>
    <w:rsid w:val="0008397F"/>
    <w:rsid w:val="000847D1"/>
    <w:rsid w:val="000876AA"/>
    <w:rsid w:val="00087787"/>
    <w:rsid w:val="00087912"/>
    <w:rsid w:val="000879A1"/>
    <w:rsid w:val="00092C08"/>
    <w:rsid w:val="00092C69"/>
    <w:rsid w:val="00093955"/>
    <w:rsid w:val="00093E32"/>
    <w:rsid w:val="00094743"/>
    <w:rsid w:val="00094A86"/>
    <w:rsid w:val="00094D29"/>
    <w:rsid w:val="00094F8F"/>
    <w:rsid w:val="0009711C"/>
    <w:rsid w:val="000A0B0B"/>
    <w:rsid w:val="000A1230"/>
    <w:rsid w:val="000A2285"/>
    <w:rsid w:val="000A249F"/>
    <w:rsid w:val="000A3D7C"/>
    <w:rsid w:val="000A632A"/>
    <w:rsid w:val="000A6B35"/>
    <w:rsid w:val="000A7097"/>
    <w:rsid w:val="000A7B2A"/>
    <w:rsid w:val="000B0A3D"/>
    <w:rsid w:val="000B177C"/>
    <w:rsid w:val="000C0894"/>
    <w:rsid w:val="000C11F7"/>
    <w:rsid w:val="000C1806"/>
    <w:rsid w:val="000C326C"/>
    <w:rsid w:val="000C328B"/>
    <w:rsid w:val="000C62B6"/>
    <w:rsid w:val="000C69A8"/>
    <w:rsid w:val="000C7F03"/>
    <w:rsid w:val="000D10A0"/>
    <w:rsid w:val="000D259B"/>
    <w:rsid w:val="000D3507"/>
    <w:rsid w:val="000D40AC"/>
    <w:rsid w:val="000D5A1E"/>
    <w:rsid w:val="000E2002"/>
    <w:rsid w:val="000E6D22"/>
    <w:rsid w:val="000F079B"/>
    <w:rsid w:val="000F099A"/>
    <w:rsid w:val="000F0B0D"/>
    <w:rsid w:val="000F42B4"/>
    <w:rsid w:val="001022F4"/>
    <w:rsid w:val="00102B64"/>
    <w:rsid w:val="00104722"/>
    <w:rsid w:val="00106FF3"/>
    <w:rsid w:val="001108E9"/>
    <w:rsid w:val="00111190"/>
    <w:rsid w:val="0011122E"/>
    <w:rsid w:val="0011132A"/>
    <w:rsid w:val="00111D17"/>
    <w:rsid w:val="00113E50"/>
    <w:rsid w:val="00115C48"/>
    <w:rsid w:val="00117BB9"/>
    <w:rsid w:val="0012089E"/>
    <w:rsid w:val="00121708"/>
    <w:rsid w:val="00124003"/>
    <w:rsid w:val="00125E30"/>
    <w:rsid w:val="001268E7"/>
    <w:rsid w:val="00130286"/>
    <w:rsid w:val="0013083A"/>
    <w:rsid w:val="00130B15"/>
    <w:rsid w:val="00132010"/>
    <w:rsid w:val="00132477"/>
    <w:rsid w:val="00132673"/>
    <w:rsid w:val="001342F6"/>
    <w:rsid w:val="001343E2"/>
    <w:rsid w:val="0013473F"/>
    <w:rsid w:val="001420EE"/>
    <w:rsid w:val="0014373C"/>
    <w:rsid w:val="001437C1"/>
    <w:rsid w:val="001445AA"/>
    <w:rsid w:val="00151E3F"/>
    <w:rsid w:val="001526CD"/>
    <w:rsid w:val="00152866"/>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15AB"/>
    <w:rsid w:val="00182AA3"/>
    <w:rsid w:val="00183B82"/>
    <w:rsid w:val="00184C32"/>
    <w:rsid w:val="00185B8D"/>
    <w:rsid w:val="00187BCA"/>
    <w:rsid w:val="00190E51"/>
    <w:rsid w:val="00191D21"/>
    <w:rsid w:val="00193692"/>
    <w:rsid w:val="001942EB"/>
    <w:rsid w:val="001950BA"/>
    <w:rsid w:val="00195FE5"/>
    <w:rsid w:val="001963C1"/>
    <w:rsid w:val="00197678"/>
    <w:rsid w:val="00197A5C"/>
    <w:rsid w:val="001A033A"/>
    <w:rsid w:val="001A21BF"/>
    <w:rsid w:val="001A22CB"/>
    <w:rsid w:val="001A28C3"/>
    <w:rsid w:val="001A3B62"/>
    <w:rsid w:val="001A4EE7"/>
    <w:rsid w:val="001A5F95"/>
    <w:rsid w:val="001A788A"/>
    <w:rsid w:val="001B02E4"/>
    <w:rsid w:val="001B0FB3"/>
    <w:rsid w:val="001B1DEC"/>
    <w:rsid w:val="001B7153"/>
    <w:rsid w:val="001C01D7"/>
    <w:rsid w:val="001C02F2"/>
    <w:rsid w:val="001C07E0"/>
    <w:rsid w:val="001C11EA"/>
    <w:rsid w:val="001C39F3"/>
    <w:rsid w:val="001C457A"/>
    <w:rsid w:val="001C493F"/>
    <w:rsid w:val="001C5F71"/>
    <w:rsid w:val="001C68E9"/>
    <w:rsid w:val="001D0025"/>
    <w:rsid w:val="001D2D91"/>
    <w:rsid w:val="001D2F3C"/>
    <w:rsid w:val="001D3051"/>
    <w:rsid w:val="001D3987"/>
    <w:rsid w:val="001D49E8"/>
    <w:rsid w:val="001D6102"/>
    <w:rsid w:val="001D6D31"/>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46E1"/>
    <w:rsid w:val="001F68AB"/>
    <w:rsid w:val="001F6BC5"/>
    <w:rsid w:val="001F76D3"/>
    <w:rsid w:val="00201E54"/>
    <w:rsid w:val="0020206A"/>
    <w:rsid w:val="00202099"/>
    <w:rsid w:val="00204015"/>
    <w:rsid w:val="00205006"/>
    <w:rsid w:val="002070E9"/>
    <w:rsid w:val="002105B1"/>
    <w:rsid w:val="00210B37"/>
    <w:rsid w:val="0021148A"/>
    <w:rsid w:val="002131CB"/>
    <w:rsid w:val="00216724"/>
    <w:rsid w:val="00217705"/>
    <w:rsid w:val="002209CB"/>
    <w:rsid w:val="00221576"/>
    <w:rsid w:val="0022195A"/>
    <w:rsid w:val="00226A91"/>
    <w:rsid w:val="00231085"/>
    <w:rsid w:val="00231B6A"/>
    <w:rsid w:val="00232CEC"/>
    <w:rsid w:val="00233132"/>
    <w:rsid w:val="00234B35"/>
    <w:rsid w:val="002352C7"/>
    <w:rsid w:val="00235360"/>
    <w:rsid w:val="00236241"/>
    <w:rsid w:val="0023643A"/>
    <w:rsid w:val="00236630"/>
    <w:rsid w:val="00236F7C"/>
    <w:rsid w:val="00241EAF"/>
    <w:rsid w:val="0024294B"/>
    <w:rsid w:val="00243493"/>
    <w:rsid w:val="0024551A"/>
    <w:rsid w:val="00245E4D"/>
    <w:rsid w:val="0024688C"/>
    <w:rsid w:val="00250E14"/>
    <w:rsid w:val="00251191"/>
    <w:rsid w:val="00252F83"/>
    <w:rsid w:val="00253E28"/>
    <w:rsid w:val="00260F8B"/>
    <w:rsid w:val="00261177"/>
    <w:rsid w:val="00262B6A"/>
    <w:rsid w:val="0026440F"/>
    <w:rsid w:val="00266AD1"/>
    <w:rsid w:val="0027154E"/>
    <w:rsid w:val="00272DE6"/>
    <w:rsid w:val="00273157"/>
    <w:rsid w:val="002742A1"/>
    <w:rsid w:val="00275599"/>
    <w:rsid w:val="00282642"/>
    <w:rsid w:val="002845C6"/>
    <w:rsid w:val="0028551C"/>
    <w:rsid w:val="0028615F"/>
    <w:rsid w:val="00286694"/>
    <w:rsid w:val="00290C29"/>
    <w:rsid w:val="0029194F"/>
    <w:rsid w:val="00291DAD"/>
    <w:rsid w:val="00291E72"/>
    <w:rsid w:val="0029403B"/>
    <w:rsid w:val="00297DDD"/>
    <w:rsid w:val="002A0184"/>
    <w:rsid w:val="002A1432"/>
    <w:rsid w:val="002A46CA"/>
    <w:rsid w:val="002A49D0"/>
    <w:rsid w:val="002A725C"/>
    <w:rsid w:val="002B0032"/>
    <w:rsid w:val="002B2135"/>
    <w:rsid w:val="002B2650"/>
    <w:rsid w:val="002B29C1"/>
    <w:rsid w:val="002B3DFA"/>
    <w:rsid w:val="002B5A80"/>
    <w:rsid w:val="002B5D9A"/>
    <w:rsid w:val="002B6C72"/>
    <w:rsid w:val="002B7FA4"/>
    <w:rsid w:val="002C13CF"/>
    <w:rsid w:val="002C3857"/>
    <w:rsid w:val="002C3F14"/>
    <w:rsid w:val="002C5D12"/>
    <w:rsid w:val="002C605B"/>
    <w:rsid w:val="002C6AD5"/>
    <w:rsid w:val="002C7215"/>
    <w:rsid w:val="002D0DEF"/>
    <w:rsid w:val="002D2859"/>
    <w:rsid w:val="002D33E0"/>
    <w:rsid w:val="002D3F36"/>
    <w:rsid w:val="002D48B0"/>
    <w:rsid w:val="002D5967"/>
    <w:rsid w:val="002D599A"/>
    <w:rsid w:val="002D6514"/>
    <w:rsid w:val="002E1536"/>
    <w:rsid w:val="002E1C0E"/>
    <w:rsid w:val="002E4977"/>
    <w:rsid w:val="002E5E9C"/>
    <w:rsid w:val="002E64EC"/>
    <w:rsid w:val="002E6680"/>
    <w:rsid w:val="002E70B4"/>
    <w:rsid w:val="002F1089"/>
    <w:rsid w:val="002F1C53"/>
    <w:rsid w:val="002F25D5"/>
    <w:rsid w:val="002F2897"/>
    <w:rsid w:val="002F2C30"/>
    <w:rsid w:val="002F2FBE"/>
    <w:rsid w:val="002F35E2"/>
    <w:rsid w:val="002F3C9C"/>
    <w:rsid w:val="002F3DAD"/>
    <w:rsid w:val="002F4AA1"/>
    <w:rsid w:val="002F55B9"/>
    <w:rsid w:val="002F5C8A"/>
    <w:rsid w:val="002F6DDC"/>
    <w:rsid w:val="00300299"/>
    <w:rsid w:val="00303ECC"/>
    <w:rsid w:val="00304FB3"/>
    <w:rsid w:val="003053E2"/>
    <w:rsid w:val="00307897"/>
    <w:rsid w:val="00312F4F"/>
    <w:rsid w:val="0032178A"/>
    <w:rsid w:val="003225AA"/>
    <w:rsid w:val="003233AF"/>
    <w:rsid w:val="00323DD9"/>
    <w:rsid w:val="00323E40"/>
    <w:rsid w:val="00327F2F"/>
    <w:rsid w:val="003312B4"/>
    <w:rsid w:val="00332010"/>
    <w:rsid w:val="00332500"/>
    <w:rsid w:val="0033566F"/>
    <w:rsid w:val="00340B9C"/>
    <w:rsid w:val="0034346D"/>
    <w:rsid w:val="00344627"/>
    <w:rsid w:val="0034660F"/>
    <w:rsid w:val="00350BD6"/>
    <w:rsid w:val="003536D5"/>
    <w:rsid w:val="0036029D"/>
    <w:rsid w:val="003615C2"/>
    <w:rsid w:val="0036166B"/>
    <w:rsid w:val="0036313C"/>
    <w:rsid w:val="00363DC2"/>
    <w:rsid w:val="00365A5C"/>
    <w:rsid w:val="00371CAB"/>
    <w:rsid w:val="003720ED"/>
    <w:rsid w:val="00372200"/>
    <w:rsid w:val="003724C3"/>
    <w:rsid w:val="00374E68"/>
    <w:rsid w:val="00375726"/>
    <w:rsid w:val="00376CD4"/>
    <w:rsid w:val="00377438"/>
    <w:rsid w:val="0038256D"/>
    <w:rsid w:val="00384797"/>
    <w:rsid w:val="00384D18"/>
    <w:rsid w:val="00384F04"/>
    <w:rsid w:val="003855F3"/>
    <w:rsid w:val="00386E5C"/>
    <w:rsid w:val="00390E46"/>
    <w:rsid w:val="003915EA"/>
    <w:rsid w:val="00391A0D"/>
    <w:rsid w:val="00392AD8"/>
    <w:rsid w:val="00393926"/>
    <w:rsid w:val="00394632"/>
    <w:rsid w:val="00394AC9"/>
    <w:rsid w:val="00395167"/>
    <w:rsid w:val="003963EA"/>
    <w:rsid w:val="00397A86"/>
    <w:rsid w:val="003A3066"/>
    <w:rsid w:val="003A33E3"/>
    <w:rsid w:val="003A4FD6"/>
    <w:rsid w:val="003A5810"/>
    <w:rsid w:val="003A58AA"/>
    <w:rsid w:val="003A71D9"/>
    <w:rsid w:val="003A743D"/>
    <w:rsid w:val="003B27A7"/>
    <w:rsid w:val="003B5988"/>
    <w:rsid w:val="003C1A61"/>
    <w:rsid w:val="003C1A7F"/>
    <w:rsid w:val="003C71C8"/>
    <w:rsid w:val="003D19D5"/>
    <w:rsid w:val="003D2D26"/>
    <w:rsid w:val="003D53AB"/>
    <w:rsid w:val="003D55EC"/>
    <w:rsid w:val="003D6FF6"/>
    <w:rsid w:val="003E093F"/>
    <w:rsid w:val="003E1C44"/>
    <w:rsid w:val="003E3332"/>
    <w:rsid w:val="003E4D4C"/>
    <w:rsid w:val="003E5FE9"/>
    <w:rsid w:val="003E6BA0"/>
    <w:rsid w:val="003F02B2"/>
    <w:rsid w:val="003F1D51"/>
    <w:rsid w:val="003F2C9C"/>
    <w:rsid w:val="003F4890"/>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2639"/>
    <w:rsid w:val="00413FE9"/>
    <w:rsid w:val="00415285"/>
    <w:rsid w:val="00422021"/>
    <w:rsid w:val="004242A4"/>
    <w:rsid w:val="00425F1A"/>
    <w:rsid w:val="00425FA9"/>
    <w:rsid w:val="00427E7B"/>
    <w:rsid w:val="00435509"/>
    <w:rsid w:val="00437540"/>
    <w:rsid w:val="0043756A"/>
    <w:rsid w:val="0044069F"/>
    <w:rsid w:val="00443CA4"/>
    <w:rsid w:val="00444DC2"/>
    <w:rsid w:val="00445515"/>
    <w:rsid w:val="00445E18"/>
    <w:rsid w:val="004515E2"/>
    <w:rsid w:val="00451DF3"/>
    <w:rsid w:val="00452170"/>
    <w:rsid w:val="00452DC4"/>
    <w:rsid w:val="0045306C"/>
    <w:rsid w:val="004543CC"/>
    <w:rsid w:val="0045495E"/>
    <w:rsid w:val="0045670D"/>
    <w:rsid w:val="004612BD"/>
    <w:rsid w:val="004614BE"/>
    <w:rsid w:val="00461752"/>
    <w:rsid w:val="0046222A"/>
    <w:rsid w:val="0046385D"/>
    <w:rsid w:val="00463E49"/>
    <w:rsid w:val="0047035C"/>
    <w:rsid w:val="0047129B"/>
    <w:rsid w:val="0047285A"/>
    <w:rsid w:val="00472AC0"/>
    <w:rsid w:val="004733BB"/>
    <w:rsid w:val="00476A6E"/>
    <w:rsid w:val="00480AFD"/>
    <w:rsid w:val="004832CE"/>
    <w:rsid w:val="004837AB"/>
    <w:rsid w:val="0048532F"/>
    <w:rsid w:val="00487AEB"/>
    <w:rsid w:val="00490092"/>
    <w:rsid w:val="0049162F"/>
    <w:rsid w:val="00495D38"/>
    <w:rsid w:val="00497CBE"/>
    <w:rsid w:val="004A1606"/>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C0B9C"/>
    <w:rsid w:val="004C242C"/>
    <w:rsid w:val="004C6D39"/>
    <w:rsid w:val="004D014F"/>
    <w:rsid w:val="004D2739"/>
    <w:rsid w:val="004D5B1B"/>
    <w:rsid w:val="004D6813"/>
    <w:rsid w:val="004D7897"/>
    <w:rsid w:val="004E1B75"/>
    <w:rsid w:val="004E3019"/>
    <w:rsid w:val="004E33CF"/>
    <w:rsid w:val="004E37E9"/>
    <w:rsid w:val="004E45DA"/>
    <w:rsid w:val="004E49D3"/>
    <w:rsid w:val="004F2B9C"/>
    <w:rsid w:val="004F3397"/>
    <w:rsid w:val="004F3D53"/>
    <w:rsid w:val="004F3F9F"/>
    <w:rsid w:val="004F42CB"/>
    <w:rsid w:val="004F68A9"/>
    <w:rsid w:val="00502C2B"/>
    <w:rsid w:val="00503B34"/>
    <w:rsid w:val="00504667"/>
    <w:rsid w:val="00505E68"/>
    <w:rsid w:val="00506220"/>
    <w:rsid w:val="00507B6B"/>
    <w:rsid w:val="00507EF3"/>
    <w:rsid w:val="00511421"/>
    <w:rsid w:val="00511CEB"/>
    <w:rsid w:val="0051270C"/>
    <w:rsid w:val="00515706"/>
    <w:rsid w:val="005212B1"/>
    <w:rsid w:val="00523695"/>
    <w:rsid w:val="005245AA"/>
    <w:rsid w:val="00524751"/>
    <w:rsid w:val="00525855"/>
    <w:rsid w:val="00527A13"/>
    <w:rsid w:val="00530D0A"/>
    <w:rsid w:val="00531C98"/>
    <w:rsid w:val="00533845"/>
    <w:rsid w:val="00534EF5"/>
    <w:rsid w:val="00535C86"/>
    <w:rsid w:val="00536F46"/>
    <w:rsid w:val="0054229B"/>
    <w:rsid w:val="0054254F"/>
    <w:rsid w:val="0054383D"/>
    <w:rsid w:val="00543C68"/>
    <w:rsid w:val="005456A4"/>
    <w:rsid w:val="00545862"/>
    <w:rsid w:val="005473E7"/>
    <w:rsid w:val="00550437"/>
    <w:rsid w:val="00553314"/>
    <w:rsid w:val="005540B9"/>
    <w:rsid w:val="005548BD"/>
    <w:rsid w:val="005557A1"/>
    <w:rsid w:val="00556A19"/>
    <w:rsid w:val="00557784"/>
    <w:rsid w:val="0056168A"/>
    <w:rsid w:val="00562116"/>
    <w:rsid w:val="0056303D"/>
    <w:rsid w:val="00564B00"/>
    <w:rsid w:val="00565F33"/>
    <w:rsid w:val="00570845"/>
    <w:rsid w:val="00570F82"/>
    <w:rsid w:val="005715E6"/>
    <w:rsid w:val="00572022"/>
    <w:rsid w:val="005727D4"/>
    <w:rsid w:val="00572B38"/>
    <w:rsid w:val="005749A7"/>
    <w:rsid w:val="00574E54"/>
    <w:rsid w:val="00574FA8"/>
    <w:rsid w:val="0057502B"/>
    <w:rsid w:val="005759D8"/>
    <w:rsid w:val="00580558"/>
    <w:rsid w:val="00581270"/>
    <w:rsid w:val="00582808"/>
    <w:rsid w:val="00584D91"/>
    <w:rsid w:val="00585F96"/>
    <w:rsid w:val="00592472"/>
    <w:rsid w:val="0059541B"/>
    <w:rsid w:val="00595DFB"/>
    <w:rsid w:val="005968B7"/>
    <w:rsid w:val="005A0203"/>
    <w:rsid w:val="005A0358"/>
    <w:rsid w:val="005A5899"/>
    <w:rsid w:val="005A5968"/>
    <w:rsid w:val="005A64CD"/>
    <w:rsid w:val="005A6E26"/>
    <w:rsid w:val="005B073D"/>
    <w:rsid w:val="005B0FEF"/>
    <w:rsid w:val="005B143B"/>
    <w:rsid w:val="005B2CE0"/>
    <w:rsid w:val="005B4AA4"/>
    <w:rsid w:val="005C0F88"/>
    <w:rsid w:val="005C5317"/>
    <w:rsid w:val="005D05D8"/>
    <w:rsid w:val="005D106F"/>
    <w:rsid w:val="005D2461"/>
    <w:rsid w:val="005D2CAC"/>
    <w:rsid w:val="005D3DEE"/>
    <w:rsid w:val="005D4D8A"/>
    <w:rsid w:val="005E1132"/>
    <w:rsid w:val="005E22B7"/>
    <w:rsid w:val="005E627E"/>
    <w:rsid w:val="005E6A79"/>
    <w:rsid w:val="005F5711"/>
    <w:rsid w:val="006007D6"/>
    <w:rsid w:val="006009A6"/>
    <w:rsid w:val="006017BB"/>
    <w:rsid w:val="00603A61"/>
    <w:rsid w:val="00603B17"/>
    <w:rsid w:val="00607A44"/>
    <w:rsid w:val="00611B0E"/>
    <w:rsid w:val="00612FE3"/>
    <w:rsid w:val="00617EAE"/>
    <w:rsid w:val="00621CE5"/>
    <w:rsid w:val="00623154"/>
    <w:rsid w:val="00623AE2"/>
    <w:rsid w:val="00624CE3"/>
    <w:rsid w:val="00626EFE"/>
    <w:rsid w:val="006303F8"/>
    <w:rsid w:val="0063122B"/>
    <w:rsid w:val="00633A90"/>
    <w:rsid w:val="00634A76"/>
    <w:rsid w:val="00635F13"/>
    <w:rsid w:val="00636F5B"/>
    <w:rsid w:val="0063793C"/>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5269"/>
    <w:rsid w:val="0065569F"/>
    <w:rsid w:val="006559AC"/>
    <w:rsid w:val="00656B85"/>
    <w:rsid w:val="00656CBC"/>
    <w:rsid w:val="00656EA7"/>
    <w:rsid w:val="0065733C"/>
    <w:rsid w:val="00657610"/>
    <w:rsid w:val="006605C7"/>
    <w:rsid w:val="0066117F"/>
    <w:rsid w:val="00662DF2"/>
    <w:rsid w:val="00666E06"/>
    <w:rsid w:val="00670776"/>
    <w:rsid w:val="00670D7F"/>
    <w:rsid w:val="00672058"/>
    <w:rsid w:val="006721D7"/>
    <w:rsid w:val="006726FB"/>
    <w:rsid w:val="00673220"/>
    <w:rsid w:val="00674E83"/>
    <w:rsid w:val="0067660E"/>
    <w:rsid w:val="00676A11"/>
    <w:rsid w:val="006771FC"/>
    <w:rsid w:val="00677EBC"/>
    <w:rsid w:val="00681332"/>
    <w:rsid w:val="00684562"/>
    <w:rsid w:val="0068626A"/>
    <w:rsid w:val="0068746E"/>
    <w:rsid w:val="00687949"/>
    <w:rsid w:val="00687FC1"/>
    <w:rsid w:val="00692632"/>
    <w:rsid w:val="00694C8F"/>
    <w:rsid w:val="0069680F"/>
    <w:rsid w:val="00696EFF"/>
    <w:rsid w:val="006A35B8"/>
    <w:rsid w:val="006A497A"/>
    <w:rsid w:val="006A5E10"/>
    <w:rsid w:val="006A60F3"/>
    <w:rsid w:val="006A64E5"/>
    <w:rsid w:val="006B0497"/>
    <w:rsid w:val="006B1174"/>
    <w:rsid w:val="006B1587"/>
    <w:rsid w:val="006B2120"/>
    <w:rsid w:val="006B2CDB"/>
    <w:rsid w:val="006B2FB5"/>
    <w:rsid w:val="006B3FEE"/>
    <w:rsid w:val="006B40B9"/>
    <w:rsid w:val="006B5F39"/>
    <w:rsid w:val="006B669A"/>
    <w:rsid w:val="006B7013"/>
    <w:rsid w:val="006C21D2"/>
    <w:rsid w:val="006C7DDE"/>
    <w:rsid w:val="006D0547"/>
    <w:rsid w:val="006D14E3"/>
    <w:rsid w:val="006D2DE7"/>
    <w:rsid w:val="006D3EC5"/>
    <w:rsid w:val="006D45E1"/>
    <w:rsid w:val="006D4755"/>
    <w:rsid w:val="006D7A15"/>
    <w:rsid w:val="006E0234"/>
    <w:rsid w:val="006E2D0F"/>
    <w:rsid w:val="006E6F24"/>
    <w:rsid w:val="006E719B"/>
    <w:rsid w:val="006E7387"/>
    <w:rsid w:val="006F13BE"/>
    <w:rsid w:val="006F291D"/>
    <w:rsid w:val="006F45D6"/>
    <w:rsid w:val="006F507E"/>
    <w:rsid w:val="006F55BB"/>
    <w:rsid w:val="006F7FAA"/>
    <w:rsid w:val="007044DA"/>
    <w:rsid w:val="00704D5E"/>
    <w:rsid w:val="00705713"/>
    <w:rsid w:val="00707BDE"/>
    <w:rsid w:val="00707DCB"/>
    <w:rsid w:val="00710816"/>
    <w:rsid w:val="0071083A"/>
    <w:rsid w:val="00713DE8"/>
    <w:rsid w:val="00713FE4"/>
    <w:rsid w:val="00715B84"/>
    <w:rsid w:val="00717D11"/>
    <w:rsid w:val="00721A69"/>
    <w:rsid w:val="00722800"/>
    <w:rsid w:val="00723AD0"/>
    <w:rsid w:val="00727B39"/>
    <w:rsid w:val="00733104"/>
    <w:rsid w:val="00735911"/>
    <w:rsid w:val="00735F67"/>
    <w:rsid w:val="00740F76"/>
    <w:rsid w:val="00744650"/>
    <w:rsid w:val="00752565"/>
    <w:rsid w:val="00752662"/>
    <w:rsid w:val="007545DD"/>
    <w:rsid w:val="007560F0"/>
    <w:rsid w:val="007565E0"/>
    <w:rsid w:val="00757C4D"/>
    <w:rsid w:val="00760F9F"/>
    <w:rsid w:val="00763141"/>
    <w:rsid w:val="007652CA"/>
    <w:rsid w:val="007667EC"/>
    <w:rsid w:val="00770756"/>
    <w:rsid w:val="00771341"/>
    <w:rsid w:val="00771460"/>
    <w:rsid w:val="00771DF1"/>
    <w:rsid w:val="007812D1"/>
    <w:rsid w:val="00781671"/>
    <w:rsid w:val="0078572B"/>
    <w:rsid w:val="00787D01"/>
    <w:rsid w:val="00790A31"/>
    <w:rsid w:val="0079215A"/>
    <w:rsid w:val="00792C43"/>
    <w:rsid w:val="00793901"/>
    <w:rsid w:val="007952DD"/>
    <w:rsid w:val="00797404"/>
    <w:rsid w:val="00797BED"/>
    <w:rsid w:val="007A0784"/>
    <w:rsid w:val="007A122F"/>
    <w:rsid w:val="007A1919"/>
    <w:rsid w:val="007A2DB6"/>
    <w:rsid w:val="007A3DD9"/>
    <w:rsid w:val="007A53B4"/>
    <w:rsid w:val="007A5FB2"/>
    <w:rsid w:val="007A6598"/>
    <w:rsid w:val="007A7C8B"/>
    <w:rsid w:val="007B2107"/>
    <w:rsid w:val="007B5209"/>
    <w:rsid w:val="007B5C03"/>
    <w:rsid w:val="007B5F31"/>
    <w:rsid w:val="007C0858"/>
    <w:rsid w:val="007C4095"/>
    <w:rsid w:val="007C4099"/>
    <w:rsid w:val="007C4A52"/>
    <w:rsid w:val="007C4B8E"/>
    <w:rsid w:val="007C57CD"/>
    <w:rsid w:val="007C782F"/>
    <w:rsid w:val="007C7E66"/>
    <w:rsid w:val="007D021B"/>
    <w:rsid w:val="007D132E"/>
    <w:rsid w:val="007D28CF"/>
    <w:rsid w:val="007D3BCC"/>
    <w:rsid w:val="007D4B95"/>
    <w:rsid w:val="007D4C79"/>
    <w:rsid w:val="007D5722"/>
    <w:rsid w:val="007D703B"/>
    <w:rsid w:val="007D7B79"/>
    <w:rsid w:val="007E0B71"/>
    <w:rsid w:val="007E14D5"/>
    <w:rsid w:val="007E21EC"/>
    <w:rsid w:val="007E28FD"/>
    <w:rsid w:val="007E2BDE"/>
    <w:rsid w:val="007E5047"/>
    <w:rsid w:val="007E63FA"/>
    <w:rsid w:val="007F1156"/>
    <w:rsid w:val="007F2A84"/>
    <w:rsid w:val="007F2B5D"/>
    <w:rsid w:val="007F3581"/>
    <w:rsid w:val="007F70FC"/>
    <w:rsid w:val="007F72A8"/>
    <w:rsid w:val="007F7C4B"/>
    <w:rsid w:val="00804E4E"/>
    <w:rsid w:val="00805AF2"/>
    <w:rsid w:val="008061A5"/>
    <w:rsid w:val="0081067C"/>
    <w:rsid w:val="00810E47"/>
    <w:rsid w:val="008134E4"/>
    <w:rsid w:val="0081374A"/>
    <w:rsid w:val="008164E0"/>
    <w:rsid w:val="0081706D"/>
    <w:rsid w:val="00817F1B"/>
    <w:rsid w:val="00820CDF"/>
    <w:rsid w:val="0082170C"/>
    <w:rsid w:val="00822D82"/>
    <w:rsid w:val="00825EF0"/>
    <w:rsid w:val="00826192"/>
    <w:rsid w:val="00831928"/>
    <w:rsid w:val="00832F8E"/>
    <w:rsid w:val="00833D31"/>
    <w:rsid w:val="008361C3"/>
    <w:rsid w:val="008363E3"/>
    <w:rsid w:val="00836EAA"/>
    <w:rsid w:val="00837E60"/>
    <w:rsid w:val="00841D0C"/>
    <w:rsid w:val="00841E0F"/>
    <w:rsid w:val="00842F1F"/>
    <w:rsid w:val="00843C1B"/>
    <w:rsid w:val="00844751"/>
    <w:rsid w:val="008447F2"/>
    <w:rsid w:val="0084592A"/>
    <w:rsid w:val="00847124"/>
    <w:rsid w:val="008477DD"/>
    <w:rsid w:val="00850D9A"/>
    <w:rsid w:val="008530B9"/>
    <w:rsid w:val="00854D50"/>
    <w:rsid w:val="00860888"/>
    <w:rsid w:val="00861027"/>
    <w:rsid w:val="0086170A"/>
    <w:rsid w:val="00864C89"/>
    <w:rsid w:val="0087453A"/>
    <w:rsid w:val="00874B9F"/>
    <w:rsid w:val="00874EED"/>
    <w:rsid w:val="008751D7"/>
    <w:rsid w:val="00875DE7"/>
    <w:rsid w:val="0088136B"/>
    <w:rsid w:val="0088309F"/>
    <w:rsid w:val="008832C4"/>
    <w:rsid w:val="00883458"/>
    <w:rsid w:val="00884187"/>
    <w:rsid w:val="00885691"/>
    <w:rsid w:val="00890451"/>
    <w:rsid w:val="00890A41"/>
    <w:rsid w:val="00894A1B"/>
    <w:rsid w:val="00895AAA"/>
    <w:rsid w:val="00896E66"/>
    <w:rsid w:val="008974D5"/>
    <w:rsid w:val="00897FD3"/>
    <w:rsid w:val="008A1044"/>
    <w:rsid w:val="008A3670"/>
    <w:rsid w:val="008A4E49"/>
    <w:rsid w:val="008A4E9F"/>
    <w:rsid w:val="008A5924"/>
    <w:rsid w:val="008A652A"/>
    <w:rsid w:val="008A6BF2"/>
    <w:rsid w:val="008A7545"/>
    <w:rsid w:val="008B2B87"/>
    <w:rsid w:val="008B2F47"/>
    <w:rsid w:val="008B37F0"/>
    <w:rsid w:val="008B3998"/>
    <w:rsid w:val="008B5BC4"/>
    <w:rsid w:val="008B7445"/>
    <w:rsid w:val="008B75DB"/>
    <w:rsid w:val="008C10FA"/>
    <w:rsid w:val="008C2C5E"/>
    <w:rsid w:val="008C3050"/>
    <w:rsid w:val="008C432F"/>
    <w:rsid w:val="008C5A12"/>
    <w:rsid w:val="008C5DA9"/>
    <w:rsid w:val="008D2886"/>
    <w:rsid w:val="008D35AB"/>
    <w:rsid w:val="008D69E8"/>
    <w:rsid w:val="008E007A"/>
    <w:rsid w:val="008E2128"/>
    <w:rsid w:val="008E2D79"/>
    <w:rsid w:val="008E4ED4"/>
    <w:rsid w:val="008E593B"/>
    <w:rsid w:val="008E60A1"/>
    <w:rsid w:val="008E6C07"/>
    <w:rsid w:val="008F1146"/>
    <w:rsid w:val="008F32EF"/>
    <w:rsid w:val="008F3F39"/>
    <w:rsid w:val="008F4E95"/>
    <w:rsid w:val="008F5A44"/>
    <w:rsid w:val="008F738A"/>
    <w:rsid w:val="008F7EE4"/>
    <w:rsid w:val="00903AF4"/>
    <w:rsid w:val="009048CA"/>
    <w:rsid w:val="00906472"/>
    <w:rsid w:val="009072E8"/>
    <w:rsid w:val="00907682"/>
    <w:rsid w:val="00907FDA"/>
    <w:rsid w:val="0091213A"/>
    <w:rsid w:val="009125C8"/>
    <w:rsid w:val="00912CDC"/>
    <w:rsid w:val="009138E1"/>
    <w:rsid w:val="00914B80"/>
    <w:rsid w:val="00916CCF"/>
    <w:rsid w:val="00916CEF"/>
    <w:rsid w:val="00920661"/>
    <w:rsid w:val="00921A8D"/>
    <w:rsid w:val="00922A10"/>
    <w:rsid w:val="009239C5"/>
    <w:rsid w:val="009257DB"/>
    <w:rsid w:val="0092787E"/>
    <w:rsid w:val="00927B54"/>
    <w:rsid w:val="00934387"/>
    <w:rsid w:val="00934CE1"/>
    <w:rsid w:val="00935CEF"/>
    <w:rsid w:val="00937B91"/>
    <w:rsid w:val="00942202"/>
    <w:rsid w:val="009422B9"/>
    <w:rsid w:val="00947C31"/>
    <w:rsid w:val="00952C19"/>
    <w:rsid w:val="0095449B"/>
    <w:rsid w:val="00954E9D"/>
    <w:rsid w:val="00955292"/>
    <w:rsid w:val="009561E1"/>
    <w:rsid w:val="009566DF"/>
    <w:rsid w:val="00956BE0"/>
    <w:rsid w:val="0096376E"/>
    <w:rsid w:val="009669AC"/>
    <w:rsid w:val="00971CF8"/>
    <w:rsid w:val="00977C9D"/>
    <w:rsid w:val="00982293"/>
    <w:rsid w:val="009848F8"/>
    <w:rsid w:val="0098570E"/>
    <w:rsid w:val="00987B37"/>
    <w:rsid w:val="00991D8E"/>
    <w:rsid w:val="00995E0F"/>
    <w:rsid w:val="009A1AD8"/>
    <w:rsid w:val="009A3B53"/>
    <w:rsid w:val="009A3F36"/>
    <w:rsid w:val="009A4137"/>
    <w:rsid w:val="009A690C"/>
    <w:rsid w:val="009A7369"/>
    <w:rsid w:val="009B0A7B"/>
    <w:rsid w:val="009B2734"/>
    <w:rsid w:val="009B3E22"/>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6D8F"/>
    <w:rsid w:val="009E053A"/>
    <w:rsid w:val="009E3028"/>
    <w:rsid w:val="009E4020"/>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237"/>
    <w:rsid w:val="00A05C48"/>
    <w:rsid w:val="00A06121"/>
    <w:rsid w:val="00A0723C"/>
    <w:rsid w:val="00A0772D"/>
    <w:rsid w:val="00A07B3B"/>
    <w:rsid w:val="00A11B1F"/>
    <w:rsid w:val="00A11DF0"/>
    <w:rsid w:val="00A12CBB"/>
    <w:rsid w:val="00A12CFF"/>
    <w:rsid w:val="00A1405D"/>
    <w:rsid w:val="00A15840"/>
    <w:rsid w:val="00A2076A"/>
    <w:rsid w:val="00A20B68"/>
    <w:rsid w:val="00A25691"/>
    <w:rsid w:val="00A259C5"/>
    <w:rsid w:val="00A31701"/>
    <w:rsid w:val="00A3480D"/>
    <w:rsid w:val="00A35D22"/>
    <w:rsid w:val="00A374FB"/>
    <w:rsid w:val="00A45172"/>
    <w:rsid w:val="00A456AA"/>
    <w:rsid w:val="00A478CF"/>
    <w:rsid w:val="00A47ABD"/>
    <w:rsid w:val="00A53705"/>
    <w:rsid w:val="00A53E1A"/>
    <w:rsid w:val="00A5439E"/>
    <w:rsid w:val="00A56161"/>
    <w:rsid w:val="00A573C2"/>
    <w:rsid w:val="00A5789D"/>
    <w:rsid w:val="00A61668"/>
    <w:rsid w:val="00A666EA"/>
    <w:rsid w:val="00A678BC"/>
    <w:rsid w:val="00A67BC9"/>
    <w:rsid w:val="00A723F7"/>
    <w:rsid w:val="00A73108"/>
    <w:rsid w:val="00A745BF"/>
    <w:rsid w:val="00A7474F"/>
    <w:rsid w:val="00A74F92"/>
    <w:rsid w:val="00A7585E"/>
    <w:rsid w:val="00A75DBC"/>
    <w:rsid w:val="00A75FE0"/>
    <w:rsid w:val="00A76668"/>
    <w:rsid w:val="00A82B3C"/>
    <w:rsid w:val="00A82CE2"/>
    <w:rsid w:val="00A86DA7"/>
    <w:rsid w:val="00A86F66"/>
    <w:rsid w:val="00A95059"/>
    <w:rsid w:val="00A95CF7"/>
    <w:rsid w:val="00A9791B"/>
    <w:rsid w:val="00AA7901"/>
    <w:rsid w:val="00AB2A1F"/>
    <w:rsid w:val="00AB380B"/>
    <w:rsid w:val="00AB433B"/>
    <w:rsid w:val="00AB4BCB"/>
    <w:rsid w:val="00AB551F"/>
    <w:rsid w:val="00AB7CE1"/>
    <w:rsid w:val="00AC0B8D"/>
    <w:rsid w:val="00AC0E68"/>
    <w:rsid w:val="00AC51C4"/>
    <w:rsid w:val="00AD07E9"/>
    <w:rsid w:val="00AD4A55"/>
    <w:rsid w:val="00AD4AEA"/>
    <w:rsid w:val="00AD528C"/>
    <w:rsid w:val="00AD63DB"/>
    <w:rsid w:val="00AE0DCA"/>
    <w:rsid w:val="00AE2E33"/>
    <w:rsid w:val="00AE7341"/>
    <w:rsid w:val="00AE73DC"/>
    <w:rsid w:val="00AF0E10"/>
    <w:rsid w:val="00AF1DE6"/>
    <w:rsid w:val="00AF44AF"/>
    <w:rsid w:val="00AF53F0"/>
    <w:rsid w:val="00B00875"/>
    <w:rsid w:val="00B04B2A"/>
    <w:rsid w:val="00B06149"/>
    <w:rsid w:val="00B07142"/>
    <w:rsid w:val="00B115B5"/>
    <w:rsid w:val="00B115D0"/>
    <w:rsid w:val="00B13C3A"/>
    <w:rsid w:val="00B15208"/>
    <w:rsid w:val="00B15B83"/>
    <w:rsid w:val="00B16A64"/>
    <w:rsid w:val="00B20337"/>
    <w:rsid w:val="00B223EB"/>
    <w:rsid w:val="00B22A23"/>
    <w:rsid w:val="00B23B86"/>
    <w:rsid w:val="00B25A49"/>
    <w:rsid w:val="00B27A84"/>
    <w:rsid w:val="00B31260"/>
    <w:rsid w:val="00B3195A"/>
    <w:rsid w:val="00B31994"/>
    <w:rsid w:val="00B319F8"/>
    <w:rsid w:val="00B33C07"/>
    <w:rsid w:val="00B3546D"/>
    <w:rsid w:val="00B35A52"/>
    <w:rsid w:val="00B3622E"/>
    <w:rsid w:val="00B40722"/>
    <w:rsid w:val="00B43465"/>
    <w:rsid w:val="00B43976"/>
    <w:rsid w:val="00B43D3B"/>
    <w:rsid w:val="00B4555A"/>
    <w:rsid w:val="00B509FB"/>
    <w:rsid w:val="00B50FF5"/>
    <w:rsid w:val="00B516DB"/>
    <w:rsid w:val="00B52A17"/>
    <w:rsid w:val="00B52F1B"/>
    <w:rsid w:val="00B5458B"/>
    <w:rsid w:val="00B55987"/>
    <w:rsid w:val="00B56FBC"/>
    <w:rsid w:val="00B57BCC"/>
    <w:rsid w:val="00B57EE4"/>
    <w:rsid w:val="00B62302"/>
    <w:rsid w:val="00B632A3"/>
    <w:rsid w:val="00B6722B"/>
    <w:rsid w:val="00B70FC8"/>
    <w:rsid w:val="00B712D0"/>
    <w:rsid w:val="00B71713"/>
    <w:rsid w:val="00B722C7"/>
    <w:rsid w:val="00B73DB6"/>
    <w:rsid w:val="00B74996"/>
    <w:rsid w:val="00B75FAB"/>
    <w:rsid w:val="00B76575"/>
    <w:rsid w:val="00B76F4B"/>
    <w:rsid w:val="00B8146E"/>
    <w:rsid w:val="00B81520"/>
    <w:rsid w:val="00B8184B"/>
    <w:rsid w:val="00B818EB"/>
    <w:rsid w:val="00B84473"/>
    <w:rsid w:val="00B8465B"/>
    <w:rsid w:val="00B84FF5"/>
    <w:rsid w:val="00B8503D"/>
    <w:rsid w:val="00B923BE"/>
    <w:rsid w:val="00B9292C"/>
    <w:rsid w:val="00B95B41"/>
    <w:rsid w:val="00B96CE1"/>
    <w:rsid w:val="00BA0CE5"/>
    <w:rsid w:val="00BA2CD0"/>
    <w:rsid w:val="00BA3412"/>
    <w:rsid w:val="00BA6835"/>
    <w:rsid w:val="00BB0B79"/>
    <w:rsid w:val="00BB3A3A"/>
    <w:rsid w:val="00BB61CF"/>
    <w:rsid w:val="00BB68CD"/>
    <w:rsid w:val="00BB7397"/>
    <w:rsid w:val="00BB788F"/>
    <w:rsid w:val="00BC0D89"/>
    <w:rsid w:val="00BC3F5B"/>
    <w:rsid w:val="00BC4231"/>
    <w:rsid w:val="00BC528F"/>
    <w:rsid w:val="00BC5649"/>
    <w:rsid w:val="00BC7204"/>
    <w:rsid w:val="00BE05D8"/>
    <w:rsid w:val="00BE09F3"/>
    <w:rsid w:val="00BE0C68"/>
    <w:rsid w:val="00BE320E"/>
    <w:rsid w:val="00BE3636"/>
    <w:rsid w:val="00BE44FA"/>
    <w:rsid w:val="00BE4BE4"/>
    <w:rsid w:val="00BF1C44"/>
    <w:rsid w:val="00BF309E"/>
    <w:rsid w:val="00BF3978"/>
    <w:rsid w:val="00BF3BC6"/>
    <w:rsid w:val="00BF41FA"/>
    <w:rsid w:val="00BF5CC3"/>
    <w:rsid w:val="00BF6E7B"/>
    <w:rsid w:val="00BF74B8"/>
    <w:rsid w:val="00C01058"/>
    <w:rsid w:val="00C01D30"/>
    <w:rsid w:val="00C02558"/>
    <w:rsid w:val="00C04C2C"/>
    <w:rsid w:val="00C06827"/>
    <w:rsid w:val="00C1604E"/>
    <w:rsid w:val="00C17B13"/>
    <w:rsid w:val="00C17C5A"/>
    <w:rsid w:val="00C21D87"/>
    <w:rsid w:val="00C220B4"/>
    <w:rsid w:val="00C23677"/>
    <w:rsid w:val="00C24972"/>
    <w:rsid w:val="00C24B96"/>
    <w:rsid w:val="00C26649"/>
    <w:rsid w:val="00C267DD"/>
    <w:rsid w:val="00C3055C"/>
    <w:rsid w:val="00C3125C"/>
    <w:rsid w:val="00C31A86"/>
    <w:rsid w:val="00C3226E"/>
    <w:rsid w:val="00C33018"/>
    <w:rsid w:val="00C3434D"/>
    <w:rsid w:val="00C359F7"/>
    <w:rsid w:val="00C36450"/>
    <w:rsid w:val="00C37452"/>
    <w:rsid w:val="00C37760"/>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3A40"/>
    <w:rsid w:val="00C65542"/>
    <w:rsid w:val="00C6663F"/>
    <w:rsid w:val="00C67598"/>
    <w:rsid w:val="00C71E4B"/>
    <w:rsid w:val="00C722E4"/>
    <w:rsid w:val="00C74370"/>
    <w:rsid w:val="00C772C8"/>
    <w:rsid w:val="00C77E43"/>
    <w:rsid w:val="00C826AF"/>
    <w:rsid w:val="00C83002"/>
    <w:rsid w:val="00C85131"/>
    <w:rsid w:val="00C861C1"/>
    <w:rsid w:val="00C922F6"/>
    <w:rsid w:val="00C9282F"/>
    <w:rsid w:val="00C94C21"/>
    <w:rsid w:val="00C95269"/>
    <w:rsid w:val="00C97483"/>
    <w:rsid w:val="00CA0795"/>
    <w:rsid w:val="00CA088D"/>
    <w:rsid w:val="00CA110B"/>
    <w:rsid w:val="00CA13C3"/>
    <w:rsid w:val="00CA19D7"/>
    <w:rsid w:val="00CA2C99"/>
    <w:rsid w:val="00CA2CE9"/>
    <w:rsid w:val="00CA3654"/>
    <w:rsid w:val="00CA6069"/>
    <w:rsid w:val="00CB0270"/>
    <w:rsid w:val="00CB476D"/>
    <w:rsid w:val="00CB4A5A"/>
    <w:rsid w:val="00CB6196"/>
    <w:rsid w:val="00CB6BCB"/>
    <w:rsid w:val="00CB7251"/>
    <w:rsid w:val="00CC14E4"/>
    <w:rsid w:val="00CC353E"/>
    <w:rsid w:val="00CC3C46"/>
    <w:rsid w:val="00CC4507"/>
    <w:rsid w:val="00CC5E6F"/>
    <w:rsid w:val="00CC6303"/>
    <w:rsid w:val="00CC74E5"/>
    <w:rsid w:val="00CD1E1F"/>
    <w:rsid w:val="00CD31C3"/>
    <w:rsid w:val="00CD424F"/>
    <w:rsid w:val="00CD48F4"/>
    <w:rsid w:val="00CD7164"/>
    <w:rsid w:val="00CD740C"/>
    <w:rsid w:val="00CE00A3"/>
    <w:rsid w:val="00CE0325"/>
    <w:rsid w:val="00CE0D9D"/>
    <w:rsid w:val="00CE14D4"/>
    <w:rsid w:val="00CE2B42"/>
    <w:rsid w:val="00CE3CF6"/>
    <w:rsid w:val="00CE7987"/>
    <w:rsid w:val="00CF40A7"/>
    <w:rsid w:val="00CF47F3"/>
    <w:rsid w:val="00CF7299"/>
    <w:rsid w:val="00CF7434"/>
    <w:rsid w:val="00D0037F"/>
    <w:rsid w:val="00D01272"/>
    <w:rsid w:val="00D0263B"/>
    <w:rsid w:val="00D0309B"/>
    <w:rsid w:val="00D0369B"/>
    <w:rsid w:val="00D041AD"/>
    <w:rsid w:val="00D042B6"/>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4255"/>
    <w:rsid w:val="00D2440C"/>
    <w:rsid w:val="00D2651F"/>
    <w:rsid w:val="00D27A64"/>
    <w:rsid w:val="00D306F3"/>
    <w:rsid w:val="00D32B01"/>
    <w:rsid w:val="00D33BEB"/>
    <w:rsid w:val="00D359FC"/>
    <w:rsid w:val="00D41AA3"/>
    <w:rsid w:val="00D4246D"/>
    <w:rsid w:val="00D4399A"/>
    <w:rsid w:val="00D473C0"/>
    <w:rsid w:val="00D50E4C"/>
    <w:rsid w:val="00D50E74"/>
    <w:rsid w:val="00D55B8D"/>
    <w:rsid w:val="00D606F0"/>
    <w:rsid w:val="00D60B19"/>
    <w:rsid w:val="00D63DC7"/>
    <w:rsid w:val="00D65492"/>
    <w:rsid w:val="00D66D6B"/>
    <w:rsid w:val="00D704F7"/>
    <w:rsid w:val="00D70E1B"/>
    <w:rsid w:val="00D75260"/>
    <w:rsid w:val="00D75358"/>
    <w:rsid w:val="00D75F98"/>
    <w:rsid w:val="00D75FE2"/>
    <w:rsid w:val="00D7651B"/>
    <w:rsid w:val="00D80C2E"/>
    <w:rsid w:val="00D8102D"/>
    <w:rsid w:val="00D81390"/>
    <w:rsid w:val="00D82E71"/>
    <w:rsid w:val="00D83E2F"/>
    <w:rsid w:val="00D85C49"/>
    <w:rsid w:val="00D86DE6"/>
    <w:rsid w:val="00D87BBB"/>
    <w:rsid w:val="00D912B1"/>
    <w:rsid w:val="00D96925"/>
    <w:rsid w:val="00D969F8"/>
    <w:rsid w:val="00DA0D9B"/>
    <w:rsid w:val="00DA2F3A"/>
    <w:rsid w:val="00DA5DF8"/>
    <w:rsid w:val="00DA607C"/>
    <w:rsid w:val="00DA62C6"/>
    <w:rsid w:val="00DB01CE"/>
    <w:rsid w:val="00DB0EDE"/>
    <w:rsid w:val="00DB1AAD"/>
    <w:rsid w:val="00DB2ABA"/>
    <w:rsid w:val="00DB44B0"/>
    <w:rsid w:val="00DB4848"/>
    <w:rsid w:val="00DB4E32"/>
    <w:rsid w:val="00DB574B"/>
    <w:rsid w:val="00DB63B9"/>
    <w:rsid w:val="00DB7BC2"/>
    <w:rsid w:val="00DC14D7"/>
    <w:rsid w:val="00DD2256"/>
    <w:rsid w:val="00DD2393"/>
    <w:rsid w:val="00DD4F27"/>
    <w:rsid w:val="00DD60E5"/>
    <w:rsid w:val="00DD7CDF"/>
    <w:rsid w:val="00DE3623"/>
    <w:rsid w:val="00DE42A2"/>
    <w:rsid w:val="00DE4791"/>
    <w:rsid w:val="00DE6093"/>
    <w:rsid w:val="00DF0395"/>
    <w:rsid w:val="00DF2479"/>
    <w:rsid w:val="00DF4002"/>
    <w:rsid w:val="00DF5418"/>
    <w:rsid w:val="00DF5B54"/>
    <w:rsid w:val="00DF6AD9"/>
    <w:rsid w:val="00DF6C15"/>
    <w:rsid w:val="00E04AF5"/>
    <w:rsid w:val="00E05863"/>
    <w:rsid w:val="00E060E5"/>
    <w:rsid w:val="00E0672A"/>
    <w:rsid w:val="00E1053D"/>
    <w:rsid w:val="00E10794"/>
    <w:rsid w:val="00E12271"/>
    <w:rsid w:val="00E129A6"/>
    <w:rsid w:val="00E13AE0"/>
    <w:rsid w:val="00E13BBE"/>
    <w:rsid w:val="00E14A69"/>
    <w:rsid w:val="00E14B5C"/>
    <w:rsid w:val="00E15B9B"/>
    <w:rsid w:val="00E165C9"/>
    <w:rsid w:val="00E177DE"/>
    <w:rsid w:val="00E207AF"/>
    <w:rsid w:val="00E24823"/>
    <w:rsid w:val="00E27A85"/>
    <w:rsid w:val="00E321A0"/>
    <w:rsid w:val="00E32DB2"/>
    <w:rsid w:val="00E3474A"/>
    <w:rsid w:val="00E464CB"/>
    <w:rsid w:val="00E46C46"/>
    <w:rsid w:val="00E472C5"/>
    <w:rsid w:val="00E5049F"/>
    <w:rsid w:val="00E507E3"/>
    <w:rsid w:val="00E532A2"/>
    <w:rsid w:val="00E535EE"/>
    <w:rsid w:val="00E553AD"/>
    <w:rsid w:val="00E564A1"/>
    <w:rsid w:val="00E57F0C"/>
    <w:rsid w:val="00E60C9D"/>
    <w:rsid w:val="00E60DB9"/>
    <w:rsid w:val="00E63CC0"/>
    <w:rsid w:val="00E66A0C"/>
    <w:rsid w:val="00E675BE"/>
    <w:rsid w:val="00E7042B"/>
    <w:rsid w:val="00E71719"/>
    <w:rsid w:val="00E722D0"/>
    <w:rsid w:val="00E72F02"/>
    <w:rsid w:val="00E737EB"/>
    <w:rsid w:val="00E738C0"/>
    <w:rsid w:val="00E76692"/>
    <w:rsid w:val="00E77306"/>
    <w:rsid w:val="00E80B62"/>
    <w:rsid w:val="00E80E9B"/>
    <w:rsid w:val="00E81442"/>
    <w:rsid w:val="00E838CE"/>
    <w:rsid w:val="00E84508"/>
    <w:rsid w:val="00E86CDC"/>
    <w:rsid w:val="00E87D80"/>
    <w:rsid w:val="00E931DC"/>
    <w:rsid w:val="00E976CA"/>
    <w:rsid w:val="00EA0248"/>
    <w:rsid w:val="00EA12B1"/>
    <w:rsid w:val="00EA2165"/>
    <w:rsid w:val="00EA4808"/>
    <w:rsid w:val="00EB1AC1"/>
    <w:rsid w:val="00EB1F0F"/>
    <w:rsid w:val="00EB4803"/>
    <w:rsid w:val="00EB5D54"/>
    <w:rsid w:val="00EC19AA"/>
    <w:rsid w:val="00EC21C0"/>
    <w:rsid w:val="00EC3C23"/>
    <w:rsid w:val="00EC3D25"/>
    <w:rsid w:val="00EC3F34"/>
    <w:rsid w:val="00EC466F"/>
    <w:rsid w:val="00EC5193"/>
    <w:rsid w:val="00EC6394"/>
    <w:rsid w:val="00EC6D23"/>
    <w:rsid w:val="00EC7219"/>
    <w:rsid w:val="00ED1F3B"/>
    <w:rsid w:val="00ED5237"/>
    <w:rsid w:val="00ED6914"/>
    <w:rsid w:val="00ED7219"/>
    <w:rsid w:val="00ED7879"/>
    <w:rsid w:val="00EE4281"/>
    <w:rsid w:val="00EE43E2"/>
    <w:rsid w:val="00EE4DD8"/>
    <w:rsid w:val="00EE5D44"/>
    <w:rsid w:val="00EE662E"/>
    <w:rsid w:val="00EE79CF"/>
    <w:rsid w:val="00EF2BB1"/>
    <w:rsid w:val="00EF3E07"/>
    <w:rsid w:val="00EF4962"/>
    <w:rsid w:val="00F000FB"/>
    <w:rsid w:val="00F05A22"/>
    <w:rsid w:val="00F05C68"/>
    <w:rsid w:val="00F0696F"/>
    <w:rsid w:val="00F06ECC"/>
    <w:rsid w:val="00F11797"/>
    <w:rsid w:val="00F120F0"/>
    <w:rsid w:val="00F12899"/>
    <w:rsid w:val="00F13E3B"/>
    <w:rsid w:val="00F16864"/>
    <w:rsid w:val="00F17C34"/>
    <w:rsid w:val="00F21799"/>
    <w:rsid w:val="00F21EB4"/>
    <w:rsid w:val="00F25F18"/>
    <w:rsid w:val="00F26FA6"/>
    <w:rsid w:val="00F31326"/>
    <w:rsid w:val="00F33D25"/>
    <w:rsid w:val="00F352EF"/>
    <w:rsid w:val="00F362C5"/>
    <w:rsid w:val="00F36C7D"/>
    <w:rsid w:val="00F40558"/>
    <w:rsid w:val="00F41A7B"/>
    <w:rsid w:val="00F459FA"/>
    <w:rsid w:val="00F46706"/>
    <w:rsid w:val="00F50B42"/>
    <w:rsid w:val="00F54D64"/>
    <w:rsid w:val="00F563E0"/>
    <w:rsid w:val="00F618D6"/>
    <w:rsid w:val="00F62B10"/>
    <w:rsid w:val="00F62D9F"/>
    <w:rsid w:val="00F6306B"/>
    <w:rsid w:val="00F639C8"/>
    <w:rsid w:val="00F63B14"/>
    <w:rsid w:val="00F64E38"/>
    <w:rsid w:val="00F65AD8"/>
    <w:rsid w:val="00F70B7F"/>
    <w:rsid w:val="00F72C4D"/>
    <w:rsid w:val="00F738E9"/>
    <w:rsid w:val="00F7428B"/>
    <w:rsid w:val="00F758FB"/>
    <w:rsid w:val="00F766CD"/>
    <w:rsid w:val="00F77604"/>
    <w:rsid w:val="00F82523"/>
    <w:rsid w:val="00F82EF7"/>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EF1"/>
    <w:rsid w:val="00FB0C41"/>
    <w:rsid w:val="00FB14D0"/>
    <w:rsid w:val="00FB2B23"/>
    <w:rsid w:val="00FB50EA"/>
    <w:rsid w:val="00FB5896"/>
    <w:rsid w:val="00FB61D2"/>
    <w:rsid w:val="00FB6BE5"/>
    <w:rsid w:val="00FC23EB"/>
    <w:rsid w:val="00FC430C"/>
    <w:rsid w:val="00FD036F"/>
    <w:rsid w:val="00FD056E"/>
    <w:rsid w:val="00FD080B"/>
    <w:rsid w:val="00FD208F"/>
    <w:rsid w:val="00FD243E"/>
    <w:rsid w:val="00FD3F9B"/>
    <w:rsid w:val="00FD40D7"/>
    <w:rsid w:val="00FD495A"/>
    <w:rsid w:val="00FD5F2B"/>
    <w:rsid w:val="00FE0FCD"/>
    <w:rsid w:val="00FE3954"/>
    <w:rsid w:val="00FF0742"/>
    <w:rsid w:val="00FF2050"/>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8324005">
      <w:bodyDiv w:val="1"/>
      <w:marLeft w:val="0"/>
      <w:marRight w:val="0"/>
      <w:marTop w:val="0"/>
      <w:marBottom w:val="0"/>
      <w:divBdr>
        <w:top w:val="none" w:sz="0" w:space="0" w:color="auto"/>
        <w:left w:val="none" w:sz="0" w:space="0" w:color="auto"/>
        <w:bottom w:val="none" w:sz="0" w:space="0" w:color="auto"/>
        <w:right w:val="none" w:sz="0" w:space="0" w:color="auto"/>
      </w:divBdr>
    </w:div>
    <w:div w:id="168720105">
      <w:bodyDiv w:val="1"/>
      <w:marLeft w:val="45"/>
      <w:marRight w:val="45"/>
      <w:marTop w:val="90"/>
      <w:marBottom w:val="90"/>
      <w:divBdr>
        <w:top w:val="none" w:sz="0" w:space="0" w:color="auto"/>
        <w:left w:val="none" w:sz="0" w:space="0" w:color="auto"/>
        <w:bottom w:val="none" w:sz="0" w:space="0" w:color="auto"/>
        <w:right w:val="none" w:sz="0" w:space="0" w:color="auto"/>
      </w:divBdr>
      <w:divsChild>
        <w:div w:id="1630627197">
          <w:marLeft w:val="0"/>
          <w:marRight w:val="0"/>
          <w:marTop w:val="0"/>
          <w:marBottom w:val="567"/>
          <w:divBdr>
            <w:top w:val="none" w:sz="0" w:space="0" w:color="auto"/>
            <w:left w:val="none" w:sz="0" w:space="0" w:color="auto"/>
            <w:bottom w:val="none" w:sz="0" w:space="0" w:color="auto"/>
            <w:right w:val="none" w:sz="0" w:space="0" w:color="auto"/>
          </w:divBdr>
        </w:div>
      </w:divsChild>
    </w:div>
    <w:div w:id="225729987">
      <w:bodyDiv w:val="1"/>
      <w:marLeft w:val="0"/>
      <w:marRight w:val="0"/>
      <w:marTop w:val="0"/>
      <w:marBottom w:val="0"/>
      <w:divBdr>
        <w:top w:val="none" w:sz="0" w:space="0" w:color="auto"/>
        <w:left w:val="none" w:sz="0" w:space="0" w:color="auto"/>
        <w:bottom w:val="none" w:sz="0" w:space="0" w:color="auto"/>
        <w:right w:val="none" w:sz="0" w:space="0" w:color="auto"/>
      </w:divBdr>
    </w:div>
    <w:div w:id="376199825">
      <w:bodyDiv w:val="1"/>
      <w:marLeft w:val="0"/>
      <w:marRight w:val="0"/>
      <w:marTop w:val="0"/>
      <w:marBottom w:val="0"/>
      <w:divBdr>
        <w:top w:val="none" w:sz="0" w:space="0" w:color="auto"/>
        <w:left w:val="none" w:sz="0" w:space="0" w:color="auto"/>
        <w:bottom w:val="none" w:sz="0" w:space="0" w:color="auto"/>
        <w:right w:val="none" w:sz="0" w:space="0" w:color="auto"/>
      </w:divBdr>
    </w:div>
    <w:div w:id="458183204">
      <w:bodyDiv w:val="1"/>
      <w:marLeft w:val="0"/>
      <w:marRight w:val="0"/>
      <w:marTop w:val="0"/>
      <w:marBottom w:val="0"/>
      <w:divBdr>
        <w:top w:val="none" w:sz="0" w:space="0" w:color="auto"/>
        <w:left w:val="none" w:sz="0" w:space="0" w:color="auto"/>
        <w:bottom w:val="none" w:sz="0" w:space="0" w:color="auto"/>
        <w:right w:val="none" w:sz="0" w:space="0" w:color="auto"/>
      </w:divBdr>
    </w:div>
    <w:div w:id="491024555">
      <w:bodyDiv w:val="1"/>
      <w:marLeft w:val="0"/>
      <w:marRight w:val="0"/>
      <w:marTop w:val="0"/>
      <w:marBottom w:val="0"/>
      <w:divBdr>
        <w:top w:val="none" w:sz="0" w:space="0" w:color="auto"/>
        <w:left w:val="none" w:sz="0" w:space="0" w:color="auto"/>
        <w:bottom w:val="none" w:sz="0" w:space="0" w:color="auto"/>
        <w:right w:val="none" w:sz="0" w:space="0" w:color="auto"/>
      </w:divBdr>
    </w:div>
    <w:div w:id="506796323">
      <w:bodyDiv w:val="1"/>
      <w:marLeft w:val="0"/>
      <w:marRight w:val="0"/>
      <w:marTop w:val="0"/>
      <w:marBottom w:val="0"/>
      <w:divBdr>
        <w:top w:val="none" w:sz="0" w:space="0" w:color="auto"/>
        <w:left w:val="none" w:sz="0" w:space="0" w:color="auto"/>
        <w:bottom w:val="none" w:sz="0" w:space="0" w:color="auto"/>
        <w:right w:val="none" w:sz="0" w:space="0" w:color="auto"/>
      </w:divBdr>
    </w:div>
    <w:div w:id="534080430">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4831147">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11538355">
      <w:bodyDiv w:val="1"/>
      <w:marLeft w:val="0"/>
      <w:marRight w:val="0"/>
      <w:marTop w:val="0"/>
      <w:marBottom w:val="0"/>
      <w:divBdr>
        <w:top w:val="none" w:sz="0" w:space="0" w:color="auto"/>
        <w:left w:val="none" w:sz="0" w:space="0" w:color="auto"/>
        <w:bottom w:val="none" w:sz="0" w:space="0" w:color="auto"/>
        <w:right w:val="none" w:sz="0" w:space="0" w:color="auto"/>
      </w:divBdr>
    </w:div>
    <w:div w:id="1770614178">
      <w:bodyDiv w:val="1"/>
      <w:marLeft w:val="0"/>
      <w:marRight w:val="0"/>
      <w:marTop w:val="0"/>
      <w:marBottom w:val="0"/>
      <w:divBdr>
        <w:top w:val="none" w:sz="0" w:space="0" w:color="auto"/>
        <w:left w:val="none" w:sz="0" w:space="0" w:color="auto"/>
        <w:bottom w:val="none" w:sz="0" w:space="0" w:color="auto"/>
        <w:right w:val="none" w:sz="0" w:space="0" w:color="auto"/>
      </w:divBdr>
    </w:div>
    <w:div w:id="1820921273">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4731747">
      <w:bodyDiv w:val="1"/>
      <w:marLeft w:val="0"/>
      <w:marRight w:val="0"/>
      <w:marTop w:val="0"/>
      <w:marBottom w:val="0"/>
      <w:divBdr>
        <w:top w:val="none" w:sz="0" w:space="0" w:color="auto"/>
        <w:left w:val="none" w:sz="0" w:space="0" w:color="auto"/>
        <w:bottom w:val="none" w:sz="0" w:space="0" w:color="auto"/>
        <w:right w:val="none" w:sz="0" w:space="0" w:color="auto"/>
      </w:divBdr>
    </w:div>
    <w:div w:id="20843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CD45-FF0D-4C67-8EBE-D253153F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9985</Characters>
  <Application>Microsoft Office Word</Application>
  <DocSecurity>0</DocSecurity>
  <Lines>1109</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projekta „Grozījumi darbības programmas „Infrastruktūra un pakalpojumi” papildinājumā” sākotnējās ietekmes novērtējuma ziņojums (anotācija)</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LR Veselības ministrija</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„Infrastruktūra un pakalpojumi” papildinājumā” sākotnējās ietekmes novērtējuma ziņojums (anotācija)</dc:title>
  <dc:subject>Anotācija</dc:subject>
  <dc:creator>Jevgenijs Blaževičs</dc:creator>
  <cp:keywords/>
  <dc:description>Tālr.67 876 046, fakss 67 876 031
Jevgenijs.Blazevics@vm.gov.lv</dc:description>
  <cp:lastModifiedBy>jblazevics</cp:lastModifiedBy>
  <cp:revision>4</cp:revision>
  <cp:lastPrinted>2011-05-16T11:40:00Z</cp:lastPrinted>
  <dcterms:created xsi:type="dcterms:W3CDTF">2011-10-03T15:02:00Z</dcterms:created>
  <dcterms:modified xsi:type="dcterms:W3CDTF">2011-10-03T15:05:00Z</dcterms:modified>
</cp:coreProperties>
</file>