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9F" w:rsidRDefault="00BE09F3" w:rsidP="00A5439E">
      <w:pPr>
        <w:spacing w:before="120" w:after="120"/>
        <w:jc w:val="center"/>
        <w:rPr>
          <w:b/>
          <w:bCs/>
          <w:sz w:val="28"/>
          <w:szCs w:val="28"/>
        </w:rPr>
      </w:pPr>
      <w:bookmarkStart w:id="0" w:name="OLE_LINK1"/>
      <w:bookmarkStart w:id="1" w:name="OLE_LINK2"/>
      <w:bookmarkStart w:id="2" w:name="OLE_LINK5"/>
      <w:bookmarkStart w:id="3" w:name="OLE_LINK6"/>
      <w:bookmarkStart w:id="4" w:name="OLE_LINK3"/>
      <w:bookmarkStart w:id="5" w:name="OLE_LINK4"/>
      <w:r w:rsidRPr="000F0B0D">
        <w:rPr>
          <w:b/>
          <w:bCs/>
          <w:sz w:val="28"/>
          <w:szCs w:val="28"/>
        </w:rPr>
        <w:t xml:space="preserve">Ministru kabineta </w:t>
      </w:r>
      <w:r w:rsidR="00721A69">
        <w:rPr>
          <w:b/>
          <w:bCs/>
          <w:sz w:val="28"/>
          <w:szCs w:val="28"/>
        </w:rPr>
        <w:t>rīkojuma</w:t>
      </w:r>
      <w:r w:rsidRPr="000F0B0D">
        <w:rPr>
          <w:b/>
          <w:bCs/>
          <w:sz w:val="28"/>
          <w:szCs w:val="28"/>
        </w:rPr>
        <w:t xml:space="preserve"> projekta „</w:t>
      </w:r>
      <w:r w:rsidR="00EB3A88">
        <w:rPr>
          <w:b/>
          <w:sz w:val="29"/>
          <w:szCs w:val="29"/>
        </w:rPr>
        <w:t>Grozījums</w:t>
      </w:r>
      <w:r w:rsidR="00721A69" w:rsidRPr="00A6136A">
        <w:rPr>
          <w:b/>
          <w:sz w:val="29"/>
          <w:szCs w:val="29"/>
        </w:rPr>
        <w:t xml:space="preserve"> darbības programmas „</w:t>
      </w:r>
      <w:r w:rsidR="00721A69">
        <w:rPr>
          <w:b/>
          <w:sz w:val="29"/>
          <w:szCs w:val="29"/>
        </w:rPr>
        <w:t>Infrastruktūra un pakalpojumi</w:t>
      </w:r>
      <w:r w:rsidR="00721A69" w:rsidRPr="00A6136A">
        <w:rPr>
          <w:b/>
          <w:sz w:val="29"/>
          <w:szCs w:val="29"/>
        </w:rPr>
        <w:t>” papildinājumā</w:t>
      </w:r>
      <w:r w:rsidRPr="000F0B0D">
        <w:rPr>
          <w:b/>
          <w:bCs/>
          <w:sz w:val="28"/>
          <w:szCs w:val="28"/>
        </w:rPr>
        <w:t>”</w:t>
      </w:r>
      <w:r w:rsidRPr="000F0B0D">
        <w:rPr>
          <w:b/>
          <w:sz w:val="28"/>
          <w:szCs w:val="28"/>
        </w:rPr>
        <w:t xml:space="preserve"> </w:t>
      </w:r>
      <w:r w:rsidR="008B37F0">
        <w:rPr>
          <w:b/>
          <w:sz w:val="28"/>
          <w:szCs w:val="28"/>
        </w:rPr>
        <w:t>sākotnējās ietekmes novērtējuma ziņojums (</w:t>
      </w:r>
      <w:r w:rsidRPr="000F0B0D">
        <w:rPr>
          <w:b/>
          <w:bCs/>
          <w:sz w:val="28"/>
          <w:szCs w:val="28"/>
        </w:rPr>
        <w:t>anotācija</w:t>
      </w:r>
      <w:bookmarkEnd w:id="0"/>
      <w:bookmarkEnd w:id="1"/>
      <w:r w:rsidR="008B37F0">
        <w:rPr>
          <w:b/>
          <w:bCs/>
          <w:sz w:val="28"/>
          <w:szCs w:val="28"/>
        </w:rPr>
        <w:t>)</w:t>
      </w:r>
      <w:bookmarkEnd w:id="2"/>
      <w:bookmarkEnd w:id="3"/>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876"/>
        <w:gridCol w:w="5936"/>
      </w:tblGrid>
      <w:tr w:rsidR="00BE09F3" w:rsidRPr="001E3003" w:rsidTr="00706BF1">
        <w:trPr>
          <w:trHeight w:val="559"/>
        </w:trPr>
        <w:tc>
          <w:tcPr>
            <w:tcW w:w="9464" w:type="dxa"/>
            <w:gridSpan w:val="3"/>
            <w:vAlign w:val="center"/>
          </w:tcPr>
          <w:bookmarkEnd w:id="4"/>
          <w:bookmarkEnd w:id="5"/>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ED067D" w:rsidTr="00706BF1">
        <w:tc>
          <w:tcPr>
            <w:tcW w:w="652" w:type="dxa"/>
          </w:tcPr>
          <w:p w:rsidR="00BE09F3" w:rsidRPr="00ED067D" w:rsidRDefault="00BE09F3" w:rsidP="001E3003">
            <w:pPr>
              <w:spacing w:before="100" w:beforeAutospacing="1" w:after="100" w:afterAutospacing="1"/>
              <w:rPr>
                <w:lang w:eastAsia="lv-LV" w:bidi="lo-LA"/>
              </w:rPr>
            </w:pPr>
            <w:r w:rsidRPr="000F0B0D">
              <w:rPr>
                <w:lang w:eastAsia="lv-LV" w:bidi="lo-LA"/>
              </w:rPr>
              <w:t> </w:t>
            </w:r>
            <w:r w:rsidRPr="00ED067D">
              <w:rPr>
                <w:lang w:eastAsia="lv-LV" w:bidi="lo-LA"/>
              </w:rPr>
              <w:t>1.</w:t>
            </w:r>
          </w:p>
        </w:tc>
        <w:tc>
          <w:tcPr>
            <w:tcW w:w="2876" w:type="dxa"/>
          </w:tcPr>
          <w:p w:rsidR="00BE09F3" w:rsidRPr="00ED067D" w:rsidRDefault="00BE09F3" w:rsidP="001E3003">
            <w:pPr>
              <w:spacing w:before="100" w:beforeAutospacing="1" w:after="100" w:afterAutospacing="1"/>
              <w:rPr>
                <w:lang w:eastAsia="lv-LV" w:bidi="lo-LA"/>
              </w:rPr>
            </w:pPr>
            <w:r w:rsidRPr="00ED067D">
              <w:rPr>
                <w:lang w:eastAsia="lv-LV" w:bidi="lo-LA"/>
              </w:rPr>
              <w:t>Pamatojums</w:t>
            </w:r>
          </w:p>
        </w:tc>
        <w:tc>
          <w:tcPr>
            <w:tcW w:w="5936" w:type="dxa"/>
            <w:vAlign w:val="center"/>
          </w:tcPr>
          <w:p w:rsidR="00BE09F3" w:rsidRPr="00ED067D" w:rsidRDefault="00EB3A88" w:rsidP="004F3654">
            <w:pPr>
              <w:spacing w:before="120" w:after="120"/>
              <w:jc w:val="both"/>
            </w:pPr>
            <w:r w:rsidRPr="00ED067D">
              <w:rPr>
                <w:iCs/>
              </w:rPr>
              <w:t>Grozījums</w:t>
            </w:r>
            <w:r w:rsidR="00050B11" w:rsidRPr="00ED067D">
              <w:rPr>
                <w:iCs/>
              </w:rPr>
              <w:t xml:space="preserve"> darbības programmas „</w:t>
            </w:r>
            <w:r w:rsidR="00050B11" w:rsidRPr="00F3722B">
              <w:rPr>
                <w:i/>
                <w:iCs/>
              </w:rPr>
              <w:t>Infrastruktūra un pakalpojumi</w:t>
            </w:r>
            <w:r w:rsidR="00050B11" w:rsidRPr="00ED067D">
              <w:rPr>
                <w:iCs/>
              </w:rPr>
              <w:t>” papildinājumā</w:t>
            </w:r>
            <w:r w:rsidR="00050B11" w:rsidRPr="00ED067D">
              <w:t xml:space="preserve"> </w:t>
            </w:r>
            <w:r w:rsidR="00761320" w:rsidRPr="00ED067D">
              <w:t xml:space="preserve">(turpmāk – DPP) </w:t>
            </w:r>
            <w:r w:rsidRPr="00ED067D">
              <w:t>sagatavots</w:t>
            </w:r>
            <w:r w:rsidR="00050B11" w:rsidRPr="00ED067D">
              <w:t xml:space="preserve"> saskaņā ar 2007.gada 26.jūnija Ministru kabineta noteikumu Nr.419 „</w:t>
            </w:r>
            <w:r w:rsidR="00050B11" w:rsidRPr="00F3722B">
              <w:rPr>
                <w:i/>
              </w:rPr>
              <w:t xml:space="preserve">Kārtība, kādā Eiropas Savienības struktūrfondu un Kohēzijas fonda vadībā iesaistītās institūcijas nodrošina plānošanas </w:t>
            </w:r>
            <w:r w:rsidR="00050B11" w:rsidRPr="00F3722B">
              <w:rPr>
                <w:i/>
                <w:iCs/>
              </w:rPr>
              <w:t>dokumentu sagatavošanu un šo fondu ieviešanu</w:t>
            </w:r>
            <w:r w:rsidR="00050B11" w:rsidRPr="00ED067D">
              <w:rPr>
                <w:iCs/>
              </w:rPr>
              <w:t>”</w:t>
            </w:r>
            <w:r w:rsidR="006E450C">
              <w:rPr>
                <w:iCs/>
              </w:rPr>
              <w:t xml:space="preserve"> (turpmāk –  MK 419)</w:t>
            </w:r>
            <w:r w:rsidR="00050B11" w:rsidRPr="00ED067D">
              <w:rPr>
                <w:iCs/>
              </w:rPr>
              <w:t xml:space="preserve"> 9.punktu</w:t>
            </w:r>
            <w:r w:rsidR="001F68AB" w:rsidRPr="00ED067D">
              <w:rPr>
                <w:iCs/>
              </w:rPr>
              <w:t>, kas paredz, ka vadošā iestāde sadarbībā ar Eiropas Savienības</w:t>
            </w:r>
            <w:r w:rsidRPr="00ED067D">
              <w:rPr>
                <w:iCs/>
              </w:rPr>
              <w:t xml:space="preserve"> (turpmāk – ES)</w:t>
            </w:r>
            <w:r w:rsidR="001F68AB" w:rsidRPr="00ED067D">
              <w:rPr>
                <w:iCs/>
              </w:rPr>
              <w:t xml:space="preserve"> struktūrfondu vadībā iesaistītajām institūcijām izstrādā un iesniedz apstiprināšanai Ministru kabinetā darbības programmas papildinājumu, bet attiecīgā atbildīgā iestāde darbības programmas papildinājuma grozījumus</w:t>
            </w:r>
          </w:p>
        </w:tc>
      </w:tr>
      <w:tr w:rsidR="00BE09F3" w:rsidRPr="00ED067D" w:rsidTr="00706BF1">
        <w:tc>
          <w:tcPr>
            <w:tcW w:w="652" w:type="dxa"/>
          </w:tcPr>
          <w:p w:rsidR="00BE09F3" w:rsidRPr="00ED067D" w:rsidRDefault="00BE09F3" w:rsidP="001E3003">
            <w:pPr>
              <w:spacing w:before="100" w:beforeAutospacing="1" w:after="100" w:afterAutospacing="1"/>
              <w:rPr>
                <w:lang w:eastAsia="lv-LV" w:bidi="lo-LA"/>
              </w:rPr>
            </w:pPr>
            <w:r w:rsidRPr="00ED067D">
              <w:rPr>
                <w:lang w:eastAsia="lv-LV" w:bidi="lo-LA"/>
              </w:rPr>
              <w:t> 2.</w:t>
            </w:r>
          </w:p>
        </w:tc>
        <w:tc>
          <w:tcPr>
            <w:tcW w:w="2876" w:type="dxa"/>
          </w:tcPr>
          <w:p w:rsidR="00B1247A" w:rsidRDefault="00BE09F3" w:rsidP="001E3003">
            <w:pPr>
              <w:spacing w:before="100" w:beforeAutospacing="1" w:after="100" w:afterAutospacing="1"/>
              <w:rPr>
                <w:lang w:eastAsia="lv-LV" w:bidi="lo-LA"/>
              </w:rPr>
            </w:pPr>
            <w:r w:rsidRPr="00ED067D">
              <w:rPr>
                <w:lang w:eastAsia="lv-LV" w:bidi="lo-LA"/>
              </w:rPr>
              <w:t>Pašreizējā situācija un problēmas</w:t>
            </w: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rPr>
                <w:lang w:eastAsia="lv-LV" w:bidi="lo-LA"/>
              </w:rPr>
            </w:pPr>
          </w:p>
          <w:p w:rsidR="00B1247A" w:rsidRPr="00B1247A" w:rsidRDefault="00B1247A" w:rsidP="00B1247A">
            <w:pPr>
              <w:jc w:val="center"/>
              <w:rPr>
                <w:lang w:eastAsia="lv-LV" w:bidi="lo-LA"/>
              </w:rPr>
            </w:pPr>
          </w:p>
          <w:p w:rsidR="00BE09F3" w:rsidRPr="00B1247A" w:rsidRDefault="00BE09F3" w:rsidP="00B1247A">
            <w:pPr>
              <w:rPr>
                <w:lang w:eastAsia="lv-LV" w:bidi="lo-LA"/>
              </w:rPr>
            </w:pPr>
          </w:p>
        </w:tc>
        <w:tc>
          <w:tcPr>
            <w:tcW w:w="5936" w:type="dxa"/>
            <w:vAlign w:val="center"/>
          </w:tcPr>
          <w:p w:rsidR="008E3720" w:rsidRPr="004F29E0" w:rsidRDefault="008E3720" w:rsidP="008E3720">
            <w:pPr>
              <w:spacing w:before="120" w:after="120"/>
              <w:ind w:left="33"/>
              <w:jc w:val="both"/>
              <w:rPr>
                <w:rFonts w:eastAsia="Calibri"/>
              </w:rPr>
            </w:pPr>
            <w:r w:rsidRPr="004F29E0">
              <w:rPr>
                <w:rFonts w:eastAsia="Calibri"/>
              </w:rPr>
              <w:lastRenderedPageBreak/>
              <w:t>VSIA „Paula Stradiņa klīniskā universitātes slimnīca” (turpmāk – PSKUS) realizē šādus projektus:</w:t>
            </w:r>
          </w:p>
          <w:p w:rsidR="008E3720" w:rsidRPr="004F29E0" w:rsidRDefault="008E3720" w:rsidP="008E3720">
            <w:pPr>
              <w:pStyle w:val="ListParagraph"/>
              <w:numPr>
                <w:ilvl w:val="0"/>
                <w:numId w:val="28"/>
              </w:numPr>
              <w:tabs>
                <w:tab w:val="left" w:pos="601"/>
              </w:tabs>
              <w:spacing w:before="120" w:after="120"/>
              <w:ind w:left="318" w:firstLine="0"/>
              <w:jc w:val="both"/>
              <w:rPr>
                <w:rFonts w:eastAsia="Calibri"/>
              </w:rPr>
            </w:pPr>
            <w:r w:rsidRPr="004F29E0">
              <w:rPr>
                <w:rFonts w:eastAsia="Calibri"/>
              </w:rPr>
              <w:t>projektu Nr.3DP/3.1.5.3.1/IPIA/VSMTVA/013 „Paula Stradiņa klīniskās universitātes slimnīcas infrastruktūras attīstība, uzlabojot veselības aprūpes pakalpojumu kvalitāti un izmaksu efektivitāti” ar kopējām izmaksām 14 020 300,00 LVL, t.sk. ERAF līdzfinansējums 8 500 000,00 LVL, valsts budžeta līdzfinansējums 1 321 000,00 LVL un privātais līdzfinansējums 4 199 300 LVL;</w:t>
            </w:r>
          </w:p>
          <w:p w:rsidR="008E3720" w:rsidRPr="004F29E0" w:rsidRDefault="008E3720" w:rsidP="008E3720">
            <w:pPr>
              <w:pStyle w:val="ListParagraph"/>
              <w:numPr>
                <w:ilvl w:val="0"/>
                <w:numId w:val="28"/>
              </w:numPr>
              <w:tabs>
                <w:tab w:val="left" w:pos="601"/>
              </w:tabs>
              <w:spacing w:before="120" w:after="120"/>
              <w:ind w:left="318" w:firstLine="0"/>
              <w:jc w:val="both"/>
              <w:rPr>
                <w:rFonts w:eastAsia="Calibri"/>
              </w:rPr>
            </w:pPr>
            <w:r w:rsidRPr="004F29E0">
              <w:rPr>
                <w:rFonts w:eastAsia="Calibri"/>
              </w:rPr>
              <w:t>projektu Nr.3DP/3.1.5.3.1/11/IPIA/VEC/012 „Paula Stradiņa klīniskās universitātes slimnīcas infrastruktūras attīstība, uzlabojot veselības aprūpes pakalpojumu kvalitāti un izmaksu efektivitāti, 2.kārta” ar kopējam izmaksām 10 000 494,25 LVL, t.sk. ERAF līdzfinansējums 8 421 416,19 LVL un privātais līdzfinansējums 1 579 078,06 LVL;</w:t>
            </w:r>
          </w:p>
          <w:p w:rsidR="008E3720" w:rsidRPr="004F29E0" w:rsidRDefault="008E3720" w:rsidP="008E3720">
            <w:pPr>
              <w:pStyle w:val="ListParagraph"/>
              <w:numPr>
                <w:ilvl w:val="0"/>
                <w:numId w:val="28"/>
              </w:numPr>
              <w:tabs>
                <w:tab w:val="left" w:pos="601"/>
              </w:tabs>
              <w:spacing w:before="100" w:after="120"/>
              <w:ind w:left="318" w:firstLine="0"/>
              <w:contextualSpacing w:val="0"/>
              <w:jc w:val="both"/>
              <w:rPr>
                <w:rFonts w:eastAsia="Calibri"/>
              </w:rPr>
            </w:pPr>
            <w:r w:rsidRPr="004F29E0">
              <w:rPr>
                <w:rFonts w:eastAsia="Calibri"/>
              </w:rPr>
              <w:t>valsts galvotā aizdevuma projektu „Jaunā korpusa 1.kārtas būvniecība” ar kopējām izmaksām 46 400</w:t>
            </w:r>
            <w:r>
              <w:rPr>
                <w:rFonts w:eastAsia="Calibri"/>
              </w:rPr>
              <w:t> </w:t>
            </w:r>
            <w:r w:rsidRPr="004F29E0">
              <w:rPr>
                <w:rFonts w:eastAsia="Calibri"/>
              </w:rPr>
              <w:t>000</w:t>
            </w:r>
            <w:r>
              <w:rPr>
                <w:rFonts w:eastAsia="Calibri"/>
              </w:rPr>
              <w:t xml:space="preserve"> </w:t>
            </w:r>
            <w:r w:rsidRPr="004F29E0">
              <w:rPr>
                <w:rFonts w:eastAsia="Calibri"/>
              </w:rPr>
              <w:t>LVL.</w:t>
            </w:r>
          </w:p>
          <w:p w:rsidR="008E3720" w:rsidRDefault="008E3720" w:rsidP="008E3720">
            <w:pPr>
              <w:spacing w:after="120"/>
              <w:jc w:val="both"/>
              <w:rPr>
                <w:rFonts w:eastAsia="Calibri"/>
              </w:rPr>
            </w:pPr>
            <w:r>
              <w:rPr>
                <w:rFonts w:eastAsia="Calibri"/>
              </w:rPr>
              <w:t>V</w:t>
            </w:r>
            <w:r w:rsidRPr="00723F09">
              <w:rPr>
                <w:rFonts w:eastAsia="Calibri"/>
              </w:rPr>
              <w:t xml:space="preserve">isiem iepriekšminētajiem projektiem faktiski ir vienots mērķis – slimnīcas jaunā korpusa A daļas būvniecība, kā arī mērķa sasniegšanai tiek rīkots viens iepirkums, kura kopējās izmaksas pārsniedz 50 000 </w:t>
            </w:r>
            <w:proofErr w:type="spellStart"/>
            <w:r w:rsidRPr="00723F09">
              <w:rPr>
                <w:rFonts w:eastAsia="Calibri"/>
              </w:rPr>
              <w:t>000</w:t>
            </w:r>
            <w:proofErr w:type="spellEnd"/>
            <w:r w:rsidRPr="00723F09">
              <w:rPr>
                <w:rFonts w:eastAsia="Calibri"/>
              </w:rPr>
              <w:t xml:space="preserve"> EUR. Attiecīgi, ņemot vērā lielā projekta definīciju un skatot projektus kopā, tie atbilst lielā projekta pazīmēm un attiecīgi skaņojami ar Eiropas Komisiju (turpmāk – EK) atbilstoši </w:t>
            </w:r>
            <w:r w:rsidRPr="004F29E0">
              <w:rPr>
                <w:rFonts w:eastAsia="Calibri"/>
              </w:rPr>
              <w:t xml:space="preserve">Eiropas Savienības Padomes Regulas (EK) Nr.1083/2006, ar ko paredz vispārīgus noteikumus par ERAF, Eiropas </w:t>
            </w:r>
            <w:r w:rsidRPr="004F29E0">
              <w:rPr>
                <w:rFonts w:eastAsia="Calibri"/>
              </w:rPr>
              <w:lastRenderedPageBreak/>
              <w:t>Sociālo fondu un Kohēzijas fondu un atceļ Regulu (EK) Nr.1260/1999 (turpmāk – Komisijas Regula Nr.1083/2006) 39.-41.pantam.</w:t>
            </w:r>
            <w:r>
              <w:rPr>
                <w:rFonts w:eastAsia="Calibri"/>
              </w:rPr>
              <w:t xml:space="preserve"> </w:t>
            </w:r>
          </w:p>
          <w:p w:rsidR="008E3720" w:rsidRDefault="008E3720" w:rsidP="008E3720">
            <w:pPr>
              <w:pStyle w:val="ListParagraph"/>
              <w:spacing w:after="120"/>
              <w:ind w:left="0"/>
              <w:contextualSpacing w:val="0"/>
              <w:jc w:val="both"/>
              <w:rPr>
                <w:rFonts w:eastAsia="Calibri"/>
              </w:rPr>
            </w:pPr>
            <w:r>
              <w:rPr>
                <w:rFonts w:eastAsia="Calibri"/>
              </w:rPr>
              <w:t xml:space="preserve">2013.gada 5.septembrī ir notikusi sanāksme starp Veselības ministriju, Centrālo finanšu un līgumu aģentūru un Finanšu ministriju par iepriekšminēto jautājumu. </w:t>
            </w:r>
            <w:r w:rsidRPr="00EC7FC2">
              <w:rPr>
                <w:rFonts w:eastAsia="Calibri"/>
              </w:rPr>
              <w:t xml:space="preserve">Nodrošinot </w:t>
            </w:r>
            <w:r>
              <w:rPr>
                <w:rFonts w:eastAsia="Calibri"/>
              </w:rPr>
              <w:t xml:space="preserve">visu iepriekš minēto </w:t>
            </w:r>
            <w:r w:rsidRPr="00EC7FC2">
              <w:rPr>
                <w:rFonts w:eastAsia="Calibri"/>
              </w:rPr>
              <w:t>projekt</w:t>
            </w:r>
            <w:r>
              <w:rPr>
                <w:rFonts w:eastAsia="Calibri"/>
              </w:rPr>
              <w:t>u</w:t>
            </w:r>
            <w:r w:rsidRPr="00EC7FC2">
              <w:rPr>
                <w:rFonts w:eastAsia="Calibri"/>
              </w:rPr>
              <w:t xml:space="preserve"> īstenošanas nepārtrauktību, </w:t>
            </w:r>
            <w:r>
              <w:rPr>
                <w:rFonts w:eastAsia="Calibri"/>
              </w:rPr>
              <w:t xml:space="preserve">sanāksmē tika </w:t>
            </w:r>
            <w:r w:rsidRPr="00EC7FC2">
              <w:rPr>
                <w:rFonts w:eastAsia="Calibri"/>
              </w:rPr>
              <w:t xml:space="preserve">nolemts sagatavot lielā projekta iesnieguma veidlapu iesniegšanai EK, atbilstoši </w:t>
            </w:r>
            <w:r>
              <w:rPr>
                <w:rFonts w:eastAsia="Calibri"/>
              </w:rPr>
              <w:t xml:space="preserve">MK </w:t>
            </w:r>
            <w:r w:rsidRPr="00EC7FC2">
              <w:rPr>
                <w:rFonts w:eastAsia="Calibri"/>
              </w:rPr>
              <w:t xml:space="preserve">419  ietvertajiem nosacījumiem, neveicot izmaiņas projektos (tie joprojām tiek īstenoti atbilstoši nosacījumiem, ar kuriem tika apstiprināti), vienlaicīgi veicot grozījumus </w:t>
            </w:r>
            <w:r w:rsidR="0081630E">
              <w:rPr>
                <w:rFonts w:eastAsia="Calibri"/>
              </w:rPr>
              <w:t xml:space="preserve"> DPP</w:t>
            </w:r>
            <w:r w:rsidRPr="009144C0">
              <w:rPr>
                <w:rFonts w:eastAsia="Calibri"/>
              </w:rPr>
              <w:t xml:space="preserve"> </w:t>
            </w:r>
            <w:r w:rsidRPr="00EC7FC2">
              <w:rPr>
                <w:rFonts w:eastAsia="Calibri"/>
              </w:rPr>
              <w:t xml:space="preserve">paredzot lielā projekta īstenošanu </w:t>
            </w:r>
            <w:r w:rsidR="0081630E">
              <w:rPr>
                <w:rFonts w:eastAsia="Calibri"/>
              </w:rPr>
              <w:t>DPP 3.1.5.3.1.apakšaktivitātes</w:t>
            </w:r>
            <w:r w:rsidR="0081630E" w:rsidRPr="00C93890">
              <w:rPr>
                <w:rFonts w:eastAsia="Calibri"/>
              </w:rPr>
              <w:t xml:space="preserve"> „Stacionārās veselības aprūpes </w:t>
            </w:r>
            <w:r w:rsidR="0081630E">
              <w:rPr>
                <w:rFonts w:eastAsia="Calibri"/>
              </w:rPr>
              <w:t>attīstība”</w:t>
            </w:r>
            <w:r w:rsidR="00B1247A">
              <w:rPr>
                <w:rFonts w:eastAsia="Calibri"/>
              </w:rPr>
              <w:t xml:space="preserve"> </w:t>
            </w:r>
            <w:r w:rsidRPr="00EC7FC2">
              <w:rPr>
                <w:rFonts w:eastAsia="Calibri"/>
              </w:rPr>
              <w:t>ietvaros.</w:t>
            </w:r>
          </w:p>
          <w:p w:rsidR="008E3720" w:rsidRPr="0095736D" w:rsidRDefault="008E3720" w:rsidP="008E3720">
            <w:pPr>
              <w:spacing w:after="120"/>
              <w:jc w:val="both"/>
              <w:rPr>
                <w:lang w:eastAsia="lv-LV"/>
              </w:rPr>
            </w:pPr>
            <w:r>
              <w:rPr>
                <w:lang w:eastAsia="lv-LV"/>
              </w:rPr>
              <w:t xml:space="preserve">Papildus informējam, ka </w:t>
            </w:r>
            <w:r w:rsidRPr="00A10856">
              <w:rPr>
                <w:lang w:eastAsia="lv-LV"/>
              </w:rPr>
              <w:t>Finanšu mini</w:t>
            </w:r>
            <w:r>
              <w:rPr>
                <w:lang w:eastAsia="lv-LV"/>
              </w:rPr>
              <w:t>strija ar 2013.gada 10.oktobra vēstuli</w:t>
            </w:r>
            <w:r w:rsidRPr="00A10856">
              <w:rPr>
                <w:lang w:eastAsia="lv-LV"/>
              </w:rPr>
              <w:t xml:space="preserve"> Nr.21-3-04/6380 “Par lielā projekta īstenošanu darbības programmas „Infrastruktūra un pakalpojumi” 3.1.5.3.1.apakšaktivitātes Stacionārās veselības aprūpes attīstība” ietvaros”</w:t>
            </w:r>
            <w:r>
              <w:rPr>
                <w:lang w:eastAsia="lv-LV"/>
              </w:rPr>
              <w:t xml:space="preserve"> sniedza papildus skaidrojumus attiecībā uz nepieciešamajām izmaiņām saistībā ar lielā projekta ieviešanu. </w:t>
            </w:r>
          </w:p>
          <w:p w:rsidR="00960F50" w:rsidRDefault="008E3720" w:rsidP="008E3720">
            <w:pPr>
              <w:spacing w:after="120"/>
              <w:jc w:val="both"/>
              <w:rPr>
                <w:highlight w:val="yellow"/>
                <w:lang w:eastAsia="lv-LV"/>
              </w:rPr>
            </w:pPr>
            <w:r>
              <w:rPr>
                <w:rFonts w:eastAsia="Calibri"/>
              </w:rPr>
              <w:t>A</w:t>
            </w:r>
            <w:r w:rsidRPr="00AA1B79">
              <w:rPr>
                <w:rFonts w:eastAsia="Calibri"/>
              </w:rPr>
              <w:t xml:space="preserve">ttiecībā par </w:t>
            </w:r>
            <w:r>
              <w:rPr>
                <w:rFonts w:eastAsia="Calibri"/>
              </w:rPr>
              <w:t xml:space="preserve">atbilstību MK </w:t>
            </w:r>
            <w:r w:rsidRPr="00670320">
              <w:rPr>
                <w:rFonts w:eastAsia="Calibri"/>
              </w:rPr>
              <w:t xml:space="preserve">419 </w:t>
            </w:r>
            <w:r w:rsidRPr="002A1DFF">
              <w:rPr>
                <w:rFonts w:eastAsia="Calibri"/>
              </w:rPr>
              <w:t xml:space="preserve"> </w:t>
            </w:r>
            <w:r w:rsidRPr="00AA1B79">
              <w:rPr>
                <w:rFonts w:eastAsia="Calibri"/>
              </w:rPr>
              <w:t xml:space="preserve">IV. </w:t>
            </w:r>
            <w:r>
              <w:rPr>
                <w:rFonts w:eastAsia="Calibri"/>
              </w:rPr>
              <w:t>n</w:t>
            </w:r>
            <w:r w:rsidRPr="00AA1B79">
              <w:rPr>
                <w:rFonts w:eastAsia="Calibri"/>
              </w:rPr>
              <w:t xml:space="preserve">odaļas noteikumiem skaidrojam, ka </w:t>
            </w:r>
            <w:r w:rsidRPr="002A1DFF">
              <w:rPr>
                <w:rFonts w:eastAsia="Calibri"/>
              </w:rPr>
              <w:t xml:space="preserve">MK 419 </w:t>
            </w:r>
            <w:r w:rsidRPr="00AA1B79">
              <w:rPr>
                <w:rFonts w:eastAsia="Calibri"/>
              </w:rPr>
              <w:t>IV. nodaļas</w:t>
            </w:r>
            <w:r w:rsidRPr="002A1DFF">
              <w:rPr>
                <w:rFonts w:eastAsia="Calibri"/>
              </w:rPr>
              <w:t xml:space="preserve"> 22. punkta mērķis ir noteikt rīcību gadījumā, kad </w:t>
            </w:r>
            <w:r w:rsidRPr="00A10856">
              <w:rPr>
                <w:rFonts w:eastAsia="Calibri"/>
                <w:u w:val="single"/>
              </w:rPr>
              <w:t>viena projekta</w:t>
            </w:r>
            <w:r w:rsidRPr="002A1DFF">
              <w:rPr>
                <w:rFonts w:eastAsia="Calibri"/>
              </w:rPr>
              <w:t xml:space="preserve"> ietvaros sākotnēji apstiprinātās</w:t>
            </w:r>
            <w:r w:rsidRPr="00AA1B79">
              <w:rPr>
                <w:lang w:eastAsia="lv-LV"/>
              </w:rPr>
              <w:t xml:space="preserve"> izmaksas pieaug virs lielā projekta minimālā finansiālā apjoma.</w:t>
            </w:r>
            <w:r w:rsidR="00273914">
              <w:rPr>
                <w:highlight w:val="yellow"/>
                <w:lang w:eastAsia="lv-LV"/>
              </w:rPr>
              <w:t xml:space="preserve"> </w:t>
            </w:r>
          </w:p>
          <w:p w:rsidR="008E3720" w:rsidRDefault="008E3720" w:rsidP="008E3720">
            <w:pPr>
              <w:spacing w:after="120"/>
              <w:jc w:val="both"/>
              <w:rPr>
                <w:lang w:eastAsia="lv-LV"/>
              </w:rPr>
            </w:pPr>
            <w:r>
              <w:rPr>
                <w:lang w:eastAsia="lv-LV"/>
              </w:rPr>
              <w:t>PSKUS</w:t>
            </w:r>
            <w:r w:rsidRPr="00AA1B79">
              <w:rPr>
                <w:lang w:eastAsia="lv-LV"/>
              </w:rPr>
              <w:t xml:space="preserve"> gadījumā tiek īstenoti </w:t>
            </w:r>
            <w:r w:rsidRPr="00A10856">
              <w:rPr>
                <w:u w:val="single"/>
                <w:lang w:eastAsia="lv-LV"/>
              </w:rPr>
              <w:t>trīs projekti</w:t>
            </w:r>
            <w:r w:rsidRPr="00AA1B79">
              <w:rPr>
                <w:lang w:eastAsia="lv-LV"/>
              </w:rPr>
              <w:t>, no kuru būtības izriet, ka tie kopā atbilst lielā projekta pazīmēm, proti, tiek veikta virkne darbību ar vien</w:t>
            </w:r>
            <w:r>
              <w:rPr>
                <w:lang w:eastAsia="lv-LV"/>
              </w:rPr>
              <w:t>otu</w:t>
            </w:r>
            <w:r w:rsidRPr="00AA1B79">
              <w:rPr>
                <w:lang w:eastAsia="lv-LV"/>
              </w:rPr>
              <w:t xml:space="preserve"> mērķi, kuru kopējās izmaksas pārsniedz </w:t>
            </w:r>
            <w:r w:rsidRPr="004F29E0">
              <w:rPr>
                <w:rFonts w:eastAsia="Calibri"/>
              </w:rPr>
              <w:t>Komisijas Regula Nr.1083/2006</w:t>
            </w:r>
            <w:r w:rsidRPr="00AA1B79">
              <w:rPr>
                <w:lang w:eastAsia="lv-LV"/>
              </w:rPr>
              <w:t xml:space="preserve"> noteikto finansiālo apmēru. Savukārt atsevišķi katrs ES fonda projekts joprojām nepārsniedz minēto finansiālo slieksni. Tādējādi, MK 419 </w:t>
            </w:r>
            <w:r w:rsidRPr="00AA1B79">
              <w:rPr>
                <w:rFonts w:eastAsia="Calibri"/>
              </w:rPr>
              <w:t>IV. nodaļas</w:t>
            </w:r>
            <w:r w:rsidRPr="00AA1B79">
              <w:rPr>
                <w:lang w:eastAsia="lv-LV"/>
              </w:rPr>
              <w:t xml:space="preserve"> 22.punktā noteiktais regulējums nav attiecināms uz </w:t>
            </w:r>
            <w:r>
              <w:rPr>
                <w:lang w:eastAsia="lv-LV"/>
              </w:rPr>
              <w:t>PSKUS</w:t>
            </w:r>
            <w:r w:rsidRPr="00AA1B79">
              <w:rPr>
                <w:lang w:eastAsia="lv-LV"/>
              </w:rPr>
              <w:t xml:space="preserve"> gadījumu, kur, apvienojot trīs projektus, to izmaksas faktiski sasniedz lielā projekta apmēru.</w:t>
            </w:r>
            <w:r>
              <w:rPr>
                <w:lang w:eastAsia="lv-LV"/>
              </w:rPr>
              <w:t xml:space="preserve"> </w:t>
            </w:r>
          </w:p>
          <w:p w:rsidR="008E3720" w:rsidRDefault="008E3720" w:rsidP="008E3720">
            <w:pPr>
              <w:spacing w:after="120"/>
              <w:jc w:val="both"/>
              <w:rPr>
                <w:lang w:eastAsia="lv-LV"/>
              </w:rPr>
            </w:pPr>
            <w:r w:rsidRPr="00074947">
              <w:rPr>
                <w:lang w:eastAsia="lv-LV"/>
              </w:rPr>
              <w:t>Attiecīgi konkrētajā situācijā var turpināt īstenot noslēgtos līgumus pēc spēkā esošajiem nosacījumiem, ciktāl nav nepieciešami grozījumi attiecībā uz uzraudzības jautājumiem, kas skar lielā projekta īstenošanu.</w:t>
            </w:r>
            <w:r>
              <w:rPr>
                <w:lang w:eastAsia="lv-LV"/>
              </w:rPr>
              <w:t xml:space="preserve"> Ņ</w:t>
            </w:r>
            <w:r w:rsidRPr="00074947">
              <w:rPr>
                <w:lang w:eastAsia="lv-LV"/>
              </w:rPr>
              <w:t xml:space="preserve">emot vērā iepriekš minēto </w:t>
            </w:r>
            <w:r w:rsidRPr="004F29E0">
              <w:rPr>
                <w:rFonts w:eastAsia="Calibri"/>
              </w:rPr>
              <w:t>Komisijas Regula Nr.1083/2006</w:t>
            </w:r>
            <w:r>
              <w:rPr>
                <w:lang w:eastAsia="lv-LV"/>
              </w:rPr>
              <w:t xml:space="preserve"> </w:t>
            </w:r>
            <w:r w:rsidRPr="00074947">
              <w:rPr>
                <w:lang w:eastAsia="lv-LV"/>
              </w:rPr>
              <w:t>pantus</w:t>
            </w:r>
            <w:r w:rsidRPr="00074947">
              <w:rPr>
                <w:rStyle w:val="FootnoteReference"/>
                <w:lang w:eastAsia="lv-LV"/>
              </w:rPr>
              <w:footnoteReference w:id="1"/>
            </w:r>
            <w:r w:rsidRPr="00074947">
              <w:rPr>
                <w:lang w:eastAsia="lv-LV"/>
              </w:rPr>
              <w:t xml:space="preserve">, </w:t>
            </w:r>
            <w:r w:rsidRPr="00B04E36">
              <w:rPr>
                <w:u w:val="single"/>
                <w:lang w:eastAsia="lv-LV"/>
              </w:rPr>
              <w:t xml:space="preserve">svarīgi ir lielo projektu (kas sastāv no pašreiz trīs atsevišķiem īstenošanā esošiem projektiem) saskaņot ar EK, nevis tehniski apvienot līgumus. </w:t>
            </w:r>
            <w:r w:rsidRPr="00CB5945">
              <w:rPr>
                <w:lang w:eastAsia="lv-LV"/>
              </w:rPr>
              <w:t xml:space="preserve">Vienlaikus, veicot </w:t>
            </w:r>
            <w:r w:rsidRPr="00CB5945">
              <w:rPr>
                <w:lang w:eastAsia="lv-LV"/>
              </w:rPr>
              <w:lastRenderedPageBreak/>
              <w:t xml:space="preserve">nepieciešamās darbības, lai skaidri atrunātu katra minētā individuālā projekta līguma saikni ar kopējo lielo projektu un noteiktu īpašu uzraudzības, atskaitīšanās kārtību, </w:t>
            </w:r>
            <w:r>
              <w:rPr>
                <w:lang w:eastAsia="lv-LV"/>
              </w:rPr>
              <w:t>paredzēts, ka</w:t>
            </w:r>
            <w:r w:rsidRPr="00CB5945">
              <w:rPr>
                <w:lang w:eastAsia="lv-LV"/>
              </w:rPr>
              <w:t xml:space="preserve"> </w:t>
            </w:r>
            <w:r>
              <w:rPr>
                <w:lang w:eastAsia="lv-LV"/>
              </w:rPr>
              <w:t xml:space="preserve">Sadarbības iestāde </w:t>
            </w:r>
            <w:r w:rsidRPr="00CB5945">
              <w:rPr>
                <w:lang w:eastAsia="lv-LV"/>
              </w:rPr>
              <w:t>līgumos par projektu īst</w:t>
            </w:r>
            <w:r>
              <w:rPr>
                <w:lang w:eastAsia="lv-LV"/>
              </w:rPr>
              <w:t>enošanu ietvers</w:t>
            </w:r>
            <w:r w:rsidRPr="00CB5945">
              <w:rPr>
                <w:lang w:eastAsia="lv-LV"/>
              </w:rPr>
              <w:t xml:space="preserve"> tādus nosacījumus, kas nosaka, ka attiecībā pret EK minētie projekti tiek skatīti visi kopā, paredzot atbilstošus nosacījumus lielā projekta pārbaudēm un uzraudzībai, vai arī noslēgt atsevišķu vienošanos, kurā būs paredzēti minētie nosacījumi. </w:t>
            </w:r>
          </w:p>
          <w:p w:rsidR="00C75AC7" w:rsidRPr="00452E68" w:rsidRDefault="00C75AC7" w:rsidP="00C75AC7">
            <w:pPr>
              <w:autoSpaceDE w:val="0"/>
              <w:autoSpaceDN w:val="0"/>
              <w:adjustRightInd w:val="0"/>
              <w:spacing w:after="120"/>
              <w:jc w:val="both"/>
              <w:rPr>
                <w:color w:val="000000"/>
              </w:rPr>
            </w:pPr>
            <w:r w:rsidRPr="00452E68">
              <w:rPr>
                <w:color w:val="000000"/>
              </w:rPr>
              <w:t>Minētā pieeja nav pretrunā ar Komisijas Regulas Nr.1083/2006 39.-40.pantu, kas paredz iespēju jau nacionālajā līmenī apstiprināto projektu iesniegt Eiropas Komisija</w:t>
            </w:r>
            <w:r w:rsidR="000075C5" w:rsidRPr="00452E68">
              <w:rPr>
                <w:color w:val="000000"/>
              </w:rPr>
              <w:t xml:space="preserve">i </w:t>
            </w:r>
            <w:r w:rsidRPr="00452E68">
              <w:rPr>
                <w:color w:val="000000"/>
              </w:rPr>
              <w:t>izskatīšanai kā lielo projektu, kas pamatojams ar:</w:t>
            </w:r>
          </w:p>
          <w:p w:rsidR="00C75AC7" w:rsidRPr="00452E68" w:rsidRDefault="00C75AC7" w:rsidP="00C75AC7">
            <w:pPr>
              <w:pStyle w:val="ListParagraph"/>
              <w:numPr>
                <w:ilvl w:val="0"/>
                <w:numId w:val="29"/>
              </w:numPr>
              <w:autoSpaceDE w:val="0"/>
              <w:autoSpaceDN w:val="0"/>
              <w:adjustRightInd w:val="0"/>
              <w:spacing w:after="120"/>
              <w:ind w:left="300" w:hanging="284"/>
              <w:jc w:val="both"/>
              <w:rPr>
                <w:color w:val="000000"/>
              </w:rPr>
            </w:pPr>
            <w:r w:rsidRPr="00452E68">
              <w:rPr>
                <w:color w:val="000000"/>
              </w:rPr>
              <w:t xml:space="preserve">precedentu, kad Vides aizsardzības un reģionālās attīstības ministrijas </w:t>
            </w:r>
            <w:proofErr w:type="spellStart"/>
            <w:r w:rsidRPr="00452E68">
              <w:rPr>
                <w:color w:val="000000"/>
              </w:rPr>
              <w:t>pārziņā</w:t>
            </w:r>
            <w:proofErr w:type="spellEnd"/>
            <w:r w:rsidRPr="00452E68">
              <w:rPr>
                <w:color w:val="000000"/>
              </w:rPr>
              <w:t xml:space="preserve"> esošās 3.5.1.1. aktivitātes „Ūdenssaimniecības infrastruktūras attīstība </w:t>
            </w:r>
            <w:proofErr w:type="spellStart"/>
            <w:r w:rsidRPr="00452E68">
              <w:rPr>
                <w:color w:val="000000"/>
              </w:rPr>
              <w:t>aglomerācijās</w:t>
            </w:r>
            <w:proofErr w:type="spellEnd"/>
            <w:r w:rsidRPr="00452E68">
              <w:rPr>
                <w:color w:val="000000"/>
              </w:rPr>
              <w:t xml:space="preserve"> ar cilvēku ekvivalentu lielāku par 2000” ietvaros arī ir ticis apstiprināts lielais projekts Nr. 3DP/3.5.1.1.0/10/IPIA/VIDM/027 „Ūdenssaimniecības attīstība Rīgā, 4.kārta”, kas sākotnēji nav ticis paredzēts kā lielais projekts, bet iepirkumu konkursu rezultātā tika secināts, ka piedāvātā iepirkumu cena pārsniedz plānoto, un tika paredzēts, ka, slēdzot visus iepirkumu līgumus, projekta kopējo izmaksu robeža pārsniegs 50 milj. EUR robežu, attiecīgi projekts ir uzskatāms par lielo projektu. Notika projekta Nr. 3DP/3.5.1.1.0/10/IPIA/VIDM/027 „Ūdenssaimniecības attīstība Rīgā, 4.kārta” pārvērtēšana un tika sagatavots un iesniegts Finanšu ministrijā un Eiropas Komisijā lielā projekta iesniegums, kurš 2012.gada 12.decembrī tika apstiprināts ar EK lēmumu Nr. C(2012) 9429</w:t>
            </w:r>
            <w:r w:rsidR="00536384" w:rsidRPr="00452E68">
              <w:rPr>
                <w:color w:val="000000"/>
              </w:rPr>
              <w:t>, kas cita</w:t>
            </w:r>
            <w:r w:rsidR="008E2EC0" w:rsidRPr="00452E68">
              <w:rPr>
                <w:color w:val="000000"/>
              </w:rPr>
              <w:t xml:space="preserve"> </w:t>
            </w:r>
            <w:r w:rsidR="00536384" w:rsidRPr="00452E68">
              <w:rPr>
                <w:color w:val="000000"/>
              </w:rPr>
              <w:t>starpā arī pauž EK pozitīvo nostāju un akceptu attiecībā uz šādiem precedentiem</w:t>
            </w:r>
            <w:r w:rsidRPr="00452E68">
              <w:rPr>
                <w:color w:val="000000"/>
              </w:rPr>
              <w:t>;</w:t>
            </w:r>
          </w:p>
          <w:p w:rsidR="00C75AC7" w:rsidRPr="00452E68" w:rsidRDefault="00C75AC7" w:rsidP="00C75AC7">
            <w:pPr>
              <w:pStyle w:val="ListParagraph"/>
              <w:numPr>
                <w:ilvl w:val="0"/>
                <w:numId w:val="29"/>
              </w:numPr>
              <w:autoSpaceDE w:val="0"/>
              <w:autoSpaceDN w:val="0"/>
              <w:adjustRightInd w:val="0"/>
              <w:spacing w:after="120"/>
              <w:ind w:left="301" w:hanging="284"/>
              <w:contextualSpacing w:val="0"/>
              <w:jc w:val="both"/>
              <w:rPr>
                <w:color w:val="000000"/>
              </w:rPr>
            </w:pPr>
            <w:r w:rsidRPr="00452E68">
              <w:rPr>
                <w:color w:val="000000"/>
              </w:rPr>
              <w:t xml:space="preserve">MK 419 IV. sadaļas „Lielā projekta apstiprināšana” 22.punktā jau paredzēta iespēja, ka saskaņošanai EK var būt iesniegti arī projekti, kam </w:t>
            </w:r>
            <w:r w:rsidR="00536384" w:rsidRPr="00452E68">
              <w:rPr>
                <w:color w:val="000000"/>
              </w:rPr>
              <w:t xml:space="preserve">iepriekš neplānoti </w:t>
            </w:r>
            <w:r w:rsidR="008E2EC0" w:rsidRPr="00452E68">
              <w:rPr>
                <w:color w:val="000000"/>
              </w:rPr>
              <w:t xml:space="preserve">pieaugušas </w:t>
            </w:r>
            <w:r w:rsidRPr="00452E68">
              <w:rPr>
                <w:color w:val="000000"/>
              </w:rPr>
              <w:t xml:space="preserve">izmaksas </w:t>
            </w:r>
            <w:r w:rsidR="00A12F27" w:rsidRPr="00452E68">
              <w:rPr>
                <w:color w:val="000000"/>
                <w:u w:val="single"/>
              </w:rPr>
              <w:t>projektu īstenošanas laikā</w:t>
            </w:r>
            <w:r w:rsidRPr="00452E68">
              <w:rPr>
                <w:color w:val="000000"/>
              </w:rPr>
              <w:t xml:space="preserve"> līdz lielā projekta izmaksām.</w:t>
            </w:r>
            <w:r w:rsidR="000075C5" w:rsidRPr="00452E68">
              <w:rPr>
                <w:color w:val="000000"/>
              </w:rPr>
              <w:t xml:space="preserve"> Tostarp nacionālais regulējums ir apstiprināts saskaņā ar Komisijas Regulas Nr.1083/2006 prasībām, paredzot minētās precedenta situācijas.</w:t>
            </w:r>
          </w:p>
          <w:p w:rsidR="008E3720" w:rsidRDefault="00273914" w:rsidP="00C75AC7">
            <w:pPr>
              <w:pStyle w:val="ListParagraph"/>
              <w:spacing w:after="120"/>
              <w:ind w:left="0"/>
              <w:contextualSpacing w:val="0"/>
              <w:jc w:val="both"/>
              <w:rPr>
                <w:rFonts w:eastAsia="Calibri"/>
              </w:rPr>
            </w:pPr>
            <w:r>
              <w:rPr>
                <w:rFonts w:eastAsia="Calibri"/>
              </w:rPr>
              <w:t>Paralēli</w:t>
            </w:r>
            <w:r w:rsidR="008E3720">
              <w:rPr>
                <w:rFonts w:eastAsia="Calibri"/>
              </w:rPr>
              <w:t xml:space="preserve"> paredzēts</w:t>
            </w:r>
            <w:r w:rsidR="008E3720" w:rsidRPr="00EC7FC2">
              <w:rPr>
                <w:rFonts w:eastAsia="Calibri"/>
              </w:rPr>
              <w:t xml:space="preserve"> </w:t>
            </w:r>
            <w:r w:rsidR="008E3720" w:rsidRPr="00C93890">
              <w:rPr>
                <w:rFonts w:eastAsia="Calibri"/>
              </w:rPr>
              <w:t xml:space="preserve">Ministru kabineta 2009.gada 13.janvāra noteikumos Nr.44 „Noteikumi par darbības programmas „Infrastruktūra un pakalpojumi” papildinājuma 3.1.5.3.1.apakšaktivitāti „Stacionārās veselības aprūpes </w:t>
            </w:r>
            <w:r w:rsidR="008E3720">
              <w:rPr>
                <w:rFonts w:eastAsia="Calibri"/>
              </w:rPr>
              <w:t>attīstība” (turpmāk – Ministru kabineta noteikumi</w:t>
            </w:r>
            <w:r w:rsidR="008E3720" w:rsidRPr="00EC7FC2">
              <w:rPr>
                <w:rFonts w:eastAsia="Calibri"/>
              </w:rPr>
              <w:t xml:space="preserve"> par 3.1.5.3.1.apakšaktivitāti</w:t>
            </w:r>
            <w:r w:rsidR="008E3720">
              <w:rPr>
                <w:rFonts w:eastAsia="Calibri"/>
              </w:rPr>
              <w:t>)</w:t>
            </w:r>
            <w:r w:rsidR="008E3720" w:rsidRPr="00EC7FC2">
              <w:rPr>
                <w:rFonts w:eastAsia="Calibri"/>
              </w:rPr>
              <w:t xml:space="preserve"> </w:t>
            </w:r>
            <w:r w:rsidR="008E3720">
              <w:rPr>
                <w:rFonts w:eastAsia="Calibri"/>
              </w:rPr>
              <w:t xml:space="preserve">iekļaut </w:t>
            </w:r>
            <w:r w:rsidR="008E3720" w:rsidRPr="00EC7FC2">
              <w:rPr>
                <w:rFonts w:eastAsia="Calibri"/>
              </w:rPr>
              <w:t xml:space="preserve">nosacījumu, ka gadījumos, kad aktivitātes ietvaros projektu, kuriem ir </w:t>
            </w:r>
            <w:r w:rsidR="008E3720" w:rsidRPr="00EC7FC2">
              <w:rPr>
                <w:rFonts w:eastAsia="Calibri"/>
              </w:rPr>
              <w:lastRenderedPageBreak/>
              <w:t xml:space="preserve">kopīgs mērķis, kopējā summa sasniedz </w:t>
            </w:r>
            <w:r w:rsidR="00597E52" w:rsidRPr="004F29E0">
              <w:rPr>
                <w:rFonts w:eastAsia="Calibri"/>
              </w:rPr>
              <w:t>Komisijas Regula Nr.1083/2006</w:t>
            </w:r>
            <w:r w:rsidR="008E3720" w:rsidRPr="00EC7FC2">
              <w:rPr>
                <w:rFonts w:eastAsia="Calibri"/>
              </w:rPr>
              <w:t>lielā projekta slieksni, tiek sagatavots iesniegums EK.</w:t>
            </w:r>
            <w:r w:rsidR="008E3720">
              <w:rPr>
                <w:rFonts w:eastAsia="Calibri"/>
              </w:rPr>
              <w:t xml:space="preserve"> Šobrīd šī norma ir iestrādāta </w:t>
            </w:r>
            <w:r w:rsidR="008E3720" w:rsidRPr="00EC7FC2">
              <w:rPr>
                <w:rFonts w:eastAsia="Calibri"/>
              </w:rPr>
              <w:t>Ministru kabineta noteikumos par</w:t>
            </w:r>
            <w:r w:rsidR="00B1247A">
              <w:rPr>
                <w:rFonts w:eastAsia="Calibri"/>
              </w:rPr>
              <w:t xml:space="preserve"> </w:t>
            </w:r>
            <w:r w:rsidR="008E3720" w:rsidRPr="00EC7FC2">
              <w:rPr>
                <w:rFonts w:eastAsia="Calibri"/>
              </w:rPr>
              <w:t>3.1.5.3.1.apakšaktivitāti</w:t>
            </w:r>
            <w:r w:rsidR="008E3720">
              <w:rPr>
                <w:rFonts w:eastAsia="Calibri"/>
              </w:rPr>
              <w:t xml:space="preserve"> un notiek šo noteikumu saskaņošanas process.</w:t>
            </w:r>
          </w:p>
          <w:p w:rsidR="00BF3EAA" w:rsidRPr="0093457D" w:rsidRDefault="008E3720" w:rsidP="00B1247A">
            <w:pPr>
              <w:spacing w:before="120" w:after="120"/>
              <w:ind w:left="16"/>
              <w:jc w:val="both"/>
              <w:rPr>
                <w:iCs/>
              </w:rPr>
            </w:pPr>
            <w:r>
              <w:t>Ņemot vērā minēto,</w:t>
            </w:r>
            <w:r w:rsidRPr="000E236A">
              <w:t xml:space="preserve"> nodrošinot izsekojamu lēmumu pieņemšanu un </w:t>
            </w:r>
            <w:r>
              <w:t>attiecīgo normatīvo aktu un līgumu grozījumu veikšanu</w:t>
            </w:r>
            <w:r w:rsidRPr="000E236A">
              <w:t xml:space="preserve">, uzskatot </w:t>
            </w:r>
            <w:r>
              <w:t>minētos projektus</w:t>
            </w:r>
            <w:r w:rsidRPr="000E236A">
              <w:t xml:space="preserve"> kopā kā lielo projektu, tiek nodrošināta atbilstība gan ES, gan nacionāla līmeņa normatīviem aktiem un drošas finanšu pārvaldības prasībām.</w:t>
            </w:r>
          </w:p>
        </w:tc>
      </w:tr>
      <w:tr w:rsidR="00BE09F3" w:rsidRPr="00ED067D" w:rsidTr="00706BF1">
        <w:trPr>
          <w:trHeight w:val="478"/>
        </w:trPr>
        <w:tc>
          <w:tcPr>
            <w:tcW w:w="652" w:type="dxa"/>
          </w:tcPr>
          <w:p w:rsidR="00BE09F3" w:rsidRPr="00ED067D" w:rsidRDefault="00BE09F3" w:rsidP="001E3003">
            <w:pPr>
              <w:spacing w:before="100" w:beforeAutospacing="1" w:after="100" w:afterAutospacing="1"/>
              <w:rPr>
                <w:lang w:eastAsia="lv-LV" w:bidi="lo-LA"/>
              </w:rPr>
            </w:pPr>
            <w:r w:rsidRPr="00ED067D">
              <w:rPr>
                <w:lang w:eastAsia="lv-LV" w:bidi="lo-LA"/>
              </w:rPr>
              <w:lastRenderedPageBreak/>
              <w:t> 3.</w:t>
            </w:r>
          </w:p>
        </w:tc>
        <w:tc>
          <w:tcPr>
            <w:tcW w:w="2876" w:type="dxa"/>
          </w:tcPr>
          <w:p w:rsidR="00BE09F3" w:rsidRPr="00ED067D" w:rsidRDefault="00BE09F3" w:rsidP="001E3003">
            <w:pPr>
              <w:spacing w:before="100" w:beforeAutospacing="1" w:after="100" w:afterAutospacing="1"/>
              <w:rPr>
                <w:lang w:eastAsia="lv-LV" w:bidi="lo-LA"/>
              </w:rPr>
            </w:pPr>
            <w:r w:rsidRPr="00ED067D">
              <w:rPr>
                <w:lang w:eastAsia="lv-LV" w:bidi="lo-LA"/>
              </w:rPr>
              <w:t>Saistītie politikas ietekmes novērtējumi un pētījumi</w:t>
            </w:r>
          </w:p>
        </w:tc>
        <w:tc>
          <w:tcPr>
            <w:tcW w:w="5936" w:type="dxa"/>
            <w:vAlign w:val="center"/>
          </w:tcPr>
          <w:p w:rsidR="00BE09F3" w:rsidRPr="00ED067D" w:rsidRDefault="00894A1B" w:rsidP="0044069F">
            <w:pPr>
              <w:jc w:val="both"/>
            </w:pPr>
            <w:r w:rsidRPr="00ED067D">
              <w:t xml:space="preserve">Projekts šo jomu </w:t>
            </w:r>
            <w:r w:rsidR="00771341" w:rsidRPr="00ED067D">
              <w:t>neskar</w:t>
            </w:r>
          </w:p>
        </w:tc>
      </w:tr>
      <w:tr w:rsidR="00BE09F3" w:rsidRPr="00ED067D" w:rsidTr="00706BF1">
        <w:tc>
          <w:tcPr>
            <w:tcW w:w="652" w:type="dxa"/>
          </w:tcPr>
          <w:p w:rsidR="00BE09F3" w:rsidRPr="00ED067D" w:rsidRDefault="00BE09F3" w:rsidP="001E3003">
            <w:pPr>
              <w:spacing w:before="100" w:beforeAutospacing="1" w:after="100" w:afterAutospacing="1"/>
              <w:rPr>
                <w:lang w:eastAsia="lv-LV" w:bidi="lo-LA"/>
              </w:rPr>
            </w:pPr>
            <w:r w:rsidRPr="00ED067D">
              <w:rPr>
                <w:lang w:eastAsia="lv-LV" w:bidi="lo-LA"/>
              </w:rPr>
              <w:t> 4.</w:t>
            </w:r>
          </w:p>
        </w:tc>
        <w:tc>
          <w:tcPr>
            <w:tcW w:w="2876" w:type="dxa"/>
          </w:tcPr>
          <w:p w:rsidR="00BE09F3" w:rsidRPr="00ED067D" w:rsidRDefault="00BE09F3" w:rsidP="001E3003">
            <w:pPr>
              <w:spacing w:before="100" w:beforeAutospacing="1" w:after="100" w:afterAutospacing="1"/>
              <w:rPr>
                <w:lang w:eastAsia="lv-LV" w:bidi="lo-LA"/>
              </w:rPr>
            </w:pPr>
            <w:r w:rsidRPr="00ED067D">
              <w:rPr>
                <w:lang w:eastAsia="lv-LV" w:bidi="lo-LA"/>
              </w:rPr>
              <w:t>Tiesiskā regulējuma mērķis un būtība</w:t>
            </w:r>
          </w:p>
        </w:tc>
        <w:tc>
          <w:tcPr>
            <w:tcW w:w="5936" w:type="dxa"/>
            <w:vAlign w:val="center"/>
          </w:tcPr>
          <w:p w:rsidR="000446C5" w:rsidRPr="00F3722B" w:rsidRDefault="000446C5" w:rsidP="00A231CC">
            <w:pPr>
              <w:pStyle w:val="naisc"/>
              <w:spacing w:before="120" w:beforeAutospacing="0" w:after="120" w:afterAutospacing="0"/>
              <w:jc w:val="both"/>
              <w:rPr>
                <w:iCs/>
                <w:lang w:val="lv-LV"/>
              </w:rPr>
            </w:pPr>
            <w:r>
              <w:rPr>
                <w:lang w:val="lv-LV"/>
              </w:rPr>
              <w:t>DPP</w:t>
            </w:r>
            <w:r w:rsidR="003C1482" w:rsidRPr="00ED067D">
              <w:rPr>
                <w:lang w:val="lv-LV"/>
              </w:rPr>
              <w:t xml:space="preserve"> grozījumu mērķis ir nodrošināt, lai </w:t>
            </w:r>
            <w:r>
              <w:rPr>
                <w:lang w:val="lv-LV"/>
              </w:rPr>
              <w:t xml:space="preserve">DPP </w:t>
            </w:r>
            <w:r w:rsidRPr="00F3722B">
              <w:rPr>
                <w:iCs/>
                <w:lang w:val="lv-LV"/>
              </w:rPr>
              <w:t xml:space="preserve">tiktu norādīts lielas projekts </w:t>
            </w:r>
            <w:r w:rsidR="00A231CC" w:rsidRPr="004F29E0">
              <w:rPr>
                <w:rFonts w:eastAsia="Calibri"/>
                <w:lang w:val="lv-LV"/>
              </w:rPr>
              <w:t>Komisijas Regula Nr.1083/2006</w:t>
            </w:r>
            <w:r w:rsidRPr="00F3722B">
              <w:rPr>
                <w:iCs/>
                <w:lang w:val="lv-LV"/>
              </w:rPr>
              <w:t xml:space="preserve"> izpratnē</w:t>
            </w:r>
            <w:r w:rsidR="00A231CC" w:rsidRPr="00F3722B">
              <w:rPr>
                <w:iCs/>
                <w:lang w:val="lv-LV"/>
              </w:rPr>
              <w:t xml:space="preserve">, kā arī palielināt </w:t>
            </w:r>
            <w:r w:rsidR="00A231CC" w:rsidRPr="000C5175">
              <w:rPr>
                <w:rFonts w:eastAsia="Calibri"/>
                <w:lang w:val="lv-LV"/>
              </w:rPr>
              <w:t>maksimāl</w:t>
            </w:r>
            <w:r w:rsidR="00A231CC">
              <w:rPr>
                <w:rFonts w:eastAsia="Calibri"/>
                <w:lang w:val="lv-LV"/>
              </w:rPr>
              <w:t xml:space="preserve">o projekta finansējuma apjomu atbilstoši </w:t>
            </w:r>
            <w:r w:rsidR="00A231CC" w:rsidRPr="004F29E0">
              <w:rPr>
                <w:rFonts w:eastAsia="Calibri"/>
                <w:lang w:val="lv-LV"/>
              </w:rPr>
              <w:t>Komisijas Regul</w:t>
            </w:r>
            <w:r w:rsidR="00A231CC">
              <w:rPr>
                <w:rFonts w:eastAsia="Calibri"/>
                <w:lang w:val="lv-LV"/>
              </w:rPr>
              <w:t>ā</w:t>
            </w:r>
            <w:r w:rsidR="00A231CC" w:rsidRPr="004F29E0">
              <w:rPr>
                <w:rFonts w:eastAsia="Calibri"/>
                <w:lang w:val="lv-LV"/>
              </w:rPr>
              <w:t xml:space="preserve"> Nr.1083/2006</w:t>
            </w:r>
            <w:r w:rsidR="00A231CC">
              <w:rPr>
                <w:rFonts w:eastAsia="Calibri"/>
                <w:lang w:val="lv-LV"/>
              </w:rPr>
              <w:t xml:space="preserve"> noteiktajam</w:t>
            </w:r>
          </w:p>
        </w:tc>
      </w:tr>
      <w:tr w:rsidR="009A7369" w:rsidRPr="00ED067D" w:rsidTr="00706BF1">
        <w:tc>
          <w:tcPr>
            <w:tcW w:w="652" w:type="dxa"/>
          </w:tcPr>
          <w:p w:rsidR="009A7369" w:rsidRPr="00ED067D" w:rsidRDefault="009A7369" w:rsidP="001E3003">
            <w:pPr>
              <w:spacing w:before="100" w:beforeAutospacing="1" w:after="100" w:afterAutospacing="1"/>
              <w:rPr>
                <w:lang w:eastAsia="lv-LV" w:bidi="lo-LA"/>
              </w:rPr>
            </w:pPr>
            <w:r w:rsidRPr="00ED067D">
              <w:rPr>
                <w:lang w:eastAsia="lv-LV" w:bidi="lo-LA"/>
              </w:rPr>
              <w:t> 5.</w:t>
            </w:r>
          </w:p>
        </w:tc>
        <w:tc>
          <w:tcPr>
            <w:tcW w:w="2876" w:type="dxa"/>
          </w:tcPr>
          <w:p w:rsidR="009A7369" w:rsidRPr="00ED067D" w:rsidRDefault="009A7369" w:rsidP="001E3003">
            <w:pPr>
              <w:spacing w:before="100" w:beforeAutospacing="1" w:after="100" w:afterAutospacing="1"/>
              <w:rPr>
                <w:lang w:eastAsia="lv-LV" w:bidi="lo-LA"/>
              </w:rPr>
            </w:pPr>
            <w:r w:rsidRPr="00ED067D">
              <w:rPr>
                <w:lang w:eastAsia="lv-LV" w:bidi="lo-LA"/>
              </w:rPr>
              <w:t>Projekta izstrādē iesaistītās institūcijas</w:t>
            </w:r>
          </w:p>
        </w:tc>
        <w:tc>
          <w:tcPr>
            <w:tcW w:w="5936" w:type="dxa"/>
            <w:vAlign w:val="center"/>
          </w:tcPr>
          <w:p w:rsidR="009A7369" w:rsidRPr="00ED067D" w:rsidRDefault="00A123DE" w:rsidP="0044069F">
            <w:pPr>
              <w:ind w:right="244"/>
              <w:jc w:val="both"/>
              <w:rPr>
                <w:iCs/>
              </w:rPr>
            </w:pPr>
            <w:r w:rsidRPr="00ED067D">
              <w:t>Veselības ministrija</w:t>
            </w:r>
          </w:p>
        </w:tc>
      </w:tr>
      <w:tr w:rsidR="009A7369" w:rsidRPr="00ED067D" w:rsidTr="00706BF1">
        <w:tc>
          <w:tcPr>
            <w:tcW w:w="652" w:type="dxa"/>
          </w:tcPr>
          <w:p w:rsidR="009A7369" w:rsidRPr="00ED067D" w:rsidRDefault="009A7369" w:rsidP="001E3003">
            <w:pPr>
              <w:spacing w:before="100" w:beforeAutospacing="1" w:after="100" w:afterAutospacing="1"/>
              <w:rPr>
                <w:lang w:eastAsia="lv-LV" w:bidi="lo-LA"/>
              </w:rPr>
            </w:pPr>
            <w:r w:rsidRPr="00ED067D">
              <w:rPr>
                <w:lang w:eastAsia="lv-LV" w:bidi="lo-LA"/>
              </w:rPr>
              <w:t> 6.</w:t>
            </w:r>
          </w:p>
        </w:tc>
        <w:tc>
          <w:tcPr>
            <w:tcW w:w="2876" w:type="dxa"/>
          </w:tcPr>
          <w:p w:rsidR="009A7369" w:rsidRPr="00ED067D" w:rsidRDefault="009A7369" w:rsidP="001E3003">
            <w:pPr>
              <w:spacing w:before="100" w:beforeAutospacing="1" w:after="100" w:afterAutospacing="1"/>
              <w:rPr>
                <w:lang w:eastAsia="lv-LV" w:bidi="lo-LA"/>
              </w:rPr>
            </w:pPr>
            <w:r w:rsidRPr="00ED067D">
              <w:rPr>
                <w:lang w:eastAsia="lv-LV" w:bidi="lo-LA"/>
              </w:rPr>
              <w:t>Iemesli, kādēļ netika nodrošināta sabiedrības līdzdalība</w:t>
            </w:r>
          </w:p>
        </w:tc>
        <w:tc>
          <w:tcPr>
            <w:tcW w:w="5936" w:type="dxa"/>
            <w:vAlign w:val="center"/>
          </w:tcPr>
          <w:p w:rsidR="009A7369" w:rsidRPr="00ED067D" w:rsidRDefault="00802B56" w:rsidP="008C1AA5">
            <w:pPr>
              <w:spacing w:before="120" w:after="120"/>
              <w:jc w:val="both"/>
            </w:pPr>
            <w:r w:rsidRPr="00ED067D">
              <w:t xml:space="preserve">Rīkojuma projekts sagatavots </w:t>
            </w:r>
            <w:r w:rsidR="008C1AA5">
              <w:t>saskaņā ar</w:t>
            </w:r>
            <w:r w:rsidRPr="00ED067D">
              <w:t xml:space="preserve"> </w:t>
            </w:r>
            <w:r w:rsidR="00A231CC" w:rsidRPr="004F29E0">
              <w:rPr>
                <w:rFonts w:eastAsia="Calibri"/>
              </w:rPr>
              <w:t>Komisijas Regula</w:t>
            </w:r>
            <w:r w:rsidR="00A231CC">
              <w:rPr>
                <w:rFonts w:eastAsia="Calibri"/>
              </w:rPr>
              <w:t>s</w:t>
            </w:r>
            <w:r w:rsidR="00A231CC" w:rsidRPr="004F29E0">
              <w:rPr>
                <w:rFonts w:eastAsia="Calibri"/>
              </w:rPr>
              <w:t xml:space="preserve"> Nr.1083/2006</w:t>
            </w:r>
            <w:r w:rsidR="00A231CC">
              <w:rPr>
                <w:rFonts w:eastAsia="Calibri"/>
              </w:rPr>
              <w:t xml:space="preserve"> </w:t>
            </w:r>
            <w:r w:rsidRPr="00ED067D">
              <w:rPr>
                <w:iCs/>
              </w:rPr>
              <w:t>39.pantu</w:t>
            </w:r>
            <w:r w:rsidRPr="00ED067D">
              <w:t>, līdz ar to neparedz pasākumus, kas skar plašākas sabiedrības intereses</w:t>
            </w:r>
          </w:p>
        </w:tc>
      </w:tr>
      <w:tr w:rsidR="00BE09F3" w:rsidRPr="00ED067D" w:rsidTr="00706BF1">
        <w:trPr>
          <w:trHeight w:val="70"/>
        </w:trPr>
        <w:tc>
          <w:tcPr>
            <w:tcW w:w="652" w:type="dxa"/>
          </w:tcPr>
          <w:p w:rsidR="00BE09F3" w:rsidRPr="00ED067D" w:rsidRDefault="00BE09F3" w:rsidP="001E3003">
            <w:pPr>
              <w:spacing w:before="100" w:beforeAutospacing="1" w:after="100" w:afterAutospacing="1"/>
              <w:rPr>
                <w:lang w:eastAsia="lv-LV" w:bidi="lo-LA"/>
              </w:rPr>
            </w:pPr>
            <w:r w:rsidRPr="00ED067D">
              <w:rPr>
                <w:lang w:eastAsia="lv-LV" w:bidi="lo-LA"/>
              </w:rPr>
              <w:t> 7.</w:t>
            </w:r>
          </w:p>
        </w:tc>
        <w:tc>
          <w:tcPr>
            <w:tcW w:w="2876" w:type="dxa"/>
          </w:tcPr>
          <w:p w:rsidR="00BE09F3" w:rsidRPr="00ED067D" w:rsidRDefault="00BE09F3" w:rsidP="001E3003">
            <w:pPr>
              <w:spacing w:before="100" w:beforeAutospacing="1" w:after="100" w:afterAutospacing="1"/>
              <w:rPr>
                <w:lang w:eastAsia="lv-LV" w:bidi="lo-LA"/>
              </w:rPr>
            </w:pPr>
            <w:r w:rsidRPr="00ED067D">
              <w:rPr>
                <w:lang w:eastAsia="lv-LV" w:bidi="lo-LA"/>
              </w:rPr>
              <w:t>Cita informācija</w:t>
            </w:r>
          </w:p>
        </w:tc>
        <w:tc>
          <w:tcPr>
            <w:tcW w:w="5936" w:type="dxa"/>
            <w:vAlign w:val="center"/>
          </w:tcPr>
          <w:p w:rsidR="00BE09F3" w:rsidRPr="00ED067D" w:rsidRDefault="000F0B0D" w:rsidP="0044069F">
            <w:r w:rsidRPr="00ED067D">
              <w:t>Nav</w:t>
            </w:r>
          </w:p>
        </w:tc>
      </w:tr>
    </w:tbl>
    <w:p w:rsidR="0044069F" w:rsidRPr="00ED067D" w:rsidRDefault="0044069F" w:rsidP="00B9292C">
      <w:pPr>
        <w:autoSpaceDE w:val="0"/>
        <w:autoSpaceDN w:val="0"/>
        <w:adjustRightInd w:val="0"/>
        <w:rPr>
          <w:noProof/>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706"/>
        <w:gridCol w:w="5103"/>
      </w:tblGrid>
      <w:tr w:rsidR="000F0B0D" w:rsidRPr="00ED067D" w:rsidTr="00706BF1">
        <w:trPr>
          <w:trHeight w:val="503"/>
        </w:trPr>
        <w:tc>
          <w:tcPr>
            <w:tcW w:w="9464" w:type="dxa"/>
            <w:gridSpan w:val="3"/>
            <w:vAlign w:val="center"/>
          </w:tcPr>
          <w:p w:rsidR="000F0B0D" w:rsidRPr="00ED067D" w:rsidRDefault="000F0B0D" w:rsidP="001E3003">
            <w:pPr>
              <w:autoSpaceDE w:val="0"/>
              <w:autoSpaceDN w:val="0"/>
              <w:adjustRightInd w:val="0"/>
              <w:rPr>
                <w:b/>
                <w:noProof/>
                <w:sz w:val="28"/>
                <w:szCs w:val="28"/>
              </w:rPr>
            </w:pPr>
            <w:r w:rsidRPr="00ED067D">
              <w:rPr>
                <w:b/>
                <w:lang w:eastAsia="lv-LV" w:bidi="lo-LA"/>
              </w:rPr>
              <w:t>II. Tiesību akta projekta ietekme uz sabiedrību</w:t>
            </w:r>
          </w:p>
        </w:tc>
      </w:tr>
      <w:tr w:rsidR="000F0B0D" w:rsidRPr="00ED067D" w:rsidTr="001C3931">
        <w:tc>
          <w:tcPr>
            <w:tcW w:w="655" w:type="dxa"/>
          </w:tcPr>
          <w:p w:rsidR="000F0B0D" w:rsidRPr="00ED067D" w:rsidRDefault="000F0B0D" w:rsidP="001E3003">
            <w:pPr>
              <w:spacing w:before="100" w:beforeAutospacing="1" w:after="100" w:afterAutospacing="1"/>
              <w:rPr>
                <w:lang w:eastAsia="lv-LV" w:bidi="lo-LA"/>
              </w:rPr>
            </w:pPr>
            <w:r w:rsidRPr="00ED067D">
              <w:rPr>
                <w:lang w:eastAsia="lv-LV" w:bidi="lo-LA"/>
              </w:rPr>
              <w:t> 1.</w:t>
            </w:r>
          </w:p>
        </w:tc>
        <w:tc>
          <w:tcPr>
            <w:tcW w:w="3706" w:type="dxa"/>
          </w:tcPr>
          <w:p w:rsidR="000F0B0D" w:rsidRPr="00ED067D" w:rsidRDefault="000F0B0D" w:rsidP="001E3003">
            <w:pPr>
              <w:spacing w:before="100" w:beforeAutospacing="1" w:after="100" w:afterAutospacing="1"/>
              <w:rPr>
                <w:lang w:eastAsia="lv-LV" w:bidi="lo-LA"/>
              </w:rPr>
            </w:pPr>
            <w:r w:rsidRPr="00ED067D">
              <w:rPr>
                <w:lang w:eastAsia="lv-LV" w:bidi="lo-LA"/>
              </w:rPr>
              <w:t>Sabiedrības mērķgrupa</w:t>
            </w:r>
          </w:p>
        </w:tc>
        <w:tc>
          <w:tcPr>
            <w:tcW w:w="5103" w:type="dxa"/>
            <w:vAlign w:val="center"/>
          </w:tcPr>
          <w:p w:rsidR="004242A4" w:rsidRPr="00ED067D" w:rsidRDefault="002D5711" w:rsidP="00E377C9">
            <w:pPr>
              <w:jc w:val="both"/>
            </w:pPr>
            <w:r w:rsidRPr="00ED067D">
              <w:t>Paula Stradiņa klīniskās universitātes slimnīca</w:t>
            </w:r>
          </w:p>
        </w:tc>
      </w:tr>
      <w:tr w:rsidR="007F2B5D" w:rsidRPr="00ED067D" w:rsidTr="001C3931">
        <w:tc>
          <w:tcPr>
            <w:tcW w:w="655" w:type="dxa"/>
          </w:tcPr>
          <w:p w:rsidR="007F2B5D" w:rsidRPr="00ED067D" w:rsidRDefault="007F2B5D" w:rsidP="001E3003">
            <w:pPr>
              <w:spacing w:before="100" w:beforeAutospacing="1" w:after="100" w:afterAutospacing="1"/>
              <w:rPr>
                <w:lang w:eastAsia="lv-LV" w:bidi="lo-LA"/>
              </w:rPr>
            </w:pPr>
            <w:r w:rsidRPr="00ED067D">
              <w:rPr>
                <w:lang w:eastAsia="lv-LV" w:bidi="lo-LA"/>
              </w:rPr>
              <w:t> 2.</w:t>
            </w:r>
          </w:p>
        </w:tc>
        <w:tc>
          <w:tcPr>
            <w:tcW w:w="3706" w:type="dxa"/>
          </w:tcPr>
          <w:p w:rsidR="007F2B5D" w:rsidRPr="00ED067D" w:rsidRDefault="007F2B5D" w:rsidP="001E3003">
            <w:pPr>
              <w:spacing w:before="100" w:beforeAutospacing="1" w:after="100" w:afterAutospacing="1"/>
              <w:rPr>
                <w:lang w:eastAsia="lv-LV" w:bidi="lo-LA"/>
              </w:rPr>
            </w:pPr>
            <w:r w:rsidRPr="00ED067D">
              <w:rPr>
                <w:lang w:eastAsia="lv-LV" w:bidi="lo-LA"/>
              </w:rPr>
              <w:t>Citas sabiedrības grupas (bez mērķgrupas), kuras tiesiskais regulējums arī ietekmē vai varētu ietekmēt</w:t>
            </w:r>
          </w:p>
        </w:tc>
        <w:tc>
          <w:tcPr>
            <w:tcW w:w="5103" w:type="dxa"/>
            <w:vAlign w:val="center"/>
          </w:tcPr>
          <w:p w:rsidR="007F2B5D" w:rsidRPr="00ED067D" w:rsidRDefault="00894A1B" w:rsidP="0044069F">
            <w:pPr>
              <w:pStyle w:val="naiskr"/>
            </w:pPr>
            <w:r w:rsidRPr="00ED067D">
              <w:rPr>
                <w:iCs/>
              </w:rPr>
              <w:t>Projekts šo jomu neskar</w:t>
            </w:r>
          </w:p>
        </w:tc>
      </w:tr>
      <w:tr w:rsidR="007F2B5D" w:rsidRPr="00ED067D" w:rsidTr="001C3931">
        <w:tc>
          <w:tcPr>
            <w:tcW w:w="655" w:type="dxa"/>
          </w:tcPr>
          <w:p w:rsidR="007F2B5D" w:rsidRPr="00ED067D" w:rsidRDefault="007F2B5D" w:rsidP="001E3003">
            <w:pPr>
              <w:spacing w:before="100" w:beforeAutospacing="1" w:after="100" w:afterAutospacing="1"/>
              <w:rPr>
                <w:lang w:eastAsia="lv-LV" w:bidi="lo-LA"/>
              </w:rPr>
            </w:pPr>
            <w:r w:rsidRPr="00ED067D">
              <w:rPr>
                <w:lang w:eastAsia="lv-LV" w:bidi="lo-LA"/>
              </w:rPr>
              <w:t> 3.</w:t>
            </w:r>
          </w:p>
        </w:tc>
        <w:tc>
          <w:tcPr>
            <w:tcW w:w="3706" w:type="dxa"/>
          </w:tcPr>
          <w:p w:rsidR="007F2B5D" w:rsidRPr="00ED067D" w:rsidRDefault="007F2B5D" w:rsidP="001E3003">
            <w:pPr>
              <w:spacing w:before="100" w:beforeAutospacing="1" w:after="100" w:afterAutospacing="1"/>
              <w:rPr>
                <w:lang w:eastAsia="lv-LV" w:bidi="lo-LA"/>
              </w:rPr>
            </w:pPr>
            <w:r w:rsidRPr="00ED067D">
              <w:rPr>
                <w:lang w:eastAsia="lv-LV" w:bidi="lo-LA"/>
              </w:rPr>
              <w:t>Tiesiskā regulējuma finansiālā ietekme</w:t>
            </w:r>
          </w:p>
        </w:tc>
        <w:tc>
          <w:tcPr>
            <w:tcW w:w="5103" w:type="dxa"/>
            <w:vAlign w:val="center"/>
          </w:tcPr>
          <w:p w:rsidR="007F2B5D" w:rsidRPr="00ED067D" w:rsidRDefault="00894A1B" w:rsidP="0044069F">
            <w:pPr>
              <w:pStyle w:val="naiskr"/>
              <w:spacing w:before="0" w:beforeAutospacing="0" w:after="0" w:afterAutospacing="0"/>
              <w:jc w:val="both"/>
            </w:pPr>
            <w:r w:rsidRPr="00ED067D">
              <w:rPr>
                <w:iCs/>
              </w:rPr>
              <w:t>Projekts šo jomu neskar</w:t>
            </w:r>
          </w:p>
        </w:tc>
      </w:tr>
      <w:tr w:rsidR="007F2B5D" w:rsidRPr="00ED067D" w:rsidTr="001C3931">
        <w:tc>
          <w:tcPr>
            <w:tcW w:w="655" w:type="dxa"/>
          </w:tcPr>
          <w:p w:rsidR="007F2B5D" w:rsidRPr="00ED067D" w:rsidRDefault="007F2B5D" w:rsidP="001E3003">
            <w:pPr>
              <w:spacing w:before="100" w:beforeAutospacing="1" w:after="100" w:afterAutospacing="1"/>
              <w:rPr>
                <w:lang w:eastAsia="lv-LV" w:bidi="lo-LA"/>
              </w:rPr>
            </w:pPr>
            <w:r w:rsidRPr="00ED067D">
              <w:rPr>
                <w:lang w:eastAsia="lv-LV" w:bidi="lo-LA"/>
              </w:rPr>
              <w:t> 4.</w:t>
            </w:r>
          </w:p>
        </w:tc>
        <w:tc>
          <w:tcPr>
            <w:tcW w:w="3706" w:type="dxa"/>
          </w:tcPr>
          <w:p w:rsidR="007F2B5D" w:rsidRPr="00ED067D" w:rsidRDefault="007F2B5D" w:rsidP="001E3003">
            <w:pPr>
              <w:spacing w:before="100" w:beforeAutospacing="1" w:after="100" w:afterAutospacing="1"/>
              <w:rPr>
                <w:lang w:eastAsia="lv-LV" w:bidi="lo-LA"/>
              </w:rPr>
            </w:pPr>
            <w:r w:rsidRPr="00ED067D">
              <w:rPr>
                <w:lang w:eastAsia="lv-LV" w:bidi="lo-LA"/>
              </w:rPr>
              <w:t>Tiesiskā regulējuma nefinansiālā ietekme</w:t>
            </w:r>
          </w:p>
        </w:tc>
        <w:tc>
          <w:tcPr>
            <w:tcW w:w="5103" w:type="dxa"/>
            <w:vAlign w:val="center"/>
          </w:tcPr>
          <w:p w:rsidR="000A7097" w:rsidRPr="00ED067D" w:rsidRDefault="000A7097" w:rsidP="000A7097">
            <w:pPr>
              <w:pStyle w:val="naiskr"/>
              <w:spacing w:before="0" w:beforeAutospacing="0" w:after="0" w:afterAutospacing="0"/>
              <w:ind w:left="318"/>
              <w:jc w:val="both"/>
              <w:rPr>
                <w:b/>
              </w:rPr>
            </w:pPr>
            <w:r w:rsidRPr="00ED067D">
              <w:rPr>
                <w:b/>
              </w:rPr>
              <w:t>Tiešās finansiālās izmaksas</w:t>
            </w:r>
          </w:p>
          <w:p w:rsidR="000A7097" w:rsidRPr="00ED067D" w:rsidRDefault="000A7097" w:rsidP="000A7097">
            <w:pPr>
              <w:pStyle w:val="naiskr"/>
              <w:spacing w:before="0" w:beforeAutospacing="0" w:after="0" w:afterAutospacing="0"/>
              <w:jc w:val="both"/>
            </w:pPr>
            <w:r w:rsidRPr="00ED067D">
              <w:t xml:space="preserve">Rīkojuma projektam nav ietekmes uz tiešajām finansiālajām izmaksām. </w:t>
            </w:r>
          </w:p>
          <w:p w:rsidR="000A7097" w:rsidRPr="00ED067D" w:rsidRDefault="000A7097" w:rsidP="000A7097">
            <w:pPr>
              <w:pStyle w:val="naiskr"/>
              <w:spacing w:before="0" w:beforeAutospacing="0" w:after="0" w:afterAutospacing="0"/>
              <w:ind w:left="318"/>
              <w:jc w:val="both"/>
              <w:rPr>
                <w:b/>
              </w:rPr>
            </w:pPr>
            <w:r w:rsidRPr="00ED067D">
              <w:rPr>
                <w:b/>
              </w:rPr>
              <w:t>Netiešās finansiālās izmaksas</w:t>
            </w:r>
          </w:p>
          <w:p w:rsidR="000A7097" w:rsidRPr="00ED067D" w:rsidRDefault="000A7097" w:rsidP="000A7097">
            <w:pPr>
              <w:pStyle w:val="naiskr"/>
              <w:spacing w:before="0" w:beforeAutospacing="0" w:after="0" w:afterAutospacing="0"/>
              <w:ind w:left="34"/>
              <w:jc w:val="both"/>
            </w:pPr>
            <w:r w:rsidRPr="00ED067D">
              <w:t xml:space="preserve">Rīkojuma projektam nav ietekmes uz netiešajām finansiālajām izmaksām. </w:t>
            </w:r>
          </w:p>
          <w:p w:rsidR="000A7097" w:rsidRPr="00ED067D" w:rsidRDefault="000A7097" w:rsidP="000A7097">
            <w:pPr>
              <w:pStyle w:val="naiskr"/>
              <w:spacing w:before="0" w:beforeAutospacing="0" w:after="0" w:afterAutospacing="0"/>
              <w:ind w:left="318"/>
              <w:jc w:val="both"/>
              <w:rPr>
                <w:b/>
              </w:rPr>
            </w:pPr>
            <w:r w:rsidRPr="00ED067D">
              <w:rPr>
                <w:b/>
              </w:rPr>
              <w:t>Ietekme uz ienākumiem</w:t>
            </w:r>
          </w:p>
          <w:p w:rsidR="007F2B5D" w:rsidRPr="00ED067D" w:rsidRDefault="000A7097" w:rsidP="000A7097">
            <w:pPr>
              <w:jc w:val="both"/>
            </w:pPr>
            <w:r w:rsidRPr="00ED067D">
              <w:t>Rīkojuma projektam nav ietekmes uz ienākumiem.</w:t>
            </w:r>
          </w:p>
        </w:tc>
      </w:tr>
      <w:tr w:rsidR="007F2B5D" w:rsidRPr="00ED067D" w:rsidTr="001C3931">
        <w:tc>
          <w:tcPr>
            <w:tcW w:w="655" w:type="dxa"/>
          </w:tcPr>
          <w:p w:rsidR="007F2B5D" w:rsidRPr="00ED067D" w:rsidRDefault="007F2B5D" w:rsidP="001E3003">
            <w:pPr>
              <w:spacing w:before="100" w:beforeAutospacing="1" w:after="100" w:afterAutospacing="1"/>
              <w:rPr>
                <w:lang w:eastAsia="lv-LV" w:bidi="lo-LA"/>
              </w:rPr>
            </w:pPr>
            <w:r w:rsidRPr="00ED067D">
              <w:rPr>
                <w:lang w:eastAsia="lv-LV" w:bidi="lo-LA"/>
              </w:rPr>
              <w:t> 5.</w:t>
            </w:r>
          </w:p>
        </w:tc>
        <w:tc>
          <w:tcPr>
            <w:tcW w:w="3706" w:type="dxa"/>
          </w:tcPr>
          <w:p w:rsidR="007F2B5D" w:rsidRPr="00ED067D" w:rsidRDefault="007F2B5D" w:rsidP="001E3003">
            <w:pPr>
              <w:spacing w:before="100" w:beforeAutospacing="1" w:after="100" w:afterAutospacing="1"/>
              <w:rPr>
                <w:lang w:eastAsia="lv-LV" w:bidi="lo-LA"/>
              </w:rPr>
            </w:pPr>
            <w:r w:rsidRPr="00ED067D">
              <w:rPr>
                <w:lang w:eastAsia="lv-LV" w:bidi="lo-LA"/>
              </w:rPr>
              <w:t>Administratīvās procedūras raksturojums</w:t>
            </w:r>
          </w:p>
        </w:tc>
        <w:tc>
          <w:tcPr>
            <w:tcW w:w="5103" w:type="dxa"/>
            <w:vAlign w:val="center"/>
          </w:tcPr>
          <w:p w:rsidR="007F2B5D" w:rsidRPr="00ED067D" w:rsidRDefault="00894A1B" w:rsidP="0044069F">
            <w:pPr>
              <w:pStyle w:val="naiskr"/>
            </w:pPr>
            <w:r w:rsidRPr="00ED067D">
              <w:rPr>
                <w:iCs/>
              </w:rPr>
              <w:t>Projekts šo jomu neskar</w:t>
            </w:r>
          </w:p>
        </w:tc>
      </w:tr>
      <w:tr w:rsidR="007F2B5D" w:rsidRPr="00ED067D" w:rsidTr="001C3931">
        <w:tc>
          <w:tcPr>
            <w:tcW w:w="655" w:type="dxa"/>
          </w:tcPr>
          <w:p w:rsidR="007F2B5D" w:rsidRPr="00ED067D" w:rsidRDefault="007F2B5D" w:rsidP="001E3003">
            <w:pPr>
              <w:spacing w:before="100" w:beforeAutospacing="1" w:after="100" w:afterAutospacing="1"/>
              <w:rPr>
                <w:lang w:eastAsia="lv-LV" w:bidi="lo-LA"/>
              </w:rPr>
            </w:pPr>
            <w:r w:rsidRPr="00ED067D">
              <w:rPr>
                <w:lang w:eastAsia="lv-LV" w:bidi="lo-LA"/>
              </w:rPr>
              <w:t> 6.</w:t>
            </w:r>
          </w:p>
        </w:tc>
        <w:tc>
          <w:tcPr>
            <w:tcW w:w="3706" w:type="dxa"/>
          </w:tcPr>
          <w:p w:rsidR="007F2B5D" w:rsidRPr="00ED067D" w:rsidRDefault="007F2B5D" w:rsidP="001E3003">
            <w:pPr>
              <w:spacing w:before="100" w:beforeAutospacing="1" w:after="100" w:afterAutospacing="1"/>
              <w:rPr>
                <w:lang w:eastAsia="lv-LV" w:bidi="lo-LA"/>
              </w:rPr>
            </w:pPr>
            <w:r w:rsidRPr="00ED067D">
              <w:rPr>
                <w:lang w:eastAsia="lv-LV" w:bidi="lo-LA"/>
              </w:rPr>
              <w:t>Administratīvo izmaksu monetārs novērtējums</w:t>
            </w:r>
          </w:p>
        </w:tc>
        <w:tc>
          <w:tcPr>
            <w:tcW w:w="5103" w:type="dxa"/>
            <w:vAlign w:val="center"/>
          </w:tcPr>
          <w:p w:rsidR="007F2B5D" w:rsidRPr="00ED067D" w:rsidRDefault="00894A1B" w:rsidP="0044069F">
            <w:pPr>
              <w:pStyle w:val="naiskr"/>
            </w:pPr>
            <w:r w:rsidRPr="00ED067D">
              <w:rPr>
                <w:iCs/>
              </w:rPr>
              <w:t>Projekts šo jomu neskar</w:t>
            </w:r>
          </w:p>
        </w:tc>
      </w:tr>
      <w:tr w:rsidR="007F2B5D" w:rsidRPr="00ED067D" w:rsidTr="001C3931">
        <w:trPr>
          <w:trHeight w:val="174"/>
        </w:trPr>
        <w:tc>
          <w:tcPr>
            <w:tcW w:w="655" w:type="dxa"/>
            <w:vAlign w:val="center"/>
          </w:tcPr>
          <w:p w:rsidR="007F2B5D" w:rsidRPr="00ED067D" w:rsidRDefault="007F2B5D" w:rsidP="001E3003">
            <w:pPr>
              <w:spacing w:before="100" w:beforeAutospacing="1" w:after="100" w:afterAutospacing="1"/>
              <w:rPr>
                <w:lang w:eastAsia="lv-LV" w:bidi="lo-LA"/>
              </w:rPr>
            </w:pPr>
            <w:r w:rsidRPr="00ED067D">
              <w:rPr>
                <w:lang w:eastAsia="lv-LV" w:bidi="lo-LA"/>
              </w:rPr>
              <w:t> 7.</w:t>
            </w:r>
          </w:p>
        </w:tc>
        <w:tc>
          <w:tcPr>
            <w:tcW w:w="3706" w:type="dxa"/>
            <w:vAlign w:val="center"/>
          </w:tcPr>
          <w:p w:rsidR="007F2B5D" w:rsidRPr="00ED067D" w:rsidRDefault="007F2B5D" w:rsidP="001E3003">
            <w:pPr>
              <w:spacing w:before="100" w:beforeAutospacing="1" w:after="100" w:afterAutospacing="1"/>
              <w:rPr>
                <w:lang w:eastAsia="lv-LV" w:bidi="lo-LA"/>
              </w:rPr>
            </w:pPr>
            <w:r w:rsidRPr="00ED067D">
              <w:rPr>
                <w:lang w:eastAsia="lv-LV" w:bidi="lo-LA"/>
              </w:rPr>
              <w:t>Cita informācija</w:t>
            </w:r>
          </w:p>
        </w:tc>
        <w:tc>
          <w:tcPr>
            <w:tcW w:w="5103" w:type="dxa"/>
            <w:vAlign w:val="center"/>
          </w:tcPr>
          <w:p w:rsidR="007F2B5D" w:rsidRPr="00ED067D" w:rsidRDefault="007F2B5D" w:rsidP="0044069F">
            <w:pPr>
              <w:pStyle w:val="naiskr"/>
            </w:pPr>
            <w:r w:rsidRPr="00ED067D">
              <w:t>Nav</w:t>
            </w:r>
          </w:p>
        </w:tc>
      </w:tr>
    </w:tbl>
    <w:p w:rsidR="007F2B5D" w:rsidRPr="00ED067D" w:rsidRDefault="007F2B5D" w:rsidP="00B9292C">
      <w:pPr>
        <w:autoSpaceDE w:val="0"/>
        <w:autoSpaceDN w:val="0"/>
        <w:adjustRightInd w:val="0"/>
        <w:rPr>
          <w:noProof/>
          <w:sz w:val="28"/>
          <w:szCs w:val="28"/>
        </w:rPr>
      </w:pPr>
    </w:p>
    <w:p w:rsidR="004D2E24" w:rsidRPr="00ED067D" w:rsidRDefault="004D2E24" w:rsidP="004D2E24">
      <w:pPr>
        <w:rPr>
          <w:i/>
          <w:lang w:eastAsia="lv-LV" w:bidi="lo-LA"/>
        </w:rPr>
      </w:pPr>
      <w:r w:rsidRPr="00ED067D">
        <w:rPr>
          <w:i/>
          <w:lang w:eastAsia="lv-LV" w:bidi="lo-LA"/>
        </w:rPr>
        <w:t>Anotācijas III sadaļa – projekts šo jomu neskar.</w:t>
      </w:r>
    </w:p>
    <w:p w:rsidR="004D2E24" w:rsidRPr="00ED067D" w:rsidRDefault="004D2E24" w:rsidP="00B9292C">
      <w:pPr>
        <w:autoSpaceDE w:val="0"/>
        <w:autoSpaceDN w:val="0"/>
        <w:adjustRightInd w:val="0"/>
        <w:rPr>
          <w:noProof/>
          <w:sz w:val="28"/>
          <w:szCs w:val="28"/>
        </w:rPr>
      </w:pPr>
    </w:p>
    <w:tbl>
      <w:tblPr>
        <w:tblStyle w:val="TableGrid"/>
        <w:tblW w:w="9464" w:type="dxa"/>
        <w:tblLook w:val="04A0"/>
      </w:tblPr>
      <w:tblGrid>
        <w:gridCol w:w="675"/>
        <w:gridCol w:w="2694"/>
        <w:gridCol w:w="6095"/>
      </w:tblGrid>
      <w:tr w:rsidR="0018407C" w:rsidRPr="00ED067D" w:rsidTr="00706BF1">
        <w:tc>
          <w:tcPr>
            <w:tcW w:w="9464" w:type="dxa"/>
            <w:gridSpan w:val="3"/>
            <w:vAlign w:val="center"/>
          </w:tcPr>
          <w:p w:rsidR="0018407C" w:rsidRPr="00ED067D" w:rsidRDefault="0018407C" w:rsidP="00551AA0">
            <w:pPr>
              <w:autoSpaceDE w:val="0"/>
              <w:autoSpaceDN w:val="0"/>
              <w:adjustRightInd w:val="0"/>
              <w:rPr>
                <w:b/>
                <w:noProof/>
                <w:sz w:val="28"/>
                <w:szCs w:val="28"/>
              </w:rPr>
            </w:pPr>
            <w:r w:rsidRPr="00ED067D">
              <w:rPr>
                <w:b/>
                <w:lang w:eastAsia="lv-LV" w:bidi="lo-LA"/>
              </w:rPr>
              <w:t>IV. Tiesību akta projekta ietekme uz spēkā esošo tiesību normu sistēmu</w:t>
            </w:r>
          </w:p>
        </w:tc>
      </w:tr>
      <w:tr w:rsidR="0018407C" w:rsidRPr="00A33261" w:rsidTr="00706BF1">
        <w:tc>
          <w:tcPr>
            <w:tcW w:w="675" w:type="dxa"/>
          </w:tcPr>
          <w:p w:rsidR="0018407C" w:rsidRPr="00ED067D" w:rsidRDefault="0018407C" w:rsidP="00551AA0">
            <w:pPr>
              <w:spacing w:before="100" w:beforeAutospacing="1" w:after="100" w:afterAutospacing="1"/>
              <w:rPr>
                <w:lang w:eastAsia="lv-LV" w:bidi="lo-LA"/>
              </w:rPr>
            </w:pPr>
            <w:r w:rsidRPr="00ED067D">
              <w:rPr>
                <w:lang w:eastAsia="lv-LV" w:bidi="lo-LA"/>
              </w:rPr>
              <w:t>1.</w:t>
            </w:r>
          </w:p>
        </w:tc>
        <w:tc>
          <w:tcPr>
            <w:tcW w:w="2694" w:type="dxa"/>
          </w:tcPr>
          <w:p w:rsidR="0018407C" w:rsidRPr="00ED067D" w:rsidRDefault="0018407C" w:rsidP="00551AA0">
            <w:pPr>
              <w:spacing w:before="100" w:beforeAutospacing="1" w:after="100" w:afterAutospacing="1"/>
              <w:rPr>
                <w:lang w:eastAsia="lv-LV" w:bidi="lo-LA"/>
              </w:rPr>
            </w:pPr>
            <w:r w:rsidRPr="00ED067D">
              <w:rPr>
                <w:lang w:eastAsia="lv-LV" w:bidi="lo-LA"/>
              </w:rPr>
              <w:t>Nepieciešamie saistītie tiesību aktu projekti</w:t>
            </w:r>
          </w:p>
        </w:tc>
        <w:tc>
          <w:tcPr>
            <w:tcW w:w="6095" w:type="dxa"/>
            <w:vAlign w:val="center"/>
          </w:tcPr>
          <w:p w:rsidR="004F3654" w:rsidRPr="00D565B2" w:rsidRDefault="006B277A" w:rsidP="00AC1FB9">
            <w:pPr>
              <w:spacing w:before="120" w:after="120"/>
              <w:jc w:val="both"/>
              <w:rPr>
                <w:bCs/>
              </w:rPr>
            </w:pPr>
            <w:r>
              <w:t>Veselības ministrijai n</w:t>
            </w:r>
            <w:r w:rsidR="0018407C" w:rsidRPr="00ED067D">
              <w:t xml:space="preserve">epieciešams veikt atbilstošus grozījumus </w:t>
            </w:r>
            <w:r w:rsidR="00D565B2" w:rsidRPr="00ED067D">
              <w:rPr>
                <w:bCs/>
              </w:rPr>
              <w:t xml:space="preserve">Ministru kabineta </w:t>
            </w:r>
            <w:r w:rsidR="004F3654" w:rsidRPr="00ED067D">
              <w:rPr>
                <w:bCs/>
                <w:sz w:val="23"/>
                <w:szCs w:val="23"/>
              </w:rPr>
              <w:t>2009.gada 13.janvāra noteikumos Nr.44 „</w:t>
            </w:r>
            <w:r w:rsidR="004F3654" w:rsidRPr="00ED067D">
              <w:rPr>
                <w:bCs/>
              </w:rPr>
              <w:t>Noteikumi par darbības programmas “Infrastruktūra un pakalpojumi” papildinājuma 3.1.5.3.1.apakšaktivitāti “Stacionārās veselības aprūpes attīstība”</w:t>
            </w:r>
            <w:r w:rsidR="006E450C">
              <w:rPr>
                <w:bCs/>
              </w:rPr>
              <w:t xml:space="preserve"> un noteikt, ka </w:t>
            </w:r>
            <w:r w:rsidR="006E450C">
              <w:t>g</w:t>
            </w:r>
            <w:r w:rsidR="006E450C" w:rsidRPr="006E450C">
              <w:t xml:space="preserve">adījumos, kad aktivitātes ietvaros projektu, kuriem ir kopīgs mērķis, kopējā summa sasniedz </w:t>
            </w:r>
            <w:r w:rsidR="009D4FAC" w:rsidRPr="004F29E0">
              <w:rPr>
                <w:rFonts w:eastAsia="Calibri"/>
              </w:rPr>
              <w:t>Komisijas Regula Nr.1083/2006</w:t>
            </w:r>
            <w:r w:rsidR="009D4FAC">
              <w:rPr>
                <w:rFonts w:eastAsia="Calibri"/>
              </w:rPr>
              <w:t xml:space="preserve">  </w:t>
            </w:r>
            <w:r w:rsidR="006E450C" w:rsidRPr="006E450C">
              <w:t xml:space="preserve">39.pantā noteikto izmaksu slieksni, tiek sagatavots lielā projekta iesniegums </w:t>
            </w:r>
            <w:r w:rsidR="00AC1FB9">
              <w:t>EK</w:t>
            </w:r>
            <w:r w:rsidR="006E450C" w:rsidRPr="006E450C">
              <w:t xml:space="preserve"> atbilstoši normatīvajiem aktiem par kārtību, kādā Eiropas Savienības struktūrfondu un Kohēzijas fonda vadībā iesaistītās institūcijas nodrošina plānošanas dokumentu sagatavošanu un šo fondu ieviešanu.</w:t>
            </w:r>
            <w:r>
              <w:rPr>
                <w:bCs/>
              </w:rPr>
              <w:t xml:space="preserve"> Paredzamais grozījumu iesniegšanas termiņš Valsts kancelejā ir 2013.gada </w:t>
            </w:r>
            <w:r w:rsidR="00C24087">
              <w:rPr>
                <w:bCs/>
              </w:rPr>
              <w:t>30.novembris</w:t>
            </w:r>
          </w:p>
        </w:tc>
      </w:tr>
      <w:tr w:rsidR="0018407C" w:rsidRPr="00A33261" w:rsidTr="00706BF1">
        <w:tc>
          <w:tcPr>
            <w:tcW w:w="675" w:type="dxa"/>
          </w:tcPr>
          <w:p w:rsidR="0018407C" w:rsidRPr="00A33261" w:rsidRDefault="0018407C" w:rsidP="00551AA0">
            <w:pPr>
              <w:spacing w:before="100" w:beforeAutospacing="1" w:after="100" w:afterAutospacing="1"/>
              <w:rPr>
                <w:lang w:eastAsia="lv-LV" w:bidi="lo-LA"/>
              </w:rPr>
            </w:pPr>
            <w:r w:rsidRPr="00A33261">
              <w:rPr>
                <w:lang w:eastAsia="lv-LV" w:bidi="lo-LA"/>
              </w:rPr>
              <w:t>2.</w:t>
            </w:r>
          </w:p>
        </w:tc>
        <w:tc>
          <w:tcPr>
            <w:tcW w:w="2694" w:type="dxa"/>
          </w:tcPr>
          <w:p w:rsidR="0018407C" w:rsidRPr="00A33261" w:rsidRDefault="0018407C" w:rsidP="00551AA0">
            <w:pPr>
              <w:spacing w:before="100" w:beforeAutospacing="1" w:after="100" w:afterAutospacing="1"/>
              <w:rPr>
                <w:lang w:eastAsia="lv-LV" w:bidi="lo-LA"/>
              </w:rPr>
            </w:pPr>
            <w:r w:rsidRPr="00A33261">
              <w:rPr>
                <w:lang w:eastAsia="lv-LV" w:bidi="lo-LA"/>
              </w:rPr>
              <w:t>Cita informācija</w:t>
            </w:r>
          </w:p>
        </w:tc>
        <w:tc>
          <w:tcPr>
            <w:tcW w:w="6095" w:type="dxa"/>
            <w:vAlign w:val="center"/>
          </w:tcPr>
          <w:p w:rsidR="0018407C" w:rsidRPr="00A33261" w:rsidRDefault="0018407C" w:rsidP="00551AA0">
            <w:pPr>
              <w:autoSpaceDE w:val="0"/>
              <w:autoSpaceDN w:val="0"/>
              <w:adjustRightInd w:val="0"/>
              <w:jc w:val="both"/>
            </w:pPr>
            <w:r w:rsidRPr="00A33261">
              <w:t>Nav</w:t>
            </w:r>
          </w:p>
        </w:tc>
      </w:tr>
    </w:tbl>
    <w:p w:rsidR="0018407C" w:rsidRPr="00A33261" w:rsidRDefault="0018407C" w:rsidP="00B9292C">
      <w:pPr>
        <w:autoSpaceDE w:val="0"/>
        <w:autoSpaceDN w:val="0"/>
        <w:adjustRightInd w:val="0"/>
        <w:rPr>
          <w:noProof/>
          <w:sz w:val="28"/>
          <w:szCs w:val="28"/>
        </w:rPr>
      </w:pPr>
    </w:p>
    <w:p w:rsidR="00F05A22" w:rsidRPr="00A33261" w:rsidRDefault="00EB3A88" w:rsidP="00F05A22">
      <w:pPr>
        <w:rPr>
          <w:i/>
          <w:lang w:eastAsia="lv-LV" w:bidi="lo-LA"/>
        </w:rPr>
      </w:pPr>
      <w:r w:rsidRPr="00A33261">
        <w:rPr>
          <w:i/>
          <w:lang w:eastAsia="lv-LV" w:bidi="lo-LA"/>
        </w:rPr>
        <w:t>Anotācijas V, VI</w:t>
      </w:r>
      <w:r w:rsidR="008477DD" w:rsidRPr="00A33261">
        <w:rPr>
          <w:i/>
          <w:lang w:eastAsia="lv-LV" w:bidi="lo-LA"/>
        </w:rPr>
        <w:t xml:space="preserve"> sadaļa – </w:t>
      </w:r>
      <w:r w:rsidR="00894A1B" w:rsidRPr="00A33261">
        <w:rPr>
          <w:i/>
          <w:lang w:eastAsia="lv-LV" w:bidi="lo-LA"/>
        </w:rPr>
        <w:t xml:space="preserve">projekts </w:t>
      </w:r>
      <w:r w:rsidR="00861027" w:rsidRPr="00A33261">
        <w:rPr>
          <w:i/>
          <w:lang w:eastAsia="lv-LV" w:bidi="lo-LA"/>
        </w:rPr>
        <w:t>šīs jomas</w:t>
      </w:r>
      <w:r w:rsidR="00894A1B" w:rsidRPr="00A33261">
        <w:rPr>
          <w:i/>
          <w:lang w:eastAsia="lv-LV" w:bidi="lo-LA"/>
        </w:rPr>
        <w:t xml:space="preserve"> neskar</w:t>
      </w:r>
      <w:r w:rsidR="008477DD" w:rsidRPr="00A33261">
        <w:rPr>
          <w:i/>
          <w:lang w:eastAsia="lv-LV" w:bidi="lo-LA"/>
        </w:rPr>
        <w:t>.</w:t>
      </w:r>
    </w:p>
    <w:p w:rsidR="00EB3A88" w:rsidRPr="00A33261" w:rsidRDefault="00EB3A88" w:rsidP="00EB3A88">
      <w:pPr>
        <w:autoSpaceDE w:val="0"/>
        <w:autoSpaceDN w:val="0"/>
        <w:adjustRightInd w:val="0"/>
        <w:rPr>
          <w:noProof/>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5973"/>
        <w:gridCol w:w="2835"/>
      </w:tblGrid>
      <w:tr w:rsidR="00EB3A88" w:rsidRPr="00A33261" w:rsidTr="00706BF1">
        <w:trPr>
          <w:trHeight w:val="527"/>
        </w:trPr>
        <w:tc>
          <w:tcPr>
            <w:tcW w:w="9464" w:type="dxa"/>
            <w:gridSpan w:val="3"/>
            <w:vAlign w:val="center"/>
          </w:tcPr>
          <w:p w:rsidR="00EB3A88" w:rsidRPr="00A33261" w:rsidRDefault="00EB3A88" w:rsidP="006A760B">
            <w:pPr>
              <w:jc w:val="center"/>
              <w:rPr>
                <w:lang w:eastAsia="lv-LV" w:bidi="lo-LA"/>
              </w:rPr>
            </w:pPr>
            <w:r w:rsidRPr="00A33261">
              <w:rPr>
                <w:b/>
                <w:bCs/>
                <w:lang w:eastAsia="lv-LV" w:bidi="lo-LA"/>
              </w:rPr>
              <w:t>VII. Tiesību akta projekta izpildes nodrošināšana un tās ietekme uz institūcijām</w:t>
            </w:r>
          </w:p>
        </w:tc>
      </w:tr>
      <w:tr w:rsidR="00EB3A88" w:rsidRPr="00A33261" w:rsidTr="001C393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1.</w:t>
            </w:r>
          </w:p>
        </w:tc>
        <w:tc>
          <w:tcPr>
            <w:tcW w:w="5973" w:type="dxa"/>
          </w:tcPr>
          <w:p w:rsidR="00EB3A88" w:rsidRPr="00A33261" w:rsidRDefault="00EB3A88" w:rsidP="006A760B">
            <w:pPr>
              <w:rPr>
                <w:lang w:eastAsia="lv-LV" w:bidi="lo-LA"/>
              </w:rPr>
            </w:pPr>
            <w:r w:rsidRPr="00A33261">
              <w:rPr>
                <w:lang w:eastAsia="lv-LV" w:bidi="lo-LA"/>
              </w:rPr>
              <w:t>Projekta izpildē iesaistītās institūcijas</w:t>
            </w:r>
          </w:p>
        </w:tc>
        <w:tc>
          <w:tcPr>
            <w:tcW w:w="2835" w:type="dxa"/>
          </w:tcPr>
          <w:p w:rsidR="00EB3A88" w:rsidRPr="00A33261" w:rsidRDefault="00EB3A88" w:rsidP="00A123DE">
            <w:pPr>
              <w:rPr>
                <w:lang w:eastAsia="lv-LV" w:bidi="lo-LA"/>
              </w:rPr>
            </w:pPr>
            <w:r w:rsidRPr="00A33261">
              <w:rPr>
                <w:lang w:eastAsia="lv-LV" w:bidi="lo-LA"/>
              </w:rPr>
              <w:t>Veselības ministrija</w:t>
            </w:r>
          </w:p>
        </w:tc>
      </w:tr>
      <w:tr w:rsidR="00EB3A88" w:rsidRPr="00A33261" w:rsidTr="001C393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2.</w:t>
            </w:r>
          </w:p>
        </w:tc>
        <w:tc>
          <w:tcPr>
            <w:tcW w:w="5973" w:type="dxa"/>
          </w:tcPr>
          <w:p w:rsidR="00EB3A88" w:rsidRPr="00A33261" w:rsidRDefault="00EB3A88" w:rsidP="006A760B">
            <w:pPr>
              <w:rPr>
                <w:lang w:eastAsia="lv-LV" w:bidi="lo-LA"/>
              </w:rPr>
            </w:pPr>
            <w:r w:rsidRPr="00A33261">
              <w:rPr>
                <w:lang w:eastAsia="lv-LV" w:bidi="lo-LA"/>
              </w:rPr>
              <w:t>Projekta izpildes ietekme uz pārvaldes funkcijām</w:t>
            </w:r>
          </w:p>
        </w:tc>
        <w:tc>
          <w:tcPr>
            <w:tcW w:w="2835" w:type="dxa"/>
          </w:tcPr>
          <w:p w:rsidR="00EB3A88" w:rsidRPr="00A33261" w:rsidRDefault="00EB3A88" w:rsidP="006A760B">
            <w:r w:rsidRPr="00A33261">
              <w:t>Projekts šo jomu neskar</w:t>
            </w:r>
          </w:p>
        </w:tc>
      </w:tr>
      <w:tr w:rsidR="00EB3A88" w:rsidRPr="00A33261" w:rsidTr="001C393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3.</w:t>
            </w:r>
          </w:p>
        </w:tc>
        <w:tc>
          <w:tcPr>
            <w:tcW w:w="5973" w:type="dxa"/>
          </w:tcPr>
          <w:p w:rsidR="00EB3A88" w:rsidRPr="00A33261" w:rsidRDefault="00EB3A88" w:rsidP="006A760B">
            <w:pPr>
              <w:rPr>
                <w:lang w:eastAsia="lv-LV" w:bidi="lo-LA"/>
              </w:rPr>
            </w:pPr>
            <w:r w:rsidRPr="00A33261">
              <w:rPr>
                <w:lang w:eastAsia="lv-LV" w:bidi="lo-LA"/>
              </w:rPr>
              <w:t>Projekta izpildes ietekme uz pārvaldes institucionālo struktūru.</w:t>
            </w:r>
            <w:r w:rsidR="001C3931">
              <w:rPr>
                <w:lang w:eastAsia="lv-LV" w:bidi="lo-LA"/>
              </w:rPr>
              <w:t xml:space="preserve"> </w:t>
            </w:r>
            <w:r w:rsidRPr="00A33261">
              <w:rPr>
                <w:lang w:eastAsia="lv-LV" w:bidi="lo-LA"/>
              </w:rPr>
              <w:t>Jaunu institūciju izveide</w:t>
            </w:r>
          </w:p>
        </w:tc>
        <w:tc>
          <w:tcPr>
            <w:tcW w:w="2835" w:type="dxa"/>
          </w:tcPr>
          <w:p w:rsidR="00EB3A88" w:rsidRPr="00A33261" w:rsidRDefault="00EB3A88" w:rsidP="006A760B">
            <w:r w:rsidRPr="00A33261">
              <w:t>Projekts šo jomu neskar</w:t>
            </w:r>
          </w:p>
        </w:tc>
      </w:tr>
      <w:tr w:rsidR="00EB3A88" w:rsidRPr="00A33261" w:rsidTr="001C393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4.</w:t>
            </w:r>
          </w:p>
        </w:tc>
        <w:tc>
          <w:tcPr>
            <w:tcW w:w="5973" w:type="dxa"/>
          </w:tcPr>
          <w:p w:rsidR="00EB3A88" w:rsidRPr="00A33261" w:rsidRDefault="00EB3A88" w:rsidP="006A760B">
            <w:pPr>
              <w:rPr>
                <w:lang w:eastAsia="lv-LV" w:bidi="lo-LA"/>
              </w:rPr>
            </w:pPr>
            <w:r w:rsidRPr="00A33261">
              <w:rPr>
                <w:lang w:eastAsia="lv-LV" w:bidi="lo-LA"/>
              </w:rPr>
              <w:t>Projekta izpildes ietekme uz pārvaldes institucionālo struktūru.</w:t>
            </w:r>
            <w:r w:rsidR="001C3931">
              <w:rPr>
                <w:lang w:eastAsia="lv-LV" w:bidi="lo-LA"/>
              </w:rPr>
              <w:t xml:space="preserve"> </w:t>
            </w:r>
            <w:r w:rsidRPr="00A33261">
              <w:rPr>
                <w:lang w:eastAsia="lv-LV" w:bidi="lo-LA"/>
              </w:rPr>
              <w:t>Esošu institūciju likvidācija</w:t>
            </w:r>
          </w:p>
        </w:tc>
        <w:tc>
          <w:tcPr>
            <w:tcW w:w="2835" w:type="dxa"/>
          </w:tcPr>
          <w:p w:rsidR="00EB3A88" w:rsidRPr="00A33261" w:rsidRDefault="00EB3A88" w:rsidP="006A760B">
            <w:r w:rsidRPr="00A33261">
              <w:t>Projekts šo jomu neskar</w:t>
            </w:r>
          </w:p>
        </w:tc>
      </w:tr>
      <w:tr w:rsidR="00EB3A88" w:rsidRPr="00A33261" w:rsidTr="001C393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5.</w:t>
            </w:r>
          </w:p>
        </w:tc>
        <w:tc>
          <w:tcPr>
            <w:tcW w:w="5973" w:type="dxa"/>
          </w:tcPr>
          <w:p w:rsidR="00EB3A88" w:rsidRPr="00A33261" w:rsidRDefault="00EB3A88" w:rsidP="006A760B">
            <w:pPr>
              <w:rPr>
                <w:lang w:eastAsia="lv-LV" w:bidi="lo-LA"/>
              </w:rPr>
            </w:pPr>
            <w:r w:rsidRPr="00A33261">
              <w:rPr>
                <w:lang w:eastAsia="lv-LV" w:bidi="lo-LA"/>
              </w:rPr>
              <w:t>Projekta izpildes ietekme uz pārvaldes institucionālo struktūru.</w:t>
            </w:r>
            <w:r w:rsidR="00B1247A">
              <w:rPr>
                <w:lang w:eastAsia="lv-LV" w:bidi="lo-LA"/>
              </w:rPr>
              <w:t xml:space="preserve"> </w:t>
            </w:r>
            <w:r w:rsidRPr="00A33261">
              <w:rPr>
                <w:lang w:eastAsia="lv-LV" w:bidi="lo-LA"/>
              </w:rPr>
              <w:t>Esošu institūciju reorganizācija</w:t>
            </w:r>
          </w:p>
        </w:tc>
        <w:tc>
          <w:tcPr>
            <w:tcW w:w="2835" w:type="dxa"/>
            <w:vAlign w:val="center"/>
          </w:tcPr>
          <w:p w:rsidR="00EB3A88" w:rsidRPr="00A33261" w:rsidRDefault="00EB3A88" w:rsidP="006A760B">
            <w:pPr>
              <w:autoSpaceDE w:val="0"/>
              <w:autoSpaceDN w:val="0"/>
              <w:adjustRightInd w:val="0"/>
              <w:rPr>
                <w:noProof/>
                <w:sz w:val="28"/>
                <w:szCs w:val="28"/>
              </w:rPr>
            </w:pPr>
            <w:r w:rsidRPr="00A33261">
              <w:t>Projekts šo jomu neskar</w:t>
            </w:r>
          </w:p>
        </w:tc>
      </w:tr>
      <w:tr w:rsidR="00EB3A88" w:rsidRPr="00F35660" w:rsidTr="001C3931">
        <w:tc>
          <w:tcPr>
            <w:tcW w:w="656" w:type="dxa"/>
          </w:tcPr>
          <w:p w:rsidR="00EB3A88" w:rsidRPr="00A33261" w:rsidRDefault="00EB3A88" w:rsidP="006A760B">
            <w:pPr>
              <w:spacing w:before="100" w:beforeAutospacing="1" w:after="100" w:afterAutospacing="1"/>
              <w:rPr>
                <w:lang w:eastAsia="lv-LV" w:bidi="lo-LA"/>
              </w:rPr>
            </w:pPr>
            <w:r w:rsidRPr="00A33261">
              <w:rPr>
                <w:lang w:eastAsia="lv-LV" w:bidi="lo-LA"/>
              </w:rPr>
              <w:t> 6.</w:t>
            </w:r>
          </w:p>
        </w:tc>
        <w:tc>
          <w:tcPr>
            <w:tcW w:w="5973" w:type="dxa"/>
          </w:tcPr>
          <w:p w:rsidR="00EB3A88" w:rsidRPr="00A33261" w:rsidRDefault="00EB3A88" w:rsidP="006A760B">
            <w:pPr>
              <w:rPr>
                <w:lang w:eastAsia="lv-LV" w:bidi="lo-LA"/>
              </w:rPr>
            </w:pPr>
            <w:r w:rsidRPr="00A33261">
              <w:rPr>
                <w:lang w:eastAsia="lv-LV" w:bidi="lo-LA"/>
              </w:rPr>
              <w:t>Cita informācija</w:t>
            </w:r>
          </w:p>
        </w:tc>
        <w:tc>
          <w:tcPr>
            <w:tcW w:w="2835" w:type="dxa"/>
          </w:tcPr>
          <w:p w:rsidR="00EB3A88" w:rsidRPr="00A33261" w:rsidRDefault="00EB3A88" w:rsidP="006A760B">
            <w:pPr>
              <w:rPr>
                <w:lang w:eastAsia="lv-LV" w:bidi="lo-LA"/>
              </w:rPr>
            </w:pPr>
            <w:r w:rsidRPr="00A33261">
              <w:rPr>
                <w:lang w:eastAsia="lv-LV" w:bidi="lo-LA"/>
              </w:rPr>
              <w:t>Nav</w:t>
            </w:r>
          </w:p>
        </w:tc>
      </w:tr>
    </w:tbl>
    <w:p w:rsidR="00EB3A88" w:rsidRDefault="00EB3A88" w:rsidP="00EB3A88">
      <w:pPr>
        <w:rPr>
          <w:lang w:eastAsia="lv-LV" w:bidi="lo-LA"/>
        </w:rPr>
      </w:pPr>
    </w:p>
    <w:p w:rsidR="00B1247A" w:rsidRPr="00F35660" w:rsidRDefault="00B1247A" w:rsidP="00EB3A88">
      <w:pPr>
        <w:rPr>
          <w:lang w:eastAsia="lv-LV" w:bidi="lo-LA"/>
        </w:rPr>
      </w:pPr>
    </w:p>
    <w:p w:rsidR="00F618D6" w:rsidRPr="00F618D6" w:rsidRDefault="0018407C" w:rsidP="00F618D6">
      <w:pPr>
        <w:autoSpaceDE w:val="0"/>
        <w:autoSpaceDN w:val="0"/>
        <w:adjustRightInd w:val="0"/>
        <w:rPr>
          <w:bCs/>
          <w:color w:val="000000"/>
          <w:sz w:val="28"/>
          <w:szCs w:val="28"/>
        </w:rPr>
      </w:pPr>
      <w:r>
        <w:rPr>
          <w:bCs/>
          <w:color w:val="000000"/>
          <w:sz w:val="28"/>
          <w:szCs w:val="28"/>
        </w:rPr>
        <w:t>Veselības ministre</w:t>
      </w:r>
      <w:r w:rsidR="00F618D6" w:rsidRPr="00F618D6">
        <w:rPr>
          <w:bCs/>
          <w:color w:val="000000"/>
          <w:sz w:val="28"/>
          <w:szCs w:val="28"/>
        </w:rPr>
        <w:tab/>
      </w:r>
      <w:r w:rsidR="00F618D6" w:rsidRPr="00F618D6">
        <w:rPr>
          <w:bCs/>
          <w:color w:val="000000"/>
          <w:sz w:val="28"/>
          <w:szCs w:val="28"/>
        </w:rPr>
        <w:tab/>
      </w:r>
      <w:r w:rsidR="00F618D6" w:rsidRPr="00F618D6">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Pr>
          <w:bCs/>
          <w:color w:val="000000"/>
          <w:sz w:val="28"/>
          <w:szCs w:val="28"/>
        </w:rPr>
        <w:t>I.Circene</w:t>
      </w:r>
    </w:p>
    <w:p w:rsidR="00A231CC" w:rsidRDefault="00A231CC" w:rsidP="00CF40A7"/>
    <w:p w:rsidR="00B1247A" w:rsidRDefault="00B1247A" w:rsidP="00CF40A7"/>
    <w:p w:rsidR="008C1DFD" w:rsidRDefault="008C1DFD" w:rsidP="00CF40A7"/>
    <w:p w:rsidR="008C1DFD" w:rsidRDefault="008C1DFD" w:rsidP="00CF40A7"/>
    <w:p w:rsidR="008C1DFD" w:rsidRDefault="008C1DFD" w:rsidP="00CF40A7"/>
    <w:p w:rsidR="008C1DFD" w:rsidRDefault="008C1DFD" w:rsidP="00CF40A7"/>
    <w:p w:rsidR="008C1DFD" w:rsidRDefault="008C1DFD" w:rsidP="00CF40A7"/>
    <w:p w:rsidR="00B1247A" w:rsidRDefault="00B1247A" w:rsidP="00CF40A7"/>
    <w:p w:rsidR="00C00348" w:rsidRPr="00C7424E" w:rsidRDefault="000972C3" w:rsidP="00C37452">
      <w:pPr>
        <w:rPr>
          <w:sz w:val="20"/>
          <w:szCs w:val="20"/>
        </w:rPr>
      </w:pPr>
      <w:r>
        <w:rPr>
          <w:sz w:val="20"/>
          <w:szCs w:val="20"/>
        </w:rPr>
        <w:t>03</w:t>
      </w:r>
      <w:r w:rsidR="00D05685" w:rsidRPr="00C7424E">
        <w:rPr>
          <w:sz w:val="20"/>
          <w:szCs w:val="20"/>
        </w:rPr>
        <w:t>.</w:t>
      </w:r>
      <w:r w:rsidR="00A231CC" w:rsidRPr="00C7424E">
        <w:rPr>
          <w:sz w:val="20"/>
          <w:szCs w:val="20"/>
        </w:rPr>
        <w:t>1</w:t>
      </w:r>
      <w:r>
        <w:rPr>
          <w:sz w:val="20"/>
          <w:szCs w:val="20"/>
        </w:rPr>
        <w:t>2</w:t>
      </w:r>
      <w:r w:rsidR="00C00348" w:rsidRPr="00C7424E">
        <w:rPr>
          <w:sz w:val="20"/>
          <w:szCs w:val="20"/>
        </w:rPr>
        <w:t xml:space="preserve">.2013 </w:t>
      </w:r>
      <w:r w:rsidR="008C1DFD">
        <w:rPr>
          <w:sz w:val="20"/>
          <w:szCs w:val="20"/>
        </w:rPr>
        <w:t>15:23</w:t>
      </w:r>
    </w:p>
    <w:p w:rsidR="00270DFA" w:rsidRPr="00C7424E" w:rsidRDefault="00CA0969" w:rsidP="00C37452">
      <w:pPr>
        <w:rPr>
          <w:sz w:val="20"/>
          <w:szCs w:val="20"/>
        </w:rPr>
      </w:pPr>
      <w:bookmarkStart w:id="6" w:name="OLE_LINK7"/>
      <w:bookmarkStart w:id="7" w:name="OLE_LINK8"/>
      <w:r w:rsidRPr="00C7424E">
        <w:rPr>
          <w:sz w:val="20"/>
          <w:szCs w:val="20"/>
        </w:rPr>
        <w:t>1 </w:t>
      </w:r>
      <w:r w:rsidR="00145DC9">
        <w:rPr>
          <w:sz w:val="20"/>
          <w:szCs w:val="20"/>
        </w:rPr>
        <w:t>3</w:t>
      </w:r>
      <w:r w:rsidR="00D27F92">
        <w:rPr>
          <w:sz w:val="20"/>
          <w:szCs w:val="20"/>
        </w:rPr>
        <w:t>26</w:t>
      </w:r>
    </w:p>
    <w:p w:rsidR="00270DFA" w:rsidRPr="00C7424E" w:rsidRDefault="00270DFA" w:rsidP="00C37452">
      <w:pPr>
        <w:rPr>
          <w:sz w:val="20"/>
          <w:szCs w:val="20"/>
        </w:rPr>
      </w:pPr>
    </w:p>
    <w:p w:rsidR="008C1DFD" w:rsidRDefault="00CA0969" w:rsidP="00CA0969">
      <w:pPr>
        <w:tabs>
          <w:tab w:val="left" w:pos="8370"/>
        </w:tabs>
        <w:rPr>
          <w:sz w:val="20"/>
          <w:szCs w:val="20"/>
        </w:rPr>
      </w:pPr>
      <w:bookmarkStart w:id="8" w:name="OLE_LINK9"/>
      <w:bookmarkStart w:id="9" w:name="OLE_LINK11"/>
      <w:bookmarkEnd w:id="6"/>
      <w:bookmarkEnd w:id="7"/>
      <w:r w:rsidRPr="00C7424E">
        <w:rPr>
          <w:sz w:val="20"/>
          <w:szCs w:val="20"/>
        </w:rPr>
        <w:t xml:space="preserve">Inga </w:t>
      </w:r>
      <w:proofErr w:type="spellStart"/>
      <w:r w:rsidRPr="00C7424E">
        <w:rPr>
          <w:sz w:val="20"/>
          <w:szCs w:val="20"/>
        </w:rPr>
        <w:t>Baranova</w:t>
      </w:r>
      <w:proofErr w:type="spellEnd"/>
      <w:r w:rsidR="008C1DFD">
        <w:rPr>
          <w:sz w:val="20"/>
          <w:szCs w:val="20"/>
        </w:rPr>
        <w:t>,</w:t>
      </w:r>
      <w:bookmarkStart w:id="10" w:name="OLE_LINK10"/>
      <w:r w:rsidR="008C1DFD">
        <w:rPr>
          <w:sz w:val="20"/>
          <w:szCs w:val="20"/>
        </w:rPr>
        <w:t xml:space="preserve"> t</w:t>
      </w:r>
      <w:r w:rsidRPr="00C7424E">
        <w:rPr>
          <w:sz w:val="20"/>
          <w:szCs w:val="20"/>
        </w:rPr>
        <w:t xml:space="preserve">ālr.: 67 876 035, </w:t>
      </w:r>
    </w:p>
    <w:p w:rsidR="00DB0EDE" w:rsidRDefault="00CA0969" w:rsidP="00B1247A">
      <w:pPr>
        <w:tabs>
          <w:tab w:val="left" w:pos="8370"/>
        </w:tabs>
        <w:rPr>
          <w:sz w:val="20"/>
          <w:szCs w:val="20"/>
        </w:rPr>
      </w:pPr>
      <w:r w:rsidRPr="00C7424E">
        <w:rPr>
          <w:sz w:val="20"/>
          <w:szCs w:val="20"/>
        </w:rPr>
        <w:t>fakss: 67876031</w:t>
      </w:r>
      <w:r w:rsidR="008C1DFD">
        <w:rPr>
          <w:sz w:val="20"/>
          <w:szCs w:val="20"/>
        </w:rPr>
        <w:t>, e-</w:t>
      </w:r>
      <w:proofErr w:type="spellStart"/>
      <w:r w:rsidR="008C1DFD">
        <w:rPr>
          <w:sz w:val="20"/>
          <w:szCs w:val="20"/>
        </w:rPr>
        <w:t>pasts:</w:t>
      </w:r>
      <w:hyperlink r:id="rId8" w:history="1">
        <w:r w:rsidRPr="00C7424E">
          <w:rPr>
            <w:rStyle w:val="Hyperlink"/>
            <w:sz w:val="20"/>
            <w:szCs w:val="20"/>
          </w:rPr>
          <w:t>Inga.Baranova@vm.gov.lv</w:t>
        </w:r>
        <w:proofErr w:type="spellEnd"/>
      </w:hyperlink>
      <w:bookmarkEnd w:id="10"/>
      <w:bookmarkEnd w:id="8"/>
      <w:bookmarkEnd w:id="9"/>
    </w:p>
    <w:sectPr w:rsidR="00DB0EDE" w:rsidSect="00B1247A">
      <w:headerReference w:type="even" r:id="rId9"/>
      <w:headerReference w:type="default" r:id="rId10"/>
      <w:footerReference w:type="default" r:id="rId11"/>
      <w:footerReference w:type="first" r:id="rId12"/>
      <w:pgSz w:w="11906" w:h="16838" w:code="9"/>
      <w:pgMar w:top="1134" w:right="1134" w:bottom="1560"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C0" w:rsidRDefault="008E2EC0">
      <w:r>
        <w:separator/>
      </w:r>
    </w:p>
  </w:endnote>
  <w:endnote w:type="continuationSeparator" w:id="0">
    <w:p w:rsidR="008E2EC0" w:rsidRDefault="008E2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0" w:rsidRPr="00CA0969" w:rsidRDefault="008E2EC0" w:rsidP="00CE17C7">
    <w:pPr>
      <w:spacing w:before="120" w:after="120"/>
      <w:jc w:val="both"/>
      <w:rPr>
        <w:sz w:val="22"/>
        <w:szCs w:val="22"/>
      </w:rPr>
    </w:pPr>
    <w:r w:rsidRPr="00CA0969">
      <w:rPr>
        <w:sz w:val="22"/>
        <w:szCs w:val="22"/>
      </w:rPr>
      <w:t>VMAnot_</w:t>
    </w:r>
    <w:r w:rsidR="000972C3">
      <w:rPr>
        <w:sz w:val="22"/>
        <w:szCs w:val="22"/>
      </w:rPr>
      <w:t>0312</w:t>
    </w:r>
    <w:r w:rsidRPr="00CA0969">
      <w:rPr>
        <w:sz w:val="22"/>
        <w:szCs w:val="22"/>
      </w:rPr>
      <w:t>13_3DPP; Ministru kabineta rīkojuma projekta „Grozījums darbības programmas „Infrastruktūra un pakalpojumi” papildinājumā”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0" w:rsidRPr="00721A69" w:rsidRDefault="008E2EC0" w:rsidP="00721A69">
    <w:pPr>
      <w:spacing w:before="120" w:after="120"/>
      <w:jc w:val="both"/>
      <w:rPr>
        <w:b/>
        <w:sz w:val="29"/>
        <w:szCs w:val="29"/>
      </w:rPr>
    </w:pPr>
    <w:r w:rsidRPr="00836EAA">
      <w:rPr>
        <w:sz w:val="20"/>
        <w:szCs w:val="20"/>
      </w:rPr>
      <w:t>VMAnot_</w:t>
    </w:r>
    <w:r w:rsidR="000972C3">
      <w:rPr>
        <w:sz w:val="20"/>
        <w:szCs w:val="20"/>
      </w:rPr>
      <w:t>0312</w:t>
    </w:r>
    <w:r>
      <w:rPr>
        <w:sz w:val="20"/>
        <w:szCs w:val="20"/>
      </w:rPr>
      <w:t>13</w:t>
    </w:r>
    <w:r w:rsidRPr="00836EAA">
      <w:rPr>
        <w:sz w:val="20"/>
        <w:szCs w:val="20"/>
      </w:rPr>
      <w:t>_3DPP;</w:t>
    </w:r>
    <w:r w:rsidRPr="00D473C0">
      <w:rPr>
        <w:sz w:val="20"/>
        <w:szCs w:val="20"/>
      </w:rPr>
      <w:t xml:space="preserve"> </w:t>
    </w:r>
    <w:r w:rsidRPr="00721A69">
      <w:rPr>
        <w:bCs/>
        <w:sz w:val="20"/>
        <w:szCs w:val="20"/>
      </w:rPr>
      <w:t>Ministru kabineta rīkojuma projekta „</w:t>
    </w:r>
    <w:r w:rsidRPr="00721A69">
      <w:rPr>
        <w:sz w:val="20"/>
        <w:szCs w:val="20"/>
      </w:rPr>
      <w:t>Grozījumi darbības programmas „Infrastruktūra un pakalpojumi” papildinājumā</w:t>
    </w:r>
    <w:r w:rsidRPr="00721A69">
      <w:rPr>
        <w:bCs/>
        <w:sz w:val="20"/>
        <w:szCs w:val="20"/>
      </w:rPr>
      <w:t>”</w:t>
    </w:r>
    <w:r w:rsidRPr="00721A69">
      <w:rPr>
        <w:sz w:val="20"/>
        <w:szCs w:val="20"/>
      </w:rPr>
      <w:t xml:space="preserve"> </w:t>
    </w:r>
    <w:r w:rsidRPr="00721A69">
      <w:rPr>
        <w:bCs/>
        <w:sz w:val="20"/>
        <w:szCs w:val="20"/>
      </w:rPr>
      <w:t>anotācija</w:t>
    </w:r>
  </w:p>
  <w:p w:rsidR="008E2EC0" w:rsidRPr="00721A69" w:rsidRDefault="008E2EC0" w:rsidP="00721A6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C0" w:rsidRDefault="008E2EC0">
      <w:r>
        <w:separator/>
      </w:r>
    </w:p>
  </w:footnote>
  <w:footnote w:type="continuationSeparator" w:id="0">
    <w:p w:rsidR="008E2EC0" w:rsidRDefault="008E2EC0">
      <w:r>
        <w:continuationSeparator/>
      </w:r>
    </w:p>
  </w:footnote>
  <w:footnote w:id="1">
    <w:p w:rsidR="008E2EC0" w:rsidRDefault="008E2EC0" w:rsidP="008E3720">
      <w:pPr>
        <w:pStyle w:val="FootnoteText"/>
      </w:pPr>
      <w:r>
        <w:rPr>
          <w:rStyle w:val="FootnoteReference"/>
        </w:rPr>
        <w:footnoteRef/>
      </w:r>
      <w:r>
        <w:t xml:space="preserve"> </w:t>
      </w:r>
      <w:r w:rsidRPr="004F29E0">
        <w:rPr>
          <w:rFonts w:eastAsia="Calibri"/>
        </w:rPr>
        <w:t>Padomes Regulas (EK) Nr.1083/2006, ar ko paredz vispārīgus noteikumus par ERAF, Eiropas Sociālo fondu un Kohēzijas fondu un atceļ Regulu (EK) Nr.1260/1999 (turpmāk – Komisijas Regula Nr.1083/2006) 39.-41.pant</w:t>
      </w:r>
      <w:r>
        <w:rPr>
          <w:rFonts w:eastAsia="Calibri"/>
        </w:rPr>
        <w:t xml:space="preserv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0" w:rsidRDefault="00AF2EDC">
    <w:pPr>
      <w:pStyle w:val="Header"/>
      <w:framePr w:wrap="around" w:vAnchor="text" w:hAnchor="margin" w:xAlign="center" w:y="1"/>
      <w:rPr>
        <w:rStyle w:val="PageNumber"/>
      </w:rPr>
    </w:pPr>
    <w:r>
      <w:rPr>
        <w:rStyle w:val="PageNumber"/>
      </w:rPr>
      <w:fldChar w:fldCharType="begin"/>
    </w:r>
    <w:r w:rsidR="008E2EC0">
      <w:rPr>
        <w:rStyle w:val="PageNumber"/>
      </w:rPr>
      <w:instrText xml:space="preserve">PAGE  </w:instrText>
    </w:r>
    <w:r>
      <w:rPr>
        <w:rStyle w:val="PageNumber"/>
      </w:rPr>
      <w:fldChar w:fldCharType="end"/>
    </w:r>
  </w:p>
  <w:p w:rsidR="008E2EC0" w:rsidRDefault="008E2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0" w:rsidRDefault="00AF2EDC">
    <w:pPr>
      <w:pStyle w:val="Header"/>
      <w:framePr w:wrap="around" w:vAnchor="text" w:hAnchor="margin" w:xAlign="center" w:y="1"/>
      <w:rPr>
        <w:rStyle w:val="PageNumber"/>
      </w:rPr>
    </w:pPr>
    <w:r>
      <w:rPr>
        <w:rStyle w:val="PageNumber"/>
      </w:rPr>
      <w:fldChar w:fldCharType="begin"/>
    </w:r>
    <w:r w:rsidR="008E2EC0">
      <w:rPr>
        <w:rStyle w:val="PageNumber"/>
      </w:rPr>
      <w:instrText xml:space="preserve">PAGE  </w:instrText>
    </w:r>
    <w:r>
      <w:rPr>
        <w:rStyle w:val="PageNumber"/>
      </w:rPr>
      <w:fldChar w:fldCharType="separate"/>
    </w:r>
    <w:r w:rsidR="00D27F92">
      <w:rPr>
        <w:rStyle w:val="PageNumber"/>
        <w:noProof/>
      </w:rPr>
      <w:t>5</w:t>
    </w:r>
    <w:r>
      <w:rPr>
        <w:rStyle w:val="PageNumber"/>
      </w:rPr>
      <w:fldChar w:fldCharType="end"/>
    </w:r>
  </w:p>
  <w:p w:rsidR="008E2EC0" w:rsidRDefault="008E2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12FA87B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0271503B"/>
    <w:multiLevelType w:val="hybridMultilevel"/>
    <w:tmpl w:val="8A4AB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80096D"/>
    <w:multiLevelType w:val="hybridMultilevel"/>
    <w:tmpl w:val="7AEC4E4C"/>
    <w:lvl w:ilvl="0" w:tplc="82B27D3A">
      <w:start w:val="3"/>
      <w:numFmt w:val="decimal"/>
      <w:lvlText w:val="%1.1.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D476CF"/>
    <w:multiLevelType w:val="hybridMultilevel"/>
    <w:tmpl w:val="86F28CD6"/>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26320B48"/>
    <w:multiLevelType w:val="hybridMultilevel"/>
    <w:tmpl w:val="4E6288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D73026"/>
    <w:multiLevelType w:val="hybridMultilevel"/>
    <w:tmpl w:val="AFD03D5C"/>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508D7"/>
    <w:multiLevelType w:val="hybridMultilevel"/>
    <w:tmpl w:val="950EC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3">
    <w:nsid w:val="3A8530EF"/>
    <w:multiLevelType w:val="multilevel"/>
    <w:tmpl w:val="D6C258AC"/>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C6355BA"/>
    <w:multiLevelType w:val="hybridMultilevel"/>
    <w:tmpl w:val="93C68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E439D"/>
    <w:multiLevelType w:val="hybridMultilevel"/>
    <w:tmpl w:val="591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E09B3"/>
    <w:multiLevelType w:val="hybridMultilevel"/>
    <w:tmpl w:val="9E78CFE8"/>
    <w:lvl w:ilvl="0" w:tplc="0426000B">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9">
    <w:nsid w:val="5179451B"/>
    <w:multiLevelType w:val="hybridMultilevel"/>
    <w:tmpl w:val="A01CBB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54492FDC"/>
    <w:multiLevelType w:val="hybridMultilevel"/>
    <w:tmpl w:val="A1C6A09A"/>
    <w:lvl w:ilvl="0" w:tplc="04260001">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21">
    <w:nsid w:val="5F9D4E57"/>
    <w:multiLevelType w:val="hybridMultilevel"/>
    <w:tmpl w:val="4E569F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4">
    <w:nsid w:val="694D0D6B"/>
    <w:multiLevelType w:val="hybridMultilevel"/>
    <w:tmpl w:val="8826A39A"/>
    <w:lvl w:ilvl="0" w:tplc="DAC8A45E">
      <w:start w:val="1"/>
      <w:numFmt w:val="bullet"/>
      <w:lvlText w:val=""/>
      <w:lvlJc w:val="left"/>
      <w:pPr>
        <w:ind w:left="360" w:hanging="360"/>
      </w:pPr>
      <w:rPr>
        <w:rFonts w:ascii="Wingdings" w:hAnsi="Wingdings" w:hint="default"/>
        <w:color w:val="auto"/>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FD56BA"/>
    <w:multiLevelType w:val="hybridMultilevel"/>
    <w:tmpl w:val="B89E0FF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nsid w:val="6A10423C"/>
    <w:multiLevelType w:val="multilevel"/>
    <w:tmpl w:val="669E3134"/>
    <w:lvl w:ilvl="0">
      <w:start w:val="1"/>
      <w:numFmt w:val="decimal"/>
      <w:lvlText w:val="%1."/>
      <w:lvlJc w:val="left"/>
      <w:pPr>
        <w:ind w:left="420" w:hanging="420"/>
      </w:pPr>
      <w:rPr>
        <w:rFonts w:hint="default"/>
      </w:rPr>
    </w:lvl>
    <w:lvl w:ilvl="1">
      <w:start w:val="1"/>
      <w:numFmt w:val="decimal"/>
      <w:lvlText w:val="%1.%2."/>
      <w:lvlJc w:val="left"/>
      <w:pPr>
        <w:ind w:left="752" w:hanging="4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27">
    <w:nsid w:val="7455397C"/>
    <w:multiLevelType w:val="multilevel"/>
    <w:tmpl w:val="02FE381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D04D15"/>
    <w:multiLevelType w:val="hybridMultilevel"/>
    <w:tmpl w:val="E17E261C"/>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3"/>
  </w:num>
  <w:num w:numId="2">
    <w:abstractNumId w:val="22"/>
  </w:num>
  <w:num w:numId="3">
    <w:abstractNumId w:val="16"/>
  </w:num>
  <w:num w:numId="4">
    <w:abstractNumId w:val="1"/>
  </w:num>
  <w:num w:numId="5">
    <w:abstractNumId w:val="0"/>
  </w:num>
  <w:num w:numId="6">
    <w:abstractNumId w:val="5"/>
  </w:num>
  <w:num w:numId="7">
    <w:abstractNumId w:val="23"/>
  </w:num>
  <w:num w:numId="8">
    <w:abstractNumId w:val="15"/>
  </w:num>
  <w:num w:numId="9">
    <w:abstractNumId w:val="10"/>
  </w:num>
  <w:num w:numId="10">
    <w:abstractNumId w:val="12"/>
  </w:num>
  <w:num w:numId="11">
    <w:abstractNumId w:val="24"/>
  </w:num>
  <w:num w:numId="12">
    <w:abstractNumId w:val="17"/>
  </w:num>
  <w:num w:numId="13">
    <w:abstractNumId w:val="19"/>
  </w:num>
  <w:num w:numId="14">
    <w:abstractNumId w:val="25"/>
  </w:num>
  <w:num w:numId="15">
    <w:abstractNumId w:val="9"/>
  </w:num>
  <w:num w:numId="16">
    <w:abstractNumId w:val="7"/>
  </w:num>
  <w:num w:numId="17">
    <w:abstractNumId w:val="4"/>
  </w:num>
  <w:num w:numId="18">
    <w:abstractNumId w:val="21"/>
  </w:num>
  <w:num w:numId="19">
    <w:abstractNumId w:val="14"/>
  </w:num>
  <w:num w:numId="20">
    <w:abstractNumId w:val="26"/>
  </w:num>
  <w:num w:numId="21">
    <w:abstractNumId w:val="27"/>
  </w:num>
  <w:num w:numId="22">
    <w:abstractNumId w:val="6"/>
  </w:num>
  <w:num w:numId="23">
    <w:abstractNumId w:val="13"/>
  </w:num>
  <w:num w:numId="24">
    <w:abstractNumId w:val="2"/>
  </w:num>
  <w:num w:numId="25">
    <w:abstractNumId w:val="11"/>
  </w:num>
  <w:num w:numId="26">
    <w:abstractNumId w:val="8"/>
  </w:num>
  <w:num w:numId="27">
    <w:abstractNumId w:val="20"/>
  </w:num>
  <w:num w:numId="28">
    <w:abstractNumId w:val="2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204801"/>
  </w:hdrShapeDefaults>
  <w:footnotePr>
    <w:footnote w:id="-1"/>
    <w:footnote w:id="0"/>
  </w:footnotePr>
  <w:endnotePr>
    <w:endnote w:id="-1"/>
    <w:endnote w:id="0"/>
  </w:endnotePr>
  <w:compat/>
  <w:rsids>
    <w:rsidRoot w:val="00051A1C"/>
    <w:rsid w:val="000006CF"/>
    <w:rsid w:val="00007045"/>
    <w:rsid w:val="000075C5"/>
    <w:rsid w:val="00010573"/>
    <w:rsid w:val="0001496E"/>
    <w:rsid w:val="00014D1F"/>
    <w:rsid w:val="000159B5"/>
    <w:rsid w:val="00016BD9"/>
    <w:rsid w:val="000173A4"/>
    <w:rsid w:val="00017DF7"/>
    <w:rsid w:val="00020611"/>
    <w:rsid w:val="000214FB"/>
    <w:rsid w:val="00022523"/>
    <w:rsid w:val="00023A89"/>
    <w:rsid w:val="00023BA6"/>
    <w:rsid w:val="00023EAD"/>
    <w:rsid w:val="0002480A"/>
    <w:rsid w:val="00031B47"/>
    <w:rsid w:val="00032A9F"/>
    <w:rsid w:val="000331F5"/>
    <w:rsid w:val="000350F7"/>
    <w:rsid w:val="000401EE"/>
    <w:rsid w:val="00040261"/>
    <w:rsid w:val="00040280"/>
    <w:rsid w:val="0004188B"/>
    <w:rsid w:val="000419AE"/>
    <w:rsid w:val="0004341C"/>
    <w:rsid w:val="000443E4"/>
    <w:rsid w:val="000446C5"/>
    <w:rsid w:val="00044751"/>
    <w:rsid w:val="00044811"/>
    <w:rsid w:val="000461A6"/>
    <w:rsid w:val="00046C46"/>
    <w:rsid w:val="0004739C"/>
    <w:rsid w:val="0004791C"/>
    <w:rsid w:val="00050B11"/>
    <w:rsid w:val="000518C5"/>
    <w:rsid w:val="00051A1C"/>
    <w:rsid w:val="0005514A"/>
    <w:rsid w:val="0005631C"/>
    <w:rsid w:val="0005680A"/>
    <w:rsid w:val="00060FDE"/>
    <w:rsid w:val="00062879"/>
    <w:rsid w:val="00062E81"/>
    <w:rsid w:val="0006302C"/>
    <w:rsid w:val="000700EC"/>
    <w:rsid w:val="000703FA"/>
    <w:rsid w:val="000730D1"/>
    <w:rsid w:val="000734C7"/>
    <w:rsid w:val="00074C50"/>
    <w:rsid w:val="00075C90"/>
    <w:rsid w:val="00075FE6"/>
    <w:rsid w:val="0007617E"/>
    <w:rsid w:val="0008105E"/>
    <w:rsid w:val="0008118C"/>
    <w:rsid w:val="00081486"/>
    <w:rsid w:val="00081E56"/>
    <w:rsid w:val="00082220"/>
    <w:rsid w:val="000833A6"/>
    <w:rsid w:val="0008397F"/>
    <w:rsid w:val="00084272"/>
    <w:rsid w:val="000847D1"/>
    <w:rsid w:val="000876AA"/>
    <w:rsid w:val="00087787"/>
    <w:rsid w:val="00087912"/>
    <w:rsid w:val="000879A1"/>
    <w:rsid w:val="00092C08"/>
    <w:rsid w:val="00092C69"/>
    <w:rsid w:val="00093955"/>
    <w:rsid w:val="00093E32"/>
    <w:rsid w:val="00094743"/>
    <w:rsid w:val="00094A86"/>
    <w:rsid w:val="00094D29"/>
    <w:rsid w:val="00094F8F"/>
    <w:rsid w:val="00096DA6"/>
    <w:rsid w:val="0009711C"/>
    <w:rsid w:val="000972C3"/>
    <w:rsid w:val="000A0B0B"/>
    <w:rsid w:val="000A1230"/>
    <w:rsid w:val="000A2285"/>
    <w:rsid w:val="000A249F"/>
    <w:rsid w:val="000A3D7C"/>
    <w:rsid w:val="000A632A"/>
    <w:rsid w:val="000A6B35"/>
    <w:rsid w:val="000A7097"/>
    <w:rsid w:val="000A7B2A"/>
    <w:rsid w:val="000B0A3D"/>
    <w:rsid w:val="000B5200"/>
    <w:rsid w:val="000C0688"/>
    <w:rsid w:val="000C0894"/>
    <w:rsid w:val="000C11F7"/>
    <w:rsid w:val="000C1806"/>
    <w:rsid w:val="000C326C"/>
    <w:rsid w:val="000C328B"/>
    <w:rsid w:val="000C62B6"/>
    <w:rsid w:val="000C69A8"/>
    <w:rsid w:val="000C7F03"/>
    <w:rsid w:val="000D10A0"/>
    <w:rsid w:val="000D259B"/>
    <w:rsid w:val="000D3507"/>
    <w:rsid w:val="000D40AC"/>
    <w:rsid w:val="000D5822"/>
    <w:rsid w:val="000D5A1E"/>
    <w:rsid w:val="000E2002"/>
    <w:rsid w:val="000E6D22"/>
    <w:rsid w:val="000F079B"/>
    <w:rsid w:val="000F099A"/>
    <w:rsid w:val="000F0B0D"/>
    <w:rsid w:val="000F42B4"/>
    <w:rsid w:val="001022F4"/>
    <w:rsid w:val="00102B64"/>
    <w:rsid w:val="00104722"/>
    <w:rsid w:val="00106FF3"/>
    <w:rsid w:val="001107E3"/>
    <w:rsid w:val="001108E9"/>
    <w:rsid w:val="00111190"/>
    <w:rsid w:val="0011122E"/>
    <w:rsid w:val="0011132A"/>
    <w:rsid w:val="00111D17"/>
    <w:rsid w:val="00113E50"/>
    <w:rsid w:val="00115C48"/>
    <w:rsid w:val="00117BB9"/>
    <w:rsid w:val="0012089E"/>
    <w:rsid w:val="00121708"/>
    <w:rsid w:val="00124003"/>
    <w:rsid w:val="00125E30"/>
    <w:rsid w:val="001268E7"/>
    <w:rsid w:val="00130286"/>
    <w:rsid w:val="0013083A"/>
    <w:rsid w:val="00130B15"/>
    <w:rsid w:val="00132010"/>
    <w:rsid w:val="00132477"/>
    <w:rsid w:val="00132673"/>
    <w:rsid w:val="001342F6"/>
    <w:rsid w:val="001343E2"/>
    <w:rsid w:val="0013473F"/>
    <w:rsid w:val="00135293"/>
    <w:rsid w:val="001420EE"/>
    <w:rsid w:val="0014373C"/>
    <w:rsid w:val="001437C1"/>
    <w:rsid w:val="001445AA"/>
    <w:rsid w:val="00145754"/>
    <w:rsid w:val="00145844"/>
    <w:rsid w:val="00145DC9"/>
    <w:rsid w:val="00151E3F"/>
    <w:rsid w:val="001526CD"/>
    <w:rsid w:val="00152866"/>
    <w:rsid w:val="0016187F"/>
    <w:rsid w:val="0016188D"/>
    <w:rsid w:val="00162A40"/>
    <w:rsid w:val="0016725E"/>
    <w:rsid w:val="00172E1B"/>
    <w:rsid w:val="00173657"/>
    <w:rsid w:val="00173DB7"/>
    <w:rsid w:val="00174F93"/>
    <w:rsid w:val="00175FE2"/>
    <w:rsid w:val="00176498"/>
    <w:rsid w:val="001769DA"/>
    <w:rsid w:val="001777FC"/>
    <w:rsid w:val="0018006E"/>
    <w:rsid w:val="00180ACF"/>
    <w:rsid w:val="00180D14"/>
    <w:rsid w:val="001815AB"/>
    <w:rsid w:val="00182AA3"/>
    <w:rsid w:val="00183B82"/>
    <w:rsid w:val="0018407C"/>
    <w:rsid w:val="00184C32"/>
    <w:rsid w:val="00185B8D"/>
    <w:rsid w:val="00186FA6"/>
    <w:rsid w:val="00187BCA"/>
    <w:rsid w:val="00190E51"/>
    <w:rsid w:val="00191D21"/>
    <w:rsid w:val="00193692"/>
    <w:rsid w:val="0019380A"/>
    <w:rsid w:val="00193DDA"/>
    <w:rsid w:val="001942EB"/>
    <w:rsid w:val="001950BA"/>
    <w:rsid w:val="00195FE5"/>
    <w:rsid w:val="00197678"/>
    <w:rsid w:val="00197A5C"/>
    <w:rsid w:val="001A033A"/>
    <w:rsid w:val="001A21BF"/>
    <w:rsid w:val="001A22CB"/>
    <w:rsid w:val="001A28C3"/>
    <w:rsid w:val="001A3B62"/>
    <w:rsid w:val="001A4EE7"/>
    <w:rsid w:val="001A5F95"/>
    <w:rsid w:val="001A788A"/>
    <w:rsid w:val="001B02E4"/>
    <w:rsid w:val="001B0FB3"/>
    <w:rsid w:val="001B1DEC"/>
    <w:rsid w:val="001B7153"/>
    <w:rsid w:val="001C01D7"/>
    <w:rsid w:val="001C02F2"/>
    <w:rsid w:val="001C07E0"/>
    <w:rsid w:val="001C11EA"/>
    <w:rsid w:val="001C3931"/>
    <w:rsid w:val="001C39F3"/>
    <w:rsid w:val="001C457A"/>
    <w:rsid w:val="001C493F"/>
    <w:rsid w:val="001C5F71"/>
    <w:rsid w:val="001C68E9"/>
    <w:rsid w:val="001D0025"/>
    <w:rsid w:val="001D2D91"/>
    <w:rsid w:val="001D2F3C"/>
    <w:rsid w:val="001D3051"/>
    <w:rsid w:val="001D3987"/>
    <w:rsid w:val="001D49E8"/>
    <w:rsid w:val="001D6102"/>
    <w:rsid w:val="001D6D31"/>
    <w:rsid w:val="001D6DB1"/>
    <w:rsid w:val="001E155F"/>
    <w:rsid w:val="001E20B3"/>
    <w:rsid w:val="001E3003"/>
    <w:rsid w:val="001E32B2"/>
    <w:rsid w:val="001E4130"/>
    <w:rsid w:val="001E4513"/>
    <w:rsid w:val="001E6859"/>
    <w:rsid w:val="001E6CEC"/>
    <w:rsid w:val="001E7771"/>
    <w:rsid w:val="001F04ED"/>
    <w:rsid w:val="001F1DDC"/>
    <w:rsid w:val="001F1DDE"/>
    <w:rsid w:val="001F2F1B"/>
    <w:rsid w:val="001F31EB"/>
    <w:rsid w:val="001F39B6"/>
    <w:rsid w:val="001F46E1"/>
    <w:rsid w:val="001F68AB"/>
    <w:rsid w:val="001F6BC5"/>
    <w:rsid w:val="001F76D3"/>
    <w:rsid w:val="002017A6"/>
    <w:rsid w:val="00201E54"/>
    <w:rsid w:val="0020206A"/>
    <w:rsid w:val="00202099"/>
    <w:rsid w:val="00204015"/>
    <w:rsid w:val="00205006"/>
    <w:rsid w:val="002070E9"/>
    <w:rsid w:val="002105B1"/>
    <w:rsid w:val="00210B37"/>
    <w:rsid w:val="0021148A"/>
    <w:rsid w:val="002128CA"/>
    <w:rsid w:val="002131CB"/>
    <w:rsid w:val="00216724"/>
    <w:rsid w:val="00217705"/>
    <w:rsid w:val="002209CB"/>
    <w:rsid w:val="00221576"/>
    <w:rsid w:val="0022195A"/>
    <w:rsid w:val="00223BE2"/>
    <w:rsid w:val="00226A91"/>
    <w:rsid w:val="00231085"/>
    <w:rsid w:val="00231B6A"/>
    <w:rsid w:val="00232CEC"/>
    <w:rsid w:val="00233132"/>
    <w:rsid w:val="00234B35"/>
    <w:rsid w:val="002352C7"/>
    <w:rsid w:val="00235360"/>
    <w:rsid w:val="00236241"/>
    <w:rsid w:val="0023643A"/>
    <w:rsid w:val="00236630"/>
    <w:rsid w:val="00236F7C"/>
    <w:rsid w:val="00241EAF"/>
    <w:rsid w:val="0024294B"/>
    <w:rsid w:val="00243493"/>
    <w:rsid w:val="002451BE"/>
    <w:rsid w:val="0024551A"/>
    <w:rsid w:val="00245E4D"/>
    <w:rsid w:val="0024688C"/>
    <w:rsid w:val="00250E14"/>
    <w:rsid w:val="00251191"/>
    <w:rsid w:val="00252F83"/>
    <w:rsid w:val="002532C7"/>
    <w:rsid w:val="00253E28"/>
    <w:rsid w:val="00260F8B"/>
    <w:rsid w:val="00261177"/>
    <w:rsid w:val="00262B6A"/>
    <w:rsid w:val="0026440F"/>
    <w:rsid w:val="0026626C"/>
    <w:rsid w:val="00266AD1"/>
    <w:rsid w:val="00267696"/>
    <w:rsid w:val="00270437"/>
    <w:rsid w:val="00270DFA"/>
    <w:rsid w:val="0027154E"/>
    <w:rsid w:val="002718DD"/>
    <w:rsid w:val="00271B7F"/>
    <w:rsid w:val="00272DE6"/>
    <w:rsid w:val="00273157"/>
    <w:rsid w:val="00273914"/>
    <w:rsid w:val="002742A1"/>
    <w:rsid w:val="00275599"/>
    <w:rsid w:val="00282642"/>
    <w:rsid w:val="002827C5"/>
    <w:rsid w:val="00283843"/>
    <w:rsid w:val="002845C6"/>
    <w:rsid w:val="0028551C"/>
    <w:rsid w:val="0028615F"/>
    <w:rsid w:val="00286694"/>
    <w:rsid w:val="00290C29"/>
    <w:rsid w:val="0029194F"/>
    <w:rsid w:val="00291DAD"/>
    <w:rsid w:val="00291E72"/>
    <w:rsid w:val="0029403B"/>
    <w:rsid w:val="00297DDD"/>
    <w:rsid w:val="002A0184"/>
    <w:rsid w:val="002A1432"/>
    <w:rsid w:val="002A46CA"/>
    <w:rsid w:val="002A49D0"/>
    <w:rsid w:val="002A725C"/>
    <w:rsid w:val="002B0032"/>
    <w:rsid w:val="002B2135"/>
    <w:rsid w:val="002B21AB"/>
    <w:rsid w:val="002B2650"/>
    <w:rsid w:val="002B29C1"/>
    <w:rsid w:val="002B3DFA"/>
    <w:rsid w:val="002B5A80"/>
    <w:rsid w:val="002B5D9A"/>
    <w:rsid w:val="002B6C72"/>
    <w:rsid w:val="002B7FA4"/>
    <w:rsid w:val="002C13CF"/>
    <w:rsid w:val="002C2889"/>
    <w:rsid w:val="002C3857"/>
    <w:rsid w:val="002C3F14"/>
    <w:rsid w:val="002C5D12"/>
    <w:rsid w:val="002C605B"/>
    <w:rsid w:val="002C6AD5"/>
    <w:rsid w:val="002C7215"/>
    <w:rsid w:val="002C7AB5"/>
    <w:rsid w:val="002D0DEF"/>
    <w:rsid w:val="002D2859"/>
    <w:rsid w:val="002D33E0"/>
    <w:rsid w:val="002D3F36"/>
    <w:rsid w:val="002D48B0"/>
    <w:rsid w:val="002D5711"/>
    <w:rsid w:val="002D5967"/>
    <w:rsid w:val="002D599A"/>
    <w:rsid w:val="002D6514"/>
    <w:rsid w:val="002E1536"/>
    <w:rsid w:val="002E1C0E"/>
    <w:rsid w:val="002E4977"/>
    <w:rsid w:val="002E518A"/>
    <w:rsid w:val="002E54FC"/>
    <w:rsid w:val="002E5E9C"/>
    <w:rsid w:val="002E64EC"/>
    <w:rsid w:val="002E6680"/>
    <w:rsid w:val="002E70B4"/>
    <w:rsid w:val="002F1089"/>
    <w:rsid w:val="002F1C53"/>
    <w:rsid w:val="002F25D5"/>
    <w:rsid w:val="002F2897"/>
    <w:rsid w:val="002F2C30"/>
    <w:rsid w:val="002F2FBE"/>
    <w:rsid w:val="002F35E2"/>
    <w:rsid w:val="002F3C9C"/>
    <w:rsid w:val="002F3DAD"/>
    <w:rsid w:val="002F4AA1"/>
    <w:rsid w:val="002F55B9"/>
    <w:rsid w:val="002F5C8A"/>
    <w:rsid w:val="002F6DDC"/>
    <w:rsid w:val="00300299"/>
    <w:rsid w:val="00303ECC"/>
    <w:rsid w:val="00304FB3"/>
    <w:rsid w:val="003053E2"/>
    <w:rsid w:val="00307897"/>
    <w:rsid w:val="003105AF"/>
    <w:rsid w:val="0031234E"/>
    <w:rsid w:val="00312F4F"/>
    <w:rsid w:val="00316751"/>
    <w:rsid w:val="0032178A"/>
    <w:rsid w:val="003225AA"/>
    <w:rsid w:val="003233AF"/>
    <w:rsid w:val="00323DD9"/>
    <w:rsid w:val="00323E40"/>
    <w:rsid w:val="00327F2F"/>
    <w:rsid w:val="003312B4"/>
    <w:rsid w:val="00332010"/>
    <w:rsid w:val="00332500"/>
    <w:rsid w:val="0033566F"/>
    <w:rsid w:val="00340B9C"/>
    <w:rsid w:val="0034346D"/>
    <w:rsid w:val="00344627"/>
    <w:rsid w:val="0034660F"/>
    <w:rsid w:val="00350BD6"/>
    <w:rsid w:val="003536D5"/>
    <w:rsid w:val="0036029D"/>
    <w:rsid w:val="003615C2"/>
    <w:rsid w:val="0036166B"/>
    <w:rsid w:val="0036313C"/>
    <w:rsid w:val="00363DC2"/>
    <w:rsid w:val="00365A5C"/>
    <w:rsid w:val="00371CAB"/>
    <w:rsid w:val="003720ED"/>
    <w:rsid w:val="00372200"/>
    <w:rsid w:val="003724C3"/>
    <w:rsid w:val="00374E68"/>
    <w:rsid w:val="00375726"/>
    <w:rsid w:val="00376CD4"/>
    <w:rsid w:val="00377438"/>
    <w:rsid w:val="0038256D"/>
    <w:rsid w:val="00384797"/>
    <w:rsid w:val="00384D18"/>
    <w:rsid w:val="00384F04"/>
    <w:rsid w:val="003855F3"/>
    <w:rsid w:val="00386E5C"/>
    <w:rsid w:val="00390E46"/>
    <w:rsid w:val="003915EA"/>
    <w:rsid w:val="00391A0D"/>
    <w:rsid w:val="00392AD8"/>
    <w:rsid w:val="00393926"/>
    <w:rsid w:val="00394632"/>
    <w:rsid w:val="00394AC9"/>
    <w:rsid w:val="00395167"/>
    <w:rsid w:val="003963EA"/>
    <w:rsid w:val="00397A86"/>
    <w:rsid w:val="003A3066"/>
    <w:rsid w:val="003A33E3"/>
    <w:rsid w:val="003A4FD6"/>
    <w:rsid w:val="003A5810"/>
    <w:rsid w:val="003A58AA"/>
    <w:rsid w:val="003A71D9"/>
    <w:rsid w:val="003A743D"/>
    <w:rsid w:val="003B27A7"/>
    <w:rsid w:val="003B5988"/>
    <w:rsid w:val="003C0CF3"/>
    <w:rsid w:val="003C1482"/>
    <w:rsid w:val="003C1A61"/>
    <w:rsid w:val="003C1A7F"/>
    <w:rsid w:val="003C71C8"/>
    <w:rsid w:val="003D19D5"/>
    <w:rsid w:val="003D2D26"/>
    <w:rsid w:val="003D3C2F"/>
    <w:rsid w:val="003D53AB"/>
    <w:rsid w:val="003D55EC"/>
    <w:rsid w:val="003D6A86"/>
    <w:rsid w:val="003D6FF6"/>
    <w:rsid w:val="003E093F"/>
    <w:rsid w:val="003E1044"/>
    <w:rsid w:val="003E1C44"/>
    <w:rsid w:val="003E28E2"/>
    <w:rsid w:val="003E3332"/>
    <w:rsid w:val="003E4D4C"/>
    <w:rsid w:val="003E5FE9"/>
    <w:rsid w:val="003E6BA0"/>
    <w:rsid w:val="003E74AF"/>
    <w:rsid w:val="003F02B2"/>
    <w:rsid w:val="003F1D51"/>
    <w:rsid w:val="003F2C9C"/>
    <w:rsid w:val="003F3EF6"/>
    <w:rsid w:val="003F4890"/>
    <w:rsid w:val="003F64ED"/>
    <w:rsid w:val="003F6E3D"/>
    <w:rsid w:val="003F7881"/>
    <w:rsid w:val="003F7B8E"/>
    <w:rsid w:val="0040092E"/>
    <w:rsid w:val="0040166A"/>
    <w:rsid w:val="00402AEB"/>
    <w:rsid w:val="00403525"/>
    <w:rsid w:val="004039F0"/>
    <w:rsid w:val="00404336"/>
    <w:rsid w:val="00406460"/>
    <w:rsid w:val="00406A38"/>
    <w:rsid w:val="00407067"/>
    <w:rsid w:val="00407AD9"/>
    <w:rsid w:val="004106D1"/>
    <w:rsid w:val="00412639"/>
    <w:rsid w:val="00413DD5"/>
    <w:rsid w:val="00413FE9"/>
    <w:rsid w:val="00415285"/>
    <w:rsid w:val="00422021"/>
    <w:rsid w:val="004242A4"/>
    <w:rsid w:val="00425F1A"/>
    <w:rsid w:val="00425FA9"/>
    <w:rsid w:val="00427E7B"/>
    <w:rsid w:val="00435509"/>
    <w:rsid w:val="00437540"/>
    <w:rsid w:val="0043756A"/>
    <w:rsid w:val="00437BBF"/>
    <w:rsid w:val="0044069F"/>
    <w:rsid w:val="00443CA4"/>
    <w:rsid w:val="00444DC2"/>
    <w:rsid w:val="00445515"/>
    <w:rsid w:val="00445E18"/>
    <w:rsid w:val="00450121"/>
    <w:rsid w:val="004515E2"/>
    <w:rsid w:val="00451DF3"/>
    <w:rsid w:val="00452170"/>
    <w:rsid w:val="00452DC4"/>
    <w:rsid w:val="00452E68"/>
    <w:rsid w:val="0045306C"/>
    <w:rsid w:val="00453546"/>
    <w:rsid w:val="004543CC"/>
    <w:rsid w:val="0045495E"/>
    <w:rsid w:val="00455545"/>
    <w:rsid w:val="0045670D"/>
    <w:rsid w:val="004612BD"/>
    <w:rsid w:val="004614BE"/>
    <w:rsid w:val="00461752"/>
    <w:rsid w:val="00462195"/>
    <w:rsid w:val="0046222A"/>
    <w:rsid w:val="0046385D"/>
    <w:rsid w:val="00463E49"/>
    <w:rsid w:val="00465986"/>
    <w:rsid w:val="0047035C"/>
    <w:rsid w:val="0047129B"/>
    <w:rsid w:val="0047285A"/>
    <w:rsid w:val="00472AC0"/>
    <w:rsid w:val="004733BB"/>
    <w:rsid w:val="00476A6E"/>
    <w:rsid w:val="00480AFD"/>
    <w:rsid w:val="00481701"/>
    <w:rsid w:val="004832CE"/>
    <w:rsid w:val="004837AB"/>
    <w:rsid w:val="00484B5A"/>
    <w:rsid w:val="0048532F"/>
    <w:rsid w:val="00487AEB"/>
    <w:rsid w:val="00490092"/>
    <w:rsid w:val="0049162F"/>
    <w:rsid w:val="00495C95"/>
    <w:rsid w:val="00495D38"/>
    <w:rsid w:val="00497CBE"/>
    <w:rsid w:val="004A1606"/>
    <w:rsid w:val="004A289F"/>
    <w:rsid w:val="004A303C"/>
    <w:rsid w:val="004A3942"/>
    <w:rsid w:val="004A41D5"/>
    <w:rsid w:val="004A455D"/>
    <w:rsid w:val="004A60A4"/>
    <w:rsid w:val="004A60DF"/>
    <w:rsid w:val="004B0DBD"/>
    <w:rsid w:val="004B1607"/>
    <w:rsid w:val="004B232E"/>
    <w:rsid w:val="004B2405"/>
    <w:rsid w:val="004B3557"/>
    <w:rsid w:val="004B4C51"/>
    <w:rsid w:val="004B5FCF"/>
    <w:rsid w:val="004B6222"/>
    <w:rsid w:val="004B6226"/>
    <w:rsid w:val="004B674E"/>
    <w:rsid w:val="004C0B9C"/>
    <w:rsid w:val="004C242C"/>
    <w:rsid w:val="004C6D39"/>
    <w:rsid w:val="004D014F"/>
    <w:rsid w:val="004D2739"/>
    <w:rsid w:val="004D2E24"/>
    <w:rsid w:val="004D5B1B"/>
    <w:rsid w:val="004D6813"/>
    <w:rsid w:val="004D7897"/>
    <w:rsid w:val="004E1B75"/>
    <w:rsid w:val="004E3019"/>
    <w:rsid w:val="004E33CF"/>
    <w:rsid w:val="004E37E9"/>
    <w:rsid w:val="004E45DA"/>
    <w:rsid w:val="004E49D3"/>
    <w:rsid w:val="004F2B80"/>
    <w:rsid w:val="004F2B9C"/>
    <w:rsid w:val="004F3397"/>
    <w:rsid w:val="004F3654"/>
    <w:rsid w:val="004F3D53"/>
    <w:rsid w:val="004F3F9F"/>
    <w:rsid w:val="004F42CB"/>
    <w:rsid w:val="004F68A9"/>
    <w:rsid w:val="00502C2B"/>
    <w:rsid w:val="00503B34"/>
    <w:rsid w:val="00504667"/>
    <w:rsid w:val="00505E68"/>
    <w:rsid w:val="00506220"/>
    <w:rsid w:val="00507B6B"/>
    <w:rsid w:val="00507EF3"/>
    <w:rsid w:val="00511421"/>
    <w:rsid w:val="00511CEB"/>
    <w:rsid w:val="0051270C"/>
    <w:rsid w:val="00515706"/>
    <w:rsid w:val="0051605E"/>
    <w:rsid w:val="005212B1"/>
    <w:rsid w:val="00523695"/>
    <w:rsid w:val="005245AA"/>
    <w:rsid w:val="00524751"/>
    <w:rsid w:val="00525855"/>
    <w:rsid w:val="00527A13"/>
    <w:rsid w:val="00530D0A"/>
    <w:rsid w:val="00531C98"/>
    <w:rsid w:val="00533845"/>
    <w:rsid w:val="00534EF5"/>
    <w:rsid w:val="0053557B"/>
    <w:rsid w:val="00535C86"/>
    <w:rsid w:val="00536384"/>
    <w:rsid w:val="00536F46"/>
    <w:rsid w:val="0054229B"/>
    <w:rsid w:val="0054254F"/>
    <w:rsid w:val="0054383D"/>
    <w:rsid w:val="00543C68"/>
    <w:rsid w:val="005456A4"/>
    <w:rsid w:val="00545862"/>
    <w:rsid w:val="005473E7"/>
    <w:rsid w:val="00550437"/>
    <w:rsid w:val="00550601"/>
    <w:rsid w:val="00551AA0"/>
    <w:rsid w:val="00553314"/>
    <w:rsid w:val="005540B9"/>
    <w:rsid w:val="005548BD"/>
    <w:rsid w:val="005557A1"/>
    <w:rsid w:val="00556A19"/>
    <w:rsid w:val="00557784"/>
    <w:rsid w:val="0056168A"/>
    <w:rsid w:val="00562116"/>
    <w:rsid w:val="0056303D"/>
    <w:rsid w:val="005648E7"/>
    <w:rsid w:val="00564B00"/>
    <w:rsid w:val="00565F33"/>
    <w:rsid w:val="00570845"/>
    <w:rsid w:val="00570F82"/>
    <w:rsid w:val="005715E6"/>
    <w:rsid w:val="00572022"/>
    <w:rsid w:val="005727D4"/>
    <w:rsid w:val="00572B38"/>
    <w:rsid w:val="00573CF6"/>
    <w:rsid w:val="005749A7"/>
    <w:rsid w:val="00574E54"/>
    <w:rsid w:val="00574FA8"/>
    <w:rsid w:val="0057502B"/>
    <w:rsid w:val="005759D8"/>
    <w:rsid w:val="00580558"/>
    <w:rsid w:val="00581270"/>
    <w:rsid w:val="00582808"/>
    <w:rsid w:val="00584D91"/>
    <w:rsid w:val="00585F96"/>
    <w:rsid w:val="00592472"/>
    <w:rsid w:val="0059541B"/>
    <w:rsid w:val="00595C7A"/>
    <w:rsid w:val="00595DFB"/>
    <w:rsid w:val="005968B7"/>
    <w:rsid w:val="00597E52"/>
    <w:rsid w:val="005A0203"/>
    <w:rsid w:val="005A0358"/>
    <w:rsid w:val="005A5899"/>
    <w:rsid w:val="005A5968"/>
    <w:rsid w:val="005A64CD"/>
    <w:rsid w:val="005A6E26"/>
    <w:rsid w:val="005B073D"/>
    <w:rsid w:val="005B0FEF"/>
    <w:rsid w:val="005B143B"/>
    <w:rsid w:val="005B2CE0"/>
    <w:rsid w:val="005B4AA4"/>
    <w:rsid w:val="005C0F88"/>
    <w:rsid w:val="005C5317"/>
    <w:rsid w:val="005C6D11"/>
    <w:rsid w:val="005D05D8"/>
    <w:rsid w:val="005D106F"/>
    <w:rsid w:val="005D2461"/>
    <w:rsid w:val="005D2CAC"/>
    <w:rsid w:val="005D3DEE"/>
    <w:rsid w:val="005D4D8A"/>
    <w:rsid w:val="005E1132"/>
    <w:rsid w:val="005E22B7"/>
    <w:rsid w:val="005E627E"/>
    <w:rsid w:val="005E6A79"/>
    <w:rsid w:val="005F5711"/>
    <w:rsid w:val="005F5B47"/>
    <w:rsid w:val="006007D6"/>
    <w:rsid w:val="006009A6"/>
    <w:rsid w:val="006017BB"/>
    <w:rsid w:val="00603A61"/>
    <w:rsid w:val="00603B17"/>
    <w:rsid w:val="00607A44"/>
    <w:rsid w:val="00611B0E"/>
    <w:rsid w:val="00612FE3"/>
    <w:rsid w:val="006160F0"/>
    <w:rsid w:val="00617EAE"/>
    <w:rsid w:val="00621CE5"/>
    <w:rsid w:val="00622A70"/>
    <w:rsid w:val="00623154"/>
    <w:rsid w:val="00623AE2"/>
    <w:rsid w:val="00624CE3"/>
    <w:rsid w:val="00626EFE"/>
    <w:rsid w:val="006303F8"/>
    <w:rsid w:val="0063122B"/>
    <w:rsid w:val="00633A90"/>
    <w:rsid w:val="00634A76"/>
    <w:rsid w:val="0063591D"/>
    <w:rsid w:val="00635F13"/>
    <w:rsid w:val="00636F5B"/>
    <w:rsid w:val="0063793C"/>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448D"/>
    <w:rsid w:val="00655269"/>
    <w:rsid w:val="0065569F"/>
    <w:rsid w:val="006559AC"/>
    <w:rsid w:val="00656B85"/>
    <w:rsid w:val="00656CBC"/>
    <w:rsid w:val="00656EA7"/>
    <w:rsid w:val="0065733C"/>
    <w:rsid w:val="00657610"/>
    <w:rsid w:val="006605C7"/>
    <w:rsid w:val="0066117F"/>
    <w:rsid w:val="00662DF2"/>
    <w:rsid w:val="00666E06"/>
    <w:rsid w:val="00670527"/>
    <w:rsid w:val="00670776"/>
    <w:rsid w:val="00670D7F"/>
    <w:rsid w:val="00672058"/>
    <w:rsid w:val="006721D7"/>
    <w:rsid w:val="006726FB"/>
    <w:rsid w:val="00673220"/>
    <w:rsid w:val="00674E83"/>
    <w:rsid w:val="0067660E"/>
    <w:rsid w:val="00676A11"/>
    <w:rsid w:val="006771FC"/>
    <w:rsid w:val="00677EBC"/>
    <w:rsid w:val="00681332"/>
    <w:rsid w:val="00684562"/>
    <w:rsid w:val="0068626A"/>
    <w:rsid w:val="0068746E"/>
    <w:rsid w:val="00687949"/>
    <w:rsid w:val="00687FC1"/>
    <w:rsid w:val="00692632"/>
    <w:rsid w:val="00694C8F"/>
    <w:rsid w:val="0069680F"/>
    <w:rsid w:val="00696EFF"/>
    <w:rsid w:val="006A35B8"/>
    <w:rsid w:val="006A497A"/>
    <w:rsid w:val="006A5E10"/>
    <w:rsid w:val="006A60F3"/>
    <w:rsid w:val="006A64E5"/>
    <w:rsid w:val="006A760B"/>
    <w:rsid w:val="006B0497"/>
    <w:rsid w:val="006B1174"/>
    <w:rsid w:val="006B1587"/>
    <w:rsid w:val="006B2120"/>
    <w:rsid w:val="006B277A"/>
    <w:rsid w:val="006B2CDB"/>
    <w:rsid w:val="006B2FB5"/>
    <w:rsid w:val="006B3FEE"/>
    <w:rsid w:val="006B40B9"/>
    <w:rsid w:val="006B5F39"/>
    <w:rsid w:val="006B669A"/>
    <w:rsid w:val="006B7013"/>
    <w:rsid w:val="006C0BA6"/>
    <w:rsid w:val="006C21D2"/>
    <w:rsid w:val="006C3995"/>
    <w:rsid w:val="006C7DDE"/>
    <w:rsid w:val="006D0547"/>
    <w:rsid w:val="006D14E3"/>
    <w:rsid w:val="006D1B68"/>
    <w:rsid w:val="006D2DE7"/>
    <w:rsid w:val="006D3EC5"/>
    <w:rsid w:val="006D45E1"/>
    <w:rsid w:val="006D4755"/>
    <w:rsid w:val="006D7A15"/>
    <w:rsid w:val="006D7F61"/>
    <w:rsid w:val="006E0234"/>
    <w:rsid w:val="006E2D0F"/>
    <w:rsid w:val="006E450C"/>
    <w:rsid w:val="006E6F24"/>
    <w:rsid w:val="006E719B"/>
    <w:rsid w:val="006E7387"/>
    <w:rsid w:val="006F03CA"/>
    <w:rsid w:val="006F13BE"/>
    <w:rsid w:val="006F291D"/>
    <w:rsid w:val="006F45D6"/>
    <w:rsid w:val="006F507E"/>
    <w:rsid w:val="006F55BB"/>
    <w:rsid w:val="006F7FAA"/>
    <w:rsid w:val="007044DA"/>
    <w:rsid w:val="00704D5E"/>
    <w:rsid w:val="00705713"/>
    <w:rsid w:val="007062A0"/>
    <w:rsid w:val="00706BF1"/>
    <w:rsid w:val="00707BDE"/>
    <w:rsid w:val="00707DCB"/>
    <w:rsid w:val="00710816"/>
    <w:rsid w:val="0071083A"/>
    <w:rsid w:val="00713DE8"/>
    <w:rsid w:val="00713FE4"/>
    <w:rsid w:val="00715B84"/>
    <w:rsid w:val="007168A2"/>
    <w:rsid w:val="00717D11"/>
    <w:rsid w:val="00721A69"/>
    <w:rsid w:val="00722800"/>
    <w:rsid w:val="00723AD0"/>
    <w:rsid w:val="00727B39"/>
    <w:rsid w:val="00733104"/>
    <w:rsid w:val="00735911"/>
    <w:rsid w:val="00735F67"/>
    <w:rsid w:val="00740F76"/>
    <w:rsid w:val="00744650"/>
    <w:rsid w:val="00747513"/>
    <w:rsid w:val="00752565"/>
    <w:rsid w:val="00752662"/>
    <w:rsid w:val="00753DC2"/>
    <w:rsid w:val="007545DD"/>
    <w:rsid w:val="00755A6F"/>
    <w:rsid w:val="007560F0"/>
    <w:rsid w:val="007565E0"/>
    <w:rsid w:val="00757C4D"/>
    <w:rsid w:val="00760F9F"/>
    <w:rsid w:val="00761320"/>
    <w:rsid w:val="00763141"/>
    <w:rsid w:val="007652CA"/>
    <w:rsid w:val="007667EC"/>
    <w:rsid w:val="00770756"/>
    <w:rsid w:val="00771341"/>
    <w:rsid w:val="00771460"/>
    <w:rsid w:val="00771502"/>
    <w:rsid w:val="00771DF1"/>
    <w:rsid w:val="00780592"/>
    <w:rsid w:val="007812D1"/>
    <w:rsid w:val="00781671"/>
    <w:rsid w:val="0078572B"/>
    <w:rsid w:val="00787140"/>
    <w:rsid w:val="00787D01"/>
    <w:rsid w:val="0079066D"/>
    <w:rsid w:val="00790A31"/>
    <w:rsid w:val="0079215A"/>
    <w:rsid w:val="00792C43"/>
    <w:rsid w:val="00793901"/>
    <w:rsid w:val="00794E64"/>
    <w:rsid w:val="007952DD"/>
    <w:rsid w:val="00795A5C"/>
    <w:rsid w:val="00797404"/>
    <w:rsid w:val="00797BED"/>
    <w:rsid w:val="007A0784"/>
    <w:rsid w:val="007A122F"/>
    <w:rsid w:val="007A1919"/>
    <w:rsid w:val="007A2DB6"/>
    <w:rsid w:val="007A3DD9"/>
    <w:rsid w:val="007A53B4"/>
    <w:rsid w:val="007A5FB2"/>
    <w:rsid w:val="007A6598"/>
    <w:rsid w:val="007A7C8B"/>
    <w:rsid w:val="007B2107"/>
    <w:rsid w:val="007B5209"/>
    <w:rsid w:val="007B5C03"/>
    <w:rsid w:val="007B5F31"/>
    <w:rsid w:val="007C0858"/>
    <w:rsid w:val="007C3EFC"/>
    <w:rsid w:val="007C4095"/>
    <w:rsid w:val="007C4099"/>
    <w:rsid w:val="007C4A52"/>
    <w:rsid w:val="007C4B8E"/>
    <w:rsid w:val="007C57CD"/>
    <w:rsid w:val="007C782F"/>
    <w:rsid w:val="007C7E66"/>
    <w:rsid w:val="007D021B"/>
    <w:rsid w:val="007D132E"/>
    <w:rsid w:val="007D28CF"/>
    <w:rsid w:val="007D3BCC"/>
    <w:rsid w:val="007D4B95"/>
    <w:rsid w:val="007D4C79"/>
    <w:rsid w:val="007D5722"/>
    <w:rsid w:val="007D703B"/>
    <w:rsid w:val="007D7B79"/>
    <w:rsid w:val="007E0B71"/>
    <w:rsid w:val="007E14D5"/>
    <w:rsid w:val="007E21EC"/>
    <w:rsid w:val="007E28FD"/>
    <w:rsid w:val="007E2BDE"/>
    <w:rsid w:val="007E5047"/>
    <w:rsid w:val="007E63FA"/>
    <w:rsid w:val="007F1156"/>
    <w:rsid w:val="007F23FE"/>
    <w:rsid w:val="007F2A84"/>
    <w:rsid w:val="007F2B5D"/>
    <w:rsid w:val="007F3581"/>
    <w:rsid w:val="007F368F"/>
    <w:rsid w:val="007F5767"/>
    <w:rsid w:val="007F70FC"/>
    <w:rsid w:val="007F72A8"/>
    <w:rsid w:val="007F7C4B"/>
    <w:rsid w:val="00801BFC"/>
    <w:rsid w:val="00802B56"/>
    <w:rsid w:val="00804E4E"/>
    <w:rsid w:val="00805AF2"/>
    <w:rsid w:val="00806069"/>
    <w:rsid w:val="008061A5"/>
    <w:rsid w:val="0081067C"/>
    <w:rsid w:val="00810E47"/>
    <w:rsid w:val="00810E7D"/>
    <w:rsid w:val="008134E4"/>
    <w:rsid w:val="0081374A"/>
    <w:rsid w:val="0081630E"/>
    <w:rsid w:val="008164E0"/>
    <w:rsid w:val="0081706D"/>
    <w:rsid w:val="00817F1B"/>
    <w:rsid w:val="00820CDF"/>
    <w:rsid w:val="0082170C"/>
    <w:rsid w:val="00822D82"/>
    <w:rsid w:val="00823A25"/>
    <w:rsid w:val="00825EF0"/>
    <w:rsid w:val="00826192"/>
    <w:rsid w:val="008303D8"/>
    <w:rsid w:val="00831928"/>
    <w:rsid w:val="0083269A"/>
    <w:rsid w:val="00832F8E"/>
    <w:rsid w:val="00833D31"/>
    <w:rsid w:val="008361C3"/>
    <w:rsid w:val="008363E3"/>
    <w:rsid w:val="00836EAA"/>
    <w:rsid w:val="008375E6"/>
    <w:rsid w:val="00837E60"/>
    <w:rsid w:val="00841D0C"/>
    <w:rsid w:val="00841E0F"/>
    <w:rsid w:val="00842F1F"/>
    <w:rsid w:val="00843C1B"/>
    <w:rsid w:val="00844751"/>
    <w:rsid w:val="008447F2"/>
    <w:rsid w:val="0084592A"/>
    <w:rsid w:val="00847124"/>
    <w:rsid w:val="008477DD"/>
    <w:rsid w:val="00850D9A"/>
    <w:rsid w:val="008530B9"/>
    <w:rsid w:val="00854D50"/>
    <w:rsid w:val="00860888"/>
    <w:rsid w:val="00861027"/>
    <w:rsid w:val="0086170A"/>
    <w:rsid w:val="00863B80"/>
    <w:rsid w:val="00864C89"/>
    <w:rsid w:val="0087453A"/>
    <w:rsid w:val="00874B9F"/>
    <w:rsid w:val="00874EED"/>
    <w:rsid w:val="008751D7"/>
    <w:rsid w:val="00875DE7"/>
    <w:rsid w:val="0088136B"/>
    <w:rsid w:val="0088309F"/>
    <w:rsid w:val="008832C4"/>
    <w:rsid w:val="00883458"/>
    <w:rsid w:val="00884187"/>
    <w:rsid w:val="00885691"/>
    <w:rsid w:val="00890451"/>
    <w:rsid w:val="00890A41"/>
    <w:rsid w:val="00891B7E"/>
    <w:rsid w:val="008920BF"/>
    <w:rsid w:val="00894A1B"/>
    <w:rsid w:val="00895AAA"/>
    <w:rsid w:val="00896E66"/>
    <w:rsid w:val="008974D5"/>
    <w:rsid w:val="00897FD3"/>
    <w:rsid w:val="008A1044"/>
    <w:rsid w:val="008A3670"/>
    <w:rsid w:val="008A4E49"/>
    <w:rsid w:val="008A4E9F"/>
    <w:rsid w:val="008A5924"/>
    <w:rsid w:val="008A652A"/>
    <w:rsid w:val="008A6BF2"/>
    <w:rsid w:val="008A7545"/>
    <w:rsid w:val="008B2B87"/>
    <w:rsid w:val="008B2F47"/>
    <w:rsid w:val="008B37E4"/>
    <w:rsid w:val="008B37F0"/>
    <w:rsid w:val="008B3998"/>
    <w:rsid w:val="008B5BC4"/>
    <w:rsid w:val="008B7445"/>
    <w:rsid w:val="008B75DB"/>
    <w:rsid w:val="008B7DEA"/>
    <w:rsid w:val="008C10FA"/>
    <w:rsid w:val="008C1AA5"/>
    <w:rsid w:val="008C1DFD"/>
    <w:rsid w:val="008C2C5E"/>
    <w:rsid w:val="008C3050"/>
    <w:rsid w:val="008C432F"/>
    <w:rsid w:val="008C5A12"/>
    <w:rsid w:val="008C5C3F"/>
    <w:rsid w:val="008C5DA9"/>
    <w:rsid w:val="008C7DE2"/>
    <w:rsid w:val="008D2886"/>
    <w:rsid w:val="008D35AB"/>
    <w:rsid w:val="008D69E8"/>
    <w:rsid w:val="008E007A"/>
    <w:rsid w:val="008E2128"/>
    <w:rsid w:val="008E2D79"/>
    <w:rsid w:val="008E2EC0"/>
    <w:rsid w:val="008E3720"/>
    <w:rsid w:val="008E4ED4"/>
    <w:rsid w:val="008E593B"/>
    <w:rsid w:val="008E60A1"/>
    <w:rsid w:val="008E6C07"/>
    <w:rsid w:val="008E72B1"/>
    <w:rsid w:val="008F1146"/>
    <w:rsid w:val="008F32EF"/>
    <w:rsid w:val="008F3F39"/>
    <w:rsid w:val="008F4B0E"/>
    <w:rsid w:val="008F4E95"/>
    <w:rsid w:val="008F532E"/>
    <w:rsid w:val="008F5A44"/>
    <w:rsid w:val="008F738A"/>
    <w:rsid w:val="008F7EE4"/>
    <w:rsid w:val="00903AF4"/>
    <w:rsid w:val="009048CA"/>
    <w:rsid w:val="00906472"/>
    <w:rsid w:val="009072E8"/>
    <w:rsid w:val="00907682"/>
    <w:rsid w:val="00907FDA"/>
    <w:rsid w:val="0091213A"/>
    <w:rsid w:val="009125C8"/>
    <w:rsid w:val="00912CDC"/>
    <w:rsid w:val="009138E1"/>
    <w:rsid w:val="00914B80"/>
    <w:rsid w:val="00916CCF"/>
    <w:rsid w:val="00916CEF"/>
    <w:rsid w:val="00920661"/>
    <w:rsid w:val="00921A8D"/>
    <w:rsid w:val="00922A10"/>
    <w:rsid w:val="009239C5"/>
    <w:rsid w:val="009257DB"/>
    <w:rsid w:val="0092787E"/>
    <w:rsid w:val="00927B54"/>
    <w:rsid w:val="00934387"/>
    <w:rsid w:val="0093457D"/>
    <w:rsid w:val="00934CE1"/>
    <w:rsid w:val="00935CEF"/>
    <w:rsid w:val="00937B91"/>
    <w:rsid w:val="009413BD"/>
    <w:rsid w:val="00942202"/>
    <w:rsid w:val="009422B9"/>
    <w:rsid w:val="00947222"/>
    <w:rsid w:val="00947C31"/>
    <w:rsid w:val="00952C19"/>
    <w:rsid w:val="0095449B"/>
    <w:rsid w:val="00954E9D"/>
    <w:rsid w:val="00955292"/>
    <w:rsid w:val="009561E1"/>
    <w:rsid w:val="009566DF"/>
    <w:rsid w:val="00956BE0"/>
    <w:rsid w:val="00960F50"/>
    <w:rsid w:val="0096376E"/>
    <w:rsid w:val="009669AC"/>
    <w:rsid w:val="00971CF8"/>
    <w:rsid w:val="00977C9D"/>
    <w:rsid w:val="00982293"/>
    <w:rsid w:val="009848F8"/>
    <w:rsid w:val="0098570E"/>
    <w:rsid w:val="00987B37"/>
    <w:rsid w:val="00987FA1"/>
    <w:rsid w:val="00991D8E"/>
    <w:rsid w:val="00995E0F"/>
    <w:rsid w:val="009A0D4F"/>
    <w:rsid w:val="009A1AD8"/>
    <w:rsid w:val="009A3B53"/>
    <w:rsid w:val="009A3F36"/>
    <w:rsid w:val="009A4137"/>
    <w:rsid w:val="009A690C"/>
    <w:rsid w:val="009A7369"/>
    <w:rsid w:val="009B0A7B"/>
    <w:rsid w:val="009B2734"/>
    <w:rsid w:val="009B3E22"/>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48E3"/>
    <w:rsid w:val="009D4FAC"/>
    <w:rsid w:val="009D5B22"/>
    <w:rsid w:val="009D6D8F"/>
    <w:rsid w:val="009D711C"/>
    <w:rsid w:val="009E053A"/>
    <w:rsid w:val="009E3028"/>
    <w:rsid w:val="009E4020"/>
    <w:rsid w:val="009F0AD3"/>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5237"/>
    <w:rsid w:val="00A05C48"/>
    <w:rsid w:val="00A06121"/>
    <w:rsid w:val="00A0723C"/>
    <w:rsid w:val="00A0772D"/>
    <w:rsid w:val="00A07B3B"/>
    <w:rsid w:val="00A11B1F"/>
    <w:rsid w:val="00A11DF0"/>
    <w:rsid w:val="00A123DE"/>
    <w:rsid w:val="00A12CBB"/>
    <w:rsid w:val="00A12CFF"/>
    <w:rsid w:val="00A12F27"/>
    <w:rsid w:val="00A1405D"/>
    <w:rsid w:val="00A15840"/>
    <w:rsid w:val="00A2076A"/>
    <w:rsid w:val="00A20B68"/>
    <w:rsid w:val="00A231CC"/>
    <w:rsid w:val="00A25691"/>
    <w:rsid w:val="00A259C5"/>
    <w:rsid w:val="00A31701"/>
    <w:rsid w:val="00A33261"/>
    <w:rsid w:val="00A3480D"/>
    <w:rsid w:val="00A35D22"/>
    <w:rsid w:val="00A374FB"/>
    <w:rsid w:val="00A45172"/>
    <w:rsid w:val="00A456AA"/>
    <w:rsid w:val="00A478CF"/>
    <w:rsid w:val="00A47ABD"/>
    <w:rsid w:val="00A53705"/>
    <w:rsid w:val="00A53E1A"/>
    <w:rsid w:val="00A5439E"/>
    <w:rsid w:val="00A56161"/>
    <w:rsid w:val="00A573C2"/>
    <w:rsid w:val="00A5789D"/>
    <w:rsid w:val="00A61668"/>
    <w:rsid w:val="00A666EA"/>
    <w:rsid w:val="00A678BC"/>
    <w:rsid w:val="00A67BC9"/>
    <w:rsid w:val="00A723F7"/>
    <w:rsid w:val="00A73108"/>
    <w:rsid w:val="00A745BF"/>
    <w:rsid w:val="00A7474F"/>
    <w:rsid w:val="00A74F92"/>
    <w:rsid w:val="00A7585E"/>
    <w:rsid w:val="00A75DBC"/>
    <w:rsid w:val="00A75FE0"/>
    <w:rsid w:val="00A76668"/>
    <w:rsid w:val="00A800AB"/>
    <w:rsid w:val="00A82B3C"/>
    <w:rsid w:val="00A82CE2"/>
    <w:rsid w:val="00A84941"/>
    <w:rsid w:val="00A85FFE"/>
    <w:rsid w:val="00A86DA7"/>
    <w:rsid w:val="00A86F66"/>
    <w:rsid w:val="00A90FD9"/>
    <w:rsid w:val="00A95059"/>
    <w:rsid w:val="00A95CF7"/>
    <w:rsid w:val="00A9791B"/>
    <w:rsid w:val="00AA2E89"/>
    <w:rsid w:val="00AA7901"/>
    <w:rsid w:val="00AB0D05"/>
    <w:rsid w:val="00AB274F"/>
    <w:rsid w:val="00AB2A1F"/>
    <w:rsid w:val="00AB380B"/>
    <w:rsid w:val="00AB433B"/>
    <w:rsid w:val="00AB4BCB"/>
    <w:rsid w:val="00AB551F"/>
    <w:rsid w:val="00AB7CE1"/>
    <w:rsid w:val="00AC0B8D"/>
    <w:rsid w:val="00AC0E68"/>
    <w:rsid w:val="00AC1FB9"/>
    <w:rsid w:val="00AC51C4"/>
    <w:rsid w:val="00AD07E9"/>
    <w:rsid w:val="00AD4A55"/>
    <w:rsid w:val="00AD4AEA"/>
    <w:rsid w:val="00AD528C"/>
    <w:rsid w:val="00AD63DB"/>
    <w:rsid w:val="00AE0DCA"/>
    <w:rsid w:val="00AE2E33"/>
    <w:rsid w:val="00AE7341"/>
    <w:rsid w:val="00AE73DC"/>
    <w:rsid w:val="00AF0E10"/>
    <w:rsid w:val="00AF1DE6"/>
    <w:rsid w:val="00AF2EDC"/>
    <w:rsid w:val="00AF44AF"/>
    <w:rsid w:val="00AF53F0"/>
    <w:rsid w:val="00B00875"/>
    <w:rsid w:val="00B04B2A"/>
    <w:rsid w:val="00B06149"/>
    <w:rsid w:val="00B07142"/>
    <w:rsid w:val="00B10804"/>
    <w:rsid w:val="00B115B5"/>
    <w:rsid w:val="00B115D0"/>
    <w:rsid w:val="00B1247A"/>
    <w:rsid w:val="00B13C3A"/>
    <w:rsid w:val="00B15208"/>
    <w:rsid w:val="00B15B83"/>
    <w:rsid w:val="00B15CC0"/>
    <w:rsid w:val="00B16A64"/>
    <w:rsid w:val="00B223EB"/>
    <w:rsid w:val="00B22A23"/>
    <w:rsid w:val="00B23B86"/>
    <w:rsid w:val="00B25A49"/>
    <w:rsid w:val="00B27A84"/>
    <w:rsid w:val="00B31260"/>
    <w:rsid w:val="00B3195A"/>
    <w:rsid w:val="00B31994"/>
    <w:rsid w:val="00B319F8"/>
    <w:rsid w:val="00B33C07"/>
    <w:rsid w:val="00B3546D"/>
    <w:rsid w:val="00B35A52"/>
    <w:rsid w:val="00B3622E"/>
    <w:rsid w:val="00B40722"/>
    <w:rsid w:val="00B43465"/>
    <w:rsid w:val="00B43976"/>
    <w:rsid w:val="00B43D3B"/>
    <w:rsid w:val="00B44710"/>
    <w:rsid w:val="00B4555A"/>
    <w:rsid w:val="00B509FB"/>
    <w:rsid w:val="00B50FF5"/>
    <w:rsid w:val="00B516DB"/>
    <w:rsid w:val="00B52A17"/>
    <w:rsid w:val="00B52F1B"/>
    <w:rsid w:val="00B5458B"/>
    <w:rsid w:val="00B55987"/>
    <w:rsid w:val="00B56FBC"/>
    <w:rsid w:val="00B57BCC"/>
    <w:rsid w:val="00B57EE4"/>
    <w:rsid w:val="00B62302"/>
    <w:rsid w:val="00B62666"/>
    <w:rsid w:val="00B632A3"/>
    <w:rsid w:val="00B6722B"/>
    <w:rsid w:val="00B70FC8"/>
    <w:rsid w:val="00B711F8"/>
    <w:rsid w:val="00B712D0"/>
    <w:rsid w:val="00B71713"/>
    <w:rsid w:val="00B722C7"/>
    <w:rsid w:val="00B73DB6"/>
    <w:rsid w:val="00B74996"/>
    <w:rsid w:val="00B75FAB"/>
    <w:rsid w:val="00B76575"/>
    <w:rsid w:val="00B76F4B"/>
    <w:rsid w:val="00B8146E"/>
    <w:rsid w:val="00B81520"/>
    <w:rsid w:val="00B8184B"/>
    <w:rsid w:val="00B818EB"/>
    <w:rsid w:val="00B82B0B"/>
    <w:rsid w:val="00B84473"/>
    <w:rsid w:val="00B8465B"/>
    <w:rsid w:val="00B84FF5"/>
    <w:rsid w:val="00B8503D"/>
    <w:rsid w:val="00B90F43"/>
    <w:rsid w:val="00B923BE"/>
    <w:rsid w:val="00B9292C"/>
    <w:rsid w:val="00B95B41"/>
    <w:rsid w:val="00B965CE"/>
    <w:rsid w:val="00B96CE1"/>
    <w:rsid w:val="00BA0CE5"/>
    <w:rsid w:val="00BA2CD0"/>
    <w:rsid w:val="00BA3412"/>
    <w:rsid w:val="00BA6835"/>
    <w:rsid w:val="00BB0B79"/>
    <w:rsid w:val="00BB35EC"/>
    <w:rsid w:val="00BB3A3A"/>
    <w:rsid w:val="00BB61CF"/>
    <w:rsid w:val="00BB68CD"/>
    <w:rsid w:val="00BB7397"/>
    <w:rsid w:val="00BB788F"/>
    <w:rsid w:val="00BC0D89"/>
    <w:rsid w:val="00BC3F5B"/>
    <w:rsid w:val="00BC4231"/>
    <w:rsid w:val="00BC528F"/>
    <w:rsid w:val="00BC5649"/>
    <w:rsid w:val="00BC7204"/>
    <w:rsid w:val="00BE05D8"/>
    <w:rsid w:val="00BE09F3"/>
    <w:rsid w:val="00BE0C68"/>
    <w:rsid w:val="00BE320E"/>
    <w:rsid w:val="00BE3636"/>
    <w:rsid w:val="00BE44FA"/>
    <w:rsid w:val="00BE4BE4"/>
    <w:rsid w:val="00BE5F74"/>
    <w:rsid w:val="00BF1C44"/>
    <w:rsid w:val="00BF309E"/>
    <w:rsid w:val="00BF3978"/>
    <w:rsid w:val="00BF3BC6"/>
    <w:rsid w:val="00BF3EAA"/>
    <w:rsid w:val="00BF41FA"/>
    <w:rsid w:val="00BF5CC3"/>
    <w:rsid w:val="00BF74B8"/>
    <w:rsid w:val="00C00348"/>
    <w:rsid w:val="00C01058"/>
    <w:rsid w:val="00C01D30"/>
    <w:rsid w:val="00C02558"/>
    <w:rsid w:val="00C04C2C"/>
    <w:rsid w:val="00C06827"/>
    <w:rsid w:val="00C1604E"/>
    <w:rsid w:val="00C17B13"/>
    <w:rsid w:val="00C17C5A"/>
    <w:rsid w:val="00C21D87"/>
    <w:rsid w:val="00C220B4"/>
    <w:rsid w:val="00C23677"/>
    <w:rsid w:val="00C24087"/>
    <w:rsid w:val="00C24972"/>
    <w:rsid w:val="00C24B96"/>
    <w:rsid w:val="00C26649"/>
    <w:rsid w:val="00C267DD"/>
    <w:rsid w:val="00C3055C"/>
    <w:rsid w:val="00C3125C"/>
    <w:rsid w:val="00C31A86"/>
    <w:rsid w:val="00C3226E"/>
    <w:rsid w:val="00C33018"/>
    <w:rsid w:val="00C3434D"/>
    <w:rsid w:val="00C359F7"/>
    <w:rsid w:val="00C36450"/>
    <w:rsid w:val="00C37452"/>
    <w:rsid w:val="00C37670"/>
    <w:rsid w:val="00C37760"/>
    <w:rsid w:val="00C40D44"/>
    <w:rsid w:val="00C41607"/>
    <w:rsid w:val="00C41B42"/>
    <w:rsid w:val="00C439BF"/>
    <w:rsid w:val="00C4486F"/>
    <w:rsid w:val="00C45455"/>
    <w:rsid w:val="00C45CF2"/>
    <w:rsid w:val="00C461E6"/>
    <w:rsid w:val="00C5021D"/>
    <w:rsid w:val="00C52487"/>
    <w:rsid w:val="00C53E8C"/>
    <w:rsid w:val="00C541AC"/>
    <w:rsid w:val="00C553BE"/>
    <w:rsid w:val="00C5750D"/>
    <w:rsid w:val="00C5785D"/>
    <w:rsid w:val="00C62863"/>
    <w:rsid w:val="00C63A40"/>
    <w:rsid w:val="00C65542"/>
    <w:rsid w:val="00C6663F"/>
    <w:rsid w:val="00C67598"/>
    <w:rsid w:val="00C71E4B"/>
    <w:rsid w:val="00C722E4"/>
    <w:rsid w:val="00C7424E"/>
    <w:rsid w:val="00C74370"/>
    <w:rsid w:val="00C75AC7"/>
    <w:rsid w:val="00C772C8"/>
    <w:rsid w:val="00C77E43"/>
    <w:rsid w:val="00C826AF"/>
    <w:rsid w:val="00C83002"/>
    <w:rsid w:val="00C85131"/>
    <w:rsid w:val="00C861C1"/>
    <w:rsid w:val="00C922F6"/>
    <w:rsid w:val="00C9282F"/>
    <w:rsid w:val="00C94AEA"/>
    <w:rsid w:val="00C94C21"/>
    <w:rsid w:val="00C95269"/>
    <w:rsid w:val="00C97483"/>
    <w:rsid w:val="00CA0795"/>
    <w:rsid w:val="00CA088D"/>
    <w:rsid w:val="00CA0969"/>
    <w:rsid w:val="00CA110B"/>
    <w:rsid w:val="00CA13C3"/>
    <w:rsid w:val="00CA19D7"/>
    <w:rsid w:val="00CA2C99"/>
    <w:rsid w:val="00CA2CE9"/>
    <w:rsid w:val="00CA3654"/>
    <w:rsid w:val="00CA6069"/>
    <w:rsid w:val="00CB0270"/>
    <w:rsid w:val="00CB476D"/>
    <w:rsid w:val="00CB4A5A"/>
    <w:rsid w:val="00CB6196"/>
    <w:rsid w:val="00CB6BCB"/>
    <w:rsid w:val="00CB7251"/>
    <w:rsid w:val="00CC14E4"/>
    <w:rsid w:val="00CC353E"/>
    <w:rsid w:val="00CC3C46"/>
    <w:rsid w:val="00CC4507"/>
    <w:rsid w:val="00CC5E6F"/>
    <w:rsid w:val="00CC6303"/>
    <w:rsid w:val="00CC74E5"/>
    <w:rsid w:val="00CD1E1F"/>
    <w:rsid w:val="00CD31C3"/>
    <w:rsid w:val="00CD424F"/>
    <w:rsid w:val="00CD48F4"/>
    <w:rsid w:val="00CD7164"/>
    <w:rsid w:val="00CD740C"/>
    <w:rsid w:val="00CE00A3"/>
    <w:rsid w:val="00CE0325"/>
    <w:rsid w:val="00CE0D9D"/>
    <w:rsid w:val="00CE14D4"/>
    <w:rsid w:val="00CE17C7"/>
    <w:rsid w:val="00CE2B42"/>
    <w:rsid w:val="00CE3CF6"/>
    <w:rsid w:val="00CE7987"/>
    <w:rsid w:val="00CF34C7"/>
    <w:rsid w:val="00CF40A7"/>
    <w:rsid w:val="00CF47F3"/>
    <w:rsid w:val="00CF7299"/>
    <w:rsid w:val="00CF7434"/>
    <w:rsid w:val="00D0037F"/>
    <w:rsid w:val="00D01272"/>
    <w:rsid w:val="00D0263B"/>
    <w:rsid w:val="00D0309B"/>
    <w:rsid w:val="00D0369B"/>
    <w:rsid w:val="00D041AD"/>
    <w:rsid w:val="00D042B6"/>
    <w:rsid w:val="00D05230"/>
    <w:rsid w:val="00D05376"/>
    <w:rsid w:val="00D05685"/>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4255"/>
    <w:rsid w:val="00D2440C"/>
    <w:rsid w:val="00D2651F"/>
    <w:rsid w:val="00D27A64"/>
    <w:rsid w:val="00D27F92"/>
    <w:rsid w:val="00D306F3"/>
    <w:rsid w:val="00D32B01"/>
    <w:rsid w:val="00D33BEB"/>
    <w:rsid w:val="00D359FC"/>
    <w:rsid w:val="00D41AA3"/>
    <w:rsid w:val="00D4246D"/>
    <w:rsid w:val="00D4399A"/>
    <w:rsid w:val="00D44C8F"/>
    <w:rsid w:val="00D473C0"/>
    <w:rsid w:val="00D50E4C"/>
    <w:rsid w:val="00D50E74"/>
    <w:rsid w:val="00D55B8D"/>
    <w:rsid w:val="00D565B2"/>
    <w:rsid w:val="00D606F0"/>
    <w:rsid w:val="00D60860"/>
    <w:rsid w:val="00D60B19"/>
    <w:rsid w:val="00D63DC7"/>
    <w:rsid w:val="00D65492"/>
    <w:rsid w:val="00D66D6B"/>
    <w:rsid w:val="00D704F7"/>
    <w:rsid w:val="00D70E1B"/>
    <w:rsid w:val="00D75260"/>
    <w:rsid w:val="00D75358"/>
    <w:rsid w:val="00D75F98"/>
    <w:rsid w:val="00D75FE2"/>
    <w:rsid w:val="00D7651B"/>
    <w:rsid w:val="00D80C2E"/>
    <w:rsid w:val="00D8102D"/>
    <w:rsid w:val="00D81390"/>
    <w:rsid w:val="00D82E71"/>
    <w:rsid w:val="00D83E2F"/>
    <w:rsid w:val="00D85C49"/>
    <w:rsid w:val="00D86DE6"/>
    <w:rsid w:val="00D87BBB"/>
    <w:rsid w:val="00D900F0"/>
    <w:rsid w:val="00D912B1"/>
    <w:rsid w:val="00D96925"/>
    <w:rsid w:val="00D969F8"/>
    <w:rsid w:val="00DA2F3A"/>
    <w:rsid w:val="00DA5DF8"/>
    <w:rsid w:val="00DA607C"/>
    <w:rsid w:val="00DA62C6"/>
    <w:rsid w:val="00DB01CE"/>
    <w:rsid w:val="00DB0EDE"/>
    <w:rsid w:val="00DB1AAD"/>
    <w:rsid w:val="00DB2ABA"/>
    <w:rsid w:val="00DB44B0"/>
    <w:rsid w:val="00DB4848"/>
    <w:rsid w:val="00DB4E32"/>
    <w:rsid w:val="00DB574B"/>
    <w:rsid w:val="00DB63B9"/>
    <w:rsid w:val="00DB6B6F"/>
    <w:rsid w:val="00DB7BC2"/>
    <w:rsid w:val="00DC14D7"/>
    <w:rsid w:val="00DC2FC5"/>
    <w:rsid w:val="00DD0008"/>
    <w:rsid w:val="00DD2256"/>
    <w:rsid w:val="00DD2393"/>
    <w:rsid w:val="00DD4F27"/>
    <w:rsid w:val="00DD60E5"/>
    <w:rsid w:val="00DD7CDF"/>
    <w:rsid w:val="00DE2839"/>
    <w:rsid w:val="00DE3623"/>
    <w:rsid w:val="00DE42A2"/>
    <w:rsid w:val="00DE4791"/>
    <w:rsid w:val="00DE6093"/>
    <w:rsid w:val="00DF0395"/>
    <w:rsid w:val="00DF2479"/>
    <w:rsid w:val="00DF4002"/>
    <w:rsid w:val="00DF5418"/>
    <w:rsid w:val="00DF5B54"/>
    <w:rsid w:val="00DF6AD9"/>
    <w:rsid w:val="00DF6C15"/>
    <w:rsid w:val="00E01DCA"/>
    <w:rsid w:val="00E04AF5"/>
    <w:rsid w:val="00E05863"/>
    <w:rsid w:val="00E060E5"/>
    <w:rsid w:val="00E0672A"/>
    <w:rsid w:val="00E1053D"/>
    <w:rsid w:val="00E10794"/>
    <w:rsid w:val="00E12271"/>
    <w:rsid w:val="00E122AC"/>
    <w:rsid w:val="00E129A6"/>
    <w:rsid w:val="00E13AE0"/>
    <w:rsid w:val="00E13BBE"/>
    <w:rsid w:val="00E14A69"/>
    <w:rsid w:val="00E14B5C"/>
    <w:rsid w:val="00E15B9B"/>
    <w:rsid w:val="00E165C9"/>
    <w:rsid w:val="00E177DE"/>
    <w:rsid w:val="00E207AF"/>
    <w:rsid w:val="00E24823"/>
    <w:rsid w:val="00E27A85"/>
    <w:rsid w:val="00E321A0"/>
    <w:rsid w:val="00E32DB2"/>
    <w:rsid w:val="00E331A0"/>
    <w:rsid w:val="00E3474A"/>
    <w:rsid w:val="00E377C9"/>
    <w:rsid w:val="00E37D15"/>
    <w:rsid w:val="00E464CB"/>
    <w:rsid w:val="00E46C46"/>
    <w:rsid w:val="00E472C5"/>
    <w:rsid w:val="00E5049F"/>
    <w:rsid w:val="00E507E3"/>
    <w:rsid w:val="00E532A2"/>
    <w:rsid w:val="00E535EE"/>
    <w:rsid w:val="00E553AD"/>
    <w:rsid w:val="00E564A1"/>
    <w:rsid w:val="00E57F0C"/>
    <w:rsid w:val="00E60C9D"/>
    <w:rsid w:val="00E60DB9"/>
    <w:rsid w:val="00E63CC0"/>
    <w:rsid w:val="00E646A0"/>
    <w:rsid w:val="00E66A0C"/>
    <w:rsid w:val="00E675BE"/>
    <w:rsid w:val="00E7042B"/>
    <w:rsid w:val="00E71719"/>
    <w:rsid w:val="00E722D0"/>
    <w:rsid w:val="00E72F02"/>
    <w:rsid w:val="00E737EB"/>
    <w:rsid w:val="00E738C0"/>
    <w:rsid w:val="00E76692"/>
    <w:rsid w:val="00E77306"/>
    <w:rsid w:val="00E773E6"/>
    <w:rsid w:val="00E80B62"/>
    <w:rsid w:val="00E80E9B"/>
    <w:rsid w:val="00E81442"/>
    <w:rsid w:val="00E838CE"/>
    <w:rsid w:val="00E84508"/>
    <w:rsid w:val="00E86CDC"/>
    <w:rsid w:val="00E87D80"/>
    <w:rsid w:val="00E9267E"/>
    <w:rsid w:val="00E931DC"/>
    <w:rsid w:val="00E93B0F"/>
    <w:rsid w:val="00E976CA"/>
    <w:rsid w:val="00EA0248"/>
    <w:rsid w:val="00EA12B1"/>
    <w:rsid w:val="00EA2165"/>
    <w:rsid w:val="00EA4808"/>
    <w:rsid w:val="00EB1AC1"/>
    <w:rsid w:val="00EB1F0F"/>
    <w:rsid w:val="00EB3A88"/>
    <w:rsid w:val="00EB4803"/>
    <w:rsid w:val="00EB5D54"/>
    <w:rsid w:val="00EB68E5"/>
    <w:rsid w:val="00EC19AA"/>
    <w:rsid w:val="00EC21C0"/>
    <w:rsid w:val="00EC3C23"/>
    <w:rsid w:val="00EC3D25"/>
    <w:rsid w:val="00EC3F34"/>
    <w:rsid w:val="00EC466F"/>
    <w:rsid w:val="00EC5193"/>
    <w:rsid w:val="00EC6394"/>
    <w:rsid w:val="00EC6D23"/>
    <w:rsid w:val="00EC7219"/>
    <w:rsid w:val="00ED046A"/>
    <w:rsid w:val="00ED067D"/>
    <w:rsid w:val="00ED1F3B"/>
    <w:rsid w:val="00ED5237"/>
    <w:rsid w:val="00ED6914"/>
    <w:rsid w:val="00ED7219"/>
    <w:rsid w:val="00ED7879"/>
    <w:rsid w:val="00EE4281"/>
    <w:rsid w:val="00EE43E2"/>
    <w:rsid w:val="00EE4DD8"/>
    <w:rsid w:val="00EE5D44"/>
    <w:rsid w:val="00EE662E"/>
    <w:rsid w:val="00EE674C"/>
    <w:rsid w:val="00EE79CF"/>
    <w:rsid w:val="00EF2BB1"/>
    <w:rsid w:val="00EF3E07"/>
    <w:rsid w:val="00EF4962"/>
    <w:rsid w:val="00EF50B5"/>
    <w:rsid w:val="00F000FB"/>
    <w:rsid w:val="00F049A7"/>
    <w:rsid w:val="00F05A22"/>
    <w:rsid w:val="00F05C68"/>
    <w:rsid w:val="00F0696F"/>
    <w:rsid w:val="00F06ECC"/>
    <w:rsid w:val="00F10D33"/>
    <w:rsid w:val="00F11797"/>
    <w:rsid w:val="00F120F0"/>
    <w:rsid w:val="00F12899"/>
    <w:rsid w:val="00F13E3B"/>
    <w:rsid w:val="00F16864"/>
    <w:rsid w:val="00F17C34"/>
    <w:rsid w:val="00F21799"/>
    <w:rsid w:val="00F21EB4"/>
    <w:rsid w:val="00F25F18"/>
    <w:rsid w:val="00F26FA6"/>
    <w:rsid w:val="00F31326"/>
    <w:rsid w:val="00F33D25"/>
    <w:rsid w:val="00F352EF"/>
    <w:rsid w:val="00F362C5"/>
    <w:rsid w:val="00F36C7D"/>
    <w:rsid w:val="00F3722B"/>
    <w:rsid w:val="00F40558"/>
    <w:rsid w:val="00F41A7B"/>
    <w:rsid w:val="00F459FA"/>
    <w:rsid w:val="00F46706"/>
    <w:rsid w:val="00F50B42"/>
    <w:rsid w:val="00F52A01"/>
    <w:rsid w:val="00F54D64"/>
    <w:rsid w:val="00F563E0"/>
    <w:rsid w:val="00F618D6"/>
    <w:rsid w:val="00F62B10"/>
    <w:rsid w:val="00F62D9F"/>
    <w:rsid w:val="00F6306B"/>
    <w:rsid w:val="00F639C8"/>
    <w:rsid w:val="00F63B14"/>
    <w:rsid w:val="00F64E38"/>
    <w:rsid w:val="00F65AD8"/>
    <w:rsid w:val="00F65B68"/>
    <w:rsid w:val="00F70B7F"/>
    <w:rsid w:val="00F72C4D"/>
    <w:rsid w:val="00F738E9"/>
    <w:rsid w:val="00F7428B"/>
    <w:rsid w:val="00F758FB"/>
    <w:rsid w:val="00F766CD"/>
    <w:rsid w:val="00F77604"/>
    <w:rsid w:val="00F8041F"/>
    <w:rsid w:val="00F82523"/>
    <w:rsid w:val="00F82EF7"/>
    <w:rsid w:val="00F83C8A"/>
    <w:rsid w:val="00F8579C"/>
    <w:rsid w:val="00F85C3A"/>
    <w:rsid w:val="00F85EFE"/>
    <w:rsid w:val="00F862BB"/>
    <w:rsid w:val="00F86F2E"/>
    <w:rsid w:val="00F87A21"/>
    <w:rsid w:val="00F87BFB"/>
    <w:rsid w:val="00F9044E"/>
    <w:rsid w:val="00F90A99"/>
    <w:rsid w:val="00F924F5"/>
    <w:rsid w:val="00F92599"/>
    <w:rsid w:val="00F92D1C"/>
    <w:rsid w:val="00F93ADD"/>
    <w:rsid w:val="00F96301"/>
    <w:rsid w:val="00F96978"/>
    <w:rsid w:val="00F9787F"/>
    <w:rsid w:val="00FA039C"/>
    <w:rsid w:val="00FA07D5"/>
    <w:rsid w:val="00FA15E0"/>
    <w:rsid w:val="00FA23E0"/>
    <w:rsid w:val="00FA3EB8"/>
    <w:rsid w:val="00FA4410"/>
    <w:rsid w:val="00FA52EA"/>
    <w:rsid w:val="00FA6EF1"/>
    <w:rsid w:val="00FA7C33"/>
    <w:rsid w:val="00FB0C41"/>
    <w:rsid w:val="00FB14D0"/>
    <w:rsid w:val="00FB2B23"/>
    <w:rsid w:val="00FB50EA"/>
    <w:rsid w:val="00FB5896"/>
    <w:rsid w:val="00FB61D2"/>
    <w:rsid w:val="00FB6BE5"/>
    <w:rsid w:val="00FC23EB"/>
    <w:rsid w:val="00FC430C"/>
    <w:rsid w:val="00FD036F"/>
    <w:rsid w:val="00FD056E"/>
    <w:rsid w:val="00FD080B"/>
    <w:rsid w:val="00FD208F"/>
    <w:rsid w:val="00FD243E"/>
    <w:rsid w:val="00FD3F9B"/>
    <w:rsid w:val="00FD40D7"/>
    <w:rsid w:val="00FD495A"/>
    <w:rsid w:val="00FD5F2B"/>
    <w:rsid w:val="00FE0FCD"/>
    <w:rsid w:val="00FE3954"/>
    <w:rsid w:val="00FE3F2D"/>
    <w:rsid w:val="00FF0742"/>
    <w:rsid w:val="00FF2050"/>
    <w:rsid w:val="00FF29AD"/>
    <w:rsid w:val="00FF3B3C"/>
    <w:rsid w:val="00FF3CF7"/>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val="lv-LV"/>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lang w:val="lv-LV" w:eastAsia="lv-LV"/>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DEA"/>
    <w:pPr>
      <w:ind w:left="720"/>
      <w:contextualSpacing/>
    </w:pPr>
  </w:style>
  <w:style w:type="paragraph" w:styleId="ListBullet">
    <w:name w:val="List Bullet"/>
    <w:basedOn w:val="Normal"/>
    <w:uiPriority w:val="99"/>
    <w:unhideWhenUsed/>
    <w:rsid w:val="00706BF1"/>
    <w:pPr>
      <w:numPr>
        <w:numId w:val="24"/>
      </w:numPr>
      <w:contextualSpacing/>
    </w:pPr>
  </w:style>
  <w:style w:type="paragraph" w:customStyle="1" w:styleId="CM4">
    <w:name w:val="CM4"/>
    <w:basedOn w:val="Default"/>
    <w:next w:val="Default"/>
    <w:uiPriority w:val="99"/>
    <w:rsid w:val="00A84941"/>
    <w:rPr>
      <w:color w:val="auto"/>
      <w:lang w:eastAsia="en-US"/>
    </w:rPr>
  </w:style>
</w:styles>
</file>

<file path=word/webSettings.xml><?xml version="1.0" encoding="utf-8"?>
<w:webSettings xmlns:r="http://schemas.openxmlformats.org/officeDocument/2006/relationships" xmlns:w="http://schemas.openxmlformats.org/wordprocessingml/2006/main">
  <w:divs>
    <w:div w:id="46032718">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36920963">
      <w:bodyDiv w:val="1"/>
      <w:marLeft w:val="0"/>
      <w:marRight w:val="0"/>
      <w:marTop w:val="0"/>
      <w:marBottom w:val="0"/>
      <w:divBdr>
        <w:top w:val="none" w:sz="0" w:space="0" w:color="auto"/>
        <w:left w:val="none" w:sz="0" w:space="0" w:color="auto"/>
        <w:bottom w:val="none" w:sz="0" w:space="0" w:color="auto"/>
        <w:right w:val="none" w:sz="0" w:space="0" w:color="auto"/>
      </w:divBdr>
      <w:divsChild>
        <w:div w:id="1709641265">
          <w:marLeft w:val="0"/>
          <w:marRight w:val="0"/>
          <w:marTop w:val="0"/>
          <w:marBottom w:val="0"/>
          <w:divBdr>
            <w:top w:val="none" w:sz="0" w:space="0" w:color="auto"/>
            <w:left w:val="none" w:sz="0" w:space="0" w:color="auto"/>
            <w:bottom w:val="none" w:sz="0" w:space="0" w:color="auto"/>
            <w:right w:val="none" w:sz="0" w:space="0" w:color="auto"/>
          </w:divBdr>
          <w:divsChild>
            <w:div w:id="357128364">
              <w:marLeft w:val="0"/>
              <w:marRight w:val="0"/>
              <w:marTop w:val="0"/>
              <w:marBottom w:val="0"/>
              <w:divBdr>
                <w:top w:val="none" w:sz="0" w:space="0" w:color="auto"/>
                <w:left w:val="none" w:sz="0" w:space="0" w:color="auto"/>
                <w:bottom w:val="none" w:sz="0" w:space="0" w:color="auto"/>
                <w:right w:val="none" w:sz="0" w:space="0" w:color="auto"/>
              </w:divBdr>
              <w:divsChild>
                <w:div w:id="508452054">
                  <w:marLeft w:val="0"/>
                  <w:marRight w:val="0"/>
                  <w:marTop w:val="0"/>
                  <w:marBottom w:val="0"/>
                  <w:divBdr>
                    <w:top w:val="none" w:sz="0" w:space="0" w:color="auto"/>
                    <w:left w:val="none" w:sz="0" w:space="0" w:color="auto"/>
                    <w:bottom w:val="none" w:sz="0" w:space="0" w:color="auto"/>
                    <w:right w:val="none" w:sz="0" w:space="0" w:color="auto"/>
                  </w:divBdr>
                  <w:divsChild>
                    <w:div w:id="1833831339">
                      <w:marLeft w:val="0"/>
                      <w:marRight w:val="0"/>
                      <w:marTop w:val="0"/>
                      <w:marBottom w:val="0"/>
                      <w:divBdr>
                        <w:top w:val="none" w:sz="0" w:space="0" w:color="auto"/>
                        <w:left w:val="none" w:sz="0" w:space="0" w:color="auto"/>
                        <w:bottom w:val="none" w:sz="0" w:space="0" w:color="auto"/>
                        <w:right w:val="none" w:sz="0" w:space="0" w:color="auto"/>
                      </w:divBdr>
                      <w:divsChild>
                        <w:div w:id="1819686765">
                          <w:marLeft w:val="0"/>
                          <w:marRight w:val="0"/>
                          <w:marTop w:val="300"/>
                          <w:marBottom w:val="0"/>
                          <w:divBdr>
                            <w:top w:val="none" w:sz="0" w:space="0" w:color="auto"/>
                            <w:left w:val="none" w:sz="0" w:space="0" w:color="auto"/>
                            <w:bottom w:val="none" w:sz="0" w:space="0" w:color="auto"/>
                            <w:right w:val="none" w:sz="0" w:space="0" w:color="auto"/>
                          </w:divBdr>
                          <w:divsChild>
                            <w:div w:id="7820723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4005">
      <w:bodyDiv w:val="1"/>
      <w:marLeft w:val="0"/>
      <w:marRight w:val="0"/>
      <w:marTop w:val="0"/>
      <w:marBottom w:val="0"/>
      <w:divBdr>
        <w:top w:val="none" w:sz="0" w:space="0" w:color="auto"/>
        <w:left w:val="none" w:sz="0" w:space="0" w:color="auto"/>
        <w:bottom w:val="none" w:sz="0" w:space="0" w:color="auto"/>
        <w:right w:val="none" w:sz="0" w:space="0" w:color="auto"/>
      </w:divBdr>
    </w:div>
    <w:div w:id="168720105">
      <w:bodyDiv w:val="1"/>
      <w:marLeft w:val="45"/>
      <w:marRight w:val="45"/>
      <w:marTop w:val="90"/>
      <w:marBottom w:val="90"/>
      <w:divBdr>
        <w:top w:val="none" w:sz="0" w:space="0" w:color="auto"/>
        <w:left w:val="none" w:sz="0" w:space="0" w:color="auto"/>
        <w:bottom w:val="none" w:sz="0" w:space="0" w:color="auto"/>
        <w:right w:val="none" w:sz="0" w:space="0" w:color="auto"/>
      </w:divBdr>
      <w:divsChild>
        <w:div w:id="1630627197">
          <w:marLeft w:val="0"/>
          <w:marRight w:val="0"/>
          <w:marTop w:val="0"/>
          <w:marBottom w:val="567"/>
          <w:divBdr>
            <w:top w:val="none" w:sz="0" w:space="0" w:color="auto"/>
            <w:left w:val="none" w:sz="0" w:space="0" w:color="auto"/>
            <w:bottom w:val="none" w:sz="0" w:space="0" w:color="auto"/>
            <w:right w:val="none" w:sz="0" w:space="0" w:color="auto"/>
          </w:divBdr>
        </w:div>
      </w:divsChild>
    </w:div>
    <w:div w:id="213124263">
      <w:bodyDiv w:val="1"/>
      <w:marLeft w:val="0"/>
      <w:marRight w:val="0"/>
      <w:marTop w:val="0"/>
      <w:marBottom w:val="0"/>
      <w:divBdr>
        <w:top w:val="none" w:sz="0" w:space="0" w:color="auto"/>
        <w:left w:val="none" w:sz="0" w:space="0" w:color="auto"/>
        <w:bottom w:val="none" w:sz="0" w:space="0" w:color="auto"/>
        <w:right w:val="none" w:sz="0" w:space="0" w:color="auto"/>
      </w:divBdr>
    </w:div>
    <w:div w:id="225729987">
      <w:bodyDiv w:val="1"/>
      <w:marLeft w:val="0"/>
      <w:marRight w:val="0"/>
      <w:marTop w:val="0"/>
      <w:marBottom w:val="0"/>
      <w:divBdr>
        <w:top w:val="none" w:sz="0" w:space="0" w:color="auto"/>
        <w:left w:val="none" w:sz="0" w:space="0" w:color="auto"/>
        <w:bottom w:val="none" w:sz="0" w:space="0" w:color="auto"/>
        <w:right w:val="none" w:sz="0" w:space="0" w:color="auto"/>
      </w:divBdr>
    </w:div>
    <w:div w:id="274026226">
      <w:bodyDiv w:val="1"/>
      <w:marLeft w:val="0"/>
      <w:marRight w:val="0"/>
      <w:marTop w:val="0"/>
      <w:marBottom w:val="0"/>
      <w:divBdr>
        <w:top w:val="none" w:sz="0" w:space="0" w:color="auto"/>
        <w:left w:val="none" w:sz="0" w:space="0" w:color="auto"/>
        <w:bottom w:val="none" w:sz="0" w:space="0" w:color="auto"/>
        <w:right w:val="none" w:sz="0" w:space="0" w:color="auto"/>
      </w:divBdr>
    </w:div>
    <w:div w:id="376199825">
      <w:bodyDiv w:val="1"/>
      <w:marLeft w:val="0"/>
      <w:marRight w:val="0"/>
      <w:marTop w:val="0"/>
      <w:marBottom w:val="0"/>
      <w:divBdr>
        <w:top w:val="none" w:sz="0" w:space="0" w:color="auto"/>
        <w:left w:val="none" w:sz="0" w:space="0" w:color="auto"/>
        <w:bottom w:val="none" w:sz="0" w:space="0" w:color="auto"/>
        <w:right w:val="none" w:sz="0" w:space="0" w:color="auto"/>
      </w:divBdr>
    </w:div>
    <w:div w:id="458183204">
      <w:bodyDiv w:val="1"/>
      <w:marLeft w:val="0"/>
      <w:marRight w:val="0"/>
      <w:marTop w:val="0"/>
      <w:marBottom w:val="0"/>
      <w:divBdr>
        <w:top w:val="none" w:sz="0" w:space="0" w:color="auto"/>
        <w:left w:val="none" w:sz="0" w:space="0" w:color="auto"/>
        <w:bottom w:val="none" w:sz="0" w:space="0" w:color="auto"/>
        <w:right w:val="none" w:sz="0" w:space="0" w:color="auto"/>
      </w:divBdr>
    </w:div>
    <w:div w:id="491024555">
      <w:bodyDiv w:val="1"/>
      <w:marLeft w:val="0"/>
      <w:marRight w:val="0"/>
      <w:marTop w:val="0"/>
      <w:marBottom w:val="0"/>
      <w:divBdr>
        <w:top w:val="none" w:sz="0" w:space="0" w:color="auto"/>
        <w:left w:val="none" w:sz="0" w:space="0" w:color="auto"/>
        <w:bottom w:val="none" w:sz="0" w:space="0" w:color="auto"/>
        <w:right w:val="none" w:sz="0" w:space="0" w:color="auto"/>
      </w:divBdr>
    </w:div>
    <w:div w:id="506796323">
      <w:bodyDiv w:val="1"/>
      <w:marLeft w:val="0"/>
      <w:marRight w:val="0"/>
      <w:marTop w:val="0"/>
      <w:marBottom w:val="0"/>
      <w:divBdr>
        <w:top w:val="none" w:sz="0" w:space="0" w:color="auto"/>
        <w:left w:val="none" w:sz="0" w:space="0" w:color="auto"/>
        <w:bottom w:val="none" w:sz="0" w:space="0" w:color="auto"/>
        <w:right w:val="none" w:sz="0" w:space="0" w:color="auto"/>
      </w:divBdr>
    </w:div>
    <w:div w:id="534080430">
      <w:bodyDiv w:val="1"/>
      <w:marLeft w:val="0"/>
      <w:marRight w:val="0"/>
      <w:marTop w:val="0"/>
      <w:marBottom w:val="0"/>
      <w:divBdr>
        <w:top w:val="none" w:sz="0" w:space="0" w:color="auto"/>
        <w:left w:val="none" w:sz="0" w:space="0" w:color="auto"/>
        <w:bottom w:val="none" w:sz="0" w:space="0" w:color="auto"/>
        <w:right w:val="none" w:sz="0" w:space="0" w:color="auto"/>
      </w:divBdr>
    </w:div>
    <w:div w:id="59809948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4831147">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85880609">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94093452">
      <w:bodyDiv w:val="1"/>
      <w:marLeft w:val="0"/>
      <w:marRight w:val="0"/>
      <w:marTop w:val="0"/>
      <w:marBottom w:val="0"/>
      <w:divBdr>
        <w:top w:val="none" w:sz="0" w:space="0" w:color="auto"/>
        <w:left w:val="none" w:sz="0" w:space="0" w:color="auto"/>
        <w:bottom w:val="none" w:sz="0" w:space="0" w:color="auto"/>
        <w:right w:val="none" w:sz="0" w:space="0" w:color="auto"/>
      </w:divBdr>
    </w:div>
    <w:div w:id="1411538355">
      <w:bodyDiv w:val="1"/>
      <w:marLeft w:val="0"/>
      <w:marRight w:val="0"/>
      <w:marTop w:val="0"/>
      <w:marBottom w:val="0"/>
      <w:divBdr>
        <w:top w:val="none" w:sz="0" w:space="0" w:color="auto"/>
        <w:left w:val="none" w:sz="0" w:space="0" w:color="auto"/>
        <w:bottom w:val="none" w:sz="0" w:space="0" w:color="auto"/>
        <w:right w:val="none" w:sz="0" w:space="0" w:color="auto"/>
      </w:divBdr>
    </w:div>
    <w:div w:id="1582369119">
      <w:bodyDiv w:val="1"/>
      <w:marLeft w:val="0"/>
      <w:marRight w:val="0"/>
      <w:marTop w:val="0"/>
      <w:marBottom w:val="0"/>
      <w:divBdr>
        <w:top w:val="none" w:sz="0" w:space="0" w:color="auto"/>
        <w:left w:val="none" w:sz="0" w:space="0" w:color="auto"/>
        <w:bottom w:val="none" w:sz="0" w:space="0" w:color="auto"/>
        <w:right w:val="none" w:sz="0" w:space="0" w:color="auto"/>
      </w:divBdr>
    </w:div>
    <w:div w:id="1770614178">
      <w:bodyDiv w:val="1"/>
      <w:marLeft w:val="0"/>
      <w:marRight w:val="0"/>
      <w:marTop w:val="0"/>
      <w:marBottom w:val="0"/>
      <w:divBdr>
        <w:top w:val="none" w:sz="0" w:space="0" w:color="auto"/>
        <w:left w:val="none" w:sz="0" w:space="0" w:color="auto"/>
        <w:bottom w:val="none" w:sz="0" w:space="0" w:color="auto"/>
        <w:right w:val="none" w:sz="0" w:space="0" w:color="auto"/>
      </w:divBdr>
    </w:div>
    <w:div w:id="1820921273">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64731747">
      <w:bodyDiv w:val="1"/>
      <w:marLeft w:val="0"/>
      <w:marRight w:val="0"/>
      <w:marTop w:val="0"/>
      <w:marBottom w:val="0"/>
      <w:divBdr>
        <w:top w:val="none" w:sz="0" w:space="0" w:color="auto"/>
        <w:left w:val="none" w:sz="0" w:space="0" w:color="auto"/>
        <w:bottom w:val="none" w:sz="0" w:space="0" w:color="auto"/>
        <w:right w:val="none" w:sz="0" w:space="0" w:color="auto"/>
      </w:divBdr>
    </w:div>
    <w:div w:id="20843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Baranov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9F92-285A-4FC7-B691-06169954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7029</Words>
  <Characters>4007</Characters>
  <Application>Microsoft Office Word</Application>
  <DocSecurity>0</DocSecurity>
  <Lines>33</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rīkojuma projekta „Grozījums darbības programmas „Infrastruktūra un pakalpojumi” papildinājumā” sākotnējās ietekmes novērtējuma ziņojums (anotācija)</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LR Veselības ministrija</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darbības programmas „Infrastruktūra un pakalpojumi” papildinājumā” sākotnējās ietekmes novērtējuma ziņojums (anotācija)</dc:title>
  <dc:subject>Anotācija</dc:subject>
  <dc:creator>Inga Baranova</dc:creator>
  <dc:description>Inga Baranova
ES fondu departamenta 
ES fondu plānošanas, izvērtēšanas un 
uzraudzības nodaļas  vecākā referente
Tālr.: 67 876 035, fakss: 67876031
Inga.Baranova@vm.gov.lv</dc:description>
  <cp:lastModifiedBy>ibaranova</cp:lastModifiedBy>
  <cp:revision>4</cp:revision>
  <cp:lastPrinted>2013-10-07T11:13:00Z</cp:lastPrinted>
  <dcterms:created xsi:type="dcterms:W3CDTF">2013-12-03T13:22:00Z</dcterms:created>
  <dcterms:modified xsi:type="dcterms:W3CDTF">2013-12-03T13:23:00Z</dcterms:modified>
</cp:coreProperties>
</file>