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BE" w:rsidRDefault="00E26689" w:rsidP="00E755D1">
      <w:pPr>
        <w:jc w:val="center"/>
        <w:rPr>
          <w:b/>
          <w:bCs/>
          <w:sz w:val="28"/>
          <w:szCs w:val="28"/>
        </w:rPr>
      </w:pPr>
      <w:bookmarkStart w:id="0" w:name="OLE_LINK3"/>
      <w:bookmarkStart w:id="1" w:name="OLE_LINK4"/>
      <w:bookmarkStart w:id="2" w:name="OLE_LINK1"/>
      <w:bookmarkStart w:id="3" w:name="OLE_LINK2"/>
      <w:bookmarkStart w:id="4" w:name="OLE_LINK5"/>
      <w:bookmarkStart w:id="5" w:name="OLE_LINK6"/>
      <w:r w:rsidRPr="00E26689">
        <w:rPr>
          <w:sz w:val="28"/>
          <w:szCs w:val="28"/>
        </w:rPr>
        <w:t>Ministru kabineta noteikumu</w:t>
      </w:r>
      <w:r>
        <w:rPr>
          <w:b/>
          <w:sz w:val="28"/>
          <w:szCs w:val="28"/>
        </w:rPr>
        <w:t xml:space="preserve"> </w:t>
      </w:r>
      <w:r w:rsidRPr="00E26689">
        <w:rPr>
          <w:b/>
          <w:bCs/>
          <w:sz w:val="28"/>
          <w:szCs w:val="28"/>
        </w:rPr>
        <w:t>„Noteikumi par ārstniecības personu</w:t>
      </w:r>
      <w:r w:rsidR="00E755D1">
        <w:rPr>
          <w:b/>
          <w:bCs/>
          <w:sz w:val="28"/>
          <w:szCs w:val="28"/>
        </w:rPr>
        <w:t xml:space="preserve"> un ārstniecības atbalsta personu </w:t>
      </w:r>
      <w:r w:rsidRPr="00E26689">
        <w:rPr>
          <w:b/>
          <w:bCs/>
          <w:sz w:val="28"/>
          <w:szCs w:val="28"/>
        </w:rPr>
        <w:t>profesionālo zināšanu pārbaudes, sertifikāta noformēšanas, reģistrēšana</w:t>
      </w:r>
      <w:r w:rsidR="003413BE">
        <w:rPr>
          <w:b/>
          <w:bCs/>
          <w:sz w:val="28"/>
          <w:szCs w:val="28"/>
        </w:rPr>
        <w:t>s un tā dublikāta izgatavošanas</w:t>
      </w:r>
    </w:p>
    <w:p w:rsidR="002A37B0" w:rsidRPr="00E755D1" w:rsidRDefault="00E26689" w:rsidP="003413BE">
      <w:pPr>
        <w:jc w:val="center"/>
        <w:rPr>
          <w:rStyle w:val="apple-style-span"/>
          <w:sz w:val="28"/>
          <w:szCs w:val="28"/>
        </w:rPr>
      </w:pPr>
      <w:r w:rsidRPr="00E26689">
        <w:rPr>
          <w:b/>
          <w:bCs/>
          <w:sz w:val="28"/>
          <w:szCs w:val="28"/>
        </w:rPr>
        <w:t>maksas pakalpojumu cenrādi”</w:t>
      </w:r>
      <w:r w:rsidR="00646DDB" w:rsidRPr="00E26689">
        <w:rPr>
          <w:b/>
          <w:sz w:val="28"/>
          <w:szCs w:val="28"/>
        </w:rPr>
        <w:t>”</w:t>
      </w:r>
      <w:r w:rsidR="00646DDB" w:rsidRPr="00215301">
        <w:rPr>
          <w:b/>
          <w:sz w:val="28"/>
          <w:szCs w:val="28"/>
        </w:rPr>
        <w:t xml:space="preserve"> </w:t>
      </w:r>
      <w:bookmarkStart w:id="6" w:name="OLE_LINK7"/>
      <w:bookmarkStart w:id="7" w:name="OLE_LINK8"/>
      <w:bookmarkEnd w:id="0"/>
      <w:bookmarkEnd w:id="1"/>
      <w:r w:rsidRPr="00E26689">
        <w:rPr>
          <w:sz w:val="28"/>
          <w:szCs w:val="28"/>
        </w:rPr>
        <w:t xml:space="preserve">projekta </w:t>
      </w:r>
      <w:r w:rsidR="00646DDB" w:rsidRPr="00E26689">
        <w:rPr>
          <w:sz w:val="28"/>
          <w:szCs w:val="28"/>
        </w:rPr>
        <w:t xml:space="preserve">sākotnējās </w:t>
      </w:r>
      <w:r w:rsidRPr="00E26689">
        <w:rPr>
          <w:i/>
          <w:sz w:val="28"/>
          <w:szCs w:val="28"/>
        </w:rPr>
        <w:t>(</w:t>
      </w:r>
      <w:proofErr w:type="spellStart"/>
      <w:r w:rsidRPr="00E26689">
        <w:rPr>
          <w:i/>
          <w:sz w:val="28"/>
          <w:szCs w:val="28"/>
        </w:rPr>
        <w:t>ex-ante</w:t>
      </w:r>
      <w:proofErr w:type="spellEnd"/>
      <w:r w:rsidRPr="00E26689">
        <w:rPr>
          <w:i/>
          <w:sz w:val="28"/>
          <w:szCs w:val="28"/>
        </w:rPr>
        <w:t xml:space="preserve">) </w:t>
      </w:r>
      <w:r w:rsidR="00646DDB" w:rsidRPr="00E26689">
        <w:rPr>
          <w:sz w:val="28"/>
          <w:szCs w:val="28"/>
        </w:rPr>
        <w:t>ietekmes novērtējuma ziņojums</w:t>
      </w:r>
      <w:bookmarkEnd w:id="2"/>
      <w:bookmarkEnd w:id="3"/>
      <w:r w:rsidR="003413BE">
        <w:rPr>
          <w:sz w:val="28"/>
          <w:szCs w:val="28"/>
        </w:rPr>
        <w:t xml:space="preserve"> </w:t>
      </w:r>
      <w:r w:rsidR="00646DDB" w:rsidRPr="00E26689">
        <w:rPr>
          <w:sz w:val="28"/>
          <w:szCs w:val="28"/>
        </w:rPr>
        <w:t>(anotācija)</w:t>
      </w:r>
      <w:bookmarkEnd w:id="4"/>
      <w:bookmarkEnd w:id="5"/>
      <w:bookmarkEnd w:id="6"/>
      <w:bookmarkEnd w:id="7"/>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8"/>
        <w:gridCol w:w="2268"/>
        <w:gridCol w:w="6667"/>
      </w:tblGrid>
      <w:tr w:rsidR="00195FE9" w:rsidRPr="00AA3DA3" w:rsidTr="00195FE9">
        <w:tc>
          <w:tcPr>
            <w:tcW w:w="9503" w:type="dxa"/>
            <w:gridSpan w:val="3"/>
            <w:vAlign w:val="center"/>
          </w:tcPr>
          <w:p w:rsidR="00195FE9" w:rsidRPr="00AA3DA3" w:rsidRDefault="00195FE9" w:rsidP="00195FE9">
            <w:pPr>
              <w:pStyle w:val="naisnod"/>
              <w:spacing w:before="0" w:after="0"/>
            </w:pPr>
            <w:r w:rsidRPr="00AA3DA3">
              <w:t>I. Tiesību akta projekta izstrādes nepieciešamība</w:t>
            </w:r>
          </w:p>
        </w:tc>
      </w:tr>
      <w:tr w:rsidR="00195FE9" w:rsidRPr="00AA3DA3" w:rsidTr="00195FE9">
        <w:trPr>
          <w:trHeight w:val="630"/>
        </w:trPr>
        <w:tc>
          <w:tcPr>
            <w:tcW w:w="568" w:type="dxa"/>
          </w:tcPr>
          <w:p w:rsidR="00195FE9" w:rsidRPr="00AA3DA3" w:rsidRDefault="00195FE9" w:rsidP="00195FE9">
            <w:pPr>
              <w:pStyle w:val="naiskr"/>
              <w:spacing w:before="0" w:after="0"/>
            </w:pPr>
            <w:r w:rsidRPr="00AA3DA3">
              <w:t>1.</w:t>
            </w:r>
          </w:p>
        </w:tc>
        <w:tc>
          <w:tcPr>
            <w:tcW w:w="2268" w:type="dxa"/>
          </w:tcPr>
          <w:p w:rsidR="00195FE9" w:rsidRPr="00AA3DA3" w:rsidRDefault="00195FE9" w:rsidP="00195FE9">
            <w:pPr>
              <w:pStyle w:val="naiskr"/>
              <w:spacing w:before="0" w:after="0"/>
              <w:ind w:hanging="10"/>
            </w:pPr>
            <w:r w:rsidRPr="00AA3DA3">
              <w:t>Pamatojums</w:t>
            </w:r>
          </w:p>
        </w:tc>
        <w:tc>
          <w:tcPr>
            <w:tcW w:w="6667" w:type="dxa"/>
          </w:tcPr>
          <w:p w:rsidR="00195FE9" w:rsidRPr="00195FE9" w:rsidRDefault="00195FE9" w:rsidP="00195FE9">
            <w:pPr>
              <w:jc w:val="both"/>
            </w:pPr>
            <w:r w:rsidRPr="00195FE9">
              <w:rPr>
                <w:rFonts w:eastAsia="Calibri"/>
                <w:color w:val="000000"/>
              </w:rPr>
              <w:t xml:space="preserve">Saskaņā ar Ārstniecības likuma 29.panta ceturto daļu </w:t>
            </w:r>
            <w:r w:rsidRPr="00195FE9">
              <w:t>ārstniecības personu un ārstniecības atbalsta personu profesionālo zināšanu pārbaudes, sertifikāta noformēšanas, reģistrēšanas un tā dublikāta izgatavošanas maksas pakalpojumu cenrādi apstiprina Ministru kabinets.</w:t>
            </w:r>
          </w:p>
        </w:tc>
      </w:tr>
      <w:tr w:rsidR="00195FE9" w:rsidRPr="00AA3DA3" w:rsidTr="00195FE9">
        <w:trPr>
          <w:trHeight w:val="472"/>
        </w:trPr>
        <w:tc>
          <w:tcPr>
            <w:tcW w:w="568" w:type="dxa"/>
          </w:tcPr>
          <w:p w:rsidR="00195FE9" w:rsidRPr="00AA3DA3" w:rsidRDefault="00195FE9" w:rsidP="00195FE9">
            <w:pPr>
              <w:pStyle w:val="naiskr"/>
              <w:spacing w:before="0" w:after="0"/>
            </w:pPr>
            <w:r w:rsidRPr="00AA3DA3">
              <w:t>2.</w:t>
            </w:r>
          </w:p>
        </w:tc>
        <w:tc>
          <w:tcPr>
            <w:tcW w:w="2268" w:type="dxa"/>
          </w:tcPr>
          <w:p w:rsidR="00195FE9" w:rsidRPr="00AA3DA3" w:rsidRDefault="00195FE9" w:rsidP="00195FE9">
            <w:pPr>
              <w:pStyle w:val="naiskr"/>
              <w:tabs>
                <w:tab w:val="left" w:pos="170"/>
              </w:tabs>
              <w:spacing w:before="0" w:after="0"/>
            </w:pPr>
            <w:r w:rsidRPr="00AA3DA3">
              <w:t>Pašreizējā situācija un problēmas</w:t>
            </w:r>
          </w:p>
        </w:tc>
        <w:tc>
          <w:tcPr>
            <w:tcW w:w="6667" w:type="dxa"/>
          </w:tcPr>
          <w:p w:rsidR="003C0F95" w:rsidRPr="00E755D1" w:rsidRDefault="00195FE9" w:rsidP="00195FE9">
            <w:pPr>
              <w:pStyle w:val="NoSpacing"/>
              <w:jc w:val="both"/>
              <w:rPr>
                <w:rFonts w:ascii="Times New Roman" w:hAnsi="Times New Roman"/>
                <w:color w:val="000000"/>
                <w:sz w:val="24"/>
                <w:szCs w:val="24"/>
                <w:lang w:val="lv-LV"/>
              </w:rPr>
            </w:pPr>
            <w:r>
              <w:rPr>
                <w:rFonts w:ascii="Times New Roman" w:hAnsi="Times New Roman"/>
                <w:sz w:val="24"/>
                <w:szCs w:val="24"/>
                <w:lang w:val="lv-LV"/>
              </w:rPr>
              <w:t xml:space="preserve"> </w:t>
            </w:r>
            <w:r w:rsidRPr="00195FE9">
              <w:rPr>
                <w:rFonts w:ascii="Times New Roman" w:hAnsi="Times New Roman"/>
                <w:sz w:val="24"/>
                <w:szCs w:val="24"/>
                <w:lang w:val="lv-LV"/>
              </w:rPr>
              <w:t xml:space="preserve">Ņemot vērā Ārstniecības likuma 29.panta ceturtajā daļā doto tiesību deleģējumu Ministru kabinetam, Veselības ministrijai sadarbībā ar  kompetentajām iestādēm - Latvijas Ārstu biedrību, </w:t>
            </w:r>
            <w:r w:rsidR="003C0F95" w:rsidRPr="00195FE9">
              <w:rPr>
                <w:rFonts w:ascii="Times New Roman" w:hAnsi="Times New Roman"/>
                <w:sz w:val="24"/>
                <w:szCs w:val="24"/>
                <w:lang w:val="lv-LV"/>
              </w:rPr>
              <w:t xml:space="preserve"> Latvijas Ārstniecības personu profesionālo organizāciju savienību </w:t>
            </w:r>
            <w:r w:rsidR="003C0F95">
              <w:rPr>
                <w:rFonts w:ascii="Times New Roman" w:hAnsi="Times New Roman"/>
                <w:sz w:val="24"/>
                <w:szCs w:val="24"/>
                <w:lang w:val="lv-LV"/>
              </w:rPr>
              <w:t>un Latvijas Māsu asociāciju</w:t>
            </w:r>
            <w:r w:rsidR="00E755D1">
              <w:rPr>
                <w:rFonts w:ascii="Times New Roman" w:hAnsi="Times New Roman"/>
                <w:sz w:val="24"/>
                <w:szCs w:val="24"/>
                <w:lang w:val="lv-LV"/>
              </w:rPr>
              <w:t xml:space="preserve"> – jāizstrādā</w:t>
            </w:r>
            <w:r w:rsidRPr="00195FE9">
              <w:rPr>
                <w:rFonts w:ascii="Times New Roman" w:hAnsi="Times New Roman"/>
                <w:sz w:val="24"/>
                <w:szCs w:val="24"/>
                <w:lang w:val="lv-LV"/>
              </w:rPr>
              <w:t xml:space="preserve"> Ministru kabineta noteikumu „</w:t>
            </w:r>
            <w:r w:rsidRPr="00195FE9">
              <w:rPr>
                <w:rFonts w:ascii="Times New Roman" w:hAnsi="Times New Roman"/>
                <w:bCs/>
                <w:sz w:val="24"/>
                <w:szCs w:val="24"/>
                <w:lang w:val="lv-LV"/>
              </w:rPr>
              <w:t xml:space="preserve">Noteikumi par ārstniecības personu </w:t>
            </w:r>
            <w:r w:rsidR="00E755D1">
              <w:rPr>
                <w:rFonts w:ascii="Times New Roman" w:hAnsi="Times New Roman"/>
                <w:bCs/>
                <w:sz w:val="24"/>
                <w:szCs w:val="24"/>
                <w:lang w:val="lv-LV"/>
              </w:rPr>
              <w:t xml:space="preserve">un ārstniecības atbalsta personu </w:t>
            </w:r>
            <w:r w:rsidRPr="00195FE9">
              <w:rPr>
                <w:rFonts w:ascii="Times New Roman" w:hAnsi="Times New Roman"/>
                <w:bCs/>
                <w:sz w:val="24"/>
                <w:szCs w:val="24"/>
                <w:lang w:val="lv-LV"/>
              </w:rPr>
              <w:t>profesionālo zināšanu pārbaudes, sertifikāta noformēšanas, reģistrēšanas un tā dublikāta izgatavošanas maksas pakalpojumu cenrādi</w:t>
            </w:r>
            <w:r w:rsidRPr="00195FE9">
              <w:rPr>
                <w:rFonts w:ascii="Times New Roman" w:hAnsi="Times New Roman"/>
                <w:sz w:val="24"/>
                <w:szCs w:val="24"/>
                <w:lang w:val="lv-LV"/>
              </w:rPr>
              <w:t>”.</w:t>
            </w:r>
            <w:r w:rsidR="00483718">
              <w:rPr>
                <w:rFonts w:ascii="Times New Roman" w:hAnsi="Times New Roman"/>
                <w:sz w:val="24"/>
                <w:szCs w:val="24"/>
                <w:lang w:val="lv-LV"/>
              </w:rPr>
              <w:t xml:space="preserve"> </w:t>
            </w:r>
          </w:p>
          <w:p w:rsidR="00195FE9" w:rsidRPr="00195FE9" w:rsidRDefault="00195FE9" w:rsidP="00195FE9">
            <w:pPr>
              <w:pStyle w:val="NoSpacing"/>
              <w:jc w:val="both"/>
              <w:rPr>
                <w:rFonts w:ascii="Times New Roman" w:hAnsi="Times New Roman"/>
                <w:i/>
                <w:sz w:val="24"/>
                <w:szCs w:val="24"/>
                <w:lang w:val="lv-LV"/>
              </w:rPr>
            </w:pPr>
            <w:r w:rsidRPr="00195FE9">
              <w:rPr>
                <w:rFonts w:ascii="Times New Roman" w:hAnsi="Times New Roman"/>
                <w:i/>
                <w:sz w:val="24"/>
                <w:szCs w:val="24"/>
                <w:lang w:val="lv-LV"/>
              </w:rPr>
              <w:t>Informācijai:</w:t>
            </w:r>
          </w:p>
          <w:p w:rsidR="00195FE9" w:rsidRDefault="00195FE9" w:rsidP="00195FE9">
            <w:pPr>
              <w:pStyle w:val="NoSpacing"/>
              <w:jc w:val="both"/>
              <w:rPr>
                <w:rFonts w:ascii="Times New Roman" w:hAnsi="Times New Roman"/>
                <w:sz w:val="24"/>
                <w:szCs w:val="24"/>
                <w:lang w:val="lv-LV"/>
              </w:rPr>
            </w:pPr>
            <w:r w:rsidRPr="00195FE9">
              <w:rPr>
                <w:rFonts w:ascii="Times New Roman" w:hAnsi="Times New Roman"/>
                <w:sz w:val="24"/>
                <w:szCs w:val="24"/>
                <w:lang w:val="lv-LV"/>
              </w:rPr>
              <w:t xml:space="preserve">Veselības ministrija </w:t>
            </w:r>
            <w:r>
              <w:rPr>
                <w:rFonts w:ascii="Times New Roman" w:hAnsi="Times New Roman"/>
                <w:sz w:val="24"/>
                <w:szCs w:val="24"/>
                <w:lang w:val="lv-LV"/>
              </w:rPr>
              <w:t xml:space="preserve">jau </w:t>
            </w:r>
            <w:r w:rsidR="003C0F95">
              <w:rPr>
                <w:rFonts w:ascii="Times New Roman" w:hAnsi="Times New Roman"/>
                <w:sz w:val="24"/>
                <w:szCs w:val="24"/>
                <w:lang w:val="lv-LV"/>
              </w:rPr>
              <w:t>bija izstrādājusi</w:t>
            </w:r>
            <w:r w:rsidRPr="00195FE9">
              <w:rPr>
                <w:rFonts w:ascii="Times New Roman" w:hAnsi="Times New Roman"/>
                <w:sz w:val="24"/>
                <w:szCs w:val="24"/>
                <w:lang w:val="lv-LV"/>
              </w:rPr>
              <w:t xml:space="preserve"> Ministru kabineta noteikumu projektu</w:t>
            </w:r>
            <w:r w:rsidR="00886B41">
              <w:rPr>
                <w:rFonts w:ascii="Times New Roman" w:hAnsi="Times New Roman"/>
                <w:sz w:val="24"/>
                <w:szCs w:val="24"/>
                <w:lang w:val="lv-LV"/>
              </w:rPr>
              <w:t xml:space="preserve"> </w:t>
            </w:r>
            <w:r w:rsidR="00886B41" w:rsidRPr="00886B41">
              <w:rPr>
                <w:rFonts w:ascii="Times New Roman" w:hAnsi="Times New Roman"/>
                <w:sz w:val="24"/>
                <w:szCs w:val="24"/>
                <w:lang w:val="lv-LV"/>
              </w:rPr>
              <w:t>„</w:t>
            </w:r>
            <w:r w:rsidR="00886B41" w:rsidRPr="00886B41">
              <w:rPr>
                <w:rFonts w:ascii="Times New Roman" w:hAnsi="Times New Roman"/>
                <w:color w:val="2A2A2A"/>
                <w:sz w:val="24"/>
                <w:szCs w:val="24"/>
                <w:lang w:val="lv-LV"/>
              </w:rPr>
              <w:t xml:space="preserve"> Noteikumi par Latvijas Ārstu biedrības sniegto maksas pakalpojumu cenrādi”</w:t>
            </w:r>
            <w:r w:rsidR="003C0F95">
              <w:rPr>
                <w:rFonts w:ascii="Times New Roman" w:hAnsi="Times New Roman"/>
                <w:color w:val="2A2A2A"/>
                <w:sz w:val="24"/>
                <w:szCs w:val="24"/>
                <w:lang w:val="lv-LV"/>
              </w:rPr>
              <w:t xml:space="preserve"> </w:t>
            </w:r>
            <w:r w:rsidR="00886B41" w:rsidRPr="00886B41">
              <w:rPr>
                <w:rFonts w:ascii="Times New Roman" w:hAnsi="Times New Roman"/>
                <w:color w:val="2A2A2A"/>
                <w:sz w:val="24"/>
                <w:szCs w:val="24"/>
                <w:lang w:val="lv-LV"/>
              </w:rPr>
              <w:t>(</w:t>
            </w:r>
            <w:r w:rsidR="00886B41">
              <w:rPr>
                <w:rFonts w:ascii="Times New Roman" w:hAnsi="Times New Roman"/>
                <w:color w:val="2A2A2A"/>
                <w:sz w:val="24"/>
                <w:szCs w:val="24"/>
                <w:lang w:val="lv-LV"/>
              </w:rPr>
              <w:t xml:space="preserve">izsludināts </w:t>
            </w:r>
            <w:r w:rsidR="00981DC8">
              <w:rPr>
                <w:rFonts w:ascii="Times New Roman" w:hAnsi="Times New Roman"/>
                <w:color w:val="2A2A2A"/>
                <w:sz w:val="24"/>
                <w:szCs w:val="24"/>
                <w:lang w:val="lv-LV"/>
              </w:rPr>
              <w:t>valsts sekretāru sanāksmē</w:t>
            </w:r>
            <w:r w:rsidR="00886B41">
              <w:rPr>
                <w:rFonts w:ascii="Times New Roman" w:hAnsi="Times New Roman"/>
                <w:color w:val="2A2A2A"/>
                <w:sz w:val="24"/>
                <w:szCs w:val="24"/>
                <w:lang w:val="lv-LV"/>
              </w:rPr>
              <w:t xml:space="preserve"> 05.11.2009, prot. Nr.42 21.§, VSS-1593, atsaukts </w:t>
            </w:r>
            <w:r w:rsidR="00981DC8">
              <w:rPr>
                <w:rFonts w:ascii="Times New Roman" w:hAnsi="Times New Roman"/>
                <w:color w:val="2A2A2A"/>
                <w:sz w:val="24"/>
                <w:szCs w:val="24"/>
                <w:lang w:val="lv-LV"/>
              </w:rPr>
              <w:t xml:space="preserve"> valsts sekretāru sanāksmē</w:t>
            </w:r>
            <w:r w:rsidR="00886B41">
              <w:rPr>
                <w:rFonts w:ascii="Times New Roman" w:hAnsi="Times New Roman"/>
                <w:color w:val="2A2A2A"/>
                <w:sz w:val="24"/>
                <w:szCs w:val="24"/>
                <w:lang w:val="lv-LV"/>
              </w:rPr>
              <w:t xml:space="preserve"> 17.12.2009 prot. Nr.48 38.§), pēc tam </w:t>
            </w:r>
            <w:r w:rsidR="00886B41" w:rsidRPr="00195FE9">
              <w:rPr>
                <w:rFonts w:ascii="Times New Roman" w:hAnsi="Times New Roman"/>
                <w:sz w:val="24"/>
                <w:szCs w:val="24"/>
                <w:lang w:val="lv-LV"/>
              </w:rPr>
              <w:t xml:space="preserve"> Ministru kabineta noteikumu projektu</w:t>
            </w:r>
            <w:r w:rsidR="00886B41">
              <w:rPr>
                <w:rFonts w:ascii="Times New Roman" w:hAnsi="Times New Roman"/>
                <w:color w:val="2A2A2A"/>
                <w:sz w:val="24"/>
                <w:szCs w:val="24"/>
                <w:lang w:val="lv-LV"/>
              </w:rPr>
              <w:t xml:space="preserve"> </w:t>
            </w:r>
            <w:r w:rsidRPr="00195FE9">
              <w:rPr>
                <w:rFonts w:ascii="Times New Roman" w:hAnsi="Times New Roman"/>
                <w:sz w:val="24"/>
                <w:szCs w:val="24"/>
                <w:lang w:val="lv-LV"/>
              </w:rPr>
              <w:t xml:space="preserve">„Noteikumi par ārstniecības personu un ārstniecības atbalsta personu profesionālo zināšanu pārbaudes, sertifikāta noformēšanas, reģistrēšanas un tā dublikāta izgatavošanas maksas pakalpojumu cenrādi” (izsludināts </w:t>
            </w:r>
            <w:r w:rsidR="00981DC8">
              <w:rPr>
                <w:rFonts w:ascii="Times New Roman" w:hAnsi="Times New Roman"/>
                <w:color w:val="2A2A2A"/>
                <w:sz w:val="24"/>
                <w:szCs w:val="24"/>
                <w:lang w:val="lv-LV"/>
              </w:rPr>
              <w:t xml:space="preserve"> valsts sekretāru sanāksmē</w:t>
            </w:r>
            <w:r w:rsidRPr="00195FE9">
              <w:rPr>
                <w:rFonts w:ascii="Times New Roman" w:hAnsi="Times New Roman"/>
                <w:sz w:val="24"/>
                <w:szCs w:val="24"/>
                <w:lang w:val="lv-LV"/>
              </w:rPr>
              <w:t xml:space="preserve"> 22.04.2010, prot.Nr.16 19.§, VSS-488</w:t>
            </w:r>
            <w:r w:rsidR="00886B41">
              <w:rPr>
                <w:rFonts w:ascii="Times New Roman" w:hAnsi="Times New Roman"/>
                <w:sz w:val="24"/>
                <w:szCs w:val="24"/>
                <w:lang w:val="lv-LV"/>
              </w:rPr>
              <w:t xml:space="preserve">, atsaukts </w:t>
            </w:r>
            <w:r w:rsidR="00E755D1">
              <w:rPr>
                <w:rFonts w:ascii="Times New Roman" w:hAnsi="Times New Roman"/>
                <w:color w:val="2A2A2A"/>
                <w:sz w:val="24"/>
                <w:szCs w:val="24"/>
                <w:lang w:val="lv-LV"/>
              </w:rPr>
              <w:t xml:space="preserve"> valsts sekretāru </w:t>
            </w:r>
            <w:r w:rsidR="00886B41">
              <w:rPr>
                <w:rFonts w:ascii="Times New Roman" w:hAnsi="Times New Roman"/>
                <w:sz w:val="24"/>
                <w:szCs w:val="24"/>
                <w:lang w:val="lv-LV"/>
              </w:rPr>
              <w:t>03.06.2010 prot. Nr.22 22.§). Otrais m</w:t>
            </w:r>
            <w:r w:rsidRPr="00195FE9">
              <w:rPr>
                <w:rFonts w:ascii="Times New Roman" w:hAnsi="Times New Roman"/>
                <w:sz w:val="24"/>
                <w:szCs w:val="24"/>
                <w:lang w:val="lv-LV"/>
              </w:rPr>
              <w:t>inētais noteikumu projekts tika skatīts 2010.gada 21.maija starpministriju saskaņošanas sanāksmē, lai vienotos par Tieslietu ministrijas izteikto iebildu</w:t>
            </w:r>
            <w:r w:rsidR="00981DC8">
              <w:rPr>
                <w:rFonts w:ascii="Times New Roman" w:hAnsi="Times New Roman"/>
                <w:sz w:val="24"/>
                <w:szCs w:val="24"/>
                <w:lang w:val="lv-LV"/>
              </w:rPr>
              <w:t>mu. Tieslietu ministrija uzskatīja</w:t>
            </w:r>
            <w:r w:rsidRPr="00195FE9">
              <w:rPr>
                <w:rFonts w:ascii="Times New Roman" w:hAnsi="Times New Roman"/>
                <w:sz w:val="24"/>
                <w:szCs w:val="24"/>
                <w:lang w:val="lv-LV"/>
              </w:rPr>
              <w:t>, ka Ārstniecības likuma 29.panta otrā daļa deleģē Latvijas Ārstu biedrībai, Latvijas Ārstniecības personu profesionālo organizāciju savienībai un Latvijas Māsu asociācijai tiesības veikt Ārstniecības personu sertifikāciju. Līdz ar to iepriekš minētie subjekti pilda tiem deleģētu valsts pārvaldes uzdevumu. Ti</w:t>
            </w:r>
            <w:r w:rsidR="00981DC8">
              <w:rPr>
                <w:rFonts w:ascii="Times New Roman" w:hAnsi="Times New Roman"/>
                <w:sz w:val="24"/>
                <w:szCs w:val="24"/>
                <w:lang w:val="lv-LV"/>
              </w:rPr>
              <w:t>eslietu ministrija uzskatīja</w:t>
            </w:r>
            <w:r w:rsidRPr="00195FE9">
              <w:rPr>
                <w:rFonts w:ascii="Times New Roman" w:hAnsi="Times New Roman"/>
                <w:sz w:val="24"/>
                <w:szCs w:val="24"/>
                <w:lang w:val="lv-LV"/>
              </w:rPr>
              <w:t xml:space="preserve">, kam sanāksmes laikā pievienojās arī Finanšu ministrija, ka </w:t>
            </w:r>
            <w:r w:rsidR="00981DC8" w:rsidRPr="00195FE9">
              <w:rPr>
                <w:rFonts w:ascii="Times New Roman" w:hAnsi="Times New Roman"/>
                <w:sz w:val="24"/>
                <w:szCs w:val="24"/>
                <w:lang w:val="lv-LV"/>
              </w:rPr>
              <w:t xml:space="preserve"> </w:t>
            </w:r>
            <w:r w:rsidR="00981DC8">
              <w:rPr>
                <w:rFonts w:ascii="Times New Roman" w:hAnsi="Times New Roman"/>
                <w:sz w:val="24"/>
                <w:szCs w:val="24"/>
                <w:lang w:val="lv-LV"/>
              </w:rPr>
              <w:t xml:space="preserve">Latvijas Ārstu biedrības, </w:t>
            </w:r>
            <w:r w:rsidRPr="00195FE9">
              <w:rPr>
                <w:rFonts w:ascii="Times New Roman" w:hAnsi="Times New Roman"/>
                <w:sz w:val="24"/>
                <w:szCs w:val="24"/>
                <w:lang w:val="lv-LV"/>
              </w:rPr>
              <w:t>Latvijas Ārstniecības personu profe</w:t>
            </w:r>
            <w:r w:rsidR="00981DC8">
              <w:rPr>
                <w:rFonts w:ascii="Times New Roman" w:hAnsi="Times New Roman"/>
                <w:sz w:val="24"/>
                <w:szCs w:val="24"/>
                <w:lang w:val="lv-LV"/>
              </w:rPr>
              <w:t>sionālo organizāciju savienības</w:t>
            </w:r>
            <w:r w:rsidRPr="00195FE9">
              <w:rPr>
                <w:rFonts w:ascii="Times New Roman" w:hAnsi="Times New Roman"/>
                <w:sz w:val="24"/>
                <w:szCs w:val="24"/>
                <w:lang w:val="lv-LV"/>
              </w:rPr>
              <w:t xml:space="preserve"> un Latvijas Māsu asociācijas sniegtie </w:t>
            </w:r>
            <w:r w:rsidR="00E755D1">
              <w:rPr>
                <w:rFonts w:ascii="Times New Roman" w:hAnsi="Times New Roman"/>
                <w:sz w:val="24"/>
                <w:szCs w:val="24"/>
                <w:lang w:val="lv-LV"/>
              </w:rPr>
              <w:t xml:space="preserve">maksas </w:t>
            </w:r>
            <w:r w:rsidRPr="00195FE9">
              <w:rPr>
                <w:rFonts w:ascii="Times New Roman" w:hAnsi="Times New Roman"/>
                <w:sz w:val="24"/>
                <w:szCs w:val="24"/>
                <w:lang w:val="lv-LV"/>
              </w:rPr>
              <w:t>pakalpojumi (piemēram, sertifikāta (ad</w:t>
            </w:r>
            <w:r w:rsidR="00E755D1">
              <w:rPr>
                <w:rFonts w:ascii="Times New Roman" w:hAnsi="Times New Roman"/>
                <w:sz w:val="24"/>
                <w:szCs w:val="24"/>
                <w:lang w:val="lv-LV"/>
              </w:rPr>
              <w:t>ministratīvā akta) izdošana</w:t>
            </w:r>
            <w:r w:rsidRPr="00195FE9">
              <w:rPr>
                <w:rFonts w:ascii="Times New Roman" w:hAnsi="Times New Roman"/>
                <w:sz w:val="24"/>
                <w:szCs w:val="24"/>
                <w:lang w:val="lv-LV"/>
              </w:rPr>
              <w:t>) ir valsts nodevas objekti nevis maksas pakalpojumi, tādējādi nepieciešams veikt attiecīgus grozījumus normatīvajos aktos (likumā „Par nodokļiem un nodevām” un Ārstniecības likumā).</w:t>
            </w:r>
          </w:p>
          <w:p w:rsidR="00886B41" w:rsidRDefault="00886B41" w:rsidP="00886B41">
            <w:pPr>
              <w:jc w:val="both"/>
            </w:pPr>
            <w:r>
              <w:t xml:space="preserve">Taču jāņem vērā, ka </w:t>
            </w:r>
            <w:r w:rsidRPr="001A11A0">
              <w:t xml:space="preserve">Finanšu ministrijas izstrādātā koncepcija „Par </w:t>
            </w:r>
            <w:r w:rsidRPr="001A11A0">
              <w:lastRenderedPageBreak/>
              <w:t>valsts nodevu un maksas</w:t>
            </w:r>
            <w:r w:rsidRPr="009811ED">
              <w:t xml:space="preserve"> pakalpojumu nošķiršanu un valsts nodevu plānošanas, uzskaites un kontroles sistēmas pilnveidošanu” (valsts sekretāru 2010.gada 23.septembra sanāksmes prot. Nr.37, 12.§, VSS-1116) netika virzīta pieņemšanai uz Ministru kabinetu, bet gan atsaukta </w:t>
            </w:r>
            <w:r>
              <w:t>valsts sekretāru 2011.gada 7</w:t>
            </w:r>
            <w:r w:rsidRPr="009811ED">
              <w:t>.aprīļa sanāksmē</w:t>
            </w:r>
            <w:r>
              <w:t xml:space="preserve"> (prot. Nr.14, 26.§, VSS-1116).</w:t>
            </w:r>
          </w:p>
          <w:p w:rsidR="00570F85" w:rsidRDefault="00886B41" w:rsidP="00570F85">
            <w:pPr>
              <w:jc w:val="both"/>
            </w:pPr>
            <w:r w:rsidRPr="009811ED">
              <w:t xml:space="preserve">Šobrīd Finanšu ministrija </w:t>
            </w:r>
            <w:r>
              <w:t xml:space="preserve">atkārtoti no jauna </w:t>
            </w:r>
            <w:r w:rsidRPr="009811ED">
              <w:t>ir izstrādājusi</w:t>
            </w:r>
            <w:r w:rsidR="00E755D1">
              <w:t xml:space="preserve"> un Ministru kabineta 2012.gada 20.marta sēdē ir atbalstīts </w:t>
            </w:r>
            <w:r w:rsidRPr="009811ED">
              <w:rPr>
                <w:rFonts w:eastAsia="Calibri"/>
              </w:rPr>
              <w:t>informatīv</w:t>
            </w:r>
            <w:r w:rsidR="00E755D1">
              <w:rPr>
                <w:rFonts w:eastAsia="Calibri"/>
              </w:rPr>
              <w:t>ais</w:t>
            </w:r>
            <w:r w:rsidRPr="009811ED">
              <w:rPr>
                <w:rFonts w:eastAsia="Calibri"/>
              </w:rPr>
              <w:t xml:space="preserve"> ziņojum</w:t>
            </w:r>
            <w:r w:rsidR="00E755D1">
              <w:rPr>
                <w:rFonts w:eastAsia="Calibri"/>
              </w:rPr>
              <w:t>s</w:t>
            </w:r>
            <w:r w:rsidRPr="009811ED">
              <w:rPr>
                <w:rFonts w:eastAsia="Calibri"/>
              </w:rPr>
              <w:t xml:space="preserve"> „Par valsts nodevu un maksas pakalpojumu nošķiršanu un nodevu sistēmas pilnveidošanu”</w:t>
            </w:r>
            <w:r w:rsidR="00E86CC8">
              <w:rPr>
                <w:rFonts w:eastAsia="Calibri"/>
              </w:rPr>
              <w:t xml:space="preserve"> (prot.</w:t>
            </w:r>
            <w:r w:rsidR="00E755D1">
              <w:rPr>
                <w:rFonts w:eastAsia="Calibri"/>
              </w:rPr>
              <w:t>Nr.16, 31.§, TA-477)</w:t>
            </w:r>
            <w:r w:rsidR="005E0984">
              <w:rPr>
                <w:rFonts w:eastAsia="Calibri"/>
              </w:rPr>
              <w:t xml:space="preserve"> (turpmāk – informatīvais ziņojums)</w:t>
            </w:r>
            <w:r w:rsidR="00E755D1">
              <w:rPr>
                <w:rFonts w:eastAsia="Calibri"/>
              </w:rPr>
              <w:t xml:space="preserve">. </w:t>
            </w:r>
            <w:r w:rsidRPr="009811ED">
              <w:rPr>
                <w:rFonts w:eastAsia="Calibri"/>
              </w:rPr>
              <w:t xml:space="preserve"> </w:t>
            </w:r>
            <w:r w:rsidR="00E86CC8" w:rsidRPr="009811ED">
              <w:rPr>
                <w:rFonts w:eastAsia="Calibri"/>
              </w:rPr>
              <w:t xml:space="preserve"> Minētais</w:t>
            </w:r>
            <w:r w:rsidR="00E86CC8">
              <w:rPr>
                <w:rFonts w:eastAsia="Calibri"/>
              </w:rPr>
              <w:t xml:space="preserve"> informatīvais ziņojums</w:t>
            </w:r>
            <w:r w:rsidR="00E86CC8" w:rsidRPr="009811ED">
              <w:rPr>
                <w:rFonts w:eastAsia="Calibri"/>
              </w:rPr>
              <w:t xml:space="preserve"> paredz </w:t>
            </w:r>
            <w:r w:rsidR="00E86CC8" w:rsidRPr="009811ED">
              <w:t xml:space="preserve">precizēt likumā „Par nodokļiem un nodevām” ietverto valsts nodevas un nodokļa definīciju </w:t>
            </w:r>
            <w:r w:rsidR="00E86CC8" w:rsidRPr="009811ED">
              <w:rPr>
                <w:b/>
              </w:rPr>
              <w:t xml:space="preserve">- </w:t>
            </w:r>
            <w:r w:rsidR="00E86CC8" w:rsidRPr="009811ED">
              <w:t xml:space="preserve">valsts nodeva </w:t>
            </w:r>
            <w:r w:rsidR="00E86CC8" w:rsidRPr="009811ED">
              <w:rPr>
                <w:b/>
              </w:rPr>
              <w:t>-</w:t>
            </w:r>
            <w:r w:rsidR="00E86CC8" w:rsidRPr="009811ED">
              <w:t xml:space="preserve"> maksājums valsts </w:t>
            </w:r>
            <w:r w:rsidR="00E86CC8">
              <w:t>pamat</w:t>
            </w:r>
            <w:r w:rsidR="00E86CC8" w:rsidRPr="009811ED">
              <w:t>budžetā</w:t>
            </w:r>
            <w:r w:rsidR="00E86CC8">
              <w:t xml:space="preserve"> par valsts institūcijas veicamo darbību, kas izriet no šīs institūcijas funkcijām. Valsts nodevas mērķis ir personu darbību regulēšana (kontrolēšana, veicināšana, ierobežošana). Valsts nodevas apmērs nav tiešā veidā saistīts ar institūciju veikto darbību izmaksu segšanu. Valsts nodevas apmērs var būtiski pārsniegt ar pakalpojumu sniegšanu saistītās faktiskās izmaksas, nodrošinot lielākus ieņēmumus valsts budžetā. Savukārt, maksas pakalpojums – pasākumu kopums, ko valsts budžeta iestāde ārējos normatīvajos aktos paredzētajos gadījumos veic par samaksu, lai nodrošinātu sabiedrības vajadzību ievērošanu. Maksa ar pakalpojumu nepārsniedz ar pakalpojumu sniegšanu saistītās faktiskās izmaksas un izcenojumi jānosaka saskaņā ar Ministru kabineta 2011.gada 3.maija noteikumu Nr.333 „</w:t>
            </w:r>
            <w:r w:rsidR="00E86CC8" w:rsidRPr="00E86CC8">
              <w:rPr>
                <w:bCs/>
                <w:lang w:eastAsia="en-US"/>
              </w:rPr>
              <w:t>Kārtība, kādā plānojami un uzskaitāmi ieņēmumi no maksas pakalpojumiem un ar šo pakalpojumu sniegšanu saistītie izdevumi, kā arī maksas pakalpojumu izcenojumu noteikšanas metodika un izcenojumu apstiprināšanas kārtība”</w:t>
            </w:r>
            <w:r w:rsidR="00E86CC8">
              <w:rPr>
                <w:bCs/>
                <w:lang w:eastAsia="en-US"/>
              </w:rPr>
              <w:t xml:space="preserve"> prasībām. </w:t>
            </w:r>
            <w:r w:rsidR="00E86CC8">
              <w:rPr>
                <w:rFonts w:eastAsia="Calibri"/>
              </w:rPr>
              <w:t xml:space="preserve">Informatīvā ziņojumā </w:t>
            </w:r>
            <w:r w:rsidR="00E86CC8" w:rsidRPr="009811ED">
              <w:t xml:space="preserve">minēts, ka nepieciešams pakāpeniski pārskatīt spēkā esošās valsts nodevas, izvērtējot to efektivitāti un lietderību, sašaurinot šobrīd noteikto nodevu objektu loku. Savukārt, </w:t>
            </w:r>
            <w:r w:rsidR="00E86CC8" w:rsidRPr="001041B8">
              <w:t>jaunas valsts nodevas nosakāmas tikai speciālam mērķim -</w:t>
            </w:r>
            <w:r w:rsidR="00E86CC8" w:rsidRPr="009811ED">
              <w:t xml:space="preserve"> sasniegt kādu konkrētu politikas rezultātu atsevišķā darbības jomā ar mērķi regulēt aizsargāt, attīstīt, kontrolēt</w:t>
            </w:r>
            <w:r w:rsidR="00E86CC8">
              <w:t>, veicināt</w:t>
            </w:r>
            <w:r w:rsidR="00E86CC8" w:rsidRPr="009811ED">
              <w:t xml:space="preserve"> un uzraudzīt.</w:t>
            </w:r>
            <w:r w:rsidR="00E86CC8">
              <w:t xml:space="preserve"> </w:t>
            </w:r>
            <w:r w:rsidR="00E86CC8" w:rsidRPr="009811ED">
              <w:rPr>
                <w:lang w:eastAsia="en-US"/>
              </w:rPr>
              <w:t>Ministru kabineta</w:t>
            </w:r>
            <w:r w:rsidR="00E86CC8">
              <w:rPr>
                <w:lang w:eastAsia="en-US"/>
              </w:rPr>
              <w:t xml:space="preserve"> 2012.gada 20.marta sēdes protokola Nr.16, 31.§ </w:t>
            </w:r>
            <w:r w:rsidR="00E86CC8" w:rsidRPr="009811ED">
              <w:rPr>
                <w:lang w:eastAsia="en-US"/>
              </w:rPr>
              <w:t xml:space="preserve">2.punkts paredz, ka </w:t>
            </w:r>
            <w:r w:rsidR="00E86CC8" w:rsidRPr="009811ED">
              <w:t>Finanšu ministrija lī</w:t>
            </w:r>
            <w:r w:rsidR="00E86CC8">
              <w:t>dz 2012.gada 1.augustam izstrādā</w:t>
            </w:r>
            <w:r w:rsidR="00E86CC8" w:rsidRPr="009811ED">
              <w:rPr>
                <w:lang w:eastAsia="en-US"/>
              </w:rPr>
              <w:t xml:space="preserve"> grozījumus likumā „Par nodokļiem un nodevām”, precizējot </w:t>
            </w:r>
            <w:r w:rsidR="00E86CC8">
              <w:t>nodokļa un valsts nodevas definīciju.</w:t>
            </w:r>
            <w:r w:rsidR="00E86CC8" w:rsidRPr="009811ED">
              <w:t xml:space="preserve"> </w:t>
            </w:r>
            <w:r w:rsidR="00E86CC8">
              <w:t>P</w:t>
            </w:r>
            <w:r w:rsidR="00E86CC8" w:rsidRPr="009811ED">
              <w:t xml:space="preserve">ēc atbilstošu grozījumu </w:t>
            </w:r>
            <w:r w:rsidR="00E86CC8">
              <w:t>spēkā stāšanās</w:t>
            </w:r>
            <w:r w:rsidR="00E86CC8" w:rsidRPr="009811ED">
              <w:t xml:space="preserve"> likumā „Par nodokļiem un nodevām”, nozaru ministrijām dots uzdevums izvērtēt to</w:t>
            </w:r>
            <w:r w:rsidR="00E86CC8">
              <w:t xml:space="preserve"> kompetencē esošās valsts nodevas un maksas pakalpojumus, ņemot vērā informatīvajā ziņojumā minētos kritērijus, likumā „Par nodokļiem un nodevām” noteikto valsts nodevas definējumu un Likumā par budžetu un finanšu vadību noteikto maksas pakalpojuma definīciju, un līdz 2013.gada 1.aprīlim iesniegt Finanšu ministrijai izvērtēšanai. Pēc tam Finanšu ministrija </w:t>
            </w:r>
            <w:r w:rsidR="00570F85">
              <w:t>divus</w:t>
            </w:r>
            <w:r w:rsidR="00E86CC8">
              <w:t xml:space="preserve"> mēnešus vērtēs nozaru ministriju iesniegto informāciju un līdz 2013.gada 15.septembrim ministrijām būs jāiesniedz Ministru kabinetā attiecīgos grozījumus </w:t>
            </w:r>
            <w:r w:rsidR="00570F85">
              <w:lastRenderedPageBreak/>
              <w:t>normatīvajos aktos.</w:t>
            </w:r>
          </w:p>
          <w:p w:rsidR="00570F85" w:rsidRDefault="00886B41" w:rsidP="00570F85">
            <w:pPr>
              <w:jc w:val="both"/>
              <w:rPr>
                <w:rFonts w:eastAsia="Calibri"/>
              </w:rPr>
            </w:pPr>
            <w:r w:rsidRPr="009811ED">
              <w:rPr>
                <w:rFonts w:eastAsia="Calibri"/>
              </w:rPr>
              <w:t xml:space="preserve">Ministru kabineta </w:t>
            </w:r>
            <w:r w:rsidR="00E755D1">
              <w:rPr>
                <w:rFonts w:eastAsia="Calibri"/>
              </w:rPr>
              <w:t xml:space="preserve">2012.gada 20.marta </w:t>
            </w:r>
            <w:r w:rsidRPr="009811ED">
              <w:rPr>
                <w:rFonts w:eastAsia="Calibri"/>
              </w:rPr>
              <w:t>sēdes</w:t>
            </w:r>
            <w:r w:rsidR="00E755D1">
              <w:rPr>
                <w:rFonts w:eastAsia="Calibri"/>
              </w:rPr>
              <w:t xml:space="preserve"> protokola Nr.16 31.§</w:t>
            </w:r>
            <w:r w:rsidR="00570F85">
              <w:rPr>
                <w:rFonts w:eastAsia="Calibri"/>
              </w:rPr>
              <w:t xml:space="preserve"> 7.punkts paredz, ka Finanšu ministrija līdz 2013.gada 1</w:t>
            </w:r>
            <w:r w:rsidR="002A6264">
              <w:rPr>
                <w:rFonts w:eastAsia="Calibri"/>
              </w:rPr>
              <w:t>5</w:t>
            </w:r>
            <w:r w:rsidR="00570F85">
              <w:rPr>
                <w:rFonts w:eastAsia="Calibri"/>
              </w:rPr>
              <w:t>.</w:t>
            </w:r>
            <w:r w:rsidR="002A6264">
              <w:rPr>
                <w:rFonts w:eastAsia="Calibri"/>
              </w:rPr>
              <w:t>augustam</w:t>
            </w:r>
            <w:r w:rsidR="00570F85">
              <w:rPr>
                <w:rFonts w:eastAsia="Calibri"/>
              </w:rPr>
              <w:t xml:space="preserve"> izstrādā un iesniedz Ministru kabinetā tiesību akta projektu, kas nosaka kārtību, kādā tiek piešķirts finanšu līdzekļu apjoms privāto tiesību subjektam, kuram ir deleģēts valsts pārvaldes uzdevums – sniegt attiecīgu pakalpojumu (par kuru nosakāma valsts nodeva), ar valsts nodevu administrēšanu un pakalpojumu sniegšanu saistīto izdevumu segšanai.</w:t>
            </w:r>
          </w:p>
          <w:p w:rsidR="005E0984" w:rsidRDefault="00570F85" w:rsidP="005E0984">
            <w:pPr>
              <w:jc w:val="both"/>
            </w:pPr>
            <w:r>
              <w:rPr>
                <w:rFonts w:eastAsia="Calibri"/>
              </w:rPr>
              <w:t>Veselības ministrija, p</w:t>
            </w:r>
            <w:r w:rsidR="003F2C2D">
              <w:t>amatojoties uz Finanšu ministrijas izstrādāt</w:t>
            </w:r>
            <w:r>
              <w:t>ajā</w:t>
            </w:r>
            <w:r w:rsidR="003F2C2D">
              <w:t xml:space="preserve"> informatīv</w:t>
            </w:r>
            <w:r>
              <w:t>ajā</w:t>
            </w:r>
            <w:r w:rsidR="003F2C2D">
              <w:t xml:space="preserve"> ziņojum</w:t>
            </w:r>
            <w:r>
              <w:t>ā</w:t>
            </w:r>
            <w:r w:rsidR="003F2C2D">
              <w:t xml:space="preserve"> ietverto valsts nodevas </w:t>
            </w:r>
            <w:r>
              <w:t xml:space="preserve">un maksas pakalpojuma </w:t>
            </w:r>
            <w:r w:rsidR="003F2C2D">
              <w:t>definējumu,</w:t>
            </w:r>
            <w:r>
              <w:t xml:space="preserve"> </w:t>
            </w:r>
            <w:r w:rsidR="005E0984">
              <w:t xml:space="preserve">ir izvērtējusi </w:t>
            </w:r>
            <w:r w:rsidR="003F2C2D">
              <w:t>Latvijas Ārstu biedrības</w:t>
            </w:r>
            <w:r w:rsidR="003F2C2D" w:rsidRPr="00195FE9">
              <w:t xml:space="preserve">, </w:t>
            </w:r>
            <w:r w:rsidR="002D7209" w:rsidRPr="00195FE9">
              <w:t xml:space="preserve"> Latvijas Ārstniecības personu pro</w:t>
            </w:r>
            <w:r w:rsidR="002D7209">
              <w:t xml:space="preserve">fesionālo organizāciju savienības un </w:t>
            </w:r>
            <w:r w:rsidR="003F2C2D" w:rsidRPr="00195FE9">
              <w:t>Latvijas Māsu asociācij</w:t>
            </w:r>
            <w:r w:rsidR="003F2C2D">
              <w:t>as</w:t>
            </w:r>
            <w:r w:rsidR="003F2C2D" w:rsidRPr="00195FE9">
              <w:t xml:space="preserve"> </w:t>
            </w:r>
            <w:r w:rsidR="003F2C2D">
              <w:t>pakalpojum</w:t>
            </w:r>
            <w:r w:rsidR="005E0984">
              <w:t>us</w:t>
            </w:r>
            <w:r w:rsidR="003F2C2D">
              <w:t xml:space="preserve"> ārstniecības personu sertifikācijas jomā</w:t>
            </w:r>
            <w:r w:rsidR="005E0984">
              <w:t xml:space="preserve"> un secina, ka tie uzs</w:t>
            </w:r>
            <w:r w:rsidR="00DE64B1">
              <w:t>katāmi par maksas pakalpojumiem. Tā kā, pildot deleģēto valsts pārvaldes uzdevumu,   Latvijas Ārstu biedrība</w:t>
            </w:r>
            <w:r w:rsidR="00DE64B1" w:rsidRPr="00195FE9">
              <w:t>,  Latvijas Ārstniecības personu pro</w:t>
            </w:r>
            <w:r w:rsidR="00DE64B1">
              <w:t xml:space="preserve">fesionālo organizāciju savienība un </w:t>
            </w:r>
            <w:r w:rsidR="00DE64B1" w:rsidRPr="00195FE9">
              <w:t>Latvijas Māsu asociācij</w:t>
            </w:r>
            <w:r w:rsidR="00DE64B1">
              <w:t xml:space="preserve">a ar maksas pakalpojumu sniegšanu saistītos izdevumus segs no pašu līdzekļiem, tad tie uzskatāmi par ārpus budžeta ieņēmumiem, kas neietekmē valsts budžetu.    </w:t>
            </w:r>
            <w:r w:rsidR="005E0984">
              <w:t xml:space="preserve"> </w:t>
            </w:r>
            <w:r w:rsidR="003F2C2D">
              <w:t xml:space="preserve"> </w:t>
            </w:r>
          </w:p>
          <w:p w:rsidR="00483718" w:rsidRPr="00012094" w:rsidRDefault="00AE551F" w:rsidP="00483718">
            <w:pPr>
              <w:jc w:val="both"/>
              <w:rPr>
                <w:bCs/>
              </w:rPr>
            </w:pPr>
            <w:r w:rsidRPr="00012094">
              <w:rPr>
                <w:bCs/>
              </w:rPr>
              <w:t>Valsts pārvaldes iekārtas likuma  43.</w:t>
            </w:r>
            <w:r w:rsidRPr="00012094">
              <w:rPr>
                <w:bCs/>
                <w:vertAlign w:val="superscript"/>
              </w:rPr>
              <w:t>1</w:t>
            </w:r>
            <w:r w:rsidR="00DE64B1" w:rsidRPr="00012094">
              <w:rPr>
                <w:bCs/>
              </w:rPr>
              <w:t xml:space="preserve"> </w:t>
            </w:r>
            <w:r w:rsidRPr="00012094">
              <w:rPr>
                <w:bCs/>
              </w:rPr>
              <w:t>panta otrā daļa nosaka, ka v</w:t>
            </w:r>
            <w:r w:rsidRPr="00012094">
              <w:t>alsts pārvaldes uzdevuma ietvaros privātpersonu sniegto pakalpojumu maksas apmēra noteikšanas un apstiprināšanas kārtību, kā arī atbrīvojumus nosaka Ministru kabinets</w:t>
            </w:r>
            <w:r w:rsidR="00483718" w:rsidRPr="00012094">
              <w:t xml:space="preserve">.  Šobrīd nepastāv tiesiskais regulējums attiecībā uz </w:t>
            </w:r>
            <w:r w:rsidR="00483718" w:rsidRPr="00012094">
              <w:rPr>
                <w:bCs/>
              </w:rPr>
              <w:t>ārstniecības personu un ārstniecības atbalsta personu profesionālo zināšanu pārbaudes, sertifikāta noformēšanas, reģistrēšanas un tā dublikāta izgatavošanas</w:t>
            </w:r>
          </w:p>
          <w:p w:rsidR="00012094" w:rsidRPr="00012094" w:rsidRDefault="00483718" w:rsidP="00012094">
            <w:pPr>
              <w:pStyle w:val="FootnoteText"/>
              <w:jc w:val="both"/>
              <w:rPr>
                <w:sz w:val="24"/>
                <w:szCs w:val="24"/>
              </w:rPr>
            </w:pPr>
            <w:r w:rsidRPr="00012094">
              <w:rPr>
                <w:bCs/>
                <w:sz w:val="24"/>
                <w:szCs w:val="24"/>
              </w:rPr>
              <w:t>maksas pakalpojumu cenrādi</w:t>
            </w:r>
            <w:r w:rsidRPr="00012094">
              <w:rPr>
                <w:sz w:val="24"/>
                <w:szCs w:val="24"/>
              </w:rPr>
              <w:t xml:space="preserve">, kas nozīmē, ka iepriekš minētajām organizācijām nav tiesiskā pamata iekasēt samaksu par </w:t>
            </w:r>
            <w:r w:rsidR="00012094" w:rsidRPr="00012094">
              <w:rPr>
                <w:sz w:val="24"/>
                <w:szCs w:val="24"/>
              </w:rPr>
              <w:t>attiecīgo pakalpojumu sniegšanu. N</w:t>
            </w:r>
            <w:r w:rsidR="00DE64B1" w:rsidRPr="00012094">
              <w:rPr>
                <w:sz w:val="24"/>
                <w:szCs w:val="24"/>
              </w:rPr>
              <w:t xml:space="preserve">epieciešams izstrādāt </w:t>
            </w:r>
            <w:r w:rsidR="00012094" w:rsidRPr="00012094">
              <w:rPr>
                <w:sz w:val="24"/>
                <w:szCs w:val="24"/>
              </w:rPr>
              <w:t xml:space="preserve">Ministru kabineta </w:t>
            </w:r>
            <w:r w:rsidR="00DE64B1" w:rsidRPr="00012094">
              <w:rPr>
                <w:sz w:val="24"/>
                <w:szCs w:val="24"/>
              </w:rPr>
              <w:t>noteikumu projektu „</w:t>
            </w:r>
            <w:r w:rsidR="00DE64B1" w:rsidRPr="00012094">
              <w:rPr>
                <w:bCs/>
                <w:sz w:val="24"/>
                <w:szCs w:val="24"/>
              </w:rPr>
              <w:t>Noteikumi par ārstniecības personu un ārstniecības atbalsta personu profesionālo zināšanu pārbaudes, sertifikāta noformēšanas, reģistrēšanas un tā dublikāta izgatavošanas maksas pakalpojumu cenrādi</w:t>
            </w:r>
            <w:r w:rsidR="00DE64B1" w:rsidRPr="00012094">
              <w:rPr>
                <w:sz w:val="24"/>
                <w:szCs w:val="24"/>
              </w:rPr>
              <w:t>” (turpmāk – noteikumu projekts)</w:t>
            </w:r>
            <w:r w:rsidR="00012094" w:rsidRPr="00012094">
              <w:rPr>
                <w:sz w:val="24"/>
                <w:szCs w:val="24"/>
              </w:rPr>
              <w:t xml:space="preserve">, tādējādi nodrošinot tiesisko pamatu   samaksas iekasēšanai Ministru kabineta noteikumu līmenī. </w:t>
            </w:r>
          </w:p>
          <w:p w:rsidR="00AE551F" w:rsidRPr="00075FE9" w:rsidRDefault="00075FE9" w:rsidP="00012094">
            <w:pPr>
              <w:jc w:val="both"/>
            </w:pPr>
            <w:r>
              <w:t xml:space="preserve">Nosakot maksas pakalpojumu izcenojumus tika piemēroti </w:t>
            </w:r>
            <w:r w:rsidR="00DE64B1">
              <w:t>Ministru kabin</w:t>
            </w:r>
            <w:r>
              <w:t>eta 2011.gada 3.maija noteikumi</w:t>
            </w:r>
            <w:r w:rsidR="00DE64B1">
              <w:t xml:space="preserve"> Nr.333 „</w:t>
            </w:r>
            <w:r w:rsidR="00DE64B1" w:rsidRPr="00E86CC8">
              <w:rPr>
                <w:bCs/>
                <w:lang w:eastAsia="en-US"/>
              </w:rPr>
              <w:t>Kārtība, kādā plānojami un uzskaitāmi ieņēmumi no maksas pakalpojumiem un ar šo pakalpojumu sniegšanu saistītie izdevumi, kā arī maksas pakalpojumu izcenojumu noteikšanas metodika un izcenojumu apstiprināšanas kārtība”</w:t>
            </w:r>
            <w:r w:rsidR="00DE64B1">
              <w:rPr>
                <w:bCs/>
                <w:lang w:eastAsia="en-US"/>
              </w:rPr>
              <w:t>.</w:t>
            </w:r>
            <w:r w:rsidR="00DE64B1">
              <w:t xml:space="preserve"> </w:t>
            </w:r>
          </w:p>
        </w:tc>
      </w:tr>
      <w:tr w:rsidR="00195FE9" w:rsidRPr="00AA3DA3" w:rsidTr="00195FE9">
        <w:trPr>
          <w:trHeight w:val="530"/>
        </w:trPr>
        <w:tc>
          <w:tcPr>
            <w:tcW w:w="568" w:type="dxa"/>
          </w:tcPr>
          <w:p w:rsidR="00195FE9" w:rsidRPr="00AA3DA3" w:rsidRDefault="00195FE9" w:rsidP="00195FE9">
            <w:pPr>
              <w:pStyle w:val="naiskr"/>
              <w:spacing w:before="0" w:after="0"/>
            </w:pPr>
            <w:r w:rsidRPr="00AA3DA3">
              <w:lastRenderedPageBreak/>
              <w:t>3.</w:t>
            </w:r>
          </w:p>
        </w:tc>
        <w:tc>
          <w:tcPr>
            <w:tcW w:w="2268" w:type="dxa"/>
          </w:tcPr>
          <w:p w:rsidR="00195FE9" w:rsidRPr="00AA3DA3" w:rsidRDefault="00195FE9" w:rsidP="00195FE9">
            <w:pPr>
              <w:pStyle w:val="naiskr"/>
              <w:spacing w:before="0" w:after="0"/>
            </w:pPr>
            <w:r w:rsidRPr="00AA3DA3">
              <w:t>Saistītie politikas ietekmes novērtējumi un pētījumi</w:t>
            </w:r>
          </w:p>
        </w:tc>
        <w:tc>
          <w:tcPr>
            <w:tcW w:w="6667" w:type="dxa"/>
          </w:tcPr>
          <w:p w:rsidR="00195FE9" w:rsidRPr="00AA3DA3" w:rsidRDefault="00195FE9" w:rsidP="00195FE9">
            <w:pPr>
              <w:pStyle w:val="FootnoteText"/>
              <w:rPr>
                <w:sz w:val="24"/>
                <w:szCs w:val="24"/>
              </w:rPr>
            </w:pPr>
            <w:r>
              <w:rPr>
                <w:sz w:val="24"/>
                <w:szCs w:val="24"/>
              </w:rPr>
              <w:t>Projekts šo jomu neskar.</w:t>
            </w:r>
          </w:p>
        </w:tc>
      </w:tr>
      <w:tr w:rsidR="00195FE9" w:rsidRPr="00AA3DA3" w:rsidTr="00195FE9">
        <w:trPr>
          <w:trHeight w:val="384"/>
        </w:trPr>
        <w:tc>
          <w:tcPr>
            <w:tcW w:w="568" w:type="dxa"/>
          </w:tcPr>
          <w:p w:rsidR="00195FE9" w:rsidRPr="00AA3DA3" w:rsidRDefault="00195FE9" w:rsidP="00195FE9">
            <w:pPr>
              <w:pStyle w:val="naiskr"/>
              <w:spacing w:before="0" w:after="0"/>
            </w:pPr>
            <w:r w:rsidRPr="00AA3DA3">
              <w:t>4.</w:t>
            </w:r>
          </w:p>
        </w:tc>
        <w:tc>
          <w:tcPr>
            <w:tcW w:w="2268" w:type="dxa"/>
          </w:tcPr>
          <w:p w:rsidR="00195FE9" w:rsidRPr="00AA3DA3" w:rsidRDefault="00195FE9" w:rsidP="00195FE9">
            <w:pPr>
              <w:pStyle w:val="naiskr"/>
              <w:spacing w:before="0" w:after="0"/>
            </w:pPr>
            <w:r w:rsidRPr="00AA3DA3">
              <w:t>Tiesiskā regulējuma mērķis un būtība</w:t>
            </w:r>
          </w:p>
        </w:tc>
        <w:tc>
          <w:tcPr>
            <w:tcW w:w="6667" w:type="dxa"/>
          </w:tcPr>
          <w:p w:rsidR="00797EBC" w:rsidRPr="008F45AA" w:rsidRDefault="00DE64B1" w:rsidP="008F45AA">
            <w:pPr>
              <w:autoSpaceDE w:val="0"/>
              <w:autoSpaceDN w:val="0"/>
              <w:adjustRightInd w:val="0"/>
              <w:jc w:val="both"/>
              <w:rPr>
                <w:color w:val="000000"/>
              </w:rPr>
            </w:pPr>
            <w:r>
              <w:rPr>
                <w:rFonts w:eastAsia="Calibri"/>
                <w:color w:val="000000"/>
                <w:lang w:eastAsia="en-US"/>
              </w:rPr>
              <w:t xml:space="preserve">    </w:t>
            </w:r>
            <w:r w:rsidR="003F2C2D" w:rsidRPr="003F2C2D">
              <w:rPr>
                <w:rFonts w:eastAsia="Calibri"/>
                <w:color w:val="000000"/>
                <w:lang w:eastAsia="en-US"/>
              </w:rPr>
              <w:t>Noteikumu projekts paredz noteikt</w:t>
            </w:r>
            <w:r w:rsidR="003F2C2D">
              <w:rPr>
                <w:rFonts w:eastAsia="Calibri"/>
                <w:color w:val="000000"/>
                <w:lang w:eastAsia="en-US"/>
              </w:rPr>
              <w:t xml:space="preserve"> </w:t>
            </w:r>
            <w:r w:rsidR="003F2C2D" w:rsidRPr="00195FE9">
              <w:rPr>
                <w:bCs/>
              </w:rPr>
              <w:t xml:space="preserve"> ārstniecības personu </w:t>
            </w:r>
            <w:r w:rsidR="005E0984">
              <w:rPr>
                <w:bCs/>
              </w:rPr>
              <w:t xml:space="preserve">un ārstniecības atbalsta personu </w:t>
            </w:r>
            <w:r w:rsidR="003F2C2D" w:rsidRPr="00195FE9">
              <w:rPr>
                <w:bCs/>
              </w:rPr>
              <w:t xml:space="preserve">profesionālo zināšanu pārbaudes, sertifikāta noformēšanas, reģistrēšanas un tā dublikāta izgatavošanas </w:t>
            </w:r>
            <w:r w:rsidR="003F2C2D" w:rsidRPr="00195FE9">
              <w:rPr>
                <w:bCs/>
              </w:rPr>
              <w:lastRenderedPageBreak/>
              <w:t>maksas pakalpojumu cenrādi</w:t>
            </w:r>
            <w:r w:rsidR="008D5495">
              <w:rPr>
                <w:rFonts w:eastAsia="Calibri"/>
                <w:color w:val="000000"/>
                <w:lang w:eastAsia="en-US"/>
              </w:rPr>
              <w:t>, kas nozīmē, ka</w:t>
            </w:r>
            <w:r w:rsidR="00797EBC">
              <w:t xml:space="preserve"> </w:t>
            </w:r>
            <w:r w:rsidR="008D5495">
              <w:t>Latvijas Ārstu biedrībai</w:t>
            </w:r>
            <w:r w:rsidR="008D5495" w:rsidRPr="00195FE9">
              <w:t>,  Latvijas Ārstniecības personu pro</w:t>
            </w:r>
            <w:r w:rsidR="008D5495">
              <w:t>fesionālo organizāciju savienībai</w:t>
            </w:r>
            <w:r w:rsidR="008D5495" w:rsidRPr="00195FE9">
              <w:t xml:space="preserve"> </w:t>
            </w:r>
            <w:r w:rsidR="008D5495">
              <w:t xml:space="preserve">un Latvijas Māsu asociācijai būs tiesiskais pamats iekasēt samaksu no ārstniecības personām un ārstniecības atbalsta personām par sertifikācijas eksāmenu, reģistrēta sertifikāta izsniegšanu vai dublikāta izsniegšanu, kā arī </w:t>
            </w:r>
            <w:proofErr w:type="spellStart"/>
            <w:r w:rsidR="008D5495">
              <w:t>resertifikāciju</w:t>
            </w:r>
            <w:proofErr w:type="spellEnd"/>
            <w:r w:rsidR="008D5495">
              <w:t xml:space="preserve">. </w:t>
            </w:r>
            <w:r w:rsidR="00797EBC">
              <w:t xml:space="preserve">Ārstniecības persona vai ārstniecības atbalsta persona, kas vēlas kārtot sertifikācijas eksāmenu, atbilstoši Ministru kabineta noteikumu projektam </w:t>
            </w:r>
            <w:r w:rsidR="00797EBC" w:rsidRPr="00075FE9">
              <w:rPr>
                <w:color w:val="000000"/>
              </w:rPr>
              <w:t>„Ārstniecības personu sertifikācijas kārtība”</w:t>
            </w:r>
            <w:r w:rsidR="00797EBC">
              <w:rPr>
                <w:color w:val="000000"/>
              </w:rPr>
              <w:t xml:space="preserve"> jāiesniedz sertifikācijas komisijā </w:t>
            </w:r>
            <w:r w:rsidR="00A10E55">
              <w:rPr>
                <w:color w:val="000000"/>
              </w:rPr>
              <w:t xml:space="preserve">iesniegums, klāt pievienot dokumentus, kas apliecina profesionālās darbību, reģistrācijas apliecības kopiju, citus dokumentus atbilstoši minēto noteikumu prasībām, kā arī apliecinājumu par sertifikācijas procesa apmaksu (praktisko, teorētisko eksāmenu). Kad eksāmeni ir veiksmīgi nokārtoti, tad ārstniecības persona, uzrādot apliecinājumu, </w:t>
            </w:r>
            <w:r w:rsidR="00A10E55" w:rsidRPr="008F45AA">
              <w:rPr>
                <w:color w:val="000000"/>
              </w:rPr>
              <w:t>ka veikta samaksa par sertifikāta izsniegšanu, saņem reģistrētu sertifikātu</w:t>
            </w:r>
            <w:r w:rsidR="008F45AA" w:rsidRPr="008F45AA">
              <w:rPr>
                <w:color w:val="000000"/>
              </w:rPr>
              <w:t xml:space="preserve">. </w:t>
            </w:r>
            <w:r w:rsidR="00A10E55" w:rsidRPr="008F45AA">
              <w:t>Ja sertificējamā ārstniecības persona neierodas uz sertifikācijas eksāmenu bez attaisnojuma, maksa par sertifikāciju tai netiek atmaksāta.</w:t>
            </w:r>
          </w:p>
          <w:p w:rsidR="00797EBC" w:rsidRPr="00DE64B1" w:rsidRDefault="00797EBC" w:rsidP="00797EBC">
            <w:pPr>
              <w:autoSpaceDE w:val="0"/>
              <w:autoSpaceDN w:val="0"/>
              <w:adjustRightInd w:val="0"/>
              <w:jc w:val="both"/>
              <w:rPr>
                <w:rFonts w:eastAsia="Calibri"/>
                <w:color w:val="000000"/>
                <w:lang w:eastAsia="en-US"/>
              </w:rPr>
            </w:pPr>
            <w:r>
              <w:rPr>
                <w:rFonts w:eastAsia="Calibri"/>
                <w:color w:val="000000"/>
                <w:lang w:eastAsia="en-US"/>
              </w:rPr>
              <w:t xml:space="preserve">    </w:t>
            </w:r>
            <w:r w:rsidRPr="00DE64B1">
              <w:rPr>
                <w:rFonts w:eastAsia="Calibri"/>
                <w:color w:val="000000"/>
                <w:lang w:eastAsia="en-US"/>
              </w:rPr>
              <w:t xml:space="preserve">Maksas pakalpojumu cenrādī paredzēti šādi </w:t>
            </w:r>
            <w:r>
              <w:rPr>
                <w:rFonts w:eastAsia="Calibri"/>
                <w:color w:val="000000"/>
                <w:lang w:eastAsia="en-US"/>
              </w:rPr>
              <w:t xml:space="preserve">maksas </w:t>
            </w:r>
            <w:r w:rsidRPr="00DE64B1">
              <w:rPr>
                <w:rFonts w:eastAsia="Calibri"/>
                <w:color w:val="000000"/>
                <w:lang w:eastAsia="en-US"/>
              </w:rPr>
              <w:t>pakalpojumi:</w:t>
            </w:r>
          </w:p>
          <w:p w:rsidR="00797EBC" w:rsidRPr="00DE64B1" w:rsidRDefault="00797EBC" w:rsidP="00797EBC">
            <w:pPr>
              <w:pStyle w:val="ListParagraph"/>
              <w:numPr>
                <w:ilvl w:val="0"/>
                <w:numId w:val="9"/>
              </w:numPr>
              <w:autoSpaceDE w:val="0"/>
              <w:autoSpaceDN w:val="0"/>
              <w:adjustRightInd w:val="0"/>
              <w:jc w:val="both"/>
              <w:rPr>
                <w:rFonts w:ascii="Times New Roman" w:hAnsi="Times New Roman"/>
                <w:sz w:val="24"/>
                <w:szCs w:val="24"/>
              </w:rPr>
            </w:pPr>
            <w:r w:rsidRPr="00DE64B1">
              <w:rPr>
                <w:rFonts w:ascii="Times New Roman" w:hAnsi="Times New Roman"/>
                <w:sz w:val="24"/>
                <w:szCs w:val="24"/>
              </w:rPr>
              <w:t>profesionālās darbības pārskata izvērtēšana – 10 lati;</w:t>
            </w:r>
          </w:p>
          <w:p w:rsidR="00797EBC" w:rsidRPr="00DE64B1" w:rsidRDefault="00797EBC" w:rsidP="00797EBC">
            <w:pPr>
              <w:pStyle w:val="ListParagraph"/>
              <w:numPr>
                <w:ilvl w:val="0"/>
                <w:numId w:val="9"/>
              </w:numPr>
              <w:autoSpaceDE w:val="0"/>
              <w:autoSpaceDN w:val="0"/>
              <w:adjustRightInd w:val="0"/>
              <w:jc w:val="both"/>
              <w:rPr>
                <w:rFonts w:ascii="Times New Roman" w:hAnsi="Times New Roman"/>
                <w:color w:val="000000"/>
                <w:sz w:val="24"/>
                <w:szCs w:val="24"/>
                <w:lang w:eastAsia="en-US"/>
              </w:rPr>
            </w:pPr>
            <w:r w:rsidRPr="00DE64B1">
              <w:rPr>
                <w:rFonts w:ascii="Times New Roman" w:hAnsi="Times New Roman"/>
                <w:sz w:val="24"/>
                <w:szCs w:val="24"/>
              </w:rPr>
              <w:t>profesionālās kvalifikācijas sertifikācija pie sertifikācijas eksāmena komisijas (sertificējamā persona kārto praktisko eksāmenu) – 10 lati;</w:t>
            </w:r>
          </w:p>
          <w:p w:rsidR="00797EBC" w:rsidRPr="00DE64B1" w:rsidRDefault="00797EBC" w:rsidP="00797EBC">
            <w:pPr>
              <w:pStyle w:val="ListParagraph"/>
              <w:numPr>
                <w:ilvl w:val="0"/>
                <w:numId w:val="9"/>
              </w:numPr>
              <w:autoSpaceDE w:val="0"/>
              <w:autoSpaceDN w:val="0"/>
              <w:adjustRightInd w:val="0"/>
              <w:jc w:val="both"/>
              <w:rPr>
                <w:rFonts w:ascii="Times New Roman" w:hAnsi="Times New Roman"/>
                <w:color w:val="000000"/>
                <w:sz w:val="24"/>
                <w:szCs w:val="24"/>
                <w:lang w:eastAsia="en-US"/>
              </w:rPr>
            </w:pPr>
            <w:r w:rsidRPr="00DE64B1">
              <w:rPr>
                <w:rFonts w:ascii="Times New Roman" w:hAnsi="Times New Roman"/>
                <w:sz w:val="24"/>
                <w:szCs w:val="24"/>
              </w:rPr>
              <w:t>profesionālās kvalifikācijas sertifikācija pie sertifikācijas eksāmena komisijas (sertificējamā persona kārto teorētisko eksāmenu) – 15 lati;</w:t>
            </w:r>
          </w:p>
          <w:p w:rsidR="00797EBC" w:rsidRPr="00DE64B1" w:rsidRDefault="00797EBC" w:rsidP="00797EBC">
            <w:pPr>
              <w:pStyle w:val="ListParagraph"/>
              <w:numPr>
                <w:ilvl w:val="0"/>
                <w:numId w:val="9"/>
              </w:numPr>
              <w:autoSpaceDE w:val="0"/>
              <w:autoSpaceDN w:val="0"/>
              <w:adjustRightInd w:val="0"/>
              <w:jc w:val="both"/>
              <w:rPr>
                <w:rFonts w:ascii="Times New Roman" w:hAnsi="Times New Roman"/>
                <w:color w:val="000000"/>
                <w:sz w:val="24"/>
                <w:szCs w:val="24"/>
                <w:lang w:eastAsia="en-US"/>
              </w:rPr>
            </w:pPr>
            <w:r w:rsidRPr="00DE64B1">
              <w:rPr>
                <w:rFonts w:ascii="Times New Roman" w:hAnsi="Times New Roman"/>
                <w:sz w:val="24"/>
                <w:szCs w:val="24"/>
              </w:rPr>
              <w:t>reģistrētā sertifikāta vai dublikāta izsniegšana – 7 lati;</w:t>
            </w:r>
          </w:p>
          <w:p w:rsidR="00797EBC" w:rsidRPr="008F45AA" w:rsidRDefault="00797EBC" w:rsidP="008F45AA">
            <w:pPr>
              <w:pStyle w:val="ListParagraph"/>
              <w:numPr>
                <w:ilvl w:val="0"/>
                <w:numId w:val="9"/>
              </w:numPr>
              <w:autoSpaceDE w:val="0"/>
              <w:autoSpaceDN w:val="0"/>
              <w:adjustRightInd w:val="0"/>
              <w:jc w:val="both"/>
              <w:rPr>
                <w:rFonts w:ascii="Times New Roman" w:hAnsi="Times New Roman"/>
                <w:color w:val="000000"/>
                <w:sz w:val="24"/>
                <w:szCs w:val="24"/>
                <w:lang w:eastAsia="en-US"/>
              </w:rPr>
            </w:pPr>
            <w:r w:rsidRPr="00DE64B1">
              <w:rPr>
                <w:rFonts w:ascii="Times New Roman" w:hAnsi="Times New Roman"/>
                <w:sz w:val="24"/>
                <w:szCs w:val="24"/>
              </w:rPr>
              <w:t xml:space="preserve">profesionālās kvalifikācijas </w:t>
            </w:r>
            <w:proofErr w:type="spellStart"/>
            <w:r>
              <w:rPr>
                <w:rFonts w:ascii="Times New Roman" w:hAnsi="Times New Roman"/>
                <w:sz w:val="24"/>
                <w:szCs w:val="24"/>
              </w:rPr>
              <w:t>re</w:t>
            </w:r>
            <w:r w:rsidRPr="00DE64B1">
              <w:rPr>
                <w:rFonts w:ascii="Times New Roman" w:hAnsi="Times New Roman"/>
                <w:sz w:val="24"/>
                <w:szCs w:val="24"/>
              </w:rPr>
              <w:t>sertifikācija</w:t>
            </w:r>
            <w:proofErr w:type="spellEnd"/>
            <w:r w:rsidRPr="00DE64B1">
              <w:rPr>
                <w:rFonts w:ascii="Times New Roman" w:hAnsi="Times New Roman"/>
                <w:sz w:val="24"/>
                <w:szCs w:val="24"/>
              </w:rPr>
              <w:t xml:space="preserve"> pie ser</w:t>
            </w:r>
            <w:r>
              <w:rPr>
                <w:rFonts w:ascii="Times New Roman" w:hAnsi="Times New Roman"/>
                <w:sz w:val="24"/>
                <w:szCs w:val="24"/>
              </w:rPr>
              <w:t xml:space="preserve">tifikācijas eksāmena komisijas </w:t>
            </w:r>
            <w:r w:rsidRPr="00DE64B1">
              <w:rPr>
                <w:rFonts w:ascii="Times New Roman" w:hAnsi="Times New Roman"/>
                <w:sz w:val="24"/>
                <w:szCs w:val="24"/>
              </w:rPr>
              <w:t>– 17 lati.</w:t>
            </w:r>
          </w:p>
          <w:p w:rsidR="008F45AA" w:rsidRDefault="00797EBC" w:rsidP="003F2C2D">
            <w:pPr>
              <w:jc w:val="both"/>
            </w:pPr>
            <w:r>
              <w:t>Maksas pakalpojumu cenrādī minētajiem pakalpojumiem netiek piemērots  pievienotās vērtības nodoklis atbilstoši likuma „Par pievienotās vērtības nodokli” 2.panta divdesmit otrajai daļai.</w:t>
            </w:r>
          </w:p>
          <w:p w:rsidR="00787DC4" w:rsidRDefault="00787DC4" w:rsidP="003F2C2D">
            <w:pPr>
              <w:jc w:val="both"/>
            </w:pPr>
          </w:p>
          <w:p w:rsidR="00797EBC" w:rsidRPr="00787DC4" w:rsidRDefault="00787DC4" w:rsidP="00787DC4">
            <w:pPr>
              <w:pStyle w:val="naiskr"/>
              <w:spacing w:before="0" w:after="0"/>
              <w:ind w:firstLine="284"/>
              <w:jc w:val="both"/>
              <w:rPr>
                <w:iCs/>
              </w:rPr>
            </w:pPr>
            <w:r w:rsidRPr="00787DC4">
              <w:rPr>
                <w:iCs/>
              </w:rPr>
              <w:t>Paredzēts, ka noteikumu projektā ietvertais regulējums stājas spēkā 2013. gada 1.janvārī</w:t>
            </w:r>
            <w:r w:rsidRPr="00787DC4">
              <w:rPr>
                <w:rStyle w:val="Strong"/>
                <w:b w:val="0"/>
              </w:rPr>
              <w:t>. N</w:t>
            </w:r>
            <w:r w:rsidR="003F2C2D" w:rsidRPr="00787DC4">
              <w:t>oteikumu projekts pilnībā atrisinās anotācijas I sadaļas 2.punktā minētās problēmas.</w:t>
            </w:r>
          </w:p>
        </w:tc>
      </w:tr>
      <w:tr w:rsidR="00195FE9" w:rsidRPr="00AA3DA3" w:rsidTr="00195FE9">
        <w:trPr>
          <w:trHeight w:val="476"/>
        </w:trPr>
        <w:tc>
          <w:tcPr>
            <w:tcW w:w="568" w:type="dxa"/>
          </w:tcPr>
          <w:p w:rsidR="00195FE9" w:rsidRPr="00AA3DA3" w:rsidRDefault="00195FE9" w:rsidP="00195FE9">
            <w:pPr>
              <w:pStyle w:val="naiskr"/>
              <w:spacing w:before="0" w:after="0"/>
            </w:pPr>
            <w:r w:rsidRPr="00AA3DA3">
              <w:lastRenderedPageBreak/>
              <w:t>5.</w:t>
            </w:r>
          </w:p>
        </w:tc>
        <w:tc>
          <w:tcPr>
            <w:tcW w:w="2268" w:type="dxa"/>
          </w:tcPr>
          <w:p w:rsidR="00195FE9" w:rsidRPr="00AA3DA3" w:rsidRDefault="00195FE9" w:rsidP="00195FE9">
            <w:pPr>
              <w:pStyle w:val="naiskr"/>
              <w:spacing w:before="0" w:after="0"/>
            </w:pPr>
            <w:r w:rsidRPr="00AA3DA3">
              <w:t>Projekta izstrādē iesaistītās institūcijas</w:t>
            </w:r>
          </w:p>
        </w:tc>
        <w:tc>
          <w:tcPr>
            <w:tcW w:w="6667" w:type="dxa"/>
          </w:tcPr>
          <w:p w:rsidR="00195FE9" w:rsidRPr="00AA3DA3" w:rsidRDefault="00195FE9" w:rsidP="006D2DF6">
            <w:pPr>
              <w:pStyle w:val="naiskr"/>
              <w:spacing w:before="0" w:after="0"/>
              <w:jc w:val="both"/>
            </w:pPr>
            <w:r w:rsidRPr="002A37B0">
              <w:t xml:space="preserve">Latvijas Ārstu biedrība, </w:t>
            </w:r>
            <w:r w:rsidR="002D7209" w:rsidRPr="002A37B0">
              <w:t xml:space="preserve"> Latvijas Ārstniecības personu profesionālo organizāciju savienība </w:t>
            </w:r>
            <w:r w:rsidR="002D7209">
              <w:t>un Latvijas Māsu asociācija</w:t>
            </w:r>
            <w:r>
              <w:t>.</w:t>
            </w:r>
            <w:r w:rsidR="00676C09">
              <w:t xml:space="preserve"> </w:t>
            </w:r>
            <w:r w:rsidR="00676C09" w:rsidRPr="00743361">
              <w:t xml:space="preserve"> Latvijas Ārstu biedrība, </w:t>
            </w:r>
            <w:r w:rsidR="002D7209" w:rsidRPr="00743361">
              <w:t xml:space="preserve"> Latvijas Ārstniecības personu profesionālo organizāciju savienība </w:t>
            </w:r>
            <w:r w:rsidR="002D7209">
              <w:t xml:space="preserve"> un Latvijas Māsu asociācija</w:t>
            </w:r>
            <w:r w:rsidR="00676C09" w:rsidRPr="00743361">
              <w:t xml:space="preserve"> ir </w:t>
            </w:r>
            <w:r w:rsidR="006D2DF6">
              <w:t>izvērtējušas</w:t>
            </w:r>
            <w:r w:rsidR="00676C09" w:rsidRPr="00743361">
              <w:t xml:space="preserve"> un savstarpēji saskaņojušas ārstu un māsu profesionālo zināšanu pārb</w:t>
            </w:r>
            <w:r w:rsidR="008E5C08">
              <w:t>audes, sertifikāta noformēšanas un</w:t>
            </w:r>
            <w:r w:rsidR="00676C09" w:rsidRPr="00743361">
              <w:t xml:space="preserve"> reģistrēšanas pakalpojumu izcenojumus.</w:t>
            </w:r>
          </w:p>
        </w:tc>
      </w:tr>
      <w:tr w:rsidR="00195FE9" w:rsidRPr="00AA3DA3" w:rsidTr="00195FE9">
        <w:trPr>
          <w:trHeight w:val="275"/>
        </w:trPr>
        <w:tc>
          <w:tcPr>
            <w:tcW w:w="568" w:type="dxa"/>
          </w:tcPr>
          <w:p w:rsidR="00195FE9" w:rsidRPr="00AA3DA3" w:rsidRDefault="00195FE9" w:rsidP="00195FE9">
            <w:pPr>
              <w:pStyle w:val="naiskr"/>
              <w:spacing w:before="0" w:after="0"/>
            </w:pPr>
            <w:r w:rsidRPr="00AA3DA3">
              <w:t>6.</w:t>
            </w:r>
          </w:p>
        </w:tc>
        <w:tc>
          <w:tcPr>
            <w:tcW w:w="2268" w:type="dxa"/>
          </w:tcPr>
          <w:p w:rsidR="00195FE9" w:rsidRPr="00AA3DA3" w:rsidRDefault="00195FE9" w:rsidP="00195FE9">
            <w:pPr>
              <w:pStyle w:val="naiskr"/>
              <w:spacing w:before="0" w:after="0"/>
              <w:rPr>
                <w:i/>
                <w:highlight w:val="yellow"/>
              </w:rPr>
            </w:pPr>
            <w:r w:rsidRPr="00AA3DA3">
              <w:t>Iemesli, kādēļ netika nodrošināta sabiedrības līdzdalība</w:t>
            </w:r>
          </w:p>
        </w:tc>
        <w:tc>
          <w:tcPr>
            <w:tcW w:w="6667" w:type="dxa"/>
          </w:tcPr>
          <w:p w:rsidR="00195FE9" w:rsidRDefault="00195FE9" w:rsidP="00195FE9">
            <w:pPr>
              <w:pStyle w:val="FootnoteText"/>
              <w:jc w:val="both"/>
              <w:rPr>
                <w:sz w:val="24"/>
                <w:szCs w:val="24"/>
              </w:rPr>
            </w:pPr>
            <w:r w:rsidRPr="00E97CF1">
              <w:rPr>
                <w:sz w:val="24"/>
                <w:szCs w:val="24"/>
              </w:rPr>
              <w:t>Tā kā  noteikumu projekts  neparedz maksas pa</w:t>
            </w:r>
            <w:r w:rsidR="008E5C08">
              <w:rPr>
                <w:sz w:val="24"/>
                <w:szCs w:val="24"/>
              </w:rPr>
              <w:t xml:space="preserve">kalpojumiem cenu palielinājumu un maksa tiks iekasēta tādā pašā apmērā kā līdz šim, </w:t>
            </w:r>
            <w:r w:rsidRPr="00E97CF1">
              <w:rPr>
                <w:sz w:val="24"/>
                <w:szCs w:val="24"/>
              </w:rPr>
              <w:t xml:space="preserve">tad sabiedrības līdzdalība netika nodrošināta. Ar noteikumu projekta pieņemšanu tiks nodrošināta maksas pakalpojumu nepārtrauktība un </w:t>
            </w:r>
            <w:r>
              <w:rPr>
                <w:sz w:val="24"/>
                <w:szCs w:val="24"/>
              </w:rPr>
              <w:t xml:space="preserve">pieejamība pakalpojumu ņēmējiem, cenrādim tiks noteikts </w:t>
            </w:r>
            <w:r w:rsidR="008E5C08">
              <w:rPr>
                <w:sz w:val="24"/>
                <w:szCs w:val="24"/>
              </w:rPr>
              <w:t xml:space="preserve">ārējā normatīvā akta statuss, t. i, </w:t>
            </w:r>
            <w:r>
              <w:rPr>
                <w:sz w:val="24"/>
                <w:szCs w:val="24"/>
              </w:rPr>
              <w:t>Ministru kabineta noteikumu līmenī.</w:t>
            </w:r>
          </w:p>
          <w:p w:rsidR="00075FE9" w:rsidRPr="00E97CF1" w:rsidRDefault="00075FE9" w:rsidP="00195FE9">
            <w:pPr>
              <w:pStyle w:val="FootnoteText"/>
              <w:jc w:val="both"/>
              <w:rPr>
                <w:sz w:val="24"/>
                <w:szCs w:val="24"/>
              </w:rPr>
            </w:pPr>
            <w:r>
              <w:rPr>
                <w:sz w:val="24"/>
                <w:szCs w:val="24"/>
              </w:rPr>
              <w:t xml:space="preserve">Vienlaicīgi Veselības ministrija ir izstrādājusi </w:t>
            </w:r>
            <w:r>
              <w:rPr>
                <w:color w:val="000000"/>
              </w:rPr>
              <w:t xml:space="preserve"> </w:t>
            </w:r>
            <w:r w:rsidRPr="00075FE9">
              <w:rPr>
                <w:color w:val="000000"/>
                <w:sz w:val="24"/>
                <w:szCs w:val="24"/>
              </w:rPr>
              <w:t xml:space="preserve">Ministru kabineta </w:t>
            </w:r>
            <w:r w:rsidRPr="00075FE9">
              <w:rPr>
                <w:color w:val="000000"/>
                <w:sz w:val="24"/>
                <w:szCs w:val="24"/>
              </w:rPr>
              <w:lastRenderedPageBreak/>
              <w:t>noteikumu projektu „Ārstniecības personu sertifikācijas kārtība” (valsts sekretāru 2012.gada 15.marta protokols Nr.11, 21.§, VSS-280)</w:t>
            </w:r>
            <w:r>
              <w:rPr>
                <w:color w:val="000000"/>
                <w:sz w:val="24"/>
                <w:szCs w:val="24"/>
              </w:rPr>
              <w:t xml:space="preserve"> un abus normatīvo aktu projektus plānots iesniegt vienlaicīgi izskatīšanai Ministru kabineta sēdē. </w:t>
            </w:r>
            <w:r>
              <w:rPr>
                <w:sz w:val="24"/>
                <w:szCs w:val="24"/>
              </w:rPr>
              <w:t xml:space="preserve"> </w:t>
            </w:r>
          </w:p>
        </w:tc>
      </w:tr>
      <w:tr w:rsidR="00195FE9" w:rsidRPr="00AA3DA3" w:rsidTr="00195FE9">
        <w:tc>
          <w:tcPr>
            <w:tcW w:w="568" w:type="dxa"/>
          </w:tcPr>
          <w:p w:rsidR="00195FE9" w:rsidRPr="00AA3DA3" w:rsidRDefault="00195FE9" w:rsidP="00195FE9">
            <w:pPr>
              <w:pStyle w:val="naiskr"/>
              <w:spacing w:before="0" w:after="0"/>
            </w:pPr>
            <w:r w:rsidRPr="00AA3DA3">
              <w:lastRenderedPageBreak/>
              <w:t>7.</w:t>
            </w:r>
          </w:p>
        </w:tc>
        <w:tc>
          <w:tcPr>
            <w:tcW w:w="2268" w:type="dxa"/>
          </w:tcPr>
          <w:p w:rsidR="00195FE9" w:rsidRPr="00AA3DA3" w:rsidRDefault="00195FE9" w:rsidP="00195FE9">
            <w:pPr>
              <w:pStyle w:val="naiskr"/>
              <w:spacing w:before="0" w:after="0"/>
            </w:pPr>
            <w:r w:rsidRPr="00AA3DA3">
              <w:t>Cita informācija</w:t>
            </w:r>
          </w:p>
        </w:tc>
        <w:tc>
          <w:tcPr>
            <w:tcW w:w="6667" w:type="dxa"/>
          </w:tcPr>
          <w:p w:rsidR="00195FE9" w:rsidRPr="00AA3DA3" w:rsidRDefault="00195FE9" w:rsidP="00195FE9">
            <w:pPr>
              <w:pStyle w:val="naiskr"/>
              <w:spacing w:before="0" w:after="0"/>
            </w:pPr>
            <w:r w:rsidRPr="00AA3DA3">
              <w:t xml:space="preserve">Nav </w:t>
            </w:r>
          </w:p>
        </w:tc>
      </w:tr>
    </w:tbl>
    <w:p w:rsidR="00195FE9" w:rsidRPr="00215301" w:rsidRDefault="00195FE9" w:rsidP="00646DDB">
      <w:pPr>
        <w:spacing w:line="270" w:lineRule="atLeast"/>
        <w:rPr>
          <w:rStyle w:val="apple-style-span"/>
          <w:color w:val="000000"/>
          <w:sz w:val="28"/>
          <w:szCs w:val="28"/>
        </w:rPr>
      </w:pPr>
    </w:p>
    <w:tbl>
      <w:tblPr>
        <w:tblW w:w="5201"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8"/>
        <w:gridCol w:w="2268"/>
        <w:gridCol w:w="6662"/>
      </w:tblGrid>
      <w:tr w:rsidR="00646DDB" w:rsidRPr="000C5706" w:rsidTr="000C5706">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646DDB" w:rsidRPr="000C5706" w:rsidRDefault="00646DDB" w:rsidP="00D639CD">
            <w:pPr>
              <w:pStyle w:val="NormalWeb"/>
              <w:jc w:val="center"/>
              <w:rPr>
                <w:b/>
                <w:bCs/>
              </w:rPr>
            </w:pPr>
            <w:r w:rsidRPr="000C5706">
              <w:rPr>
                <w:b/>
                <w:bCs/>
              </w:rPr>
              <w:t>II. Tiesību akta projekta ietekme uz sabiedrību</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1.</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 xml:space="preserve">Sabiedrības </w:t>
            </w:r>
            <w:proofErr w:type="spellStart"/>
            <w:r w:rsidRPr="000C5706">
              <w:t>mērķgrupa</w:t>
            </w:r>
            <w:proofErr w:type="spellEnd"/>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E26689" w:rsidP="008E5C08">
            <w:pPr>
              <w:pStyle w:val="NormalWeb"/>
              <w:jc w:val="both"/>
            </w:pPr>
            <w:r>
              <w:t>Noteikumu projekta</w:t>
            </w:r>
            <w:r w:rsidR="008E5C08">
              <w:t xml:space="preserve"> tiesiskais regulējums </w:t>
            </w:r>
            <w:r w:rsidR="00AC0E70">
              <w:t xml:space="preserve">attiecas uz </w:t>
            </w:r>
            <w:r w:rsidR="0055209A" w:rsidRPr="00282533">
              <w:t>ārstniecības personām</w:t>
            </w:r>
            <w:r w:rsidR="004C29A2">
              <w:t xml:space="preserve">, </w:t>
            </w:r>
            <w:r w:rsidR="002D7209">
              <w:t>ārstniecības atbalsta personām</w:t>
            </w:r>
            <w:r w:rsidR="004C29A2">
              <w:t xml:space="preserve"> un studējošajiem, kas apgūst kādu no ārstniecības personu profesijas pamatspecialitātēm, apakšspecialitātēm vai papildspecialitātēm. </w:t>
            </w:r>
            <w:r w:rsidR="00606E06" w:rsidRPr="00606E06">
              <w:rPr>
                <w:color w:val="000000"/>
                <w:lang w:bidi="lo-LA"/>
              </w:rPr>
              <w:t>Ārstniecības personu un ārstniecības atbalsta personu reģistrā ir reģistrētas 42 498 personas kā ārstniecības personas, no tām 21 967 personas ir sertificētas vienā vai vairākās ārstniecības personu profesiju specialitātēs (dati uz 2012.gada 1.janvāri).</w:t>
            </w:r>
            <w:r w:rsidR="0055209A" w:rsidRPr="00606E06">
              <w:t xml:space="preserve"> </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2.</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 xml:space="preserve">Citas sabiedrības grupas (bez </w:t>
            </w:r>
            <w:proofErr w:type="spellStart"/>
            <w:r w:rsidRPr="000C5706">
              <w:t>mērķgrupas</w:t>
            </w:r>
            <w:proofErr w:type="spellEnd"/>
            <w:r w:rsidRPr="000C5706">
              <w:t>), kuras tiesiskais regulējums arī ietekmē vai varētu ietekmēt</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195FE9" w:rsidP="00D639CD">
            <w:pPr>
              <w:pStyle w:val="NormalWeb"/>
            </w:pPr>
            <w:r>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3.</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Tiesiskā regulējuma finansiālā ietekme</w:t>
            </w:r>
          </w:p>
        </w:tc>
        <w:tc>
          <w:tcPr>
            <w:tcW w:w="3507" w:type="pct"/>
            <w:tcBorders>
              <w:top w:val="outset" w:sz="6" w:space="0" w:color="000000"/>
              <w:left w:val="outset" w:sz="6" w:space="0" w:color="000000"/>
              <w:bottom w:val="outset" w:sz="6" w:space="0" w:color="000000"/>
              <w:right w:val="outset" w:sz="6" w:space="0" w:color="000000"/>
            </w:tcBorders>
          </w:tcPr>
          <w:p w:rsidR="00947007" w:rsidRPr="00990A43" w:rsidRDefault="00AB56C7" w:rsidP="00947007">
            <w:pPr>
              <w:pStyle w:val="NormalWeb"/>
              <w:spacing w:before="0" w:beforeAutospacing="0" w:after="0" w:afterAutospacing="0"/>
              <w:jc w:val="both"/>
            </w:pPr>
            <w:r w:rsidRPr="00990A43">
              <w:t xml:space="preserve">Sertifikācijas programmas sastādīšana, pilnveidošana, </w:t>
            </w:r>
            <w:r w:rsidR="00947007" w:rsidRPr="00990A43">
              <w:t xml:space="preserve">ārstniecības personu un ārstniecības atbalsta personu teorētisko zināšanu un praktisko iemaņu pamatspecialitātē, apakšspecialitātē vai papildspecialitātē vai ārstnieciskās vai diagnostiskās metodes lietošanā novērtēšana, </w:t>
            </w:r>
            <w:r w:rsidRPr="00990A43">
              <w:t xml:space="preserve">iesniegto dokumentu pārbaude, </w:t>
            </w:r>
            <w:r w:rsidR="00947007" w:rsidRPr="00990A43">
              <w:t xml:space="preserve">ārstniecības personu un ārstniecības atbalsta personu profesionālās darbības pārskatu vērtēšanas kritēriju izstrāde, </w:t>
            </w:r>
            <w:r w:rsidRPr="00990A43">
              <w:t xml:space="preserve">arhīva uzturēšana, </w:t>
            </w:r>
            <w:r w:rsidR="00990A43" w:rsidRPr="00990A43">
              <w:t xml:space="preserve">ārstniecības personu un ārstniecības atbalsta personu sertifikātu uzskaite, </w:t>
            </w:r>
            <w:r w:rsidR="00947007" w:rsidRPr="00990A43">
              <w:t xml:space="preserve">dokumentu aprites tehniskā nodrošināšana, </w:t>
            </w:r>
            <w:r w:rsidRPr="00990A43">
              <w:t xml:space="preserve">sertifikāta </w:t>
            </w:r>
            <w:r w:rsidR="00947007" w:rsidRPr="00990A43">
              <w:t xml:space="preserve">un dublikāta </w:t>
            </w:r>
            <w:r w:rsidRPr="00990A43">
              <w:t>izgatavošana</w:t>
            </w:r>
            <w:r w:rsidR="001040FC" w:rsidRPr="00990A43">
              <w:t xml:space="preserve"> pakalpojuma sniedzējam </w:t>
            </w:r>
            <w:r w:rsidR="00947007" w:rsidRPr="00990A43">
              <w:t>201</w:t>
            </w:r>
            <w:r w:rsidR="00186E68">
              <w:t xml:space="preserve">3.gadā </w:t>
            </w:r>
            <w:r w:rsidR="001040FC" w:rsidRPr="00990A43">
              <w:t>radīs šādas izmaksas:</w:t>
            </w:r>
          </w:p>
          <w:p w:rsidR="00947007" w:rsidRPr="00990A43" w:rsidRDefault="00947007" w:rsidP="00947007">
            <w:pPr>
              <w:pStyle w:val="ListParagraph"/>
              <w:numPr>
                <w:ilvl w:val="0"/>
                <w:numId w:val="11"/>
              </w:numPr>
              <w:autoSpaceDE w:val="0"/>
              <w:autoSpaceDN w:val="0"/>
              <w:adjustRightInd w:val="0"/>
              <w:jc w:val="both"/>
              <w:rPr>
                <w:rFonts w:ascii="Times New Roman" w:hAnsi="Times New Roman"/>
                <w:sz w:val="24"/>
                <w:szCs w:val="24"/>
              </w:rPr>
            </w:pPr>
            <w:r w:rsidRPr="00990A43">
              <w:rPr>
                <w:rFonts w:ascii="Times New Roman" w:hAnsi="Times New Roman"/>
                <w:sz w:val="24"/>
                <w:szCs w:val="24"/>
              </w:rPr>
              <w:t>profesionālās da</w:t>
            </w:r>
            <w:r w:rsidR="00186E68">
              <w:rPr>
                <w:rFonts w:ascii="Times New Roman" w:hAnsi="Times New Roman"/>
                <w:sz w:val="24"/>
                <w:szCs w:val="24"/>
              </w:rPr>
              <w:t>rbības pārskata izvērtēšana – 25</w:t>
            </w:r>
            <w:r w:rsidRPr="00990A43">
              <w:rPr>
                <w:rFonts w:ascii="Times New Roman" w:hAnsi="Times New Roman"/>
                <w:sz w:val="24"/>
                <w:szCs w:val="24"/>
              </w:rPr>
              <w:t>00 lati;</w:t>
            </w:r>
          </w:p>
          <w:p w:rsidR="00947007" w:rsidRPr="00947007" w:rsidRDefault="00947007" w:rsidP="00947007">
            <w:pPr>
              <w:pStyle w:val="ListParagraph"/>
              <w:numPr>
                <w:ilvl w:val="0"/>
                <w:numId w:val="11"/>
              </w:numPr>
              <w:autoSpaceDE w:val="0"/>
              <w:autoSpaceDN w:val="0"/>
              <w:adjustRightInd w:val="0"/>
              <w:jc w:val="both"/>
              <w:rPr>
                <w:rFonts w:ascii="Times New Roman" w:hAnsi="Times New Roman"/>
                <w:color w:val="000000"/>
                <w:sz w:val="24"/>
                <w:szCs w:val="24"/>
                <w:lang w:eastAsia="en-US"/>
              </w:rPr>
            </w:pPr>
            <w:r w:rsidRPr="00990A43">
              <w:rPr>
                <w:rFonts w:ascii="Times New Roman" w:hAnsi="Times New Roman"/>
                <w:sz w:val="24"/>
                <w:szCs w:val="24"/>
              </w:rPr>
              <w:t>profesionālās kvalifikācijas sertifikācija pie sertifikācijas eksāmena komisijas (sertificējamā</w:t>
            </w:r>
            <w:r w:rsidRPr="00947007">
              <w:rPr>
                <w:rFonts w:ascii="Times New Roman" w:hAnsi="Times New Roman"/>
                <w:sz w:val="24"/>
                <w:szCs w:val="24"/>
              </w:rPr>
              <w:t xml:space="preserve"> persona kārto praktisko eksāmenu)</w:t>
            </w:r>
            <w:r w:rsidR="00186E68">
              <w:rPr>
                <w:rFonts w:ascii="Times New Roman" w:hAnsi="Times New Roman"/>
                <w:sz w:val="24"/>
                <w:szCs w:val="24"/>
              </w:rPr>
              <w:t xml:space="preserve"> – 25</w:t>
            </w:r>
            <w:r>
              <w:rPr>
                <w:rFonts w:ascii="Times New Roman" w:hAnsi="Times New Roman"/>
                <w:sz w:val="24"/>
                <w:szCs w:val="24"/>
              </w:rPr>
              <w:t>0</w:t>
            </w:r>
            <w:r w:rsidRPr="00947007">
              <w:rPr>
                <w:rFonts w:ascii="Times New Roman" w:hAnsi="Times New Roman"/>
                <w:sz w:val="24"/>
                <w:szCs w:val="24"/>
              </w:rPr>
              <w:t>0 lati;</w:t>
            </w:r>
          </w:p>
          <w:p w:rsidR="00947007" w:rsidRPr="00947007" w:rsidRDefault="00947007" w:rsidP="00947007">
            <w:pPr>
              <w:pStyle w:val="ListParagraph"/>
              <w:numPr>
                <w:ilvl w:val="0"/>
                <w:numId w:val="11"/>
              </w:numPr>
              <w:autoSpaceDE w:val="0"/>
              <w:autoSpaceDN w:val="0"/>
              <w:adjustRightInd w:val="0"/>
              <w:jc w:val="both"/>
              <w:rPr>
                <w:rFonts w:ascii="Times New Roman" w:hAnsi="Times New Roman"/>
                <w:color w:val="000000"/>
                <w:sz w:val="24"/>
                <w:szCs w:val="24"/>
                <w:lang w:eastAsia="en-US"/>
              </w:rPr>
            </w:pPr>
            <w:r w:rsidRPr="00947007">
              <w:rPr>
                <w:rFonts w:ascii="Times New Roman" w:hAnsi="Times New Roman"/>
                <w:sz w:val="24"/>
                <w:szCs w:val="24"/>
              </w:rPr>
              <w:t>profesionālās kvalifikācijas sertifikācija pie sertifikācijas eksāmena komisijas (sertificējamā persona</w:t>
            </w:r>
            <w:r>
              <w:rPr>
                <w:rFonts w:ascii="Times New Roman" w:hAnsi="Times New Roman"/>
                <w:sz w:val="24"/>
                <w:szCs w:val="24"/>
              </w:rPr>
              <w:t xml:space="preserve"> </w:t>
            </w:r>
            <w:r w:rsidR="00186E68">
              <w:rPr>
                <w:rFonts w:ascii="Times New Roman" w:hAnsi="Times New Roman"/>
                <w:sz w:val="24"/>
                <w:szCs w:val="24"/>
              </w:rPr>
              <w:t>kārto teorētisko eksāmenu) – 375</w:t>
            </w:r>
            <w:r>
              <w:rPr>
                <w:rFonts w:ascii="Times New Roman" w:hAnsi="Times New Roman"/>
                <w:sz w:val="24"/>
                <w:szCs w:val="24"/>
              </w:rPr>
              <w:t>0</w:t>
            </w:r>
            <w:r w:rsidRPr="00947007">
              <w:rPr>
                <w:rFonts w:ascii="Times New Roman" w:hAnsi="Times New Roman"/>
                <w:sz w:val="24"/>
                <w:szCs w:val="24"/>
              </w:rPr>
              <w:t xml:space="preserve"> lati;</w:t>
            </w:r>
          </w:p>
          <w:p w:rsidR="00947007" w:rsidRPr="00947007" w:rsidRDefault="00947007" w:rsidP="00947007">
            <w:pPr>
              <w:pStyle w:val="ListParagraph"/>
              <w:numPr>
                <w:ilvl w:val="0"/>
                <w:numId w:val="11"/>
              </w:numPr>
              <w:autoSpaceDE w:val="0"/>
              <w:autoSpaceDN w:val="0"/>
              <w:adjustRightInd w:val="0"/>
              <w:jc w:val="both"/>
              <w:rPr>
                <w:rFonts w:ascii="Times New Roman" w:hAnsi="Times New Roman"/>
                <w:color w:val="000000"/>
                <w:sz w:val="24"/>
                <w:szCs w:val="24"/>
                <w:lang w:eastAsia="en-US"/>
              </w:rPr>
            </w:pPr>
            <w:r w:rsidRPr="00947007">
              <w:rPr>
                <w:rFonts w:ascii="Times New Roman" w:hAnsi="Times New Roman"/>
                <w:sz w:val="24"/>
                <w:szCs w:val="24"/>
              </w:rPr>
              <w:t>reģistrētā sertifikā</w:t>
            </w:r>
            <w:r>
              <w:rPr>
                <w:rFonts w:ascii="Times New Roman" w:hAnsi="Times New Roman"/>
                <w:sz w:val="24"/>
                <w:szCs w:val="24"/>
              </w:rPr>
              <w:t>t</w:t>
            </w:r>
            <w:r w:rsidR="00186E68">
              <w:rPr>
                <w:rFonts w:ascii="Times New Roman" w:hAnsi="Times New Roman"/>
                <w:sz w:val="24"/>
                <w:szCs w:val="24"/>
              </w:rPr>
              <w:t>a vai dublikāta izsniegšana – 1785 lati</w:t>
            </w:r>
            <w:r w:rsidRPr="00947007">
              <w:rPr>
                <w:rFonts w:ascii="Times New Roman" w:hAnsi="Times New Roman"/>
                <w:sz w:val="24"/>
                <w:szCs w:val="24"/>
              </w:rPr>
              <w:t>;</w:t>
            </w:r>
          </w:p>
          <w:p w:rsidR="00990A43" w:rsidRPr="00990A43" w:rsidRDefault="00947007" w:rsidP="00186E68">
            <w:pPr>
              <w:pStyle w:val="ListParagraph"/>
              <w:numPr>
                <w:ilvl w:val="0"/>
                <w:numId w:val="11"/>
              </w:numPr>
              <w:autoSpaceDE w:val="0"/>
              <w:autoSpaceDN w:val="0"/>
              <w:adjustRightInd w:val="0"/>
              <w:jc w:val="both"/>
              <w:rPr>
                <w:rFonts w:ascii="Times New Roman" w:hAnsi="Times New Roman"/>
                <w:color w:val="000000"/>
                <w:sz w:val="24"/>
                <w:szCs w:val="24"/>
                <w:lang w:eastAsia="en-US"/>
              </w:rPr>
            </w:pPr>
            <w:r w:rsidRPr="00947007">
              <w:rPr>
                <w:rFonts w:ascii="Times New Roman" w:hAnsi="Times New Roman"/>
                <w:sz w:val="24"/>
                <w:szCs w:val="24"/>
              </w:rPr>
              <w:t xml:space="preserve">profesionālās kvalifikācijas sertifikācija pie sertifikācijas eksāmena </w:t>
            </w:r>
            <w:r>
              <w:rPr>
                <w:rFonts w:ascii="Times New Roman" w:hAnsi="Times New Roman"/>
                <w:sz w:val="24"/>
                <w:szCs w:val="24"/>
              </w:rPr>
              <w:t>komisijas (</w:t>
            </w:r>
            <w:proofErr w:type="spellStart"/>
            <w:r>
              <w:rPr>
                <w:rFonts w:ascii="Times New Roman" w:hAnsi="Times New Roman"/>
                <w:sz w:val="24"/>
                <w:szCs w:val="24"/>
              </w:rPr>
              <w:t>resertifikācija</w:t>
            </w:r>
            <w:proofErr w:type="spellEnd"/>
            <w:r>
              <w:rPr>
                <w:rFonts w:ascii="Times New Roman" w:hAnsi="Times New Roman"/>
                <w:sz w:val="24"/>
                <w:szCs w:val="24"/>
              </w:rPr>
              <w:t xml:space="preserve">) – </w:t>
            </w:r>
            <w:r w:rsidR="00186E68">
              <w:rPr>
                <w:rFonts w:ascii="Times New Roman" w:hAnsi="Times New Roman"/>
                <w:sz w:val="24"/>
                <w:szCs w:val="24"/>
              </w:rPr>
              <w:t>85 272</w:t>
            </w:r>
            <w:r w:rsidRPr="00947007">
              <w:rPr>
                <w:rFonts w:ascii="Times New Roman" w:hAnsi="Times New Roman"/>
                <w:sz w:val="24"/>
                <w:szCs w:val="24"/>
              </w:rPr>
              <w:t xml:space="preserve"> lati.</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4.</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Tiesiskā regulējuma nefinansiālā ietekme</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195FE9" w:rsidP="007B054B">
            <w:pPr>
              <w:pStyle w:val="NormalWeb"/>
              <w:jc w:val="both"/>
            </w:pPr>
            <w:r>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5.</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Administratīvās procedūras raksturojums</w:t>
            </w:r>
          </w:p>
        </w:tc>
        <w:tc>
          <w:tcPr>
            <w:tcW w:w="3507" w:type="pct"/>
            <w:tcBorders>
              <w:top w:val="outset" w:sz="6" w:space="0" w:color="000000"/>
              <w:left w:val="outset" w:sz="6" w:space="0" w:color="000000"/>
              <w:bottom w:val="outset" w:sz="6" w:space="0" w:color="000000"/>
              <w:right w:val="outset" w:sz="6" w:space="0" w:color="000000"/>
            </w:tcBorders>
          </w:tcPr>
          <w:p w:rsidR="00557CBD" w:rsidRPr="00EE4D1D" w:rsidRDefault="00E26689" w:rsidP="00572B5E">
            <w:pPr>
              <w:pStyle w:val="NormalWeb"/>
              <w:spacing w:before="0" w:beforeAutospacing="0" w:after="0" w:afterAutospacing="0"/>
              <w:jc w:val="both"/>
            </w:pPr>
            <w:r>
              <w:t>Noteikumu projekts</w:t>
            </w:r>
            <w:r w:rsidR="00EE56BF">
              <w:t xml:space="preserve"> </w:t>
            </w:r>
            <w:r w:rsidR="00EE56BF" w:rsidRPr="00123485">
              <w:t>nerada ietekmi</w:t>
            </w:r>
            <w:r w:rsidR="00EE56BF" w:rsidRPr="008B3C1E">
              <w:t xml:space="preserve"> </w:t>
            </w:r>
            <w:r w:rsidR="00EE56BF">
              <w:t>uz administratīvajām procedūrām</w:t>
            </w:r>
            <w:r w:rsidR="00EE56BF" w:rsidRPr="008B3C1E">
              <w:t>.</w:t>
            </w:r>
            <w:r>
              <w:t xml:space="preserve"> </w:t>
            </w:r>
            <w:r w:rsidR="005E5C47">
              <w:t xml:space="preserve">Ārstniecības persona </w:t>
            </w:r>
            <w:r w:rsidR="007C2679">
              <w:t>piesakā</w:t>
            </w:r>
            <w:r w:rsidR="0037648E">
              <w:t xml:space="preserve">s  Latvijas Ārstu biedrībā, </w:t>
            </w:r>
            <w:r w:rsidR="00316B66" w:rsidRPr="000B077D">
              <w:t>Latvijas Ārstniecības personu prof</w:t>
            </w:r>
            <w:r w:rsidR="00316B66">
              <w:t xml:space="preserve">esionālo organizāciju savienībā </w:t>
            </w:r>
            <w:r w:rsidR="00316B66">
              <w:lastRenderedPageBreak/>
              <w:t xml:space="preserve">vai </w:t>
            </w:r>
            <w:r w:rsidR="0037648E">
              <w:t>Latvijas Māsu asociācijā profesionālo zināšanu pārbaudei</w:t>
            </w:r>
            <w:r w:rsidR="005E5C47">
              <w:t xml:space="preserve">, kura </w:t>
            </w:r>
            <w:r w:rsidR="00DB0BAB">
              <w:t xml:space="preserve">pārliecinās par sertifikācijas vai </w:t>
            </w:r>
            <w:proofErr w:type="spellStart"/>
            <w:r w:rsidR="00DB0BAB">
              <w:t>resertifikācijas</w:t>
            </w:r>
            <w:proofErr w:type="spellEnd"/>
            <w:r w:rsidR="00DB0BAB">
              <w:t xml:space="preserve"> procesa apmaksu</w:t>
            </w:r>
            <w:r w:rsidR="00C15A92">
              <w:t xml:space="preserve"> un </w:t>
            </w:r>
            <w:r w:rsidR="00075FE9">
              <w:t>sertifikācijas padome izveido</w:t>
            </w:r>
            <w:r w:rsidR="00C15A92">
              <w:t xml:space="preserve"> </w:t>
            </w:r>
            <w:r w:rsidR="0010794A">
              <w:t xml:space="preserve">sertifikācijas eksāmenu </w:t>
            </w:r>
            <w:r w:rsidR="00C15A92">
              <w:t>komisiju</w:t>
            </w:r>
            <w:r w:rsidR="005E5C47">
              <w:t>.</w:t>
            </w:r>
            <w:r w:rsidR="00C15A92">
              <w:t xml:space="preserve"> </w:t>
            </w:r>
            <w:r w:rsidR="001D191B">
              <w:t xml:space="preserve">Sertificējama ārstniecības persona </w:t>
            </w:r>
            <w:r w:rsidR="001D191B" w:rsidRPr="008B3C1E">
              <w:t xml:space="preserve">varēs </w:t>
            </w:r>
            <w:r w:rsidR="001D191B">
              <w:t>samaksāt par pakalpojumu, izmantojot</w:t>
            </w:r>
            <w:r w:rsidR="001D191B" w:rsidRPr="008B3C1E">
              <w:t xml:space="preserve"> skaidras vai bezskaidras naudas (ar pārskaitījumu) norēķinus bankā</w:t>
            </w:r>
            <w:r>
              <w:t xml:space="preserve">. </w:t>
            </w:r>
            <w:r w:rsidR="001D191B">
              <w:t>Nekādas papildus darbības sertificējamai ārstniecības personai nav jāveic un kārtība kā sniegtais paka</w:t>
            </w:r>
            <w:r w:rsidR="00316B66">
              <w:t>lpojums tiek apmaksāts nemainās,</w:t>
            </w:r>
            <w:r w:rsidR="001D191B">
              <w:t xml:space="preserve"> mainās tikai maksas pakalpojumu statuss</w:t>
            </w:r>
            <w:r>
              <w:t>, t.i., tas ir noteikts Ministru kabineta noteikumu līmenī</w:t>
            </w:r>
            <w:r w:rsidR="00316B66">
              <w:t>, tiesiski pamatots.</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lastRenderedPageBreak/>
              <w:t>6.</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Administratīvo izmaksu monetārs novērtējums</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195FE9" w:rsidP="00D639CD">
            <w:pPr>
              <w:pStyle w:val="NormalWeb"/>
              <w:rPr>
                <w:color w:val="000000"/>
              </w:rPr>
            </w:pPr>
            <w:r>
              <w:t>Projekts šo jomu neskar.</w:t>
            </w:r>
          </w:p>
        </w:tc>
      </w:tr>
      <w:tr w:rsidR="00646DDB" w:rsidRPr="000C5706" w:rsidTr="000C5706">
        <w:tc>
          <w:tcPr>
            <w:tcW w:w="299"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7.</w:t>
            </w:r>
          </w:p>
        </w:tc>
        <w:tc>
          <w:tcPr>
            <w:tcW w:w="1194"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Cita informācija</w:t>
            </w:r>
          </w:p>
        </w:tc>
        <w:tc>
          <w:tcPr>
            <w:tcW w:w="3507" w:type="pct"/>
            <w:tcBorders>
              <w:top w:val="outset" w:sz="6" w:space="0" w:color="000000"/>
              <w:left w:val="outset" w:sz="6" w:space="0" w:color="000000"/>
              <w:bottom w:val="outset" w:sz="6" w:space="0" w:color="000000"/>
              <w:right w:val="outset" w:sz="6" w:space="0" w:color="000000"/>
            </w:tcBorders>
          </w:tcPr>
          <w:p w:rsidR="00646DDB" w:rsidRPr="000C5706" w:rsidRDefault="00646DDB" w:rsidP="00D639CD">
            <w:pPr>
              <w:pStyle w:val="NormalWeb"/>
            </w:pPr>
            <w:r w:rsidRPr="000C5706">
              <w:t>Nav</w:t>
            </w:r>
          </w:p>
        </w:tc>
      </w:tr>
    </w:tbl>
    <w:p w:rsidR="00646DDB" w:rsidRPr="00215301" w:rsidRDefault="00646DDB" w:rsidP="00646DDB">
      <w:pPr>
        <w:pStyle w:val="NormalWeb"/>
        <w:rPr>
          <w:sz w:val="28"/>
          <w:szCs w:val="28"/>
        </w:rPr>
      </w:pPr>
    </w:p>
    <w:tbl>
      <w:tblPr>
        <w:tblW w:w="5201" w:type="pct"/>
        <w:tblInd w:w="-25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2550"/>
        <w:gridCol w:w="1552"/>
        <w:gridCol w:w="1666"/>
        <w:gridCol w:w="1309"/>
        <w:gridCol w:w="1277"/>
        <w:gridCol w:w="1144"/>
      </w:tblGrid>
      <w:tr w:rsidR="00646DDB" w:rsidRPr="00990A43" w:rsidTr="00774ECF">
        <w:tc>
          <w:tcPr>
            <w:tcW w:w="5000" w:type="pct"/>
            <w:gridSpan w:val="6"/>
            <w:tcBorders>
              <w:top w:val="outset" w:sz="6" w:space="0" w:color="000000"/>
              <w:left w:val="outset" w:sz="6" w:space="0" w:color="000000"/>
              <w:bottom w:val="outset" w:sz="6" w:space="0" w:color="000000"/>
              <w:right w:val="outset" w:sz="6" w:space="0" w:color="000000"/>
            </w:tcBorders>
          </w:tcPr>
          <w:p w:rsidR="00646DDB" w:rsidRPr="00990A43" w:rsidRDefault="00646DDB" w:rsidP="00D639CD">
            <w:pPr>
              <w:pStyle w:val="NormalWeb"/>
              <w:jc w:val="center"/>
              <w:rPr>
                <w:b/>
                <w:bCs/>
              </w:rPr>
            </w:pPr>
            <w:r w:rsidRPr="00990A43">
              <w:rPr>
                <w:b/>
                <w:bCs/>
              </w:rPr>
              <w:t>III. Tiesību akta projekta ietekme uz valsts budžetu un pašvaldību budžetiem</w:t>
            </w:r>
          </w:p>
        </w:tc>
      </w:tr>
      <w:tr w:rsidR="00646DDB" w:rsidRPr="00990A43" w:rsidTr="00F5161B">
        <w:tc>
          <w:tcPr>
            <w:tcW w:w="1343" w:type="pct"/>
            <w:vMerge w:val="restar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rPr>
                <w:b/>
                <w:bCs/>
              </w:rPr>
            </w:pPr>
            <w:r w:rsidRPr="00990A43">
              <w:rPr>
                <w:b/>
                <w:bCs/>
              </w:rPr>
              <w:t>Rādītāji</w:t>
            </w:r>
          </w:p>
        </w:tc>
        <w:tc>
          <w:tcPr>
            <w:tcW w:w="1694" w:type="pct"/>
            <w:gridSpan w:val="2"/>
            <w:vMerge w:val="restart"/>
            <w:tcBorders>
              <w:top w:val="outset" w:sz="6" w:space="0" w:color="000000"/>
              <w:left w:val="outset" w:sz="6" w:space="0" w:color="000000"/>
              <w:bottom w:val="outset" w:sz="6" w:space="0" w:color="000000"/>
              <w:right w:val="outset" w:sz="6" w:space="0" w:color="000000"/>
            </w:tcBorders>
            <w:vAlign w:val="center"/>
          </w:tcPr>
          <w:p w:rsidR="00646DDB" w:rsidRPr="00990A43" w:rsidRDefault="00E26689" w:rsidP="00D639CD">
            <w:pPr>
              <w:pStyle w:val="NormalWeb"/>
              <w:jc w:val="center"/>
              <w:rPr>
                <w:b/>
                <w:bCs/>
              </w:rPr>
            </w:pPr>
            <w:r w:rsidRPr="00990A43">
              <w:rPr>
                <w:b/>
                <w:bCs/>
              </w:rPr>
              <w:t>2012</w:t>
            </w:r>
            <w:r w:rsidR="00B1638B" w:rsidRPr="00990A43">
              <w:rPr>
                <w:b/>
                <w:bCs/>
              </w:rPr>
              <w:t>.</w:t>
            </w:r>
            <w:r w:rsidR="00646DDB" w:rsidRPr="00990A43">
              <w:rPr>
                <w:b/>
                <w:bCs/>
              </w:rPr>
              <w:t>gads</w:t>
            </w:r>
          </w:p>
        </w:tc>
        <w:tc>
          <w:tcPr>
            <w:tcW w:w="1963" w:type="pct"/>
            <w:gridSpan w:val="3"/>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Turpmākie trīs gadi (tūkst. latu)</w:t>
            </w:r>
          </w:p>
        </w:tc>
      </w:tr>
      <w:tr w:rsidR="00646DDB" w:rsidRPr="00990A43" w:rsidTr="00F5161B">
        <w:tc>
          <w:tcPr>
            <w:tcW w:w="1343" w:type="pct"/>
            <w:vMerge/>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rPr>
                <w:b/>
                <w:bCs/>
              </w:rPr>
            </w:pPr>
          </w:p>
        </w:tc>
        <w:tc>
          <w:tcPr>
            <w:tcW w:w="1694" w:type="pct"/>
            <w:gridSpan w:val="2"/>
            <w:vMerge/>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rPr>
                <w:b/>
                <w:bCs/>
              </w:rPr>
            </w:pPr>
          </w:p>
        </w:tc>
        <w:tc>
          <w:tcPr>
            <w:tcW w:w="689"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B430C3" w:rsidP="00E26689">
            <w:pPr>
              <w:pStyle w:val="NormalWeb"/>
              <w:jc w:val="center"/>
              <w:rPr>
                <w:b/>
                <w:bCs/>
              </w:rPr>
            </w:pPr>
            <w:r w:rsidRPr="00990A43">
              <w:rPr>
                <w:b/>
                <w:bCs/>
              </w:rPr>
              <w:t>201</w:t>
            </w:r>
            <w:r w:rsidR="00E26689" w:rsidRPr="00990A43">
              <w:rPr>
                <w:b/>
                <w:bCs/>
              </w:rPr>
              <w:t>3</w:t>
            </w:r>
            <w:r w:rsidR="00195FE9" w:rsidRPr="00990A43">
              <w:rPr>
                <w:b/>
                <w:bCs/>
              </w:rPr>
              <w:t>.</w:t>
            </w:r>
          </w:p>
        </w:tc>
        <w:tc>
          <w:tcPr>
            <w:tcW w:w="672"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B430C3" w:rsidP="00E26689">
            <w:pPr>
              <w:pStyle w:val="NormalWeb"/>
              <w:jc w:val="center"/>
              <w:rPr>
                <w:b/>
                <w:bCs/>
              </w:rPr>
            </w:pPr>
            <w:r w:rsidRPr="00990A43">
              <w:rPr>
                <w:b/>
                <w:bCs/>
              </w:rPr>
              <w:t>201</w:t>
            </w:r>
            <w:r w:rsidR="00E26689" w:rsidRPr="00990A43">
              <w:rPr>
                <w:b/>
                <w:bCs/>
              </w:rPr>
              <w:t>4</w:t>
            </w:r>
            <w:r w:rsidR="00195FE9" w:rsidRPr="00990A43">
              <w:rPr>
                <w:b/>
                <w:bCs/>
              </w:rPr>
              <w:t>.</w:t>
            </w:r>
          </w:p>
        </w:tc>
        <w:tc>
          <w:tcPr>
            <w:tcW w:w="601"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B430C3" w:rsidP="00E26689">
            <w:pPr>
              <w:pStyle w:val="NormalWeb"/>
              <w:jc w:val="center"/>
              <w:rPr>
                <w:b/>
                <w:bCs/>
              </w:rPr>
            </w:pPr>
            <w:r w:rsidRPr="00990A43">
              <w:rPr>
                <w:b/>
                <w:bCs/>
              </w:rPr>
              <w:t>201</w:t>
            </w:r>
            <w:r w:rsidR="00E26689" w:rsidRPr="00990A43">
              <w:rPr>
                <w:b/>
                <w:bCs/>
              </w:rPr>
              <w:t>5</w:t>
            </w:r>
            <w:r w:rsidR="00195FE9" w:rsidRPr="00990A43">
              <w:rPr>
                <w:b/>
                <w:bCs/>
              </w:rPr>
              <w:t>.</w:t>
            </w:r>
          </w:p>
        </w:tc>
      </w:tr>
      <w:tr w:rsidR="00646DDB" w:rsidRPr="00990A43" w:rsidTr="00F5161B">
        <w:tc>
          <w:tcPr>
            <w:tcW w:w="1343" w:type="pct"/>
            <w:vMerge/>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rPr>
                <w:b/>
                <w:bCs/>
              </w:rPr>
            </w:pPr>
          </w:p>
        </w:tc>
        <w:tc>
          <w:tcPr>
            <w:tcW w:w="817"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Saskaņā ar valsts budžetu kārtējam gadam</w:t>
            </w:r>
          </w:p>
        </w:tc>
        <w:tc>
          <w:tcPr>
            <w:tcW w:w="877"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Izmaiņas kārtējā gadā, salīdzinot ar budžetu kārtējam gadam</w:t>
            </w:r>
          </w:p>
        </w:tc>
        <w:tc>
          <w:tcPr>
            <w:tcW w:w="689"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Izmaiņas, salīdzinot ar kārtējo (n) gadu</w:t>
            </w:r>
          </w:p>
        </w:tc>
        <w:tc>
          <w:tcPr>
            <w:tcW w:w="672"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Izmaiņas, salīdzinot ar kārtējo (n) gadu</w:t>
            </w:r>
          </w:p>
        </w:tc>
        <w:tc>
          <w:tcPr>
            <w:tcW w:w="601"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Izmaiņas, salīdzinot ar kārtējo (n) gadu</w:t>
            </w:r>
          </w:p>
        </w:tc>
      </w:tr>
      <w:tr w:rsidR="00646DDB" w:rsidRPr="00990A43" w:rsidTr="00F5161B">
        <w:tc>
          <w:tcPr>
            <w:tcW w:w="1343"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1</w:t>
            </w:r>
          </w:p>
        </w:tc>
        <w:tc>
          <w:tcPr>
            <w:tcW w:w="817"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2</w:t>
            </w:r>
          </w:p>
        </w:tc>
        <w:tc>
          <w:tcPr>
            <w:tcW w:w="877"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3</w:t>
            </w:r>
          </w:p>
        </w:tc>
        <w:tc>
          <w:tcPr>
            <w:tcW w:w="689"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4</w:t>
            </w:r>
          </w:p>
        </w:tc>
        <w:tc>
          <w:tcPr>
            <w:tcW w:w="672"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5</w:t>
            </w:r>
          </w:p>
        </w:tc>
        <w:tc>
          <w:tcPr>
            <w:tcW w:w="601" w:type="pct"/>
            <w:tcBorders>
              <w:top w:val="outset" w:sz="6" w:space="0" w:color="000000"/>
              <w:left w:val="outset" w:sz="6" w:space="0" w:color="000000"/>
              <w:bottom w:val="outset" w:sz="6" w:space="0" w:color="000000"/>
              <w:right w:val="outset" w:sz="6" w:space="0" w:color="000000"/>
            </w:tcBorders>
            <w:vAlign w:val="center"/>
          </w:tcPr>
          <w:p w:rsidR="00646DDB" w:rsidRPr="00990A43" w:rsidRDefault="00646DDB" w:rsidP="00D639CD">
            <w:pPr>
              <w:pStyle w:val="NormalWeb"/>
              <w:jc w:val="center"/>
            </w:pPr>
            <w:r w:rsidRPr="00990A43">
              <w:t>6</w:t>
            </w:r>
          </w:p>
        </w:tc>
      </w:tr>
      <w:tr w:rsidR="00316B66" w:rsidRPr="00990A43" w:rsidTr="00F5161B">
        <w:tc>
          <w:tcPr>
            <w:tcW w:w="1343" w:type="pct"/>
            <w:tcBorders>
              <w:top w:val="outset" w:sz="6" w:space="0" w:color="000000"/>
              <w:left w:val="outset" w:sz="6" w:space="0" w:color="000000"/>
              <w:bottom w:val="outset" w:sz="6" w:space="0" w:color="000000"/>
              <w:right w:val="outset" w:sz="6" w:space="0" w:color="000000"/>
            </w:tcBorders>
          </w:tcPr>
          <w:p w:rsidR="00316B66" w:rsidRPr="00990A43" w:rsidRDefault="00316B66" w:rsidP="00D639CD">
            <w:pPr>
              <w:pStyle w:val="NormalWeb"/>
            </w:pPr>
            <w:r w:rsidRPr="00990A43">
              <w:t>1. Budžeta ieņēmumi:</w:t>
            </w:r>
          </w:p>
        </w:tc>
        <w:tc>
          <w:tcPr>
            <w:tcW w:w="81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1D4D55">
            <w:pPr>
              <w:spacing w:line="270" w:lineRule="atLeast"/>
              <w:jc w:val="center"/>
              <w:rPr>
                <w:b/>
              </w:rPr>
            </w:pPr>
            <w:r w:rsidRPr="00990A43">
              <w:rPr>
                <w:b/>
              </w:rPr>
              <w:t>0</w:t>
            </w:r>
          </w:p>
        </w:tc>
        <w:tc>
          <w:tcPr>
            <w:tcW w:w="87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B61981">
            <w:pPr>
              <w:spacing w:line="270" w:lineRule="atLeast"/>
              <w:jc w:val="center"/>
              <w:rPr>
                <w:b/>
              </w:rPr>
            </w:pPr>
            <w:r w:rsidRPr="00990A43">
              <w:rPr>
                <w:b/>
              </w:rP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rPr>
                <w:b/>
              </w:rPr>
            </w:pPr>
            <w:r w:rsidRPr="00990A43">
              <w:rPr>
                <w:b/>
              </w:rP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rPr>
                <w:b/>
              </w:rPr>
            </w:pPr>
            <w:r w:rsidRPr="00990A43">
              <w:rPr>
                <w:b/>
              </w:rPr>
              <w:t>0</w:t>
            </w:r>
          </w:p>
        </w:tc>
        <w:tc>
          <w:tcPr>
            <w:tcW w:w="601"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rPr>
                <w:b/>
              </w:rPr>
            </w:pPr>
            <w:r w:rsidRPr="00990A43">
              <w:rPr>
                <w:b/>
              </w:rPr>
              <w:t>0</w:t>
            </w:r>
          </w:p>
        </w:tc>
      </w:tr>
      <w:tr w:rsidR="00316B66" w:rsidRPr="00990A43" w:rsidTr="00F5161B">
        <w:trPr>
          <w:trHeight w:val="91"/>
        </w:trPr>
        <w:tc>
          <w:tcPr>
            <w:tcW w:w="1343" w:type="pct"/>
            <w:tcBorders>
              <w:top w:val="outset" w:sz="6" w:space="0" w:color="000000"/>
              <w:left w:val="outset" w:sz="6" w:space="0" w:color="000000"/>
              <w:bottom w:val="outset" w:sz="6" w:space="0" w:color="000000"/>
              <w:right w:val="outset" w:sz="6" w:space="0" w:color="000000"/>
            </w:tcBorders>
          </w:tcPr>
          <w:p w:rsidR="00316B66" w:rsidRPr="00990A43" w:rsidRDefault="00316B66" w:rsidP="00B61981">
            <w:pPr>
              <w:pStyle w:val="NormalWeb"/>
              <w:numPr>
                <w:ilvl w:val="1"/>
                <w:numId w:val="5"/>
              </w:numPr>
              <w:ind w:left="0" w:firstLine="0"/>
              <w:jc w:val="both"/>
            </w:pPr>
            <w:r w:rsidRPr="00990A43">
              <w:t>valsts pamatbudžets, tai skaitā ieņēmumi no maksas pakalpojumiem un citi pašu ieņēmumi</w:t>
            </w:r>
          </w:p>
        </w:tc>
        <w:tc>
          <w:tcPr>
            <w:tcW w:w="81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1D4D55">
            <w:pPr>
              <w:spacing w:line="270" w:lineRule="atLeast"/>
              <w:jc w:val="center"/>
            </w:pPr>
            <w:r w:rsidRPr="00990A43">
              <w:t>0</w:t>
            </w:r>
          </w:p>
        </w:tc>
        <w:tc>
          <w:tcPr>
            <w:tcW w:w="87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181B32">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r>
      <w:tr w:rsidR="00316B66" w:rsidRPr="00990A43" w:rsidTr="00F5161B">
        <w:tc>
          <w:tcPr>
            <w:tcW w:w="1343" w:type="pct"/>
            <w:tcBorders>
              <w:top w:val="outset" w:sz="6" w:space="0" w:color="000000"/>
              <w:left w:val="outset" w:sz="6" w:space="0" w:color="000000"/>
              <w:bottom w:val="outset" w:sz="6" w:space="0" w:color="000000"/>
              <w:right w:val="outset" w:sz="6" w:space="0" w:color="000000"/>
            </w:tcBorders>
          </w:tcPr>
          <w:p w:rsidR="00316B66" w:rsidRPr="00990A43" w:rsidRDefault="00316B66" w:rsidP="00B61981">
            <w:pPr>
              <w:pStyle w:val="NormalWeb"/>
              <w:jc w:val="both"/>
            </w:pPr>
            <w:r w:rsidRPr="00990A43">
              <w:t>1.2. valsts speciālais budžets</w:t>
            </w:r>
          </w:p>
        </w:tc>
        <w:tc>
          <w:tcPr>
            <w:tcW w:w="81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1D4D55">
            <w:pPr>
              <w:spacing w:line="270" w:lineRule="atLeast"/>
              <w:jc w:val="center"/>
            </w:pPr>
            <w:r w:rsidRPr="00990A43">
              <w:t>0</w:t>
            </w:r>
          </w:p>
        </w:tc>
        <w:tc>
          <w:tcPr>
            <w:tcW w:w="87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r>
      <w:tr w:rsidR="00316B66" w:rsidRPr="00990A43" w:rsidTr="00F5161B">
        <w:tc>
          <w:tcPr>
            <w:tcW w:w="1343" w:type="pct"/>
            <w:tcBorders>
              <w:top w:val="outset" w:sz="6" w:space="0" w:color="000000"/>
              <w:left w:val="outset" w:sz="6" w:space="0" w:color="000000"/>
              <w:bottom w:val="outset" w:sz="6" w:space="0" w:color="000000"/>
              <w:right w:val="outset" w:sz="6" w:space="0" w:color="000000"/>
            </w:tcBorders>
          </w:tcPr>
          <w:p w:rsidR="00316B66" w:rsidRPr="00990A43" w:rsidRDefault="00316B66" w:rsidP="00D639CD">
            <w:pPr>
              <w:pStyle w:val="NormalWeb"/>
            </w:pPr>
            <w:r w:rsidRPr="00990A43">
              <w:t>1.3. pašvaldību budžets</w:t>
            </w:r>
          </w:p>
        </w:tc>
        <w:tc>
          <w:tcPr>
            <w:tcW w:w="81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1D4D55">
            <w:pPr>
              <w:spacing w:line="270" w:lineRule="atLeast"/>
              <w:jc w:val="center"/>
            </w:pPr>
            <w:r w:rsidRPr="00990A43">
              <w:t>0</w:t>
            </w:r>
          </w:p>
        </w:tc>
        <w:tc>
          <w:tcPr>
            <w:tcW w:w="87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r>
      <w:tr w:rsidR="00316B66" w:rsidRPr="00990A43" w:rsidTr="00F5161B">
        <w:tc>
          <w:tcPr>
            <w:tcW w:w="1343" w:type="pct"/>
            <w:tcBorders>
              <w:top w:val="outset" w:sz="6" w:space="0" w:color="000000"/>
              <w:left w:val="outset" w:sz="6" w:space="0" w:color="000000"/>
              <w:bottom w:val="outset" w:sz="6" w:space="0" w:color="000000"/>
              <w:right w:val="outset" w:sz="6" w:space="0" w:color="000000"/>
            </w:tcBorders>
          </w:tcPr>
          <w:p w:rsidR="00316B66" w:rsidRPr="00990A43" w:rsidRDefault="00316B66" w:rsidP="00D639CD">
            <w:pPr>
              <w:pStyle w:val="NormalWeb"/>
            </w:pPr>
            <w:r w:rsidRPr="00990A43">
              <w:t>2. Budžeta izdevumi:</w:t>
            </w:r>
          </w:p>
        </w:tc>
        <w:tc>
          <w:tcPr>
            <w:tcW w:w="81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1D4D55">
            <w:pPr>
              <w:spacing w:line="270" w:lineRule="atLeast"/>
              <w:jc w:val="center"/>
              <w:rPr>
                <w:b/>
              </w:rPr>
            </w:pPr>
            <w:r w:rsidRPr="00990A43">
              <w:rPr>
                <w:b/>
              </w:rPr>
              <w:t>0</w:t>
            </w:r>
          </w:p>
        </w:tc>
        <w:tc>
          <w:tcPr>
            <w:tcW w:w="87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B61981">
            <w:pPr>
              <w:spacing w:line="270" w:lineRule="atLeast"/>
              <w:jc w:val="center"/>
              <w:rPr>
                <w:b/>
              </w:rPr>
            </w:pPr>
            <w:r w:rsidRPr="00990A43">
              <w:rPr>
                <w:b/>
              </w:rP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rPr>
                <w:b/>
              </w:rPr>
            </w:pPr>
            <w:r w:rsidRPr="00990A43">
              <w:rPr>
                <w:b/>
              </w:rP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rPr>
                <w:b/>
              </w:rPr>
            </w:pPr>
            <w:r w:rsidRPr="00990A43">
              <w:rPr>
                <w:b/>
              </w:rPr>
              <w:t>0</w:t>
            </w:r>
          </w:p>
        </w:tc>
        <w:tc>
          <w:tcPr>
            <w:tcW w:w="601"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rPr>
                <w:b/>
              </w:rPr>
            </w:pPr>
            <w:r w:rsidRPr="00990A43">
              <w:rPr>
                <w:b/>
              </w:rPr>
              <w:t>0</w:t>
            </w:r>
          </w:p>
        </w:tc>
      </w:tr>
      <w:tr w:rsidR="00316B66" w:rsidRPr="00990A43" w:rsidTr="00F5161B">
        <w:tc>
          <w:tcPr>
            <w:tcW w:w="1343" w:type="pct"/>
            <w:tcBorders>
              <w:top w:val="outset" w:sz="6" w:space="0" w:color="000000"/>
              <w:left w:val="outset" w:sz="6" w:space="0" w:color="000000"/>
              <w:bottom w:val="outset" w:sz="6" w:space="0" w:color="000000"/>
              <w:right w:val="outset" w:sz="6" w:space="0" w:color="000000"/>
            </w:tcBorders>
          </w:tcPr>
          <w:p w:rsidR="00316B66" w:rsidRPr="00990A43" w:rsidRDefault="00316B66" w:rsidP="00990A43">
            <w:pPr>
              <w:pStyle w:val="NormalWeb"/>
              <w:spacing w:before="0" w:beforeAutospacing="0" w:after="0" w:afterAutospacing="0"/>
              <w:jc w:val="both"/>
            </w:pPr>
            <w:r w:rsidRPr="00990A43">
              <w:t>2.1. valsts pamatbudžets</w:t>
            </w:r>
          </w:p>
        </w:tc>
        <w:tc>
          <w:tcPr>
            <w:tcW w:w="81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1D4D55">
            <w:pPr>
              <w:spacing w:line="270" w:lineRule="atLeast"/>
              <w:jc w:val="center"/>
            </w:pPr>
            <w:r w:rsidRPr="00990A43">
              <w:t>0</w:t>
            </w:r>
          </w:p>
        </w:tc>
        <w:tc>
          <w:tcPr>
            <w:tcW w:w="877"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316B66" w:rsidRPr="00990A43" w:rsidRDefault="00316B66" w:rsidP="00E755D1">
            <w:pPr>
              <w:spacing w:line="270" w:lineRule="atLeast"/>
              <w:jc w:val="center"/>
            </w:pPr>
            <w:r w:rsidRPr="00990A43">
              <w:t>0</w:t>
            </w: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2.2. valsts speciālais budžets</w:t>
            </w:r>
          </w:p>
        </w:tc>
        <w:tc>
          <w:tcPr>
            <w:tcW w:w="81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010380">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010380">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010380">
            <w:pPr>
              <w:spacing w:line="270" w:lineRule="atLeast"/>
              <w:jc w:val="center"/>
            </w:pPr>
            <w:r w:rsidRPr="00990A43">
              <w:t>0</w:t>
            </w: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2.3. pašvaldību budžets</w:t>
            </w:r>
          </w:p>
        </w:tc>
        <w:tc>
          <w:tcPr>
            <w:tcW w:w="81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3. Finansiālā ietekme:</w:t>
            </w:r>
          </w:p>
        </w:tc>
        <w:tc>
          <w:tcPr>
            <w:tcW w:w="81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3.1. valsts pamatbudžets</w:t>
            </w:r>
          </w:p>
        </w:tc>
        <w:tc>
          <w:tcPr>
            <w:tcW w:w="81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3.2. speciālais budžets</w:t>
            </w:r>
          </w:p>
        </w:tc>
        <w:tc>
          <w:tcPr>
            <w:tcW w:w="81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lastRenderedPageBreak/>
              <w:t>3.3. pašvaldību budžets</w:t>
            </w:r>
          </w:p>
        </w:tc>
        <w:tc>
          <w:tcPr>
            <w:tcW w:w="81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r>
      <w:tr w:rsidR="00B430C3" w:rsidRPr="00990A43" w:rsidTr="00F5161B">
        <w:tc>
          <w:tcPr>
            <w:tcW w:w="1343" w:type="pct"/>
            <w:vMerge w:val="restar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4. Finanšu līdzekļi papildu izdevumu finansēšanai (kompensējošu izdevumu samazinājumu norāda ar "+" zīmi)</w:t>
            </w:r>
          </w:p>
        </w:tc>
        <w:tc>
          <w:tcPr>
            <w:tcW w:w="817" w:type="pct"/>
            <w:vMerge w:val="restar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pStyle w:val="NormalWeb"/>
              <w:jc w:val="center"/>
              <w:rPr>
                <w:b/>
              </w:rPr>
            </w:pPr>
            <w:r w:rsidRPr="00990A43">
              <w:rPr>
                <w:b/>
              </w:rPr>
              <w:t>X</w:t>
            </w: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r>
      <w:tr w:rsidR="00B430C3" w:rsidRPr="00990A43" w:rsidTr="00F5161B">
        <w:tc>
          <w:tcPr>
            <w:tcW w:w="1343" w:type="pct"/>
            <w:vMerge/>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D639CD"/>
        </w:tc>
        <w:tc>
          <w:tcPr>
            <w:tcW w:w="817" w:type="pct"/>
            <w:vMerge/>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jc w:val="center"/>
              <w:rPr>
                <w:b/>
              </w:rPr>
            </w:pP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r>
      <w:tr w:rsidR="00B430C3" w:rsidRPr="00990A43" w:rsidTr="00F5161B">
        <w:tc>
          <w:tcPr>
            <w:tcW w:w="1343" w:type="pct"/>
            <w:vMerge/>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D639CD"/>
        </w:tc>
        <w:tc>
          <w:tcPr>
            <w:tcW w:w="817" w:type="pct"/>
            <w:vMerge/>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jc w:val="center"/>
              <w:rPr>
                <w:b/>
              </w:rPr>
            </w:pP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5. Precizēta finansiālā ietekme:</w:t>
            </w:r>
          </w:p>
        </w:tc>
        <w:tc>
          <w:tcPr>
            <w:tcW w:w="817" w:type="pct"/>
            <w:vMerge w:val="restar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pStyle w:val="NormalWeb"/>
              <w:jc w:val="center"/>
              <w:rPr>
                <w:b/>
              </w:rPr>
            </w:pPr>
            <w:r w:rsidRPr="00990A43">
              <w:rPr>
                <w:b/>
              </w:rPr>
              <w:t>X</w:t>
            </w: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rPr>
                <w:b/>
              </w:rPr>
            </w:pPr>
            <w:r w:rsidRPr="00990A43">
              <w:rPr>
                <w:b/>
              </w:rPr>
              <w:t>0</w:t>
            </w: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5.1. valsts pamatbudžets</w:t>
            </w:r>
          </w:p>
        </w:tc>
        <w:tc>
          <w:tcPr>
            <w:tcW w:w="817" w:type="pct"/>
            <w:vMerge/>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jc w:val="center"/>
            </w:pP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5.2. speciālais budžets</w:t>
            </w:r>
          </w:p>
        </w:tc>
        <w:tc>
          <w:tcPr>
            <w:tcW w:w="817" w:type="pct"/>
            <w:vMerge/>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jc w:val="center"/>
            </w:pP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5.3. pašvaldību budžets</w:t>
            </w:r>
          </w:p>
        </w:tc>
        <w:tc>
          <w:tcPr>
            <w:tcW w:w="817" w:type="pct"/>
            <w:vMerge/>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jc w:val="center"/>
            </w:pPr>
          </w:p>
        </w:tc>
        <w:tc>
          <w:tcPr>
            <w:tcW w:w="877"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89"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72"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c>
          <w:tcPr>
            <w:tcW w:w="601" w:type="pct"/>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B61981">
            <w:pPr>
              <w:spacing w:line="270" w:lineRule="atLeast"/>
              <w:jc w:val="center"/>
            </w:pPr>
            <w:r w:rsidRPr="00990A43">
              <w:t>0</w:t>
            </w: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6. Detalizēts ieņēmumu un izdevumu aprēķins (ja nepieciešams, detalizētu ieņēmumu un izdevumu aprēķinu var pievienot anotācijas pielikumā):</w:t>
            </w:r>
          </w:p>
        </w:tc>
        <w:tc>
          <w:tcPr>
            <w:tcW w:w="3657" w:type="pct"/>
            <w:gridSpan w:val="5"/>
            <w:vMerge w:val="restart"/>
            <w:tcBorders>
              <w:top w:val="outset" w:sz="6" w:space="0" w:color="000000"/>
              <w:left w:val="outset" w:sz="6" w:space="0" w:color="000000"/>
              <w:bottom w:val="outset" w:sz="6" w:space="0" w:color="000000"/>
              <w:right w:val="outset" w:sz="6" w:space="0" w:color="000000"/>
            </w:tcBorders>
            <w:vAlign w:val="center"/>
          </w:tcPr>
          <w:p w:rsidR="00186E68" w:rsidRPr="00EF0853" w:rsidRDefault="00990A43" w:rsidP="00EF0853">
            <w:pPr>
              <w:spacing w:line="270" w:lineRule="atLeast"/>
              <w:jc w:val="both"/>
            </w:pPr>
            <w:r>
              <w:t xml:space="preserve"> </w:t>
            </w:r>
            <w:r w:rsidR="00B430C3" w:rsidRPr="00990A43">
              <w:t xml:space="preserve">Latvijas Ārstu biedrības, </w:t>
            </w:r>
            <w:r w:rsidR="00316B66" w:rsidRPr="00990A43">
              <w:t>Latvijas Ārstniecības personu profesionālo organizāciju savienības un Latvijas Māsu asociācijas</w:t>
            </w:r>
            <w:r w:rsidR="00186E68">
              <w:t xml:space="preserve"> </w:t>
            </w:r>
            <w:r w:rsidR="00E26689" w:rsidRPr="00990A43">
              <w:t xml:space="preserve">plānotie </w:t>
            </w:r>
            <w:r w:rsidR="00B430C3" w:rsidRPr="00990A43">
              <w:t xml:space="preserve">ieņēmumi </w:t>
            </w:r>
            <w:r w:rsidR="00186E68">
              <w:t xml:space="preserve">2013.gadā </w:t>
            </w:r>
            <w:r w:rsidRPr="00990A43">
              <w:t>no maksas pakalpojumiem</w:t>
            </w:r>
            <w:r>
              <w:t xml:space="preserve"> un tiem atbilstošie izdevumi </w:t>
            </w:r>
            <w:r w:rsidR="00907840" w:rsidRPr="00990A43">
              <w:t>ir</w:t>
            </w:r>
            <w:r>
              <w:t xml:space="preserve"> </w:t>
            </w:r>
            <w:r w:rsidR="00186E68">
              <w:t>95 807 lati</w:t>
            </w:r>
            <w:r w:rsidR="00186E68">
              <w:rPr>
                <w:lang w:val="de-DE"/>
              </w:rPr>
              <w:t>,</w:t>
            </w:r>
            <w:r w:rsidR="00EF0853" w:rsidRPr="00A01288">
              <w:t xml:space="preserve"> sadalījum</w:t>
            </w:r>
            <w:r w:rsidR="00186E68">
              <w:t>u</w:t>
            </w:r>
            <w:r w:rsidR="00EF0853" w:rsidRPr="00A01288">
              <w:t xml:space="preserve"> pa izdevumu kodiem atbilstoši ekonomiskajām kategorijām</w:t>
            </w:r>
            <w:r w:rsidR="00186E68">
              <w:t xml:space="preserve"> skat. anotācijas pielikumā</w:t>
            </w:r>
            <w:r w:rsidR="00EF0853" w:rsidRPr="00A01288">
              <w:t>:</w:t>
            </w:r>
          </w:p>
          <w:p w:rsidR="00186E68" w:rsidRPr="00990A43" w:rsidRDefault="00186E68" w:rsidP="00186E68">
            <w:pPr>
              <w:pStyle w:val="ListParagraph"/>
              <w:numPr>
                <w:ilvl w:val="0"/>
                <w:numId w:val="12"/>
              </w:numPr>
              <w:autoSpaceDE w:val="0"/>
              <w:autoSpaceDN w:val="0"/>
              <w:adjustRightInd w:val="0"/>
              <w:jc w:val="both"/>
              <w:rPr>
                <w:rFonts w:ascii="Times New Roman" w:hAnsi="Times New Roman"/>
                <w:sz w:val="24"/>
                <w:szCs w:val="24"/>
              </w:rPr>
            </w:pPr>
            <w:r w:rsidRPr="00990A43">
              <w:rPr>
                <w:rFonts w:ascii="Times New Roman" w:hAnsi="Times New Roman"/>
                <w:sz w:val="24"/>
                <w:szCs w:val="24"/>
              </w:rPr>
              <w:t xml:space="preserve">profesionālās darbības pārskata izvērtēšana – </w:t>
            </w:r>
            <w:r>
              <w:rPr>
                <w:rFonts w:ascii="Times New Roman" w:hAnsi="Times New Roman"/>
                <w:sz w:val="24"/>
                <w:szCs w:val="24"/>
              </w:rPr>
              <w:t>2500</w:t>
            </w:r>
            <w:r w:rsidRPr="00990A43">
              <w:rPr>
                <w:rFonts w:ascii="Times New Roman" w:hAnsi="Times New Roman"/>
                <w:sz w:val="24"/>
                <w:szCs w:val="24"/>
              </w:rPr>
              <w:t xml:space="preserve"> lati;</w:t>
            </w:r>
          </w:p>
          <w:p w:rsidR="00186E68" w:rsidRPr="00947007" w:rsidRDefault="00186E68" w:rsidP="00186E68">
            <w:pPr>
              <w:pStyle w:val="ListParagraph"/>
              <w:numPr>
                <w:ilvl w:val="0"/>
                <w:numId w:val="12"/>
              </w:numPr>
              <w:autoSpaceDE w:val="0"/>
              <w:autoSpaceDN w:val="0"/>
              <w:adjustRightInd w:val="0"/>
              <w:jc w:val="both"/>
              <w:rPr>
                <w:rFonts w:ascii="Times New Roman" w:hAnsi="Times New Roman"/>
                <w:color w:val="000000"/>
                <w:sz w:val="24"/>
                <w:szCs w:val="24"/>
                <w:lang w:eastAsia="en-US"/>
              </w:rPr>
            </w:pPr>
            <w:r w:rsidRPr="00990A43">
              <w:rPr>
                <w:rFonts w:ascii="Times New Roman" w:hAnsi="Times New Roman"/>
                <w:sz w:val="24"/>
                <w:szCs w:val="24"/>
              </w:rPr>
              <w:t>profesionālās kvalifikācijas sertifikācija pie sertifikācijas eksāmena komisijas (sertificējamā</w:t>
            </w:r>
            <w:r w:rsidRPr="00947007">
              <w:rPr>
                <w:rFonts w:ascii="Times New Roman" w:hAnsi="Times New Roman"/>
                <w:sz w:val="24"/>
                <w:szCs w:val="24"/>
              </w:rPr>
              <w:t xml:space="preserve"> persona kārto praktisko eksāmenu)</w:t>
            </w:r>
            <w:r>
              <w:rPr>
                <w:rFonts w:ascii="Times New Roman" w:hAnsi="Times New Roman"/>
                <w:sz w:val="24"/>
                <w:szCs w:val="24"/>
              </w:rPr>
              <w:t xml:space="preserve"> – 250</w:t>
            </w:r>
            <w:r w:rsidRPr="00947007">
              <w:rPr>
                <w:rFonts w:ascii="Times New Roman" w:hAnsi="Times New Roman"/>
                <w:sz w:val="24"/>
                <w:szCs w:val="24"/>
              </w:rPr>
              <w:t>0 lati;</w:t>
            </w:r>
          </w:p>
          <w:p w:rsidR="00186E68" w:rsidRPr="00947007" w:rsidRDefault="00186E68" w:rsidP="00186E68">
            <w:pPr>
              <w:pStyle w:val="ListParagraph"/>
              <w:numPr>
                <w:ilvl w:val="0"/>
                <w:numId w:val="12"/>
              </w:numPr>
              <w:autoSpaceDE w:val="0"/>
              <w:autoSpaceDN w:val="0"/>
              <w:adjustRightInd w:val="0"/>
              <w:jc w:val="both"/>
              <w:rPr>
                <w:rFonts w:ascii="Times New Roman" w:hAnsi="Times New Roman"/>
                <w:color w:val="000000"/>
                <w:sz w:val="24"/>
                <w:szCs w:val="24"/>
                <w:lang w:eastAsia="en-US"/>
              </w:rPr>
            </w:pPr>
            <w:r w:rsidRPr="00947007">
              <w:rPr>
                <w:rFonts w:ascii="Times New Roman" w:hAnsi="Times New Roman"/>
                <w:sz w:val="24"/>
                <w:szCs w:val="24"/>
              </w:rPr>
              <w:t>profesionālās kvalifikācijas sertifikācija pie sertifikācijas eksāmena komisijas (sertificējamā persona</w:t>
            </w:r>
            <w:r>
              <w:rPr>
                <w:rFonts w:ascii="Times New Roman" w:hAnsi="Times New Roman"/>
                <w:sz w:val="24"/>
                <w:szCs w:val="24"/>
              </w:rPr>
              <w:t xml:space="preserve"> kārto teorētisko eksāmenu) – 3750</w:t>
            </w:r>
            <w:r w:rsidRPr="00947007">
              <w:rPr>
                <w:rFonts w:ascii="Times New Roman" w:hAnsi="Times New Roman"/>
                <w:sz w:val="24"/>
                <w:szCs w:val="24"/>
              </w:rPr>
              <w:t xml:space="preserve"> lati;</w:t>
            </w:r>
          </w:p>
          <w:p w:rsidR="00186E68" w:rsidRPr="00947007" w:rsidRDefault="00186E68" w:rsidP="00186E68">
            <w:pPr>
              <w:pStyle w:val="ListParagraph"/>
              <w:numPr>
                <w:ilvl w:val="0"/>
                <w:numId w:val="12"/>
              </w:numPr>
              <w:autoSpaceDE w:val="0"/>
              <w:autoSpaceDN w:val="0"/>
              <w:adjustRightInd w:val="0"/>
              <w:jc w:val="both"/>
              <w:rPr>
                <w:rFonts w:ascii="Times New Roman" w:hAnsi="Times New Roman"/>
                <w:color w:val="000000"/>
                <w:sz w:val="24"/>
                <w:szCs w:val="24"/>
                <w:lang w:eastAsia="en-US"/>
              </w:rPr>
            </w:pPr>
            <w:r w:rsidRPr="00947007">
              <w:rPr>
                <w:rFonts w:ascii="Times New Roman" w:hAnsi="Times New Roman"/>
                <w:sz w:val="24"/>
                <w:szCs w:val="24"/>
              </w:rPr>
              <w:t>reģistrētā sertifikā</w:t>
            </w:r>
            <w:r>
              <w:rPr>
                <w:rFonts w:ascii="Times New Roman" w:hAnsi="Times New Roman"/>
                <w:sz w:val="24"/>
                <w:szCs w:val="24"/>
              </w:rPr>
              <w:t>ta vai dublikāta izsniegšana – 1785 lats</w:t>
            </w:r>
            <w:r w:rsidRPr="00947007">
              <w:rPr>
                <w:rFonts w:ascii="Times New Roman" w:hAnsi="Times New Roman"/>
                <w:sz w:val="24"/>
                <w:szCs w:val="24"/>
              </w:rPr>
              <w:t>;</w:t>
            </w:r>
          </w:p>
          <w:p w:rsidR="00186E68" w:rsidRPr="00186E68" w:rsidRDefault="00186E68" w:rsidP="00186E68">
            <w:pPr>
              <w:pStyle w:val="ListParagraph"/>
              <w:numPr>
                <w:ilvl w:val="0"/>
                <w:numId w:val="12"/>
              </w:numPr>
              <w:autoSpaceDE w:val="0"/>
              <w:autoSpaceDN w:val="0"/>
              <w:adjustRightInd w:val="0"/>
              <w:jc w:val="both"/>
              <w:rPr>
                <w:rFonts w:ascii="Times New Roman" w:hAnsi="Times New Roman"/>
                <w:color w:val="000000"/>
                <w:sz w:val="24"/>
                <w:szCs w:val="24"/>
                <w:lang w:eastAsia="en-US"/>
              </w:rPr>
            </w:pPr>
            <w:r w:rsidRPr="00947007">
              <w:rPr>
                <w:rFonts w:ascii="Times New Roman" w:hAnsi="Times New Roman"/>
                <w:sz w:val="24"/>
                <w:szCs w:val="24"/>
              </w:rPr>
              <w:t xml:space="preserve">profesionālās kvalifikācijas </w:t>
            </w:r>
            <w:proofErr w:type="spellStart"/>
            <w:r>
              <w:rPr>
                <w:rFonts w:ascii="Times New Roman" w:hAnsi="Times New Roman"/>
                <w:sz w:val="24"/>
                <w:szCs w:val="24"/>
              </w:rPr>
              <w:t>re</w:t>
            </w:r>
            <w:r w:rsidRPr="00947007">
              <w:rPr>
                <w:rFonts w:ascii="Times New Roman" w:hAnsi="Times New Roman"/>
                <w:sz w:val="24"/>
                <w:szCs w:val="24"/>
              </w:rPr>
              <w:t>sertifikācija</w:t>
            </w:r>
            <w:proofErr w:type="spellEnd"/>
            <w:r w:rsidRPr="00947007">
              <w:rPr>
                <w:rFonts w:ascii="Times New Roman" w:hAnsi="Times New Roman"/>
                <w:sz w:val="24"/>
                <w:szCs w:val="24"/>
              </w:rPr>
              <w:t xml:space="preserve"> pie sertifikācijas eksāmena </w:t>
            </w:r>
            <w:r>
              <w:rPr>
                <w:rFonts w:ascii="Times New Roman" w:hAnsi="Times New Roman"/>
                <w:sz w:val="24"/>
                <w:szCs w:val="24"/>
              </w:rPr>
              <w:t>komisijas – 85 272</w:t>
            </w:r>
            <w:r w:rsidRPr="00947007">
              <w:rPr>
                <w:rFonts w:ascii="Times New Roman" w:hAnsi="Times New Roman"/>
                <w:sz w:val="24"/>
                <w:szCs w:val="24"/>
              </w:rPr>
              <w:t xml:space="preserve"> lati.</w:t>
            </w:r>
          </w:p>
          <w:p w:rsidR="00186E68" w:rsidRPr="00186E68" w:rsidRDefault="00186E68" w:rsidP="00186E68">
            <w:pPr>
              <w:pStyle w:val="ListParagraph"/>
              <w:autoSpaceDE w:val="0"/>
              <w:autoSpaceDN w:val="0"/>
              <w:adjustRightInd w:val="0"/>
              <w:jc w:val="both"/>
              <w:rPr>
                <w:rFonts w:ascii="Times New Roman" w:hAnsi="Times New Roman"/>
                <w:color w:val="000000"/>
                <w:sz w:val="24"/>
                <w:szCs w:val="24"/>
                <w:lang w:eastAsia="en-US"/>
              </w:rPr>
            </w:pPr>
          </w:p>
          <w:p w:rsidR="00990A43" w:rsidRDefault="00990A43" w:rsidP="000643B3">
            <w:pPr>
              <w:spacing w:line="270" w:lineRule="atLeast"/>
              <w:jc w:val="both"/>
            </w:pPr>
            <w:r>
              <w:t>Tā kā, pildot deleģēto valsts pārvaldes uzdevumu, Latvijas Ārstu biedrība</w:t>
            </w:r>
            <w:r w:rsidRPr="00195FE9">
              <w:t>,  Latvijas Ārstniecības personu pro</w:t>
            </w:r>
            <w:r>
              <w:t xml:space="preserve">fesionālo organizāciju savienība un </w:t>
            </w:r>
            <w:r w:rsidRPr="00195FE9">
              <w:t>Latvijas Māsu asociācij</w:t>
            </w:r>
            <w:r>
              <w:t xml:space="preserve">a ar maksas pakalpojumu sniegšanu saistītos izdevumus sedz no pašu līdzekļiem un nevienā no valsts budžeta programmā/apakšprogrammām finanšu līdzekļi valsts pārvaldes uzdevuma nodrošināšanai minētajām organizācijām nav tikuši piešķirti, tad tie uzskatāmi par ārpus </w:t>
            </w:r>
            <w:r w:rsidR="00186E68">
              <w:t xml:space="preserve">valsts </w:t>
            </w:r>
            <w:r>
              <w:t xml:space="preserve">budžeta ieņēmumiem un </w:t>
            </w:r>
            <w:r w:rsidR="00186E68">
              <w:t xml:space="preserve">tiem atbilstošiem </w:t>
            </w:r>
            <w:r>
              <w:t>izdevumiem</w:t>
            </w:r>
            <w:r w:rsidR="00F5161B">
              <w:t>.</w:t>
            </w:r>
          </w:p>
          <w:p w:rsidR="00186E68" w:rsidRPr="00186E68" w:rsidRDefault="00186E68" w:rsidP="000643B3">
            <w:pPr>
              <w:spacing w:line="270" w:lineRule="atLeast"/>
              <w:jc w:val="both"/>
            </w:pPr>
          </w:p>
          <w:p w:rsidR="003D7265" w:rsidRDefault="00186E68" w:rsidP="000643B3">
            <w:pPr>
              <w:spacing w:line="270" w:lineRule="atLeast"/>
              <w:jc w:val="both"/>
            </w:pPr>
            <w:r>
              <w:t xml:space="preserve">        </w:t>
            </w:r>
            <w:r w:rsidR="003D7265" w:rsidRPr="00990A43">
              <w:t xml:space="preserve">Plānotie </w:t>
            </w:r>
            <w:r w:rsidR="003D7265">
              <w:t>maksas pakalpojumu ieņēmumi 2014</w:t>
            </w:r>
            <w:r w:rsidR="003D7265" w:rsidRPr="00990A43">
              <w:t>.</w:t>
            </w:r>
            <w:r w:rsidR="003D7265">
              <w:t xml:space="preserve"> un 2015.gadā:</w:t>
            </w:r>
          </w:p>
          <w:p w:rsidR="00F5161B" w:rsidRDefault="00F5161B" w:rsidP="000643B3">
            <w:pPr>
              <w:spacing w:line="270" w:lineRule="atLeast"/>
              <w:jc w:val="both"/>
            </w:pPr>
          </w:p>
          <w:tbl>
            <w:tblPr>
              <w:tblW w:w="6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1"/>
              <w:gridCol w:w="1134"/>
              <w:gridCol w:w="851"/>
              <w:gridCol w:w="914"/>
              <w:gridCol w:w="851"/>
            </w:tblGrid>
            <w:tr w:rsidR="003D7265" w:rsidRPr="003D7265" w:rsidTr="003D7265">
              <w:trPr>
                <w:trHeight w:val="1266"/>
                <w:jc w:val="center"/>
              </w:trPr>
              <w:tc>
                <w:tcPr>
                  <w:tcW w:w="2761" w:type="dxa"/>
                  <w:vAlign w:val="center"/>
                </w:tcPr>
                <w:p w:rsidR="003D7265" w:rsidRPr="003D7265" w:rsidRDefault="003D7265" w:rsidP="003D7265">
                  <w:pPr>
                    <w:rPr>
                      <w:sz w:val="18"/>
                      <w:szCs w:val="18"/>
                    </w:rPr>
                  </w:pPr>
                  <w:r w:rsidRPr="003D7265">
                    <w:rPr>
                      <w:sz w:val="18"/>
                      <w:szCs w:val="18"/>
                    </w:rPr>
                    <w:t>Pakalpojuma veids</w:t>
                  </w:r>
                </w:p>
              </w:tc>
              <w:tc>
                <w:tcPr>
                  <w:tcW w:w="1134" w:type="dxa"/>
                  <w:vAlign w:val="center"/>
                </w:tcPr>
                <w:p w:rsidR="003D7265" w:rsidRPr="003D7265" w:rsidRDefault="003D7265" w:rsidP="003D7265">
                  <w:pPr>
                    <w:rPr>
                      <w:sz w:val="18"/>
                      <w:szCs w:val="18"/>
                    </w:rPr>
                  </w:pPr>
                  <w:r w:rsidRPr="003D7265">
                    <w:rPr>
                      <w:sz w:val="18"/>
                      <w:szCs w:val="18"/>
                    </w:rPr>
                    <w:t>Pakalpo-jumu skaits 2014.g.</w:t>
                  </w:r>
                </w:p>
              </w:tc>
              <w:tc>
                <w:tcPr>
                  <w:tcW w:w="851" w:type="dxa"/>
                  <w:vAlign w:val="center"/>
                </w:tcPr>
                <w:p w:rsidR="003D7265" w:rsidRPr="003D7265" w:rsidRDefault="003D7265" w:rsidP="003D7265">
                  <w:pPr>
                    <w:rPr>
                      <w:sz w:val="18"/>
                      <w:szCs w:val="18"/>
                    </w:rPr>
                  </w:pPr>
                  <w:proofErr w:type="spellStart"/>
                  <w:r w:rsidRPr="003D7265">
                    <w:rPr>
                      <w:sz w:val="18"/>
                      <w:szCs w:val="18"/>
                    </w:rPr>
                    <w:t>Ieņē-mumi</w:t>
                  </w:r>
                  <w:proofErr w:type="spellEnd"/>
                  <w:r w:rsidRPr="003D7265">
                    <w:rPr>
                      <w:sz w:val="18"/>
                      <w:szCs w:val="18"/>
                    </w:rPr>
                    <w:t xml:space="preserve"> 2014.g</w:t>
                  </w:r>
                </w:p>
              </w:tc>
              <w:tc>
                <w:tcPr>
                  <w:tcW w:w="914" w:type="dxa"/>
                  <w:vAlign w:val="center"/>
                </w:tcPr>
                <w:p w:rsidR="003D7265" w:rsidRPr="003D7265" w:rsidRDefault="003D7265" w:rsidP="003D7265">
                  <w:pPr>
                    <w:rPr>
                      <w:sz w:val="18"/>
                      <w:szCs w:val="18"/>
                    </w:rPr>
                  </w:pPr>
                  <w:r w:rsidRPr="003D7265">
                    <w:rPr>
                      <w:sz w:val="18"/>
                      <w:szCs w:val="18"/>
                    </w:rPr>
                    <w:t>Pakal-</w:t>
                  </w:r>
                  <w:proofErr w:type="spellStart"/>
                  <w:r w:rsidRPr="003D7265">
                    <w:rPr>
                      <w:sz w:val="18"/>
                      <w:szCs w:val="18"/>
                    </w:rPr>
                    <w:t>pojumu</w:t>
                  </w:r>
                  <w:proofErr w:type="spellEnd"/>
                  <w:r w:rsidRPr="003D7265">
                    <w:rPr>
                      <w:sz w:val="18"/>
                      <w:szCs w:val="18"/>
                    </w:rPr>
                    <w:t xml:space="preserve"> skaits 2015.g.</w:t>
                  </w:r>
                </w:p>
              </w:tc>
              <w:tc>
                <w:tcPr>
                  <w:tcW w:w="851" w:type="dxa"/>
                  <w:vAlign w:val="center"/>
                </w:tcPr>
                <w:p w:rsidR="003D7265" w:rsidRPr="003D7265" w:rsidRDefault="003D7265" w:rsidP="003D7265">
                  <w:pPr>
                    <w:rPr>
                      <w:sz w:val="18"/>
                      <w:szCs w:val="18"/>
                    </w:rPr>
                  </w:pPr>
                  <w:proofErr w:type="spellStart"/>
                  <w:r w:rsidRPr="003D7265">
                    <w:rPr>
                      <w:sz w:val="18"/>
                      <w:szCs w:val="18"/>
                    </w:rPr>
                    <w:t>Ieņē-mumi</w:t>
                  </w:r>
                  <w:proofErr w:type="spellEnd"/>
                  <w:r w:rsidRPr="003D7265">
                    <w:rPr>
                      <w:sz w:val="18"/>
                      <w:szCs w:val="18"/>
                    </w:rPr>
                    <w:t xml:space="preserve"> 2015.g</w:t>
                  </w:r>
                </w:p>
              </w:tc>
            </w:tr>
            <w:tr w:rsidR="003D7265" w:rsidRPr="003D7265" w:rsidTr="003D7265">
              <w:trPr>
                <w:jc w:val="center"/>
              </w:trPr>
              <w:tc>
                <w:tcPr>
                  <w:tcW w:w="2761" w:type="dxa"/>
                </w:tcPr>
                <w:p w:rsidR="003D7265" w:rsidRPr="003D7265" w:rsidRDefault="003D7265" w:rsidP="002A6264">
                  <w:pPr>
                    <w:rPr>
                      <w:sz w:val="18"/>
                      <w:szCs w:val="18"/>
                    </w:rPr>
                  </w:pPr>
                  <w:r w:rsidRPr="003D7265">
                    <w:rPr>
                      <w:sz w:val="18"/>
                      <w:szCs w:val="18"/>
                    </w:rPr>
                    <w:t>Profesionālās darbības pārskata izvērtēšana</w:t>
                  </w:r>
                </w:p>
              </w:tc>
              <w:tc>
                <w:tcPr>
                  <w:tcW w:w="1134"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250</w:t>
                  </w:r>
                </w:p>
              </w:tc>
              <w:tc>
                <w:tcPr>
                  <w:tcW w:w="851"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2500</w:t>
                  </w:r>
                </w:p>
              </w:tc>
              <w:tc>
                <w:tcPr>
                  <w:tcW w:w="914" w:type="dxa"/>
                </w:tcPr>
                <w:p w:rsidR="003D7265" w:rsidRPr="003D7265" w:rsidRDefault="003D7265" w:rsidP="002A6264">
                  <w:pPr>
                    <w:jc w:val="center"/>
                    <w:rPr>
                      <w:sz w:val="18"/>
                      <w:szCs w:val="18"/>
                    </w:rPr>
                  </w:pPr>
                </w:p>
                <w:p w:rsidR="003D7265" w:rsidRPr="003D7265" w:rsidRDefault="00D65D61" w:rsidP="002A6264">
                  <w:pPr>
                    <w:jc w:val="center"/>
                    <w:rPr>
                      <w:sz w:val="18"/>
                      <w:szCs w:val="18"/>
                    </w:rPr>
                  </w:pPr>
                  <w:r>
                    <w:rPr>
                      <w:sz w:val="18"/>
                      <w:szCs w:val="18"/>
                    </w:rPr>
                    <w:t>375</w:t>
                  </w:r>
                </w:p>
              </w:tc>
              <w:tc>
                <w:tcPr>
                  <w:tcW w:w="851"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3750</w:t>
                  </w:r>
                </w:p>
              </w:tc>
            </w:tr>
            <w:tr w:rsidR="003D7265" w:rsidRPr="003D7265" w:rsidTr="003D7265">
              <w:trPr>
                <w:jc w:val="center"/>
              </w:trPr>
              <w:tc>
                <w:tcPr>
                  <w:tcW w:w="2761" w:type="dxa"/>
                </w:tcPr>
                <w:p w:rsidR="003D7265" w:rsidRPr="003D7265" w:rsidRDefault="003D7265" w:rsidP="002A6264">
                  <w:pPr>
                    <w:rPr>
                      <w:sz w:val="18"/>
                      <w:szCs w:val="18"/>
                    </w:rPr>
                  </w:pPr>
                  <w:r w:rsidRPr="003D7265">
                    <w:rPr>
                      <w:sz w:val="18"/>
                      <w:szCs w:val="18"/>
                    </w:rPr>
                    <w:t xml:space="preserve">Profesionālās kvalifikācijas sertifikācija pie sertifikācijas eksāmena komisijas (sertificējamā </w:t>
                  </w:r>
                  <w:r w:rsidRPr="003D7265">
                    <w:rPr>
                      <w:sz w:val="18"/>
                      <w:szCs w:val="18"/>
                    </w:rPr>
                    <w:lastRenderedPageBreak/>
                    <w:t>persona kārto praktisko eksāmenu)</w:t>
                  </w:r>
                </w:p>
              </w:tc>
              <w:tc>
                <w:tcPr>
                  <w:tcW w:w="1134"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250</w:t>
                  </w:r>
                </w:p>
              </w:tc>
              <w:tc>
                <w:tcPr>
                  <w:tcW w:w="851"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2500</w:t>
                  </w:r>
                </w:p>
              </w:tc>
              <w:tc>
                <w:tcPr>
                  <w:tcW w:w="914" w:type="dxa"/>
                </w:tcPr>
                <w:p w:rsidR="003D7265" w:rsidRPr="003D7265" w:rsidRDefault="003D7265" w:rsidP="002A6264">
                  <w:pPr>
                    <w:jc w:val="center"/>
                    <w:rPr>
                      <w:sz w:val="18"/>
                      <w:szCs w:val="18"/>
                    </w:rPr>
                  </w:pPr>
                </w:p>
                <w:p w:rsidR="003D7265" w:rsidRPr="003D7265" w:rsidRDefault="00D65D61" w:rsidP="002A6264">
                  <w:pPr>
                    <w:jc w:val="center"/>
                    <w:rPr>
                      <w:sz w:val="18"/>
                      <w:szCs w:val="18"/>
                    </w:rPr>
                  </w:pPr>
                  <w:r>
                    <w:rPr>
                      <w:sz w:val="18"/>
                      <w:szCs w:val="18"/>
                    </w:rPr>
                    <w:t>375</w:t>
                  </w:r>
                </w:p>
              </w:tc>
              <w:tc>
                <w:tcPr>
                  <w:tcW w:w="851"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3750</w:t>
                  </w:r>
                </w:p>
              </w:tc>
            </w:tr>
            <w:tr w:rsidR="003D7265" w:rsidRPr="003D7265" w:rsidTr="003D7265">
              <w:trPr>
                <w:jc w:val="center"/>
              </w:trPr>
              <w:tc>
                <w:tcPr>
                  <w:tcW w:w="2761" w:type="dxa"/>
                </w:tcPr>
                <w:p w:rsidR="003D7265" w:rsidRPr="003D7265" w:rsidRDefault="003D7265" w:rsidP="002A6264">
                  <w:pPr>
                    <w:rPr>
                      <w:sz w:val="18"/>
                      <w:szCs w:val="18"/>
                    </w:rPr>
                  </w:pPr>
                  <w:r w:rsidRPr="003D7265">
                    <w:rPr>
                      <w:sz w:val="18"/>
                      <w:szCs w:val="18"/>
                    </w:rPr>
                    <w:lastRenderedPageBreak/>
                    <w:t>Profesionālās kvalifikācijas sertifikācija pie sertifikācijas eksāmena komisijas (sertificējamā persona kārto teorētisko eksāmenu)</w:t>
                  </w:r>
                </w:p>
              </w:tc>
              <w:tc>
                <w:tcPr>
                  <w:tcW w:w="1134"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250</w:t>
                  </w:r>
                </w:p>
              </w:tc>
              <w:tc>
                <w:tcPr>
                  <w:tcW w:w="851"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3750</w:t>
                  </w:r>
                </w:p>
              </w:tc>
              <w:tc>
                <w:tcPr>
                  <w:tcW w:w="914"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250</w:t>
                  </w:r>
                </w:p>
              </w:tc>
              <w:tc>
                <w:tcPr>
                  <w:tcW w:w="851"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3750</w:t>
                  </w:r>
                </w:p>
              </w:tc>
            </w:tr>
            <w:tr w:rsidR="003D7265" w:rsidRPr="003D7265" w:rsidTr="003D7265">
              <w:trPr>
                <w:jc w:val="center"/>
              </w:trPr>
              <w:tc>
                <w:tcPr>
                  <w:tcW w:w="2761" w:type="dxa"/>
                </w:tcPr>
                <w:p w:rsidR="003D7265" w:rsidRPr="003D7265" w:rsidRDefault="003D7265" w:rsidP="002A6264">
                  <w:pPr>
                    <w:rPr>
                      <w:sz w:val="18"/>
                      <w:szCs w:val="18"/>
                    </w:rPr>
                  </w:pPr>
                  <w:r w:rsidRPr="003D7265">
                    <w:rPr>
                      <w:sz w:val="18"/>
                      <w:szCs w:val="18"/>
                    </w:rPr>
                    <w:t>Reģistrētā sertifikāta vai dublikāta izsniegšana</w:t>
                  </w:r>
                </w:p>
              </w:tc>
              <w:tc>
                <w:tcPr>
                  <w:tcW w:w="1134" w:type="dxa"/>
                </w:tcPr>
                <w:p w:rsidR="003D7265" w:rsidRPr="003D7265" w:rsidRDefault="003D7265" w:rsidP="002A6264">
                  <w:pPr>
                    <w:jc w:val="center"/>
                    <w:rPr>
                      <w:sz w:val="18"/>
                      <w:szCs w:val="18"/>
                    </w:rPr>
                  </w:pPr>
                  <w:r w:rsidRPr="003D7265">
                    <w:rPr>
                      <w:sz w:val="18"/>
                      <w:szCs w:val="18"/>
                    </w:rPr>
                    <w:t>255</w:t>
                  </w:r>
                </w:p>
              </w:tc>
              <w:tc>
                <w:tcPr>
                  <w:tcW w:w="851" w:type="dxa"/>
                </w:tcPr>
                <w:p w:rsidR="003D7265" w:rsidRPr="003D7265" w:rsidRDefault="003D7265" w:rsidP="002A6264">
                  <w:pPr>
                    <w:jc w:val="center"/>
                    <w:rPr>
                      <w:sz w:val="18"/>
                      <w:szCs w:val="18"/>
                    </w:rPr>
                  </w:pPr>
                  <w:r w:rsidRPr="003D7265">
                    <w:rPr>
                      <w:sz w:val="18"/>
                      <w:szCs w:val="18"/>
                    </w:rPr>
                    <w:t>1785</w:t>
                  </w:r>
                </w:p>
              </w:tc>
              <w:tc>
                <w:tcPr>
                  <w:tcW w:w="914" w:type="dxa"/>
                </w:tcPr>
                <w:p w:rsidR="003D7265" w:rsidRPr="003D7265" w:rsidRDefault="003D7265" w:rsidP="002A6264">
                  <w:pPr>
                    <w:jc w:val="center"/>
                    <w:rPr>
                      <w:sz w:val="18"/>
                      <w:szCs w:val="18"/>
                    </w:rPr>
                  </w:pPr>
                  <w:r w:rsidRPr="003D7265">
                    <w:rPr>
                      <w:sz w:val="18"/>
                      <w:szCs w:val="18"/>
                    </w:rPr>
                    <w:t>255</w:t>
                  </w:r>
                </w:p>
              </w:tc>
              <w:tc>
                <w:tcPr>
                  <w:tcW w:w="851" w:type="dxa"/>
                </w:tcPr>
                <w:p w:rsidR="003D7265" w:rsidRPr="003D7265" w:rsidRDefault="003D7265" w:rsidP="002A6264">
                  <w:pPr>
                    <w:jc w:val="center"/>
                    <w:rPr>
                      <w:sz w:val="18"/>
                      <w:szCs w:val="18"/>
                    </w:rPr>
                  </w:pPr>
                  <w:r w:rsidRPr="003D7265">
                    <w:rPr>
                      <w:sz w:val="18"/>
                      <w:szCs w:val="18"/>
                    </w:rPr>
                    <w:t>1785</w:t>
                  </w:r>
                </w:p>
              </w:tc>
            </w:tr>
            <w:tr w:rsidR="003D7265" w:rsidRPr="003D7265" w:rsidTr="003D7265">
              <w:trPr>
                <w:jc w:val="center"/>
              </w:trPr>
              <w:tc>
                <w:tcPr>
                  <w:tcW w:w="2761" w:type="dxa"/>
                </w:tcPr>
                <w:p w:rsidR="003D7265" w:rsidRPr="003D7265" w:rsidRDefault="003D7265" w:rsidP="00483718">
                  <w:pPr>
                    <w:rPr>
                      <w:sz w:val="18"/>
                      <w:szCs w:val="18"/>
                    </w:rPr>
                  </w:pPr>
                  <w:r w:rsidRPr="003D7265">
                    <w:rPr>
                      <w:sz w:val="18"/>
                      <w:szCs w:val="18"/>
                    </w:rPr>
                    <w:t xml:space="preserve">Profesionālās kvalifikācijas </w:t>
                  </w:r>
                  <w:proofErr w:type="spellStart"/>
                  <w:r w:rsidR="00483718">
                    <w:rPr>
                      <w:sz w:val="18"/>
                      <w:szCs w:val="18"/>
                    </w:rPr>
                    <w:t>re</w:t>
                  </w:r>
                  <w:r w:rsidRPr="003D7265">
                    <w:rPr>
                      <w:sz w:val="18"/>
                      <w:szCs w:val="18"/>
                    </w:rPr>
                    <w:t>sertifikācija</w:t>
                  </w:r>
                  <w:proofErr w:type="spellEnd"/>
                  <w:r w:rsidRPr="003D7265">
                    <w:rPr>
                      <w:sz w:val="18"/>
                      <w:szCs w:val="18"/>
                    </w:rPr>
                    <w:t xml:space="preserve"> pie sertifikācijas eksāmena komisijas</w:t>
                  </w:r>
                </w:p>
              </w:tc>
              <w:tc>
                <w:tcPr>
                  <w:tcW w:w="1134"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5823</w:t>
                  </w:r>
                </w:p>
              </w:tc>
              <w:tc>
                <w:tcPr>
                  <w:tcW w:w="851"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98</w:t>
                  </w:r>
                  <w:r w:rsidR="00E66870">
                    <w:rPr>
                      <w:sz w:val="18"/>
                      <w:szCs w:val="18"/>
                    </w:rPr>
                    <w:t xml:space="preserve"> </w:t>
                  </w:r>
                  <w:r w:rsidRPr="003D7265">
                    <w:rPr>
                      <w:sz w:val="18"/>
                      <w:szCs w:val="18"/>
                    </w:rPr>
                    <w:t>991</w:t>
                  </w:r>
                </w:p>
              </w:tc>
              <w:tc>
                <w:tcPr>
                  <w:tcW w:w="914"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5447</w:t>
                  </w:r>
                </w:p>
              </w:tc>
              <w:tc>
                <w:tcPr>
                  <w:tcW w:w="851" w:type="dxa"/>
                </w:tcPr>
                <w:p w:rsidR="003D7265" w:rsidRPr="003D7265" w:rsidRDefault="003D7265" w:rsidP="002A6264">
                  <w:pPr>
                    <w:jc w:val="center"/>
                    <w:rPr>
                      <w:sz w:val="18"/>
                      <w:szCs w:val="18"/>
                    </w:rPr>
                  </w:pPr>
                </w:p>
                <w:p w:rsidR="003D7265" w:rsidRPr="003D7265" w:rsidRDefault="003D7265" w:rsidP="002A6264">
                  <w:pPr>
                    <w:jc w:val="center"/>
                    <w:rPr>
                      <w:sz w:val="18"/>
                      <w:szCs w:val="18"/>
                    </w:rPr>
                  </w:pPr>
                  <w:r w:rsidRPr="003D7265">
                    <w:rPr>
                      <w:sz w:val="18"/>
                      <w:szCs w:val="18"/>
                    </w:rPr>
                    <w:t>92</w:t>
                  </w:r>
                  <w:r>
                    <w:rPr>
                      <w:sz w:val="18"/>
                      <w:szCs w:val="18"/>
                    </w:rPr>
                    <w:t xml:space="preserve"> </w:t>
                  </w:r>
                  <w:r w:rsidRPr="003D7265">
                    <w:rPr>
                      <w:sz w:val="18"/>
                      <w:szCs w:val="18"/>
                    </w:rPr>
                    <w:t>599</w:t>
                  </w:r>
                </w:p>
              </w:tc>
            </w:tr>
            <w:tr w:rsidR="003D7265" w:rsidRPr="003D7265" w:rsidTr="003D7265">
              <w:trPr>
                <w:jc w:val="center"/>
              </w:trPr>
              <w:tc>
                <w:tcPr>
                  <w:tcW w:w="2761" w:type="dxa"/>
                  <w:vAlign w:val="center"/>
                </w:tcPr>
                <w:p w:rsidR="003D7265" w:rsidRDefault="003D7265" w:rsidP="003D7265">
                  <w:pPr>
                    <w:jc w:val="right"/>
                    <w:rPr>
                      <w:sz w:val="18"/>
                      <w:szCs w:val="18"/>
                    </w:rPr>
                  </w:pPr>
                  <w:r>
                    <w:rPr>
                      <w:sz w:val="18"/>
                      <w:szCs w:val="18"/>
                    </w:rPr>
                    <w:t>KOPĀ:</w:t>
                  </w:r>
                </w:p>
                <w:p w:rsidR="003D7265" w:rsidRPr="003D7265" w:rsidRDefault="003D7265" w:rsidP="003D7265">
                  <w:pPr>
                    <w:jc w:val="right"/>
                    <w:rPr>
                      <w:sz w:val="18"/>
                      <w:szCs w:val="18"/>
                    </w:rPr>
                  </w:pPr>
                </w:p>
              </w:tc>
              <w:tc>
                <w:tcPr>
                  <w:tcW w:w="1134" w:type="dxa"/>
                  <w:vAlign w:val="center"/>
                </w:tcPr>
                <w:p w:rsidR="003D7265" w:rsidRPr="003D7265" w:rsidRDefault="003D7265" w:rsidP="003D7265">
                  <w:pPr>
                    <w:jc w:val="right"/>
                    <w:rPr>
                      <w:sz w:val="18"/>
                      <w:szCs w:val="18"/>
                    </w:rPr>
                  </w:pPr>
                </w:p>
              </w:tc>
              <w:tc>
                <w:tcPr>
                  <w:tcW w:w="851" w:type="dxa"/>
                  <w:vAlign w:val="center"/>
                </w:tcPr>
                <w:p w:rsidR="003D7265" w:rsidRPr="003D7265" w:rsidRDefault="003D7265" w:rsidP="003D7265">
                  <w:pPr>
                    <w:jc w:val="right"/>
                    <w:rPr>
                      <w:sz w:val="18"/>
                      <w:szCs w:val="18"/>
                    </w:rPr>
                  </w:pPr>
                  <w:r>
                    <w:rPr>
                      <w:sz w:val="18"/>
                      <w:szCs w:val="18"/>
                    </w:rPr>
                    <w:t>109 526</w:t>
                  </w:r>
                </w:p>
              </w:tc>
              <w:tc>
                <w:tcPr>
                  <w:tcW w:w="914" w:type="dxa"/>
                  <w:vAlign w:val="center"/>
                </w:tcPr>
                <w:p w:rsidR="003D7265" w:rsidRPr="003D7265" w:rsidRDefault="003D7265" w:rsidP="003D7265">
                  <w:pPr>
                    <w:jc w:val="right"/>
                    <w:rPr>
                      <w:sz w:val="18"/>
                      <w:szCs w:val="18"/>
                    </w:rPr>
                  </w:pPr>
                </w:p>
              </w:tc>
              <w:tc>
                <w:tcPr>
                  <w:tcW w:w="851" w:type="dxa"/>
                  <w:vAlign w:val="center"/>
                </w:tcPr>
                <w:p w:rsidR="003D7265" w:rsidRPr="003D7265" w:rsidRDefault="003D7265" w:rsidP="003D7265">
                  <w:pPr>
                    <w:jc w:val="right"/>
                    <w:rPr>
                      <w:sz w:val="18"/>
                      <w:szCs w:val="18"/>
                    </w:rPr>
                  </w:pPr>
                  <w:r>
                    <w:rPr>
                      <w:sz w:val="18"/>
                      <w:szCs w:val="18"/>
                    </w:rPr>
                    <w:t>10</w:t>
                  </w:r>
                  <w:r w:rsidR="00D65D61">
                    <w:rPr>
                      <w:sz w:val="18"/>
                      <w:szCs w:val="18"/>
                    </w:rPr>
                    <w:t>5 634</w:t>
                  </w:r>
                </w:p>
              </w:tc>
            </w:tr>
          </w:tbl>
          <w:p w:rsidR="00B430C3" w:rsidRPr="00990A43" w:rsidRDefault="00B430C3" w:rsidP="006360A0">
            <w:pPr>
              <w:autoSpaceDE w:val="0"/>
              <w:autoSpaceDN w:val="0"/>
              <w:adjustRightInd w:val="0"/>
              <w:rPr>
                <w:lang w:val="de-DE"/>
              </w:rPr>
            </w:pPr>
          </w:p>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6.1. detalizēts ieņēmumu aprēķins</w:t>
            </w:r>
          </w:p>
        </w:tc>
        <w:tc>
          <w:tcPr>
            <w:tcW w:w="3657" w:type="pct"/>
            <w:gridSpan w:val="5"/>
            <w:vMerge/>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D639CD"/>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t>6.2. detalizēts izdevumu aprēķins</w:t>
            </w:r>
          </w:p>
        </w:tc>
        <w:tc>
          <w:tcPr>
            <w:tcW w:w="3657" w:type="pct"/>
            <w:gridSpan w:val="5"/>
            <w:vMerge/>
            <w:tcBorders>
              <w:top w:val="outset" w:sz="6" w:space="0" w:color="000000"/>
              <w:left w:val="outset" w:sz="6" w:space="0" w:color="000000"/>
              <w:bottom w:val="outset" w:sz="6" w:space="0" w:color="000000"/>
              <w:right w:val="outset" w:sz="6" w:space="0" w:color="000000"/>
            </w:tcBorders>
            <w:vAlign w:val="center"/>
          </w:tcPr>
          <w:p w:rsidR="00B430C3" w:rsidRPr="00990A43" w:rsidRDefault="00B430C3" w:rsidP="00D639CD"/>
        </w:tc>
      </w:tr>
      <w:tr w:rsidR="00B430C3" w:rsidRPr="00990A43" w:rsidTr="00F5161B">
        <w:tc>
          <w:tcPr>
            <w:tcW w:w="1343" w:type="pct"/>
            <w:tcBorders>
              <w:top w:val="outset" w:sz="6" w:space="0" w:color="000000"/>
              <w:left w:val="outset" w:sz="6" w:space="0" w:color="000000"/>
              <w:bottom w:val="outset" w:sz="6" w:space="0" w:color="000000"/>
              <w:right w:val="outset" w:sz="6" w:space="0" w:color="000000"/>
            </w:tcBorders>
          </w:tcPr>
          <w:p w:rsidR="00B430C3" w:rsidRPr="00990A43" w:rsidRDefault="00B430C3" w:rsidP="00D639CD">
            <w:pPr>
              <w:pStyle w:val="NormalWeb"/>
            </w:pPr>
            <w:r w:rsidRPr="00990A43">
              <w:lastRenderedPageBreak/>
              <w:t>7. Cita informācija</w:t>
            </w:r>
          </w:p>
        </w:tc>
        <w:tc>
          <w:tcPr>
            <w:tcW w:w="3657" w:type="pct"/>
            <w:gridSpan w:val="5"/>
            <w:tcBorders>
              <w:top w:val="outset" w:sz="6" w:space="0" w:color="000000"/>
              <w:left w:val="outset" w:sz="6" w:space="0" w:color="000000"/>
              <w:bottom w:val="outset" w:sz="6" w:space="0" w:color="000000"/>
              <w:right w:val="outset" w:sz="6" w:space="0" w:color="000000"/>
            </w:tcBorders>
          </w:tcPr>
          <w:p w:rsidR="00B430C3" w:rsidRPr="00990A43" w:rsidRDefault="00B13C1A" w:rsidP="00B77EED">
            <w:pPr>
              <w:pStyle w:val="NoSpacing"/>
              <w:jc w:val="both"/>
              <w:rPr>
                <w:rFonts w:ascii="Times New Roman" w:hAnsi="Times New Roman"/>
                <w:sz w:val="24"/>
                <w:szCs w:val="24"/>
                <w:lang w:val="de-DE"/>
              </w:rPr>
            </w:pPr>
            <w:r w:rsidRPr="00990A43">
              <w:rPr>
                <w:rFonts w:ascii="Times New Roman" w:hAnsi="Times New Roman"/>
                <w:sz w:val="24"/>
                <w:szCs w:val="24"/>
                <w:lang w:val="de-DE"/>
              </w:rPr>
              <w:t>Nav</w:t>
            </w:r>
          </w:p>
        </w:tc>
      </w:tr>
    </w:tbl>
    <w:p w:rsidR="00A25A76" w:rsidRDefault="00A25A76" w:rsidP="00646DDB">
      <w:pPr>
        <w:pStyle w:val="NormalWeb"/>
        <w:spacing w:before="0" w:beforeAutospacing="0" w:after="0" w:afterAutospacing="0"/>
        <w:rPr>
          <w:sz w:val="28"/>
          <w:szCs w:val="28"/>
        </w:rPr>
      </w:pPr>
    </w:p>
    <w:p w:rsidR="00186E68" w:rsidRDefault="00186E68" w:rsidP="00646DDB">
      <w:pPr>
        <w:pStyle w:val="NormalWeb"/>
        <w:spacing w:before="0" w:beforeAutospacing="0" w:after="0" w:afterAutospacing="0"/>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268"/>
        <w:gridCol w:w="6627"/>
      </w:tblGrid>
      <w:tr w:rsidR="00606E06" w:rsidRPr="00606E06" w:rsidTr="00606E06">
        <w:tc>
          <w:tcPr>
            <w:tcW w:w="9463" w:type="dxa"/>
            <w:gridSpan w:val="3"/>
          </w:tcPr>
          <w:p w:rsidR="00606E06" w:rsidRPr="00606E06" w:rsidRDefault="00606E06" w:rsidP="00606E06">
            <w:pPr>
              <w:jc w:val="center"/>
              <w:rPr>
                <w:b/>
                <w:iCs/>
              </w:rPr>
            </w:pPr>
            <w:r w:rsidRPr="00606E06">
              <w:rPr>
                <w:b/>
                <w:iCs/>
              </w:rPr>
              <w:t>IV. Tiesību akta projekta ietekme uz spēkā esošo tiesību normu sistēmu</w:t>
            </w:r>
          </w:p>
        </w:tc>
      </w:tr>
      <w:tr w:rsidR="00606E06" w:rsidRPr="00606E06" w:rsidTr="00606E06">
        <w:tc>
          <w:tcPr>
            <w:tcW w:w="568" w:type="dxa"/>
          </w:tcPr>
          <w:p w:rsidR="00606E06" w:rsidRPr="00606E06" w:rsidRDefault="00606E06" w:rsidP="00606E06">
            <w:pPr>
              <w:rPr>
                <w:iCs/>
              </w:rPr>
            </w:pPr>
            <w:r w:rsidRPr="00606E06">
              <w:rPr>
                <w:iCs/>
              </w:rPr>
              <w:t xml:space="preserve">1. </w:t>
            </w:r>
          </w:p>
        </w:tc>
        <w:tc>
          <w:tcPr>
            <w:tcW w:w="2268" w:type="dxa"/>
          </w:tcPr>
          <w:p w:rsidR="00606E06" w:rsidRPr="00606E06" w:rsidRDefault="00606E06" w:rsidP="00606E06">
            <w:pPr>
              <w:rPr>
                <w:iCs/>
              </w:rPr>
            </w:pPr>
            <w:r w:rsidRPr="00606E06">
              <w:rPr>
                <w:iCs/>
              </w:rPr>
              <w:t>Nepieciešamie saistītie tiesību aktu projekti</w:t>
            </w:r>
          </w:p>
        </w:tc>
        <w:tc>
          <w:tcPr>
            <w:tcW w:w="6627" w:type="dxa"/>
          </w:tcPr>
          <w:p w:rsidR="006D6EF9" w:rsidRPr="00606E06" w:rsidRDefault="006D6EF9" w:rsidP="00572B5E">
            <w:pPr>
              <w:ind w:firstLine="240"/>
              <w:jc w:val="both"/>
              <w:rPr>
                <w:color w:val="000000"/>
                <w:highlight w:val="yellow"/>
              </w:rPr>
            </w:pPr>
            <w:r>
              <w:t xml:space="preserve">Vienlaicīgi Veselības ministrija ir izstrādājusi </w:t>
            </w:r>
            <w:r>
              <w:rPr>
                <w:color w:val="000000"/>
              </w:rPr>
              <w:t xml:space="preserve"> </w:t>
            </w:r>
            <w:r w:rsidRPr="00075FE9">
              <w:rPr>
                <w:color w:val="000000"/>
              </w:rPr>
              <w:t>Ministru kabineta noteikumu projektu „Ārstniecības personu sertifikācijas kārtība” (valsts sekretāru 2012.gada 15.marta protokols Nr.11, 21.§, VSS-280)</w:t>
            </w:r>
            <w:r>
              <w:rPr>
                <w:color w:val="000000"/>
              </w:rPr>
              <w:t xml:space="preserve"> un abus normatīvo aktu projektus plānots iesniegt vienlaicīgi izskatīšanai Ministru kabineta sēdē.</w:t>
            </w:r>
          </w:p>
        </w:tc>
      </w:tr>
      <w:tr w:rsidR="00606E06" w:rsidRPr="00606E06" w:rsidTr="00606E06">
        <w:tc>
          <w:tcPr>
            <w:tcW w:w="568" w:type="dxa"/>
          </w:tcPr>
          <w:p w:rsidR="00606E06" w:rsidRPr="00606E06" w:rsidRDefault="00606E06" w:rsidP="00606E06">
            <w:pPr>
              <w:rPr>
                <w:iCs/>
              </w:rPr>
            </w:pPr>
            <w:r w:rsidRPr="00606E06">
              <w:rPr>
                <w:iCs/>
              </w:rPr>
              <w:t xml:space="preserve">2. </w:t>
            </w:r>
          </w:p>
        </w:tc>
        <w:tc>
          <w:tcPr>
            <w:tcW w:w="2268" w:type="dxa"/>
          </w:tcPr>
          <w:p w:rsidR="00606E06" w:rsidRPr="00606E06" w:rsidRDefault="00606E06" w:rsidP="00606E06">
            <w:pPr>
              <w:rPr>
                <w:iCs/>
              </w:rPr>
            </w:pPr>
            <w:r w:rsidRPr="00606E06">
              <w:rPr>
                <w:iCs/>
              </w:rPr>
              <w:t>Cita informācija</w:t>
            </w:r>
          </w:p>
        </w:tc>
        <w:tc>
          <w:tcPr>
            <w:tcW w:w="6627" w:type="dxa"/>
          </w:tcPr>
          <w:p w:rsidR="00606E06" w:rsidRPr="00606E06" w:rsidRDefault="00606E06" w:rsidP="00606E06">
            <w:pPr>
              <w:rPr>
                <w:iCs/>
              </w:rPr>
            </w:pPr>
            <w:r w:rsidRPr="00606E06">
              <w:rPr>
                <w:iCs/>
              </w:rPr>
              <w:t xml:space="preserve">Nav </w:t>
            </w:r>
          </w:p>
        </w:tc>
      </w:tr>
    </w:tbl>
    <w:p w:rsidR="006D6EF9" w:rsidRDefault="006D6EF9" w:rsidP="00787DC4">
      <w:pPr>
        <w:pStyle w:val="naisf"/>
        <w:spacing w:before="0" w:after="0"/>
        <w:ind w:firstLine="0"/>
        <w:rPr>
          <w:i/>
          <w:sz w:val="28"/>
          <w:szCs w:val="28"/>
        </w:rPr>
      </w:pPr>
    </w:p>
    <w:p w:rsidR="00186E68" w:rsidRDefault="00186E68" w:rsidP="00787DC4">
      <w:pPr>
        <w:pStyle w:val="naisf"/>
        <w:spacing w:before="0" w:after="0"/>
        <w:ind w:firstLine="0"/>
        <w:rPr>
          <w:i/>
          <w:sz w:val="28"/>
          <w:szCs w:val="28"/>
        </w:rPr>
      </w:pPr>
    </w:p>
    <w:p w:rsidR="00195FE9" w:rsidRDefault="00606E06" w:rsidP="00606E06">
      <w:pPr>
        <w:pStyle w:val="naisf"/>
        <w:spacing w:before="0" w:after="0"/>
        <w:ind w:firstLine="0"/>
        <w:jc w:val="center"/>
        <w:rPr>
          <w:i/>
          <w:sz w:val="28"/>
          <w:szCs w:val="28"/>
        </w:rPr>
      </w:pPr>
      <w:r>
        <w:rPr>
          <w:i/>
          <w:sz w:val="28"/>
          <w:szCs w:val="28"/>
        </w:rPr>
        <w:t xml:space="preserve">Anotācijas </w:t>
      </w:r>
      <w:r w:rsidR="00676C09">
        <w:rPr>
          <w:i/>
          <w:sz w:val="28"/>
          <w:szCs w:val="28"/>
        </w:rPr>
        <w:t>V un</w:t>
      </w:r>
      <w:r w:rsidR="00195FE9">
        <w:rPr>
          <w:i/>
          <w:sz w:val="28"/>
          <w:szCs w:val="28"/>
        </w:rPr>
        <w:t xml:space="preserve"> V</w:t>
      </w:r>
      <w:r w:rsidR="00676C09">
        <w:rPr>
          <w:i/>
          <w:sz w:val="28"/>
          <w:szCs w:val="28"/>
        </w:rPr>
        <w:t>I</w:t>
      </w:r>
      <w:r w:rsidR="00195FE9">
        <w:rPr>
          <w:i/>
          <w:sz w:val="28"/>
          <w:szCs w:val="28"/>
        </w:rPr>
        <w:t xml:space="preserve"> </w:t>
      </w:r>
      <w:r w:rsidR="00195FE9" w:rsidRPr="00525AA4">
        <w:rPr>
          <w:i/>
          <w:sz w:val="28"/>
          <w:szCs w:val="28"/>
        </w:rPr>
        <w:t>sadaļa – projekts šīs jomas neskar.</w:t>
      </w:r>
    </w:p>
    <w:p w:rsidR="00186E68" w:rsidRDefault="00186E68" w:rsidP="00195FE9">
      <w:pPr>
        <w:pStyle w:val="naisf"/>
        <w:spacing w:before="0" w:after="0"/>
        <w:ind w:firstLine="0"/>
        <w:rPr>
          <w:sz w:val="28"/>
          <w:szCs w:val="28"/>
        </w:rPr>
      </w:pPr>
    </w:p>
    <w:p w:rsidR="00186E68" w:rsidRDefault="00186E68" w:rsidP="00195FE9">
      <w:pPr>
        <w:pStyle w:val="naisf"/>
        <w:spacing w:before="0" w:after="0"/>
        <w:ind w:firstLine="0"/>
        <w:rPr>
          <w:sz w:val="28"/>
          <w:szCs w:val="28"/>
        </w:rPr>
      </w:pPr>
    </w:p>
    <w:p w:rsidR="00186E68" w:rsidRPr="00215301" w:rsidRDefault="00186E68" w:rsidP="00195FE9">
      <w:pPr>
        <w:pStyle w:val="naisf"/>
        <w:spacing w:before="0" w:after="0"/>
        <w:ind w:firstLine="0"/>
        <w:rPr>
          <w:sz w:val="28"/>
          <w:szCs w:val="28"/>
        </w:rPr>
      </w:pPr>
    </w:p>
    <w:tbl>
      <w:tblPr>
        <w:tblW w:w="9537"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814"/>
        <w:gridCol w:w="3057"/>
        <w:gridCol w:w="5666"/>
      </w:tblGrid>
      <w:tr w:rsidR="00646DDB" w:rsidRPr="00774ECF" w:rsidTr="00195FE9">
        <w:trPr>
          <w:jc w:val="center"/>
        </w:trPr>
        <w:tc>
          <w:tcPr>
            <w:tcW w:w="9537" w:type="dxa"/>
            <w:gridSpan w:val="3"/>
            <w:tcBorders>
              <w:top w:val="single" w:sz="4" w:space="0" w:color="auto"/>
            </w:tcBorders>
          </w:tcPr>
          <w:p w:rsidR="00646DDB" w:rsidRPr="00774ECF" w:rsidRDefault="00646DDB" w:rsidP="00D639CD">
            <w:pPr>
              <w:pStyle w:val="naisnod"/>
              <w:spacing w:before="0" w:after="0"/>
              <w:ind w:left="57" w:right="57"/>
            </w:pPr>
            <w:r w:rsidRPr="00774ECF">
              <w:t>VII. Tiesību akta projekta izpildes nodrošināšana un tās ietekme uz institūcijām</w:t>
            </w:r>
          </w:p>
        </w:tc>
      </w:tr>
      <w:tr w:rsidR="00646DDB" w:rsidRPr="00774ECF" w:rsidTr="00195FE9">
        <w:trPr>
          <w:trHeight w:val="427"/>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1.</w:t>
            </w:r>
          </w:p>
        </w:tc>
        <w:tc>
          <w:tcPr>
            <w:tcW w:w="3057" w:type="dxa"/>
          </w:tcPr>
          <w:p w:rsidR="00646DDB" w:rsidRPr="00774ECF" w:rsidRDefault="00646DDB" w:rsidP="00D639CD">
            <w:pPr>
              <w:pStyle w:val="naisf"/>
              <w:spacing w:before="0" w:after="0"/>
              <w:ind w:left="57" w:right="57" w:firstLine="0"/>
              <w:jc w:val="left"/>
            </w:pPr>
            <w:r w:rsidRPr="00774ECF">
              <w:t xml:space="preserve">Projekta izpildē iesaistītās institūcijas </w:t>
            </w:r>
          </w:p>
        </w:tc>
        <w:tc>
          <w:tcPr>
            <w:tcW w:w="5666" w:type="dxa"/>
          </w:tcPr>
          <w:p w:rsidR="00646DDB" w:rsidRPr="00774ECF" w:rsidRDefault="00646DDB" w:rsidP="00316B66">
            <w:pPr>
              <w:pStyle w:val="naisnod"/>
              <w:spacing w:before="0" w:after="0"/>
              <w:ind w:left="57" w:right="57"/>
              <w:jc w:val="both"/>
              <w:rPr>
                <w:b w:val="0"/>
              </w:rPr>
            </w:pPr>
            <w:r w:rsidRPr="00774ECF">
              <w:rPr>
                <w:b w:val="0"/>
              </w:rPr>
              <w:t xml:space="preserve">Projekta </w:t>
            </w:r>
            <w:r w:rsidR="004E5629">
              <w:rPr>
                <w:b w:val="0"/>
              </w:rPr>
              <w:t>izpildi nodrošinās</w:t>
            </w:r>
            <w:r w:rsidRPr="00C4069B">
              <w:rPr>
                <w:b w:val="0"/>
              </w:rPr>
              <w:t xml:space="preserve"> </w:t>
            </w:r>
            <w:r w:rsidR="00C4069B" w:rsidRPr="00C4069B">
              <w:rPr>
                <w:b w:val="0"/>
              </w:rPr>
              <w:t xml:space="preserve">Latvijas Ārstu </w:t>
            </w:r>
            <w:r w:rsidR="00C4069B" w:rsidRPr="004E5629">
              <w:rPr>
                <w:b w:val="0"/>
              </w:rPr>
              <w:t>biedrība</w:t>
            </w:r>
            <w:r w:rsidR="004E5629" w:rsidRPr="004E5629">
              <w:rPr>
                <w:b w:val="0"/>
              </w:rPr>
              <w:t xml:space="preserve">, </w:t>
            </w:r>
            <w:r w:rsidR="00316B66" w:rsidRPr="004E5629">
              <w:rPr>
                <w:b w:val="0"/>
              </w:rPr>
              <w:t xml:space="preserve">Latvijas Ārstniecības personu profesionālo organizāciju savienība </w:t>
            </w:r>
            <w:r w:rsidR="00316B66">
              <w:rPr>
                <w:b w:val="0"/>
              </w:rPr>
              <w:t>un Latvijas Māsu asociācija</w:t>
            </w:r>
            <w:r w:rsidR="004E5629" w:rsidRPr="004E5629">
              <w:rPr>
                <w:b w:val="0"/>
              </w:rPr>
              <w:t>.</w:t>
            </w:r>
          </w:p>
        </w:tc>
      </w:tr>
      <w:tr w:rsidR="00646DDB" w:rsidRPr="00774ECF" w:rsidTr="00195FE9">
        <w:trPr>
          <w:trHeight w:val="463"/>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2.</w:t>
            </w:r>
          </w:p>
        </w:tc>
        <w:tc>
          <w:tcPr>
            <w:tcW w:w="3057" w:type="dxa"/>
          </w:tcPr>
          <w:p w:rsidR="00646DDB" w:rsidRPr="00774ECF" w:rsidRDefault="00646DDB" w:rsidP="00D639CD">
            <w:pPr>
              <w:pStyle w:val="naisf"/>
              <w:spacing w:before="0" w:after="0"/>
              <w:ind w:left="57" w:right="57" w:firstLine="0"/>
              <w:jc w:val="left"/>
            </w:pPr>
            <w:r w:rsidRPr="00774ECF">
              <w:t xml:space="preserve">Projekta izpildes ietekme uz pārvaldes funkcijām </w:t>
            </w:r>
          </w:p>
        </w:tc>
        <w:tc>
          <w:tcPr>
            <w:tcW w:w="5666" w:type="dxa"/>
          </w:tcPr>
          <w:p w:rsidR="00646DDB" w:rsidRPr="00B13C1A" w:rsidRDefault="00B13C1A" w:rsidP="00B1638B">
            <w:pPr>
              <w:pStyle w:val="naisnod"/>
              <w:spacing w:before="0" w:after="0"/>
              <w:ind w:left="57" w:right="57"/>
              <w:jc w:val="left"/>
              <w:rPr>
                <w:b w:val="0"/>
              </w:rPr>
            </w:pPr>
            <w:r w:rsidRPr="00B13C1A">
              <w:rPr>
                <w:b w:val="0"/>
              </w:rPr>
              <w:t>Projekts šo jomu neskar</w:t>
            </w:r>
          </w:p>
        </w:tc>
      </w:tr>
      <w:tr w:rsidR="00646DDB" w:rsidRPr="00774ECF" w:rsidTr="00195FE9">
        <w:trPr>
          <w:trHeight w:val="725"/>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3.</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Jaunu institūciju izveide</w:t>
            </w:r>
          </w:p>
        </w:tc>
        <w:tc>
          <w:tcPr>
            <w:tcW w:w="5666" w:type="dxa"/>
          </w:tcPr>
          <w:p w:rsidR="00646DDB" w:rsidRPr="00B13C1A" w:rsidRDefault="00B13C1A" w:rsidP="00D639CD">
            <w:pPr>
              <w:pStyle w:val="naisnod"/>
              <w:spacing w:before="0" w:after="0"/>
              <w:ind w:left="57" w:right="57"/>
              <w:jc w:val="left"/>
              <w:rPr>
                <w:b w:val="0"/>
              </w:rPr>
            </w:pPr>
            <w:r w:rsidRPr="00B13C1A">
              <w:rPr>
                <w:b w:val="0"/>
              </w:rPr>
              <w:t>Projekts šo jomu neskar</w:t>
            </w:r>
          </w:p>
        </w:tc>
      </w:tr>
      <w:tr w:rsidR="00646DDB" w:rsidRPr="00774ECF" w:rsidTr="00195FE9">
        <w:trPr>
          <w:trHeight w:val="780"/>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4.</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likvidācija</w:t>
            </w:r>
          </w:p>
        </w:tc>
        <w:tc>
          <w:tcPr>
            <w:tcW w:w="5666" w:type="dxa"/>
          </w:tcPr>
          <w:p w:rsidR="00646DDB" w:rsidRPr="00B13C1A" w:rsidRDefault="00B13C1A" w:rsidP="00D639CD">
            <w:pPr>
              <w:pStyle w:val="naisnod"/>
              <w:spacing w:before="0" w:after="0"/>
              <w:ind w:left="57" w:right="57"/>
              <w:jc w:val="left"/>
              <w:rPr>
                <w:b w:val="0"/>
              </w:rPr>
            </w:pPr>
            <w:r w:rsidRPr="00B13C1A">
              <w:rPr>
                <w:b w:val="0"/>
              </w:rPr>
              <w:t>Projekts šo j</w:t>
            </w:r>
            <w:r>
              <w:rPr>
                <w:b w:val="0"/>
              </w:rPr>
              <w:t>omu neskar</w:t>
            </w:r>
          </w:p>
        </w:tc>
      </w:tr>
      <w:tr w:rsidR="00646DDB" w:rsidRPr="00774ECF" w:rsidTr="00195FE9">
        <w:trPr>
          <w:trHeight w:val="703"/>
          <w:jc w:val="center"/>
        </w:trPr>
        <w:tc>
          <w:tcPr>
            <w:tcW w:w="814" w:type="dxa"/>
          </w:tcPr>
          <w:p w:rsidR="00646DDB" w:rsidRPr="00774ECF" w:rsidRDefault="00646DDB" w:rsidP="00D639CD">
            <w:pPr>
              <w:pStyle w:val="naisnod"/>
              <w:spacing w:before="0" w:after="0"/>
              <w:ind w:left="57" w:right="57"/>
              <w:jc w:val="left"/>
              <w:rPr>
                <w:b w:val="0"/>
              </w:rPr>
            </w:pPr>
            <w:r w:rsidRPr="00774ECF">
              <w:rPr>
                <w:b w:val="0"/>
              </w:rPr>
              <w:t>5.</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reorganizācija</w:t>
            </w:r>
          </w:p>
        </w:tc>
        <w:tc>
          <w:tcPr>
            <w:tcW w:w="5666" w:type="dxa"/>
          </w:tcPr>
          <w:p w:rsidR="00646DDB" w:rsidRPr="00B13C1A" w:rsidRDefault="00B13C1A" w:rsidP="00D639CD">
            <w:pPr>
              <w:pStyle w:val="naisnod"/>
              <w:spacing w:before="0" w:after="0"/>
              <w:ind w:left="57" w:right="57"/>
              <w:jc w:val="both"/>
              <w:rPr>
                <w:b w:val="0"/>
              </w:rPr>
            </w:pPr>
            <w:r w:rsidRPr="00B13C1A">
              <w:rPr>
                <w:b w:val="0"/>
              </w:rPr>
              <w:t>Projekts šo jomu neskar</w:t>
            </w:r>
          </w:p>
        </w:tc>
      </w:tr>
      <w:tr w:rsidR="00646DDB" w:rsidRPr="00774ECF" w:rsidTr="00195FE9">
        <w:trPr>
          <w:trHeight w:val="476"/>
          <w:jc w:val="center"/>
        </w:trPr>
        <w:tc>
          <w:tcPr>
            <w:tcW w:w="814" w:type="dxa"/>
          </w:tcPr>
          <w:p w:rsidR="00646DDB" w:rsidRPr="00774ECF" w:rsidRDefault="00646DDB" w:rsidP="00D639CD">
            <w:pPr>
              <w:pStyle w:val="naiskr"/>
              <w:spacing w:before="0" w:after="0"/>
              <w:ind w:left="57" w:right="57"/>
            </w:pPr>
            <w:r w:rsidRPr="00774ECF">
              <w:lastRenderedPageBreak/>
              <w:t>6.</w:t>
            </w:r>
          </w:p>
        </w:tc>
        <w:tc>
          <w:tcPr>
            <w:tcW w:w="3057" w:type="dxa"/>
          </w:tcPr>
          <w:p w:rsidR="00646DDB" w:rsidRPr="00774ECF" w:rsidRDefault="00646DDB" w:rsidP="00D639CD">
            <w:pPr>
              <w:pStyle w:val="naiskr"/>
              <w:spacing w:before="0" w:after="0"/>
              <w:ind w:left="57" w:right="57"/>
            </w:pPr>
            <w:r w:rsidRPr="00774ECF">
              <w:t>Cita informācija</w:t>
            </w:r>
          </w:p>
        </w:tc>
        <w:tc>
          <w:tcPr>
            <w:tcW w:w="5666" w:type="dxa"/>
          </w:tcPr>
          <w:p w:rsidR="00646DDB" w:rsidRPr="00774ECF" w:rsidRDefault="00646DDB" w:rsidP="00D639CD">
            <w:pPr>
              <w:pStyle w:val="naiskr"/>
              <w:spacing w:before="0" w:after="0"/>
              <w:ind w:left="57" w:right="57"/>
            </w:pPr>
            <w:r w:rsidRPr="00774ECF">
              <w:t>Nav</w:t>
            </w:r>
          </w:p>
        </w:tc>
      </w:tr>
    </w:tbl>
    <w:p w:rsidR="00195FE9" w:rsidRDefault="00195FE9" w:rsidP="00316B66">
      <w:pPr>
        <w:pStyle w:val="naisf"/>
        <w:tabs>
          <w:tab w:val="left" w:pos="5760"/>
        </w:tabs>
        <w:spacing w:before="0" w:after="0"/>
        <w:ind w:firstLine="0"/>
        <w:rPr>
          <w:sz w:val="28"/>
          <w:szCs w:val="28"/>
        </w:rPr>
      </w:pPr>
    </w:p>
    <w:p w:rsidR="00316B66" w:rsidRDefault="00316B66" w:rsidP="00316B66">
      <w:pPr>
        <w:pStyle w:val="naisf"/>
        <w:tabs>
          <w:tab w:val="left" w:pos="5760"/>
        </w:tabs>
        <w:spacing w:before="0" w:after="0"/>
        <w:ind w:firstLine="0"/>
        <w:rPr>
          <w:sz w:val="28"/>
          <w:szCs w:val="28"/>
        </w:rPr>
      </w:pPr>
    </w:p>
    <w:p w:rsidR="003413BE" w:rsidRPr="00F6439B" w:rsidRDefault="003413BE" w:rsidP="00316B66">
      <w:pPr>
        <w:pStyle w:val="naisf"/>
        <w:tabs>
          <w:tab w:val="left" w:pos="5760"/>
        </w:tabs>
        <w:spacing w:before="0" w:after="0"/>
        <w:ind w:firstLine="0"/>
        <w:rPr>
          <w:sz w:val="28"/>
          <w:szCs w:val="28"/>
        </w:rPr>
      </w:pPr>
    </w:p>
    <w:p w:rsidR="004C0C0C" w:rsidRDefault="00B13C1A" w:rsidP="00316B66">
      <w:pPr>
        <w:pStyle w:val="Footer"/>
        <w:jc w:val="center"/>
        <w:rPr>
          <w:sz w:val="28"/>
          <w:szCs w:val="28"/>
        </w:rPr>
      </w:pPr>
      <w:r>
        <w:rPr>
          <w:sz w:val="28"/>
          <w:szCs w:val="28"/>
        </w:rPr>
        <w:t>Veselības ministre</w:t>
      </w:r>
      <w:r w:rsidR="004C0C0C">
        <w:rPr>
          <w:sz w:val="28"/>
          <w:szCs w:val="28"/>
        </w:rPr>
        <w:t xml:space="preserve">                            </w:t>
      </w:r>
      <w:r>
        <w:rPr>
          <w:sz w:val="28"/>
          <w:szCs w:val="28"/>
        </w:rPr>
        <w:t xml:space="preserve">                           </w:t>
      </w:r>
      <w:r>
        <w:rPr>
          <w:sz w:val="28"/>
          <w:szCs w:val="28"/>
        </w:rPr>
        <w:tab/>
        <w:t xml:space="preserve">   </w:t>
      </w:r>
      <w:proofErr w:type="spellStart"/>
      <w:r>
        <w:rPr>
          <w:sz w:val="28"/>
          <w:szCs w:val="28"/>
        </w:rPr>
        <w:t>I.Circene</w:t>
      </w:r>
      <w:proofErr w:type="spellEnd"/>
    </w:p>
    <w:p w:rsidR="00646DDB" w:rsidRPr="00316B66" w:rsidRDefault="005E323B" w:rsidP="004C2555">
      <w:pPr>
        <w:jc w:val="both"/>
        <w:rPr>
          <w:b/>
          <w:sz w:val="28"/>
          <w:szCs w:val="28"/>
        </w:rPr>
      </w:pPr>
      <w:r w:rsidRPr="00316B66">
        <w:rPr>
          <w:b/>
          <w:sz w:val="28"/>
          <w:szCs w:val="28"/>
        </w:rPr>
        <w:tab/>
      </w:r>
    </w:p>
    <w:p w:rsidR="002A37B0" w:rsidRDefault="002A37B0" w:rsidP="00646DDB">
      <w:pPr>
        <w:suppressAutoHyphens/>
      </w:pPr>
    </w:p>
    <w:p w:rsidR="00195FE9" w:rsidRDefault="00195FE9" w:rsidP="00646DDB">
      <w:pPr>
        <w:suppressAutoHyphens/>
      </w:pPr>
    </w:p>
    <w:p w:rsidR="00195FE9" w:rsidRDefault="00195FE9" w:rsidP="00646DDB">
      <w:pPr>
        <w:suppressAutoHyphens/>
      </w:pPr>
    </w:p>
    <w:p w:rsidR="00646DDB" w:rsidRPr="00774ECF" w:rsidRDefault="00646DDB" w:rsidP="00646DDB">
      <w:pPr>
        <w:suppressAutoHyphens/>
      </w:pPr>
    </w:p>
    <w:p w:rsidR="00787DC4" w:rsidRDefault="00787DC4" w:rsidP="00774ECF">
      <w:pPr>
        <w:suppressAutoHyphens/>
        <w:rPr>
          <w:sz w:val="22"/>
          <w:szCs w:val="22"/>
        </w:rPr>
      </w:pPr>
      <w:bookmarkStart w:id="8" w:name="OLE_LINK9"/>
      <w:bookmarkStart w:id="9" w:name="OLE_LINK10"/>
      <w:r>
        <w:rPr>
          <w:sz w:val="22"/>
          <w:szCs w:val="22"/>
        </w:rPr>
        <w:t xml:space="preserve">04.09.2012    </w:t>
      </w:r>
      <w:r w:rsidR="00186E68">
        <w:rPr>
          <w:sz w:val="22"/>
          <w:szCs w:val="22"/>
        </w:rPr>
        <w:t>11:32</w:t>
      </w:r>
    </w:p>
    <w:p w:rsidR="00F6439B" w:rsidRPr="00360488" w:rsidRDefault="00FC0E16" w:rsidP="00774ECF">
      <w:pPr>
        <w:suppressAutoHyphens/>
        <w:rPr>
          <w:sz w:val="22"/>
          <w:szCs w:val="22"/>
        </w:rPr>
      </w:pPr>
      <w:r>
        <w:rPr>
          <w:sz w:val="22"/>
          <w:szCs w:val="22"/>
        </w:rPr>
        <w:t>2393</w:t>
      </w:r>
    </w:p>
    <w:p w:rsidR="00646DDB" w:rsidRPr="00360488" w:rsidRDefault="00B13C1A" w:rsidP="00774ECF">
      <w:pPr>
        <w:suppressAutoHyphens/>
        <w:rPr>
          <w:sz w:val="22"/>
          <w:szCs w:val="22"/>
        </w:rPr>
      </w:pPr>
      <w:r>
        <w:rPr>
          <w:sz w:val="22"/>
          <w:szCs w:val="22"/>
        </w:rPr>
        <w:t>Ž.Zvaigzne</w:t>
      </w:r>
    </w:p>
    <w:p w:rsidR="0095487B" w:rsidRPr="004C2555" w:rsidRDefault="00B13C1A" w:rsidP="004C2555">
      <w:pPr>
        <w:suppressAutoHyphens/>
        <w:rPr>
          <w:sz w:val="22"/>
          <w:szCs w:val="22"/>
        </w:rPr>
      </w:pPr>
      <w:r>
        <w:rPr>
          <w:sz w:val="22"/>
          <w:szCs w:val="22"/>
        </w:rPr>
        <w:t>67876041</w:t>
      </w:r>
      <w:r w:rsidR="00F6439B" w:rsidRPr="00360488">
        <w:rPr>
          <w:sz w:val="22"/>
          <w:szCs w:val="22"/>
        </w:rPr>
        <w:t xml:space="preserve">, </w:t>
      </w:r>
      <w:r>
        <w:rPr>
          <w:sz w:val="22"/>
          <w:szCs w:val="22"/>
        </w:rPr>
        <w:t>Zanete.Zvaigzne</w:t>
      </w:r>
      <w:r w:rsidR="00774ECF" w:rsidRPr="00360488">
        <w:rPr>
          <w:sz w:val="22"/>
          <w:szCs w:val="22"/>
        </w:rPr>
        <w:t>@v</w:t>
      </w:r>
      <w:r w:rsidR="00646DDB" w:rsidRPr="00360488">
        <w:rPr>
          <w:sz w:val="22"/>
          <w:szCs w:val="22"/>
        </w:rPr>
        <w:t>m.gov.lv</w:t>
      </w:r>
      <w:bookmarkEnd w:id="8"/>
      <w:bookmarkEnd w:id="9"/>
    </w:p>
    <w:sectPr w:rsidR="0095487B" w:rsidRPr="004C2555" w:rsidSect="00D639CD">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AA" w:rsidRDefault="008F45AA" w:rsidP="000B5C6F">
      <w:r>
        <w:separator/>
      </w:r>
    </w:p>
  </w:endnote>
  <w:endnote w:type="continuationSeparator" w:id="0">
    <w:p w:rsidR="008F45AA" w:rsidRDefault="008F45AA" w:rsidP="000B5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AA" w:rsidRPr="00E26689" w:rsidRDefault="00787DC4" w:rsidP="00E26689">
    <w:pPr>
      <w:jc w:val="both"/>
      <w:rPr>
        <w:sz w:val="22"/>
        <w:szCs w:val="22"/>
      </w:rPr>
    </w:pPr>
    <w:r>
      <w:rPr>
        <w:sz w:val="22"/>
        <w:szCs w:val="22"/>
      </w:rPr>
      <w:t>VMAnot_0409</w:t>
    </w:r>
    <w:r w:rsidR="008F45AA">
      <w:rPr>
        <w:sz w:val="22"/>
        <w:szCs w:val="22"/>
      </w:rPr>
      <w:t xml:space="preserve">12_cenr; Ministru kabineta noteikumu </w:t>
    </w:r>
    <w:r w:rsidR="008F45AA" w:rsidRPr="00810319">
      <w:rPr>
        <w:bCs/>
        <w:sz w:val="22"/>
        <w:szCs w:val="22"/>
      </w:rPr>
      <w:t>„Noteikumi par ārstniecības personu</w:t>
    </w:r>
    <w:r w:rsidR="008F45AA">
      <w:rPr>
        <w:bCs/>
        <w:sz w:val="22"/>
        <w:szCs w:val="22"/>
      </w:rPr>
      <w:t xml:space="preserve"> un ārstniecības atbalsta personu </w:t>
    </w:r>
    <w:r w:rsidR="008F45AA" w:rsidRPr="00810319">
      <w:rPr>
        <w:bCs/>
        <w:sz w:val="22"/>
        <w:szCs w:val="22"/>
      </w:rPr>
      <w:t xml:space="preserve"> profesionālo zināšanu pārbaudes, sertifikāta noformēšanas, reģistrēšanas un tā dublikāta izgatavoš</w:t>
    </w:r>
    <w:r w:rsidR="008F45AA">
      <w:rPr>
        <w:bCs/>
        <w:sz w:val="22"/>
        <w:szCs w:val="22"/>
      </w:rPr>
      <w:t>anas maksas pakalpojumu cenrādi</w:t>
    </w:r>
    <w:r w:rsidR="008F45AA" w:rsidRPr="00536A45">
      <w:rPr>
        <w:sz w:val="22"/>
        <w:szCs w:val="22"/>
      </w:rPr>
      <w:t xml:space="preserve">” </w:t>
    </w:r>
    <w:r w:rsidR="008F45AA">
      <w:rPr>
        <w:sz w:val="22"/>
        <w:szCs w:val="22"/>
      </w:rPr>
      <w:t xml:space="preserve">projekta </w:t>
    </w:r>
    <w:r w:rsidR="008F45AA" w:rsidRPr="00536A45">
      <w:rPr>
        <w:sz w:val="22"/>
        <w:szCs w:val="22"/>
      </w:rPr>
      <w:t xml:space="preserve">sākotnējās </w:t>
    </w:r>
    <w:r w:rsidR="008F45AA">
      <w:rPr>
        <w:sz w:val="22"/>
        <w:szCs w:val="22"/>
      </w:rPr>
      <w:t>(</w:t>
    </w:r>
    <w:proofErr w:type="spellStart"/>
    <w:r w:rsidR="008F45AA">
      <w:rPr>
        <w:sz w:val="22"/>
        <w:szCs w:val="22"/>
      </w:rPr>
      <w:t>ex-ante</w:t>
    </w:r>
    <w:proofErr w:type="spellEnd"/>
    <w:r w:rsidR="008F45AA">
      <w:rPr>
        <w:sz w:val="22"/>
        <w:szCs w:val="22"/>
      </w:rPr>
      <w:t xml:space="preserve">) </w:t>
    </w:r>
    <w:r w:rsidR="008F45AA" w:rsidRPr="00536A45">
      <w:rPr>
        <w:sz w:val="22"/>
        <w:szCs w:val="22"/>
      </w:rPr>
      <w:t xml:space="preserve">ietekmes novērtējuma ziņojums </w:t>
    </w:r>
    <w:r w:rsidR="008F45AA">
      <w:rPr>
        <w:sz w:val="22"/>
        <w:szCs w:val="22"/>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AA" w:rsidRPr="00536A45" w:rsidRDefault="00787DC4" w:rsidP="00536A45">
    <w:pPr>
      <w:jc w:val="both"/>
      <w:rPr>
        <w:sz w:val="22"/>
        <w:szCs w:val="22"/>
      </w:rPr>
    </w:pPr>
    <w:r>
      <w:rPr>
        <w:sz w:val="22"/>
        <w:szCs w:val="22"/>
      </w:rPr>
      <w:t>VMAnot_0409</w:t>
    </w:r>
    <w:r w:rsidR="008F45AA">
      <w:rPr>
        <w:sz w:val="22"/>
        <w:szCs w:val="22"/>
      </w:rPr>
      <w:t xml:space="preserve">12_cenr; </w:t>
    </w:r>
    <w:bookmarkStart w:id="10" w:name="OLE_LINK24"/>
    <w:bookmarkStart w:id="11" w:name="OLE_LINK25"/>
    <w:bookmarkStart w:id="12" w:name="_Hlk312317967"/>
    <w:bookmarkStart w:id="13" w:name="OLE_LINK11"/>
    <w:r w:rsidR="008F45AA">
      <w:rPr>
        <w:sz w:val="22"/>
        <w:szCs w:val="22"/>
      </w:rPr>
      <w:t xml:space="preserve">Ministru kabineta noteikumu </w:t>
    </w:r>
    <w:r w:rsidR="008F45AA" w:rsidRPr="00810319">
      <w:rPr>
        <w:bCs/>
        <w:sz w:val="22"/>
        <w:szCs w:val="22"/>
      </w:rPr>
      <w:t>„Noteikumi par ārstniecības personu</w:t>
    </w:r>
    <w:r w:rsidR="008F45AA">
      <w:rPr>
        <w:bCs/>
        <w:sz w:val="22"/>
        <w:szCs w:val="22"/>
      </w:rPr>
      <w:t xml:space="preserve"> un ārstniecības atbalsta personu </w:t>
    </w:r>
    <w:r w:rsidR="008F45AA" w:rsidRPr="00810319">
      <w:rPr>
        <w:bCs/>
        <w:sz w:val="22"/>
        <w:szCs w:val="22"/>
      </w:rPr>
      <w:t xml:space="preserve"> profesionālo zināšanu pārbaudes, sertifikāta noformēšanas, reģistrēšanas un tā dublikāta izgatavoš</w:t>
    </w:r>
    <w:r w:rsidR="008F45AA">
      <w:rPr>
        <w:bCs/>
        <w:sz w:val="22"/>
        <w:szCs w:val="22"/>
      </w:rPr>
      <w:t>anas maksas pakalpojumu cenrādi</w:t>
    </w:r>
    <w:r w:rsidR="008F45AA" w:rsidRPr="00536A45">
      <w:rPr>
        <w:sz w:val="22"/>
        <w:szCs w:val="22"/>
      </w:rPr>
      <w:t xml:space="preserve">” </w:t>
    </w:r>
    <w:r w:rsidR="008F45AA">
      <w:rPr>
        <w:sz w:val="22"/>
        <w:szCs w:val="22"/>
      </w:rPr>
      <w:t xml:space="preserve">projekta </w:t>
    </w:r>
    <w:r w:rsidR="008F45AA" w:rsidRPr="00536A45">
      <w:rPr>
        <w:sz w:val="22"/>
        <w:szCs w:val="22"/>
      </w:rPr>
      <w:t xml:space="preserve">sākotnējās </w:t>
    </w:r>
    <w:r w:rsidR="008F45AA">
      <w:rPr>
        <w:sz w:val="22"/>
        <w:szCs w:val="22"/>
      </w:rPr>
      <w:t>(</w:t>
    </w:r>
    <w:proofErr w:type="spellStart"/>
    <w:r w:rsidR="008F45AA">
      <w:rPr>
        <w:sz w:val="22"/>
        <w:szCs w:val="22"/>
      </w:rPr>
      <w:t>ex-ante</w:t>
    </w:r>
    <w:proofErr w:type="spellEnd"/>
    <w:r w:rsidR="008F45AA">
      <w:rPr>
        <w:sz w:val="22"/>
        <w:szCs w:val="22"/>
      </w:rPr>
      <w:t xml:space="preserve">) </w:t>
    </w:r>
    <w:r w:rsidR="008F45AA" w:rsidRPr="00536A45">
      <w:rPr>
        <w:sz w:val="22"/>
        <w:szCs w:val="22"/>
      </w:rPr>
      <w:t xml:space="preserve">ietekmes novērtējuma ziņojums </w:t>
    </w:r>
    <w:r w:rsidR="008F45AA">
      <w:rPr>
        <w:sz w:val="22"/>
        <w:szCs w:val="22"/>
      </w:rPr>
      <w:t>(anotācija)</w:t>
    </w:r>
    <w:bookmarkEnd w:id="10"/>
    <w:bookmarkEnd w:id="11"/>
    <w:bookmarkEnd w:id="12"/>
    <w:bookmarkEnd w:id="1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AA" w:rsidRDefault="008F45AA" w:rsidP="000B5C6F">
      <w:r>
        <w:separator/>
      </w:r>
    </w:p>
  </w:footnote>
  <w:footnote w:type="continuationSeparator" w:id="0">
    <w:p w:rsidR="008F45AA" w:rsidRDefault="008F45AA" w:rsidP="000B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AA" w:rsidRDefault="0032257E" w:rsidP="00D639CD">
    <w:pPr>
      <w:pStyle w:val="Header"/>
      <w:framePr w:wrap="around" w:vAnchor="text" w:hAnchor="margin" w:xAlign="center" w:y="1"/>
      <w:rPr>
        <w:rStyle w:val="PageNumber"/>
      </w:rPr>
    </w:pPr>
    <w:r>
      <w:rPr>
        <w:rStyle w:val="PageNumber"/>
      </w:rPr>
      <w:fldChar w:fldCharType="begin"/>
    </w:r>
    <w:r w:rsidR="008F45AA">
      <w:rPr>
        <w:rStyle w:val="PageNumber"/>
      </w:rPr>
      <w:instrText xml:space="preserve">PAGE  </w:instrText>
    </w:r>
    <w:r>
      <w:rPr>
        <w:rStyle w:val="PageNumber"/>
      </w:rPr>
      <w:fldChar w:fldCharType="end"/>
    </w:r>
  </w:p>
  <w:p w:rsidR="008F45AA" w:rsidRDefault="008F45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AA" w:rsidRPr="00195FE9" w:rsidRDefault="0032257E" w:rsidP="00D639CD">
    <w:pPr>
      <w:pStyle w:val="Header"/>
      <w:framePr w:wrap="around" w:vAnchor="text" w:hAnchor="margin" w:xAlign="center" w:y="1"/>
      <w:rPr>
        <w:rStyle w:val="PageNumber"/>
        <w:sz w:val="22"/>
        <w:szCs w:val="22"/>
      </w:rPr>
    </w:pPr>
    <w:r w:rsidRPr="00195FE9">
      <w:rPr>
        <w:rStyle w:val="PageNumber"/>
        <w:sz w:val="22"/>
        <w:szCs w:val="22"/>
      </w:rPr>
      <w:fldChar w:fldCharType="begin"/>
    </w:r>
    <w:r w:rsidR="008F45AA" w:rsidRPr="00195FE9">
      <w:rPr>
        <w:rStyle w:val="PageNumber"/>
        <w:sz w:val="22"/>
        <w:szCs w:val="22"/>
      </w:rPr>
      <w:instrText xml:space="preserve">PAGE  </w:instrText>
    </w:r>
    <w:r w:rsidRPr="00195FE9">
      <w:rPr>
        <w:rStyle w:val="PageNumber"/>
        <w:sz w:val="22"/>
        <w:szCs w:val="22"/>
      </w:rPr>
      <w:fldChar w:fldCharType="separate"/>
    </w:r>
    <w:r w:rsidR="00FC0E16">
      <w:rPr>
        <w:rStyle w:val="PageNumber"/>
        <w:noProof/>
        <w:sz w:val="22"/>
        <w:szCs w:val="22"/>
      </w:rPr>
      <w:t>9</w:t>
    </w:r>
    <w:r w:rsidRPr="00195FE9">
      <w:rPr>
        <w:rStyle w:val="PageNumber"/>
        <w:sz w:val="22"/>
        <w:szCs w:val="22"/>
      </w:rPr>
      <w:fldChar w:fldCharType="end"/>
    </w:r>
  </w:p>
  <w:p w:rsidR="008F45AA" w:rsidRDefault="008F4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2B2209"/>
    <w:multiLevelType w:val="hybridMultilevel"/>
    <w:tmpl w:val="FA985300"/>
    <w:lvl w:ilvl="0" w:tplc="046C14E6">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9F1287"/>
    <w:multiLevelType w:val="hybridMultilevel"/>
    <w:tmpl w:val="24149554"/>
    <w:lvl w:ilvl="0" w:tplc="046C14E6">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D0712"/>
    <w:multiLevelType w:val="hybridMultilevel"/>
    <w:tmpl w:val="945C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821E4"/>
    <w:multiLevelType w:val="hybridMultilevel"/>
    <w:tmpl w:val="945CF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93B28"/>
    <w:multiLevelType w:val="hybridMultilevel"/>
    <w:tmpl w:val="B5BA1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11"/>
  </w:num>
  <w:num w:numId="4">
    <w:abstractNumId w:val="2"/>
  </w:num>
  <w:num w:numId="5">
    <w:abstractNumId w:val="5"/>
  </w:num>
  <w:num w:numId="6">
    <w:abstractNumId w:val="10"/>
  </w:num>
  <w:num w:numId="7">
    <w:abstractNumId w:val="9"/>
  </w:num>
  <w:num w:numId="8">
    <w:abstractNumId w:val="4"/>
  </w:num>
  <w:num w:numId="9">
    <w:abstractNumId w:val="6"/>
  </w:num>
  <w:num w:numId="10">
    <w:abstractNumId w:val="3"/>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6DDB"/>
    <w:rsid w:val="00004239"/>
    <w:rsid w:val="00010380"/>
    <w:rsid w:val="00012094"/>
    <w:rsid w:val="000445EB"/>
    <w:rsid w:val="00045AF4"/>
    <w:rsid w:val="000643B3"/>
    <w:rsid w:val="00075FE9"/>
    <w:rsid w:val="000760AC"/>
    <w:rsid w:val="000A7490"/>
    <w:rsid w:val="000B5106"/>
    <w:rsid w:val="000B5C6F"/>
    <w:rsid w:val="000C37EF"/>
    <w:rsid w:val="000C474F"/>
    <w:rsid w:val="000C5706"/>
    <w:rsid w:val="000E3265"/>
    <w:rsid w:val="000F0C1D"/>
    <w:rsid w:val="000F409C"/>
    <w:rsid w:val="000F7E27"/>
    <w:rsid w:val="001040FC"/>
    <w:rsid w:val="0010794A"/>
    <w:rsid w:val="00127A95"/>
    <w:rsid w:val="00135721"/>
    <w:rsid w:val="001407AB"/>
    <w:rsid w:val="00181B32"/>
    <w:rsid w:val="00186E68"/>
    <w:rsid w:val="001878CA"/>
    <w:rsid w:val="001929B0"/>
    <w:rsid w:val="00195FE9"/>
    <w:rsid w:val="001D191B"/>
    <w:rsid w:val="001D4D55"/>
    <w:rsid w:val="001E58C2"/>
    <w:rsid w:val="001F5D42"/>
    <w:rsid w:val="00213C6D"/>
    <w:rsid w:val="00214BF6"/>
    <w:rsid w:val="00215301"/>
    <w:rsid w:val="002167CF"/>
    <w:rsid w:val="00216AFF"/>
    <w:rsid w:val="002243D8"/>
    <w:rsid w:val="00226BB5"/>
    <w:rsid w:val="00237C76"/>
    <w:rsid w:val="00240542"/>
    <w:rsid w:val="002413B7"/>
    <w:rsid w:val="00246A79"/>
    <w:rsid w:val="00270C36"/>
    <w:rsid w:val="00274565"/>
    <w:rsid w:val="0027657C"/>
    <w:rsid w:val="00280C2F"/>
    <w:rsid w:val="0028608B"/>
    <w:rsid w:val="00296798"/>
    <w:rsid w:val="002A37B0"/>
    <w:rsid w:val="002A6264"/>
    <w:rsid w:val="002B2890"/>
    <w:rsid w:val="002D188C"/>
    <w:rsid w:val="002D589E"/>
    <w:rsid w:val="002D7209"/>
    <w:rsid w:val="002E25B0"/>
    <w:rsid w:val="00316B66"/>
    <w:rsid w:val="0032257E"/>
    <w:rsid w:val="003413BE"/>
    <w:rsid w:val="00354FC5"/>
    <w:rsid w:val="00360488"/>
    <w:rsid w:val="003741B2"/>
    <w:rsid w:val="0037648E"/>
    <w:rsid w:val="00390044"/>
    <w:rsid w:val="00390B94"/>
    <w:rsid w:val="00395DE8"/>
    <w:rsid w:val="003A7948"/>
    <w:rsid w:val="003B67A8"/>
    <w:rsid w:val="003B7BD2"/>
    <w:rsid w:val="003C0710"/>
    <w:rsid w:val="003C0F95"/>
    <w:rsid w:val="003D0570"/>
    <w:rsid w:val="003D7265"/>
    <w:rsid w:val="003E02EA"/>
    <w:rsid w:val="003F2C2D"/>
    <w:rsid w:val="003F3FBD"/>
    <w:rsid w:val="004401D5"/>
    <w:rsid w:val="0045420F"/>
    <w:rsid w:val="00456A26"/>
    <w:rsid w:val="004677AD"/>
    <w:rsid w:val="00473D2D"/>
    <w:rsid w:val="00483718"/>
    <w:rsid w:val="0049634E"/>
    <w:rsid w:val="004B0D7F"/>
    <w:rsid w:val="004C0C0C"/>
    <w:rsid w:val="004C2555"/>
    <w:rsid w:val="004C29A2"/>
    <w:rsid w:val="004D25DE"/>
    <w:rsid w:val="004D62A0"/>
    <w:rsid w:val="004E5629"/>
    <w:rsid w:val="004F0324"/>
    <w:rsid w:val="00501540"/>
    <w:rsid w:val="00505070"/>
    <w:rsid w:val="00506EAC"/>
    <w:rsid w:val="005117BD"/>
    <w:rsid w:val="00511C15"/>
    <w:rsid w:val="00511C6D"/>
    <w:rsid w:val="0052684B"/>
    <w:rsid w:val="00536A45"/>
    <w:rsid w:val="00541590"/>
    <w:rsid w:val="00545D75"/>
    <w:rsid w:val="0055209A"/>
    <w:rsid w:val="00557CBD"/>
    <w:rsid w:val="00560B41"/>
    <w:rsid w:val="00570F85"/>
    <w:rsid w:val="00572B5E"/>
    <w:rsid w:val="00573F3F"/>
    <w:rsid w:val="00574B73"/>
    <w:rsid w:val="00575884"/>
    <w:rsid w:val="005A0638"/>
    <w:rsid w:val="005C193F"/>
    <w:rsid w:val="005C7E03"/>
    <w:rsid w:val="005D19C2"/>
    <w:rsid w:val="005D369B"/>
    <w:rsid w:val="005E0984"/>
    <w:rsid w:val="005E323B"/>
    <w:rsid w:val="005E5C47"/>
    <w:rsid w:val="00606E06"/>
    <w:rsid w:val="006360A0"/>
    <w:rsid w:val="00646DDB"/>
    <w:rsid w:val="006714E9"/>
    <w:rsid w:val="00673DDB"/>
    <w:rsid w:val="00676C09"/>
    <w:rsid w:val="0068431F"/>
    <w:rsid w:val="00686737"/>
    <w:rsid w:val="00695E3B"/>
    <w:rsid w:val="006A4280"/>
    <w:rsid w:val="006A6BD6"/>
    <w:rsid w:val="006B2F26"/>
    <w:rsid w:val="006C3FDE"/>
    <w:rsid w:val="006D2DF6"/>
    <w:rsid w:val="006D6EF9"/>
    <w:rsid w:val="006D744C"/>
    <w:rsid w:val="006F0294"/>
    <w:rsid w:val="00700005"/>
    <w:rsid w:val="00701092"/>
    <w:rsid w:val="00703AEE"/>
    <w:rsid w:val="00705AD8"/>
    <w:rsid w:val="0070700E"/>
    <w:rsid w:val="00743361"/>
    <w:rsid w:val="00744EC6"/>
    <w:rsid w:val="00752327"/>
    <w:rsid w:val="00754375"/>
    <w:rsid w:val="00755FB1"/>
    <w:rsid w:val="0076233A"/>
    <w:rsid w:val="007626D4"/>
    <w:rsid w:val="00764D20"/>
    <w:rsid w:val="007659AE"/>
    <w:rsid w:val="0077130F"/>
    <w:rsid w:val="00774ECF"/>
    <w:rsid w:val="0077671C"/>
    <w:rsid w:val="00787DC4"/>
    <w:rsid w:val="007950DD"/>
    <w:rsid w:val="00797EBC"/>
    <w:rsid w:val="007A0BFC"/>
    <w:rsid w:val="007B054B"/>
    <w:rsid w:val="007B3A29"/>
    <w:rsid w:val="007C2679"/>
    <w:rsid w:val="007C30AB"/>
    <w:rsid w:val="007C60EA"/>
    <w:rsid w:val="007E3A8B"/>
    <w:rsid w:val="007E3C5B"/>
    <w:rsid w:val="007F2505"/>
    <w:rsid w:val="007F311E"/>
    <w:rsid w:val="007F4197"/>
    <w:rsid w:val="00813311"/>
    <w:rsid w:val="0082741F"/>
    <w:rsid w:val="00831B92"/>
    <w:rsid w:val="0083659B"/>
    <w:rsid w:val="00843DE9"/>
    <w:rsid w:val="00855E80"/>
    <w:rsid w:val="00860BE8"/>
    <w:rsid w:val="00860DA3"/>
    <w:rsid w:val="0086640A"/>
    <w:rsid w:val="00866910"/>
    <w:rsid w:val="0087279F"/>
    <w:rsid w:val="0087446B"/>
    <w:rsid w:val="008747A8"/>
    <w:rsid w:val="00886B41"/>
    <w:rsid w:val="00891C80"/>
    <w:rsid w:val="008B204D"/>
    <w:rsid w:val="008C6A6C"/>
    <w:rsid w:val="008D08A0"/>
    <w:rsid w:val="008D5495"/>
    <w:rsid w:val="008D5826"/>
    <w:rsid w:val="008E21B8"/>
    <w:rsid w:val="008E5C08"/>
    <w:rsid w:val="008F01A6"/>
    <w:rsid w:val="008F45AA"/>
    <w:rsid w:val="00906254"/>
    <w:rsid w:val="00907840"/>
    <w:rsid w:val="00947007"/>
    <w:rsid w:val="0095487B"/>
    <w:rsid w:val="00967BBC"/>
    <w:rsid w:val="00981DC8"/>
    <w:rsid w:val="00987348"/>
    <w:rsid w:val="00990A43"/>
    <w:rsid w:val="00992A2E"/>
    <w:rsid w:val="009C704F"/>
    <w:rsid w:val="00A108DB"/>
    <w:rsid w:val="00A10E55"/>
    <w:rsid w:val="00A25A76"/>
    <w:rsid w:val="00A43A21"/>
    <w:rsid w:val="00A52059"/>
    <w:rsid w:val="00A5360E"/>
    <w:rsid w:val="00A7068C"/>
    <w:rsid w:val="00A747C5"/>
    <w:rsid w:val="00A755B3"/>
    <w:rsid w:val="00A86499"/>
    <w:rsid w:val="00AA1397"/>
    <w:rsid w:val="00AA2541"/>
    <w:rsid w:val="00AA3D5D"/>
    <w:rsid w:val="00AA3DA3"/>
    <w:rsid w:val="00AB56C7"/>
    <w:rsid w:val="00AB6308"/>
    <w:rsid w:val="00AB7A96"/>
    <w:rsid w:val="00AC0E70"/>
    <w:rsid w:val="00AC4DFF"/>
    <w:rsid w:val="00AE551F"/>
    <w:rsid w:val="00AE6CB6"/>
    <w:rsid w:val="00B00016"/>
    <w:rsid w:val="00B000C0"/>
    <w:rsid w:val="00B13C17"/>
    <w:rsid w:val="00B13C1A"/>
    <w:rsid w:val="00B1638B"/>
    <w:rsid w:val="00B1730A"/>
    <w:rsid w:val="00B32446"/>
    <w:rsid w:val="00B430C3"/>
    <w:rsid w:val="00B61981"/>
    <w:rsid w:val="00B77EED"/>
    <w:rsid w:val="00B83048"/>
    <w:rsid w:val="00B8679A"/>
    <w:rsid w:val="00BB2871"/>
    <w:rsid w:val="00BC00BF"/>
    <w:rsid w:val="00BD1CBE"/>
    <w:rsid w:val="00BF2BAD"/>
    <w:rsid w:val="00C13012"/>
    <w:rsid w:val="00C153F8"/>
    <w:rsid w:val="00C15A92"/>
    <w:rsid w:val="00C214C7"/>
    <w:rsid w:val="00C308DF"/>
    <w:rsid w:val="00C4069B"/>
    <w:rsid w:val="00C47120"/>
    <w:rsid w:val="00C55C48"/>
    <w:rsid w:val="00C93957"/>
    <w:rsid w:val="00C93AD7"/>
    <w:rsid w:val="00C975D8"/>
    <w:rsid w:val="00CA7F46"/>
    <w:rsid w:val="00CB07FE"/>
    <w:rsid w:val="00CC1B46"/>
    <w:rsid w:val="00CD0666"/>
    <w:rsid w:val="00CD6515"/>
    <w:rsid w:val="00CE0C65"/>
    <w:rsid w:val="00CE2BE8"/>
    <w:rsid w:val="00CF259F"/>
    <w:rsid w:val="00CF2DC2"/>
    <w:rsid w:val="00D13D70"/>
    <w:rsid w:val="00D22588"/>
    <w:rsid w:val="00D639CD"/>
    <w:rsid w:val="00D65D61"/>
    <w:rsid w:val="00D66735"/>
    <w:rsid w:val="00D8092A"/>
    <w:rsid w:val="00DA1AEE"/>
    <w:rsid w:val="00DA415C"/>
    <w:rsid w:val="00DB0BAB"/>
    <w:rsid w:val="00DE15A9"/>
    <w:rsid w:val="00DE64B1"/>
    <w:rsid w:val="00E01F6E"/>
    <w:rsid w:val="00E07ED5"/>
    <w:rsid w:val="00E26689"/>
    <w:rsid w:val="00E3332E"/>
    <w:rsid w:val="00E51BD4"/>
    <w:rsid w:val="00E520DC"/>
    <w:rsid w:val="00E66870"/>
    <w:rsid w:val="00E66F36"/>
    <w:rsid w:val="00E755D1"/>
    <w:rsid w:val="00E86CC8"/>
    <w:rsid w:val="00E95B6C"/>
    <w:rsid w:val="00EA29AF"/>
    <w:rsid w:val="00EA2D5C"/>
    <w:rsid w:val="00EA4C69"/>
    <w:rsid w:val="00EA6444"/>
    <w:rsid w:val="00EB131B"/>
    <w:rsid w:val="00EC4274"/>
    <w:rsid w:val="00EC75AE"/>
    <w:rsid w:val="00ED17FC"/>
    <w:rsid w:val="00EE4D1D"/>
    <w:rsid w:val="00EE56BF"/>
    <w:rsid w:val="00EF0853"/>
    <w:rsid w:val="00F06A16"/>
    <w:rsid w:val="00F131E7"/>
    <w:rsid w:val="00F1427B"/>
    <w:rsid w:val="00F5161B"/>
    <w:rsid w:val="00F552A3"/>
    <w:rsid w:val="00F629C4"/>
    <w:rsid w:val="00F6439B"/>
    <w:rsid w:val="00F6627F"/>
    <w:rsid w:val="00F70040"/>
    <w:rsid w:val="00F715FA"/>
    <w:rsid w:val="00F7379F"/>
    <w:rsid w:val="00F801F8"/>
    <w:rsid w:val="00F953EB"/>
    <w:rsid w:val="00FC0E16"/>
    <w:rsid w:val="00FC2965"/>
    <w:rsid w:val="00FE589B"/>
    <w:rsid w:val="00FF3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table" w:styleId="TableGrid">
    <w:name w:val="Table Grid"/>
    <w:basedOn w:val="TableNormal"/>
    <w:uiPriority w:val="59"/>
    <w:rsid w:val="00A25A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D191B"/>
    <w:pPr>
      <w:spacing w:after="120"/>
      <w:ind w:left="283"/>
    </w:pPr>
  </w:style>
  <w:style w:type="character" w:customStyle="1" w:styleId="BodyTextIndentChar">
    <w:name w:val="Body Text Indent Char"/>
    <w:basedOn w:val="DefaultParagraphFont"/>
    <w:link w:val="BodyTextIndent"/>
    <w:uiPriority w:val="99"/>
    <w:rsid w:val="001D191B"/>
    <w:rPr>
      <w:rFonts w:ascii="Times New Roman" w:eastAsia="Times New Roman" w:hAnsi="Times New Roman"/>
      <w:sz w:val="24"/>
      <w:szCs w:val="24"/>
    </w:rPr>
  </w:style>
  <w:style w:type="character" w:styleId="Strong">
    <w:name w:val="Strong"/>
    <w:uiPriority w:val="22"/>
    <w:qFormat/>
    <w:rsid w:val="00787DC4"/>
    <w:rPr>
      <w:b/>
      <w:bCs/>
    </w:rPr>
  </w:style>
</w:styles>
</file>

<file path=word/webSettings.xml><?xml version="1.0" encoding="utf-8"?>
<w:webSettings xmlns:r="http://schemas.openxmlformats.org/officeDocument/2006/relationships" xmlns:w="http://schemas.openxmlformats.org/wordprocessingml/2006/main">
  <w:divs>
    <w:div w:id="671879274">
      <w:bodyDiv w:val="1"/>
      <w:marLeft w:val="0"/>
      <w:marRight w:val="0"/>
      <w:marTop w:val="0"/>
      <w:marBottom w:val="0"/>
      <w:divBdr>
        <w:top w:val="none" w:sz="0" w:space="0" w:color="auto"/>
        <w:left w:val="none" w:sz="0" w:space="0" w:color="auto"/>
        <w:bottom w:val="none" w:sz="0" w:space="0" w:color="auto"/>
        <w:right w:val="none" w:sz="0" w:space="0" w:color="auto"/>
      </w:divBdr>
    </w:div>
    <w:div w:id="867915798">
      <w:bodyDiv w:val="1"/>
      <w:marLeft w:val="45"/>
      <w:marRight w:val="45"/>
      <w:marTop w:val="90"/>
      <w:marBottom w:val="90"/>
      <w:divBdr>
        <w:top w:val="none" w:sz="0" w:space="0" w:color="auto"/>
        <w:left w:val="none" w:sz="0" w:space="0" w:color="auto"/>
        <w:bottom w:val="none" w:sz="0" w:space="0" w:color="auto"/>
        <w:right w:val="none" w:sz="0" w:space="0" w:color="auto"/>
      </w:divBdr>
      <w:divsChild>
        <w:div w:id="42141498">
          <w:marLeft w:val="0"/>
          <w:marRight w:val="0"/>
          <w:marTop w:val="0"/>
          <w:marBottom w:val="567"/>
          <w:divBdr>
            <w:top w:val="none" w:sz="0" w:space="0" w:color="auto"/>
            <w:left w:val="none" w:sz="0" w:space="0" w:color="auto"/>
            <w:bottom w:val="none" w:sz="0" w:space="0" w:color="auto"/>
            <w:right w:val="none" w:sz="0" w:space="0" w:color="auto"/>
          </w:divBdr>
        </w:div>
      </w:divsChild>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336485">
      <w:bodyDiv w:val="1"/>
      <w:marLeft w:val="45"/>
      <w:marRight w:val="45"/>
      <w:marTop w:val="90"/>
      <w:marBottom w:val="90"/>
      <w:divBdr>
        <w:top w:val="none" w:sz="0" w:space="0" w:color="auto"/>
        <w:left w:val="none" w:sz="0" w:space="0" w:color="auto"/>
        <w:bottom w:val="none" w:sz="0" w:space="0" w:color="auto"/>
        <w:right w:val="none" w:sz="0" w:space="0" w:color="auto"/>
      </w:divBdr>
      <w:divsChild>
        <w:div w:id="51599727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2418</Words>
  <Characters>17610</Characters>
  <Application>Microsoft Office Word</Application>
  <DocSecurity>0</DocSecurity>
  <Lines>652</Lines>
  <Paragraphs>312</Paragraphs>
  <ScaleCrop>false</ScaleCrop>
  <HeadingPairs>
    <vt:vector size="2" baseType="variant">
      <vt:variant>
        <vt:lpstr>Title</vt:lpstr>
      </vt:variant>
      <vt:variant>
        <vt:i4>1</vt:i4>
      </vt:variant>
    </vt:vector>
  </HeadingPairs>
  <TitlesOfParts>
    <vt:vector size="1" baseType="lpstr">
      <vt:lpstr>Ministru kabineta noteikumu „Noteikumi par ārstniecības personu un ārstniecības atbalsta personu  profesionālo zināšanu pārbaudes, sertifikāta noformēšanas, reģistrēšanas un tā dublikāta izgatavošanas maksas pakalpojumu cenrādi” projekta sākotnējās (ex-an</vt:lpstr>
    </vt:vector>
  </TitlesOfParts>
  <Company>Veselības ministrija</Company>
  <LinksUpToDate>false</LinksUpToDate>
  <CharactersWithSpaces>19716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ārstniecības personu un ārstniecības atbalsta personu  profesionālo zināšanu pārbaudes, sertifikāta noformēšanas, reģistrēšanas un tā dublikāta izgatavošanas maksas pakalpojumu cenrādi” projekta sākotnējās (ex-ante) ietekmes novērtējuma ziņojums (anotācija)</dc:title>
  <dc:subject>anotācija</dc:subject>
  <dc:creator>Ž.Zvaigzne</dc:creator>
  <cp:keywords/>
  <dc:description>tel67876041, Zanete.Zvaigzne@vm.gov.lv, Budžeta un investīciju departamenta Budžeta pānošanas nodaļa</dc:description>
  <cp:lastModifiedBy>zzvaigzne</cp:lastModifiedBy>
  <cp:revision>14</cp:revision>
  <cp:lastPrinted>2010-09-30T13:08:00Z</cp:lastPrinted>
  <dcterms:created xsi:type="dcterms:W3CDTF">2012-04-19T07:33:00Z</dcterms:created>
  <dcterms:modified xsi:type="dcterms:W3CDTF">2012-09-04T08:32:00Z</dcterms:modified>
</cp:coreProperties>
</file>