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8" w:rsidRPr="00A65752" w:rsidRDefault="00005208" w:rsidP="00005208">
      <w:pPr>
        <w:jc w:val="both"/>
        <w:rPr>
          <w:sz w:val="28"/>
          <w:szCs w:val="28"/>
          <w:lang w:val="lv-LV"/>
        </w:rPr>
      </w:pPr>
    </w:p>
    <w:p w:rsidR="00CB2893" w:rsidRPr="00A65752" w:rsidRDefault="00CB2893" w:rsidP="00A87F98">
      <w:pPr>
        <w:ind w:right="185"/>
        <w:jc w:val="center"/>
        <w:rPr>
          <w:b/>
          <w:sz w:val="28"/>
          <w:szCs w:val="28"/>
          <w:lang w:val="lv-LV"/>
        </w:rPr>
      </w:pPr>
      <w:r w:rsidRPr="00A65752">
        <w:rPr>
          <w:b/>
          <w:sz w:val="28"/>
          <w:szCs w:val="28"/>
          <w:lang w:val="lv-LV"/>
        </w:rPr>
        <w:t>Ministru kabineta noteikumu projekta</w:t>
      </w:r>
    </w:p>
    <w:p w:rsidR="00A30EBA" w:rsidRPr="00A65752" w:rsidRDefault="003A1EB7" w:rsidP="00A30EBA">
      <w:pPr>
        <w:pStyle w:val="NoSpacing"/>
        <w:jc w:val="center"/>
        <w:rPr>
          <w:rFonts w:ascii="Times New Roman" w:hAnsi="Times New Roman"/>
          <w:b/>
          <w:sz w:val="28"/>
          <w:szCs w:val="28"/>
        </w:rPr>
      </w:pPr>
      <w:r w:rsidRPr="00A65752">
        <w:rPr>
          <w:b/>
          <w:sz w:val="28"/>
          <w:szCs w:val="28"/>
        </w:rPr>
        <w:t>”</w:t>
      </w:r>
      <w:r w:rsidR="00A30EBA" w:rsidRPr="00A65752">
        <w:rPr>
          <w:rFonts w:ascii="Times New Roman" w:hAnsi="Times New Roman"/>
          <w:b/>
          <w:sz w:val="28"/>
          <w:szCs w:val="28"/>
        </w:rPr>
        <w:t>Grozījumi Ministru kabineta 2011.gada 19.oktobra noteikumos Nr.800 ”Farmaceitiskās darbības licencēšanas kārtība””</w:t>
      </w:r>
    </w:p>
    <w:p w:rsidR="00B47DC5" w:rsidRPr="00A65752" w:rsidRDefault="00B47DC5" w:rsidP="00B47DC5">
      <w:pPr>
        <w:jc w:val="center"/>
        <w:rPr>
          <w:b/>
          <w:bCs/>
          <w:sz w:val="28"/>
          <w:szCs w:val="28"/>
          <w:lang w:val="lv-LV"/>
        </w:rPr>
      </w:pPr>
      <w:r w:rsidRPr="00A65752">
        <w:rPr>
          <w:b/>
          <w:sz w:val="28"/>
          <w:szCs w:val="28"/>
          <w:lang w:val="lv-LV"/>
        </w:rPr>
        <w:t xml:space="preserve">sākotnējās ietekmes novērtējuma ziņojums </w:t>
      </w:r>
      <w:r w:rsidRPr="00A65752">
        <w:rPr>
          <w:b/>
          <w:bCs/>
          <w:sz w:val="28"/>
          <w:szCs w:val="28"/>
          <w:lang w:val="lv-LV"/>
        </w:rPr>
        <w:t>(anotācija)</w:t>
      </w:r>
    </w:p>
    <w:p w:rsidR="00B47DC5" w:rsidRPr="00A65752" w:rsidRDefault="00B47DC5" w:rsidP="000C5484">
      <w:pPr>
        <w:jc w:val="center"/>
        <w:rPr>
          <w:b/>
          <w:bCs/>
          <w:sz w:val="28"/>
          <w:szCs w:val="28"/>
          <w:lang w:val="lv-LV"/>
        </w:rPr>
      </w:pPr>
    </w:p>
    <w:p w:rsidR="004134D0" w:rsidRPr="00A65752" w:rsidRDefault="004134D0" w:rsidP="004134D0">
      <w:pPr>
        <w:pStyle w:val="naislab"/>
        <w:spacing w:before="0" w:after="0"/>
        <w:jc w:val="left"/>
        <w:outlineLvl w:val="0"/>
        <w:rPr>
          <w:b/>
          <w:color w:val="auto"/>
          <w:sz w:val="28"/>
          <w:szCs w:val="28"/>
        </w:rPr>
      </w:pPr>
    </w:p>
    <w:tbl>
      <w:tblPr>
        <w:tblW w:w="12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
        <w:gridCol w:w="132"/>
        <w:gridCol w:w="264"/>
        <w:gridCol w:w="140"/>
        <w:gridCol w:w="153"/>
        <w:gridCol w:w="1263"/>
        <w:gridCol w:w="1016"/>
        <w:gridCol w:w="1153"/>
        <w:gridCol w:w="809"/>
        <w:gridCol w:w="1493"/>
        <w:gridCol w:w="1200"/>
        <w:gridCol w:w="1701"/>
        <w:gridCol w:w="1218"/>
        <w:gridCol w:w="20"/>
        <w:gridCol w:w="1439"/>
      </w:tblGrid>
      <w:tr w:rsidR="004134D0" w:rsidRPr="00A65752" w:rsidTr="00C26215">
        <w:trPr>
          <w:gridBefore w:val="1"/>
          <w:gridAfter w:val="3"/>
          <w:wBefore w:w="32" w:type="dxa"/>
          <w:wAfter w:w="2677" w:type="dxa"/>
        </w:trPr>
        <w:tc>
          <w:tcPr>
            <w:tcW w:w="9324" w:type="dxa"/>
            <w:gridSpan w:val="11"/>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rPr>
                <w:b w:val="0"/>
              </w:rPr>
            </w:pPr>
            <w:r w:rsidRPr="00A65752">
              <w:t>I. Tiesību akta projekta izstrādes nepieciešamība</w:t>
            </w:r>
          </w:p>
        </w:tc>
      </w:tr>
      <w:tr w:rsidR="004134D0" w:rsidRPr="00A65752" w:rsidTr="00C26215">
        <w:trPr>
          <w:gridBefore w:val="1"/>
          <w:gridAfter w:val="3"/>
          <w:wBefore w:w="32" w:type="dxa"/>
          <w:wAfter w:w="2677"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1.</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ind w:hanging="10"/>
            </w:pPr>
            <w:r w:rsidRPr="00A65752">
              <w:t>Pamatojums</w:t>
            </w:r>
          </w:p>
        </w:tc>
        <w:tc>
          <w:tcPr>
            <w:tcW w:w="7372" w:type="dxa"/>
            <w:gridSpan w:val="6"/>
            <w:tcBorders>
              <w:top w:val="single" w:sz="4" w:space="0" w:color="auto"/>
              <w:left w:val="single" w:sz="4" w:space="0" w:color="auto"/>
              <w:bottom w:val="single" w:sz="4" w:space="0" w:color="auto"/>
              <w:right w:val="single" w:sz="4" w:space="0" w:color="auto"/>
            </w:tcBorders>
            <w:hideMark/>
          </w:tcPr>
          <w:p w:rsidR="0061796F" w:rsidRPr="00A65752" w:rsidRDefault="004134D0" w:rsidP="0047051A">
            <w:pPr>
              <w:pStyle w:val="NoSpacing"/>
              <w:jc w:val="both"/>
              <w:rPr>
                <w:rFonts w:ascii="Times New Roman" w:hAnsi="Times New Roman"/>
                <w:sz w:val="24"/>
                <w:szCs w:val="24"/>
              </w:rPr>
            </w:pPr>
            <w:r w:rsidRPr="00A65752">
              <w:rPr>
                <w:rFonts w:ascii="Times New Roman" w:hAnsi="Times New Roman"/>
                <w:sz w:val="24"/>
                <w:szCs w:val="24"/>
              </w:rPr>
              <w:t>Ministru kabineta noteikumu projekts ”</w:t>
            </w:r>
            <w:r w:rsidR="00481417" w:rsidRPr="00A65752">
              <w:rPr>
                <w:rFonts w:ascii="Times New Roman" w:hAnsi="Times New Roman"/>
                <w:sz w:val="24"/>
                <w:szCs w:val="24"/>
              </w:rPr>
              <w:t xml:space="preserve">Grozījumi Ministru kabineta </w:t>
            </w:r>
            <w:r w:rsidR="0061796F" w:rsidRPr="00A65752">
              <w:rPr>
                <w:rFonts w:ascii="Times New Roman" w:hAnsi="Times New Roman"/>
                <w:sz w:val="24"/>
                <w:szCs w:val="24"/>
              </w:rPr>
              <w:t>2011.gada 19.oktobra noteikumos Nr.800 ”Farmaceitiskās darbības licencēšanas kārtība</w:t>
            </w:r>
            <w:r w:rsidR="00572259" w:rsidRPr="00A65752">
              <w:rPr>
                <w:rFonts w:ascii="Times New Roman" w:hAnsi="Times New Roman"/>
                <w:sz w:val="24"/>
                <w:szCs w:val="24"/>
              </w:rPr>
              <w:t>””</w:t>
            </w:r>
            <w:r w:rsidR="00203DE2" w:rsidRPr="00A65752">
              <w:rPr>
                <w:rFonts w:ascii="Times New Roman" w:hAnsi="Times New Roman"/>
                <w:sz w:val="24"/>
                <w:szCs w:val="24"/>
              </w:rPr>
              <w:t xml:space="preserve"> </w:t>
            </w:r>
            <w:r w:rsidRPr="00A65752">
              <w:rPr>
                <w:rFonts w:ascii="Times New Roman" w:hAnsi="Times New Roman"/>
                <w:sz w:val="24"/>
                <w:szCs w:val="24"/>
              </w:rPr>
              <w:t>(turpmāk - N</w:t>
            </w:r>
            <w:r w:rsidR="00D9518E" w:rsidRPr="00A65752">
              <w:rPr>
                <w:rFonts w:ascii="Times New Roman" w:hAnsi="Times New Roman"/>
                <w:sz w:val="24"/>
                <w:szCs w:val="24"/>
              </w:rPr>
              <w:t>oteikumu projekts) ir izstrādāts</w:t>
            </w:r>
            <w:r w:rsidRPr="00A65752">
              <w:rPr>
                <w:rFonts w:ascii="Times New Roman" w:hAnsi="Times New Roman"/>
                <w:sz w:val="24"/>
                <w:szCs w:val="24"/>
              </w:rPr>
              <w:t xml:space="preserve"> saistībā ar </w:t>
            </w:r>
            <w:r w:rsidR="0061796F" w:rsidRPr="00A65752">
              <w:rPr>
                <w:rFonts w:ascii="Times New Roman" w:hAnsi="Times New Roman"/>
                <w:sz w:val="24"/>
                <w:szCs w:val="24"/>
              </w:rPr>
              <w:t xml:space="preserve">Farmācijas likuma 5.panta 1., </w:t>
            </w:r>
            <w:hyperlink r:id="rId8" w:anchor="2" w:tgtFrame="_top" w:tooltip="Farmācijas likums" w:history="1">
              <w:r w:rsidR="0061796F" w:rsidRPr="00A65752">
                <w:rPr>
                  <w:rStyle w:val="Hyperlink"/>
                  <w:rFonts w:ascii="Times New Roman" w:hAnsi="Times New Roman"/>
                  <w:color w:val="auto"/>
                  <w:sz w:val="24"/>
                  <w:szCs w:val="24"/>
                  <w:u w:val="none"/>
                </w:rPr>
                <w:t>14.</w:t>
              </w:r>
            </w:hyperlink>
            <w:r w:rsidR="0061796F" w:rsidRPr="00A65752">
              <w:rPr>
                <w:rFonts w:ascii="Times New Roman" w:hAnsi="Times New Roman"/>
                <w:sz w:val="24"/>
                <w:szCs w:val="24"/>
              </w:rPr>
              <w:t xml:space="preserve"> un </w:t>
            </w:r>
            <w:hyperlink r:id="rId9" w:anchor="3" w:tgtFrame="_top" w:tooltip="Farmācijas likums" w:history="1">
              <w:r w:rsidR="0061796F" w:rsidRPr="00A65752">
                <w:rPr>
                  <w:rStyle w:val="Hyperlink"/>
                  <w:rFonts w:ascii="Times New Roman" w:hAnsi="Times New Roman"/>
                  <w:color w:val="auto"/>
                  <w:sz w:val="24"/>
                  <w:szCs w:val="24"/>
                  <w:u w:val="none"/>
                </w:rPr>
                <w:t>19.punktu</w:t>
              </w:r>
            </w:hyperlink>
            <w:r w:rsidR="0061796F" w:rsidRPr="00A65752">
              <w:rPr>
                <w:rFonts w:ascii="Times New Roman" w:hAnsi="Times New Roman"/>
                <w:sz w:val="24"/>
                <w:szCs w:val="24"/>
              </w:rPr>
              <w:t xml:space="preserve">, </w:t>
            </w:r>
            <w:hyperlink r:id="rId10" w:anchor="4" w:tgtFrame="_top" w:tooltip="Farmācijas likums" w:history="1">
              <w:r w:rsidR="0061796F" w:rsidRPr="00A65752">
                <w:rPr>
                  <w:rStyle w:val="Hyperlink"/>
                  <w:rFonts w:ascii="Times New Roman" w:hAnsi="Times New Roman"/>
                  <w:color w:val="auto"/>
                  <w:sz w:val="24"/>
                  <w:szCs w:val="24"/>
                  <w:u w:val="none"/>
                </w:rPr>
                <w:t>37.</w:t>
              </w:r>
            </w:hyperlink>
            <w:r w:rsidR="0061796F" w:rsidRPr="00A65752">
              <w:rPr>
                <w:rFonts w:ascii="Times New Roman" w:hAnsi="Times New Roman"/>
                <w:sz w:val="24"/>
                <w:szCs w:val="24"/>
              </w:rPr>
              <w:t xml:space="preserve">, </w:t>
            </w:r>
            <w:hyperlink r:id="rId11" w:anchor="5" w:tgtFrame="_top" w:tooltip="Farmācijas likums" w:history="1">
              <w:r w:rsidR="0061796F" w:rsidRPr="00A65752">
                <w:rPr>
                  <w:rStyle w:val="Hyperlink"/>
                  <w:rFonts w:ascii="Times New Roman" w:hAnsi="Times New Roman"/>
                  <w:color w:val="auto"/>
                  <w:sz w:val="24"/>
                  <w:szCs w:val="24"/>
                  <w:u w:val="none"/>
                </w:rPr>
                <w:t>45.</w:t>
              </w:r>
            </w:hyperlink>
            <w:r w:rsidR="0061796F" w:rsidRPr="00A65752">
              <w:rPr>
                <w:rFonts w:ascii="Times New Roman" w:hAnsi="Times New Roman"/>
                <w:sz w:val="24"/>
                <w:szCs w:val="24"/>
              </w:rPr>
              <w:t xml:space="preserve"> un </w:t>
            </w:r>
            <w:hyperlink r:id="rId12" w:anchor="6" w:tgtFrame="_top" w:tooltip="Farmācijas likums" w:history="1">
              <w:r w:rsidR="0061796F" w:rsidRPr="00A65752">
                <w:rPr>
                  <w:rStyle w:val="Hyperlink"/>
                  <w:rFonts w:ascii="Times New Roman" w:hAnsi="Times New Roman"/>
                  <w:color w:val="auto"/>
                  <w:sz w:val="24"/>
                  <w:szCs w:val="24"/>
                  <w:u w:val="none"/>
                </w:rPr>
                <w:t>51.pantu</w:t>
              </w:r>
            </w:hyperlink>
            <w:r w:rsidR="0061796F" w:rsidRPr="00A65752">
              <w:rPr>
                <w:rFonts w:ascii="Times New Roman" w:hAnsi="Times New Roman"/>
                <w:sz w:val="24"/>
                <w:szCs w:val="24"/>
              </w:rPr>
              <w:t xml:space="preserve"> un</w:t>
            </w:r>
          </w:p>
          <w:p w:rsidR="00BF0D0F" w:rsidRPr="00A65752" w:rsidRDefault="0061796F" w:rsidP="0047051A">
            <w:pPr>
              <w:pStyle w:val="NoSpacing"/>
              <w:jc w:val="both"/>
              <w:rPr>
                <w:rFonts w:ascii="Times New Roman" w:hAnsi="Times New Roman"/>
                <w:sz w:val="24"/>
                <w:szCs w:val="24"/>
              </w:rPr>
            </w:pPr>
            <w:r w:rsidRPr="00A65752">
              <w:rPr>
                <w:rFonts w:ascii="Times New Roman" w:hAnsi="Times New Roman"/>
                <w:sz w:val="24"/>
                <w:szCs w:val="24"/>
              </w:rPr>
              <w:t xml:space="preserve">likuma "Par narkotisko un psihotropo vielu un zāļu likumīgās aprites kārtību" </w:t>
            </w:r>
            <w:hyperlink r:id="rId13" w:anchor="1" w:tgtFrame="_top" w:tooltip="Par narkotisko un psihotropo vielu un zāļu likumīgās aprites kārtību" w:history="1">
              <w:r w:rsidRPr="00A65752">
                <w:rPr>
                  <w:rStyle w:val="Hyperlink"/>
                  <w:rFonts w:ascii="Times New Roman" w:hAnsi="Times New Roman"/>
                  <w:color w:val="auto"/>
                  <w:sz w:val="24"/>
                  <w:szCs w:val="24"/>
                  <w:u w:val="none"/>
                </w:rPr>
                <w:t>12.panta pirmo daļu</w:t>
              </w:r>
            </w:hyperlink>
            <w:r w:rsidR="008E6DC4" w:rsidRPr="00A65752">
              <w:rPr>
                <w:rFonts w:ascii="Times New Roman" w:hAnsi="Times New Roman"/>
                <w:sz w:val="24"/>
                <w:szCs w:val="24"/>
              </w:rPr>
              <w:t xml:space="preserve">, lai </w:t>
            </w:r>
            <w:r w:rsidR="004134D0" w:rsidRPr="00A65752">
              <w:rPr>
                <w:rFonts w:ascii="Times New Roman" w:hAnsi="Times New Roman"/>
                <w:sz w:val="24"/>
                <w:szCs w:val="24"/>
              </w:rPr>
              <w:t xml:space="preserve">ieviestu normas, kas izriet no Eiropas Parlamenta un Padomes 2011.gada 8.jūnija Direktīvas 2011/62/ES, ar ko groza Direktīvu 2001/83/EK par Kopienas kodeksu, kas attiecas uz cilvēkiem paredzētām zālēm, attiecībā uz to, kā novērst viltotu zāļu nokļūšanu legālas piegādes ķēdē, </w:t>
            </w:r>
            <w:r w:rsidR="009336E6" w:rsidRPr="00A65752">
              <w:rPr>
                <w:rFonts w:ascii="Times New Roman" w:hAnsi="Times New Roman"/>
                <w:sz w:val="24"/>
                <w:szCs w:val="24"/>
              </w:rPr>
              <w:t>(turpmāk - Direktīva 2011/62/ES)</w:t>
            </w:r>
            <w:r w:rsidR="009C125A" w:rsidRPr="00A65752">
              <w:rPr>
                <w:rFonts w:ascii="Times New Roman" w:hAnsi="Times New Roman"/>
                <w:sz w:val="24"/>
                <w:szCs w:val="24"/>
              </w:rPr>
              <w:t>.</w:t>
            </w:r>
          </w:p>
          <w:p w:rsidR="00D86006" w:rsidRPr="00A65752" w:rsidRDefault="00D86006" w:rsidP="00D86006">
            <w:pPr>
              <w:pStyle w:val="NoSpacing"/>
              <w:jc w:val="both"/>
              <w:rPr>
                <w:rFonts w:ascii="Times New Roman" w:hAnsi="Times New Roman"/>
                <w:sz w:val="24"/>
                <w:szCs w:val="24"/>
              </w:rPr>
            </w:pPr>
            <w:r w:rsidRPr="00A65752">
              <w:rPr>
                <w:rFonts w:ascii="Times New Roman" w:hAnsi="Times New Roman"/>
                <w:sz w:val="24"/>
                <w:szCs w:val="24"/>
              </w:rPr>
              <w:t>Ministru kabineta 2012.gada 30.oktobra sēdes protokola Nr.60 48.§ 7.3.apakšpunktā dotā uzdevuma izpilde.</w:t>
            </w:r>
          </w:p>
          <w:p w:rsidR="00B525FD" w:rsidRDefault="00D86006" w:rsidP="00D86006">
            <w:pPr>
              <w:pStyle w:val="NoSpacing"/>
              <w:jc w:val="both"/>
              <w:rPr>
                <w:rFonts w:ascii="Times New Roman" w:hAnsi="Times New Roman"/>
                <w:sz w:val="24"/>
                <w:szCs w:val="24"/>
              </w:rPr>
            </w:pPr>
            <w:r w:rsidRPr="00A65752">
              <w:rPr>
                <w:rFonts w:ascii="Times New Roman" w:hAnsi="Times New Roman"/>
                <w:sz w:val="24"/>
                <w:szCs w:val="24"/>
              </w:rPr>
              <w:t>Ministru Prezidenta 2013.gada 16.marta rezolūcijas Nr.12/2012–JUR–246 un 2013.gada 22.janvāra rezolūcijas Nr.12/2012-UZD-3782 izpilde.</w:t>
            </w:r>
          </w:p>
          <w:p w:rsidR="00912979" w:rsidRPr="00A65752" w:rsidRDefault="00912979" w:rsidP="00D86006">
            <w:pPr>
              <w:pStyle w:val="NoSpacing"/>
              <w:jc w:val="both"/>
              <w:rPr>
                <w:rFonts w:ascii="Times New Roman" w:hAnsi="Times New Roman"/>
                <w:sz w:val="24"/>
                <w:szCs w:val="24"/>
              </w:rPr>
            </w:pPr>
            <w:r w:rsidRPr="002D7CDA">
              <w:rPr>
                <w:rFonts w:ascii="Times New Roman" w:hAnsi="Times New Roman"/>
                <w:sz w:val="24"/>
                <w:szCs w:val="24"/>
              </w:rPr>
              <w:t xml:space="preserve">Eiropas Komisijas </w:t>
            </w:r>
            <w:r w:rsidRPr="002D7CDA">
              <w:rPr>
                <w:rFonts w:ascii="Times New Roman" w:hAnsi="Times New Roman"/>
                <w:iCs/>
                <w:sz w:val="24"/>
                <w:szCs w:val="24"/>
              </w:rPr>
              <w:t>2013.gada 20.marta formāls paziņojums pārkāpuma procedūras lietā Nr.</w:t>
            </w:r>
            <w:r w:rsidRPr="002D7CDA">
              <w:rPr>
                <w:rFonts w:ascii="Times New Roman" w:hAnsi="Times New Roman"/>
                <w:color w:val="000000"/>
                <w:sz w:val="24"/>
                <w:szCs w:val="24"/>
              </w:rPr>
              <w:t>2013/0162.</w:t>
            </w:r>
          </w:p>
        </w:tc>
      </w:tr>
      <w:tr w:rsidR="004134D0" w:rsidRPr="00A65752" w:rsidTr="00C26215">
        <w:trPr>
          <w:gridBefore w:val="1"/>
          <w:gridAfter w:val="3"/>
          <w:wBefore w:w="32" w:type="dxa"/>
          <w:wAfter w:w="2677" w:type="dxa"/>
          <w:trHeight w:val="472"/>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2.</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tabs>
                <w:tab w:val="left" w:pos="170"/>
              </w:tabs>
            </w:pPr>
            <w:r w:rsidRPr="00A65752">
              <w:t>Pašreizējā situācija un problēmas</w:t>
            </w:r>
          </w:p>
        </w:tc>
        <w:tc>
          <w:tcPr>
            <w:tcW w:w="7372" w:type="dxa"/>
            <w:gridSpan w:val="6"/>
            <w:tcBorders>
              <w:top w:val="single" w:sz="4" w:space="0" w:color="auto"/>
              <w:left w:val="single" w:sz="4" w:space="0" w:color="auto"/>
              <w:bottom w:val="single" w:sz="4" w:space="0" w:color="auto"/>
              <w:right w:val="single" w:sz="4" w:space="0" w:color="auto"/>
            </w:tcBorders>
          </w:tcPr>
          <w:p w:rsidR="000535C7" w:rsidRPr="00A65752" w:rsidRDefault="006D600A" w:rsidP="003D204B">
            <w:pPr>
              <w:pStyle w:val="NoSpacing"/>
              <w:jc w:val="both"/>
              <w:rPr>
                <w:rFonts w:ascii="Times New Roman" w:hAnsi="Times New Roman"/>
                <w:spacing w:val="-6"/>
                <w:sz w:val="24"/>
                <w:szCs w:val="24"/>
              </w:rPr>
            </w:pPr>
            <w:r w:rsidRPr="00A65752">
              <w:rPr>
                <w:rFonts w:ascii="Times New Roman" w:hAnsi="Times New Roman"/>
                <w:spacing w:val="-6"/>
                <w:sz w:val="24"/>
                <w:szCs w:val="24"/>
              </w:rPr>
              <w:t>1. </w:t>
            </w:r>
            <w:r w:rsidR="004134D0" w:rsidRPr="00A65752">
              <w:rPr>
                <w:rFonts w:ascii="Times New Roman" w:hAnsi="Times New Roman"/>
                <w:spacing w:val="-6"/>
                <w:sz w:val="24"/>
                <w:szCs w:val="24"/>
              </w:rPr>
              <w:t xml:space="preserve">Eiropas Savienībā satraucošā apmērā atklāj aizvien vairāk zāļu, kuras ir viltotas saistībā ar to identitāti, ražošanas vēsturi vai avotu. Minētajās zālēs parasti ir nestandarta vai viltotas sastāvdaļas, vai tajās nav sastāvdaļu vai ir sastāvdaļas, tostarp aktīvās vielas, nepareizās devās, tādējādi nopietni apdraudot sabiedrības veselību. </w:t>
            </w:r>
            <w:r w:rsidR="00CE58CB" w:rsidRPr="00A65752">
              <w:rPr>
                <w:rFonts w:ascii="Times New Roman" w:hAnsi="Times New Roman"/>
                <w:spacing w:val="-6"/>
                <w:sz w:val="24"/>
                <w:szCs w:val="24"/>
              </w:rPr>
              <w:t>Viltotas zāles pie pacientiem nonāk ne tikai, izmantojot nelegālus līdzekļus, bet arī pa legālo piegādes ķēdi. Tas īpaši apdraud cilvēku veselību un var izraisīt pacientu neuzticību arī legālajai piegādes ķēdei.</w:t>
            </w:r>
            <w:r w:rsidR="0058620B" w:rsidRPr="00A65752">
              <w:rPr>
                <w:rFonts w:ascii="Times New Roman" w:hAnsi="Times New Roman"/>
                <w:spacing w:val="-6"/>
                <w:sz w:val="24"/>
                <w:szCs w:val="24"/>
              </w:rPr>
              <w:t xml:space="preserve"> Šo s</w:t>
            </w:r>
            <w:r w:rsidR="00CE58CB" w:rsidRPr="00A65752">
              <w:rPr>
                <w:rFonts w:ascii="Times New Roman" w:hAnsi="Times New Roman"/>
                <w:spacing w:val="-6"/>
                <w:sz w:val="24"/>
                <w:szCs w:val="24"/>
              </w:rPr>
              <w:t>abiedrības veselības apdraudējumu ir atzinusi arī Pasaules Veselības organizācija</w:t>
            </w:r>
            <w:r w:rsidR="0058620B" w:rsidRPr="00A65752">
              <w:rPr>
                <w:rFonts w:ascii="Times New Roman" w:hAnsi="Times New Roman"/>
                <w:spacing w:val="-6"/>
                <w:sz w:val="24"/>
                <w:szCs w:val="24"/>
              </w:rPr>
              <w:t xml:space="preserve">. </w:t>
            </w:r>
            <w:r w:rsidR="009D7468" w:rsidRPr="00A65752">
              <w:rPr>
                <w:rFonts w:ascii="Times New Roman" w:hAnsi="Times New Roman"/>
                <w:spacing w:val="-6"/>
                <w:sz w:val="24"/>
                <w:szCs w:val="24"/>
              </w:rPr>
              <w:t>Viltotas aktīvās vielas un nekvalitatīvas aktīvās vielas ir būtisks drauds sabiedrības veselībai, jo šīs vielas var izmantot zāļu ražošanai</w:t>
            </w:r>
            <w:r w:rsidR="000535C7" w:rsidRPr="00A65752">
              <w:rPr>
                <w:rFonts w:ascii="Times New Roman" w:hAnsi="Times New Roman"/>
                <w:spacing w:val="-6"/>
                <w:sz w:val="24"/>
                <w:szCs w:val="24"/>
              </w:rPr>
              <w:t xml:space="preserve">, un </w:t>
            </w:r>
            <w:r w:rsidR="009D7468" w:rsidRPr="00A65752">
              <w:rPr>
                <w:rFonts w:ascii="Times New Roman" w:hAnsi="Times New Roman"/>
                <w:spacing w:val="-6"/>
                <w:sz w:val="24"/>
                <w:szCs w:val="24"/>
              </w:rPr>
              <w:t xml:space="preserve">šādi draudi ir jānovērš, nosakot stingrākas pārbaužu prasības, ko piemēro aktīvo vielu ražotājiem, </w:t>
            </w:r>
            <w:r w:rsidR="00AA7EF2" w:rsidRPr="00A65752">
              <w:rPr>
                <w:rFonts w:ascii="Times New Roman" w:hAnsi="Times New Roman"/>
                <w:spacing w:val="-6"/>
                <w:sz w:val="24"/>
                <w:szCs w:val="24"/>
              </w:rPr>
              <w:t>importētājiem un izplatītājiem.</w:t>
            </w:r>
          </w:p>
          <w:p w:rsidR="00684082" w:rsidRPr="00A65752" w:rsidRDefault="00684082" w:rsidP="00684082">
            <w:pPr>
              <w:shd w:val="clear" w:color="auto" w:fill="FFFFFF"/>
              <w:spacing w:line="288" w:lineRule="atLeast"/>
              <w:jc w:val="both"/>
              <w:rPr>
                <w:bCs/>
                <w:kern w:val="36"/>
                <w:lang w:val="lv-LV" w:eastAsia="lv-LV"/>
              </w:rPr>
            </w:pPr>
            <w:r w:rsidRPr="00A65752">
              <w:rPr>
                <w:lang w:val="lv-LV" w:eastAsia="lv-LV"/>
              </w:rPr>
              <w:t>Eiropas Parlamenta deputāte Marisa Matias (GUE/NGL, Portugāle), atbildīgā par jautājuma virzību Parlamentā norādīja:</w:t>
            </w:r>
            <w:r w:rsidR="00EC07B3" w:rsidRPr="00A65752">
              <w:rPr>
                <w:lang w:val="lv-LV" w:eastAsia="lv-LV"/>
              </w:rPr>
              <w:t xml:space="preserve"> </w:t>
            </w:r>
            <w:r w:rsidRPr="00A65752">
              <w:rPr>
                <w:lang w:val="lv-LV" w:eastAsia="lv-LV"/>
              </w:rPr>
              <w:t xml:space="preserve">"Viltotās zāles ir klusie slepkavas, jo tās var saturēt toksiskas vielas, kuras ne tikai bojā veselību, bet var pat nogalināt to lietotājus. Likumu neesamība iedrošina viltošanu, kas pēc būtības ir krimināli sodāma darbība, un mēs varam </w:t>
            </w:r>
            <w:r w:rsidRPr="00A65752">
              <w:rPr>
                <w:lang w:val="lv-LV" w:eastAsia="lv-LV"/>
              </w:rPr>
              <w:lastRenderedPageBreak/>
              <w:t>redzēt, ka šāda veida kriminālas aktivitātes ir pieau</w:t>
            </w:r>
            <w:r w:rsidR="00AA7EF2" w:rsidRPr="00A65752">
              <w:rPr>
                <w:lang w:val="lv-LV" w:eastAsia="lv-LV"/>
              </w:rPr>
              <w:t>gušas milzīgos apmēros - </w:t>
            </w:r>
            <w:r w:rsidRPr="00A65752">
              <w:rPr>
                <w:lang w:val="lv-LV" w:eastAsia="lv-LV"/>
              </w:rPr>
              <w:t>kopš 2005.gada viltoto zāļu konfiscēšanas gadījumi ir pieauguši par 400%. Direktīvas galvenais mērķis ir pasargāt pacientus"</w:t>
            </w:r>
            <w:r w:rsidR="00584924" w:rsidRPr="00A65752">
              <w:rPr>
                <w:lang w:val="lv-LV" w:eastAsia="lv-LV"/>
              </w:rPr>
              <w:t>.</w:t>
            </w:r>
          </w:p>
          <w:p w:rsidR="00CB54E9" w:rsidRPr="00A65752" w:rsidRDefault="00CB54E9" w:rsidP="00CB54E9">
            <w:pPr>
              <w:pStyle w:val="NoSpacing"/>
              <w:jc w:val="both"/>
              <w:rPr>
                <w:rFonts w:ascii="Times New Roman" w:hAnsi="Times New Roman"/>
                <w:spacing w:val="-6"/>
                <w:sz w:val="24"/>
                <w:szCs w:val="24"/>
              </w:rPr>
            </w:pPr>
            <w:r w:rsidRPr="00A65752">
              <w:rPr>
                <w:rStyle w:val="c3"/>
                <w:rFonts w:ascii="Times New Roman" w:hAnsi="Times New Roman"/>
                <w:sz w:val="24"/>
                <w:szCs w:val="24"/>
              </w:rPr>
              <w:t>L</w:t>
            </w:r>
            <w:r w:rsidRPr="00A65752">
              <w:rPr>
                <w:rFonts w:ascii="Times New Roman" w:hAnsi="Times New Roman"/>
                <w:sz w:val="24"/>
                <w:szCs w:val="24"/>
                <w:lang w:eastAsia="lv-LV"/>
              </w:rPr>
              <w:t>atvijas zāļu tirgus ir neliels, salīdzinot ar lielāko ES valstu zāļu tirgiem.</w:t>
            </w:r>
            <w:r w:rsidRPr="00A65752">
              <w:rPr>
                <w:rFonts w:ascii="Times New Roman" w:hAnsi="Times New Roman"/>
                <w:sz w:val="24"/>
                <w:szCs w:val="24"/>
              </w:rPr>
              <w:t xml:space="preserve"> Latvijā nav datu par viltotu zāļu izplatīšanu, tomēr</w:t>
            </w:r>
            <w:r w:rsidRPr="00A65752">
              <w:rPr>
                <w:rFonts w:ascii="Times New Roman" w:hAnsi="Times New Roman"/>
                <w:sz w:val="24"/>
                <w:szCs w:val="24"/>
                <w:lang w:eastAsia="lv-LV"/>
              </w:rPr>
              <w:t xml:space="preserve"> Latvijā zāļu viltojumi ir aktuāls jautājums, jo Latvija ir ES ārējā robeža, un tā importē zāles no trešajām valstīm, kā arī Latvija ir tranzītvalsts.</w:t>
            </w:r>
          </w:p>
          <w:p w:rsidR="00A832FE" w:rsidRPr="00A65752" w:rsidRDefault="00A832FE" w:rsidP="00AA4265">
            <w:pPr>
              <w:pStyle w:val="NoSpacing"/>
              <w:jc w:val="both"/>
              <w:rPr>
                <w:rFonts w:ascii="Times New Roman" w:hAnsi="Times New Roman"/>
                <w:sz w:val="24"/>
                <w:szCs w:val="24"/>
              </w:rPr>
            </w:pPr>
          </w:p>
          <w:p w:rsidR="007D76CE" w:rsidRPr="00C26215" w:rsidRDefault="007D76CE" w:rsidP="00762CB1">
            <w:pPr>
              <w:shd w:val="clear" w:color="auto" w:fill="F5F5F5"/>
              <w:jc w:val="both"/>
              <w:textAlignment w:val="top"/>
              <w:rPr>
                <w:rStyle w:val="hps"/>
                <w:lang w:val="lv-LV"/>
              </w:rPr>
            </w:pPr>
            <w:r w:rsidRPr="00C26215">
              <w:rPr>
                <w:lang w:val="lv-LV"/>
              </w:rPr>
              <w:t xml:space="preserve">Lai palielinātu zāļu drošību Eiropas </w:t>
            </w:r>
            <w:r w:rsidRPr="00C26215">
              <w:rPr>
                <w:rStyle w:val="hps"/>
                <w:lang w:val="lv-LV"/>
              </w:rPr>
              <w:t>Savienība (</w:t>
            </w:r>
            <w:r w:rsidRPr="00C26215">
              <w:rPr>
                <w:lang w:val="lv-LV"/>
              </w:rPr>
              <w:t xml:space="preserve">ES) ir </w:t>
            </w:r>
            <w:r w:rsidRPr="00C26215">
              <w:rPr>
                <w:rStyle w:val="hps"/>
                <w:lang w:val="lv-LV"/>
              </w:rPr>
              <w:t>reformējusi</w:t>
            </w:r>
            <w:r w:rsidRPr="00C26215">
              <w:rPr>
                <w:lang w:val="lv-LV"/>
              </w:rPr>
              <w:t xml:space="preserve"> </w:t>
            </w:r>
            <w:r w:rsidRPr="00C26215">
              <w:rPr>
                <w:rStyle w:val="hps"/>
                <w:lang w:val="lv-LV"/>
              </w:rPr>
              <w:t>noteikumus</w:t>
            </w:r>
            <w:r w:rsidRPr="00C26215">
              <w:rPr>
                <w:lang w:val="lv-LV"/>
              </w:rPr>
              <w:t xml:space="preserve"> par zāļu ražošanu, ieviešot stingrāku uzraudzību zālēs izmantojamo aktīvo vielu ražošanai un izplatīšanas uzraudzībai ar Direktīvu 2001/62/ES. Farmācijas likumā </w:t>
            </w:r>
            <w:r w:rsidRPr="00C26215">
              <w:rPr>
                <w:spacing w:val="-6"/>
                <w:lang w:val="lv-LV"/>
              </w:rPr>
              <w:t>ir noteikta  Zāļu valsts aģentūras un Veselības inspekcijas kompetence aktīvo vielu uzraudzībā.</w:t>
            </w:r>
          </w:p>
          <w:p w:rsidR="007D76CE" w:rsidRPr="00A65752" w:rsidRDefault="007D76CE" w:rsidP="007D76CE">
            <w:pPr>
              <w:shd w:val="clear" w:color="auto" w:fill="F5F5F5"/>
              <w:jc w:val="both"/>
              <w:textAlignment w:val="top"/>
              <w:rPr>
                <w:lang w:val="lv-LV"/>
              </w:rPr>
            </w:pPr>
          </w:p>
          <w:p w:rsidR="00C01634" w:rsidRDefault="00853549" w:rsidP="00BD055E">
            <w:pPr>
              <w:pStyle w:val="NoSpacing"/>
              <w:jc w:val="both"/>
              <w:rPr>
                <w:rFonts w:ascii="Times New Roman" w:hAnsi="Times New Roman"/>
                <w:sz w:val="24"/>
                <w:szCs w:val="24"/>
              </w:rPr>
            </w:pPr>
            <w:r w:rsidRPr="00A65752">
              <w:rPr>
                <w:rFonts w:ascii="Times New Roman" w:hAnsi="Times New Roman"/>
                <w:bCs/>
                <w:spacing w:val="-6"/>
                <w:sz w:val="24"/>
                <w:szCs w:val="24"/>
                <w:lang w:eastAsia="lv-LV"/>
              </w:rPr>
              <w:t xml:space="preserve">Zāļu izplatīšanas uzraudzības nodrošināšanai </w:t>
            </w:r>
            <w:r w:rsidR="009E117E" w:rsidRPr="00A65752">
              <w:rPr>
                <w:rFonts w:ascii="Times New Roman" w:hAnsi="Times New Roman"/>
                <w:bCs/>
                <w:spacing w:val="-6"/>
                <w:sz w:val="24"/>
                <w:szCs w:val="24"/>
                <w:lang w:eastAsia="lv-LV"/>
              </w:rPr>
              <w:t>Direktīva</w:t>
            </w:r>
            <w:r w:rsidR="00AA2ADA" w:rsidRPr="00A65752">
              <w:rPr>
                <w:rFonts w:ascii="Times New Roman" w:hAnsi="Times New Roman"/>
                <w:bCs/>
                <w:spacing w:val="-6"/>
                <w:sz w:val="24"/>
                <w:szCs w:val="24"/>
                <w:lang w:eastAsia="lv-LV"/>
              </w:rPr>
              <w:t>s</w:t>
            </w:r>
            <w:r w:rsidR="009E117E" w:rsidRPr="00A65752">
              <w:rPr>
                <w:rFonts w:ascii="Times New Roman" w:hAnsi="Times New Roman"/>
                <w:bCs/>
                <w:spacing w:val="-6"/>
                <w:sz w:val="24"/>
                <w:szCs w:val="24"/>
                <w:lang w:eastAsia="lv-LV"/>
              </w:rPr>
              <w:t xml:space="preserve"> Nr.2011/62 </w:t>
            </w:r>
            <w:r w:rsidR="0053123C" w:rsidRPr="00A65752">
              <w:rPr>
                <w:rFonts w:ascii="Times New Roman" w:hAnsi="Times New Roman"/>
                <w:sz w:val="24"/>
                <w:szCs w:val="24"/>
              </w:rPr>
              <w:t xml:space="preserve">1.panta </w:t>
            </w:r>
            <w:r w:rsidR="00BD055E" w:rsidRPr="00A65752">
              <w:rPr>
                <w:rFonts w:ascii="Times New Roman" w:hAnsi="Times New Roman"/>
                <w:sz w:val="24"/>
                <w:szCs w:val="24"/>
              </w:rPr>
              <w:t xml:space="preserve">4.punkta un </w:t>
            </w:r>
            <w:r w:rsidR="0053123C" w:rsidRPr="00A65752">
              <w:rPr>
                <w:rFonts w:ascii="Times New Roman" w:hAnsi="Times New Roman"/>
                <w:sz w:val="24"/>
                <w:szCs w:val="24"/>
              </w:rPr>
              <w:t>16.punkts b)</w:t>
            </w:r>
            <w:r w:rsidR="005E0A02" w:rsidRPr="00A65752">
              <w:rPr>
                <w:rFonts w:ascii="Times New Roman" w:hAnsi="Times New Roman"/>
                <w:sz w:val="24"/>
                <w:szCs w:val="24"/>
              </w:rPr>
              <w:t xml:space="preserve"> </w:t>
            </w:r>
            <w:r w:rsidR="0053123C" w:rsidRPr="00A65752">
              <w:rPr>
                <w:rFonts w:ascii="Times New Roman" w:hAnsi="Times New Roman"/>
                <w:sz w:val="24"/>
                <w:szCs w:val="24"/>
              </w:rPr>
              <w:t xml:space="preserve">apakšpunkta norma </w:t>
            </w:r>
            <w:r w:rsidR="009E117E" w:rsidRPr="00A65752">
              <w:rPr>
                <w:rFonts w:ascii="Times New Roman" w:hAnsi="Times New Roman"/>
                <w:bCs/>
                <w:spacing w:val="-6"/>
                <w:sz w:val="24"/>
                <w:szCs w:val="24"/>
                <w:lang w:eastAsia="lv-LV"/>
              </w:rPr>
              <w:t xml:space="preserve">nosaka </w:t>
            </w:r>
            <w:r w:rsidR="009C125A" w:rsidRPr="00A65752">
              <w:rPr>
                <w:rFonts w:ascii="Times New Roman" w:hAnsi="Times New Roman"/>
                <w:bCs/>
                <w:spacing w:val="-6"/>
                <w:sz w:val="24"/>
                <w:szCs w:val="24"/>
                <w:lang w:eastAsia="lv-LV"/>
              </w:rPr>
              <w:t xml:space="preserve">prasību </w:t>
            </w:r>
            <w:r w:rsidR="00AA2ADA" w:rsidRPr="00A65752">
              <w:rPr>
                <w:rFonts w:ascii="Times New Roman" w:hAnsi="Times New Roman"/>
                <w:sz w:val="24"/>
                <w:szCs w:val="24"/>
              </w:rPr>
              <w:t>ievadīt Eiropas Savienības datubāzē informāciju par izsniegtajām un apturētajām licencēm zāļu vairumtirdzniecībai</w:t>
            </w:r>
            <w:r w:rsidR="00BD055E" w:rsidRPr="00A65752">
              <w:rPr>
                <w:rFonts w:ascii="Times New Roman" w:hAnsi="Times New Roman"/>
                <w:sz w:val="24"/>
                <w:szCs w:val="24"/>
              </w:rPr>
              <w:t xml:space="preserve">, kas nav pašreiz iekļauts MK noteikumos Nr.800. </w:t>
            </w:r>
            <w:r w:rsidR="00137096" w:rsidRPr="00A65752">
              <w:rPr>
                <w:rFonts w:ascii="Times New Roman" w:hAnsi="Times New Roman"/>
                <w:sz w:val="24"/>
                <w:szCs w:val="24"/>
                <w:lang w:eastAsia="lv-LV"/>
              </w:rPr>
              <w:t xml:space="preserve">MK noteikumu Nr.800 </w:t>
            </w:r>
            <w:r w:rsidR="00BD055E" w:rsidRPr="00A65752">
              <w:rPr>
                <w:rFonts w:ascii="Times New Roman" w:hAnsi="Times New Roman"/>
                <w:sz w:val="24"/>
                <w:szCs w:val="24"/>
                <w:lang w:eastAsia="lv-LV"/>
              </w:rPr>
              <w:t xml:space="preserve">78.7.apakšpunkta norma nosaka </w:t>
            </w:r>
            <w:r w:rsidR="005E0A02" w:rsidRPr="00A65752">
              <w:rPr>
                <w:rFonts w:ascii="Times New Roman" w:hAnsi="Times New Roman"/>
                <w:sz w:val="24"/>
                <w:szCs w:val="24"/>
                <w:lang w:eastAsia="lv-LV"/>
              </w:rPr>
              <w:t xml:space="preserve">ievadīt </w:t>
            </w:r>
            <w:r w:rsidR="00BD055E" w:rsidRPr="00A65752">
              <w:rPr>
                <w:rFonts w:ascii="Times New Roman" w:hAnsi="Times New Roman"/>
                <w:sz w:val="24"/>
                <w:szCs w:val="24"/>
              </w:rPr>
              <w:t xml:space="preserve">Eiropas Savienības datubāzē </w:t>
            </w:r>
            <w:r w:rsidR="00D47092" w:rsidRPr="00C26215">
              <w:rPr>
                <w:rFonts w:ascii="Times New Roman" w:hAnsi="Times New Roman"/>
                <w:sz w:val="24"/>
                <w:szCs w:val="24"/>
              </w:rPr>
              <w:t>(</w:t>
            </w:r>
            <w:proofErr w:type="spellStart"/>
            <w:r w:rsidR="00D47092" w:rsidRPr="00C26215">
              <w:rPr>
                <w:rFonts w:ascii="Times New Roman" w:hAnsi="Times New Roman"/>
                <w:sz w:val="24"/>
                <w:szCs w:val="24"/>
              </w:rPr>
              <w:t>Eudra</w:t>
            </w:r>
            <w:proofErr w:type="spellEnd"/>
            <w:r w:rsidR="00D47092" w:rsidRPr="00C26215">
              <w:rPr>
                <w:rFonts w:ascii="Times New Roman" w:hAnsi="Times New Roman"/>
                <w:sz w:val="24"/>
                <w:szCs w:val="24"/>
              </w:rPr>
              <w:t xml:space="preserve"> GMDP)</w:t>
            </w:r>
            <w:r w:rsidR="00D47092">
              <w:rPr>
                <w:rFonts w:ascii="Times New Roman" w:hAnsi="Times New Roman"/>
                <w:sz w:val="24"/>
                <w:szCs w:val="24"/>
              </w:rPr>
              <w:t xml:space="preserve"> </w:t>
            </w:r>
            <w:r w:rsidR="00BD055E" w:rsidRPr="00A65752">
              <w:rPr>
                <w:rFonts w:ascii="Times New Roman" w:hAnsi="Times New Roman"/>
                <w:sz w:val="24"/>
                <w:szCs w:val="24"/>
              </w:rPr>
              <w:t>par ražošanas un importēšanas licencēm un labas ražošanas prakses sertifikātiem informāciju par izsniegtajām un apturētajām licencēm zāļu ražošanai vai importēšanai</w:t>
            </w:r>
            <w:r w:rsidR="00D47092">
              <w:rPr>
                <w:rFonts w:ascii="Times New Roman" w:hAnsi="Times New Roman"/>
                <w:sz w:val="24"/>
                <w:szCs w:val="24"/>
              </w:rPr>
              <w:t xml:space="preserve"> (Informācija pie</w:t>
            </w:r>
            <w:r w:rsidR="00C13315">
              <w:rPr>
                <w:rFonts w:ascii="Times New Roman" w:hAnsi="Times New Roman"/>
                <w:sz w:val="24"/>
                <w:szCs w:val="24"/>
              </w:rPr>
              <w:t>e</w:t>
            </w:r>
            <w:r w:rsidR="00D47092">
              <w:rPr>
                <w:rFonts w:ascii="Times New Roman" w:hAnsi="Times New Roman"/>
                <w:sz w:val="24"/>
                <w:szCs w:val="24"/>
              </w:rPr>
              <w:t xml:space="preserve">jama tīmekļa vietnē - </w:t>
            </w:r>
            <w:hyperlink r:id="rId14" w:history="1">
              <w:r w:rsidR="00C01634" w:rsidRPr="00007770">
                <w:rPr>
                  <w:rStyle w:val="Hyperlink"/>
                  <w:rFonts w:ascii="Times New Roman" w:hAnsi="Times New Roman"/>
                  <w:sz w:val="24"/>
                  <w:szCs w:val="24"/>
                </w:rPr>
                <w:t>http://eudragmp.ema.europa.eu/inspections/displayWelcome.do</w:t>
              </w:r>
            </w:hyperlink>
            <w:r w:rsidR="00D47092">
              <w:rPr>
                <w:rFonts w:ascii="Times New Roman" w:hAnsi="Times New Roman"/>
                <w:sz w:val="24"/>
                <w:szCs w:val="24"/>
              </w:rPr>
              <w:t>)</w:t>
            </w:r>
            <w:r w:rsidR="005E0A02" w:rsidRPr="00A65752">
              <w:rPr>
                <w:rFonts w:ascii="Times New Roman" w:hAnsi="Times New Roman"/>
                <w:sz w:val="24"/>
                <w:szCs w:val="24"/>
              </w:rPr>
              <w:t>,</w:t>
            </w:r>
          </w:p>
          <w:p w:rsidR="00C01634" w:rsidRDefault="00C01634" w:rsidP="00BD055E">
            <w:pPr>
              <w:pStyle w:val="NoSpacing"/>
              <w:jc w:val="both"/>
              <w:rPr>
                <w:rFonts w:ascii="Times New Roman" w:hAnsi="Times New Roman"/>
                <w:sz w:val="24"/>
                <w:szCs w:val="24"/>
              </w:rPr>
            </w:pPr>
          </w:p>
          <w:p w:rsidR="00137096" w:rsidRPr="00A65752" w:rsidRDefault="005E0A02" w:rsidP="00BD055E">
            <w:pPr>
              <w:pStyle w:val="NoSpacing"/>
              <w:jc w:val="both"/>
              <w:rPr>
                <w:rFonts w:ascii="Times New Roman" w:hAnsi="Times New Roman"/>
                <w:sz w:val="24"/>
                <w:szCs w:val="24"/>
              </w:rPr>
            </w:pPr>
            <w:r w:rsidRPr="00A65752">
              <w:rPr>
                <w:rFonts w:ascii="Times New Roman" w:hAnsi="Times New Roman"/>
                <w:sz w:val="24"/>
                <w:szCs w:val="24"/>
              </w:rPr>
              <w:t xml:space="preserve"> bet nenosaka prasību informāciju saistībā ar licencēm zāļu lieltirgotavas d</w:t>
            </w:r>
            <w:r w:rsidR="00853549" w:rsidRPr="00A65752">
              <w:rPr>
                <w:rFonts w:ascii="Times New Roman" w:hAnsi="Times New Roman"/>
                <w:sz w:val="24"/>
                <w:szCs w:val="24"/>
              </w:rPr>
              <w:t>arbībai ievadīt šajā datu bāzē. Līdz ar to MK noteikumu Nr.800</w:t>
            </w:r>
            <w:r w:rsidR="00337412" w:rsidRPr="00A65752">
              <w:rPr>
                <w:rFonts w:ascii="Times New Roman" w:hAnsi="Times New Roman"/>
                <w:sz w:val="24"/>
                <w:szCs w:val="24"/>
              </w:rPr>
              <w:t xml:space="preserve"> 78.7.apakšpunkts ir jāprecizē.</w:t>
            </w:r>
          </w:p>
          <w:p w:rsidR="008032FA" w:rsidRPr="00A65752" w:rsidRDefault="008032FA" w:rsidP="00852B4A">
            <w:pPr>
              <w:pStyle w:val="NoSpacing"/>
              <w:jc w:val="both"/>
              <w:rPr>
                <w:rFonts w:ascii="Times New Roman" w:hAnsi="Times New Roman"/>
                <w:sz w:val="24"/>
                <w:szCs w:val="24"/>
              </w:rPr>
            </w:pPr>
          </w:p>
          <w:p w:rsidR="00C01634" w:rsidRDefault="008A15DF" w:rsidP="008166C0">
            <w:pPr>
              <w:jc w:val="both"/>
              <w:rPr>
                <w:lang w:val="lv-LV"/>
              </w:rPr>
            </w:pPr>
            <w:r w:rsidRPr="00A65752">
              <w:rPr>
                <w:noProof/>
                <w:lang w:val="lv-LV"/>
              </w:rPr>
              <w:t xml:space="preserve">Atbilstoši Direktīvas 2011/62/EK </w:t>
            </w:r>
            <w:r w:rsidRPr="00A65752">
              <w:rPr>
                <w:lang w:val="lv-LV"/>
              </w:rPr>
              <w:t xml:space="preserve">1.panta 22.punkta (Direktīvas 2001/83 111a panta 2.paragrāfs) normai </w:t>
            </w:r>
            <w:r w:rsidR="00A8373A" w:rsidRPr="00A65752">
              <w:rPr>
                <w:lang w:val="lv-LV"/>
              </w:rPr>
              <w:t xml:space="preserve">dalībvalstis kopā ar Eiropas Zāļu aģentūru izstrādā jaunu zāļu ražošanas/importēšanas licences formu un jaunu zāļu vairumtirdzniecības licences formu, lai nodrošinātu Eiropas Savienībā vienotu licences formātu, ko </w:t>
            </w:r>
            <w:r w:rsidR="008166C0" w:rsidRPr="00A65752">
              <w:rPr>
                <w:lang w:val="lv-LV"/>
              </w:rPr>
              <w:t>Eir</w:t>
            </w:r>
            <w:r w:rsidR="00A8373A" w:rsidRPr="00A65752">
              <w:rPr>
                <w:lang w:val="lv-LV"/>
              </w:rPr>
              <w:t>opas Komisija ir apstiprinājusi. Galvenās izmaiņas ražošanas</w:t>
            </w:r>
            <w:r w:rsidR="00584924" w:rsidRPr="00A65752">
              <w:rPr>
                <w:lang w:val="lv-LV"/>
              </w:rPr>
              <w:t>/importēšanas</w:t>
            </w:r>
            <w:r w:rsidR="00A8373A" w:rsidRPr="00A65752">
              <w:rPr>
                <w:lang w:val="lv-LV"/>
              </w:rPr>
              <w:t xml:space="preserve"> licences formātā </w:t>
            </w:r>
            <w:r w:rsidR="00A02606" w:rsidRPr="00A65752">
              <w:rPr>
                <w:lang w:val="lv-LV"/>
              </w:rPr>
              <w:t xml:space="preserve">attiecas uz </w:t>
            </w:r>
            <w:r w:rsidR="008166C0" w:rsidRPr="00A65752">
              <w:rPr>
                <w:lang w:val="lv-LV"/>
              </w:rPr>
              <w:t>detalizētākas informācijas sniegšanu par zāļu importēšanas aktivitātēm, kā arī papildinot sniedzamo informāciju attiecībā uz produktiem, kas veidoti no audiem. Abi licenču formāti ir iekļauti Eiropas Komisijas apkopojumā par Kopienas inspicēšanas un informācijas apmaiņas proced</w:t>
            </w:r>
            <w:r w:rsidR="00C26215">
              <w:rPr>
                <w:lang w:val="lv-LV"/>
              </w:rPr>
              <w:t xml:space="preserve">ūrām, kas ir publicētas  tīmekļa </w:t>
            </w:r>
            <w:r w:rsidR="008166C0" w:rsidRPr="00A65752">
              <w:rPr>
                <w:lang w:val="lv-LV"/>
              </w:rPr>
              <w:t xml:space="preserve">vietnē: </w:t>
            </w:r>
            <w:hyperlink r:id="rId15" w:history="1">
              <w:r w:rsidR="00C01634" w:rsidRPr="00007770">
                <w:rPr>
                  <w:rStyle w:val="Hyperlink"/>
                  <w:lang w:val="lv-LV"/>
                </w:rPr>
                <w:t>http://www.ema.europa.eu/ema/index.jsp?curl=pages/regulation/document_listing/document_listing_000156.jsp&amp;mid=WC0b01ac05800296cb</w:t>
              </w:r>
            </w:hyperlink>
            <w:r w:rsidR="007C2311" w:rsidRPr="00A65752">
              <w:rPr>
                <w:lang w:val="lv-LV"/>
              </w:rPr>
              <w:t>.</w:t>
            </w:r>
          </w:p>
          <w:p w:rsidR="008166C0" w:rsidRPr="00A65752" w:rsidRDefault="008166C0" w:rsidP="008166C0">
            <w:pPr>
              <w:jc w:val="both"/>
              <w:rPr>
                <w:lang w:val="lv-LV"/>
              </w:rPr>
            </w:pPr>
            <w:r w:rsidRPr="00A65752">
              <w:rPr>
                <w:lang w:val="lv-LV"/>
              </w:rPr>
              <w:t>Līdz ar to ir jāprecizē M</w:t>
            </w:r>
            <w:r w:rsidR="00A02606" w:rsidRPr="00A65752">
              <w:rPr>
                <w:lang w:val="lv-LV"/>
              </w:rPr>
              <w:t>K noteikumu Nr.800 7.pielikums un s</w:t>
            </w:r>
            <w:r w:rsidRPr="00A65752">
              <w:rPr>
                <w:lang w:val="lv-LV"/>
              </w:rPr>
              <w:t xml:space="preserve">aistībā ar precizēto zāļu vairumtirdzniecības licences formātu jāprecizē MK </w:t>
            </w:r>
            <w:r w:rsidR="00A02606" w:rsidRPr="00A65752">
              <w:rPr>
                <w:lang w:val="lv-LV"/>
              </w:rPr>
              <w:t>noteikumu Nr.800 69.punkta norma</w:t>
            </w:r>
            <w:r w:rsidRPr="00A65752">
              <w:rPr>
                <w:lang w:val="lv-LV"/>
              </w:rPr>
              <w:t xml:space="preserve"> </w:t>
            </w:r>
            <w:r w:rsidR="00A02606" w:rsidRPr="00A65752">
              <w:rPr>
                <w:lang w:val="lv-LV"/>
              </w:rPr>
              <w:t xml:space="preserve">saistībā ar </w:t>
            </w:r>
            <w:r w:rsidRPr="00A65752">
              <w:rPr>
                <w:lang w:val="lv-LV"/>
              </w:rPr>
              <w:t>zāļu lieltirgot</w:t>
            </w:r>
            <w:r w:rsidR="003B707F" w:rsidRPr="00A65752">
              <w:rPr>
                <w:lang w:val="lv-LV"/>
              </w:rPr>
              <w:t xml:space="preserve">avai </w:t>
            </w:r>
            <w:r w:rsidR="003B707F" w:rsidRPr="00A65752">
              <w:rPr>
                <w:lang w:val="lv-LV"/>
              </w:rPr>
              <w:lastRenderedPageBreak/>
              <w:t>izsniedzamās licenci.</w:t>
            </w:r>
          </w:p>
          <w:p w:rsidR="008166C0" w:rsidRPr="00A65752" w:rsidRDefault="008166C0" w:rsidP="00852B4A">
            <w:pPr>
              <w:pStyle w:val="NoSpacing"/>
              <w:jc w:val="both"/>
              <w:rPr>
                <w:rFonts w:ascii="Times New Roman" w:hAnsi="Times New Roman"/>
                <w:sz w:val="24"/>
                <w:szCs w:val="24"/>
              </w:rPr>
            </w:pPr>
          </w:p>
          <w:p w:rsidR="00EF2553" w:rsidRPr="00C26215" w:rsidRDefault="00EF2553" w:rsidP="00EF2553">
            <w:pPr>
              <w:pStyle w:val="NoSpacing"/>
              <w:jc w:val="both"/>
              <w:rPr>
                <w:rFonts w:ascii="Times New Roman" w:hAnsi="Times New Roman"/>
                <w:sz w:val="24"/>
                <w:szCs w:val="24"/>
              </w:rPr>
            </w:pPr>
            <w:r w:rsidRPr="00EF2553">
              <w:rPr>
                <w:rFonts w:ascii="Times New Roman" w:hAnsi="Times New Roman"/>
                <w:sz w:val="24"/>
                <w:szCs w:val="24"/>
              </w:rPr>
              <w:t xml:space="preserve">2. Pašlaik MK noteikumi Nr.800 nosaka prasību aktīvo farmaceitisko vielu ražotājiem saņemt licenci aktīvo farmaceitisko vielu ražošanai, bet </w:t>
            </w:r>
            <w:r w:rsidRPr="00EF2553">
              <w:rPr>
                <w:rFonts w:ascii="Times New Roman" w:hAnsi="Times New Roman"/>
                <w:bCs/>
                <w:spacing w:val="-6"/>
                <w:sz w:val="24"/>
                <w:szCs w:val="24"/>
                <w:lang w:eastAsia="lv-LV"/>
              </w:rPr>
              <w:t xml:space="preserve">Direktīvas Nr.2011/62 1.panta 10.punkta  norma un atbilstoši Farmācijas likuma 51.panta otrā daļas norma nosaka prasību  reģistrēt aktīvo vielu ražotājus. </w:t>
            </w:r>
            <w:r w:rsidRPr="00C26215">
              <w:rPr>
                <w:rFonts w:ascii="Times New Roman" w:hAnsi="Times New Roman"/>
                <w:bCs/>
                <w:spacing w:val="-6"/>
                <w:sz w:val="24"/>
                <w:szCs w:val="24"/>
                <w:lang w:eastAsia="lv-LV"/>
              </w:rPr>
              <w:t xml:space="preserve">Tāpēc 2012.gada 29.novembrī pieņemtais  </w:t>
            </w:r>
            <w:r w:rsidRPr="00C26215">
              <w:rPr>
                <w:rFonts w:ascii="Times New Roman" w:hAnsi="Times New Roman"/>
                <w:sz w:val="24"/>
                <w:szCs w:val="24"/>
              </w:rPr>
              <w:t>likuma "Grozījumi Farmācijas likumā" (</w:t>
            </w:r>
            <w:hyperlink r:id="rId16" w:tgtFrame="_blank" w:history="1">
              <w:r w:rsidRPr="00C26215">
                <w:rPr>
                  <w:rStyle w:val="Hyperlink"/>
                  <w:rFonts w:ascii="Times New Roman" w:hAnsi="Times New Roman"/>
                  <w:color w:val="auto"/>
                  <w:sz w:val="24"/>
                  <w:szCs w:val="24"/>
                </w:rPr>
                <w:t>"LV", 200 (4803), 20.12.2012.</w:t>
              </w:r>
            </w:hyperlink>
            <w:r w:rsidRPr="00C26215">
              <w:rPr>
                <w:rFonts w:ascii="Times New Roman" w:hAnsi="Times New Roman"/>
                <w:sz w:val="24"/>
                <w:szCs w:val="24"/>
              </w:rPr>
              <w:t xml:space="preserve">) [stājas spēkā 03.01.2013.] 20.pants groza 51.pantu, papildinot to ar otro daļu un nosakot prasību, lai ražotu, importētu vai izplatītu aktīvās vielas, nepieciešams nodrošināt normatīvo aktu prasībām atbilstošas telpas, aprīkojumu, iekārtas un personālu, kā arī Ministru kabineta noteiktajā kārtībā reģistrēt savu darbības veidu. </w:t>
            </w:r>
            <w:r w:rsidRPr="00C26215">
              <w:rPr>
                <w:rFonts w:ascii="Times New Roman" w:hAnsi="Times New Roman"/>
                <w:bCs/>
                <w:spacing w:val="-6"/>
                <w:sz w:val="24"/>
                <w:szCs w:val="24"/>
                <w:lang w:eastAsia="lv-LV"/>
              </w:rPr>
              <w:t>Direktīvas Nr.2011/62 normas harmonizē prasības Eiropas Savienības līmenī, nosakot aktīvo vielu ražotāju, importētāju un izplatītāju reģistrēšanu kā obligātu nosacījumu.</w:t>
            </w:r>
          </w:p>
          <w:p w:rsidR="00584924" w:rsidRPr="00BA7DE5" w:rsidRDefault="00EF2553" w:rsidP="0015264B">
            <w:pPr>
              <w:pStyle w:val="NoSpacing"/>
              <w:jc w:val="both"/>
              <w:rPr>
                <w:rFonts w:ascii="Times New Roman" w:hAnsi="Times New Roman"/>
                <w:sz w:val="24"/>
                <w:szCs w:val="24"/>
              </w:rPr>
            </w:pPr>
            <w:r w:rsidRPr="00EF2553">
              <w:rPr>
                <w:rFonts w:ascii="Times New Roman" w:hAnsi="Times New Roman"/>
                <w:bCs/>
                <w:spacing w:val="-6"/>
                <w:sz w:val="24"/>
                <w:szCs w:val="24"/>
                <w:lang w:eastAsia="lv-LV"/>
              </w:rPr>
              <w:t xml:space="preserve">Lai </w:t>
            </w:r>
            <w:r w:rsidR="00A47C05" w:rsidRPr="00BA7DE5">
              <w:rPr>
                <w:rFonts w:ascii="Times New Roman" w:hAnsi="Times New Roman"/>
                <w:bCs/>
                <w:spacing w:val="-6"/>
                <w:sz w:val="24"/>
                <w:szCs w:val="24"/>
                <w:lang w:eastAsia="lv-LV"/>
              </w:rPr>
              <w:t>samazinātu administratīvo</w:t>
            </w:r>
            <w:r w:rsidRPr="00EF2553">
              <w:rPr>
                <w:rFonts w:ascii="Times New Roman" w:hAnsi="Times New Roman"/>
                <w:bCs/>
                <w:spacing w:val="-6"/>
                <w:sz w:val="24"/>
                <w:szCs w:val="24"/>
                <w:lang w:eastAsia="lv-LV"/>
              </w:rPr>
              <w:t xml:space="preserve"> slogu, </w:t>
            </w:r>
            <w:r w:rsidRPr="00EF2553">
              <w:rPr>
                <w:rFonts w:ascii="Times New Roman" w:hAnsi="Times New Roman"/>
                <w:sz w:val="24"/>
                <w:szCs w:val="24"/>
              </w:rPr>
              <w:t xml:space="preserve">licences saņemšana aktīvo vielu ražošanai </w:t>
            </w:r>
            <w:r w:rsidR="0015264B" w:rsidRPr="00BA7DE5">
              <w:rPr>
                <w:rFonts w:ascii="Times New Roman" w:hAnsi="Times New Roman"/>
                <w:sz w:val="24"/>
                <w:szCs w:val="24"/>
              </w:rPr>
              <w:t xml:space="preserve">MK noteikumos Nr.800 </w:t>
            </w:r>
            <w:r w:rsidRPr="00EF2553">
              <w:rPr>
                <w:rFonts w:ascii="Times New Roman" w:hAnsi="Times New Roman"/>
                <w:sz w:val="24"/>
                <w:szCs w:val="24"/>
              </w:rPr>
              <w:t xml:space="preserve">nebūtu paturama kā obligāta prasība, jo aktīvo vielu ražotājam </w:t>
            </w:r>
            <w:r w:rsidR="0015264B" w:rsidRPr="00BA7DE5">
              <w:rPr>
                <w:rFonts w:ascii="Times New Roman" w:hAnsi="Times New Roman"/>
                <w:sz w:val="24"/>
                <w:szCs w:val="24"/>
              </w:rPr>
              <w:t xml:space="preserve">atbilstoši Farmācijas likuma normām būs </w:t>
            </w:r>
            <w:r w:rsidRPr="00EF2553">
              <w:rPr>
                <w:rFonts w:ascii="Times New Roman" w:hAnsi="Times New Roman"/>
                <w:sz w:val="24"/>
                <w:szCs w:val="24"/>
              </w:rPr>
              <w:t xml:space="preserve">jāreģistrējas Zāļu valsts aģentūrā normatīvajos aktos par aktīvo vielu </w:t>
            </w:r>
            <w:r w:rsidR="0015264B" w:rsidRPr="00BA7DE5">
              <w:rPr>
                <w:rFonts w:ascii="Times New Roman" w:hAnsi="Times New Roman"/>
                <w:sz w:val="24"/>
                <w:szCs w:val="24"/>
              </w:rPr>
              <w:t>importēšanu un izplatīšanas k</w:t>
            </w:r>
            <w:r w:rsidR="00C26215">
              <w:rPr>
                <w:rFonts w:ascii="Times New Roman" w:hAnsi="Times New Roman"/>
                <w:sz w:val="24"/>
                <w:szCs w:val="24"/>
              </w:rPr>
              <w:t>ārtību noteiktajā</w:t>
            </w:r>
            <w:r w:rsidRPr="00EF2553">
              <w:rPr>
                <w:rFonts w:ascii="Times New Roman" w:hAnsi="Times New Roman"/>
                <w:sz w:val="24"/>
                <w:szCs w:val="24"/>
              </w:rPr>
              <w:t xml:space="preserve"> kārtībā</w:t>
            </w:r>
            <w:r w:rsidR="0015264B" w:rsidRPr="00BA7DE5">
              <w:rPr>
                <w:rFonts w:ascii="Times New Roman" w:hAnsi="Times New Roman"/>
                <w:sz w:val="24"/>
                <w:szCs w:val="24"/>
              </w:rPr>
              <w:t xml:space="preserve"> (Ministru kabineta noteikumu projekts ir izsludin</w:t>
            </w:r>
            <w:r w:rsidR="00235EB9">
              <w:rPr>
                <w:rFonts w:ascii="Times New Roman" w:hAnsi="Times New Roman"/>
                <w:sz w:val="24"/>
                <w:szCs w:val="24"/>
              </w:rPr>
              <w:t>āts VSS 2013.gada 11</w:t>
            </w:r>
            <w:r w:rsidR="0015264B" w:rsidRPr="00BA7DE5">
              <w:rPr>
                <w:rFonts w:ascii="Times New Roman" w:hAnsi="Times New Roman"/>
                <w:sz w:val="24"/>
                <w:szCs w:val="24"/>
              </w:rPr>
              <w:t>.apr</w:t>
            </w:r>
            <w:r w:rsidRPr="00EF2553">
              <w:rPr>
                <w:rFonts w:ascii="Times New Roman" w:hAnsi="Times New Roman"/>
                <w:sz w:val="24"/>
                <w:szCs w:val="24"/>
              </w:rPr>
              <w:t>īlī, VSS- 334). Taču</w:t>
            </w:r>
            <w:r w:rsidR="0015264B" w:rsidRPr="00BA7DE5">
              <w:rPr>
                <w:rFonts w:ascii="Times New Roman" w:hAnsi="Times New Roman"/>
                <w:sz w:val="24"/>
                <w:szCs w:val="24"/>
              </w:rPr>
              <w:t>, ņemot vērā to, ka eksport</w:t>
            </w:r>
            <w:r w:rsidRPr="00EF2553">
              <w:rPr>
                <w:rFonts w:ascii="Times New Roman" w:hAnsi="Times New Roman"/>
                <w:sz w:val="24"/>
                <w:szCs w:val="24"/>
              </w:rPr>
              <w:t>ējot aktīvās vielas uz trešajām valstīm varētu būt vajadzīga aktīvo vielu ražošanas licence, aktīvo vielu ražotājam būtu jādod tiesības pieprasīt šādu licenci Zāļu valsts aģentūrā, ja tās iesniegšana ir nepieciešama ārvalstīs saistībā ar aktīvo vielu eksportu un izplatīšanu.</w:t>
            </w:r>
          </w:p>
          <w:p w:rsidR="00584924" w:rsidRPr="00BA7DE5" w:rsidRDefault="00584924" w:rsidP="00852B4A">
            <w:pPr>
              <w:pStyle w:val="NoSpacing"/>
              <w:jc w:val="both"/>
              <w:rPr>
                <w:rFonts w:ascii="Times New Roman" w:hAnsi="Times New Roman"/>
                <w:sz w:val="24"/>
                <w:szCs w:val="24"/>
              </w:rPr>
            </w:pPr>
          </w:p>
          <w:p w:rsidR="00852B4A" w:rsidRPr="00A65752" w:rsidRDefault="00584924" w:rsidP="00852B4A">
            <w:pPr>
              <w:pStyle w:val="NoSpacing"/>
              <w:jc w:val="both"/>
              <w:rPr>
                <w:rFonts w:ascii="Times New Roman" w:hAnsi="Times New Roman"/>
                <w:sz w:val="24"/>
                <w:szCs w:val="24"/>
              </w:rPr>
            </w:pPr>
            <w:r w:rsidRPr="00A65752">
              <w:rPr>
                <w:rFonts w:ascii="Times New Roman" w:hAnsi="Times New Roman"/>
                <w:sz w:val="24"/>
                <w:szCs w:val="24"/>
              </w:rPr>
              <w:t>3.</w:t>
            </w:r>
            <w:r w:rsidR="00410AD3" w:rsidRPr="00A65752">
              <w:rPr>
                <w:rFonts w:ascii="Times New Roman" w:hAnsi="Times New Roman"/>
                <w:sz w:val="24"/>
                <w:szCs w:val="24"/>
              </w:rPr>
              <w:t xml:space="preserve">Vienlaicīgi MK noteikumi Nr.800 ir redakcionāli jāprecizē atbilstoši Ministru kabineta 2009.gada 3.februāra noteikumu Nr.108 ”Normatīvo aktu projektu sagatavošanas noteikumi” </w:t>
            </w:r>
            <w:r w:rsidR="00410AD3" w:rsidRPr="00A65752">
              <w:rPr>
                <w:rFonts w:ascii="Times New Roman" w:hAnsi="Times New Roman"/>
                <w:bCs/>
                <w:sz w:val="24"/>
                <w:szCs w:val="24"/>
              </w:rPr>
              <w:t xml:space="preserve">(turpmāk – MK noteikumi Nr.108) 2.3.apakšpunktam, lai nodrošinātu atbilstību Farmācijas likumā iekļautajiem terminiem un Valsts Valodu centra Farmācijas terminoloģijas saskaņošanas darba grupas izstrādātajiem Farmācijas terminiem. </w:t>
            </w:r>
            <w:r w:rsidR="00410AD3" w:rsidRPr="00A65752">
              <w:rPr>
                <w:rFonts w:ascii="Times New Roman" w:hAnsi="Times New Roman"/>
                <w:sz w:val="24"/>
                <w:szCs w:val="24"/>
              </w:rPr>
              <w:t>MK noteikumos Nr.800 ir iekļauts termins</w:t>
            </w:r>
            <w:r w:rsidR="00410AD3" w:rsidRPr="00A65752">
              <w:rPr>
                <w:rFonts w:ascii="Times New Roman" w:hAnsi="Times New Roman"/>
                <w:bCs/>
                <w:sz w:val="24"/>
                <w:szCs w:val="24"/>
              </w:rPr>
              <w:t xml:space="preserve"> </w:t>
            </w:r>
            <w:r w:rsidR="00410AD3" w:rsidRPr="00A65752">
              <w:rPr>
                <w:rFonts w:ascii="Times New Roman" w:hAnsi="Times New Roman"/>
                <w:sz w:val="24"/>
                <w:szCs w:val="24"/>
              </w:rPr>
              <w:t xml:space="preserve">”aktīvā </w:t>
            </w:r>
            <w:r w:rsidRPr="00A65752">
              <w:rPr>
                <w:rFonts w:ascii="Times New Roman" w:hAnsi="Times New Roman"/>
                <w:sz w:val="24"/>
                <w:szCs w:val="24"/>
              </w:rPr>
              <w:t xml:space="preserve">farmaceitiskā </w:t>
            </w:r>
            <w:r w:rsidR="00410AD3" w:rsidRPr="00A65752">
              <w:rPr>
                <w:rFonts w:ascii="Times New Roman" w:hAnsi="Times New Roman"/>
                <w:sz w:val="24"/>
                <w:szCs w:val="24"/>
              </w:rPr>
              <w:t>viela”, savukārt Farmācijas likumā 1.pantā 1.</w:t>
            </w:r>
            <w:r w:rsidR="00410AD3" w:rsidRPr="00A65752">
              <w:rPr>
                <w:rFonts w:ascii="Times New Roman" w:hAnsi="Times New Roman"/>
                <w:sz w:val="24"/>
                <w:szCs w:val="24"/>
                <w:vertAlign w:val="superscript"/>
              </w:rPr>
              <w:t>1</w:t>
            </w:r>
            <w:r w:rsidR="00410AD3" w:rsidRPr="00A65752">
              <w:rPr>
                <w:rFonts w:ascii="Times New Roman" w:hAnsi="Times New Roman"/>
                <w:sz w:val="24"/>
                <w:szCs w:val="24"/>
              </w:rPr>
              <w:t>pantā ir iekļauts termins “aktīvā viela”.</w:t>
            </w:r>
            <w:r w:rsidR="00410AD3" w:rsidRPr="00A65752">
              <w:rPr>
                <w:rFonts w:ascii="Times New Roman" w:hAnsi="Times New Roman"/>
                <w:bCs/>
                <w:sz w:val="24"/>
                <w:szCs w:val="24"/>
              </w:rPr>
              <w:t xml:space="preserve"> </w:t>
            </w:r>
            <w:r w:rsidR="00410AD3" w:rsidRPr="00A65752">
              <w:rPr>
                <w:rFonts w:ascii="Times New Roman" w:hAnsi="Times New Roman"/>
                <w:sz w:val="24"/>
                <w:szCs w:val="24"/>
              </w:rPr>
              <w:t>Līdz ar to rodas satura neskaidrība un terminoloģijas konsekvence nav ievērota, tāpēc MK noteikumos Nr.800 terminoloģija ir jāsaskaņo</w:t>
            </w:r>
            <w:r w:rsidR="00410AD3" w:rsidRPr="00A65752">
              <w:rPr>
                <w:rFonts w:ascii="Times New Roman" w:hAnsi="Times New Roman"/>
                <w:bCs/>
                <w:sz w:val="24"/>
                <w:szCs w:val="24"/>
              </w:rPr>
              <w:t xml:space="preserve"> ar Farmācijas likuma un </w:t>
            </w:r>
            <w:r w:rsidR="00410AD3" w:rsidRPr="00A65752">
              <w:rPr>
                <w:rFonts w:ascii="Times New Roman" w:hAnsi="Times New Roman"/>
                <w:sz w:val="24"/>
                <w:szCs w:val="24"/>
              </w:rPr>
              <w:t>Direktīvas Nr.2011/62/ES terminoloģiju.</w:t>
            </w:r>
          </w:p>
          <w:p w:rsidR="00410AD3" w:rsidRPr="00A65752" w:rsidRDefault="00410AD3" w:rsidP="00852B4A">
            <w:pPr>
              <w:pStyle w:val="NoSpacing"/>
              <w:jc w:val="both"/>
              <w:rPr>
                <w:rFonts w:ascii="Times New Roman" w:hAnsi="Times New Roman"/>
                <w:sz w:val="24"/>
                <w:szCs w:val="24"/>
              </w:rPr>
            </w:pPr>
          </w:p>
          <w:p w:rsidR="00C01221" w:rsidRDefault="00584924" w:rsidP="007F7488">
            <w:pPr>
              <w:jc w:val="both"/>
            </w:pPr>
            <w:r w:rsidRPr="00A65752">
              <w:rPr>
                <w:lang w:val="lv-LV"/>
              </w:rPr>
              <w:t>4</w:t>
            </w:r>
            <w:r w:rsidR="008032FA" w:rsidRPr="00A65752">
              <w:rPr>
                <w:lang w:val="lv-LV"/>
              </w:rPr>
              <w:t>. </w:t>
            </w:r>
            <w:r w:rsidR="00F44AA0" w:rsidRPr="00A65752">
              <w:rPr>
                <w:lang w:val="lv-LV"/>
              </w:rPr>
              <w:t xml:space="preserve">Eiropas Komisija ir precizējusi </w:t>
            </w:r>
            <w:r w:rsidR="00E543CB" w:rsidRPr="00A65752">
              <w:rPr>
                <w:lang w:val="lv-LV"/>
              </w:rPr>
              <w:t xml:space="preserve">zāļu </w:t>
            </w:r>
            <w:r w:rsidR="00F44AA0" w:rsidRPr="00A65752">
              <w:rPr>
                <w:lang w:val="lv-LV"/>
              </w:rPr>
              <w:t xml:space="preserve">ražotnes aprakstu, kuru zāļu ražotājs </w:t>
            </w:r>
            <w:r w:rsidR="00E543CB" w:rsidRPr="00A65752">
              <w:rPr>
                <w:lang w:val="lv-LV"/>
              </w:rPr>
              <w:t>ie</w:t>
            </w:r>
            <w:r w:rsidR="00F44AA0" w:rsidRPr="00A65752">
              <w:rPr>
                <w:lang w:val="lv-LV"/>
              </w:rPr>
              <w:t xml:space="preserve">sniedz kā vienu no dokumentiem </w:t>
            </w:r>
            <w:r w:rsidR="00E543CB" w:rsidRPr="00A65752">
              <w:rPr>
                <w:lang w:val="lv-LV"/>
              </w:rPr>
              <w:t xml:space="preserve">zāļu ražošanas licences saņemšanai. Ražotnes apraksts ir iekļauts Farmācijas likuma </w:t>
            </w:r>
            <w:r w:rsidR="00E543CB" w:rsidRPr="00A65752">
              <w:rPr>
                <w:bCs/>
                <w:lang w:val="lv-LV"/>
              </w:rPr>
              <w:t>25.</w:t>
            </w:r>
            <w:r w:rsidR="00E543CB" w:rsidRPr="00A65752">
              <w:rPr>
                <w:bCs/>
                <w:vertAlign w:val="superscript"/>
                <w:lang w:val="lv-LV"/>
              </w:rPr>
              <w:t>2</w:t>
            </w:r>
            <w:r w:rsidR="00E543CB" w:rsidRPr="00A65752">
              <w:rPr>
                <w:bCs/>
                <w:lang w:val="lv-LV"/>
              </w:rPr>
              <w:t xml:space="preserve">pantā minētajos </w:t>
            </w:r>
            <w:r w:rsidR="00E65214" w:rsidRPr="00A65752">
              <w:rPr>
                <w:lang w:val="lv-LV"/>
              </w:rPr>
              <w:t xml:space="preserve">Eiropas Komisijas ieteikumos (vadlīnijas), kas publicēti Eiropas Kopienas Zāļu tiesiskā regulējuma dokumentu IV krājumā </w:t>
            </w:r>
            <w:r w:rsidR="00E65214" w:rsidRPr="00A65752">
              <w:rPr>
                <w:lang w:val="lv-LV"/>
              </w:rPr>
              <w:lastRenderedPageBreak/>
              <w:t>(</w:t>
            </w:r>
            <w:r w:rsidR="00E65214" w:rsidRPr="00A65752">
              <w:rPr>
                <w:i/>
                <w:iCs/>
                <w:lang w:val="lv-LV"/>
              </w:rPr>
              <w:t>Eudralex</w:t>
            </w:r>
            <w:r w:rsidR="00E65214" w:rsidRPr="00A65752">
              <w:rPr>
                <w:lang w:val="lv-LV"/>
              </w:rPr>
              <w:t xml:space="preserve">) </w:t>
            </w:r>
            <w:r w:rsidR="00C01221" w:rsidRPr="00A65752">
              <w:rPr>
                <w:lang w:val="lv-LV"/>
              </w:rPr>
              <w:t xml:space="preserve">par zāļu labi ražošanas praksi, kas ir publicētas tīmekļa vietnē: </w:t>
            </w:r>
            <w:r w:rsidR="001A52F9" w:rsidRPr="001A52F9">
              <w:t>http://ec.europa.eu/health/documents/eudralex/vol-4/index_en.htm</w:t>
            </w:r>
            <w:r w:rsidR="001A52F9">
              <w:t>;</w:t>
            </w:r>
          </w:p>
          <w:p w:rsidR="00F44AA0" w:rsidRPr="00A65752" w:rsidRDefault="00E079E4" w:rsidP="007F7488">
            <w:pPr>
              <w:jc w:val="both"/>
              <w:rPr>
                <w:lang w:val="lv-LV"/>
              </w:rPr>
            </w:pPr>
            <w:hyperlink r:id="rId17" w:history="1">
              <w:r w:rsidR="00C26215" w:rsidRPr="00007770">
                <w:rPr>
                  <w:rStyle w:val="Hyperlink"/>
                  <w:lang w:val="lv-LV"/>
                </w:rPr>
                <w:t>http://ec.europa.eu/health/files/eudralex/vol-4/2011_site_master_file_en.pdf</w:t>
              </w:r>
            </w:hyperlink>
            <w:r w:rsidR="00C26215">
              <w:rPr>
                <w:lang w:val="lv-LV"/>
              </w:rPr>
              <w:t xml:space="preserve"> </w:t>
            </w:r>
            <w:r w:rsidR="00F44AA0" w:rsidRPr="00A65752">
              <w:rPr>
                <w:lang w:val="lv-LV"/>
              </w:rPr>
              <w:t xml:space="preserve">Līdz ar to </w:t>
            </w:r>
            <w:r w:rsidR="00C740C8" w:rsidRPr="00A65752">
              <w:rPr>
                <w:lang w:val="lv-LV"/>
              </w:rPr>
              <w:t>MK noteikumu Nr.800 2.pielikumā noteiktais ražotnes apraksts ir jāprecizē</w:t>
            </w:r>
            <w:r w:rsidR="00222FDE" w:rsidRPr="00A65752">
              <w:rPr>
                <w:lang w:val="lv-LV"/>
              </w:rPr>
              <w:t xml:space="preserve"> atbilstoši Eiropas Komisijas apstiprinātajam zāļu aprakstam.</w:t>
            </w:r>
          </w:p>
          <w:p w:rsidR="00F44AA0" w:rsidRPr="00A65752" w:rsidRDefault="00F44AA0" w:rsidP="007F7488">
            <w:pPr>
              <w:jc w:val="both"/>
              <w:rPr>
                <w:lang w:val="lv-LV"/>
              </w:rPr>
            </w:pPr>
          </w:p>
          <w:p w:rsidR="006D600A" w:rsidRPr="00A65752" w:rsidRDefault="00584924" w:rsidP="004F7698">
            <w:pPr>
              <w:pStyle w:val="NoSpacing"/>
              <w:jc w:val="both"/>
              <w:rPr>
                <w:rFonts w:ascii="Times New Roman" w:hAnsi="Times New Roman"/>
                <w:sz w:val="24"/>
                <w:szCs w:val="24"/>
              </w:rPr>
            </w:pPr>
            <w:r w:rsidRPr="00A65752">
              <w:rPr>
                <w:rFonts w:ascii="Times New Roman" w:hAnsi="Times New Roman"/>
              </w:rPr>
              <w:t>5</w:t>
            </w:r>
            <w:r w:rsidR="008032FA" w:rsidRPr="00A65752">
              <w:rPr>
                <w:rFonts w:ascii="Times New Roman" w:hAnsi="Times New Roman"/>
              </w:rPr>
              <w:t>. </w:t>
            </w:r>
            <w:r w:rsidR="00092BAE" w:rsidRPr="00A65752">
              <w:rPr>
                <w:rFonts w:ascii="Times New Roman" w:hAnsi="Times New Roman"/>
                <w:sz w:val="24"/>
                <w:szCs w:val="24"/>
              </w:rPr>
              <w:t>Grozījums</w:t>
            </w:r>
            <w:r w:rsidR="002D2745" w:rsidRPr="00A65752">
              <w:rPr>
                <w:rFonts w:ascii="Times New Roman" w:hAnsi="Times New Roman"/>
                <w:sz w:val="24"/>
                <w:szCs w:val="24"/>
              </w:rPr>
              <w:t xml:space="preserve"> Farmācijas likumā</w:t>
            </w:r>
            <w:r w:rsidR="00092BAE" w:rsidRPr="00A65752">
              <w:rPr>
                <w:rFonts w:ascii="Times New Roman" w:hAnsi="Times New Roman"/>
                <w:sz w:val="24"/>
                <w:szCs w:val="24"/>
              </w:rPr>
              <w:t>, pieņemti 2012.gada 29.novembrī</w:t>
            </w:r>
            <w:r w:rsidR="002D2745" w:rsidRPr="00A65752">
              <w:rPr>
                <w:rFonts w:ascii="Times New Roman" w:hAnsi="Times New Roman"/>
                <w:sz w:val="24"/>
                <w:szCs w:val="24"/>
              </w:rPr>
              <w:t xml:space="preserve"> 2.pantā izdarīja grozījumu Farmācijas likuma 5.pantā, papildinot to ar jaunu 26.punktu, </w:t>
            </w:r>
            <w:r w:rsidR="00092BAE" w:rsidRPr="00A65752">
              <w:rPr>
                <w:rFonts w:ascii="Times New Roman" w:hAnsi="Times New Roman"/>
                <w:sz w:val="24"/>
                <w:szCs w:val="24"/>
              </w:rPr>
              <w:t>nosakot</w:t>
            </w:r>
            <w:r w:rsidR="002D2745" w:rsidRPr="00A65752">
              <w:rPr>
                <w:rFonts w:ascii="Times New Roman" w:hAnsi="Times New Roman"/>
                <w:sz w:val="24"/>
                <w:szCs w:val="24"/>
              </w:rPr>
              <w:t xml:space="preserve"> Ministru kabineta</w:t>
            </w:r>
            <w:r w:rsidR="00092BAE" w:rsidRPr="00A65752">
              <w:rPr>
                <w:rFonts w:ascii="Times New Roman" w:hAnsi="Times New Roman"/>
                <w:sz w:val="24"/>
                <w:szCs w:val="24"/>
              </w:rPr>
              <w:t>m</w:t>
            </w:r>
            <w:r w:rsidR="002D2745" w:rsidRPr="00A65752">
              <w:rPr>
                <w:rFonts w:ascii="Times New Roman" w:hAnsi="Times New Roman"/>
                <w:sz w:val="24"/>
                <w:szCs w:val="24"/>
              </w:rPr>
              <w:t xml:space="preserve"> deleģējumu noteikt aptiekā</w:t>
            </w:r>
            <w:r w:rsidR="00A23610" w:rsidRPr="00A65752">
              <w:rPr>
                <w:rFonts w:ascii="Times New Roman" w:hAnsi="Times New Roman"/>
                <w:sz w:val="24"/>
                <w:szCs w:val="24"/>
              </w:rPr>
              <w:t>s izplatāmos pārtikas produktus, ka p</w:t>
            </w:r>
            <w:r w:rsidR="006D600A" w:rsidRPr="00A65752">
              <w:rPr>
                <w:rFonts w:ascii="Times New Roman" w:hAnsi="Times New Roman"/>
                <w:sz w:val="24"/>
                <w:szCs w:val="24"/>
              </w:rPr>
              <w:t>ašlaik</w:t>
            </w:r>
            <w:r w:rsidR="009B2EA1" w:rsidRPr="00A65752">
              <w:rPr>
                <w:rFonts w:ascii="Times New Roman" w:hAnsi="Times New Roman"/>
                <w:sz w:val="24"/>
                <w:szCs w:val="24"/>
              </w:rPr>
              <w:t xml:space="preserve"> </w:t>
            </w:r>
            <w:r w:rsidR="004F7698">
              <w:rPr>
                <w:rFonts w:ascii="Times New Roman" w:hAnsi="Times New Roman"/>
                <w:sz w:val="24"/>
                <w:szCs w:val="24"/>
              </w:rPr>
              <w:t xml:space="preserve">tie </w:t>
            </w:r>
            <w:r w:rsidR="00A23610" w:rsidRPr="00A65752">
              <w:rPr>
                <w:rFonts w:ascii="Times New Roman" w:hAnsi="Times New Roman"/>
                <w:sz w:val="24"/>
                <w:szCs w:val="24"/>
              </w:rPr>
              <w:t xml:space="preserve"> jau </w:t>
            </w:r>
            <w:r w:rsidR="004F7698">
              <w:rPr>
                <w:rFonts w:ascii="Times New Roman" w:hAnsi="Times New Roman"/>
                <w:sz w:val="24"/>
                <w:szCs w:val="24"/>
              </w:rPr>
              <w:t>ir noteikti</w:t>
            </w:r>
            <w:r w:rsidR="00A23610" w:rsidRPr="00A65752">
              <w:rPr>
                <w:rFonts w:ascii="Times New Roman" w:hAnsi="Times New Roman"/>
                <w:sz w:val="24"/>
                <w:szCs w:val="24"/>
              </w:rPr>
              <w:t xml:space="preserve"> ar </w:t>
            </w:r>
            <w:r w:rsidR="009B2EA1" w:rsidRPr="00A65752">
              <w:rPr>
                <w:rFonts w:ascii="Times New Roman" w:hAnsi="Times New Roman"/>
                <w:sz w:val="24"/>
                <w:szCs w:val="24"/>
              </w:rPr>
              <w:t>MK noteikumu</w:t>
            </w:r>
            <w:r w:rsidR="008032FA" w:rsidRPr="00A65752">
              <w:rPr>
                <w:rFonts w:ascii="Times New Roman" w:hAnsi="Times New Roman"/>
                <w:sz w:val="24"/>
                <w:szCs w:val="24"/>
              </w:rPr>
              <w:t xml:space="preserve"> Nr.800 </w:t>
            </w:r>
            <w:r w:rsidR="00A23610" w:rsidRPr="00A65752">
              <w:rPr>
                <w:rFonts w:ascii="Times New Roman" w:hAnsi="Times New Roman"/>
                <w:sz w:val="24"/>
                <w:szCs w:val="24"/>
              </w:rPr>
              <w:t>7.punkta normu. L</w:t>
            </w:r>
            <w:r w:rsidR="009B2EA1" w:rsidRPr="00A65752">
              <w:rPr>
                <w:rFonts w:ascii="Times New Roman" w:hAnsi="Times New Roman"/>
                <w:sz w:val="24"/>
                <w:szCs w:val="24"/>
              </w:rPr>
              <w:t xml:space="preserve">icencētai vispārēja tipa aptiekai </w:t>
            </w:r>
            <w:r w:rsidR="00A23610" w:rsidRPr="00A65752">
              <w:rPr>
                <w:rFonts w:ascii="Times New Roman" w:hAnsi="Times New Roman"/>
                <w:sz w:val="24"/>
                <w:szCs w:val="24"/>
              </w:rPr>
              <w:t xml:space="preserve">ir </w:t>
            </w:r>
            <w:r w:rsidR="009B2EA1" w:rsidRPr="00A65752">
              <w:rPr>
                <w:rFonts w:ascii="Times New Roman" w:hAnsi="Times New Roman"/>
                <w:sz w:val="24"/>
                <w:szCs w:val="24"/>
              </w:rPr>
              <w:t xml:space="preserve">tiesības izplatīt konkrētus pārtikas produktus, kā uztura bagātinātājus, dzeramo ūdeni, minerālūdeni un avota ūdeni, ārstniecības augus un ārstniecības augu tējas, medu un biškopības produktus, diētisko pārtiku, tai skaitā, mākslīgos maisījumus un papildu ēdināšanas maisījumus zīdaiņiem, zīdaiņiem un maziem bērniem paredzēto pārtiku, diētisko pārtiku ar samazinātu enerģētisko vērtību, diētisko pārtiku cilvēkiem ar veselības traucējumiem, košļājamo gumiju, mutes atsvaidzinātājus, pretklepus karameles un karameles ar vitamīniem, kā arī fasētus augu izcelsmes bioloģiskos pārtikas produktus. </w:t>
            </w:r>
            <w:r w:rsidR="00A23610" w:rsidRPr="00A65752">
              <w:rPr>
                <w:rFonts w:ascii="Times New Roman" w:hAnsi="Times New Roman"/>
                <w:sz w:val="24"/>
                <w:szCs w:val="24"/>
              </w:rPr>
              <w:t>Līdz ar to</w:t>
            </w:r>
            <w:r w:rsidR="002D2745" w:rsidRPr="00A65752">
              <w:rPr>
                <w:rFonts w:ascii="Times New Roman" w:hAnsi="Times New Roman"/>
                <w:sz w:val="24"/>
                <w:szCs w:val="24"/>
              </w:rPr>
              <w:t xml:space="preserve"> </w:t>
            </w:r>
            <w:r w:rsidR="00484407" w:rsidRPr="00A65752">
              <w:rPr>
                <w:rFonts w:ascii="Times New Roman" w:hAnsi="Times New Roman"/>
                <w:sz w:val="24"/>
                <w:szCs w:val="24"/>
              </w:rPr>
              <w:t>MK noteikumos</w:t>
            </w:r>
            <w:r w:rsidR="002D2745" w:rsidRPr="00A65752">
              <w:rPr>
                <w:rFonts w:ascii="Times New Roman" w:hAnsi="Times New Roman"/>
                <w:sz w:val="24"/>
                <w:szCs w:val="24"/>
              </w:rPr>
              <w:t xml:space="preserve"> Nr.800</w:t>
            </w:r>
            <w:r w:rsidR="00A23610" w:rsidRPr="00A65752">
              <w:rPr>
                <w:rFonts w:ascii="Times New Roman" w:hAnsi="Times New Roman"/>
                <w:sz w:val="24"/>
                <w:szCs w:val="24"/>
              </w:rPr>
              <w:t>, kuru normas</w:t>
            </w:r>
            <w:r w:rsidR="002D2745" w:rsidRPr="00A65752">
              <w:rPr>
                <w:rFonts w:ascii="Times New Roman" w:hAnsi="Times New Roman"/>
                <w:sz w:val="24"/>
                <w:szCs w:val="24"/>
              </w:rPr>
              <w:t xml:space="preserve"> jau pašlaik regulē aptiekās izplatīt atļautos pārtikas produktus, </w:t>
            </w:r>
            <w:r w:rsidR="00484407" w:rsidRPr="00A65752">
              <w:rPr>
                <w:rFonts w:ascii="Times New Roman" w:hAnsi="Times New Roman"/>
                <w:lang w:eastAsia="lv-LV"/>
              </w:rPr>
              <w:t>jāprecizē</w:t>
            </w:r>
            <w:r w:rsidR="00ED7A52" w:rsidRPr="00A65752">
              <w:rPr>
                <w:rFonts w:ascii="Times New Roman" w:hAnsi="Times New Roman"/>
                <w:lang w:eastAsia="lv-LV"/>
              </w:rPr>
              <w:t xml:space="preserve"> </w:t>
            </w:r>
            <w:r w:rsidR="0029481E" w:rsidRPr="00A65752">
              <w:rPr>
                <w:rFonts w:ascii="Times New Roman" w:hAnsi="Times New Roman"/>
                <w:sz w:val="24"/>
                <w:szCs w:val="24"/>
              </w:rPr>
              <w:t xml:space="preserve">norāde, uz kāda likuma pamata </w:t>
            </w:r>
            <w:r w:rsidR="00484407" w:rsidRPr="00A65752">
              <w:rPr>
                <w:rFonts w:ascii="Times New Roman" w:hAnsi="Times New Roman"/>
                <w:sz w:val="24"/>
                <w:szCs w:val="24"/>
              </w:rPr>
              <w:t xml:space="preserve">minētie </w:t>
            </w:r>
            <w:r w:rsidR="0029481E" w:rsidRPr="00A65752">
              <w:rPr>
                <w:rFonts w:ascii="Times New Roman" w:hAnsi="Times New Roman"/>
                <w:sz w:val="24"/>
                <w:szCs w:val="24"/>
              </w:rPr>
              <w:t xml:space="preserve">noteikumi </w:t>
            </w:r>
            <w:r w:rsidR="00484407" w:rsidRPr="00A65752">
              <w:rPr>
                <w:rFonts w:ascii="Times New Roman" w:hAnsi="Times New Roman"/>
                <w:sz w:val="24"/>
                <w:szCs w:val="24"/>
              </w:rPr>
              <w:t xml:space="preserve">ir </w:t>
            </w:r>
            <w:r w:rsidR="0029481E" w:rsidRPr="00A65752">
              <w:rPr>
                <w:rFonts w:ascii="Times New Roman" w:hAnsi="Times New Roman"/>
                <w:sz w:val="24"/>
                <w:szCs w:val="24"/>
              </w:rPr>
              <w:t>izdoti, ar atsauci uz Fa</w:t>
            </w:r>
            <w:r w:rsidR="00AA3939" w:rsidRPr="00A65752">
              <w:rPr>
                <w:rFonts w:ascii="Times New Roman" w:hAnsi="Times New Roman"/>
                <w:sz w:val="24"/>
                <w:szCs w:val="24"/>
              </w:rPr>
              <w:t xml:space="preserve">rmācijas likuma </w:t>
            </w:r>
            <w:r w:rsidR="0029481E" w:rsidRPr="00A65752">
              <w:rPr>
                <w:rFonts w:ascii="Times New Roman" w:hAnsi="Times New Roman"/>
                <w:sz w:val="24"/>
                <w:szCs w:val="24"/>
              </w:rPr>
              <w:t>5.panta 26.punktu, lai samazinātu administratīvo slogu sakarā ar jauna normatīvā akta izdošanu.</w:t>
            </w:r>
          </w:p>
        </w:tc>
      </w:tr>
      <w:tr w:rsidR="004134D0" w:rsidRPr="00A65752" w:rsidTr="00C26215">
        <w:trPr>
          <w:gridBefore w:val="1"/>
          <w:gridAfter w:val="3"/>
          <w:wBefore w:w="32" w:type="dxa"/>
          <w:wAfter w:w="2677" w:type="dxa"/>
          <w:trHeight w:val="634"/>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lastRenderedPageBreak/>
              <w:t>3.</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Saistītie politikas ietekmes novērtējumi un pētījumi</w:t>
            </w:r>
          </w:p>
        </w:tc>
        <w:tc>
          <w:tcPr>
            <w:tcW w:w="7372" w:type="dxa"/>
            <w:gridSpan w:val="6"/>
            <w:tcBorders>
              <w:top w:val="single" w:sz="4" w:space="0" w:color="auto"/>
              <w:left w:val="single" w:sz="4" w:space="0" w:color="auto"/>
              <w:bottom w:val="single" w:sz="4" w:space="0" w:color="auto"/>
              <w:right w:val="single" w:sz="4" w:space="0" w:color="auto"/>
            </w:tcBorders>
            <w:hideMark/>
          </w:tcPr>
          <w:p w:rsidR="004134D0" w:rsidRPr="00A65752" w:rsidRDefault="00756B26" w:rsidP="004134D0">
            <w:pPr>
              <w:pStyle w:val="FootnoteText"/>
              <w:rPr>
                <w:color w:val="auto"/>
                <w:sz w:val="24"/>
                <w:szCs w:val="24"/>
              </w:rPr>
            </w:pPr>
            <w:r w:rsidRPr="00A65752">
              <w:rPr>
                <w:color w:val="auto"/>
                <w:sz w:val="24"/>
                <w:szCs w:val="24"/>
              </w:rPr>
              <w:t>Projekts šo jomu neskar</w:t>
            </w:r>
            <w:r w:rsidR="007C2311" w:rsidRPr="00A65752">
              <w:rPr>
                <w:color w:val="auto"/>
                <w:sz w:val="24"/>
                <w:szCs w:val="24"/>
              </w:rPr>
              <w:t>.</w:t>
            </w:r>
          </w:p>
        </w:tc>
      </w:tr>
      <w:tr w:rsidR="004134D0" w:rsidRPr="00A65752" w:rsidTr="00C26215">
        <w:trPr>
          <w:gridBefore w:val="1"/>
          <w:gridAfter w:val="3"/>
          <w:wBefore w:w="32" w:type="dxa"/>
          <w:wAfter w:w="2677" w:type="dxa"/>
          <w:trHeight w:val="5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4.</w:t>
            </w:r>
          </w:p>
        </w:tc>
        <w:tc>
          <w:tcPr>
            <w:tcW w:w="1556" w:type="dxa"/>
            <w:gridSpan w:val="3"/>
            <w:tcBorders>
              <w:top w:val="single" w:sz="4" w:space="0" w:color="auto"/>
              <w:left w:val="single" w:sz="4" w:space="0" w:color="auto"/>
              <w:bottom w:val="single" w:sz="4" w:space="0" w:color="auto"/>
              <w:right w:val="single" w:sz="4" w:space="0" w:color="auto"/>
            </w:tcBorders>
            <w:hideMark/>
          </w:tcPr>
          <w:p w:rsidR="00C05352" w:rsidRPr="00A65752" w:rsidRDefault="004134D0" w:rsidP="007C2311">
            <w:pPr>
              <w:pStyle w:val="naiskr"/>
            </w:pPr>
            <w:r w:rsidRPr="00A65752">
              <w:t>Tiesiskā regulējuma mērķis un būtība</w:t>
            </w:r>
          </w:p>
          <w:p w:rsidR="004134D0" w:rsidRPr="00A65752" w:rsidRDefault="004134D0" w:rsidP="00C05352">
            <w:pPr>
              <w:jc w:val="center"/>
              <w:rPr>
                <w:lang w:val="lv-LV" w:eastAsia="lv-LV"/>
              </w:rPr>
            </w:pPr>
          </w:p>
        </w:tc>
        <w:tc>
          <w:tcPr>
            <w:tcW w:w="7372" w:type="dxa"/>
            <w:gridSpan w:val="6"/>
            <w:tcBorders>
              <w:top w:val="single" w:sz="4" w:space="0" w:color="auto"/>
              <w:left w:val="single" w:sz="4" w:space="0" w:color="auto"/>
              <w:bottom w:val="single" w:sz="4" w:space="0" w:color="auto"/>
              <w:right w:val="single" w:sz="4" w:space="0" w:color="auto"/>
            </w:tcBorders>
          </w:tcPr>
          <w:p w:rsidR="002858DF" w:rsidRPr="00A65752" w:rsidRDefault="004A0F32" w:rsidP="00A36E49">
            <w:pPr>
              <w:pStyle w:val="naisf"/>
              <w:spacing w:before="0" w:beforeAutospacing="0" w:after="0" w:afterAutospacing="0"/>
              <w:jc w:val="both"/>
              <w:rPr>
                <w:lang w:val="lv-LV"/>
              </w:rPr>
            </w:pPr>
            <w:r w:rsidRPr="00A65752">
              <w:rPr>
                <w:lang w:val="lv-LV"/>
              </w:rPr>
              <w:t>Noteikumu projekts paredz:</w:t>
            </w:r>
          </w:p>
          <w:p w:rsidR="00064A2A" w:rsidRPr="00A65752" w:rsidRDefault="00064A2A" w:rsidP="004A0F32">
            <w:pPr>
              <w:jc w:val="both"/>
              <w:rPr>
                <w:lang w:val="lv-LV"/>
              </w:rPr>
            </w:pPr>
          </w:p>
          <w:p w:rsidR="00411E1F" w:rsidRPr="00A65752" w:rsidRDefault="00C56883" w:rsidP="004A0F32">
            <w:pPr>
              <w:jc w:val="both"/>
              <w:rPr>
                <w:lang w:val="lv-LV"/>
              </w:rPr>
            </w:pPr>
            <w:r w:rsidRPr="00A65752">
              <w:rPr>
                <w:lang w:val="lv-LV"/>
              </w:rPr>
              <w:t>1</w:t>
            </w:r>
            <w:r w:rsidR="00617CA3" w:rsidRPr="00A65752">
              <w:rPr>
                <w:lang w:val="lv-LV"/>
              </w:rPr>
              <w:t>. </w:t>
            </w:r>
            <w:r w:rsidR="00571807" w:rsidRPr="00A65752">
              <w:rPr>
                <w:lang w:val="lv-LV"/>
              </w:rPr>
              <w:t xml:space="preserve">Precizēt </w:t>
            </w:r>
            <w:r w:rsidR="004B1067" w:rsidRPr="00A65752">
              <w:rPr>
                <w:lang w:val="lv-LV"/>
              </w:rPr>
              <w:t>Zāļu valsts aģentūras pienākumus atbilstoši</w:t>
            </w:r>
            <w:r w:rsidR="000213A2" w:rsidRPr="00A65752">
              <w:rPr>
                <w:lang w:val="lv-LV"/>
              </w:rPr>
              <w:t xml:space="preserve"> Direktīvas 2011/62/ES 1.panta </w:t>
            </w:r>
            <w:r w:rsidRPr="00A65752">
              <w:rPr>
                <w:lang w:val="lv-LV"/>
              </w:rPr>
              <w:t xml:space="preserve">4. un </w:t>
            </w:r>
            <w:r w:rsidR="004B1067" w:rsidRPr="00A65752">
              <w:rPr>
                <w:lang w:val="lv-LV"/>
              </w:rPr>
              <w:t xml:space="preserve">16.punkta </w:t>
            </w:r>
            <w:r w:rsidRPr="00A65752">
              <w:rPr>
                <w:lang w:val="lv-LV"/>
              </w:rPr>
              <w:t xml:space="preserve">b)apakšpunkta </w:t>
            </w:r>
            <w:r w:rsidR="004B1067" w:rsidRPr="00A65752">
              <w:rPr>
                <w:lang w:val="lv-LV"/>
              </w:rPr>
              <w:t>normai</w:t>
            </w:r>
            <w:r w:rsidR="00C4699D" w:rsidRPr="00A65752">
              <w:rPr>
                <w:lang w:val="lv-LV"/>
              </w:rPr>
              <w:t xml:space="preserve"> </w:t>
            </w:r>
            <w:r w:rsidR="00617CA3" w:rsidRPr="00A65752">
              <w:rPr>
                <w:lang w:val="lv-LV"/>
              </w:rPr>
              <w:t>(Noteikumu projekta</w:t>
            </w:r>
            <w:r w:rsidR="00BB44F5" w:rsidRPr="00A65752">
              <w:rPr>
                <w:lang w:val="lv-LV"/>
              </w:rPr>
              <w:t xml:space="preserve"> </w:t>
            </w:r>
            <w:r w:rsidR="00F53425">
              <w:rPr>
                <w:lang w:val="lv-LV"/>
              </w:rPr>
              <w:t>8</w:t>
            </w:r>
            <w:r w:rsidRPr="00A65752">
              <w:rPr>
                <w:lang w:val="lv-LV"/>
              </w:rPr>
              <w:t>.</w:t>
            </w:r>
            <w:r w:rsidR="000A78D3" w:rsidRPr="00A65752">
              <w:rPr>
                <w:lang w:val="lv-LV"/>
              </w:rPr>
              <w:t xml:space="preserve"> un </w:t>
            </w:r>
            <w:r w:rsidR="00F53425">
              <w:rPr>
                <w:lang w:val="lv-LV"/>
              </w:rPr>
              <w:t>9</w:t>
            </w:r>
            <w:r w:rsidR="000A78D3" w:rsidRPr="00A65752">
              <w:rPr>
                <w:lang w:val="lv-LV"/>
              </w:rPr>
              <w:t>.</w:t>
            </w:r>
            <w:r w:rsidR="00617CA3" w:rsidRPr="00A65752">
              <w:rPr>
                <w:lang w:val="lv-LV"/>
              </w:rPr>
              <w:t>punkts)</w:t>
            </w:r>
            <w:r w:rsidR="00D0743D" w:rsidRPr="00A65752">
              <w:rPr>
                <w:lang w:val="lv-LV"/>
              </w:rPr>
              <w:t>.</w:t>
            </w:r>
          </w:p>
          <w:p w:rsidR="00064A2A" w:rsidRPr="00A65752" w:rsidRDefault="00064A2A" w:rsidP="004A0F32">
            <w:pPr>
              <w:jc w:val="both"/>
              <w:rPr>
                <w:lang w:val="lv-LV"/>
              </w:rPr>
            </w:pPr>
          </w:p>
          <w:p w:rsidR="00C04443" w:rsidRPr="00C01634" w:rsidRDefault="00C04443" w:rsidP="004A0F32">
            <w:pPr>
              <w:jc w:val="both"/>
              <w:rPr>
                <w:lang w:val="lv-LV" w:bidi="en-US"/>
              </w:rPr>
            </w:pPr>
            <w:r>
              <w:t>2. </w:t>
            </w:r>
            <w:r w:rsidR="00EF2553" w:rsidRPr="00C01634">
              <w:rPr>
                <w:lang w:val="lv-LV"/>
              </w:rPr>
              <w:t>Noteikumu projektu papildināt ar normu, kas paredzētu MK Noteikumu Nr.800 mērķī - 1.punktā ietvert Farmācijas likuma 5.panta 26.punktā noteikto pilnvarojumu Ministru kabinetam atbilstoši Ministru kabineta 2009.gada 3.februāra noteikumu Nr.108 „Normatīvo aktu projektu sagatavošanas noteikumi” (turpmāk – NAP noteikumi) 100.2.apakšpunktam</w:t>
            </w:r>
            <w:r w:rsidR="00EF2553" w:rsidRPr="00C01634">
              <w:rPr>
                <w:lang w:val="lv-LV" w:bidi="en-US"/>
              </w:rPr>
              <w:t>.</w:t>
            </w:r>
          </w:p>
          <w:p w:rsidR="00C04443" w:rsidRDefault="00C04443" w:rsidP="004A0F32">
            <w:pPr>
              <w:jc w:val="both"/>
              <w:rPr>
                <w:sz w:val="28"/>
                <w:szCs w:val="28"/>
                <w:lang w:bidi="en-US"/>
              </w:rPr>
            </w:pPr>
          </w:p>
          <w:p w:rsidR="00981C0B" w:rsidRPr="00A65752" w:rsidRDefault="00C04443" w:rsidP="004A0F32">
            <w:pPr>
              <w:jc w:val="both"/>
              <w:rPr>
                <w:lang w:val="lv-LV"/>
              </w:rPr>
            </w:pPr>
            <w:r>
              <w:rPr>
                <w:lang w:val="lv-LV"/>
              </w:rPr>
              <w:t>3</w:t>
            </w:r>
            <w:r w:rsidR="00981C0B" w:rsidRPr="00A65752">
              <w:rPr>
                <w:lang w:val="lv-LV"/>
              </w:rPr>
              <w:t>. </w:t>
            </w:r>
            <w:r w:rsidR="007F7488" w:rsidRPr="00A65752">
              <w:rPr>
                <w:lang w:val="lv-LV"/>
              </w:rPr>
              <w:t xml:space="preserve">Precizēt </w:t>
            </w:r>
            <w:r w:rsidR="00C32C9A" w:rsidRPr="00A65752">
              <w:rPr>
                <w:lang w:val="lv-LV"/>
              </w:rPr>
              <w:t xml:space="preserve">zāļu </w:t>
            </w:r>
            <w:r w:rsidR="007F7488" w:rsidRPr="00A65752">
              <w:rPr>
                <w:lang w:val="lv-LV"/>
              </w:rPr>
              <w:t>ražotnes apraksta formātu</w:t>
            </w:r>
            <w:r w:rsidR="00997294" w:rsidRPr="00A65752">
              <w:rPr>
                <w:lang w:val="lv-LV"/>
              </w:rPr>
              <w:t xml:space="preserve"> atbilstībai Eiropas Savienīb</w:t>
            </w:r>
            <w:r w:rsidR="00CD3336" w:rsidRPr="00A65752">
              <w:rPr>
                <w:lang w:val="lv-LV"/>
              </w:rPr>
              <w:t>a</w:t>
            </w:r>
            <w:r w:rsidR="00863FAA" w:rsidRPr="00A65752">
              <w:rPr>
                <w:lang w:val="lv-LV"/>
              </w:rPr>
              <w:t xml:space="preserve">s </w:t>
            </w:r>
            <w:r w:rsidR="00863FAA" w:rsidRPr="00A65752">
              <w:rPr>
                <w:lang w:val="lv-LV"/>
              </w:rPr>
              <w:lastRenderedPageBreak/>
              <w:t xml:space="preserve">formāta (Noteikumu projekta </w:t>
            </w:r>
            <w:r w:rsidR="00F53425">
              <w:rPr>
                <w:lang w:val="lv-LV"/>
              </w:rPr>
              <w:t>20</w:t>
            </w:r>
            <w:r w:rsidR="00C32C9A" w:rsidRPr="00A65752">
              <w:rPr>
                <w:lang w:val="lv-LV"/>
              </w:rPr>
              <w:t>.punkts).</w:t>
            </w:r>
          </w:p>
          <w:p w:rsidR="00064A2A" w:rsidRPr="00A65752" w:rsidRDefault="00064A2A" w:rsidP="004A0F32">
            <w:pPr>
              <w:jc w:val="both"/>
              <w:rPr>
                <w:lang w:val="lv-LV"/>
              </w:rPr>
            </w:pPr>
          </w:p>
          <w:p w:rsidR="00C32C9A" w:rsidRPr="00A65752" w:rsidRDefault="00C04443" w:rsidP="004A0F32">
            <w:pPr>
              <w:jc w:val="both"/>
              <w:rPr>
                <w:lang w:val="lv-LV"/>
              </w:rPr>
            </w:pPr>
            <w:r>
              <w:rPr>
                <w:lang w:val="lv-LV"/>
              </w:rPr>
              <w:t>4</w:t>
            </w:r>
            <w:r w:rsidR="00C32C9A" w:rsidRPr="00A65752">
              <w:rPr>
                <w:lang w:val="lv-LV"/>
              </w:rPr>
              <w:t>. Noteikt zāļu vairumtirdzniecības licenc</w:t>
            </w:r>
            <w:r w:rsidR="00997294" w:rsidRPr="00A65752">
              <w:rPr>
                <w:lang w:val="lv-LV"/>
              </w:rPr>
              <w:t>es formātu atbilstībai Eiropas Savienība</w:t>
            </w:r>
            <w:r w:rsidR="00CD3336" w:rsidRPr="00A65752">
              <w:rPr>
                <w:lang w:val="lv-LV"/>
              </w:rPr>
              <w:t>s form</w:t>
            </w:r>
            <w:r w:rsidR="00022BAC" w:rsidRPr="00A65752">
              <w:rPr>
                <w:lang w:val="lv-LV"/>
              </w:rPr>
              <w:t xml:space="preserve">ātam (Noteikumu projekta </w:t>
            </w:r>
            <w:r w:rsidR="00F53425">
              <w:rPr>
                <w:lang w:val="lv-LV"/>
              </w:rPr>
              <w:t>6</w:t>
            </w:r>
            <w:r w:rsidR="00863FAA" w:rsidRPr="00A65752">
              <w:rPr>
                <w:lang w:val="lv-LV"/>
              </w:rPr>
              <w:t>. un 23</w:t>
            </w:r>
            <w:r w:rsidR="00C32C9A" w:rsidRPr="00A65752">
              <w:rPr>
                <w:lang w:val="lv-LV"/>
              </w:rPr>
              <w:t>.punkts).</w:t>
            </w:r>
          </w:p>
          <w:p w:rsidR="00064A2A" w:rsidRPr="00A65752" w:rsidRDefault="00064A2A" w:rsidP="004A0F32">
            <w:pPr>
              <w:jc w:val="both"/>
              <w:rPr>
                <w:lang w:val="lv-LV"/>
              </w:rPr>
            </w:pPr>
          </w:p>
          <w:p w:rsidR="00022BAC" w:rsidRPr="00A65752" w:rsidRDefault="00C04443" w:rsidP="00022BAC">
            <w:pPr>
              <w:jc w:val="both"/>
              <w:rPr>
                <w:lang w:val="lv-LV"/>
              </w:rPr>
            </w:pPr>
            <w:r>
              <w:rPr>
                <w:lang w:val="lv-LV"/>
              </w:rPr>
              <w:t>5</w:t>
            </w:r>
            <w:r w:rsidR="00022BAC" w:rsidRPr="00A65752">
              <w:rPr>
                <w:lang w:val="lv-LV"/>
              </w:rPr>
              <w:t>. Precizēt zāļu ražošanas un importēšanas licences formātu atbilstībai Eiropas Savienības</w:t>
            </w:r>
            <w:r w:rsidR="00863FAA" w:rsidRPr="00A65752">
              <w:rPr>
                <w:lang w:val="lv-LV"/>
              </w:rPr>
              <w:t xml:space="preserve"> formātam (Noteikumu projekta 24</w:t>
            </w:r>
            <w:r w:rsidR="00DE0807" w:rsidRPr="00A65752">
              <w:rPr>
                <w:lang w:val="lv-LV"/>
              </w:rPr>
              <w:t>.punkts) un attiecīgi iesnieguma formu (Noteikumu projekta 1</w:t>
            </w:r>
            <w:r w:rsidR="00F53425">
              <w:rPr>
                <w:lang w:val="lv-LV"/>
              </w:rPr>
              <w:t>2</w:t>
            </w:r>
            <w:r w:rsidR="00DE0807" w:rsidRPr="00A65752">
              <w:rPr>
                <w:lang w:val="lv-LV"/>
              </w:rPr>
              <w:t>., 1</w:t>
            </w:r>
            <w:r w:rsidR="00F53425">
              <w:rPr>
                <w:lang w:val="lv-LV"/>
              </w:rPr>
              <w:t>3</w:t>
            </w:r>
            <w:r w:rsidR="00DE0807" w:rsidRPr="00A65752">
              <w:rPr>
                <w:lang w:val="lv-LV"/>
              </w:rPr>
              <w:t>., 1</w:t>
            </w:r>
            <w:r w:rsidR="00F53425">
              <w:rPr>
                <w:lang w:val="lv-LV"/>
              </w:rPr>
              <w:t>4</w:t>
            </w:r>
            <w:r w:rsidR="00DE0807" w:rsidRPr="00A65752">
              <w:rPr>
                <w:lang w:val="lv-LV"/>
              </w:rPr>
              <w:t>., 1</w:t>
            </w:r>
            <w:r w:rsidR="00F53425">
              <w:rPr>
                <w:lang w:val="lv-LV"/>
              </w:rPr>
              <w:t>5</w:t>
            </w:r>
            <w:r w:rsidR="00DE0807" w:rsidRPr="00A65752">
              <w:rPr>
                <w:lang w:val="lv-LV"/>
              </w:rPr>
              <w:t>., 1</w:t>
            </w:r>
            <w:r w:rsidR="00F53425">
              <w:rPr>
                <w:lang w:val="lv-LV"/>
              </w:rPr>
              <w:t>6</w:t>
            </w:r>
            <w:r w:rsidR="00DE0807" w:rsidRPr="00A65752">
              <w:rPr>
                <w:lang w:val="lv-LV"/>
              </w:rPr>
              <w:t>., 1</w:t>
            </w:r>
            <w:r w:rsidR="00F53425">
              <w:rPr>
                <w:lang w:val="lv-LV"/>
              </w:rPr>
              <w:t>7</w:t>
            </w:r>
            <w:r w:rsidR="00DE0807" w:rsidRPr="00A65752">
              <w:rPr>
                <w:lang w:val="lv-LV"/>
              </w:rPr>
              <w:t>. un 1</w:t>
            </w:r>
            <w:r w:rsidR="00F53425">
              <w:rPr>
                <w:lang w:val="lv-LV"/>
              </w:rPr>
              <w:t>8</w:t>
            </w:r>
            <w:r w:rsidR="00DE0807" w:rsidRPr="00A65752">
              <w:rPr>
                <w:lang w:val="lv-LV"/>
              </w:rPr>
              <w:t>.punkts).</w:t>
            </w:r>
          </w:p>
          <w:p w:rsidR="00022BAC" w:rsidRPr="00A65752" w:rsidRDefault="00022BAC" w:rsidP="004A0F32">
            <w:pPr>
              <w:jc w:val="both"/>
              <w:rPr>
                <w:lang w:val="lv-LV"/>
              </w:rPr>
            </w:pPr>
          </w:p>
          <w:p w:rsidR="007E47C8" w:rsidRPr="00A65752" w:rsidRDefault="00C04443" w:rsidP="004A0F32">
            <w:pPr>
              <w:jc w:val="both"/>
              <w:rPr>
                <w:bCs/>
                <w:lang w:val="lv-LV"/>
              </w:rPr>
            </w:pPr>
            <w:r>
              <w:rPr>
                <w:lang w:val="lv-LV"/>
              </w:rPr>
              <w:t>6</w:t>
            </w:r>
            <w:r w:rsidR="004A0F32" w:rsidRPr="00A65752">
              <w:rPr>
                <w:lang w:val="lv-LV"/>
              </w:rPr>
              <w:t>. </w:t>
            </w:r>
            <w:r w:rsidR="0022124A" w:rsidRPr="00A65752">
              <w:rPr>
                <w:lang w:val="lv-LV"/>
              </w:rPr>
              <w:t>N</w:t>
            </w:r>
            <w:r w:rsidR="004A0F32" w:rsidRPr="00A65752">
              <w:rPr>
                <w:bCs/>
                <w:lang w:val="lv-LV"/>
              </w:rPr>
              <w:t xml:space="preserve">orādīt atsauci uz </w:t>
            </w:r>
            <w:r w:rsidR="004A0F32" w:rsidRPr="00A65752">
              <w:rPr>
                <w:lang w:val="lv-LV"/>
              </w:rPr>
              <w:t>Eir</w:t>
            </w:r>
            <w:r w:rsidR="0022124A" w:rsidRPr="00A65752">
              <w:rPr>
                <w:lang w:val="lv-LV"/>
              </w:rPr>
              <w:t>opas Komisijas direktīvu Nr.2011/62</w:t>
            </w:r>
            <w:r w:rsidR="004A0F32" w:rsidRPr="00A65752">
              <w:rPr>
                <w:lang w:val="lv-LV"/>
              </w:rPr>
              <w:t>/ES</w:t>
            </w:r>
            <w:r w:rsidR="004B1067" w:rsidRPr="00A65752">
              <w:rPr>
                <w:bCs/>
                <w:lang w:val="lv-LV"/>
              </w:rPr>
              <w:t>. L</w:t>
            </w:r>
            <w:r w:rsidR="004A0F32" w:rsidRPr="00A65752">
              <w:rPr>
                <w:bCs/>
                <w:lang w:val="lv-LV"/>
              </w:rPr>
              <w:t>īdz ar to ir apliecināta šīs direktīvas ieviešana</w:t>
            </w:r>
            <w:r w:rsidR="004C3CA9" w:rsidRPr="00A65752">
              <w:rPr>
                <w:bCs/>
                <w:lang w:val="lv-LV"/>
              </w:rPr>
              <w:t xml:space="preserve"> (Noteikumu projekta </w:t>
            </w:r>
            <w:r w:rsidR="00585728">
              <w:rPr>
                <w:bCs/>
                <w:lang w:val="lv-LV"/>
              </w:rPr>
              <w:t>11</w:t>
            </w:r>
            <w:r w:rsidR="0086620E" w:rsidRPr="00A65752">
              <w:rPr>
                <w:bCs/>
                <w:lang w:val="lv-LV"/>
              </w:rPr>
              <w:t>.punkts)</w:t>
            </w:r>
            <w:r w:rsidR="007E47C8" w:rsidRPr="00A65752">
              <w:rPr>
                <w:bCs/>
                <w:lang w:val="lv-LV"/>
              </w:rPr>
              <w:t>.</w:t>
            </w:r>
          </w:p>
          <w:p w:rsidR="00411E1F" w:rsidRPr="00A65752" w:rsidRDefault="00411E1F" w:rsidP="00411E1F">
            <w:pPr>
              <w:jc w:val="both"/>
              <w:rPr>
                <w:lang w:val="lv-LV"/>
              </w:rPr>
            </w:pPr>
          </w:p>
          <w:p w:rsidR="00CD3336" w:rsidRPr="00A65752" w:rsidRDefault="00C04443" w:rsidP="00CD3336">
            <w:pPr>
              <w:jc w:val="both"/>
              <w:rPr>
                <w:lang w:val="lv-LV"/>
              </w:rPr>
            </w:pPr>
            <w:r>
              <w:rPr>
                <w:lang w:val="lv-LV"/>
              </w:rPr>
              <w:t>7</w:t>
            </w:r>
            <w:r w:rsidR="00CD3336" w:rsidRPr="00A65752">
              <w:rPr>
                <w:lang w:val="lv-LV"/>
              </w:rPr>
              <w:t>. Precizēt terminoloģiju MK noteikumu Nr.800 tekstā atbilstībai Farmācijas likuma 1.panta 1.</w:t>
            </w:r>
            <w:r w:rsidR="00CD3336" w:rsidRPr="00A65752">
              <w:rPr>
                <w:vertAlign w:val="superscript"/>
                <w:lang w:val="lv-LV"/>
              </w:rPr>
              <w:t>1</w:t>
            </w:r>
            <w:r w:rsidR="00CD3336" w:rsidRPr="00A65752">
              <w:rPr>
                <w:lang w:val="lv-LV"/>
              </w:rPr>
              <w:t xml:space="preserve">punktam (Noteikumu projekta </w:t>
            </w:r>
            <w:r w:rsidR="00584924" w:rsidRPr="00A65752">
              <w:rPr>
                <w:lang w:val="lv-LV"/>
              </w:rPr>
              <w:t>2</w:t>
            </w:r>
            <w:r w:rsidR="00CD3336" w:rsidRPr="00A65752">
              <w:rPr>
                <w:lang w:val="lv-LV"/>
              </w:rPr>
              <w:t>.punkts).</w:t>
            </w:r>
          </w:p>
          <w:p w:rsidR="00CD3336" w:rsidRPr="00A65752" w:rsidRDefault="00CD3336" w:rsidP="00CD3336">
            <w:pPr>
              <w:jc w:val="both"/>
              <w:rPr>
                <w:lang w:val="lv-LV"/>
              </w:rPr>
            </w:pPr>
          </w:p>
          <w:p w:rsidR="00CD3336" w:rsidRPr="00A65752" w:rsidRDefault="00C04443" w:rsidP="00CD3336">
            <w:pPr>
              <w:jc w:val="both"/>
              <w:rPr>
                <w:lang w:val="lv-LV"/>
              </w:rPr>
            </w:pPr>
            <w:r>
              <w:rPr>
                <w:lang w:val="lv-LV"/>
              </w:rPr>
              <w:t>8</w:t>
            </w:r>
            <w:r w:rsidR="007C2311" w:rsidRPr="00A65752">
              <w:rPr>
                <w:lang w:val="lv-LV"/>
              </w:rPr>
              <w:t>. </w:t>
            </w:r>
            <w:r w:rsidR="00E049CB" w:rsidRPr="00A65752">
              <w:rPr>
                <w:lang w:val="lv-LV"/>
              </w:rPr>
              <w:t>Precizēt MK noteikumu Nr.800 izdo</w:t>
            </w:r>
            <w:r w:rsidR="00D924DF" w:rsidRPr="00A65752">
              <w:rPr>
                <w:lang w:val="lv-LV"/>
              </w:rPr>
              <w:t xml:space="preserve">šanas pamatojumu (Noteikumu projekta </w:t>
            </w:r>
            <w:r w:rsidR="00584924" w:rsidRPr="00A65752">
              <w:rPr>
                <w:lang w:val="lv-LV"/>
              </w:rPr>
              <w:t>1</w:t>
            </w:r>
            <w:r w:rsidR="00D924DF" w:rsidRPr="00A65752">
              <w:rPr>
                <w:lang w:val="lv-LV"/>
              </w:rPr>
              <w:t>.punkts).</w:t>
            </w:r>
          </w:p>
          <w:p w:rsidR="00FE1FFC" w:rsidRPr="00A65752" w:rsidRDefault="00FE1FFC" w:rsidP="00CD3336">
            <w:pPr>
              <w:jc w:val="both"/>
              <w:rPr>
                <w:lang w:val="lv-LV"/>
              </w:rPr>
            </w:pPr>
          </w:p>
          <w:p w:rsidR="00234C9D" w:rsidRPr="00A65752" w:rsidRDefault="00C04443" w:rsidP="00CD3336">
            <w:pPr>
              <w:jc w:val="both"/>
              <w:rPr>
                <w:lang w:val="lv-LV"/>
              </w:rPr>
            </w:pPr>
            <w:r>
              <w:rPr>
                <w:lang w:val="lv-LV"/>
              </w:rPr>
              <w:t>9.</w:t>
            </w:r>
            <w:r w:rsidR="007C2311" w:rsidRPr="00A65752">
              <w:rPr>
                <w:lang w:val="lv-LV"/>
              </w:rPr>
              <w:t> </w:t>
            </w:r>
            <w:r w:rsidR="00234C9D" w:rsidRPr="00A65752">
              <w:rPr>
                <w:bCs/>
                <w:lang w:val="lv-LV"/>
              </w:rPr>
              <w:t>N</w:t>
            </w:r>
            <w:r w:rsidR="00234C9D" w:rsidRPr="00A65752">
              <w:rPr>
                <w:lang w:val="lv-LV"/>
              </w:rPr>
              <w:t>o MK noteikumiem Nr.800 svītrot konkrētas tīmekļu vietnes adreses norād</w:t>
            </w:r>
            <w:r w:rsidR="0096161B" w:rsidRPr="00A65752">
              <w:rPr>
                <w:lang w:val="lv-LV"/>
              </w:rPr>
              <w:t>i (N</w:t>
            </w:r>
            <w:r w:rsidR="00780A4E" w:rsidRPr="00A65752">
              <w:rPr>
                <w:lang w:val="lv-LV"/>
              </w:rPr>
              <w:t xml:space="preserve">oteikumu projekta </w:t>
            </w:r>
            <w:r w:rsidR="00585728">
              <w:rPr>
                <w:lang w:val="lv-LV"/>
              </w:rPr>
              <w:t>5</w:t>
            </w:r>
            <w:r w:rsidR="00780A4E" w:rsidRPr="00A65752">
              <w:rPr>
                <w:lang w:val="lv-LV"/>
              </w:rPr>
              <w:t>.punkts), jo tīmekļa vietas adrese laika gaitā var mainīties, izraisot nepieciešamību veikt grozījumus Ministru kabineta noteikumos.</w:t>
            </w:r>
          </w:p>
          <w:p w:rsidR="00234C9D" w:rsidRPr="00A65752" w:rsidRDefault="00234C9D" w:rsidP="00CD3336">
            <w:pPr>
              <w:jc w:val="both"/>
              <w:rPr>
                <w:lang w:val="lv-LV"/>
              </w:rPr>
            </w:pPr>
          </w:p>
          <w:p w:rsidR="00FE1FFC" w:rsidRPr="00A65752" w:rsidRDefault="00C04443" w:rsidP="00CD3336">
            <w:pPr>
              <w:jc w:val="both"/>
              <w:rPr>
                <w:lang w:val="lv-LV"/>
              </w:rPr>
            </w:pPr>
            <w:r>
              <w:rPr>
                <w:lang w:val="lv-LV"/>
              </w:rPr>
              <w:t>10</w:t>
            </w:r>
            <w:r w:rsidR="00234C9D" w:rsidRPr="00A65752">
              <w:rPr>
                <w:lang w:val="lv-LV"/>
              </w:rPr>
              <w:t xml:space="preserve">. Nodrošināt terminoloģijas konsekvenci un </w:t>
            </w:r>
            <w:r w:rsidR="00234C9D" w:rsidRPr="00A65752">
              <w:rPr>
                <w:bCs/>
                <w:lang w:val="lv-LV"/>
              </w:rPr>
              <w:t xml:space="preserve">atbilstību </w:t>
            </w:r>
            <w:r>
              <w:rPr>
                <w:lang w:val="lv-LV"/>
              </w:rPr>
              <w:t>NAP noteikumu</w:t>
            </w:r>
            <w:r w:rsidR="00234C9D" w:rsidRPr="00A65752">
              <w:rPr>
                <w:lang w:val="lv-LV"/>
              </w:rPr>
              <w:t xml:space="preserve"> </w:t>
            </w:r>
            <w:r w:rsidR="005E00B1" w:rsidRPr="00A65752">
              <w:rPr>
                <w:bCs/>
                <w:lang w:val="lv-LV"/>
              </w:rPr>
              <w:t>2.2</w:t>
            </w:r>
            <w:r w:rsidR="00234C9D" w:rsidRPr="00A65752">
              <w:rPr>
                <w:bCs/>
                <w:lang w:val="lv-LV"/>
              </w:rPr>
              <w:t xml:space="preserve">.apakšpunktam, </w:t>
            </w:r>
            <w:r w:rsidR="005E00B1" w:rsidRPr="00A65752">
              <w:rPr>
                <w:lang w:val="lv-LV"/>
              </w:rPr>
              <w:t>veicot tehniska rakstura precizējumu</w:t>
            </w:r>
            <w:r w:rsidR="00FE1FFC" w:rsidRPr="00A65752">
              <w:rPr>
                <w:lang w:val="lv-LV"/>
              </w:rPr>
              <w:t xml:space="preserve"> (Noteikumu projekta </w:t>
            </w:r>
            <w:r w:rsidR="00585728">
              <w:rPr>
                <w:lang w:val="lv-LV"/>
              </w:rPr>
              <w:t>7</w:t>
            </w:r>
            <w:r w:rsidR="00FE1FFC" w:rsidRPr="00A65752">
              <w:rPr>
                <w:lang w:val="lv-LV"/>
              </w:rPr>
              <w:t>.punkts).</w:t>
            </w:r>
          </w:p>
          <w:p w:rsidR="000F0692" w:rsidRPr="00A65752" w:rsidRDefault="000F0692" w:rsidP="00CD3336">
            <w:pPr>
              <w:jc w:val="both"/>
              <w:rPr>
                <w:lang w:val="lv-LV"/>
              </w:rPr>
            </w:pPr>
          </w:p>
          <w:p w:rsidR="000F0692" w:rsidRPr="00A65752" w:rsidRDefault="007C2311" w:rsidP="00CD3336">
            <w:pPr>
              <w:jc w:val="both"/>
              <w:rPr>
                <w:lang w:val="lv-LV"/>
              </w:rPr>
            </w:pPr>
            <w:r w:rsidRPr="00A65752">
              <w:rPr>
                <w:lang w:val="lv-LV"/>
              </w:rPr>
              <w:t>1</w:t>
            </w:r>
            <w:r w:rsidR="00C04443">
              <w:rPr>
                <w:lang w:val="lv-LV"/>
              </w:rPr>
              <w:t>1</w:t>
            </w:r>
            <w:r w:rsidRPr="00A65752">
              <w:rPr>
                <w:lang w:val="lv-LV"/>
              </w:rPr>
              <w:t>. </w:t>
            </w:r>
            <w:r w:rsidR="000F0692" w:rsidRPr="00A65752">
              <w:rPr>
                <w:lang w:val="lv-LV"/>
              </w:rPr>
              <w:t>Samazināt administratīvo slogu, aktīvo vielu ražotājiem, kuri ir reģistrējušies Zāļu valsts aģentūrā nav obligāti jāsaņem licen</w:t>
            </w:r>
            <w:r w:rsidR="0096161B" w:rsidRPr="00A65752">
              <w:rPr>
                <w:lang w:val="lv-LV"/>
              </w:rPr>
              <w:t>ce aktīvo vielu ražošanai (Notei</w:t>
            </w:r>
            <w:r w:rsidR="000F0692" w:rsidRPr="00A65752">
              <w:rPr>
                <w:lang w:val="lv-LV"/>
              </w:rPr>
              <w:t>kumu proje</w:t>
            </w:r>
            <w:r w:rsidR="005D1B9B">
              <w:rPr>
                <w:lang w:val="lv-LV"/>
              </w:rPr>
              <w:t>k</w:t>
            </w:r>
            <w:r w:rsidR="000F0692" w:rsidRPr="00A65752">
              <w:rPr>
                <w:lang w:val="lv-LV"/>
              </w:rPr>
              <w:t xml:space="preserve">ta </w:t>
            </w:r>
            <w:r w:rsidR="00585728">
              <w:rPr>
                <w:lang w:val="lv-LV"/>
              </w:rPr>
              <w:t>4</w:t>
            </w:r>
            <w:r w:rsidR="000F0692" w:rsidRPr="00A65752">
              <w:rPr>
                <w:lang w:val="lv-LV"/>
              </w:rPr>
              <w:t>.punkts).</w:t>
            </w:r>
          </w:p>
          <w:p w:rsidR="00BB0C05" w:rsidRPr="00A65752" w:rsidRDefault="00BB0C05" w:rsidP="00CD3336">
            <w:pPr>
              <w:jc w:val="both"/>
              <w:rPr>
                <w:lang w:val="lv-LV"/>
              </w:rPr>
            </w:pPr>
          </w:p>
          <w:p w:rsidR="00BB0C05" w:rsidRPr="00A65752" w:rsidRDefault="00BB0C05" w:rsidP="00BB0C05">
            <w:pPr>
              <w:pStyle w:val="NoSpacing"/>
              <w:jc w:val="both"/>
              <w:rPr>
                <w:rFonts w:ascii="Times New Roman" w:hAnsi="Times New Roman"/>
                <w:sz w:val="24"/>
                <w:szCs w:val="24"/>
              </w:rPr>
            </w:pPr>
            <w:r w:rsidRPr="00A65752">
              <w:rPr>
                <w:rFonts w:ascii="Times New Roman" w:hAnsi="Times New Roman"/>
                <w:sz w:val="24"/>
                <w:szCs w:val="24"/>
              </w:rPr>
              <w:t>1</w:t>
            </w:r>
            <w:r w:rsidR="00C04443">
              <w:rPr>
                <w:rFonts w:ascii="Times New Roman" w:hAnsi="Times New Roman"/>
                <w:sz w:val="24"/>
                <w:szCs w:val="24"/>
              </w:rPr>
              <w:t>2</w:t>
            </w:r>
            <w:r w:rsidRPr="00A65752">
              <w:rPr>
                <w:rFonts w:ascii="Times New Roman" w:hAnsi="Times New Roman"/>
                <w:sz w:val="24"/>
                <w:szCs w:val="24"/>
              </w:rPr>
              <w:t>. Redakcionāli precizēt MK noteikumu Nr.800 1., 3., 4., 5., 6. un 8.pielikumu, jo  neskatoties uz to, ka Ministru kabineta 2005.gada 28.junija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 punktā ir noteikts, ka elektroniskā dokumenta parakstīšanas laiks ir laika zīmoga pievienošanas datums un laiks, taču praktisku apsvēruma dēļ, sagatavojot elektroniska dokumenta kopiju papīra dokumenta formā, t.i. izdrukājot to, uz dokumenta nebūs viens no rekvizītiem ”datums”, tāpēc MK noteikumu 1., 3., 4., 5., 6. un 8.pielikumā nav nepieciešams saglabāt prasību aizpildīt rekvizītu ”datums” (Noteikumu projekta 1</w:t>
            </w:r>
            <w:r w:rsidR="00585728">
              <w:rPr>
                <w:rFonts w:ascii="Times New Roman" w:hAnsi="Times New Roman"/>
                <w:sz w:val="24"/>
                <w:szCs w:val="24"/>
              </w:rPr>
              <w:t>9</w:t>
            </w:r>
            <w:r w:rsidRPr="00A65752">
              <w:rPr>
                <w:rFonts w:ascii="Times New Roman" w:hAnsi="Times New Roman"/>
                <w:sz w:val="24"/>
                <w:szCs w:val="24"/>
              </w:rPr>
              <w:t xml:space="preserve">., </w:t>
            </w:r>
            <w:r w:rsidR="00585728">
              <w:rPr>
                <w:rFonts w:ascii="Times New Roman" w:hAnsi="Times New Roman"/>
                <w:sz w:val="24"/>
                <w:szCs w:val="24"/>
              </w:rPr>
              <w:t>21</w:t>
            </w:r>
            <w:r w:rsidRPr="00A65752">
              <w:rPr>
                <w:rFonts w:ascii="Times New Roman" w:hAnsi="Times New Roman"/>
                <w:sz w:val="24"/>
                <w:szCs w:val="24"/>
              </w:rPr>
              <w:t>. 2</w:t>
            </w:r>
            <w:r w:rsidR="00585728">
              <w:rPr>
                <w:rFonts w:ascii="Times New Roman" w:hAnsi="Times New Roman"/>
                <w:sz w:val="24"/>
                <w:szCs w:val="24"/>
              </w:rPr>
              <w:t>2</w:t>
            </w:r>
            <w:r w:rsidRPr="00A65752">
              <w:rPr>
                <w:rFonts w:ascii="Times New Roman" w:hAnsi="Times New Roman"/>
                <w:sz w:val="24"/>
                <w:szCs w:val="24"/>
              </w:rPr>
              <w:t>.</w:t>
            </w:r>
            <w:r w:rsidR="005D1B9B">
              <w:rPr>
                <w:rFonts w:ascii="Times New Roman" w:hAnsi="Times New Roman"/>
                <w:sz w:val="24"/>
                <w:szCs w:val="24"/>
              </w:rPr>
              <w:t xml:space="preserve"> un 25.</w:t>
            </w:r>
            <w:r w:rsidRPr="00A65752">
              <w:rPr>
                <w:rFonts w:ascii="Times New Roman" w:hAnsi="Times New Roman"/>
                <w:sz w:val="24"/>
                <w:szCs w:val="24"/>
              </w:rPr>
              <w:t>punkts).</w:t>
            </w:r>
          </w:p>
          <w:p w:rsidR="00CD3336" w:rsidRPr="00A65752" w:rsidRDefault="00CD3336" w:rsidP="00CD3336">
            <w:pPr>
              <w:jc w:val="both"/>
              <w:rPr>
                <w:lang w:val="lv-LV"/>
              </w:rPr>
            </w:pPr>
          </w:p>
          <w:p w:rsidR="004134D0" w:rsidRPr="00A65752" w:rsidRDefault="004A0F32" w:rsidP="00411E1F">
            <w:pPr>
              <w:jc w:val="both"/>
              <w:rPr>
                <w:spacing w:val="-6"/>
                <w:lang w:val="lv-LV"/>
              </w:rPr>
            </w:pPr>
            <w:r w:rsidRPr="00A65752">
              <w:rPr>
                <w:lang w:val="lv-LV"/>
              </w:rPr>
              <w:t>Līdz ar to ir atrisinātas Anotācijas I sadaļas 2.punktā minētās problēmas.</w:t>
            </w:r>
          </w:p>
        </w:tc>
      </w:tr>
      <w:tr w:rsidR="004134D0" w:rsidRPr="00A65752" w:rsidTr="00C26215">
        <w:trPr>
          <w:gridBefore w:val="1"/>
          <w:gridAfter w:val="3"/>
          <w:wBefore w:w="32" w:type="dxa"/>
          <w:wAfter w:w="2677" w:type="dxa"/>
          <w:trHeight w:val="476"/>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lastRenderedPageBreak/>
              <w:t>5.</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Projekta izstrādē iesaistītās institūcijas</w:t>
            </w:r>
          </w:p>
        </w:tc>
        <w:tc>
          <w:tcPr>
            <w:tcW w:w="7372" w:type="dxa"/>
            <w:gridSpan w:val="6"/>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oSpacing"/>
              <w:rPr>
                <w:rFonts w:ascii="Times New Roman" w:hAnsi="Times New Roman"/>
                <w:sz w:val="24"/>
                <w:szCs w:val="24"/>
              </w:rPr>
            </w:pPr>
            <w:r w:rsidRPr="00A65752">
              <w:rPr>
                <w:rFonts w:ascii="Times New Roman" w:hAnsi="Times New Roman"/>
                <w:sz w:val="24"/>
                <w:szCs w:val="24"/>
              </w:rPr>
              <w:t>Zāļu valsts aģentūra</w:t>
            </w:r>
          </w:p>
        </w:tc>
      </w:tr>
      <w:tr w:rsidR="004134D0" w:rsidRPr="00A65752" w:rsidTr="00C26215">
        <w:trPr>
          <w:gridBefore w:val="1"/>
          <w:gridAfter w:val="3"/>
          <w:wBefore w:w="32" w:type="dxa"/>
          <w:wAfter w:w="2677" w:type="dxa"/>
          <w:trHeight w:val="4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6.</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rPr>
                <w:i/>
                <w:highlight w:val="yellow"/>
              </w:rPr>
            </w:pPr>
            <w:r w:rsidRPr="00A65752">
              <w:t>Iemesli, kādēļ netika nodrošināta sabiedrības līdzdalība</w:t>
            </w:r>
          </w:p>
        </w:tc>
        <w:tc>
          <w:tcPr>
            <w:tcW w:w="7372" w:type="dxa"/>
            <w:gridSpan w:val="6"/>
            <w:tcBorders>
              <w:top w:val="single" w:sz="4" w:space="0" w:color="auto"/>
              <w:left w:val="single" w:sz="4" w:space="0" w:color="auto"/>
              <w:bottom w:val="single" w:sz="4" w:space="0" w:color="auto"/>
              <w:right w:val="single" w:sz="4" w:space="0" w:color="auto"/>
            </w:tcBorders>
            <w:hideMark/>
          </w:tcPr>
          <w:p w:rsidR="004134D0" w:rsidRPr="00A65752" w:rsidRDefault="00964D40" w:rsidP="004134D0">
            <w:pPr>
              <w:pStyle w:val="FootnoteText"/>
              <w:rPr>
                <w:color w:val="auto"/>
                <w:sz w:val="24"/>
                <w:szCs w:val="24"/>
              </w:rPr>
            </w:pPr>
            <w:r w:rsidRPr="00A65752">
              <w:rPr>
                <w:color w:val="auto"/>
                <w:sz w:val="24"/>
                <w:szCs w:val="24"/>
              </w:rPr>
              <w:t>Projekts šo jomu neskar</w:t>
            </w:r>
            <w:r w:rsidR="007C2311" w:rsidRPr="00A65752">
              <w:rPr>
                <w:color w:val="auto"/>
                <w:sz w:val="24"/>
                <w:szCs w:val="24"/>
              </w:rPr>
              <w:t>.</w:t>
            </w:r>
          </w:p>
        </w:tc>
      </w:tr>
      <w:tr w:rsidR="004134D0" w:rsidRPr="00A65752" w:rsidTr="00C26215">
        <w:trPr>
          <w:gridBefore w:val="1"/>
          <w:gridAfter w:val="3"/>
          <w:wBefore w:w="32" w:type="dxa"/>
          <w:wAfter w:w="2677"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7.</w:t>
            </w:r>
          </w:p>
        </w:tc>
        <w:tc>
          <w:tcPr>
            <w:tcW w:w="1556"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Cita informācija</w:t>
            </w:r>
          </w:p>
        </w:tc>
        <w:tc>
          <w:tcPr>
            <w:tcW w:w="7372" w:type="dxa"/>
            <w:gridSpan w:val="6"/>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Nav</w:t>
            </w:r>
          </w:p>
        </w:tc>
      </w:tr>
      <w:tr w:rsidR="004134D0" w:rsidRPr="00A65752" w:rsidTr="00C26215">
        <w:trPr>
          <w:gridBefore w:val="1"/>
          <w:gridAfter w:val="3"/>
          <w:wBefore w:w="32" w:type="dxa"/>
          <w:wAfter w:w="2677" w:type="dxa"/>
        </w:trPr>
        <w:tc>
          <w:tcPr>
            <w:tcW w:w="9324" w:type="dxa"/>
            <w:gridSpan w:val="11"/>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rPr>
                <w:b w:val="0"/>
              </w:rPr>
            </w:pPr>
            <w:r w:rsidRPr="00A65752">
              <w:t>II. Tiesību akta projekta ietekme uz sabiedrību</w:t>
            </w:r>
          </w:p>
        </w:tc>
      </w:tr>
      <w:tr w:rsidR="004134D0" w:rsidRPr="00A65752" w:rsidTr="00C26215">
        <w:trPr>
          <w:gridBefore w:val="1"/>
          <w:gridAfter w:val="3"/>
          <w:wBefore w:w="32" w:type="dxa"/>
          <w:wAfter w:w="2677" w:type="dxa"/>
          <w:trHeight w:val="46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1.</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Sabiedrības mērķgrupa</w:t>
            </w:r>
          </w:p>
        </w:tc>
        <w:tc>
          <w:tcPr>
            <w:tcW w:w="6356" w:type="dxa"/>
            <w:gridSpan w:val="5"/>
            <w:tcBorders>
              <w:top w:val="single" w:sz="4" w:space="0" w:color="auto"/>
              <w:left w:val="single" w:sz="4" w:space="0" w:color="auto"/>
              <w:bottom w:val="single" w:sz="4" w:space="0" w:color="auto"/>
              <w:right w:val="single" w:sz="4" w:space="0" w:color="auto"/>
            </w:tcBorders>
            <w:hideMark/>
          </w:tcPr>
          <w:p w:rsidR="00E22119" w:rsidRPr="00A65752" w:rsidRDefault="00C31FF9" w:rsidP="00F66C9C">
            <w:pPr>
              <w:jc w:val="both"/>
              <w:rPr>
                <w:lang w:val="lv-LV"/>
              </w:rPr>
            </w:pPr>
            <w:r w:rsidRPr="00A65752">
              <w:rPr>
                <w:lang w:val="lv-LV"/>
              </w:rPr>
              <w:t xml:space="preserve">Noteikumu projekta </w:t>
            </w:r>
            <w:r w:rsidR="004134D0" w:rsidRPr="00A65752">
              <w:rPr>
                <w:lang w:val="lv-LV"/>
              </w:rPr>
              <w:t>tiesiskais regulējums attiecas u</w:t>
            </w:r>
            <w:r w:rsidRPr="00A65752">
              <w:rPr>
                <w:lang w:val="lv-LV"/>
              </w:rPr>
              <w:t>z</w:t>
            </w:r>
            <w:r w:rsidR="00E22119" w:rsidRPr="00A65752">
              <w:rPr>
                <w:lang w:val="lv-LV"/>
              </w:rPr>
              <w:t>:</w:t>
            </w:r>
          </w:p>
          <w:p w:rsidR="00E22119" w:rsidRPr="00A65752" w:rsidRDefault="00E22119" w:rsidP="00F66C9C">
            <w:pPr>
              <w:jc w:val="both"/>
              <w:rPr>
                <w:lang w:val="lv-LV"/>
              </w:rPr>
            </w:pPr>
            <w:r w:rsidRPr="00A65752">
              <w:rPr>
                <w:lang w:val="lv-LV"/>
              </w:rPr>
              <w:t>- </w:t>
            </w:r>
            <w:r w:rsidR="00181C49" w:rsidRPr="00A65752">
              <w:rPr>
                <w:lang w:val="lv-LV"/>
              </w:rPr>
              <w:t>zāļu lieltirgotavām</w:t>
            </w:r>
            <w:r w:rsidR="005F1E26" w:rsidRPr="00A65752">
              <w:rPr>
                <w:lang w:val="lv-LV"/>
              </w:rPr>
              <w:t xml:space="preserve"> </w:t>
            </w:r>
            <w:r w:rsidRPr="00A65752">
              <w:rPr>
                <w:lang w:val="lv-LV"/>
              </w:rPr>
              <w:t>(Latvijā pēc Zāļu valsts aģentūras datiem uz 25.02.2013. ir 56 zāļu lieltirgotavas)</w:t>
            </w:r>
            <w:r w:rsidR="007C2311" w:rsidRPr="00A65752">
              <w:rPr>
                <w:lang w:val="lv-LV"/>
              </w:rPr>
              <w:t>;</w:t>
            </w:r>
          </w:p>
          <w:p w:rsidR="005179CC" w:rsidRPr="00A65752" w:rsidRDefault="00E22119" w:rsidP="00F66C9C">
            <w:pPr>
              <w:jc w:val="both"/>
              <w:rPr>
                <w:lang w:val="lv-LV"/>
              </w:rPr>
            </w:pPr>
            <w:r w:rsidRPr="00A65752">
              <w:rPr>
                <w:lang w:val="lv-LV"/>
              </w:rPr>
              <w:t>- </w:t>
            </w:r>
            <w:r w:rsidR="00A7588C" w:rsidRPr="00A65752">
              <w:rPr>
                <w:lang w:val="lv-LV"/>
              </w:rPr>
              <w:t>zāļu ražotājiem un importētājiem</w:t>
            </w:r>
            <w:r w:rsidR="005179CC" w:rsidRPr="00A65752">
              <w:rPr>
                <w:lang w:val="lv-LV"/>
              </w:rPr>
              <w:t xml:space="preserve"> (Latvijā pēc Zāļu valsts aģentūras datiem uz 25.02.2013. ir 30 zāļu ražotāji/importētāji</w:t>
            </w:r>
            <w:r w:rsidR="00084E0B" w:rsidRPr="00A65752">
              <w:rPr>
                <w:lang w:val="lv-LV"/>
              </w:rPr>
              <w:t>, no tiem 4, kur ražo arī pētāmās zāles</w:t>
            </w:r>
            <w:r w:rsidR="006B60B9" w:rsidRPr="00A65752">
              <w:rPr>
                <w:lang w:val="lv-LV"/>
              </w:rPr>
              <w:t>, un 3 ražo arī ķīmiski sintezētas aktīvās vielas</w:t>
            </w:r>
            <w:r w:rsidR="005179CC" w:rsidRPr="00A65752">
              <w:rPr>
                <w:lang w:val="lv-LV"/>
              </w:rPr>
              <w:t>)</w:t>
            </w:r>
            <w:r w:rsidR="007C2311" w:rsidRPr="00A65752">
              <w:rPr>
                <w:lang w:val="lv-LV"/>
              </w:rPr>
              <w:t>;</w:t>
            </w:r>
          </w:p>
          <w:p w:rsidR="004134D0" w:rsidRPr="00A65752" w:rsidRDefault="005179CC" w:rsidP="00F66C9C">
            <w:pPr>
              <w:autoSpaceDE w:val="0"/>
              <w:autoSpaceDN w:val="0"/>
              <w:adjustRightInd w:val="0"/>
              <w:jc w:val="both"/>
              <w:rPr>
                <w:rFonts w:ascii="Times New Roman,Bold" w:eastAsia="Calibri" w:hAnsi="Times New Roman,Bold" w:cs="Times New Roman,Bold"/>
                <w:bCs/>
                <w:lang w:val="lv-LV" w:eastAsia="lv-LV"/>
              </w:rPr>
            </w:pPr>
            <w:r w:rsidRPr="00A65752">
              <w:rPr>
                <w:lang w:val="lv-LV"/>
              </w:rPr>
              <w:t>- </w:t>
            </w:r>
            <w:r w:rsidR="00410AD3" w:rsidRPr="00A65752">
              <w:rPr>
                <w:lang w:val="lv-LV"/>
              </w:rPr>
              <w:t>aktīvo vielu ražotājiem</w:t>
            </w:r>
            <w:r w:rsidR="00084E0B" w:rsidRPr="00A65752">
              <w:rPr>
                <w:lang w:val="lv-LV"/>
              </w:rPr>
              <w:t xml:space="preserve"> (Latvijā pēc Zāļu valsts aģen</w:t>
            </w:r>
            <w:r w:rsidR="007C2311" w:rsidRPr="00A65752">
              <w:rPr>
                <w:lang w:val="lv-LV"/>
              </w:rPr>
              <w:t xml:space="preserve">tūras datiem uz 07.01.2013. ir </w:t>
            </w:r>
            <w:r w:rsidR="008323FD" w:rsidRPr="00A65752">
              <w:rPr>
                <w:lang w:val="lv-LV"/>
              </w:rPr>
              <w:t xml:space="preserve">1 </w:t>
            </w:r>
            <w:r w:rsidR="006B60B9" w:rsidRPr="00A65752">
              <w:rPr>
                <w:lang w:val="lv-LV"/>
              </w:rPr>
              <w:t xml:space="preserve">aktīvo vielu </w:t>
            </w:r>
            <w:r w:rsidR="008323FD" w:rsidRPr="00A65752">
              <w:rPr>
                <w:lang w:val="lv-LV"/>
              </w:rPr>
              <w:t>zāļu ražotājs, kurš ražo ķīmiski sintezētas aktīvās vielas</w:t>
            </w:r>
            <w:r w:rsidR="00084E0B" w:rsidRPr="00A65752">
              <w:rPr>
                <w:lang w:val="lv-LV"/>
              </w:rPr>
              <w:t xml:space="preserve">, </w:t>
            </w:r>
            <w:r w:rsidR="008323FD" w:rsidRPr="00A65752">
              <w:rPr>
                <w:lang w:val="lv-LV"/>
              </w:rPr>
              <w:t>un 3</w:t>
            </w:r>
            <w:r w:rsidR="00084E0B" w:rsidRPr="00A65752">
              <w:rPr>
                <w:lang w:val="lv-LV"/>
              </w:rPr>
              <w:t xml:space="preserve"> aktīvo vielu ražotāji</w:t>
            </w:r>
            <w:r w:rsidR="008323FD" w:rsidRPr="00A65752">
              <w:rPr>
                <w:lang w:val="lv-LV"/>
              </w:rPr>
              <w:t xml:space="preserve">, kuri ražo </w:t>
            </w:r>
            <w:r w:rsidR="008323FD" w:rsidRPr="00A65752">
              <w:rPr>
                <w:rFonts w:ascii="Times New Roman,Bold" w:eastAsia="Calibri" w:hAnsi="Times New Roman,Bold" w:cs="Times New Roman,Bold"/>
                <w:bCs/>
                <w:lang w:val="lv-LV" w:eastAsia="lv-LV"/>
              </w:rPr>
              <w:t xml:space="preserve">bioloģiskās izcelsmes </w:t>
            </w:r>
            <w:r w:rsidR="008323FD" w:rsidRPr="00A65752">
              <w:rPr>
                <w:rFonts w:eastAsia="Calibri"/>
                <w:bCs/>
                <w:lang w:val="lv-LV" w:eastAsia="lv-LV"/>
              </w:rPr>
              <w:t>vielas</w:t>
            </w:r>
            <w:r w:rsidR="00084E0B" w:rsidRPr="00A65752">
              <w:rPr>
                <w:lang w:val="lv-LV"/>
              </w:rPr>
              <w:t>)</w:t>
            </w:r>
            <w:r w:rsidR="007C2311" w:rsidRPr="00A65752">
              <w:rPr>
                <w:lang w:val="lv-LV"/>
              </w:rPr>
              <w:t>.</w:t>
            </w:r>
          </w:p>
        </w:tc>
      </w:tr>
      <w:tr w:rsidR="004134D0" w:rsidRPr="00A65752" w:rsidTr="00C26215">
        <w:trPr>
          <w:gridBefore w:val="1"/>
          <w:gridAfter w:val="3"/>
          <w:wBefore w:w="32" w:type="dxa"/>
          <w:wAfter w:w="2677" w:type="dxa"/>
          <w:trHeight w:val="523"/>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2.</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Citas sabiedrības grupas (bez mērķgrupas), kuras tiesiskais regulējums arī ietekmē vai varētu ietekmēt</w:t>
            </w:r>
          </w:p>
        </w:tc>
        <w:tc>
          <w:tcPr>
            <w:tcW w:w="6356" w:type="dxa"/>
            <w:gridSpan w:val="5"/>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jc w:val="both"/>
              <w:rPr>
                <w:iCs/>
              </w:rPr>
            </w:pPr>
            <w:r w:rsidRPr="00A65752">
              <w:t>Projekts šo jomu neskar</w:t>
            </w:r>
            <w:r w:rsidR="007C2311" w:rsidRPr="00A65752">
              <w:t>.</w:t>
            </w:r>
          </w:p>
        </w:tc>
      </w:tr>
      <w:tr w:rsidR="004134D0" w:rsidRPr="00A65752" w:rsidTr="00C26215">
        <w:trPr>
          <w:gridBefore w:val="1"/>
          <w:gridAfter w:val="3"/>
          <w:wBefore w:w="32" w:type="dxa"/>
          <w:wAfter w:w="2677"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3.</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Tiesiskā regulējuma finansiālā ietekme</w:t>
            </w:r>
          </w:p>
        </w:tc>
        <w:tc>
          <w:tcPr>
            <w:tcW w:w="6356" w:type="dxa"/>
            <w:gridSpan w:val="5"/>
            <w:tcBorders>
              <w:top w:val="single" w:sz="4" w:space="0" w:color="auto"/>
              <w:left w:val="single" w:sz="4" w:space="0" w:color="auto"/>
              <w:bottom w:val="single" w:sz="4" w:space="0" w:color="auto"/>
              <w:right w:val="single" w:sz="4" w:space="0" w:color="auto"/>
            </w:tcBorders>
            <w:hideMark/>
          </w:tcPr>
          <w:p w:rsidR="004134D0" w:rsidRPr="00A65752" w:rsidRDefault="008E3BA6" w:rsidP="00B43861">
            <w:pPr>
              <w:pStyle w:val="NoSpacing"/>
              <w:jc w:val="both"/>
              <w:rPr>
                <w:rFonts w:ascii="Times New Roman" w:hAnsi="Times New Roman"/>
                <w:sz w:val="24"/>
                <w:szCs w:val="24"/>
              </w:rPr>
            </w:pPr>
            <w:r w:rsidRPr="00A65752">
              <w:rPr>
                <w:rFonts w:ascii="Times New Roman" w:hAnsi="Times New Roman"/>
                <w:sz w:val="24"/>
                <w:szCs w:val="24"/>
              </w:rPr>
              <w:t>Pašreiz to nevar noteikt</w:t>
            </w:r>
            <w:r w:rsidR="005F2B4A" w:rsidRPr="00A65752">
              <w:rPr>
                <w:rFonts w:ascii="Times New Roman" w:hAnsi="Times New Roman"/>
                <w:sz w:val="24"/>
                <w:szCs w:val="24"/>
              </w:rPr>
              <w:t>.</w:t>
            </w:r>
          </w:p>
          <w:p w:rsidR="00291C5A" w:rsidRPr="00A65752" w:rsidRDefault="00291C5A" w:rsidP="00B43861">
            <w:pPr>
              <w:pStyle w:val="NoSpacing"/>
              <w:jc w:val="both"/>
              <w:rPr>
                <w:rFonts w:ascii="Times New Roman" w:hAnsi="Times New Roman"/>
                <w:sz w:val="24"/>
                <w:szCs w:val="24"/>
              </w:rPr>
            </w:pPr>
          </w:p>
        </w:tc>
      </w:tr>
      <w:tr w:rsidR="004134D0" w:rsidRPr="00A65752" w:rsidTr="00C26215">
        <w:trPr>
          <w:gridBefore w:val="1"/>
          <w:gridAfter w:val="3"/>
          <w:wBefore w:w="32" w:type="dxa"/>
          <w:wAfter w:w="2677"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4.</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Tiesiskā regulējuma nefinansiālā ietekme</w:t>
            </w:r>
          </w:p>
        </w:tc>
        <w:tc>
          <w:tcPr>
            <w:tcW w:w="6356" w:type="dxa"/>
            <w:gridSpan w:val="5"/>
            <w:tcBorders>
              <w:top w:val="single" w:sz="4" w:space="0" w:color="auto"/>
              <w:left w:val="single" w:sz="4" w:space="0" w:color="auto"/>
              <w:bottom w:val="single" w:sz="4" w:space="0" w:color="auto"/>
              <w:right w:val="single" w:sz="4" w:space="0" w:color="auto"/>
            </w:tcBorders>
            <w:hideMark/>
          </w:tcPr>
          <w:p w:rsidR="004134D0" w:rsidRPr="00A65752" w:rsidRDefault="004134D0" w:rsidP="00267D0A">
            <w:pPr>
              <w:pStyle w:val="naiskr"/>
              <w:spacing w:before="0" w:after="0"/>
              <w:jc w:val="both"/>
            </w:pPr>
            <w:r w:rsidRPr="00A65752">
              <w:rPr>
                <w:spacing w:val="-6"/>
              </w:rPr>
              <w:t>Ieviešot Direktīvas Nr.2011/62 prasības</w:t>
            </w:r>
            <w:r w:rsidR="00847BF2" w:rsidRPr="00A65752">
              <w:rPr>
                <w:spacing w:val="-6"/>
              </w:rPr>
              <w:t xml:space="preserve"> </w:t>
            </w:r>
            <w:r w:rsidR="001327C9" w:rsidRPr="00A65752">
              <w:rPr>
                <w:spacing w:val="-6"/>
              </w:rPr>
              <w:t>administratīva</w:t>
            </w:r>
            <w:r w:rsidR="00DF2459" w:rsidRPr="00A65752">
              <w:rPr>
                <w:spacing w:val="-6"/>
              </w:rPr>
              <w:t>is slogs var samazināties aktī</w:t>
            </w:r>
            <w:r w:rsidR="005D1287" w:rsidRPr="00A65752">
              <w:rPr>
                <w:spacing w:val="-6"/>
              </w:rPr>
              <w:t>vo vielu ražotājam, kurš ražo</w:t>
            </w:r>
            <w:r w:rsidR="00DF2459" w:rsidRPr="00A65752">
              <w:rPr>
                <w:spacing w:val="-6"/>
              </w:rPr>
              <w:t xml:space="preserve"> tikai aktīvās vielas, jo viņam </w:t>
            </w:r>
            <w:r w:rsidR="001D0B5F" w:rsidRPr="00A65752">
              <w:rPr>
                <w:spacing w:val="-6"/>
              </w:rPr>
              <w:t xml:space="preserve">reģistrējoties kā aktīvo vielu ražotājam </w:t>
            </w:r>
            <w:r w:rsidR="00632590" w:rsidRPr="00A65752">
              <w:t xml:space="preserve">nebūs </w:t>
            </w:r>
            <w:r w:rsidR="001D0B5F" w:rsidRPr="00A65752">
              <w:t>obligāti jāsaņem</w:t>
            </w:r>
            <w:r w:rsidR="00DF2459" w:rsidRPr="00A65752">
              <w:t xml:space="preserve"> </w:t>
            </w:r>
            <w:r w:rsidR="001D0B5F" w:rsidRPr="00A65752">
              <w:t>papildus</w:t>
            </w:r>
            <w:r w:rsidR="004F632C" w:rsidRPr="00A65752">
              <w:t xml:space="preserve"> </w:t>
            </w:r>
            <w:r w:rsidR="00632590" w:rsidRPr="00A65752">
              <w:t>aktīv</w:t>
            </w:r>
            <w:r w:rsidR="001D0B5F" w:rsidRPr="00A65752">
              <w:t>o vielu ražošanas licence, kā arī viņš varēs to neuzturēt</w:t>
            </w:r>
            <w:r w:rsidR="00632590" w:rsidRPr="00A65752">
              <w:t>.</w:t>
            </w:r>
            <w:r w:rsidR="00E344A6" w:rsidRPr="00A65752">
              <w:t xml:space="preserve"> Līdz ar to aktīvo vielu ražotājam, būs nodrošinātas vienlīdzīgas tiesības ar zāļu ražotāju, kurš</w:t>
            </w:r>
            <w:r w:rsidR="00267D0A" w:rsidRPr="00A65752">
              <w:t xml:space="preserve"> ražo arī aktīvās vielas</w:t>
            </w:r>
            <w:r w:rsidR="00E344A6" w:rsidRPr="00A65752">
              <w:t>, jo</w:t>
            </w:r>
            <w:r w:rsidR="00267D0A" w:rsidRPr="00A65752">
              <w:t xml:space="preserve"> atbilstoši MK noteikumu Nr.800 normām </w:t>
            </w:r>
            <w:r w:rsidR="00E344A6" w:rsidRPr="00A65752">
              <w:t xml:space="preserve">zāļu ražotājam šajā gadījumā </w:t>
            </w:r>
            <w:r w:rsidR="00267D0A" w:rsidRPr="00A65752">
              <w:t>atsevišķa</w:t>
            </w:r>
            <w:r w:rsidR="007160E3" w:rsidRPr="00A65752">
              <w:t xml:space="preserve"> aktīvo vielu ražošanas licence</w:t>
            </w:r>
            <w:r w:rsidR="00E344A6" w:rsidRPr="00A65752">
              <w:t xml:space="preserve"> nav jāsaņem</w:t>
            </w:r>
            <w:r w:rsidR="00267D0A" w:rsidRPr="00A65752">
              <w:t>.</w:t>
            </w:r>
          </w:p>
          <w:p w:rsidR="00AA08D4" w:rsidRPr="00A65752" w:rsidRDefault="00AA08D4" w:rsidP="009F7B6F">
            <w:pPr>
              <w:pStyle w:val="naiskr"/>
              <w:spacing w:before="0" w:after="0"/>
              <w:jc w:val="both"/>
              <w:rPr>
                <w:b/>
              </w:rPr>
            </w:pPr>
            <w:r w:rsidRPr="00A65752">
              <w:lastRenderedPageBreak/>
              <w:t>Zāļu lieltirgotavas turpmāk saņems licenci zāļu vairumtirdzniecībai</w:t>
            </w:r>
            <w:r w:rsidR="009F7B6F" w:rsidRPr="00A65752">
              <w:t xml:space="preserve"> </w:t>
            </w:r>
            <w:r w:rsidRPr="00A65752">
              <w:t xml:space="preserve">pēc </w:t>
            </w:r>
            <w:r w:rsidR="009F7B6F" w:rsidRPr="00A65752">
              <w:t>Eiropas Savienības</w:t>
            </w:r>
            <w:r w:rsidRPr="00A65752">
              <w:t xml:space="preserve"> formāta, </w:t>
            </w:r>
            <w:r w:rsidR="009F7B6F" w:rsidRPr="00A65752">
              <w:t>jauns licences formāts būs arī licencēm zāļu ražošanai vai importēšanai, arī zāļu ražotņu apraksti turpmāk būs jāiesniedz pēc jauna Eiropas Savienības formāta, bet administratīvās procedūras paliek nemainīgas, un iepriekš izsniegtās licences un iesniegtie zāļu apraksti ir derīgi.</w:t>
            </w:r>
          </w:p>
        </w:tc>
      </w:tr>
      <w:tr w:rsidR="004134D0" w:rsidRPr="00A65752" w:rsidTr="00C26215">
        <w:trPr>
          <w:gridBefore w:val="1"/>
          <w:gridAfter w:val="3"/>
          <w:wBefore w:w="32" w:type="dxa"/>
          <w:wAfter w:w="2677" w:type="dxa"/>
          <w:trHeight w:val="531"/>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lastRenderedPageBreak/>
              <w:t>5.</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Administratīvās procedūras raksturojums</w:t>
            </w:r>
          </w:p>
        </w:tc>
        <w:tc>
          <w:tcPr>
            <w:tcW w:w="6356" w:type="dxa"/>
            <w:gridSpan w:val="5"/>
            <w:tcBorders>
              <w:top w:val="single" w:sz="4" w:space="0" w:color="auto"/>
              <w:left w:val="single" w:sz="4" w:space="0" w:color="auto"/>
              <w:bottom w:val="single" w:sz="4" w:space="0" w:color="auto"/>
              <w:right w:val="single" w:sz="4" w:space="0" w:color="auto"/>
            </w:tcBorders>
            <w:hideMark/>
          </w:tcPr>
          <w:p w:rsidR="00DB43BF" w:rsidRPr="00A65752" w:rsidRDefault="00AA08D4" w:rsidP="007C7E0D">
            <w:pPr>
              <w:pStyle w:val="naiskr"/>
              <w:spacing w:before="0" w:after="0"/>
              <w:jc w:val="both"/>
            </w:pPr>
            <w:r w:rsidRPr="00A65752">
              <w:t>Projekts šo jomu neskar</w:t>
            </w:r>
            <w:r w:rsidR="00966206" w:rsidRPr="00A65752">
              <w:t>.</w:t>
            </w:r>
            <w:r w:rsidR="00AB13E8" w:rsidRPr="00A65752">
              <w:t xml:space="preserve"> Administratīvās procedūras nemainās</w:t>
            </w:r>
            <w:r w:rsidR="007C7E0D" w:rsidRPr="00A65752">
              <w:t xml:space="preserve">, Apstiprinātā ražotnes apraksta forma, vairumtirdzniecības licences forma un zāļu ražošanas un importēšanas licences forma paredz iespēju dokumenta iesniegšanu elektroniski, ja elektroniskais dokuments ir sagatavots atbilstoši normatīvajiem aktiem </w:t>
            </w:r>
            <w:hyperlink r:id="rId18" w:tgtFrame="_top" w:tooltip="Elektronisko dokumentu likums" w:history="1">
              <w:r w:rsidR="007C7E0D" w:rsidRPr="00A65752">
                <w:t>par  elektronisko dokumentu noformēš</w:t>
              </w:r>
            </w:hyperlink>
            <w:r w:rsidR="007C7E0D" w:rsidRPr="00A65752">
              <w:t>anu.</w:t>
            </w:r>
          </w:p>
        </w:tc>
      </w:tr>
      <w:tr w:rsidR="004134D0" w:rsidRPr="00A65752" w:rsidTr="00C26215">
        <w:trPr>
          <w:gridBefore w:val="1"/>
          <w:gridAfter w:val="3"/>
          <w:wBefore w:w="32" w:type="dxa"/>
          <w:wAfter w:w="2677" w:type="dxa"/>
          <w:trHeight w:val="3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6.</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pPr>
            <w:r w:rsidRPr="00A65752">
              <w:t>Administratīvo izmaksu monetārs novērtējums</w:t>
            </w:r>
          </w:p>
        </w:tc>
        <w:tc>
          <w:tcPr>
            <w:tcW w:w="6356" w:type="dxa"/>
            <w:gridSpan w:val="5"/>
            <w:tcBorders>
              <w:top w:val="single" w:sz="4" w:space="0" w:color="auto"/>
              <w:left w:val="single" w:sz="4" w:space="0" w:color="auto"/>
              <w:bottom w:val="single" w:sz="4" w:space="0" w:color="auto"/>
              <w:right w:val="single" w:sz="4" w:space="0" w:color="auto"/>
            </w:tcBorders>
            <w:hideMark/>
          </w:tcPr>
          <w:p w:rsidR="004134D0" w:rsidRPr="00A65752" w:rsidRDefault="000A78D3" w:rsidP="004134D0">
            <w:pPr>
              <w:pStyle w:val="naiskr"/>
              <w:jc w:val="both"/>
            </w:pPr>
            <w:r w:rsidRPr="00A65752">
              <w:t>Projekts šo jomu neskar</w:t>
            </w:r>
            <w:r w:rsidR="005F2B4A" w:rsidRPr="00A65752">
              <w:t>.</w:t>
            </w:r>
          </w:p>
        </w:tc>
      </w:tr>
      <w:tr w:rsidR="004134D0" w:rsidRPr="00A65752" w:rsidTr="00C26215">
        <w:trPr>
          <w:gridBefore w:val="1"/>
          <w:gridAfter w:val="3"/>
          <w:wBefore w:w="32" w:type="dxa"/>
          <w:wAfter w:w="2677" w:type="dxa"/>
          <w:trHeight w:val="412"/>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jc w:val="both"/>
            </w:pPr>
            <w:r w:rsidRPr="00A65752">
              <w:t>7.</w:t>
            </w:r>
          </w:p>
        </w:tc>
        <w:tc>
          <w:tcPr>
            <w:tcW w:w="2572"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jc w:val="both"/>
            </w:pPr>
            <w:r w:rsidRPr="00A65752">
              <w:t>Cita informācija</w:t>
            </w:r>
          </w:p>
        </w:tc>
        <w:tc>
          <w:tcPr>
            <w:tcW w:w="6356" w:type="dxa"/>
            <w:gridSpan w:val="5"/>
            <w:tcBorders>
              <w:top w:val="single" w:sz="4" w:space="0" w:color="auto"/>
              <w:left w:val="single" w:sz="4" w:space="0" w:color="auto"/>
              <w:bottom w:val="single" w:sz="4" w:space="0" w:color="auto"/>
              <w:right w:val="single" w:sz="4" w:space="0" w:color="auto"/>
            </w:tcBorders>
            <w:hideMark/>
          </w:tcPr>
          <w:p w:rsidR="004134D0" w:rsidRPr="00A65752" w:rsidRDefault="00DA34EF" w:rsidP="004134D0">
            <w:pPr>
              <w:pStyle w:val="naiskr"/>
              <w:jc w:val="both"/>
            </w:pPr>
            <w:r w:rsidRPr="00A65752">
              <w:t>Nav</w:t>
            </w:r>
          </w:p>
        </w:tc>
      </w:tr>
      <w:tr w:rsidR="00937C13" w:rsidRPr="00A65752" w:rsidTr="00C26215">
        <w:trPr>
          <w:gridBefore w:val="1"/>
          <w:gridAfter w:val="3"/>
          <w:wBefore w:w="32" w:type="dxa"/>
          <w:wAfter w:w="2677" w:type="dxa"/>
          <w:trHeight w:val="583"/>
        </w:trPr>
        <w:tc>
          <w:tcPr>
            <w:tcW w:w="9324" w:type="dxa"/>
            <w:gridSpan w:val="11"/>
            <w:tcBorders>
              <w:top w:val="single" w:sz="4" w:space="0" w:color="auto"/>
              <w:left w:val="single" w:sz="4" w:space="0" w:color="auto"/>
              <w:bottom w:val="single" w:sz="4" w:space="0" w:color="auto"/>
              <w:right w:val="single" w:sz="4" w:space="0" w:color="auto"/>
            </w:tcBorders>
            <w:hideMark/>
          </w:tcPr>
          <w:p w:rsidR="00937C13" w:rsidRPr="00A65752" w:rsidRDefault="006C0BA0" w:rsidP="000C71EF">
            <w:pPr>
              <w:pStyle w:val="naisnod"/>
            </w:pPr>
            <w:r w:rsidRPr="00A65752">
              <w:rPr>
                <w:b w:val="0"/>
                <w:i/>
              </w:rPr>
              <w:t>Anotācijas III</w:t>
            </w:r>
            <w:r w:rsidR="00727D27" w:rsidRPr="00A65752">
              <w:rPr>
                <w:b w:val="0"/>
                <w:i/>
              </w:rPr>
              <w:t> – </w:t>
            </w:r>
            <w:r w:rsidRPr="00A65752">
              <w:rPr>
                <w:b w:val="0"/>
                <w:i/>
              </w:rPr>
              <w:t>projekts šo jomu neskar</w:t>
            </w:r>
            <w:r w:rsidRPr="00A65752">
              <w:t>.</w:t>
            </w:r>
          </w:p>
        </w:tc>
      </w:tr>
      <w:tr w:rsidR="006E299D" w:rsidRPr="00A65752" w:rsidTr="00C26215">
        <w:trPr>
          <w:gridBefore w:val="1"/>
          <w:gridAfter w:val="3"/>
          <w:wBefore w:w="32" w:type="dxa"/>
          <w:wAfter w:w="2677" w:type="dxa"/>
          <w:trHeight w:val="421"/>
        </w:trPr>
        <w:tc>
          <w:tcPr>
            <w:tcW w:w="9324" w:type="dxa"/>
            <w:gridSpan w:val="11"/>
            <w:tcBorders>
              <w:top w:val="single" w:sz="4" w:space="0" w:color="auto"/>
              <w:left w:val="single" w:sz="4" w:space="0" w:color="auto"/>
              <w:bottom w:val="single" w:sz="4" w:space="0" w:color="auto"/>
              <w:right w:val="single" w:sz="4" w:space="0" w:color="auto"/>
            </w:tcBorders>
            <w:hideMark/>
          </w:tcPr>
          <w:p w:rsidR="006E299D" w:rsidRPr="00A65752" w:rsidRDefault="006E299D" w:rsidP="006E299D">
            <w:pPr>
              <w:pStyle w:val="naiskr"/>
              <w:jc w:val="center"/>
              <w:rPr>
                <w:b/>
              </w:rPr>
            </w:pPr>
            <w:r w:rsidRPr="00A65752">
              <w:rPr>
                <w:b/>
              </w:rPr>
              <w:t>IV. Tiesību akta projekta ietekme uz spēkā esošo tiesību normu sistēmu</w:t>
            </w:r>
          </w:p>
        </w:tc>
      </w:tr>
      <w:tr w:rsidR="00927AC0" w:rsidRPr="00A65752" w:rsidTr="00C26215">
        <w:trPr>
          <w:gridBefore w:val="1"/>
          <w:gridAfter w:val="3"/>
          <w:wBefore w:w="32" w:type="dxa"/>
          <w:wAfter w:w="2677" w:type="dxa"/>
          <w:trHeight w:val="852"/>
        </w:trPr>
        <w:tc>
          <w:tcPr>
            <w:tcW w:w="536" w:type="dxa"/>
            <w:gridSpan w:val="3"/>
            <w:tcBorders>
              <w:top w:val="single" w:sz="4" w:space="0" w:color="auto"/>
              <w:left w:val="single" w:sz="4" w:space="0" w:color="auto"/>
              <w:bottom w:val="single" w:sz="4" w:space="0" w:color="auto"/>
              <w:right w:val="single" w:sz="4" w:space="0" w:color="auto"/>
            </w:tcBorders>
            <w:hideMark/>
          </w:tcPr>
          <w:p w:rsidR="00927AC0" w:rsidRPr="00A65752" w:rsidRDefault="00927AC0" w:rsidP="00414C22">
            <w:pPr>
              <w:pStyle w:val="naisnod"/>
              <w:spacing w:before="0" w:after="0"/>
              <w:ind w:left="57" w:right="57"/>
              <w:rPr>
                <w:b w:val="0"/>
              </w:rPr>
            </w:pPr>
            <w:r w:rsidRPr="00A65752">
              <w:rPr>
                <w:b w:val="0"/>
              </w:rPr>
              <w:t>1.</w:t>
            </w:r>
          </w:p>
        </w:tc>
        <w:tc>
          <w:tcPr>
            <w:tcW w:w="2432" w:type="dxa"/>
            <w:gridSpan w:val="3"/>
            <w:tcBorders>
              <w:top w:val="single" w:sz="4" w:space="0" w:color="auto"/>
              <w:left w:val="single" w:sz="4" w:space="0" w:color="auto"/>
              <w:bottom w:val="single" w:sz="4" w:space="0" w:color="auto"/>
              <w:right w:val="single" w:sz="4" w:space="0" w:color="auto"/>
            </w:tcBorders>
            <w:hideMark/>
          </w:tcPr>
          <w:p w:rsidR="00EF2553" w:rsidRDefault="00927AC0" w:rsidP="00EF2553">
            <w:pPr>
              <w:pStyle w:val="naisnod"/>
              <w:spacing w:before="0" w:after="0"/>
              <w:ind w:right="57"/>
              <w:jc w:val="left"/>
              <w:rPr>
                <w:b w:val="0"/>
              </w:rPr>
            </w:pPr>
            <w:r w:rsidRPr="00A65752">
              <w:rPr>
                <w:b w:val="0"/>
              </w:rPr>
              <w:t>Nepieciešamie saistītie tiesību aktu projekti</w:t>
            </w:r>
          </w:p>
        </w:tc>
        <w:tc>
          <w:tcPr>
            <w:tcW w:w="6356" w:type="dxa"/>
            <w:gridSpan w:val="5"/>
            <w:tcBorders>
              <w:top w:val="single" w:sz="4" w:space="0" w:color="auto"/>
              <w:left w:val="single" w:sz="4" w:space="0" w:color="auto"/>
              <w:bottom w:val="single" w:sz="4" w:space="0" w:color="auto"/>
              <w:right w:val="single" w:sz="4" w:space="0" w:color="auto"/>
            </w:tcBorders>
            <w:hideMark/>
          </w:tcPr>
          <w:p w:rsidR="00927AC0" w:rsidRPr="00C01634" w:rsidRDefault="00927AC0" w:rsidP="00C01634">
            <w:pPr>
              <w:pStyle w:val="naisf"/>
              <w:spacing w:before="0" w:beforeAutospacing="0" w:after="0" w:afterAutospacing="0"/>
              <w:jc w:val="both"/>
              <w:rPr>
                <w:noProof/>
                <w:spacing w:val="-6"/>
                <w:lang w:val="lv-LV"/>
              </w:rPr>
            </w:pPr>
            <w:r w:rsidRPr="00C01634">
              <w:rPr>
                <w:noProof/>
                <w:spacing w:val="-6"/>
                <w:lang w:val="lv-LV"/>
              </w:rPr>
              <w:t>Lai ieviestu pilnībā Direktīvas 2011/62/ES normas, ir nepieciešams pieņemt:</w:t>
            </w:r>
          </w:p>
          <w:p w:rsidR="00C01634" w:rsidRDefault="00927AC0" w:rsidP="00C01634">
            <w:pPr>
              <w:pStyle w:val="NoSpacing"/>
              <w:jc w:val="both"/>
              <w:rPr>
                <w:rFonts w:ascii="Times New Roman" w:hAnsi="Times New Roman"/>
                <w:noProof/>
                <w:sz w:val="24"/>
                <w:szCs w:val="24"/>
              </w:rPr>
            </w:pPr>
            <w:r w:rsidRPr="00C01634">
              <w:rPr>
                <w:rFonts w:ascii="Times New Roman" w:hAnsi="Times New Roman"/>
                <w:noProof/>
                <w:spacing w:val="-6"/>
                <w:sz w:val="24"/>
                <w:szCs w:val="24"/>
              </w:rPr>
              <w:t xml:space="preserve">1. Grozījumus </w:t>
            </w:r>
            <w:r w:rsidRPr="00C01634">
              <w:rPr>
                <w:rFonts w:ascii="Times New Roman" w:hAnsi="Times New Roman"/>
                <w:noProof/>
                <w:sz w:val="24"/>
                <w:szCs w:val="24"/>
              </w:rPr>
              <w:t>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(turpāk – grozījumi MK noteikumos Nr.304), lai noteiktu</w:t>
            </w:r>
            <w:r w:rsidRPr="00C01634">
              <w:rPr>
                <w:rFonts w:ascii="Times New Roman" w:hAnsi="Times New Roman"/>
                <w:noProof/>
                <w:spacing w:val="-6"/>
                <w:sz w:val="24"/>
                <w:szCs w:val="24"/>
              </w:rPr>
              <w:t xml:space="preserve"> stingrākas pārbaužu prasības ražotājiem, </w:t>
            </w:r>
            <w:r w:rsidRPr="00C01634">
              <w:rPr>
                <w:rFonts w:ascii="Times New Roman" w:hAnsi="Times New Roman"/>
                <w:iCs/>
                <w:noProof/>
                <w:sz w:val="24"/>
                <w:szCs w:val="24"/>
              </w:rPr>
              <w:t>ražotāja atbildības palielināšanu par aktīvo vielu ražotnes un aktīvo vielu izplatītāju darbības vietas auditiem</w:t>
            </w:r>
            <w:r w:rsidRPr="00C01634">
              <w:rPr>
                <w:rFonts w:ascii="Times New Roman" w:hAnsi="Times New Roman"/>
                <w:noProof/>
                <w:spacing w:val="-6"/>
                <w:sz w:val="24"/>
                <w:szCs w:val="24"/>
              </w:rPr>
              <w:t xml:space="preserve"> un zāļu kontroli un uzraudzību, kā arī lai precizētu </w:t>
            </w:r>
            <w:r w:rsidRPr="00C01634">
              <w:rPr>
                <w:rFonts w:ascii="Times New Roman" w:hAnsi="Times New Roman"/>
                <w:noProof/>
                <w:sz w:val="24"/>
                <w:szCs w:val="24"/>
              </w:rPr>
              <w:t>kontroles ziņojuma formu un labas ražo</w:t>
            </w:r>
            <w:r w:rsidR="00C01634" w:rsidRPr="00C01634">
              <w:rPr>
                <w:rFonts w:ascii="Times New Roman" w:hAnsi="Times New Roman"/>
                <w:noProof/>
                <w:sz w:val="24"/>
                <w:szCs w:val="24"/>
              </w:rPr>
              <w:t>šanas prakses sertifikāta forma</w:t>
            </w:r>
            <w:r w:rsidRPr="00C01634">
              <w:rPr>
                <w:rFonts w:ascii="Times New Roman" w:hAnsi="Times New Roman"/>
                <w:noProof/>
                <w:sz w:val="24"/>
                <w:szCs w:val="24"/>
              </w:rPr>
              <w:t xml:space="preserve"> atbilstībai Eiropas Savienības formātam.</w:t>
            </w:r>
            <w:r w:rsidR="00731582" w:rsidRPr="00C01634">
              <w:rPr>
                <w:rFonts w:ascii="Times New Roman" w:hAnsi="Times New Roman"/>
                <w:noProof/>
                <w:sz w:val="24"/>
                <w:szCs w:val="24"/>
              </w:rPr>
              <w:t xml:space="preserve"> Uzsaukti</w:t>
            </w:r>
            <w:r w:rsidR="00487D83" w:rsidRPr="00C01634">
              <w:rPr>
                <w:rFonts w:ascii="Times New Roman" w:hAnsi="Times New Roman"/>
                <w:noProof/>
                <w:sz w:val="24"/>
                <w:szCs w:val="24"/>
              </w:rPr>
              <w:t xml:space="preserve"> VSS 18.04.2013 (VSS – 363)</w:t>
            </w:r>
            <w:r w:rsidR="00C01634" w:rsidRPr="00C01634">
              <w:rPr>
                <w:rFonts w:ascii="Times New Roman" w:hAnsi="Times New Roman"/>
                <w:noProof/>
                <w:sz w:val="24"/>
                <w:szCs w:val="24"/>
              </w:rPr>
              <w:t>.</w:t>
            </w:r>
            <w:r w:rsidR="00731582" w:rsidRPr="00C01634">
              <w:rPr>
                <w:rFonts w:ascii="Times New Roman" w:hAnsi="Times New Roman"/>
                <w:noProof/>
                <w:sz w:val="24"/>
                <w:szCs w:val="24"/>
              </w:rPr>
              <w:t xml:space="preserve"> </w:t>
            </w:r>
          </w:p>
          <w:p w:rsidR="002C6635" w:rsidRPr="00C01634" w:rsidRDefault="002C6635" w:rsidP="00C01634">
            <w:pPr>
              <w:pStyle w:val="NoSpacing"/>
              <w:jc w:val="both"/>
              <w:rPr>
                <w:rFonts w:ascii="Times New Roman" w:hAnsi="Times New Roman"/>
                <w:noProof/>
                <w:sz w:val="24"/>
                <w:szCs w:val="24"/>
              </w:rPr>
            </w:pPr>
          </w:p>
          <w:p w:rsidR="00C01634"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pacing w:val="-6"/>
                <w:sz w:val="24"/>
                <w:szCs w:val="24"/>
              </w:rPr>
              <w:t>2. </w:t>
            </w:r>
            <w:r w:rsidRPr="00C01634">
              <w:rPr>
                <w:rFonts w:ascii="Times New Roman" w:hAnsi="Times New Roman"/>
                <w:noProof/>
                <w:sz w:val="24"/>
                <w:szCs w:val="24"/>
              </w:rPr>
              <w:t xml:space="preserve">Ministru kabineta noteikumus par </w:t>
            </w:r>
            <w:r w:rsidRPr="00C01634">
              <w:rPr>
                <w:rFonts w:ascii="Times New Roman" w:hAnsi="Times New Roman"/>
                <w:sz w:val="24"/>
                <w:szCs w:val="24"/>
              </w:rPr>
              <w:t>”Aktīvo vielu importēšanas un izplatīšanas prasības un kārtība un aktīvo vielu importētāju, ražotāju un izplatītāju reģistrēšanas kārtība”</w:t>
            </w:r>
            <w:r w:rsidRPr="00C01634">
              <w:rPr>
                <w:rFonts w:ascii="Times New Roman" w:hAnsi="Times New Roman"/>
                <w:bCs/>
                <w:noProof/>
                <w:sz w:val="24"/>
                <w:szCs w:val="24"/>
              </w:rPr>
              <w:t xml:space="preserve">, </w:t>
            </w:r>
            <w:r w:rsidRPr="00C01634">
              <w:rPr>
                <w:rFonts w:ascii="Times New Roman" w:hAnsi="Times New Roman"/>
                <w:sz w:val="24"/>
                <w:szCs w:val="24"/>
              </w:rPr>
              <w:t>lai</w:t>
            </w:r>
            <w:r w:rsidRPr="00C01634">
              <w:rPr>
                <w:rFonts w:ascii="Times New Roman" w:hAnsi="Times New Roman"/>
                <w:bCs/>
                <w:spacing w:val="-6"/>
                <w:sz w:val="24"/>
                <w:szCs w:val="24"/>
              </w:rPr>
              <w:t xml:space="preserve"> ieviestu normas, kas papildina </w:t>
            </w:r>
            <w:r w:rsidRPr="00C01634">
              <w:rPr>
                <w:rFonts w:ascii="Times New Roman" w:hAnsi="Times New Roman"/>
                <w:noProof/>
                <w:sz w:val="24"/>
                <w:szCs w:val="24"/>
              </w:rPr>
              <w:t>zāļu reģistrācijai iesniedzamos dokumentus, noteiktu stingrākās prasības aktīvās vielu importēšanas un izplatīšanas prasības.</w:t>
            </w:r>
            <w:r w:rsidR="00487D83" w:rsidRPr="00C01634">
              <w:rPr>
                <w:rFonts w:ascii="Times New Roman" w:hAnsi="Times New Roman"/>
                <w:noProof/>
                <w:sz w:val="24"/>
                <w:szCs w:val="24"/>
              </w:rPr>
              <w:t xml:space="preserve"> </w:t>
            </w:r>
          </w:p>
          <w:p w:rsidR="00927AC0" w:rsidRDefault="00487D83" w:rsidP="00C01634">
            <w:pPr>
              <w:pStyle w:val="NoSpacing"/>
              <w:jc w:val="both"/>
              <w:rPr>
                <w:rFonts w:ascii="Times New Roman" w:hAnsi="Times New Roman"/>
                <w:noProof/>
                <w:sz w:val="24"/>
                <w:szCs w:val="24"/>
              </w:rPr>
            </w:pPr>
            <w:r w:rsidRPr="00C01634">
              <w:rPr>
                <w:rFonts w:ascii="Times New Roman" w:hAnsi="Times New Roman"/>
                <w:noProof/>
                <w:sz w:val="24"/>
                <w:szCs w:val="24"/>
              </w:rPr>
              <w:t>Uzsaukti VSS 11.04.2013 (VSS – 334)</w:t>
            </w:r>
            <w:r w:rsidR="00C01634" w:rsidRPr="00C01634">
              <w:rPr>
                <w:rFonts w:ascii="Times New Roman" w:hAnsi="Times New Roman"/>
                <w:noProof/>
                <w:sz w:val="24"/>
                <w:szCs w:val="24"/>
              </w:rPr>
              <w:t>, mainīsies nosaukums uz ”Noteikumi par aktīvo vielu importēšanas un izplatīšanas kārtību”.</w:t>
            </w:r>
          </w:p>
          <w:p w:rsidR="002C6635" w:rsidRPr="00C01634" w:rsidRDefault="002C6635" w:rsidP="00C01634">
            <w:pPr>
              <w:pStyle w:val="NoSpacing"/>
              <w:jc w:val="both"/>
              <w:rPr>
                <w:rFonts w:ascii="Times New Roman" w:hAnsi="Times New Roman"/>
                <w:noProof/>
                <w:sz w:val="24"/>
                <w:szCs w:val="24"/>
              </w:rPr>
            </w:pPr>
          </w:p>
          <w:p w:rsidR="00927AC0" w:rsidRDefault="00927AC0" w:rsidP="00C01634">
            <w:pPr>
              <w:shd w:val="clear" w:color="auto" w:fill="F5F5F5"/>
              <w:jc w:val="both"/>
              <w:textAlignment w:val="top"/>
              <w:rPr>
                <w:noProof/>
              </w:rPr>
            </w:pPr>
            <w:r w:rsidRPr="00C01634">
              <w:rPr>
                <w:noProof/>
                <w:spacing w:val="-6"/>
                <w:lang w:val="lv-LV"/>
              </w:rPr>
              <w:t xml:space="preserve">3. Grozījumus </w:t>
            </w:r>
            <w:r w:rsidRPr="00C01634">
              <w:rPr>
                <w:noProof/>
                <w:lang w:val="lv-LV"/>
              </w:rPr>
              <w:t xml:space="preserve">Ministru kabineta 2006.gada 9.maija noteikumos Nr.376 </w:t>
            </w:r>
            <w:r w:rsidRPr="00C01634">
              <w:rPr>
                <w:bCs/>
                <w:noProof/>
                <w:lang w:val="lv-LV"/>
              </w:rPr>
              <w:t>”</w:t>
            </w:r>
            <w:r w:rsidRPr="00C01634">
              <w:rPr>
                <w:noProof/>
                <w:lang w:val="lv-LV"/>
              </w:rPr>
              <w:t>Zāļu reģistrēšanas kārtība</w:t>
            </w:r>
            <w:r w:rsidRPr="00C01634">
              <w:rPr>
                <w:bCs/>
                <w:noProof/>
                <w:lang w:val="lv-LV"/>
              </w:rPr>
              <w:t xml:space="preserve">” </w:t>
            </w:r>
            <w:r w:rsidRPr="00C01634">
              <w:rPr>
                <w:noProof/>
                <w:lang w:val="lv-LV"/>
              </w:rPr>
              <w:t>(turpāk – grozījumi MK noteikumos Nr.376)</w:t>
            </w:r>
            <w:r w:rsidRPr="00C01634">
              <w:rPr>
                <w:bCs/>
                <w:noProof/>
                <w:lang w:val="lv-LV"/>
              </w:rPr>
              <w:t>, lai papildinātu</w:t>
            </w:r>
            <w:r w:rsidRPr="00C01634">
              <w:rPr>
                <w:noProof/>
                <w:lang w:val="lv-LV"/>
              </w:rPr>
              <w:t xml:space="preserve"> zāļu reģistrācijai iesniedzamos dokumentus, nosakot stingrākās prasības zāļu attiecībā uz aktīvās vielas ražotāja pārbaudēm, un precizētu Zāļu valsts aģentūras lēmumu pieņemšanas procedūras.</w:t>
            </w:r>
            <w:r w:rsidR="00487D83" w:rsidRPr="00C01634">
              <w:rPr>
                <w:noProof/>
                <w:lang w:val="lv-LV"/>
              </w:rPr>
              <w:t xml:space="preserve"> </w:t>
            </w:r>
            <w:r w:rsidR="00487D83" w:rsidRPr="00C01634">
              <w:rPr>
                <w:noProof/>
              </w:rPr>
              <w:t>Uzsaukti VSS 18.04.2013 (VSS – 365).</w:t>
            </w:r>
          </w:p>
          <w:p w:rsidR="002C6635" w:rsidRPr="00C01634" w:rsidRDefault="002C6635" w:rsidP="00C01634">
            <w:pPr>
              <w:shd w:val="clear" w:color="auto" w:fill="F5F5F5"/>
              <w:jc w:val="both"/>
              <w:textAlignment w:val="top"/>
              <w:rPr>
                <w:noProof/>
                <w:lang w:val="lv-LV"/>
              </w:rPr>
            </w:pPr>
          </w:p>
          <w:p w:rsidR="00927AC0" w:rsidRPr="00C01634" w:rsidRDefault="00C01634" w:rsidP="00C01634">
            <w:pPr>
              <w:pStyle w:val="NoSpacing"/>
              <w:jc w:val="both"/>
              <w:rPr>
                <w:rFonts w:ascii="Times New Roman" w:hAnsi="Times New Roman"/>
                <w:noProof/>
                <w:sz w:val="24"/>
                <w:szCs w:val="24"/>
              </w:rPr>
            </w:pPr>
            <w:r>
              <w:rPr>
                <w:rFonts w:ascii="Times New Roman" w:hAnsi="Times New Roman"/>
                <w:noProof/>
                <w:spacing w:val="-6"/>
                <w:sz w:val="24"/>
                <w:szCs w:val="24"/>
              </w:rPr>
              <w:t>4</w:t>
            </w:r>
            <w:r w:rsidR="00927AC0" w:rsidRPr="00C01634">
              <w:rPr>
                <w:rFonts w:ascii="Times New Roman" w:hAnsi="Times New Roman"/>
                <w:noProof/>
                <w:spacing w:val="-6"/>
                <w:sz w:val="24"/>
                <w:szCs w:val="24"/>
              </w:rPr>
              <w:t xml:space="preserve">. Grozījumus </w:t>
            </w:r>
            <w:r w:rsidR="00927AC0" w:rsidRPr="00C01634">
              <w:rPr>
                <w:rFonts w:ascii="Times New Roman" w:hAnsi="Times New Roman"/>
                <w:noProof/>
                <w:sz w:val="24"/>
                <w:szCs w:val="24"/>
              </w:rPr>
              <w:t xml:space="preserve">Ministru kabineta 2007.gada 26.jūnija noteikumos Nr.416 </w:t>
            </w:r>
            <w:r w:rsidR="00927AC0" w:rsidRPr="00C01634">
              <w:rPr>
                <w:rFonts w:ascii="Times New Roman" w:hAnsi="Times New Roman"/>
                <w:bCs/>
                <w:noProof/>
                <w:sz w:val="24"/>
                <w:szCs w:val="24"/>
              </w:rPr>
              <w:t>”</w:t>
            </w:r>
            <w:r w:rsidR="00927AC0" w:rsidRPr="00C01634">
              <w:rPr>
                <w:rFonts w:ascii="Times New Roman" w:hAnsi="Times New Roman"/>
                <w:noProof/>
                <w:sz w:val="24"/>
                <w:szCs w:val="24"/>
              </w:rPr>
              <w:t>Zāļu izplatīšanas un kvalitātes kontroles kārtība</w:t>
            </w:r>
            <w:r w:rsidR="00927AC0" w:rsidRPr="00C01634">
              <w:rPr>
                <w:rFonts w:ascii="Times New Roman" w:hAnsi="Times New Roman"/>
                <w:bCs/>
                <w:noProof/>
                <w:sz w:val="24"/>
                <w:szCs w:val="24"/>
              </w:rPr>
              <w:t xml:space="preserve">” </w:t>
            </w:r>
            <w:r w:rsidR="00927AC0" w:rsidRPr="00C01634">
              <w:rPr>
                <w:rFonts w:ascii="Times New Roman" w:hAnsi="Times New Roman"/>
                <w:noProof/>
                <w:sz w:val="24"/>
                <w:szCs w:val="24"/>
              </w:rPr>
              <w:t>(turpāk – grozījumi MK noteikumos Nr.416)</w:t>
            </w:r>
            <w:r w:rsidR="00927AC0" w:rsidRPr="00C01634">
              <w:rPr>
                <w:rFonts w:ascii="Times New Roman" w:hAnsi="Times New Roman"/>
                <w:bCs/>
                <w:noProof/>
                <w:sz w:val="24"/>
                <w:szCs w:val="24"/>
              </w:rPr>
              <w:t>, lai palielinātu zāļu piegādes ķēdes uzticamību un noteiktu kārtību, kādā Zāļu valsts aģentūra reģistrē starpniecības darījumus ar zālēm atbilstoši Farmācijas likuma 25.</w:t>
            </w:r>
            <w:r w:rsidR="00927AC0" w:rsidRPr="00C01634">
              <w:rPr>
                <w:rFonts w:ascii="Times New Roman" w:hAnsi="Times New Roman"/>
                <w:bCs/>
                <w:noProof/>
                <w:sz w:val="24"/>
                <w:szCs w:val="24"/>
                <w:vertAlign w:val="superscript"/>
              </w:rPr>
              <w:t>3</w:t>
            </w:r>
            <w:r w:rsidR="00927AC0" w:rsidRPr="00C01634">
              <w:rPr>
                <w:rFonts w:ascii="Times New Roman" w:hAnsi="Times New Roman"/>
                <w:bCs/>
                <w:noProof/>
                <w:sz w:val="24"/>
                <w:szCs w:val="24"/>
              </w:rPr>
              <w:t xml:space="preserve">panta normai, lai noteiktu prasības starpniecības darījumiem ar zālēm, precizētu normas </w:t>
            </w:r>
            <w:r w:rsidR="00927AC0" w:rsidRPr="00C01634">
              <w:rPr>
                <w:rFonts w:ascii="Times New Roman" w:hAnsi="Times New Roman"/>
                <w:noProof/>
                <w:sz w:val="24"/>
                <w:szCs w:val="24"/>
              </w:rPr>
              <w:t>par zāļu iegādi no trešajām valstīm un eksportam no Eiropas Savienības, kā arī, lai pastiprinātu zāļu kontroli un uzraudzību, tajā skaitā zāļu izplatīšanā ar tīmekļa starpniecību, un lai ieviestu zāļu labas izplatīšanas prakses sertifikāta formu atbilstoši Eiropas Savienības formātam.</w:t>
            </w:r>
            <w:r w:rsidR="00487D83" w:rsidRPr="00C01634">
              <w:rPr>
                <w:rFonts w:ascii="Times New Roman" w:hAnsi="Times New Roman"/>
                <w:noProof/>
                <w:sz w:val="24"/>
                <w:szCs w:val="24"/>
              </w:rPr>
              <w:t xml:space="preserve"> Uzsaukti VSS 18.04.2013 (VSS – 364).</w:t>
            </w:r>
          </w:p>
          <w:p w:rsidR="00927AC0" w:rsidRPr="00C01634" w:rsidRDefault="00927AC0" w:rsidP="00C01634">
            <w:pPr>
              <w:shd w:val="clear" w:color="auto" w:fill="F5F5F5"/>
              <w:jc w:val="both"/>
              <w:textAlignment w:val="top"/>
              <w:rPr>
                <w:noProof/>
                <w:lang w:val="lv-LV"/>
              </w:rPr>
            </w:pPr>
          </w:p>
          <w:p w:rsidR="00927AC0" w:rsidRPr="00C01634" w:rsidRDefault="00927AC0" w:rsidP="00C01634">
            <w:pPr>
              <w:pStyle w:val="NoSpacing"/>
              <w:jc w:val="both"/>
              <w:rPr>
                <w:rFonts w:ascii="Times New Roman" w:hAnsi="Times New Roman"/>
                <w:bCs/>
                <w:noProof/>
                <w:sz w:val="24"/>
                <w:szCs w:val="24"/>
              </w:rPr>
            </w:pPr>
            <w:r w:rsidRPr="00C01634">
              <w:rPr>
                <w:rFonts w:ascii="Times New Roman" w:hAnsi="Times New Roman"/>
                <w:noProof/>
                <w:sz w:val="24"/>
                <w:szCs w:val="24"/>
              </w:rPr>
              <w:t>5. Grozījumus Administratīvo pārkāpumu kodeksā, lai noteiktu sodus, ja pārkāpti noteikumi par aktīvo vielu ražošanu, importēšanu vai izplatīšanu, kā arī attiecībā uz palīgvielām un viltotu zāļu ražošanu un izplatīšanu (</w:t>
            </w:r>
            <w:r w:rsidRPr="00C01634">
              <w:rPr>
                <w:rFonts w:ascii="Times New Roman" w:hAnsi="Times New Roman"/>
                <w:bCs/>
                <w:noProof/>
                <w:sz w:val="24"/>
                <w:szCs w:val="24"/>
              </w:rPr>
              <w:t>Iesniegt</w:t>
            </w:r>
            <w:r w:rsidR="005F2B4A" w:rsidRPr="00C01634">
              <w:rPr>
                <w:rFonts w:ascii="Times New Roman" w:hAnsi="Times New Roman"/>
                <w:bCs/>
                <w:noProof/>
                <w:sz w:val="24"/>
                <w:szCs w:val="24"/>
              </w:rPr>
              <w:t>i Priekšlikumi  likumprojektam ”</w:t>
            </w:r>
            <w:r w:rsidRPr="00C01634">
              <w:rPr>
                <w:rFonts w:ascii="Times New Roman" w:hAnsi="Times New Roman"/>
                <w:bCs/>
                <w:noProof/>
                <w:sz w:val="24"/>
                <w:szCs w:val="24"/>
              </w:rPr>
              <w:t>Grozījumi Latvijas Administratīvo pārkāpumu kodeksā”” (505/Lp11) 2013.gada 7.martā iesniegti Saeimā uz 2.lasījumu</w:t>
            </w:r>
            <w:r w:rsidRPr="00C01634">
              <w:rPr>
                <w:rFonts w:ascii="Times New Roman" w:hAnsi="Times New Roman"/>
                <w:noProof/>
                <w:sz w:val="24"/>
                <w:szCs w:val="24"/>
              </w:rPr>
              <w:t>).</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6. Pēc tam, kad Eiropas Komisija</w:t>
            </w:r>
            <w:r w:rsidR="005F2B4A" w:rsidRPr="00C01634">
              <w:rPr>
                <w:rFonts w:ascii="Times New Roman" w:hAnsi="Times New Roman"/>
                <w:noProof/>
                <w:sz w:val="24"/>
                <w:szCs w:val="24"/>
              </w:rPr>
              <w:t xml:space="preserve"> pieņems 2014.gadā Regulu par:</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drošuma pazīmju (unikālais identifikators) raksturojumu un tehniskajām specifikācijām;</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recepšu zāļu vai zāļu kategoriju sarakstu, zālēm kurām drošuma pazīmes nenorāda;</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bezrecepšu zāļu vai zāļu kategoriju sarakstu, kurām drošuma pazīmes norāda;</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paziņošanas procedūru par zālēm, par kurām ir aizdomas par viltojumu, un ātru šādu ziņojumu izvērtēšanas un lēmumu pieņemšanas sistēmu;</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drošuma pazīmju pārbaudes paņēmieniem, ko veic  ražotāji, vairumtirgotāji, farmaceiti;</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xml:space="preserve">- nosacījumiem repozitoriju sistēmas izveidi, pārvaldību un </w:t>
            </w:r>
            <w:r w:rsidRPr="00C01634">
              <w:rPr>
                <w:rFonts w:ascii="Times New Roman" w:hAnsi="Times New Roman"/>
                <w:noProof/>
                <w:sz w:val="24"/>
                <w:szCs w:val="24"/>
              </w:rPr>
              <w:lastRenderedPageBreak/>
              <w:t>pieejamību, kurā glabā informāciju par drošuma pazīmēm, kas ļauj - pārbaudīt zāļu autentiskumu un identificēt tās,</w:t>
            </w: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xml:space="preserve">grozījumus būs nepieciešams veikt </w:t>
            </w:r>
            <w:r w:rsidRPr="00C01634">
              <w:rPr>
                <w:rFonts w:ascii="Times New Roman" w:hAnsi="Times New Roman"/>
                <w:noProof/>
                <w:spacing w:val="-6"/>
                <w:sz w:val="24"/>
                <w:szCs w:val="24"/>
              </w:rPr>
              <w:t xml:space="preserve">MK noteikumos Nr.304 ”Noteikumi par zāļu ražošanas un kontroles kārtību, par zāļu ražošanu atbildības amatpersonas kvalifikācijas prasībām un profesionālo pieredzi un kārtību, kādā zāļu ražošanas uzņēmumam izsniedz labas ražošanas prakses sertifikātu”, Ministru kabineta  </w:t>
            </w:r>
            <w:r w:rsidRPr="00C01634">
              <w:rPr>
                <w:rFonts w:ascii="Times New Roman" w:hAnsi="Times New Roman"/>
                <w:noProof/>
                <w:sz w:val="24"/>
                <w:szCs w:val="24"/>
              </w:rPr>
              <w:t xml:space="preserve">2007.gada 26.jūnija noteikumos Nr.436 ”Zāļu ievešanas un izvešanas kārtība” </w:t>
            </w:r>
            <w:r w:rsidR="00844D61" w:rsidRPr="00C01634">
              <w:rPr>
                <w:rFonts w:ascii="Times New Roman" w:hAnsi="Times New Roman"/>
                <w:noProof/>
                <w:sz w:val="24"/>
                <w:szCs w:val="24"/>
              </w:rPr>
              <w:t xml:space="preserve">(turpmāk – MK noteikumi Nr.436) </w:t>
            </w:r>
            <w:r w:rsidRPr="00C01634">
              <w:rPr>
                <w:rFonts w:ascii="Times New Roman" w:hAnsi="Times New Roman"/>
                <w:noProof/>
                <w:sz w:val="24"/>
                <w:szCs w:val="24"/>
              </w:rPr>
              <w:t>un 2006.gada 17.janvāra noteikumos Nr.57 ”Noteikumi par zāļu marķēšanas kārtību un zāļu lietošanas instrukcijai izvirzāmajām prasībām</w:t>
            </w:r>
            <w:r w:rsidR="00844D61" w:rsidRPr="00C01634">
              <w:rPr>
                <w:rFonts w:ascii="Times New Roman" w:hAnsi="Times New Roman"/>
                <w:noProof/>
                <w:sz w:val="24"/>
                <w:szCs w:val="24"/>
              </w:rPr>
              <w:t>” (turpmāk – MK noteikumi Nr.57)</w:t>
            </w:r>
            <w:r w:rsidRPr="00C01634">
              <w:rPr>
                <w:rFonts w:ascii="Times New Roman" w:hAnsi="Times New Roman"/>
                <w:noProof/>
                <w:sz w:val="24"/>
                <w:szCs w:val="24"/>
              </w:rPr>
              <w:t>.</w:t>
            </w:r>
          </w:p>
          <w:p w:rsidR="00927AC0" w:rsidRPr="00C01634" w:rsidRDefault="00927AC0" w:rsidP="00C01634">
            <w:pPr>
              <w:shd w:val="clear" w:color="auto" w:fill="F5F5F5"/>
              <w:jc w:val="both"/>
              <w:textAlignment w:val="top"/>
              <w:rPr>
                <w:noProof/>
                <w:lang w:val="lv-LV"/>
              </w:rPr>
            </w:pPr>
          </w:p>
          <w:p w:rsidR="00927AC0" w:rsidRPr="00C01634" w:rsidRDefault="00927AC0" w:rsidP="00C01634">
            <w:pPr>
              <w:shd w:val="clear" w:color="auto" w:fill="F5F5F5"/>
              <w:jc w:val="both"/>
              <w:textAlignment w:val="top"/>
              <w:rPr>
                <w:noProof/>
                <w:lang w:val="lv-LV"/>
              </w:rPr>
            </w:pPr>
            <w:r w:rsidRPr="00C01634">
              <w:rPr>
                <w:noProof/>
                <w:lang w:val="lv-LV"/>
              </w:rPr>
              <w:t>Pēc tam, kad Eiropas Komisija pieņems (plānots 2013.gadā) Regulu par aktīvo vielu labas ražošanas prakses princpiem, attiecīgi grozījumi būs jāizdara Ministru kabineta noteikumos par aktīvo vielu importēšanas un izplatīšanas prasībām un kārtību un aktīvo vielu importētāju, ražotāju un izplatītāju reģistrēšanas kārtību.</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Pēc tam, kad Eiropas Komisijas pieņems (plānots 2013.gadā) īstenošanas regulu attiecībā uz tehniskajām, elektroniskajām un kriptogrāfiskajām prasībām, lai varētu pārbaudīt vienotā logotipa autentiskumu un vienotā logotipa dizainu, jo vienotais logotips būs jāievieš aptiekām, kuras nodarbojas ar tālpārdošanu, nepieciešami būs grozījumi MK noteikumos Nr.416.</w:t>
            </w:r>
          </w:p>
          <w:p w:rsidR="00927AC0" w:rsidRPr="00C01634" w:rsidRDefault="00927AC0" w:rsidP="00C01634">
            <w:pPr>
              <w:pStyle w:val="NoSpacing"/>
              <w:jc w:val="both"/>
              <w:rPr>
                <w:rFonts w:ascii="Times New Roman" w:hAnsi="Times New Roman"/>
                <w:bCs/>
                <w:noProof/>
                <w:sz w:val="24"/>
                <w:szCs w:val="24"/>
              </w:rPr>
            </w:pP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bCs/>
                <w:noProof/>
                <w:sz w:val="24"/>
                <w:szCs w:val="24"/>
              </w:rPr>
              <w:t xml:space="preserve">Pēc tam, kad Eiropas Komisija pieņems (plānots 2013.gadā) aktīvo vielu labas izplatīšanas prakses vadlīnijas, nepieciešami būs grozījumi </w:t>
            </w:r>
            <w:r w:rsidRPr="00C01634">
              <w:rPr>
                <w:rFonts w:ascii="Times New Roman" w:hAnsi="Times New Roman"/>
                <w:noProof/>
                <w:sz w:val="24"/>
                <w:szCs w:val="24"/>
              </w:rPr>
              <w:t>Ministru kabineta noteikumos par aktīvo vielu importēšanas un izplatīšanas prasībām un kārtību.</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z w:val="24"/>
                <w:szCs w:val="24"/>
              </w:rPr>
              <w:t xml:space="preserve">Pēc tam, kad Eiropas Komisija pieņems (plānots 2013.gadā) vadlīnijas par </w:t>
            </w:r>
            <w:r w:rsidRPr="00C01634">
              <w:rPr>
                <w:rStyle w:val="hps"/>
                <w:rFonts w:ascii="Times New Roman" w:hAnsi="Times New Roman"/>
                <w:noProof/>
                <w:sz w:val="24"/>
                <w:szCs w:val="24"/>
              </w:rPr>
              <w:t>oficiālu</w:t>
            </w:r>
            <w:r w:rsidRPr="00C01634">
              <w:rPr>
                <w:rFonts w:ascii="Times New Roman" w:hAnsi="Times New Roman"/>
                <w:noProof/>
                <w:sz w:val="24"/>
                <w:szCs w:val="24"/>
              </w:rPr>
              <w:t xml:space="preserve"> </w:t>
            </w:r>
            <w:r w:rsidRPr="00C01634">
              <w:rPr>
                <w:rStyle w:val="hps"/>
                <w:rFonts w:ascii="Times New Roman" w:hAnsi="Times New Roman"/>
                <w:noProof/>
                <w:sz w:val="24"/>
                <w:szCs w:val="24"/>
              </w:rPr>
              <w:t>riska novērtējumu</w:t>
            </w:r>
            <w:r w:rsidRPr="00C01634">
              <w:rPr>
                <w:rFonts w:ascii="Times New Roman" w:hAnsi="Times New Roman"/>
                <w:noProof/>
                <w:sz w:val="24"/>
                <w:szCs w:val="24"/>
              </w:rPr>
              <w:t>, lai pārbaudītu</w:t>
            </w:r>
            <w:r w:rsidR="005F2B4A" w:rsidRPr="00C01634">
              <w:rPr>
                <w:rFonts w:ascii="Times New Roman" w:hAnsi="Times New Roman"/>
                <w:noProof/>
                <w:sz w:val="24"/>
                <w:szCs w:val="24"/>
              </w:rPr>
              <w:t xml:space="preserve"> </w:t>
            </w:r>
            <w:r w:rsidRPr="00C01634">
              <w:rPr>
                <w:rStyle w:val="hps"/>
                <w:rFonts w:ascii="Times New Roman" w:hAnsi="Times New Roman"/>
                <w:noProof/>
                <w:sz w:val="24"/>
                <w:szCs w:val="24"/>
              </w:rPr>
              <w:t>palīgvielu atbilstības labai ražošanas</w:t>
            </w:r>
            <w:r w:rsidRPr="00C01634">
              <w:rPr>
                <w:rFonts w:ascii="Times New Roman" w:hAnsi="Times New Roman"/>
                <w:noProof/>
                <w:sz w:val="24"/>
                <w:szCs w:val="24"/>
              </w:rPr>
              <w:t xml:space="preserve"> </w:t>
            </w:r>
            <w:r w:rsidRPr="00C01634">
              <w:rPr>
                <w:rStyle w:val="hps"/>
                <w:rFonts w:ascii="Times New Roman" w:hAnsi="Times New Roman"/>
                <w:noProof/>
                <w:sz w:val="24"/>
                <w:szCs w:val="24"/>
              </w:rPr>
              <w:t xml:space="preserve">praksei, </w:t>
            </w:r>
            <w:r w:rsidRPr="00C01634">
              <w:rPr>
                <w:rFonts w:ascii="Times New Roman" w:hAnsi="Times New Roman"/>
                <w:noProof/>
                <w:sz w:val="24"/>
                <w:szCs w:val="24"/>
              </w:rPr>
              <w:t xml:space="preserve">nepieciešami būs grozījumi </w:t>
            </w:r>
            <w:r w:rsidRPr="00C01634">
              <w:rPr>
                <w:rFonts w:ascii="Times New Roman" w:hAnsi="Times New Roman"/>
                <w:noProof/>
                <w:spacing w:val="-6"/>
                <w:sz w:val="24"/>
                <w:szCs w:val="24"/>
              </w:rPr>
              <w:t>MK noteikumos Nr.304.</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oSpacing"/>
              <w:jc w:val="both"/>
              <w:rPr>
                <w:rFonts w:ascii="Times New Roman" w:hAnsi="Times New Roman"/>
                <w:bCs/>
                <w:noProof/>
                <w:sz w:val="24"/>
                <w:szCs w:val="24"/>
              </w:rPr>
            </w:pPr>
            <w:r w:rsidRPr="00C01634">
              <w:rPr>
                <w:rFonts w:ascii="Times New Roman" w:hAnsi="Times New Roman"/>
                <w:noProof/>
                <w:sz w:val="24"/>
                <w:szCs w:val="24"/>
              </w:rPr>
              <w:t xml:space="preserve">Informācija par Eiropas Komisijas plānoto darba grafiku iepriekš minēto EK tiesību aktu pieņemšanai publiskota tīmekļa vietnē: </w:t>
            </w:r>
            <w:hyperlink r:id="rId19" w:history="1">
              <w:r w:rsidRPr="00C01634">
                <w:rPr>
                  <w:rStyle w:val="Hyperlink"/>
                  <w:rFonts w:ascii="Times New Roman" w:hAnsi="Times New Roman"/>
                  <w:noProof/>
                  <w:color w:val="auto"/>
                  <w:sz w:val="24"/>
                  <w:szCs w:val="24"/>
                  <w:u w:val="none"/>
                </w:rPr>
                <w:t>http://ec.europa.eu/health/files/counterf_par_trade/planning.pd</w:t>
              </w:r>
              <w:r w:rsidRPr="00C01634">
                <w:rPr>
                  <w:rStyle w:val="Hyperlink"/>
                  <w:rFonts w:ascii="Times New Roman" w:hAnsi="Times New Roman"/>
                  <w:noProof/>
                  <w:color w:val="auto"/>
                  <w:sz w:val="24"/>
                  <w:szCs w:val="24"/>
                </w:rPr>
                <w:t>f</w:t>
              </w:r>
            </w:hyperlink>
            <w:r w:rsidR="005F2B4A" w:rsidRPr="00C01634">
              <w:rPr>
                <w:rFonts w:ascii="Times New Roman" w:hAnsi="Times New Roman"/>
                <w:sz w:val="24"/>
                <w:szCs w:val="24"/>
              </w:rPr>
              <w:t>.</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oSpacing"/>
              <w:jc w:val="both"/>
              <w:rPr>
                <w:rFonts w:ascii="Times New Roman" w:hAnsi="Times New Roman"/>
                <w:noProof/>
                <w:sz w:val="24"/>
                <w:szCs w:val="24"/>
              </w:rPr>
            </w:pPr>
            <w:r w:rsidRPr="00C01634">
              <w:rPr>
                <w:rFonts w:ascii="Times New Roman" w:hAnsi="Times New Roman"/>
                <w:noProof/>
                <w:spacing w:val="-6"/>
                <w:sz w:val="24"/>
                <w:szCs w:val="24"/>
              </w:rPr>
              <w:t xml:space="preserve">Nepieciešams sagatavot arī grozījumus </w:t>
            </w:r>
            <w:r w:rsidRPr="00C01634">
              <w:rPr>
                <w:rFonts w:ascii="Times New Roman" w:hAnsi="Times New Roman"/>
                <w:noProof/>
                <w:sz w:val="24"/>
                <w:szCs w:val="24"/>
              </w:rPr>
              <w:t xml:space="preserve">Ministru kabineta </w:t>
            </w:r>
            <w:r w:rsidRPr="00C01634">
              <w:rPr>
                <w:rFonts w:ascii="Times New Roman" w:hAnsi="Times New Roman"/>
                <w:noProof/>
                <w:sz w:val="24"/>
                <w:szCs w:val="24"/>
              </w:rPr>
              <w:lastRenderedPageBreak/>
              <w:t xml:space="preserve">2013.gada 29.janvāra noteikumos Nr.75 ”Zāļu valsts aģentūras maksas pakalpojumu cenrādis”, </w:t>
            </w:r>
            <w:r w:rsidRPr="00C01634">
              <w:rPr>
                <w:rFonts w:ascii="Times New Roman" w:hAnsi="Times New Roman"/>
                <w:bCs/>
                <w:noProof/>
                <w:spacing w:val="-6"/>
                <w:sz w:val="24"/>
                <w:szCs w:val="24"/>
              </w:rPr>
              <w:t xml:space="preserve">nosakot </w:t>
            </w:r>
            <w:r w:rsidRPr="00C01634">
              <w:rPr>
                <w:rFonts w:ascii="Times New Roman" w:hAnsi="Times New Roman"/>
                <w:noProof/>
                <w:spacing w:val="-6"/>
                <w:sz w:val="24"/>
                <w:szCs w:val="24"/>
              </w:rPr>
              <w:t xml:space="preserve">maksas pakalpojumus par aktīvo vielu </w:t>
            </w:r>
            <w:r w:rsidRPr="00C01634">
              <w:rPr>
                <w:rFonts w:ascii="Times New Roman" w:hAnsi="Times New Roman"/>
                <w:noProof/>
                <w:sz w:val="24"/>
                <w:szCs w:val="24"/>
              </w:rPr>
              <w:t>labas izplatīšanas prakses novērtēšanu un sertifikāta izsniegšanu, kā arī aktīvo vielu testēšanu, un aktīvo vielu ražotāju, izplatītāju un importētāju reģistrēšanas veidlapas un dokumentu ekspertīzi un reģistrācijas apliecības izsniegšanu.</w:t>
            </w:r>
          </w:p>
          <w:p w:rsidR="00927AC0" w:rsidRPr="00C01634" w:rsidRDefault="00927AC0" w:rsidP="00C01634">
            <w:pPr>
              <w:pStyle w:val="NoSpacing"/>
              <w:jc w:val="both"/>
              <w:rPr>
                <w:rFonts w:ascii="Times New Roman" w:hAnsi="Times New Roman"/>
                <w:noProof/>
                <w:sz w:val="24"/>
                <w:szCs w:val="24"/>
              </w:rPr>
            </w:pPr>
          </w:p>
          <w:p w:rsidR="00927AC0" w:rsidRPr="00C01634" w:rsidRDefault="00927AC0" w:rsidP="00C01634">
            <w:pPr>
              <w:pStyle w:val="naiskr"/>
              <w:spacing w:before="0" w:after="0"/>
              <w:jc w:val="both"/>
            </w:pPr>
            <w:r w:rsidRPr="00C01634">
              <w:rPr>
                <w:noProof/>
                <w:spacing w:val="-6"/>
              </w:rPr>
              <w:t>Par noteikumu projekta sagatavošanu ir atbildīga Veselības ministrija</w:t>
            </w:r>
            <w:r w:rsidR="005F2B4A" w:rsidRPr="00C01634">
              <w:rPr>
                <w:noProof/>
                <w:spacing w:val="-6"/>
              </w:rPr>
              <w:t>.</w:t>
            </w:r>
          </w:p>
        </w:tc>
      </w:tr>
      <w:tr w:rsidR="00937C13" w:rsidRPr="00A65752" w:rsidTr="00C26215">
        <w:trPr>
          <w:gridBefore w:val="1"/>
          <w:gridAfter w:val="3"/>
          <w:wBefore w:w="32" w:type="dxa"/>
          <w:wAfter w:w="2677" w:type="dxa"/>
          <w:trHeight w:val="409"/>
        </w:trPr>
        <w:tc>
          <w:tcPr>
            <w:tcW w:w="536" w:type="dxa"/>
            <w:gridSpan w:val="3"/>
            <w:tcBorders>
              <w:top w:val="single" w:sz="4" w:space="0" w:color="auto"/>
              <w:left w:val="single" w:sz="4" w:space="0" w:color="auto"/>
              <w:bottom w:val="single" w:sz="4" w:space="0" w:color="auto"/>
              <w:right w:val="single" w:sz="4" w:space="0" w:color="auto"/>
            </w:tcBorders>
            <w:hideMark/>
          </w:tcPr>
          <w:p w:rsidR="00937C13" w:rsidRPr="00A65752" w:rsidRDefault="00927AC0" w:rsidP="004134D0">
            <w:pPr>
              <w:pStyle w:val="naiskr"/>
              <w:jc w:val="both"/>
            </w:pPr>
            <w:r w:rsidRPr="00A65752">
              <w:lastRenderedPageBreak/>
              <w:t>2.</w:t>
            </w:r>
          </w:p>
        </w:tc>
        <w:tc>
          <w:tcPr>
            <w:tcW w:w="2432" w:type="dxa"/>
            <w:gridSpan w:val="3"/>
            <w:tcBorders>
              <w:top w:val="single" w:sz="4" w:space="0" w:color="auto"/>
              <w:left w:val="single" w:sz="4" w:space="0" w:color="auto"/>
              <w:bottom w:val="single" w:sz="4" w:space="0" w:color="auto"/>
              <w:right w:val="single" w:sz="4" w:space="0" w:color="auto"/>
            </w:tcBorders>
            <w:hideMark/>
          </w:tcPr>
          <w:p w:rsidR="00937C13" w:rsidRPr="00A65752" w:rsidRDefault="00927AC0" w:rsidP="004134D0">
            <w:pPr>
              <w:pStyle w:val="naiskr"/>
              <w:jc w:val="both"/>
            </w:pPr>
            <w:r w:rsidRPr="00A65752">
              <w:t>Cita infomācija</w:t>
            </w:r>
          </w:p>
        </w:tc>
        <w:tc>
          <w:tcPr>
            <w:tcW w:w="6356" w:type="dxa"/>
            <w:gridSpan w:val="5"/>
            <w:tcBorders>
              <w:top w:val="single" w:sz="4" w:space="0" w:color="auto"/>
              <w:left w:val="single" w:sz="4" w:space="0" w:color="auto"/>
              <w:bottom w:val="single" w:sz="4" w:space="0" w:color="auto"/>
              <w:right w:val="single" w:sz="4" w:space="0" w:color="auto"/>
            </w:tcBorders>
            <w:hideMark/>
          </w:tcPr>
          <w:p w:rsidR="00A92294" w:rsidRPr="009B324D" w:rsidRDefault="00A92294" w:rsidP="00A92294">
            <w:pPr>
              <w:pStyle w:val="Default"/>
              <w:jc w:val="both"/>
              <w:rPr>
                <w:color w:val="auto"/>
                <w:lang w:val="lv-LV" w:eastAsia="lv-LV"/>
              </w:rPr>
            </w:pPr>
            <w:r w:rsidRPr="002C6635">
              <w:rPr>
                <w:lang w:val="lv-LV"/>
              </w:rPr>
              <w:t>Atbilstoši Vides aizsardzības un reģionālās attīstības ministrijas priekšlikumam</w:t>
            </w:r>
            <w:r>
              <w:t xml:space="preserve"> </w:t>
            </w:r>
            <w:r>
              <w:rPr>
                <w:lang w:val="lv-LV"/>
              </w:rPr>
              <w:t xml:space="preserve">paredzēt diferencētu izsniedzot licenci </w:t>
            </w:r>
            <w:r w:rsidRPr="009B324D">
              <w:rPr>
                <w:lang w:val="lv-LV"/>
              </w:rPr>
              <w:t>atkarībā no pakalpojuma saņemšanas veida (klātienē / ele</w:t>
            </w:r>
            <w:r w:rsidR="002C6635">
              <w:rPr>
                <w:lang w:val="lv-LV"/>
              </w:rPr>
              <w:t>ktroniski / papīrā), izsniedzot</w:t>
            </w:r>
            <w:r w:rsidRPr="009B324D">
              <w:rPr>
                <w:lang w:val="lv-LV"/>
              </w:rPr>
              <w:t xml:space="preserve"> papīra dokumenta formu par </w:t>
            </w:r>
            <w:r w:rsidRPr="009B324D">
              <w:rPr>
                <w:rStyle w:val="spelle"/>
                <w:lang w:val="lv-LV"/>
              </w:rPr>
              <w:t>papildus maksu</w:t>
            </w:r>
            <w:r>
              <w:rPr>
                <w:rStyle w:val="spelle"/>
                <w:lang w:val="lv-LV"/>
              </w:rPr>
              <w:t xml:space="preserve">, </w:t>
            </w:r>
          </w:p>
          <w:p w:rsidR="00A92294" w:rsidRPr="009B324D" w:rsidRDefault="00A92294" w:rsidP="00A92294">
            <w:pPr>
              <w:jc w:val="both"/>
              <w:rPr>
                <w:lang w:val="lv-LV"/>
              </w:rPr>
            </w:pPr>
            <w:r>
              <w:rPr>
                <w:lang w:val="lv-LV"/>
              </w:rPr>
              <w:t>Saskaņā ar</w:t>
            </w:r>
            <w:r w:rsidRPr="009B324D">
              <w:rPr>
                <w:lang w:val="lv-LV"/>
              </w:rPr>
              <w:t xml:space="preserve"> Elektronisko dokumentu</w:t>
            </w:r>
            <w:r>
              <w:rPr>
                <w:lang w:val="lv-LV"/>
              </w:rPr>
              <w:t xml:space="preserve"> likuma 6.panta ceturtās daļas normu un </w:t>
            </w:r>
            <w:r w:rsidRPr="009B324D">
              <w:rPr>
                <w:rStyle w:val="spelle"/>
                <w:lang w:val="lv-LV"/>
              </w:rPr>
              <w:t>saskaņā ar Ministru kabineta 2011.gada 3.maija noteikumu Nr.333 13.punktu, kā arī 2013.gada 9.aprīlī Ministru kabinetā apstiprinātā  informatīvā ziņojuma par ”Uzņēmējdarbības vides uzlabošanas pasākumu plāna 2012.gadam uzdevuma izpildi un situācijas izpēti un rekomendācijām atļauju izsniegšanai elektroniskā formā” 3.nodaļā noteikto</w:t>
            </w:r>
            <w:r>
              <w:rPr>
                <w:rStyle w:val="spelle"/>
                <w:lang w:val="lv-LV"/>
              </w:rPr>
              <w:t xml:space="preserve">, </w:t>
            </w:r>
            <w:r>
              <w:rPr>
                <w:lang w:val="lv-LV"/>
              </w:rPr>
              <w:t>attiecīgās</w:t>
            </w:r>
            <w:r w:rsidRPr="009B324D">
              <w:rPr>
                <w:lang w:val="lv-LV"/>
              </w:rPr>
              <w:t xml:space="preserve"> </w:t>
            </w:r>
            <w:r>
              <w:rPr>
                <w:noProof/>
                <w:spacing w:val="-6"/>
                <w:lang w:val="lv-LV"/>
              </w:rPr>
              <w:t xml:space="preserve">normas varētu ieviest </w:t>
            </w:r>
            <w:r w:rsidRPr="009B324D">
              <w:rPr>
                <w:noProof/>
                <w:spacing w:val="-6"/>
                <w:lang w:val="lv-LV"/>
              </w:rPr>
              <w:t xml:space="preserve"> </w:t>
            </w:r>
            <w:r>
              <w:rPr>
                <w:noProof/>
                <w:spacing w:val="-6"/>
                <w:lang w:val="lv-LV"/>
              </w:rPr>
              <w:t xml:space="preserve">MK noteikumos Nr.800 un </w:t>
            </w:r>
            <w:r w:rsidRPr="009B324D">
              <w:rPr>
                <w:noProof/>
                <w:lang w:val="lv-LV"/>
              </w:rPr>
              <w:t>Ministru kabineta 2013.gada 29.janvāra noteikumos Nr.75 ”Zāļu valsts aģentūras maksas pakalpojumu cenrādis”</w:t>
            </w:r>
            <w:r>
              <w:rPr>
                <w:noProof/>
                <w:lang w:val="lv-LV"/>
              </w:rPr>
              <w:t xml:space="preserve"> 2014.gada II cetruksnī</w:t>
            </w:r>
            <w:r w:rsidRPr="009B324D">
              <w:rPr>
                <w:noProof/>
                <w:lang w:val="lv-LV"/>
              </w:rPr>
              <w:t>.</w:t>
            </w:r>
          </w:p>
          <w:p w:rsidR="00937C13" w:rsidRPr="00A65752" w:rsidRDefault="00937C13" w:rsidP="004134D0">
            <w:pPr>
              <w:pStyle w:val="naiskr"/>
              <w:jc w:val="both"/>
            </w:pPr>
          </w:p>
        </w:tc>
      </w:tr>
      <w:tr w:rsidR="00937C13" w:rsidRPr="00A65752" w:rsidTr="00C26215">
        <w:trPr>
          <w:gridBefore w:val="1"/>
          <w:gridAfter w:val="3"/>
          <w:wBefore w:w="32" w:type="dxa"/>
          <w:wAfter w:w="2677" w:type="dxa"/>
        </w:trPr>
        <w:tc>
          <w:tcPr>
            <w:tcW w:w="536" w:type="dxa"/>
            <w:gridSpan w:val="3"/>
            <w:tcBorders>
              <w:top w:val="single" w:sz="4" w:space="0" w:color="auto"/>
              <w:left w:val="single" w:sz="4" w:space="0" w:color="auto"/>
              <w:bottom w:val="single" w:sz="4" w:space="0" w:color="auto"/>
              <w:right w:val="single" w:sz="4" w:space="0" w:color="auto"/>
            </w:tcBorders>
            <w:hideMark/>
          </w:tcPr>
          <w:p w:rsidR="00937C13" w:rsidRPr="00A65752" w:rsidRDefault="00937C13" w:rsidP="004134D0">
            <w:pPr>
              <w:pStyle w:val="naiskr"/>
              <w:jc w:val="both"/>
            </w:pPr>
          </w:p>
        </w:tc>
        <w:tc>
          <w:tcPr>
            <w:tcW w:w="2432" w:type="dxa"/>
            <w:gridSpan w:val="3"/>
            <w:tcBorders>
              <w:top w:val="single" w:sz="4" w:space="0" w:color="auto"/>
              <w:left w:val="single" w:sz="4" w:space="0" w:color="auto"/>
              <w:bottom w:val="single" w:sz="4" w:space="0" w:color="auto"/>
              <w:right w:val="single" w:sz="4" w:space="0" w:color="auto"/>
            </w:tcBorders>
            <w:hideMark/>
          </w:tcPr>
          <w:p w:rsidR="00937C13" w:rsidRPr="00A65752" w:rsidRDefault="00937C13" w:rsidP="004134D0">
            <w:pPr>
              <w:pStyle w:val="naiskr"/>
              <w:jc w:val="both"/>
            </w:pPr>
          </w:p>
        </w:tc>
        <w:tc>
          <w:tcPr>
            <w:tcW w:w="6356" w:type="dxa"/>
            <w:gridSpan w:val="5"/>
            <w:tcBorders>
              <w:top w:val="single" w:sz="4" w:space="0" w:color="auto"/>
              <w:left w:val="single" w:sz="4" w:space="0" w:color="auto"/>
              <w:bottom w:val="single" w:sz="4" w:space="0" w:color="auto"/>
              <w:right w:val="single" w:sz="4" w:space="0" w:color="auto"/>
            </w:tcBorders>
            <w:hideMark/>
          </w:tcPr>
          <w:p w:rsidR="00937C13" w:rsidRPr="00A65752" w:rsidRDefault="00937C13" w:rsidP="004134D0">
            <w:pPr>
              <w:pStyle w:val="naiskr"/>
              <w:jc w:val="both"/>
            </w:pPr>
          </w:p>
        </w:tc>
      </w:tr>
      <w:tr w:rsidR="004134D0" w:rsidRPr="00A65752" w:rsidTr="00C26215">
        <w:tblPrEx>
          <w:tblCellMar>
            <w:left w:w="0" w:type="dxa"/>
            <w:right w:w="0" w:type="dxa"/>
          </w:tblCellMar>
        </w:tblPrEx>
        <w:trPr>
          <w:gridBefore w:val="1"/>
          <w:gridAfter w:val="3"/>
          <w:wBefore w:w="32" w:type="dxa"/>
          <w:wAfter w:w="2677" w:type="dxa"/>
        </w:trPr>
        <w:tc>
          <w:tcPr>
            <w:tcW w:w="9324" w:type="dxa"/>
            <w:gridSpan w:val="11"/>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i/>
              </w:rPr>
            </w:pPr>
          </w:p>
        </w:tc>
      </w:tr>
      <w:tr w:rsidR="004134D0" w:rsidRPr="00A65752" w:rsidTr="00C26215">
        <w:tblPrEx>
          <w:tblCellMar>
            <w:left w:w="0" w:type="dxa"/>
            <w:right w:w="0" w:type="dxa"/>
          </w:tblCellMar>
        </w:tblPrEx>
        <w:trPr>
          <w:gridBefore w:val="1"/>
          <w:gridAfter w:val="3"/>
          <w:wBefore w:w="32" w:type="dxa"/>
          <w:wAfter w:w="2677" w:type="dxa"/>
        </w:trPr>
        <w:tc>
          <w:tcPr>
            <w:tcW w:w="9324" w:type="dxa"/>
            <w:gridSpan w:val="11"/>
            <w:tcBorders>
              <w:top w:val="single" w:sz="4" w:space="0" w:color="auto"/>
              <w:left w:val="single" w:sz="4" w:space="0" w:color="auto"/>
              <w:bottom w:val="single" w:sz="4" w:space="0" w:color="auto"/>
              <w:right w:val="single" w:sz="4" w:space="0" w:color="auto"/>
            </w:tcBorders>
            <w:vAlign w:val="center"/>
            <w:hideMark/>
          </w:tcPr>
          <w:p w:rsidR="004134D0" w:rsidRPr="00A65752" w:rsidRDefault="004134D0" w:rsidP="004134D0">
            <w:pPr>
              <w:jc w:val="center"/>
              <w:rPr>
                <w:b/>
                <w:lang w:val="lv-LV"/>
              </w:rPr>
            </w:pPr>
            <w:r w:rsidRPr="00A65752">
              <w:rPr>
                <w:b/>
                <w:lang w:val="lv-LV"/>
              </w:rPr>
              <w:t>V. Tiesību akta projekta atbilstība Latvijas Republikas starptautiskajām saistībām</w:t>
            </w:r>
          </w:p>
        </w:tc>
      </w:tr>
      <w:tr w:rsidR="004134D0" w:rsidRPr="00A65752" w:rsidTr="00C26215">
        <w:tblPrEx>
          <w:tblCellMar>
            <w:left w:w="0" w:type="dxa"/>
            <w:right w:w="0" w:type="dxa"/>
          </w:tblCellMar>
        </w:tblPrEx>
        <w:trPr>
          <w:gridBefore w:val="1"/>
          <w:gridAfter w:val="3"/>
          <w:wBefore w:w="32" w:type="dxa"/>
          <w:wAfter w:w="2677" w:type="dxa"/>
          <w:trHeight w:val="345"/>
        </w:trPr>
        <w:tc>
          <w:tcPr>
            <w:tcW w:w="689"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1.</w:t>
            </w:r>
          </w:p>
        </w:tc>
        <w:tc>
          <w:tcPr>
            <w:tcW w:w="3432"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Saistības pret Eiropas Savienību</w:t>
            </w:r>
          </w:p>
        </w:tc>
        <w:tc>
          <w:tcPr>
            <w:tcW w:w="5203"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E5376B">
            <w:pPr>
              <w:jc w:val="both"/>
              <w:rPr>
                <w:lang w:val="lv-LV"/>
              </w:rPr>
            </w:pPr>
            <w:r w:rsidRPr="00A65752">
              <w:rPr>
                <w:lang w:val="lv-LV"/>
              </w:rPr>
              <w:t xml:space="preserve">Direktīva </w:t>
            </w:r>
            <w:r w:rsidRPr="00A65752">
              <w:rPr>
                <w:bCs/>
                <w:lang w:val="lv-LV"/>
              </w:rPr>
              <w:t>2011/62/ES</w:t>
            </w:r>
          </w:p>
        </w:tc>
      </w:tr>
      <w:tr w:rsidR="004134D0" w:rsidRPr="00A65752" w:rsidTr="00C26215">
        <w:tblPrEx>
          <w:tblCellMar>
            <w:left w:w="0" w:type="dxa"/>
            <w:right w:w="0" w:type="dxa"/>
          </w:tblCellMar>
        </w:tblPrEx>
        <w:trPr>
          <w:gridBefore w:val="1"/>
          <w:gridAfter w:val="3"/>
          <w:wBefore w:w="32" w:type="dxa"/>
          <w:wAfter w:w="2677" w:type="dxa"/>
          <w:trHeight w:val="339"/>
        </w:trPr>
        <w:tc>
          <w:tcPr>
            <w:tcW w:w="689"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2.</w:t>
            </w:r>
          </w:p>
        </w:tc>
        <w:tc>
          <w:tcPr>
            <w:tcW w:w="3432"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Citas starptautiskās saistības</w:t>
            </w:r>
          </w:p>
        </w:tc>
        <w:tc>
          <w:tcPr>
            <w:tcW w:w="5203"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9305A6" w:rsidP="004134D0">
            <w:pPr>
              <w:ind w:left="57"/>
              <w:rPr>
                <w:lang w:val="lv-LV"/>
              </w:rPr>
            </w:pPr>
            <w:r w:rsidRPr="00A65752">
              <w:rPr>
                <w:lang w:val="lv-LV"/>
              </w:rPr>
              <w:t>Projekts šo jomu neskar</w:t>
            </w:r>
            <w:r w:rsidR="005F2B4A" w:rsidRPr="00A65752">
              <w:rPr>
                <w:lang w:val="lv-LV"/>
              </w:rPr>
              <w:t>.</w:t>
            </w:r>
          </w:p>
        </w:tc>
      </w:tr>
      <w:tr w:rsidR="004134D0" w:rsidRPr="00A65752" w:rsidTr="00C26215">
        <w:tblPrEx>
          <w:tblCellMar>
            <w:left w:w="0" w:type="dxa"/>
            <w:right w:w="0" w:type="dxa"/>
          </w:tblCellMar>
        </w:tblPrEx>
        <w:trPr>
          <w:gridBefore w:val="1"/>
          <w:gridAfter w:val="3"/>
          <w:wBefore w:w="32" w:type="dxa"/>
          <w:wAfter w:w="2677" w:type="dxa"/>
          <w:trHeight w:val="375"/>
        </w:trPr>
        <w:tc>
          <w:tcPr>
            <w:tcW w:w="689"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3.</w:t>
            </w:r>
          </w:p>
        </w:tc>
        <w:tc>
          <w:tcPr>
            <w:tcW w:w="3432"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Cita informācija</w:t>
            </w:r>
          </w:p>
        </w:tc>
        <w:tc>
          <w:tcPr>
            <w:tcW w:w="5203" w:type="dxa"/>
            <w:gridSpan w:val="4"/>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ind w:left="57"/>
              <w:rPr>
                <w:lang w:val="lv-LV"/>
              </w:rPr>
            </w:pPr>
            <w:r w:rsidRPr="00A65752">
              <w:rPr>
                <w:lang w:val="lv-LV"/>
              </w:rPr>
              <w:t>Nav</w:t>
            </w:r>
          </w:p>
        </w:tc>
      </w:tr>
      <w:tr w:rsidR="004134D0" w:rsidRPr="00A65752" w:rsidTr="00C26215">
        <w:tblPrEx>
          <w:tblCellMar>
            <w:left w:w="0" w:type="dxa"/>
            <w:right w:w="0" w:type="dxa"/>
          </w:tblCellMar>
        </w:tblPrEx>
        <w:trPr>
          <w:gridAfter w:val="3"/>
          <w:wAfter w:w="2677" w:type="dxa"/>
          <w:cantSplit/>
          <w:trHeight w:val="523"/>
        </w:trPr>
        <w:tc>
          <w:tcPr>
            <w:tcW w:w="9356" w:type="dxa"/>
            <w:gridSpan w:val="1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A65752" w:rsidRDefault="004134D0" w:rsidP="004134D0">
            <w:pPr>
              <w:ind w:left="57"/>
              <w:jc w:val="center"/>
              <w:rPr>
                <w:b/>
                <w:lang w:val="lv-LV"/>
              </w:rPr>
            </w:pPr>
            <w:r w:rsidRPr="00A65752">
              <w:rPr>
                <w:b/>
                <w:lang w:val="lv-LV"/>
              </w:rPr>
              <w:t>1.tabula</w:t>
            </w:r>
          </w:p>
          <w:p w:rsidR="004134D0" w:rsidRPr="00A65752" w:rsidRDefault="004134D0" w:rsidP="004134D0">
            <w:pPr>
              <w:ind w:left="57"/>
              <w:jc w:val="center"/>
              <w:rPr>
                <w:lang w:val="lv-LV"/>
              </w:rPr>
            </w:pPr>
            <w:r w:rsidRPr="00A65752">
              <w:rPr>
                <w:b/>
                <w:lang w:val="lv-LV"/>
              </w:rPr>
              <w:t>Tiesību akta projekta atbilstība ES tiesību aktiem</w:t>
            </w:r>
          </w:p>
        </w:tc>
      </w:tr>
      <w:tr w:rsidR="004134D0" w:rsidRPr="00A65752" w:rsidTr="00C26215">
        <w:tblPrEx>
          <w:tblCellMar>
            <w:left w:w="0" w:type="dxa"/>
            <w:right w:w="0" w:type="dxa"/>
          </w:tblCellMar>
        </w:tblPrEx>
        <w:trPr>
          <w:gridAfter w:val="3"/>
          <w:wAfter w:w="2677" w:type="dxa"/>
          <w:cantSplit/>
          <w:trHeight w:val="971"/>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ind w:left="57"/>
              <w:rPr>
                <w:lang w:val="lv-LV"/>
              </w:rPr>
            </w:pPr>
            <w:r w:rsidRPr="00A65752">
              <w:rPr>
                <w:lang w:val="lv-LV"/>
              </w:rPr>
              <w:t>Attiecīgā ES tiesību akta datums, numurs un nosaukums</w:t>
            </w:r>
          </w:p>
        </w:tc>
        <w:tc>
          <w:tcPr>
            <w:tcW w:w="7372"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ind w:left="57"/>
              <w:jc w:val="both"/>
              <w:rPr>
                <w:lang w:val="lv-LV"/>
              </w:rPr>
            </w:pPr>
            <w:r w:rsidRPr="00A65752">
              <w:rPr>
                <w:lang w:val="lv-LV"/>
              </w:rPr>
              <w:t xml:space="preserve">Direktīva </w:t>
            </w:r>
            <w:r w:rsidRPr="00A65752">
              <w:rPr>
                <w:bCs/>
                <w:lang w:val="lv-LV"/>
              </w:rPr>
              <w:t>2011/62/ES</w:t>
            </w:r>
          </w:p>
          <w:p w:rsidR="004134D0" w:rsidRPr="00A65752" w:rsidRDefault="004134D0" w:rsidP="004134D0">
            <w:pPr>
              <w:ind w:left="57"/>
              <w:rPr>
                <w:lang w:val="lv-LV"/>
              </w:rPr>
            </w:pPr>
          </w:p>
        </w:tc>
      </w:tr>
      <w:tr w:rsidR="004134D0" w:rsidRPr="00A65752" w:rsidTr="00C26215">
        <w:tblPrEx>
          <w:tblCellMar>
            <w:left w:w="0" w:type="dxa"/>
            <w:right w:w="0" w:type="dxa"/>
          </w:tblCellMar>
        </w:tblPrEx>
        <w:trPr>
          <w:gridAfter w:val="3"/>
          <w:wAfter w:w="2677" w:type="dxa"/>
          <w:cantSplit/>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A65752" w:rsidRDefault="004134D0" w:rsidP="004134D0">
            <w:pPr>
              <w:ind w:left="57"/>
              <w:jc w:val="center"/>
              <w:rPr>
                <w:lang w:val="lv-LV"/>
              </w:rPr>
            </w:pPr>
            <w:r w:rsidRPr="00A65752">
              <w:rPr>
                <w:lang w:val="lv-LV"/>
              </w:rPr>
              <w:t>A</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A65752" w:rsidRDefault="004134D0" w:rsidP="004134D0">
            <w:pPr>
              <w:ind w:left="57"/>
              <w:jc w:val="center"/>
              <w:rPr>
                <w:lang w:val="lv-LV"/>
              </w:rPr>
            </w:pPr>
            <w:r w:rsidRPr="00A65752">
              <w:rPr>
                <w:lang w:val="lv-LV"/>
              </w:rPr>
              <w:t>B</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A65752" w:rsidRDefault="004134D0" w:rsidP="004134D0">
            <w:pPr>
              <w:ind w:left="57"/>
              <w:jc w:val="center"/>
              <w:rPr>
                <w:lang w:val="lv-LV"/>
              </w:rPr>
            </w:pPr>
            <w:r w:rsidRPr="00A65752">
              <w:rPr>
                <w:lang w:val="lv-LV"/>
              </w:rPr>
              <w:t>C</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A65752" w:rsidRDefault="004134D0" w:rsidP="004134D0">
            <w:pPr>
              <w:ind w:left="57"/>
              <w:jc w:val="center"/>
              <w:rPr>
                <w:lang w:val="lv-LV"/>
              </w:rPr>
            </w:pPr>
            <w:r w:rsidRPr="00A65752">
              <w:rPr>
                <w:lang w:val="lv-LV"/>
              </w:rPr>
              <w:t>D</w:t>
            </w:r>
          </w:p>
        </w:tc>
      </w:tr>
      <w:tr w:rsidR="004134D0" w:rsidRPr="00A65752" w:rsidTr="00C26215">
        <w:tblPrEx>
          <w:tblCellMar>
            <w:left w:w="0" w:type="dxa"/>
            <w:right w:w="0" w:type="dxa"/>
          </w:tblCellMar>
        </w:tblPrEx>
        <w:trPr>
          <w:gridAfter w:val="3"/>
          <w:wAfter w:w="2677" w:type="dxa"/>
          <w:cantSplit/>
          <w:trHeight w:val="2237"/>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spacing w:after="120"/>
              <w:ind w:left="57"/>
              <w:jc w:val="both"/>
              <w:rPr>
                <w:spacing w:val="-3"/>
                <w:lang w:val="lv-LV"/>
              </w:rPr>
            </w:pPr>
            <w:r w:rsidRPr="00A65752">
              <w:rPr>
                <w:spacing w:val="-3"/>
                <w:lang w:val="lv-LV"/>
              </w:rPr>
              <w:lastRenderedPageBreak/>
              <w:t>Attiecīgā ES tiesību akta panta numurs (uzskaitot katru tiesību akta vienību – pantu, daļu, punktu, apakšpunktu)</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spacing w:after="120"/>
              <w:ind w:left="57"/>
              <w:jc w:val="both"/>
              <w:rPr>
                <w:spacing w:val="-3"/>
                <w:lang w:val="lv-LV"/>
              </w:rPr>
            </w:pPr>
            <w:r w:rsidRPr="00A65752">
              <w:rPr>
                <w:spacing w:val="-3"/>
                <w:lang w:val="lv-LV"/>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spacing w:after="120"/>
              <w:ind w:left="57"/>
              <w:jc w:val="both"/>
              <w:rPr>
                <w:spacing w:val="-3"/>
                <w:lang w:val="lv-LV"/>
              </w:rPr>
            </w:pPr>
            <w:r w:rsidRPr="00A65752">
              <w:rPr>
                <w:spacing w:val="-3"/>
                <w:lang w:val="lv-LV"/>
              </w:rPr>
              <w:t>Informācija par to, vai šīs tabulas A ailē minētās ES tiesību akta vienības tiek pārņemtas vai ieviestas pilnībā vai daļēji.</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spacing w:after="120"/>
              <w:ind w:left="57"/>
              <w:jc w:val="both"/>
              <w:rPr>
                <w:spacing w:val="-3"/>
                <w:lang w:val="lv-LV"/>
              </w:rPr>
            </w:pPr>
            <w:r w:rsidRPr="00A65752">
              <w:rPr>
                <w:spacing w:val="-3"/>
                <w:lang w:val="lv-LV"/>
              </w:rPr>
              <w:t xml:space="preserve">Informācija par to, vai šīs </w:t>
            </w:r>
            <w:r w:rsidRPr="00A65752">
              <w:rPr>
                <w:lang w:val="lv-LV"/>
              </w:rPr>
              <w:t>tabulas B ailē minētās projekta vienības paredz stingrākas prasības nekā šīs tabulas A ailē minētās ES tiesību akta vienības.</w:t>
            </w:r>
          </w:p>
        </w:tc>
      </w:tr>
      <w:tr w:rsidR="004134D0" w:rsidRPr="00A65752" w:rsidTr="00C26215">
        <w:tblPrEx>
          <w:tblCellMar>
            <w:left w:w="0" w:type="dxa"/>
            <w:right w:w="0" w:type="dxa"/>
          </w:tblCellMar>
        </w:tblPrEx>
        <w:trPr>
          <w:gridAfter w:val="3"/>
          <w:wAfter w:w="2677" w:type="dxa"/>
          <w:cantSplit/>
          <w:trHeight w:val="1444"/>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noProof/>
                <w:lang w:val="lv-LV"/>
              </w:rPr>
            </w:pPr>
            <w:r w:rsidRPr="00A65752">
              <w:rPr>
                <w:noProof/>
                <w:lang w:val="lv-LV"/>
              </w:rPr>
              <w:t xml:space="preserve">Direktīvas 2011/62/EK </w:t>
            </w:r>
            <w:r w:rsidRPr="00A65752">
              <w:rPr>
                <w:lang w:val="lv-LV"/>
              </w:rPr>
              <w:t>1.panta 1.punkta a)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17659B" w:rsidRPr="00A65752" w:rsidRDefault="002D3312" w:rsidP="002D3312">
            <w:pPr>
              <w:rPr>
                <w:lang w:val="lv-LV"/>
              </w:rPr>
            </w:pPr>
            <w:r w:rsidRPr="00A65752">
              <w:rPr>
                <w:spacing w:val="-6"/>
                <w:lang w:val="lv-LV"/>
              </w:rPr>
              <w:t xml:space="preserve">Farmācijas likuma </w:t>
            </w:r>
            <w:r w:rsidR="004134D0" w:rsidRPr="00A65752">
              <w:rPr>
                <w:lang w:val="lv-LV"/>
              </w:rPr>
              <w:t>1.panta 1.</w:t>
            </w:r>
            <w:r w:rsidR="004134D0" w:rsidRPr="00A65752">
              <w:rPr>
                <w:vertAlign w:val="superscript"/>
                <w:lang w:val="lv-LV"/>
              </w:rPr>
              <w:t xml:space="preserve">1 </w:t>
            </w:r>
            <w:r w:rsidR="004134D0" w:rsidRPr="00A65752">
              <w:rPr>
                <w:lang w:val="lv-LV"/>
              </w:rPr>
              <w:t>p</w:t>
            </w:r>
            <w:r w:rsidR="0008146C" w:rsidRPr="00A65752">
              <w:rPr>
                <w:lang w:val="lv-LV"/>
              </w:rPr>
              <w:t>unkts – </w:t>
            </w:r>
            <w:r w:rsidR="00AC726C" w:rsidRPr="00A65752">
              <w:rPr>
                <w:lang w:val="lv-LV"/>
              </w:rPr>
              <w:t>aktīvo vielu definīcija</w:t>
            </w:r>
            <w:r w:rsidR="00CF6B8C" w:rsidRPr="00A65752">
              <w:rPr>
                <w:lang w:val="lv-LV"/>
              </w:rPr>
              <w:t>; 1.panta 12.</w:t>
            </w:r>
            <w:r w:rsidR="00CF6B8C" w:rsidRPr="00A65752">
              <w:rPr>
                <w:vertAlign w:val="superscript"/>
                <w:lang w:val="lv-LV"/>
              </w:rPr>
              <w:t>2</w:t>
            </w:r>
            <w:r w:rsidR="00CF6B8C" w:rsidRPr="00A65752">
              <w:rPr>
                <w:lang w:val="lv-LV"/>
              </w:rPr>
              <w:t xml:space="preserve"> punkts – palīgvielas definīcija</w:t>
            </w:r>
            <w:r w:rsidRPr="00A65752">
              <w:rPr>
                <w:lang w:val="lv-LV"/>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0A78D3" w:rsidP="004134D0">
            <w:pPr>
              <w:jc w:val="both"/>
              <w:rPr>
                <w:lang w:val="lv-LV"/>
              </w:rPr>
            </w:pPr>
            <w:r w:rsidRPr="00A65752">
              <w:rPr>
                <w:lang w:val="lv-LV"/>
              </w:rPr>
              <w:t>Direktīvas norma pārņemta pilnīgi</w:t>
            </w:r>
            <w:r w:rsidR="00AB3DD1" w:rsidRPr="00A65752">
              <w:rPr>
                <w:lang w:val="lv-LV"/>
              </w:rPr>
              <w:t>.</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5F2B4A" w:rsidP="000A78D3">
            <w:pPr>
              <w:jc w:val="both"/>
              <w:rPr>
                <w:lang w:val="lv-LV"/>
              </w:rPr>
            </w:pPr>
            <w:r w:rsidRPr="00A65752">
              <w:rPr>
                <w:lang w:val="lv-LV"/>
              </w:rPr>
              <w:t>Stingrākas prasības neparedz</w:t>
            </w:r>
            <w:r w:rsidR="00AB3DD1" w:rsidRPr="00A65752">
              <w:rPr>
                <w:lang w:val="lv-LV"/>
              </w:rPr>
              <w:t>.</w:t>
            </w:r>
          </w:p>
        </w:tc>
      </w:tr>
      <w:tr w:rsidR="004134D0"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noProof/>
                <w:spacing w:val="-6"/>
                <w:lang w:val="lv-LV"/>
              </w:rPr>
            </w:pPr>
            <w:r w:rsidRPr="00A65752">
              <w:rPr>
                <w:noProof/>
                <w:spacing w:val="-6"/>
                <w:lang w:val="lv-LV"/>
              </w:rPr>
              <w:t xml:space="preserve">Direktīvas 2011/62/EK </w:t>
            </w:r>
            <w:r w:rsidRPr="00A65752">
              <w:rPr>
                <w:spacing w:val="-6"/>
                <w:lang w:val="lv-LV"/>
              </w:rPr>
              <w:t>1.panta 1.punkta b)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CF6B8C" w:rsidP="00AC2042">
            <w:pPr>
              <w:jc w:val="both"/>
              <w:rPr>
                <w:lang w:val="lv-LV"/>
              </w:rPr>
            </w:pPr>
            <w:r w:rsidRPr="00A65752">
              <w:rPr>
                <w:lang w:val="lv-LV"/>
              </w:rPr>
              <w:t xml:space="preserve">Direktīvas norma tiks pārņemta ar grozījumiem </w:t>
            </w:r>
            <w:r w:rsidR="00AC2042" w:rsidRPr="00A65752">
              <w:rPr>
                <w:lang w:val="lv-LV"/>
              </w:rPr>
              <w:t xml:space="preserve">MK </w:t>
            </w:r>
            <w:r w:rsidR="000A78D3" w:rsidRPr="00A65752">
              <w:rPr>
                <w:lang w:val="lv-LV"/>
              </w:rPr>
              <w:t>noteikumos Nr.416</w:t>
            </w:r>
            <w:r w:rsidR="00AB3DD1" w:rsidRPr="00A65752">
              <w:rPr>
                <w:lang w:val="lv-LV"/>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9B73EB" w:rsidP="004134D0">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lang w:val="lv-LV"/>
              </w:rPr>
            </w:pPr>
            <w:r w:rsidRPr="00A65752">
              <w:rPr>
                <w:lang w:val="lv-LV"/>
              </w:rPr>
              <w:t>Nav</w:t>
            </w:r>
          </w:p>
        </w:tc>
      </w:tr>
      <w:tr w:rsidR="006534F1"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A65752" w:rsidRDefault="006534F1" w:rsidP="004134D0">
            <w:pPr>
              <w:jc w:val="both"/>
              <w:rPr>
                <w:spacing w:val="-6"/>
                <w:lang w:val="lv-LV"/>
              </w:rPr>
            </w:pPr>
            <w:r w:rsidRPr="00A65752">
              <w:rPr>
                <w:noProof/>
                <w:spacing w:val="-6"/>
                <w:lang w:val="lv-LV"/>
              </w:rPr>
              <w:t xml:space="preserve">Direktīvas 2011/62/EK </w:t>
            </w:r>
            <w:r w:rsidRPr="00A65752">
              <w:rPr>
                <w:spacing w:val="-6"/>
                <w:lang w:val="lv-LV"/>
              </w:rPr>
              <w:t>1.panta 1.punkta c)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A78D3" w:rsidRPr="00A65752" w:rsidRDefault="000A78D3" w:rsidP="000A78D3">
            <w:pPr>
              <w:jc w:val="both"/>
              <w:rPr>
                <w:lang w:val="lv-LV"/>
              </w:rPr>
            </w:pPr>
            <w:r w:rsidRPr="00A65752">
              <w:rPr>
                <w:lang w:val="lv-LV"/>
              </w:rPr>
              <w:t xml:space="preserve">Direktīvas norma daļēji ieviesta ar </w:t>
            </w:r>
            <w:r w:rsidR="00516EA8" w:rsidRPr="00A65752">
              <w:rPr>
                <w:lang w:val="lv-LV"/>
              </w:rPr>
              <w:t>MK</w:t>
            </w:r>
            <w:r w:rsidRPr="00A65752">
              <w:rPr>
                <w:lang w:val="lv-LV"/>
              </w:rPr>
              <w:t xml:space="preserve"> 2007.gada 26.jūnija </w:t>
            </w:r>
            <w:r w:rsidR="00AC2042" w:rsidRPr="00A65752">
              <w:rPr>
                <w:lang w:val="lv-LV"/>
              </w:rPr>
              <w:t>noteikumiem Nr.416 ”</w:t>
            </w:r>
            <w:r w:rsidRPr="00A65752">
              <w:rPr>
                <w:lang w:val="lv-LV"/>
              </w:rPr>
              <w:t>Zāļu izplatīšanas un kvalitātes kontroles kārtība”</w:t>
            </w:r>
            <w:r w:rsidRPr="00A65752" w:rsidDel="00E22EDB">
              <w:rPr>
                <w:lang w:val="lv-LV"/>
              </w:rPr>
              <w:t xml:space="preserve"> </w:t>
            </w:r>
            <w:r w:rsidRPr="00A65752">
              <w:rPr>
                <w:lang w:val="lv-LV"/>
              </w:rPr>
              <w:t>(5.7.apakšpunkts)</w:t>
            </w:r>
            <w:r w:rsidR="00AB3DD1" w:rsidRPr="00A65752">
              <w:rPr>
                <w:lang w:val="lv-LV"/>
              </w:rPr>
              <w:t>.</w:t>
            </w:r>
          </w:p>
          <w:p w:rsidR="000A78D3" w:rsidRPr="00A65752" w:rsidRDefault="000A78D3" w:rsidP="000A78D3">
            <w:pPr>
              <w:jc w:val="both"/>
              <w:rPr>
                <w:lang w:val="lv-LV"/>
              </w:rPr>
            </w:pPr>
          </w:p>
          <w:p w:rsidR="000A78D3" w:rsidRPr="00A65752" w:rsidRDefault="000A78D3" w:rsidP="000A78D3">
            <w:pPr>
              <w:jc w:val="both"/>
              <w:rPr>
                <w:lang w:val="lv-LV"/>
              </w:rPr>
            </w:pPr>
            <w:r w:rsidRPr="00A65752">
              <w:rPr>
                <w:lang w:val="lv-LV"/>
              </w:rPr>
              <w:t>Direktīvas normas tiks pilnībā pārņemtas ar grozījumiem minētajos noteikumos</w:t>
            </w:r>
            <w:r w:rsidR="00AB3DD1" w:rsidRPr="00A65752">
              <w:rPr>
                <w:lang w:val="lv-LV"/>
              </w:rPr>
              <w:t>.</w:t>
            </w:r>
          </w:p>
          <w:p w:rsidR="000A78D3" w:rsidRPr="00A65752" w:rsidRDefault="000A78D3" w:rsidP="00E537CE">
            <w:pPr>
              <w:jc w:val="both"/>
              <w:rPr>
                <w:spacing w:val="-6"/>
                <w:lang w:val="lv-LV"/>
              </w:rPr>
            </w:pPr>
          </w:p>
          <w:p w:rsidR="006534F1" w:rsidRPr="00A65752" w:rsidRDefault="002D3312" w:rsidP="00E537CE">
            <w:pPr>
              <w:jc w:val="both"/>
              <w:rPr>
                <w:lang w:val="lv-LV"/>
              </w:rPr>
            </w:pPr>
            <w:r w:rsidRPr="00A65752">
              <w:rPr>
                <w:spacing w:val="-6"/>
                <w:lang w:val="lv-LV"/>
              </w:rPr>
              <w:t>Farmācijas likuma</w:t>
            </w:r>
            <w:r w:rsidR="006534F1" w:rsidRPr="00A65752">
              <w:rPr>
                <w:lang w:val="lv-LV"/>
              </w:rPr>
              <w:t xml:space="preserve"> 1.panta 16.</w:t>
            </w:r>
            <w:r w:rsidR="006534F1" w:rsidRPr="00A65752">
              <w:rPr>
                <w:vertAlign w:val="superscript"/>
                <w:lang w:val="lv-LV"/>
              </w:rPr>
              <w:t xml:space="preserve">1 </w:t>
            </w:r>
            <w:r w:rsidR="006534F1" w:rsidRPr="00A65752">
              <w:rPr>
                <w:lang w:val="lv-LV"/>
              </w:rPr>
              <w:t>p</w:t>
            </w:r>
            <w:r w:rsidRPr="00A65752">
              <w:rPr>
                <w:lang w:val="lv-LV"/>
              </w:rPr>
              <w:t>unkts – viltoto zāļu definīcija</w:t>
            </w:r>
            <w:r w:rsidR="00AB3DD1" w:rsidRPr="00A65752">
              <w:rPr>
                <w:lang w:val="lv-LV"/>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A65752" w:rsidRDefault="00D73002" w:rsidP="000A78D3">
            <w:pPr>
              <w:jc w:val="both"/>
              <w:rPr>
                <w:lang w:val="lv-LV"/>
              </w:rPr>
            </w:pPr>
            <w:r w:rsidRPr="00A65752">
              <w:rPr>
                <w:lang w:val="lv-LV"/>
              </w:rPr>
              <w:t xml:space="preserve"> </w:t>
            </w:r>
            <w:r w:rsidR="000A78D3" w:rsidRPr="00A65752">
              <w:rPr>
                <w:lang w:val="lv-LV"/>
              </w:rPr>
              <w:t>Direktīvas norma pārņemta daļēji</w:t>
            </w:r>
            <w:r w:rsidR="00AB3DD1" w:rsidRPr="00A65752">
              <w:rPr>
                <w:lang w:val="lv-LV"/>
              </w:rPr>
              <w:t>.</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534F1" w:rsidRPr="00A65752" w:rsidRDefault="006534F1" w:rsidP="00D73002">
            <w:pPr>
              <w:jc w:val="both"/>
              <w:rPr>
                <w:lang w:val="lv-LV"/>
              </w:rPr>
            </w:pPr>
            <w:r w:rsidRPr="00A65752">
              <w:rPr>
                <w:lang w:val="lv-LV"/>
              </w:rPr>
              <w:t>Nav</w:t>
            </w:r>
          </w:p>
        </w:tc>
      </w:tr>
      <w:tr w:rsidR="00AE2E63"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A65752" w:rsidRDefault="00AE2E63" w:rsidP="004134D0">
            <w:pPr>
              <w:jc w:val="both"/>
              <w:rPr>
                <w:noProof/>
                <w:lang w:val="lv-LV"/>
              </w:rPr>
            </w:pPr>
            <w:r w:rsidRPr="00A65752">
              <w:rPr>
                <w:noProof/>
                <w:lang w:val="lv-LV"/>
              </w:rPr>
              <w:lastRenderedPageBreak/>
              <w:t xml:space="preserve">Direktīvas 2011/62/EK </w:t>
            </w:r>
            <w:r w:rsidRPr="00A65752">
              <w:rPr>
                <w:lang w:val="lv-LV"/>
              </w:rPr>
              <w:t>1.panta 2.punkts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0A78D3" w:rsidRPr="00A65752" w:rsidRDefault="000A78D3" w:rsidP="000A78D3">
            <w:pPr>
              <w:pStyle w:val="NoSpacing"/>
              <w:jc w:val="both"/>
              <w:rPr>
                <w:rFonts w:ascii="Times New Roman" w:hAnsi="Times New Roman"/>
                <w:spacing w:val="-6"/>
                <w:sz w:val="24"/>
                <w:szCs w:val="24"/>
              </w:rPr>
            </w:pPr>
            <w:r w:rsidRPr="00A65752">
              <w:rPr>
                <w:rFonts w:ascii="Times New Roman" w:hAnsi="Times New Roman"/>
                <w:spacing w:val="-6"/>
                <w:sz w:val="24"/>
                <w:szCs w:val="24"/>
              </w:rPr>
              <w:t xml:space="preserve">Direktīvas norma </w:t>
            </w:r>
            <w:r w:rsidRPr="00A65752">
              <w:rPr>
                <w:rFonts w:ascii="Times New Roman" w:hAnsi="Times New Roman"/>
                <w:sz w:val="24"/>
                <w:szCs w:val="24"/>
              </w:rPr>
              <w:t xml:space="preserve">daļēji pārņemta </w:t>
            </w:r>
            <w:r w:rsidRPr="00A65752">
              <w:rPr>
                <w:rFonts w:ascii="Times New Roman" w:hAnsi="Times New Roman"/>
                <w:spacing w:val="-6"/>
                <w:sz w:val="24"/>
                <w:szCs w:val="24"/>
              </w:rPr>
              <w:t xml:space="preserve">ar </w:t>
            </w:r>
            <w:r w:rsidR="00516EA8" w:rsidRPr="00A65752">
              <w:rPr>
                <w:rFonts w:ascii="Times New Roman" w:hAnsi="Times New Roman"/>
                <w:spacing w:val="-6"/>
                <w:sz w:val="24"/>
                <w:szCs w:val="24"/>
              </w:rPr>
              <w:t xml:space="preserve">MK </w:t>
            </w:r>
            <w:r w:rsidRPr="00A65752">
              <w:rPr>
                <w:rFonts w:ascii="Times New Roman" w:hAnsi="Times New Roman"/>
                <w:spacing w:val="-6"/>
                <w:sz w:val="24"/>
                <w:szCs w:val="24"/>
              </w:rPr>
              <w:t>2006.gada 18.aprīļa noteikumiem Nr.304</w:t>
            </w:r>
            <w:r w:rsidR="00AC2042" w:rsidRPr="00A65752">
              <w:rPr>
                <w:rFonts w:ascii="Times New Roman" w:hAnsi="Times New Roman"/>
                <w:spacing w:val="-6"/>
                <w:sz w:val="24"/>
                <w:szCs w:val="24"/>
              </w:rPr>
              <w:t xml:space="preserve"> ”</w:t>
            </w:r>
            <w:r w:rsidRPr="00A65752">
              <w:rPr>
                <w:rFonts w:ascii="Times New Roman" w:hAnsi="Times New Roman"/>
                <w:spacing w:val="-6"/>
                <w:sz w:val="24"/>
                <w:szCs w:val="24"/>
              </w:rPr>
              <w:t>Noteikumi par zāļu ražošanas un kontroles kārtību, par zāļu ražošanu atbildības amatpersonas kvalifikācijas prasībām un profesionālo pieredzi un kārtību, kādā zāļu ražošanas uzņēmumam izsniedz labas ražošanas prakses sertifikātu” (2.2. un 2.3.apakšpunkts)</w:t>
            </w:r>
            <w:r w:rsidR="00AB3DD1" w:rsidRPr="00A65752">
              <w:rPr>
                <w:rFonts w:ascii="Times New Roman" w:hAnsi="Times New Roman"/>
                <w:spacing w:val="-6"/>
                <w:sz w:val="24"/>
                <w:szCs w:val="24"/>
              </w:rPr>
              <w:t>.</w:t>
            </w:r>
          </w:p>
          <w:p w:rsidR="000A78D3" w:rsidRPr="00A65752" w:rsidRDefault="000A78D3" w:rsidP="005B0DBE">
            <w:pPr>
              <w:pStyle w:val="NoSpacing"/>
              <w:jc w:val="both"/>
              <w:rPr>
                <w:rFonts w:ascii="Times New Roman" w:hAnsi="Times New Roman"/>
                <w:spacing w:val="-6"/>
                <w:sz w:val="24"/>
                <w:szCs w:val="24"/>
              </w:rPr>
            </w:pPr>
          </w:p>
          <w:p w:rsidR="00AE2E63" w:rsidRPr="00A65752" w:rsidRDefault="00AE2E63" w:rsidP="005B0DBE">
            <w:pPr>
              <w:pStyle w:val="NoSpacing"/>
              <w:jc w:val="both"/>
              <w:rPr>
                <w:rFonts w:ascii="Times New Roman" w:hAnsi="Times New Roman"/>
                <w:spacing w:val="-6"/>
                <w:sz w:val="24"/>
                <w:szCs w:val="24"/>
              </w:rPr>
            </w:pPr>
            <w:r w:rsidRPr="00A65752">
              <w:rPr>
                <w:rFonts w:ascii="Times New Roman" w:hAnsi="Times New Roman"/>
                <w:spacing w:val="-6"/>
                <w:sz w:val="24"/>
                <w:szCs w:val="24"/>
              </w:rPr>
              <w:t xml:space="preserve">Direktīvas norma </w:t>
            </w:r>
            <w:r w:rsidRPr="00A65752">
              <w:rPr>
                <w:rFonts w:ascii="Times New Roman" w:hAnsi="Times New Roman"/>
                <w:sz w:val="24"/>
                <w:szCs w:val="24"/>
              </w:rPr>
              <w:t xml:space="preserve">tiks pārņemta </w:t>
            </w:r>
            <w:r w:rsidR="000A78D3" w:rsidRPr="00A65752">
              <w:rPr>
                <w:rFonts w:ascii="Times New Roman" w:hAnsi="Times New Roman"/>
                <w:spacing w:val="-6"/>
                <w:sz w:val="24"/>
                <w:szCs w:val="24"/>
              </w:rPr>
              <w:t>pilnībā</w:t>
            </w:r>
            <w:r w:rsidR="00E967B9" w:rsidRPr="00A65752">
              <w:rPr>
                <w:rFonts w:ascii="Times New Roman" w:hAnsi="Times New Roman"/>
                <w:spacing w:val="-6"/>
                <w:sz w:val="24"/>
                <w:szCs w:val="24"/>
              </w:rPr>
              <w:t>:</w:t>
            </w:r>
          </w:p>
          <w:p w:rsidR="00AE2E63" w:rsidRPr="00A65752" w:rsidRDefault="00AE2E63" w:rsidP="005B0DBE">
            <w:pPr>
              <w:pStyle w:val="NoSpacing"/>
              <w:jc w:val="both"/>
              <w:rPr>
                <w:rFonts w:ascii="Times New Roman" w:hAnsi="Times New Roman"/>
                <w:spacing w:val="-6"/>
                <w:sz w:val="24"/>
                <w:szCs w:val="24"/>
              </w:rPr>
            </w:pPr>
            <w:r w:rsidRPr="00A65752">
              <w:rPr>
                <w:rFonts w:ascii="Times New Roman" w:hAnsi="Times New Roman"/>
                <w:spacing w:val="-6"/>
                <w:sz w:val="24"/>
                <w:szCs w:val="24"/>
              </w:rPr>
              <w:t>1) </w:t>
            </w:r>
            <w:r w:rsidR="000A78D3" w:rsidRPr="00A65752">
              <w:rPr>
                <w:rFonts w:ascii="Times New Roman" w:hAnsi="Times New Roman"/>
                <w:spacing w:val="-6"/>
                <w:sz w:val="24"/>
                <w:szCs w:val="24"/>
              </w:rPr>
              <w:t xml:space="preserve">ar </w:t>
            </w:r>
            <w:r w:rsidRPr="00A65752">
              <w:rPr>
                <w:rFonts w:ascii="Times New Roman" w:hAnsi="Times New Roman"/>
                <w:spacing w:val="-6"/>
                <w:sz w:val="24"/>
                <w:szCs w:val="24"/>
              </w:rPr>
              <w:t xml:space="preserve">grozījumiem </w:t>
            </w:r>
            <w:r w:rsidR="000A78D3" w:rsidRPr="00A65752">
              <w:rPr>
                <w:rFonts w:ascii="Times New Roman" w:hAnsi="Times New Roman"/>
                <w:spacing w:val="-6"/>
                <w:sz w:val="24"/>
                <w:szCs w:val="24"/>
              </w:rPr>
              <w:t>minētajos noteikumos</w:t>
            </w:r>
            <w:r w:rsidR="00AB3DD1" w:rsidRPr="00A65752">
              <w:rPr>
                <w:rFonts w:ascii="Times New Roman" w:hAnsi="Times New Roman"/>
                <w:spacing w:val="-6"/>
                <w:sz w:val="24"/>
                <w:szCs w:val="24"/>
              </w:rPr>
              <w:t>;</w:t>
            </w:r>
            <w:r w:rsidR="000A78D3" w:rsidRPr="00A65752">
              <w:rPr>
                <w:rFonts w:ascii="Times New Roman" w:hAnsi="Times New Roman"/>
                <w:spacing w:val="-6"/>
                <w:sz w:val="24"/>
                <w:szCs w:val="24"/>
              </w:rPr>
              <w:t xml:space="preserve"> </w:t>
            </w:r>
          </w:p>
          <w:p w:rsidR="00AE2E63" w:rsidRPr="00A65752" w:rsidRDefault="00AE2E63" w:rsidP="00C335BF">
            <w:pPr>
              <w:pStyle w:val="NoSpacing"/>
              <w:jc w:val="both"/>
              <w:rPr>
                <w:rFonts w:ascii="Times New Roman" w:hAnsi="Times New Roman"/>
                <w:spacing w:val="-6"/>
                <w:sz w:val="24"/>
                <w:szCs w:val="24"/>
              </w:rPr>
            </w:pPr>
            <w:r w:rsidRPr="00A65752">
              <w:rPr>
                <w:rFonts w:ascii="Times New Roman" w:hAnsi="Times New Roman"/>
                <w:spacing w:val="-6"/>
                <w:sz w:val="24"/>
                <w:szCs w:val="24"/>
              </w:rPr>
              <w:t>2) </w:t>
            </w:r>
            <w:r w:rsidR="000A78D3" w:rsidRPr="00A65752">
              <w:rPr>
                <w:rFonts w:ascii="Times New Roman" w:hAnsi="Times New Roman"/>
                <w:spacing w:val="-6"/>
                <w:sz w:val="24"/>
                <w:szCs w:val="24"/>
              </w:rPr>
              <w:t xml:space="preserve">ar </w:t>
            </w:r>
            <w:r w:rsidR="002C6635">
              <w:rPr>
                <w:rFonts w:ascii="Times New Roman" w:hAnsi="Times New Roman"/>
                <w:sz w:val="24"/>
                <w:szCs w:val="24"/>
              </w:rPr>
              <w:t>MK noteikumiem par aktīvo</w:t>
            </w:r>
            <w:r w:rsidRPr="00A65752">
              <w:rPr>
                <w:rFonts w:ascii="Times New Roman" w:hAnsi="Times New Roman"/>
                <w:sz w:val="24"/>
                <w:szCs w:val="24"/>
              </w:rPr>
              <w:t xml:space="preserve"> vielu importēšanas un izplatīšanas kārtību</w:t>
            </w:r>
            <w:r w:rsidR="00AB3DD1" w:rsidRPr="00A65752">
              <w:rPr>
                <w:rFonts w:ascii="Times New Roman" w:hAnsi="Times New Roman"/>
                <w:spacing w:val="-6"/>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A65752" w:rsidRDefault="000A78D3" w:rsidP="00281A6E">
            <w:pPr>
              <w:jc w:val="both"/>
              <w:rPr>
                <w:lang w:val="lv-LV"/>
              </w:rPr>
            </w:pPr>
            <w:r w:rsidRPr="00A65752">
              <w:rPr>
                <w:lang w:val="lv-LV"/>
              </w:rPr>
              <w:t>Direktības norma pārņemta daļēji</w:t>
            </w:r>
            <w:r w:rsidR="00AB3DD1" w:rsidRPr="00A65752">
              <w:rPr>
                <w:lang w:val="lv-LV"/>
              </w:rPr>
              <w:t>.</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A65752" w:rsidRDefault="00AE2E63" w:rsidP="00281A6E">
            <w:pPr>
              <w:jc w:val="both"/>
              <w:rPr>
                <w:lang w:val="lv-LV"/>
              </w:rPr>
            </w:pPr>
            <w:r w:rsidRPr="00A65752">
              <w:rPr>
                <w:lang w:val="lv-LV"/>
              </w:rPr>
              <w:t>Nav</w:t>
            </w:r>
          </w:p>
        </w:tc>
      </w:tr>
      <w:tr w:rsidR="002D3312"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D3312" w:rsidRPr="00A65752" w:rsidRDefault="002D3312" w:rsidP="004134D0">
            <w:pPr>
              <w:jc w:val="both"/>
              <w:rPr>
                <w:noProof/>
                <w:lang w:val="lv-LV"/>
              </w:rPr>
            </w:pPr>
            <w:r w:rsidRPr="00A65752">
              <w:rPr>
                <w:noProof/>
                <w:lang w:val="lv-LV"/>
              </w:rPr>
              <w:t xml:space="preserve">Direktīvas 2011/62/EK </w:t>
            </w:r>
            <w:r w:rsidRPr="00A65752">
              <w:rPr>
                <w:lang w:val="lv-LV"/>
              </w:rPr>
              <w:t>1.panta 3.punkts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D3312" w:rsidRPr="00A65752" w:rsidRDefault="002D3312" w:rsidP="00AC2042">
            <w:pPr>
              <w:jc w:val="both"/>
              <w:rPr>
                <w:lang w:val="lv-LV"/>
              </w:rPr>
            </w:pPr>
            <w:r w:rsidRPr="00A65752">
              <w:rPr>
                <w:lang w:val="lv-LV"/>
              </w:rPr>
              <w:t xml:space="preserve">Direktīvas norma tiks pārņemta ar grozījumiem MK </w:t>
            </w:r>
            <w:r w:rsidR="000A78D3" w:rsidRPr="00A65752">
              <w:rPr>
                <w:lang w:val="lv-LV"/>
              </w:rPr>
              <w:t>noteikumos Nr.</w:t>
            </w:r>
            <w:r w:rsidR="00AC2042" w:rsidRPr="00A65752">
              <w:rPr>
                <w:lang w:val="lv-LV"/>
              </w:rPr>
              <w:t>376</w:t>
            </w:r>
            <w:r w:rsidR="00AB3DD1" w:rsidRPr="00A65752">
              <w:rPr>
                <w:lang w:val="lv-LV"/>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D3312" w:rsidRPr="00A65752" w:rsidRDefault="002D3312" w:rsidP="00441CE1">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D3312" w:rsidRPr="00A65752" w:rsidRDefault="002D3312" w:rsidP="00441CE1">
            <w:pPr>
              <w:jc w:val="both"/>
              <w:rPr>
                <w:lang w:val="lv-LV"/>
              </w:rPr>
            </w:pPr>
            <w:r w:rsidRPr="00A65752">
              <w:rPr>
                <w:lang w:val="lv-LV"/>
              </w:rPr>
              <w:t>Nav</w:t>
            </w:r>
          </w:p>
        </w:tc>
      </w:tr>
      <w:tr w:rsidR="004134D0"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noProof/>
                <w:lang w:val="lv-LV"/>
              </w:rPr>
            </w:pPr>
            <w:r w:rsidRPr="00A65752">
              <w:rPr>
                <w:noProof/>
                <w:lang w:val="lv-LV"/>
              </w:rPr>
              <w:t xml:space="preserve">Direktīvas 2011/62/EK </w:t>
            </w:r>
            <w:r w:rsidRPr="00A65752">
              <w:rPr>
                <w:lang w:val="lv-LV"/>
              </w:rPr>
              <w:t>1.panta 4.punkts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23536" w:rsidRDefault="005D1B9B" w:rsidP="00DA3D6A">
            <w:pPr>
              <w:pStyle w:val="NoSpacing"/>
              <w:jc w:val="both"/>
              <w:rPr>
                <w:rFonts w:ascii="Times New Roman" w:hAnsi="Times New Roman"/>
                <w:sz w:val="24"/>
                <w:szCs w:val="24"/>
              </w:rPr>
            </w:pPr>
            <w:r>
              <w:rPr>
                <w:rFonts w:ascii="Times New Roman" w:hAnsi="Times New Roman"/>
                <w:sz w:val="24"/>
                <w:szCs w:val="24"/>
              </w:rPr>
              <w:t>8</w:t>
            </w:r>
            <w:r w:rsidR="00AB3DD1" w:rsidRPr="00A65752">
              <w:rPr>
                <w:rFonts w:ascii="Times New Roman" w:hAnsi="Times New Roman"/>
                <w:sz w:val="24"/>
                <w:szCs w:val="24"/>
              </w:rPr>
              <w:t>.punkts.</w:t>
            </w:r>
          </w:p>
          <w:p w:rsidR="00CC3227" w:rsidRPr="00A65752" w:rsidRDefault="00CC3227" w:rsidP="00DA3D6A">
            <w:pPr>
              <w:pStyle w:val="NoSpacing"/>
              <w:jc w:val="both"/>
              <w:rPr>
                <w:rFonts w:ascii="Times New Roman" w:hAnsi="Times New Roman"/>
                <w:sz w:val="24"/>
                <w:szCs w:val="24"/>
              </w:rPr>
            </w:pPr>
          </w:p>
          <w:p w:rsidR="00A63285" w:rsidRPr="00A65752" w:rsidRDefault="00A63285" w:rsidP="00A63285">
            <w:pPr>
              <w:pStyle w:val="NoSpacing"/>
              <w:jc w:val="both"/>
              <w:rPr>
                <w:rFonts w:ascii="Times New Roman" w:hAnsi="Times New Roman"/>
                <w:sz w:val="24"/>
                <w:szCs w:val="24"/>
              </w:rPr>
            </w:pPr>
            <w:r w:rsidRPr="00A65752">
              <w:rPr>
                <w:rFonts w:ascii="Times New Roman" w:hAnsi="Times New Roman"/>
                <w:sz w:val="24"/>
                <w:szCs w:val="24"/>
              </w:rPr>
              <w:t xml:space="preserve">Direktīvas norma ir ieviesta ar MK </w:t>
            </w:r>
            <w:r w:rsidRPr="00A65752">
              <w:rPr>
                <w:rFonts w:ascii="Times New Roman" w:hAnsi="Times New Roman"/>
                <w:bCs/>
                <w:sz w:val="24"/>
                <w:szCs w:val="24"/>
              </w:rPr>
              <w:t>2011.gada 19.oktobra noteikumiem Nr.800 ”Farmaceitiskās darbības licencēšanas kārtība”</w:t>
            </w:r>
          </w:p>
          <w:p w:rsidR="004134D0" w:rsidRPr="00A65752" w:rsidRDefault="00A63285" w:rsidP="00DA3D6A">
            <w:pPr>
              <w:pStyle w:val="NoSpacing"/>
              <w:jc w:val="both"/>
              <w:rPr>
                <w:rFonts w:ascii="Times New Roman" w:hAnsi="Times New Roman"/>
                <w:bCs/>
                <w:sz w:val="24"/>
                <w:szCs w:val="24"/>
              </w:rPr>
            </w:pPr>
            <w:r w:rsidRPr="00A65752">
              <w:rPr>
                <w:rFonts w:ascii="Times New Roman" w:hAnsi="Times New Roman"/>
                <w:bCs/>
                <w:sz w:val="24"/>
                <w:szCs w:val="24"/>
              </w:rPr>
              <w:t>(78.7.apakšpunkts).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A03FDE" w:rsidP="004134D0">
            <w:pPr>
              <w:jc w:val="both"/>
              <w:rPr>
                <w:lang w:val="lv-LV"/>
              </w:rPr>
            </w:pPr>
            <w:r w:rsidRPr="00A65752">
              <w:rPr>
                <w:lang w:val="lv-LV"/>
              </w:rPr>
              <w:t>Direktīvas norma pilnībā ieviesta</w:t>
            </w:r>
            <w:r w:rsidR="00AB3DD1" w:rsidRPr="00A65752">
              <w:rPr>
                <w:lang w:val="lv-LV"/>
              </w:rPr>
              <w:t>.</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223536" w:rsidP="004134D0">
            <w:pPr>
              <w:jc w:val="both"/>
              <w:rPr>
                <w:lang w:val="lv-LV"/>
              </w:rPr>
            </w:pPr>
            <w:r w:rsidRPr="00A65752">
              <w:rPr>
                <w:lang w:val="lv-LV"/>
              </w:rPr>
              <w:t>Stingrākas prasības neparedz.</w:t>
            </w:r>
          </w:p>
        </w:tc>
      </w:tr>
      <w:tr w:rsidR="004134D0"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lang w:val="lv-LV"/>
              </w:rPr>
            </w:pPr>
            <w:r w:rsidRPr="00A65752">
              <w:rPr>
                <w:noProof/>
                <w:lang w:val="lv-LV"/>
              </w:rPr>
              <w:t xml:space="preserve">Direktīvas 2011/62/EK </w:t>
            </w:r>
            <w:r w:rsidRPr="00A65752">
              <w:rPr>
                <w:lang w:val="lv-LV"/>
              </w:rPr>
              <w:t>1.panta 5.punkts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8662C" w:rsidP="00AB3DD1">
            <w:pPr>
              <w:pStyle w:val="NoSpacing"/>
              <w:jc w:val="both"/>
              <w:rPr>
                <w:b/>
                <w:sz w:val="18"/>
                <w:szCs w:val="18"/>
              </w:rPr>
            </w:pPr>
            <w:r w:rsidRPr="00A65752">
              <w:rPr>
                <w:rFonts w:ascii="Times New Roman" w:hAnsi="Times New Roman"/>
                <w:sz w:val="24"/>
                <w:szCs w:val="24"/>
              </w:rPr>
              <w:t xml:space="preserve">Direktīvas norma tiks pārņemta ar grozījumiem </w:t>
            </w:r>
            <w:r w:rsidR="000A78D3" w:rsidRPr="00A65752">
              <w:rPr>
                <w:rFonts w:ascii="Times New Roman" w:hAnsi="Times New Roman"/>
                <w:spacing w:val="-6"/>
                <w:sz w:val="24"/>
                <w:szCs w:val="24"/>
              </w:rPr>
              <w:t>MK noteikumos Nr.304</w:t>
            </w:r>
            <w:r w:rsidR="00AB3DD1" w:rsidRPr="00A65752">
              <w:rPr>
                <w:rFonts w:ascii="Times New Roman" w:hAnsi="Times New Roman"/>
                <w:spacing w:val="-6"/>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lang w:val="lv-LV"/>
              </w:rPr>
            </w:pPr>
            <w:r w:rsidRPr="00A65752">
              <w:rPr>
                <w:lang w:val="lv-LV"/>
              </w:rPr>
              <w:t xml:space="preserve"> </w:t>
            </w:r>
            <w:r w:rsidR="00CC7907"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A65752" w:rsidRDefault="004134D0" w:rsidP="004134D0">
            <w:pPr>
              <w:jc w:val="both"/>
              <w:rPr>
                <w:lang w:val="lv-LV"/>
              </w:rPr>
            </w:pPr>
            <w:r w:rsidRPr="00A65752">
              <w:rPr>
                <w:lang w:val="lv-LV"/>
              </w:rPr>
              <w:t>Nav</w:t>
            </w:r>
          </w:p>
        </w:tc>
      </w:tr>
      <w:tr w:rsidR="00281A6E"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A65752" w:rsidRDefault="00281A6E" w:rsidP="004134D0">
            <w:pPr>
              <w:jc w:val="both"/>
              <w:rPr>
                <w:lang w:val="lv-LV"/>
              </w:rPr>
            </w:pPr>
            <w:r w:rsidRPr="00A65752">
              <w:rPr>
                <w:noProof/>
                <w:lang w:val="lv-LV"/>
              </w:rPr>
              <w:t xml:space="preserve">Direktīvas 2011/62/EK </w:t>
            </w:r>
            <w:r w:rsidRPr="00A65752">
              <w:rPr>
                <w:lang w:val="lv-LV"/>
              </w:rPr>
              <w:t>1.panta 6.punkts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A3D6A" w:rsidRPr="00A65752" w:rsidRDefault="00DA3D6A" w:rsidP="00EC7D7F">
            <w:pPr>
              <w:pStyle w:val="NoSpacing"/>
              <w:jc w:val="both"/>
              <w:rPr>
                <w:rFonts w:ascii="Times New Roman" w:hAnsi="Times New Roman"/>
                <w:spacing w:val="-6"/>
                <w:sz w:val="24"/>
                <w:szCs w:val="24"/>
              </w:rPr>
            </w:pPr>
            <w:r w:rsidRPr="00A65752">
              <w:rPr>
                <w:rFonts w:ascii="Times New Roman" w:hAnsi="Times New Roman"/>
                <w:spacing w:val="-6"/>
                <w:sz w:val="24"/>
                <w:szCs w:val="24"/>
              </w:rPr>
              <w:t>Farmācijas likuma 22.panta 3.daļa.</w:t>
            </w:r>
          </w:p>
          <w:p w:rsidR="000A78D3" w:rsidRPr="00A65752" w:rsidRDefault="000A78D3" w:rsidP="00EC7D7F">
            <w:pPr>
              <w:pStyle w:val="NoSpacing"/>
              <w:jc w:val="both"/>
              <w:rPr>
                <w:rFonts w:ascii="Times New Roman" w:hAnsi="Times New Roman"/>
                <w:spacing w:val="-6"/>
                <w:sz w:val="24"/>
                <w:szCs w:val="24"/>
              </w:rPr>
            </w:pPr>
          </w:p>
          <w:p w:rsidR="00281A6E" w:rsidRPr="00A65752" w:rsidRDefault="00281A6E" w:rsidP="00C335BF">
            <w:pPr>
              <w:pStyle w:val="NoSpacing"/>
              <w:jc w:val="both"/>
              <w:rPr>
                <w:rFonts w:ascii="Times New Roman" w:hAnsi="Times New Roman"/>
                <w:spacing w:val="-6"/>
                <w:sz w:val="24"/>
                <w:szCs w:val="24"/>
              </w:rPr>
            </w:pPr>
            <w:r w:rsidRPr="00A65752">
              <w:rPr>
                <w:rFonts w:ascii="Times New Roman" w:hAnsi="Times New Roman"/>
                <w:spacing w:val="-6"/>
                <w:sz w:val="24"/>
                <w:szCs w:val="24"/>
              </w:rPr>
              <w:t>Direktīvas normas tiks pārņemtas ar</w:t>
            </w:r>
            <w:r w:rsidR="00DA3D6A" w:rsidRPr="00A65752">
              <w:rPr>
                <w:rFonts w:ascii="Times New Roman" w:hAnsi="Times New Roman"/>
                <w:spacing w:val="-6"/>
                <w:sz w:val="24"/>
                <w:szCs w:val="24"/>
              </w:rPr>
              <w:t xml:space="preserve"> </w:t>
            </w:r>
            <w:r w:rsidR="002C6635">
              <w:rPr>
                <w:rFonts w:ascii="Times New Roman" w:hAnsi="Times New Roman"/>
                <w:sz w:val="24"/>
                <w:szCs w:val="24"/>
              </w:rPr>
              <w:t>MK noteikumiem par aktīvo</w:t>
            </w:r>
            <w:r w:rsidRPr="00A65752">
              <w:rPr>
                <w:rFonts w:ascii="Times New Roman" w:hAnsi="Times New Roman"/>
                <w:sz w:val="24"/>
                <w:szCs w:val="24"/>
              </w:rPr>
              <w:t xml:space="preserve"> vielu importēšanas un izplatīšanas kārtību</w:t>
            </w:r>
            <w:r w:rsidR="00C335BF">
              <w:rPr>
                <w:rFonts w:ascii="Times New Roman" w:hAnsi="Times New Roman"/>
                <w:sz w:val="24"/>
                <w:szCs w:val="24"/>
              </w:rPr>
              <w:t xml:space="preserve"> </w:t>
            </w:r>
            <w:r w:rsidR="005F2B4A" w:rsidRPr="00A65752">
              <w:rPr>
                <w:rFonts w:ascii="Times New Roman" w:hAnsi="Times New Roman"/>
                <w:spacing w:val="-6"/>
                <w:sz w:val="24"/>
                <w:szCs w:val="24"/>
              </w:rPr>
              <w:t>.</w:t>
            </w:r>
            <w:r w:rsidRPr="00A65752">
              <w:rPr>
                <w:rFonts w:ascii="Times New Roman" w:hAnsi="Times New Roman"/>
                <w:spacing w:val="-6"/>
                <w:sz w:val="24"/>
                <w:szCs w:val="24"/>
              </w:rPr>
              <w:t xml:space="preserve"> </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A65752" w:rsidRDefault="000A78D3" w:rsidP="00281A6E">
            <w:pPr>
              <w:spacing w:after="120"/>
              <w:ind w:left="57"/>
              <w:jc w:val="both"/>
              <w:rPr>
                <w:lang w:val="lv-LV"/>
              </w:rPr>
            </w:pPr>
            <w:r w:rsidRPr="00A65752">
              <w:rPr>
                <w:lang w:val="lv-LV"/>
              </w:rPr>
              <w:t>Direktīvas norma pārņemta daļēji</w:t>
            </w:r>
            <w:r w:rsidR="00AB3DD1" w:rsidRPr="00A65752">
              <w:rPr>
                <w:lang w:val="lv-LV"/>
              </w:rPr>
              <w:t>.</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A65752" w:rsidRDefault="00281A6E" w:rsidP="00281A6E">
            <w:pPr>
              <w:spacing w:after="120"/>
              <w:rPr>
                <w:spacing w:val="-3"/>
                <w:lang w:val="lv-LV"/>
              </w:rPr>
            </w:pPr>
            <w:r w:rsidRPr="00A65752">
              <w:rPr>
                <w:spacing w:val="-3"/>
                <w:lang w:val="lv-LV"/>
              </w:rPr>
              <w:t>Nav</w:t>
            </w:r>
          </w:p>
        </w:tc>
      </w:tr>
      <w:tr w:rsidR="00C335B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BF" w:rsidRPr="00A65752" w:rsidRDefault="00C335BF" w:rsidP="0002034A">
            <w:pPr>
              <w:jc w:val="both"/>
              <w:rPr>
                <w:lang w:val="lv-LV"/>
              </w:rPr>
            </w:pPr>
            <w:r w:rsidRPr="00A65752">
              <w:rPr>
                <w:noProof/>
                <w:lang w:val="lv-LV"/>
              </w:rPr>
              <w:lastRenderedPageBreak/>
              <w:t xml:space="preserve">Direktīvas 2011/62/EK </w:t>
            </w:r>
            <w:r w:rsidRPr="00A65752">
              <w:rPr>
                <w:lang w:val="lv-LV"/>
              </w:rPr>
              <w:t>1.panta 7.punkts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BF" w:rsidRPr="00A65752" w:rsidRDefault="00C335BF" w:rsidP="0002034A">
            <w:pPr>
              <w:spacing w:after="120"/>
              <w:rPr>
                <w:spacing w:val="-3"/>
                <w:lang w:val="lv-LV"/>
              </w:rPr>
            </w:pPr>
            <w:r w:rsidRPr="00A65752">
              <w:rPr>
                <w:spacing w:val="-3"/>
                <w:lang w:val="lv-LV"/>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BF" w:rsidRPr="00C523E2" w:rsidRDefault="00C335BF" w:rsidP="00414C22">
            <w:pPr>
              <w:spacing w:after="120"/>
              <w:ind w:left="57"/>
              <w:jc w:val="both"/>
              <w:rPr>
                <w:noProof/>
                <w:spacing w:val="-3"/>
                <w:lang w:val="lv-LV"/>
              </w:rPr>
            </w:pPr>
            <w:r w:rsidRPr="00C523E2">
              <w:rPr>
                <w:noProof/>
                <w:spacing w:val="-3"/>
                <w:lang w:val="lv-LV"/>
              </w:rPr>
              <w:t>Nav jāpārņem jo nosaka Eiropas Komisijas pienākumiem, tajā skaitā pieņemt deleģēto aktu par aktīvo vielu labu ražošanas praksi. Deleģēto aktu paredzēts pieņemt 2013.gadā regulas formā.</w:t>
            </w:r>
          </w:p>
          <w:p w:rsidR="00C335BF" w:rsidRPr="00A65752" w:rsidRDefault="00C335BF" w:rsidP="00441CE1">
            <w:pPr>
              <w:spacing w:after="120"/>
              <w:ind w:left="57"/>
              <w:jc w:val="both"/>
              <w:rPr>
                <w:lang w:val="lv-LV"/>
              </w:rPr>
            </w:pPr>
            <w:r w:rsidRPr="00C523E2">
              <w:rPr>
                <w:noProof/>
                <w:spacing w:val="-3"/>
                <w:lang w:val="lv-LV"/>
              </w:rPr>
              <w:t xml:space="preserve">Eiropas Komisija plāno pieņemt arī 2013.gadā aktīvo vielu labas izplatīšanas prakses vadlīnijas. Pēc to pieņemšanas normas būs iekļaujamas MK noteikumos par </w:t>
            </w:r>
            <w:r w:rsidRPr="00C523E2">
              <w:rPr>
                <w:noProof/>
                <w:lang w:val="lv-LV"/>
              </w:rPr>
              <w:t>Aktīvo vielu importēšanas un izplatīšanas prasības un kārtība un aktīvo vielu importētāju, ražotāju un izplatītāju reģistrēšanas kārtība</w:t>
            </w:r>
            <w:r w:rsidRPr="00C523E2">
              <w:rPr>
                <w:noProof/>
                <w:spacing w:val="-3"/>
                <w:lang w:val="lv-LV"/>
              </w:rPr>
              <w:t xml:space="preserve"> </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335BF" w:rsidRPr="00A65752" w:rsidRDefault="00C335BF" w:rsidP="0002034A">
            <w:pPr>
              <w:spacing w:after="120"/>
              <w:rPr>
                <w:spacing w:val="-3"/>
                <w:lang w:val="lv-LV"/>
              </w:rPr>
            </w:pPr>
            <w:r w:rsidRPr="00A65752">
              <w:rPr>
                <w:spacing w:val="-3"/>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spacing w:val="-6"/>
                <w:lang w:val="lv-LV"/>
              </w:rPr>
            </w:pPr>
            <w:r w:rsidRPr="00A65752">
              <w:rPr>
                <w:noProof/>
                <w:spacing w:val="-6"/>
                <w:lang w:val="lv-LV"/>
              </w:rPr>
              <w:lastRenderedPageBreak/>
              <w:t xml:space="preserve">Direktīvas 2011/62/EK </w:t>
            </w:r>
            <w:r w:rsidRPr="00A65752">
              <w:rPr>
                <w:spacing w:val="-6"/>
                <w:lang w:val="lv-LV"/>
              </w:rPr>
              <w:t>1.panta 8.punkts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xml:space="preserve">Direktīvas norma tiks pārņemta ar grozījumiem </w:t>
            </w:r>
            <w:r w:rsidRPr="00C523E2">
              <w:rPr>
                <w:rFonts w:ascii="Times New Roman" w:hAnsi="Times New Roman"/>
                <w:noProof/>
                <w:spacing w:val="-6"/>
                <w:sz w:val="24"/>
                <w:szCs w:val="24"/>
              </w:rPr>
              <w:t xml:space="preserve">MK noteikumos Nr.304 </w:t>
            </w:r>
            <w:r w:rsidRPr="00C523E2">
              <w:rPr>
                <w:rFonts w:ascii="Times New Roman" w:hAnsi="Times New Roman"/>
                <w:noProof/>
                <w:sz w:val="24"/>
                <w:szCs w:val="24"/>
              </w:rPr>
              <w:t xml:space="preserve">pēc Eiropas Komisijas Regulas pieņemšanas par: </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drošuma pazīmju (unikālais identifikators) raksturojumu un tehniskajām specifikācijām;</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recepšu zāļu vai zāļu kategoriju sarakstu, zālēm kurām drošuma pazīmes nenorāda;</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bezrecepšu zāļu vai zāļu kategoriju sarakstu, kurām drošuma pazīmes norāda;</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paziņošanas procedūru par zālēm, par kurām ir aizdomas par viltojumu, un ātru šādu ziņojumu izvērtēšanas un lēmumu pieņemšanas sistēmu;</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drošuma pazīmju pārbaudes paņēmieniem, ko veic  ražotāji, vairumtirgotāji, farmaceiti;</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 nosacījumiem repozitoriju sistēmas izveidi, pārvaldību un pieejamību, kurā glabā informāciju par drošuma pazīmēm, kas ļauj - pārbaudīt zāļu autentiskumu un identificēt tās.</w:t>
            </w:r>
          </w:p>
          <w:p w:rsidR="006C282F" w:rsidRPr="00C523E2" w:rsidRDefault="006C282F" w:rsidP="00414C22">
            <w:pPr>
              <w:pStyle w:val="NoSpacing"/>
              <w:jc w:val="both"/>
              <w:rPr>
                <w:rFonts w:ascii="Times New Roman" w:hAnsi="Times New Roman"/>
                <w:noProof/>
                <w:sz w:val="24"/>
                <w:szCs w:val="24"/>
              </w:rPr>
            </w:pPr>
            <w:r w:rsidRPr="00C523E2">
              <w:rPr>
                <w:rFonts w:ascii="Times New Roman" w:hAnsi="Times New Roman"/>
                <w:noProof/>
                <w:sz w:val="24"/>
                <w:szCs w:val="24"/>
              </w:rPr>
              <w:t>Eiropas Komisija attiecīgo deleģēto aktu regulas formā paredz pieņemt 2014.gadā.</w:t>
            </w:r>
          </w:p>
          <w:p w:rsidR="006C282F" w:rsidRPr="00A65752" w:rsidRDefault="006C282F" w:rsidP="00664DCA">
            <w:pPr>
              <w:pStyle w:val="NoSpacing"/>
              <w:jc w:val="both"/>
              <w:rPr>
                <w:b/>
                <w:sz w:val="18"/>
                <w:szCs w:val="18"/>
              </w:rPr>
            </w:pPr>
            <w:r w:rsidRPr="00C523E2">
              <w:rPr>
                <w:rFonts w:ascii="Times New Roman" w:hAnsi="Times New Roman"/>
                <w:noProof/>
                <w:sz w:val="24"/>
                <w:szCs w:val="24"/>
              </w:rPr>
              <w:t>Dalībvalstis piemēro noteikumus, kas vajadzīgi, lai izpildītu šīs direktīvas 1. panta 11.punktu - no dienas, kad pagājuši trīs gadi pēc dienas, kad publicēti minētie Eiropas Komisijas deleģētie akti.</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624B6C">
            <w:pPr>
              <w:jc w:val="both"/>
              <w:rPr>
                <w:lang w:val="lv-LV"/>
              </w:rPr>
            </w:pPr>
            <w:r w:rsidRPr="00A65752">
              <w:rPr>
                <w:lang w:val="lv-LV"/>
              </w:rPr>
              <w:t xml:space="preserve"> 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624B6C">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9.punkts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85061E">
            <w:pPr>
              <w:pStyle w:val="NoSpacing"/>
              <w:jc w:val="both"/>
              <w:rPr>
                <w:rFonts w:ascii="Times New Roman" w:hAnsi="Times New Roman"/>
                <w:sz w:val="24"/>
                <w:szCs w:val="24"/>
              </w:rPr>
            </w:pPr>
            <w:r w:rsidRPr="00A65752">
              <w:rPr>
                <w:rFonts w:ascii="Times New Roman" w:hAnsi="Times New Roman"/>
                <w:sz w:val="24"/>
                <w:szCs w:val="24"/>
              </w:rPr>
              <w:t>Direktīvas norma tiks pārņemta ar grozījumiem:</w:t>
            </w:r>
          </w:p>
          <w:p w:rsidR="006C282F" w:rsidRPr="00A65752" w:rsidRDefault="006C282F" w:rsidP="003F0C56">
            <w:pPr>
              <w:pStyle w:val="NoSpacing"/>
              <w:jc w:val="both"/>
              <w:rPr>
                <w:rFonts w:ascii="Times New Roman" w:hAnsi="Times New Roman"/>
                <w:spacing w:val="-6"/>
                <w:sz w:val="24"/>
                <w:szCs w:val="24"/>
              </w:rPr>
            </w:pPr>
            <w:r w:rsidRPr="00A65752">
              <w:rPr>
                <w:rFonts w:ascii="Times New Roman" w:hAnsi="Times New Roman"/>
                <w:sz w:val="24"/>
                <w:szCs w:val="24"/>
              </w:rPr>
              <w:t>1) </w:t>
            </w:r>
            <w:r w:rsidRPr="00A65752">
              <w:rPr>
                <w:rFonts w:ascii="Times New Roman" w:hAnsi="Times New Roman"/>
                <w:spacing w:val="-6"/>
                <w:sz w:val="24"/>
                <w:szCs w:val="24"/>
              </w:rPr>
              <w:t>MK noteikumos Nr.304;</w:t>
            </w:r>
          </w:p>
          <w:p w:rsidR="006C282F" w:rsidRPr="00A65752" w:rsidRDefault="006C282F" w:rsidP="00BE363B">
            <w:pPr>
              <w:pStyle w:val="NoSpacing"/>
              <w:jc w:val="both"/>
              <w:rPr>
                <w:rFonts w:ascii="Times New Roman" w:hAnsi="Times New Roman"/>
                <w:sz w:val="24"/>
                <w:szCs w:val="24"/>
              </w:rPr>
            </w:pPr>
            <w:r w:rsidRPr="00A65752">
              <w:rPr>
                <w:rFonts w:ascii="Times New Roman" w:hAnsi="Times New Roman"/>
                <w:sz w:val="24"/>
                <w:szCs w:val="24"/>
              </w:rPr>
              <w:t>2) MK noteikumos Nr.436 pēc Eiropas Komisijas regulas par drošuma pazīmēm uz zālēm pieņemšanas 2014.gadā.</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85061E">
            <w:pPr>
              <w:jc w:val="both"/>
              <w:rPr>
                <w:lang w:val="lv-LV"/>
              </w:rPr>
            </w:pPr>
            <w:r w:rsidRPr="00A65752">
              <w:rPr>
                <w:lang w:val="lv-LV"/>
              </w:rPr>
              <w:t xml:space="preserve"> 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85061E">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C282F" w:rsidRPr="00A65752" w:rsidRDefault="006C282F" w:rsidP="004134D0">
            <w:pPr>
              <w:jc w:val="both"/>
              <w:rPr>
                <w:lang w:val="lv-LV"/>
              </w:rPr>
            </w:pPr>
            <w:r w:rsidRPr="00A65752">
              <w:rPr>
                <w:noProof/>
                <w:lang w:val="lv-LV"/>
              </w:rPr>
              <w:t xml:space="preserve">Direktīvas 2011/62/EK </w:t>
            </w:r>
            <w:r w:rsidRPr="00A65752">
              <w:rPr>
                <w:lang w:val="lv-LV"/>
              </w:rPr>
              <w:t>1.panta 10.punkts</w:t>
            </w:r>
          </w:p>
          <w:p w:rsidR="006C282F" w:rsidRPr="00A65752" w:rsidRDefault="006C282F" w:rsidP="004134D0">
            <w:pPr>
              <w:jc w:val="both"/>
              <w:rPr>
                <w:lang w:val="lv-LV"/>
              </w:rPr>
            </w:pPr>
          </w:p>
          <w:p w:rsidR="006C282F" w:rsidRPr="00A65752" w:rsidRDefault="006C282F" w:rsidP="00FF5C45">
            <w:pPr>
              <w:jc w:val="both"/>
              <w:rPr>
                <w:noProof/>
                <w:lang w:val="lv-LV"/>
              </w:rPr>
            </w:pPr>
            <w:r w:rsidRPr="00A65752">
              <w:rPr>
                <w:lang w:val="lv-LV"/>
              </w:rPr>
              <w:t>(Direktīvas 2001/83 52.a pants).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55C4B">
            <w:pPr>
              <w:pStyle w:val="NoSpacing"/>
              <w:jc w:val="both"/>
              <w:rPr>
                <w:rFonts w:ascii="Times New Roman" w:hAnsi="Times New Roman"/>
                <w:spacing w:val="-6"/>
                <w:sz w:val="24"/>
                <w:szCs w:val="24"/>
              </w:rPr>
            </w:pPr>
            <w:r w:rsidRPr="00A65752">
              <w:rPr>
                <w:rFonts w:ascii="Times New Roman" w:hAnsi="Times New Roman"/>
                <w:sz w:val="24"/>
                <w:szCs w:val="24"/>
              </w:rPr>
              <w:t>Farmācijas likuma 5.pants (jauns 23.punkts), 10.panta 17.punkts, 51. pant</w:t>
            </w:r>
            <w:r w:rsidR="00C9230A">
              <w:rPr>
                <w:rFonts w:ascii="Times New Roman" w:hAnsi="Times New Roman"/>
                <w:sz w:val="24"/>
                <w:szCs w:val="24"/>
              </w:rPr>
              <w:t xml:space="preserve">a </w:t>
            </w:r>
            <w:r w:rsidR="005D1B9B">
              <w:rPr>
                <w:rFonts w:ascii="Times New Roman" w:hAnsi="Times New Roman"/>
                <w:sz w:val="24"/>
                <w:szCs w:val="24"/>
              </w:rPr>
              <w:t xml:space="preserve">otrā </w:t>
            </w:r>
            <w:r w:rsidR="00C9230A">
              <w:rPr>
                <w:rFonts w:ascii="Times New Roman" w:hAnsi="Times New Roman"/>
                <w:sz w:val="24"/>
                <w:szCs w:val="24"/>
              </w:rPr>
              <w:t>daļa</w:t>
            </w:r>
            <w:r w:rsidR="00840E30">
              <w:rPr>
                <w:rFonts w:ascii="Times New Roman" w:hAnsi="Times New Roman"/>
                <w:sz w:val="24"/>
                <w:szCs w:val="24"/>
              </w:rPr>
              <w:t xml:space="preserve"> un 64.panta (</w:t>
            </w:r>
            <w:r w:rsidR="00840E30" w:rsidRPr="00840E30">
              <w:rPr>
                <w:rFonts w:ascii="Times New Roman" w:hAnsi="Times New Roman"/>
                <w:sz w:val="24"/>
                <w:szCs w:val="24"/>
              </w:rPr>
              <w:t>2</w:t>
            </w:r>
            <w:r w:rsidR="00840E30">
              <w:rPr>
                <w:rFonts w:ascii="Times New Roman" w:hAnsi="Times New Roman"/>
                <w:sz w:val="24"/>
                <w:szCs w:val="24"/>
                <w:vertAlign w:val="superscript"/>
              </w:rPr>
              <w:t>2</w:t>
            </w:r>
            <w:r w:rsidR="00840E30">
              <w:rPr>
                <w:rFonts w:ascii="Times New Roman" w:hAnsi="Times New Roman"/>
                <w:sz w:val="24"/>
                <w:szCs w:val="24"/>
              </w:rPr>
              <w:t>) daļa</w:t>
            </w:r>
            <w:r w:rsidRPr="00A65752">
              <w:rPr>
                <w:rFonts w:ascii="Times New Roman" w:hAnsi="Times New Roman"/>
                <w:sz w:val="24"/>
                <w:szCs w:val="24"/>
              </w:rPr>
              <w:t>.</w:t>
            </w:r>
          </w:p>
          <w:p w:rsidR="006C282F" w:rsidRPr="00A65752" w:rsidRDefault="006C282F" w:rsidP="00555C4B">
            <w:pPr>
              <w:pStyle w:val="NoSpacing"/>
              <w:jc w:val="both"/>
              <w:rPr>
                <w:rFonts w:ascii="Times New Roman" w:hAnsi="Times New Roman"/>
                <w:spacing w:val="-6"/>
                <w:sz w:val="24"/>
                <w:szCs w:val="24"/>
              </w:rPr>
            </w:pPr>
          </w:p>
          <w:p w:rsidR="006C282F" w:rsidRPr="00A65752" w:rsidRDefault="006C282F" w:rsidP="000B663D">
            <w:pPr>
              <w:pStyle w:val="NoSpacing"/>
              <w:jc w:val="both"/>
              <w:rPr>
                <w:rFonts w:ascii="Times New Roman" w:hAnsi="Times New Roman"/>
                <w:spacing w:val="-6"/>
                <w:sz w:val="24"/>
                <w:szCs w:val="24"/>
              </w:rPr>
            </w:pPr>
            <w:r w:rsidRPr="00A65752">
              <w:rPr>
                <w:rFonts w:ascii="Times New Roman" w:hAnsi="Times New Roman"/>
                <w:spacing w:val="-6"/>
                <w:sz w:val="24"/>
                <w:szCs w:val="24"/>
              </w:rPr>
              <w:t xml:space="preserve">Direktīvas normas tiks pārņemtas ar </w:t>
            </w:r>
            <w:r w:rsidRPr="00A65752">
              <w:rPr>
                <w:rFonts w:ascii="Times New Roman" w:hAnsi="Times New Roman"/>
                <w:sz w:val="24"/>
                <w:szCs w:val="24"/>
              </w:rPr>
              <w:t xml:space="preserve">MK noteikumiem par aktīvo vielu importēšanas un izplatīšanas kārtību </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1A6E">
            <w:pPr>
              <w:spacing w:after="120"/>
              <w:ind w:left="57"/>
              <w:jc w:val="both"/>
              <w:rPr>
                <w:lang w:val="lv-LV"/>
              </w:rPr>
            </w:pPr>
            <w:r w:rsidRPr="00A65752">
              <w:rPr>
                <w:lang w:val="lv-LV"/>
              </w:rPr>
              <w:t>Direktīvas norma pārņemta daļēji</w:t>
            </w:r>
          </w:p>
          <w:p w:rsidR="006C282F" w:rsidRPr="00A65752" w:rsidRDefault="006C282F" w:rsidP="00281A6E">
            <w:pPr>
              <w:spacing w:after="120"/>
              <w:ind w:left="57"/>
              <w:jc w:val="both"/>
              <w:rPr>
                <w:lang w:val="lv-LV"/>
              </w:rPr>
            </w:pP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1A6E">
            <w:pPr>
              <w:spacing w:after="120"/>
              <w:rPr>
                <w:spacing w:val="-3"/>
                <w:lang w:val="lv-LV"/>
              </w:rPr>
            </w:pPr>
            <w:r w:rsidRPr="00A65752">
              <w:rPr>
                <w:spacing w:val="-3"/>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FF5C45">
            <w:pPr>
              <w:jc w:val="both"/>
              <w:rPr>
                <w:lang w:val="lv-LV"/>
              </w:rPr>
            </w:pPr>
            <w:r w:rsidRPr="00A65752">
              <w:rPr>
                <w:noProof/>
                <w:lang w:val="lv-LV"/>
              </w:rPr>
              <w:t xml:space="preserve">Direktīvas 2011/62/EK </w:t>
            </w:r>
            <w:r w:rsidRPr="00A65752">
              <w:rPr>
                <w:lang w:val="lv-LV"/>
              </w:rPr>
              <w:t>1.panta 10.punkts</w:t>
            </w:r>
          </w:p>
          <w:p w:rsidR="006C282F" w:rsidRPr="00A65752" w:rsidRDefault="006C282F" w:rsidP="00FF5C45">
            <w:pPr>
              <w:jc w:val="both"/>
              <w:rPr>
                <w:lang w:val="lv-LV"/>
              </w:rPr>
            </w:pPr>
          </w:p>
          <w:p w:rsidR="006C282F" w:rsidRPr="00A65752" w:rsidRDefault="006C282F" w:rsidP="00FF5C45">
            <w:pPr>
              <w:jc w:val="both"/>
              <w:rPr>
                <w:noProof/>
                <w:lang w:val="lv-LV"/>
              </w:rPr>
            </w:pPr>
            <w:r w:rsidRPr="00A65752">
              <w:rPr>
                <w:lang w:val="lv-LV"/>
              </w:rPr>
              <w:t>(Direktīvas 2001/83 52.b pants).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03EB5">
            <w:pPr>
              <w:pStyle w:val="NoSpacing"/>
              <w:jc w:val="both"/>
              <w:rPr>
                <w:rFonts w:ascii="Times New Roman" w:hAnsi="Times New Roman"/>
                <w:iCs/>
                <w:sz w:val="24"/>
                <w:szCs w:val="24"/>
              </w:rPr>
            </w:pPr>
            <w:r w:rsidRPr="00A65752">
              <w:rPr>
                <w:rFonts w:ascii="Times New Roman" w:hAnsi="Times New Roman"/>
                <w:sz w:val="24"/>
                <w:szCs w:val="24"/>
              </w:rPr>
              <w:t>Direktīvas norma ir ieviesta</w:t>
            </w:r>
            <w:r w:rsidRPr="00A65752">
              <w:rPr>
                <w:rFonts w:ascii="Times New Roman" w:hAnsi="Times New Roman"/>
                <w:iCs/>
                <w:sz w:val="24"/>
                <w:szCs w:val="24"/>
              </w:rPr>
              <w:t xml:space="preserve"> ar:</w:t>
            </w:r>
          </w:p>
          <w:p w:rsidR="006C282F" w:rsidRPr="00A65752" w:rsidRDefault="006C282F" w:rsidP="00503EB5">
            <w:pPr>
              <w:pStyle w:val="NoSpacing"/>
              <w:jc w:val="both"/>
              <w:rPr>
                <w:rFonts w:ascii="Times New Roman" w:hAnsi="Times New Roman"/>
                <w:iCs/>
                <w:sz w:val="24"/>
                <w:szCs w:val="24"/>
              </w:rPr>
            </w:pPr>
            <w:r w:rsidRPr="00A65752">
              <w:rPr>
                <w:rFonts w:ascii="Times New Roman" w:hAnsi="Times New Roman"/>
                <w:iCs/>
                <w:sz w:val="24"/>
                <w:szCs w:val="24"/>
              </w:rPr>
              <w:t>1) </w:t>
            </w:r>
            <w:r w:rsidRPr="00A65752">
              <w:rPr>
                <w:rFonts w:ascii="Times New Roman" w:hAnsi="Times New Roman"/>
                <w:sz w:val="24"/>
                <w:szCs w:val="24"/>
              </w:rPr>
              <w:t>MK 2007.gada 26.jūnija noteikumiem Nr.436 ”Zāļu ievešanas un izvešanas kārtība”;</w:t>
            </w:r>
          </w:p>
          <w:p w:rsidR="006C282F" w:rsidRPr="00A65752" w:rsidRDefault="006C282F" w:rsidP="00503EB5">
            <w:pPr>
              <w:pStyle w:val="NoSpacing"/>
              <w:jc w:val="both"/>
              <w:rPr>
                <w:rFonts w:ascii="Times New Roman" w:hAnsi="Times New Roman"/>
                <w:iCs/>
                <w:sz w:val="24"/>
                <w:szCs w:val="24"/>
              </w:rPr>
            </w:pPr>
            <w:r w:rsidRPr="00A65752">
              <w:rPr>
                <w:rFonts w:ascii="Times New Roman" w:hAnsi="Times New Roman"/>
                <w:iCs/>
                <w:sz w:val="24"/>
                <w:szCs w:val="24"/>
              </w:rPr>
              <w:t>2) </w:t>
            </w:r>
            <w:r w:rsidRPr="00A65752">
              <w:rPr>
                <w:rFonts w:ascii="Times New Roman" w:hAnsi="Times New Roman"/>
                <w:sz w:val="24"/>
                <w:szCs w:val="24"/>
              </w:rPr>
              <w:t>MK 2007.gada 26.jūnija noteikumiem Nr.416 ”Zāļu izplatīšanas un kvalitātes kontroles kārtība”.</w:t>
            </w:r>
          </w:p>
          <w:p w:rsidR="006C282F" w:rsidRPr="00A65752" w:rsidRDefault="006C282F" w:rsidP="00503EB5">
            <w:pPr>
              <w:pStyle w:val="NoSpacing"/>
              <w:jc w:val="both"/>
              <w:rPr>
                <w:rFonts w:ascii="Times New Roman" w:hAnsi="Times New Roman"/>
                <w:iCs/>
                <w:sz w:val="24"/>
                <w:szCs w:val="24"/>
              </w:rPr>
            </w:pPr>
          </w:p>
          <w:p w:rsidR="006C282F" w:rsidRPr="00A65752" w:rsidRDefault="00236D74" w:rsidP="00607061">
            <w:pPr>
              <w:pStyle w:val="NoSpacing"/>
              <w:jc w:val="both"/>
              <w:rPr>
                <w:rFonts w:ascii="Times New Roman" w:hAnsi="Times New Roman"/>
                <w:iCs/>
                <w:sz w:val="24"/>
                <w:szCs w:val="24"/>
              </w:rPr>
            </w:pPr>
            <w:r w:rsidRPr="00C523E2">
              <w:rPr>
                <w:rFonts w:ascii="Times New Roman" w:hAnsi="Times New Roman"/>
                <w:iCs/>
                <w:noProof/>
                <w:sz w:val="24"/>
                <w:szCs w:val="24"/>
              </w:rPr>
              <w:t>Eiropas Komisija</w:t>
            </w:r>
            <w:r>
              <w:rPr>
                <w:rFonts w:ascii="Times New Roman" w:hAnsi="Times New Roman"/>
                <w:iCs/>
                <w:noProof/>
                <w:sz w:val="24"/>
                <w:szCs w:val="24"/>
              </w:rPr>
              <w:t xml:space="preserve"> lems par</w:t>
            </w:r>
            <w:r w:rsidRPr="00C523E2">
              <w:rPr>
                <w:rFonts w:ascii="Times New Roman" w:hAnsi="Times New Roman"/>
                <w:iCs/>
                <w:noProof/>
                <w:sz w:val="24"/>
                <w:szCs w:val="24"/>
              </w:rPr>
              <w:t xml:space="preserve"> </w:t>
            </w:r>
            <w:r>
              <w:rPr>
                <w:rFonts w:ascii="Times New Roman" w:hAnsi="Times New Roman"/>
                <w:iCs/>
                <w:noProof/>
                <w:sz w:val="24"/>
                <w:szCs w:val="24"/>
              </w:rPr>
              <w:t>deleģētā</w:t>
            </w:r>
            <w:r w:rsidRPr="00C523E2">
              <w:rPr>
                <w:rFonts w:ascii="Times New Roman" w:hAnsi="Times New Roman"/>
                <w:iCs/>
                <w:noProof/>
                <w:sz w:val="24"/>
                <w:szCs w:val="24"/>
              </w:rPr>
              <w:t xml:space="preserve"> akt</w:t>
            </w:r>
            <w:r>
              <w:rPr>
                <w:rFonts w:ascii="Times New Roman" w:hAnsi="Times New Roman"/>
                <w:iCs/>
                <w:noProof/>
                <w:sz w:val="24"/>
                <w:szCs w:val="24"/>
              </w:rPr>
              <w:t>a pieņemšanu</w:t>
            </w:r>
            <w:r w:rsidRPr="00C523E2">
              <w:rPr>
                <w:rFonts w:ascii="Times New Roman" w:hAnsi="Times New Roman"/>
                <w:iCs/>
                <w:noProof/>
                <w:sz w:val="24"/>
                <w:szCs w:val="24"/>
              </w:rPr>
              <w:t xml:space="preserve"> </w:t>
            </w:r>
            <w:r w:rsidRPr="00C523E2">
              <w:rPr>
                <w:rFonts w:ascii="Times New Roman" w:hAnsi="Times New Roman"/>
                <w:noProof/>
                <w:sz w:val="24"/>
                <w:szCs w:val="24"/>
              </w:rPr>
              <w:t>attiecībā uz vērā ņemamajiem kritērijiem un veicamajām pārbaudēm, vērtējot tādu zāļu iespējamos viltojumus, kuras ievestas Savienībā, bet kuras nav paredzēts laist tirgū</w:t>
            </w:r>
            <w:r w:rsidRPr="00C523E2">
              <w:rPr>
                <w:rFonts w:ascii="Times New Roman" w:hAnsi="Times New Roman"/>
                <w:iCs/>
                <w:noProof/>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AC63BA">
            <w:pPr>
              <w:spacing w:after="120"/>
              <w:ind w:left="57"/>
              <w:jc w:val="both"/>
              <w:rPr>
                <w:lang w:val="lv-LV"/>
              </w:rPr>
            </w:pPr>
            <w:r w:rsidRPr="00A65752">
              <w:rPr>
                <w:lang w:val="lv-LV"/>
              </w:rPr>
              <w:t>Direktīvas norma pārņemta pilnībā.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AC63BA">
            <w:pPr>
              <w:spacing w:after="120"/>
              <w:rPr>
                <w:spacing w:val="-3"/>
                <w:lang w:val="lv-LV"/>
              </w:rPr>
            </w:pPr>
            <w:r w:rsidRPr="00A65752">
              <w:rPr>
                <w:spacing w:val="-3"/>
                <w:lang w:val="lv-LV"/>
              </w:rPr>
              <w:t>Stingrākas prasības neparedz.</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11.punkts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Direktīvas norma tiks pārņemta ar grozījumiem MK noteikumos Nr.57 pēc Eiropas Komisijas Regulas pieņemšanas par:</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drošuma pazīmju (unikālais identifikators) raksturojumu un tehniskajām specifikācijām;</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recepšu zāļu vai zāļu kategoriju sarakstu, zālēm kurām drošuma pazīmes nenorāda;</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bezrecepšu zāļu vai zāļu kategoriju sarakstu, kurām drošuma pazīmes norāda;</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paziņošanas procedūru par zālēm, par kurām ir aizdomas par viltojumu, un ātru šādu ziņojumu izvērtēšanas un lēmumu pieņemšanas sistēmu;</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drošuma pazīmju pārbaudes paņēmieniem, ko veic  ražotāji, vairumtirgotāji, farmaceiti;</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 nosacījumiem repozitoriju sistēmas izveidi, pārvaldību un pieejamību, kurā glabā informāciju par drošuma pazīmēm, kas ļauj - pārbaudīt zāļu autentiskumu un identificēt tās.</w:t>
            </w:r>
          </w:p>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Eiropas Komisija attiecīgo deleģēto aktu regulas formā paredz pieņemt 2014.gadā.</w:t>
            </w:r>
          </w:p>
          <w:p w:rsidR="006C282F" w:rsidRPr="00A65752" w:rsidRDefault="006C282F" w:rsidP="005A6483">
            <w:pPr>
              <w:pStyle w:val="NoSpacing"/>
              <w:rPr>
                <w:rFonts w:ascii="Times New Roman" w:hAnsi="Times New Roman"/>
                <w:sz w:val="24"/>
                <w:szCs w:val="24"/>
              </w:rPr>
            </w:pPr>
            <w:r w:rsidRPr="00A65752">
              <w:rPr>
                <w:rFonts w:ascii="Times New Roman" w:hAnsi="Times New Roman"/>
                <w:sz w:val="24"/>
                <w:szCs w:val="24"/>
              </w:rPr>
              <w:t>Dalībvalstis piemēro  noteikumus, kas vajadzīgi, lai izpildītu šīs direktīvas 1. panta 11.punktu – no dienas, kad pagājuši trīs gadi pēc dienas, kad publicēti minētie Eiropas Komisijas deleģētie akti.</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noProof/>
                <w:lang w:val="lv-LV"/>
              </w:rPr>
              <w:lastRenderedPageBreak/>
              <w:t xml:space="preserve">Direktīvas 2011/62/EK </w:t>
            </w:r>
            <w:r w:rsidRPr="00A65752">
              <w:rPr>
                <w:lang w:val="lv-LV"/>
              </w:rPr>
              <w:t>1.panta 12.punkts</w:t>
            </w:r>
          </w:p>
          <w:p w:rsidR="006C282F" w:rsidRPr="00A65752" w:rsidRDefault="006C282F" w:rsidP="004134D0">
            <w:pPr>
              <w:jc w:val="both"/>
              <w:rPr>
                <w:noProof/>
                <w:lang w:val="lv-LV"/>
              </w:rPr>
            </w:pPr>
            <w:r w:rsidRPr="00A65752">
              <w:rPr>
                <w:lang w:val="lv-LV"/>
              </w:rPr>
              <w:t>(Direktīvas 2001/83 54.a panta 1.punkts).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1E6D46">
            <w:pPr>
              <w:pStyle w:val="NoSpacing"/>
              <w:jc w:val="both"/>
              <w:rPr>
                <w:rFonts w:ascii="Times New Roman" w:hAnsi="Times New Roman"/>
                <w:sz w:val="24"/>
                <w:szCs w:val="24"/>
              </w:rPr>
            </w:pPr>
            <w:r w:rsidRPr="00A65752">
              <w:rPr>
                <w:rFonts w:ascii="Times New Roman" w:hAnsi="Times New Roman"/>
                <w:sz w:val="24"/>
                <w:szCs w:val="24"/>
              </w:rPr>
              <w:t>Direktīvas norma tiks pārņemta ar grozījumiem MK noteikumos Nr.57 pēc Eiropas Komisijas deleģētā akta par drošuma pazīmēm pieņemšanas, kuru Eiropas Komisija paredz pieņemt regulas formā 2014.gadā.</w:t>
            </w:r>
          </w:p>
          <w:p w:rsidR="006C282F" w:rsidRPr="00A65752" w:rsidRDefault="006C282F" w:rsidP="00B269DF">
            <w:pPr>
              <w:rPr>
                <w:lang w:val="lv-LV"/>
              </w:rPr>
            </w:pPr>
            <w:r w:rsidRPr="00A65752">
              <w:rPr>
                <w:lang w:val="lv-LV"/>
              </w:rPr>
              <w:t>Dalībvalstis piemēro noteikumus, kas vajadzīgi, lai izpildītu šīs direktīvas 1. panta 11.punktu – no dienas, kad pagājuši trīs gadi pēc dienas, kad publicēti šīs direktīvas 1. panta 12. punktā minētie deleģētie akti.</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6A1BE2">
            <w:pPr>
              <w:jc w:val="both"/>
              <w:rPr>
                <w:lang w:val="lv-LV"/>
              </w:rPr>
            </w:pPr>
            <w:r w:rsidRPr="00A65752">
              <w:rPr>
                <w:noProof/>
                <w:lang w:val="lv-LV"/>
              </w:rPr>
              <w:t xml:space="preserve">Direktīvas 2011/62/EK </w:t>
            </w:r>
            <w:r w:rsidRPr="00A65752">
              <w:rPr>
                <w:lang w:val="lv-LV"/>
              </w:rPr>
              <w:t>1.panta 12.punkts</w:t>
            </w:r>
          </w:p>
          <w:p w:rsidR="006C282F" w:rsidRPr="00A65752" w:rsidRDefault="006C282F" w:rsidP="006A1BE2">
            <w:pPr>
              <w:jc w:val="both"/>
              <w:rPr>
                <w:noProof/>
                <w:lang w:val="lv-LV"/>
              </w:rPr>
            </w:pPr>
            <w:r w:rsidRPr="00A65752">
              <w:rPr>
                <w:lang w:val="lv-LV"/>
              </w:rPr>
              <w:t>(Direktīvas 2001/83 54.a panta 2.un 3.punkts).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B7D43">
            <w:pPr>
              <w:pStyle w:val="NoSpacing"/>
              <w:jc w:val="both"/>
              <w:rPr>
                <w:rFonts w:ascii="Times New Roman" w:hAnsi="Times New Roman"/>
                <w:sz w:val="24"/>
                <w:szCs w:val="24"/>
              </w:rPr>
            </w:pPr>
            <w:r w:rsidRPr="00A65752">
              <w:rPr>
                <w:rFonts w:ascii="Times New Roman" w:hAnsi="Times New Roman"/>
                <w:sz w:val="24"/>
                <w:szCs w:val="24"/>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41CE1">
            <w:pPr>
              <w:spacing w:after="120"/>
              <w:ind w:left="57"/>
              <w:jc w:val="both"/>
              <w:rPr>
                <w:lang w:val="lv-LV"/>
              </w:rPr>
            </w:pPr>
            <w:r w:rsidRPr="00A65752">
              <w:rPr>
                <w:spacing w:val="-3"/>
                <w:lang w:val="lv-LV"/>
              </w:rPr>
              <w:t>Nav jāpārņem, jo norma attiecas uz Eiropas Komisijas tiesībām saistībā ar deleģētajiem aktiem.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4C22">
            <w:pPr>
              <w:jc w:val="both"/>
              <w:rPr>
                <w:noProof/>
                <w:lang w:val="lv-LV"/>
              </w:rPr>
            </w:pPr>
            <w:r w:rsidRPr="00A65752">
              <w:rPr>
                <w:noProof/>
                <w:lang w:val="lv-LV"/>
              </w:rPr>
              <w:t>Direktīvas 2011/62/EK 1.panta 12.punkts</w:t>
            </w:r>
          </w:p>
          <w:p w:rsidR="006C282F" w:rsidRPr="00A65752" w:rsidRDefault="006C282F" w:rsidP="006A1BE2">
            <w:pPr>
              <w:jc w:val="both"/>
              <w:rPr>
                <w:noProof/>
                <w:lang w:val="lv-LV"/>
              </w:rPr>
            </w:pPr>
            <w:r w:rsidRPr="00A65752">
              <w:rPr>
                <w:noProof/>
                <w:lang w:val="lv-LV"/>
              </w:rPr>
              <w:t>(Direktīvas 2001/83 54.a panta 4. un 5.punkts).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B7D43">
            <w:pPr>
              <w:pStyle w:val="NoSpacing"/>
              <w:jc w:val="both"/>
              <w:rPr>
                <w:rFonts w:ascii="Times New Roman" w:hAnsi="Times New Roman"/>
                <w:sz w:val="24"/>
                <w:szCs w:val="24"/>
              </w:rPr>
            </w:pPr>
            <w:r w:rsidRPr="00A65752">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41CE1">
            <w:pPr>
              <w:spacing w:after="120"/>
              <w:ind w:left="57"/>
              <w:jc w:val="both"/>
              <w:rPr>
                <w:spacing w:val="-3"/>
                <w:lang w:val="lv-LV"/>
              </w:rPr>
            </w:pPr>
            <w:r w:rsidRPr="00A65752">
              <w:rPr>
                <w:lang w:val="lv-LV"/>
              </w:rPr>
              <w:t>Pašreiz nevar pārņemt, jo saistīts ar drošuma pazīmju uz zālēm ieviešanu, par kurām Eiropas Komisija īstenošanas aktu plāno izdot 2014.gadā.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4C22">
            <w:pPr>
              <w:jc w:val="both"/>
              <w:rPr>
                <w:noProof/>
                <w:lang w:val="lv-LV"/>
              </w:rPr>
            </w:pPr>
            <w:r w:rsidRPr="00A65752">
              <w:rPr>
                <w:noProof/>
                <w:lang w:val="lv-LV"/>
              </w:rPr>
              <w:t>Nav</w:t>
            </w:r>
          </w:p>
          <w:p w:rsidR="006C282F" w:rsidRPr="00A65752" w:rsidRDefault="006C282F" w:rsidP="00414C22">
            <w:pPr>
              <w:rPr>
                <w:noProof/>
                <w:lang w:val="lv-LV"/>
              </w:rPr>
            </w:pPr>
          </w:p>
          <w:p w:rsidR="006C282F" w:rsidRPr="00A65752" w:rsidRDefault="006C282F" w:rsidP="00414C22">
            <w:pPr>
              <w:rPr>
                <w:noProof/>
                <w:lang w:val="lv-LV"/>
              </w:rPr>
            </w:pPr>
          </w:p>
          <w:p w:rsidR="006C282F" w:rsidRPr="00A65752" w:rsidRDefault="006C282F" w:rsidP="004134D0">
            <w:pPr>
              <w:jc w:val="both"/>
              <w:rPr>
                <w:lang w:val="lv-LV"/>
              </w:rPr>
            </w:pP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F601CA">
            <w:pPr>
              <w:jc w:val="both"/>
              <w:rPr>
                <w:lang w:val="lv-LV"/>
              </w:rPr>
            </w:pPr>
            <w:r w:rsidRPr="00A65752">
              <w:rPr>
                <w:noProof/>
                <w:lang w:val="lv-LV"/>
              </w:rPr>
              <w:t xml:space="preserve">Direktīvas 2011/62/EK </w:t>
            </w:r>
            <w:r w:rsidRPr="00A65752">
              <w:rPr>
                <w:lang w:val="lv-LV"/>
              </w:rPr>
              <w:t>1.panta 13.punkts</w:t>
            </w:r>
          </w:p>
          <w:p w:rsidR="006C282F" w:rsidRPr="00A65752" w:rsidRDefault="006C282F" w:rsidP="00F601CA">
            <w:pPr>
              <w:jc w:val="both"/>
              <w:rPr>
                <w:noProof/>
                <w:lang w:val="lv-LV"/>
              </w:rPr>
            </w:pPr>
            <w:r w:rsidRPr="00A65752">
              <w:rPr>
                <w:lang w:val="lv-LV"/>
              </w:rPr>
              <w:t>(Direktīvas 2001/83 54.a panta 2.punkts).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F601CA">
            <w:pPr>
              <w:pStyle w:val="NoSpacing"/>
              <w:jc w:val="both"/>
              <w:rPr>
                <w:rFonts w:ascii="Times New Roman" w:hAnsi="Times New Roman"/>
                <w:sz w:val="24"/>
                <w:szCs w:val="24"/>
              </w:rPr>
            </w:pPr>
            <w:r w:rsidRPr="00A65752">
              <w:rPr>
                <w:rFonts w:ascii="Times New Roman" w:hAnsi="Times New Roman"/>
                <w:sz w:val="24"/>
                <w:szCs w:val="24"/>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41CE1">
            <w:pPr>
              <w:spacing w:after="120"/>
              <w:ind w:left="57"/>
              <w:jc w:val="both"/>
              <w:rPr>
                <w:lang w:val="lv-LV"/>
              </w:rPr>
            </w:pPr>
            <w:r w:rsidRPr="00A65752">
              <w:rPr>
                <w:spacing w:val="-3"/>
                <w:lang w:val="lv-LV"/>
              </w:rPr>
              <w:t>Nav jāpārņem, jo norma attiecas uz Eiropas Komisijas tiesībām.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F601CA">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14.punkts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41F2">
            <w:pPr>
              <w:pStyle w:val="NoSpacing"/>
              <w:jc w:val="both"/>
              <w:rPr>
                <w:rFonts w:ascii="Times New Roman" w:hAnsi="Times New Roman"/>
                <w:sz w:val="24"/>
                <w:szCs w:val="24"/>
              </w:rPr>
            </w:pPr>
            <w:r w:rsidRPr="00A65752">
              <w:rPr>
                <w:rFonts w:ascii="Times New Roman" w:hAnsi="Times New Roman"/>
                <w:sz w:val="24"/>
                <w:szCs w:val="24"/>
              </w:rPr>
              <w:t>Direktīvas norma tiks pārņemta ar grozījumiem MK noteikumos Nr.416.</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15.punkts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A00E5">
            <w:pPr>
              <w:pStyle w:val="NoSpacing"/>
              <w:jc w:val="both"/>
              <w:rPr>
                <w:rFonts w:ascii="Times New Roman" w:hAnsi="Times New Roman"/>
                <w:sz w:val="24"/>
                <w:szCs w:val="24"/>
              </w:rPr>
            </w:pPr>
            <w:r w:rsidRPr="00A65752">
              <w:rPr>
                <w:rFonts w:ascii="Times New Roman" w:hAnsi="Times New Roman"/>
                <w:sz w:val="24"/>
                <w:szCs w:val="24"/>
              </w:rPr>
              <w:t>Direktīvas norma ir daļēji ieviesta ar MK 2007.gada 26.jūnija noteikumiem Nr.416 ”Zāļu izplatīšanas un kvalitātes kontroles kārtība”</w:t>
            </w:r>
            <w:r w:rsidRPr="00A65752" w:rsidDel="004B5BF7">
              <w:rPr>
                <w:rFonts w:ascii="Times New Roman" w:hAnsi="Times New Roman"/>
                <w:sz w:val="24"/>
                <w:szCs w:val="24"/>
              </w:rPr>
              <w:t xml:space="preserve"> </w:t>
            </w:r>
            <w:r w:rsidRPr="00A65752">
              <w:rPr>
                <w:rFonts w:ascii="Times New Roman" w:hAnsi="Times New Roman"/>
                <w:sz w:val="24"/>
                <w:szCs w:val="24"/>
              </w:rPr>
              <w:t>(35.1., 35.2., 60.1. un 60.3.apakšpunkts).</w:t>
            </w:r>
          </w:p>
          <w:p w:rsidR="006C282F" w:rsidRPr="00A65752" w:rsidRDefault="006C282F" w:rsidP="009F4DB7">
            <w:pPr>
              <w:jc w:val="both"/>
              <w:rPr>
                <w:lang w:val="lv-LV"/>
              </w:rPr>
            </w:pPr>
          </w:p>
          <w:p w:rsidR="006C282F" w:rsidRPr="00A65752" w:rsidRDefault="006C282F" w:rsidP="009F4DB7">
            <w:pPr>
              <w:jc w:val="both"/>
              <w:rPr>
                <w:lang w:val="lv-LV"/>
              </w:rPr>
            </w:pPr>
            <w:r w:rsidRPr="00A65752">
              <w:rPr>
                <w:lang w:val="lv-LV"/>
              </w:rPr>
              <w:t>Direktīvas norma tiks pārņemta ar grozījumiem minētajos noteikumos.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B724D1">
            <w:pPr>
              <w:jc w:val="both"/>
              <w:rPr>
                <w:lang w:val="lv-LV"/>
              </w:rPr>
            </w:pPr>
            <w:r w:rsidRPr="00A65752">
              <w:rPr>
                <w:lang w:val="lv-LV"/>
              </w:rPr>
              <w:t xml:space="preserve">Direktīvas norma pārņemta daļēji. </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B724D1">
            <w:pPr>
              <w:jc w:val="both"/>
              <w:rPr>
                <w:lang w:val="lv-LV"/>
              </w:rPr>
            </w:pPr>
            <w:r w:rsidRPr="00A65752">
              <w:rPr>
                <w:lang w:val="lv-LV"/>
              </w:rPr>
              <w:t>Nav</w:t>
            </w:r>
          </w:p>
        </w:tc>
      </w:tr>
      <w:tr w:rsidR="00414C22"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C22" w:rsidRPr="00A65752" w:rsidRDefault="00414C22" w:rsidP="004134D0">
            <w:pPr>
              <w:jc w:val="both"/>
              <w:rPr>
                <w:noProof/>
                <w:lang w:val="lv-LV"/>
              </w:rPr>
            </w:pPr>
            <w:r w:rsidRPr="00A65752">
              <w:rPr>
                <w:noProof/>
                <w:lang w:val="lv-LV"/>
              </w:rPr>
              <w:t xml:space="preserve">Direktīvas 2011/62/EK </w:t>
            </w:r>
            <w:r w:rsidRPr="00A65752">
              <w:rPr>
                <w:lang w:val="lv-LV"/>
              </w:rPr>
              <w:t>1.panta 16.punkts a)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D1B9B" w:rsidRDefault="005D1B9B" w:rsidP="005D1B9B">
            <w:pPr>
              <w:pStyle w:val="NoSpacing"/>
              <w:rPr>
                <w:rFonts w:ascii="Times New Roman" w:hAnsi="Times New Roman"/>
                <w:noProof/>
                <w:sz w:val="24"/>
                <w:szCs w:val="24"/>
              </w:rPr>
            </w:pPr>
            <w:r>
              <w:rPr>
                <w:rFonts w:ascii="Times New Roman" w:hAnsi="Times New Roman"/>
                <w:noProof/>
                <w:sz w:val="24"/>
                <w:szCs w:val="24"/>
              </w:rPr>
              <w:t>6. un 23.punkts</w:t>
            </w:r>
          </w:p>
          <w:p w:rsidR="005D1B9B" w:rsidRDefault="005D1B9B" w:rsidP="005D1B9B">
            <w:pPr>
              <w:pStyle w:val="NoSpacing"/>
              <w:rPr>
                <w:rFonts w:ascii="Times New Roman" w:hAnsi="Times New Roman"/>
                <w:noProof/>
                <w:sz w:val="24"/>
                <w:szCs w:val="24"/>
              </w:rPr>
            </w:pPr>
          </w:p>
          <w:p w:rsidR="00414C22" w:rsidRPr="00A65752" w:rsidRDefault="00414C22" w:rsidP="005D1B9B">
            <w:pPr>
              <w:pStyle w:val="NoSpacing"/>
              <w:rPr>
                <w:rFonts w:ascii="Times New Roman" w:hAnsi="Times New Roman"/>
                <w:sz w:val="24"/>
                <w:szCs w:val="24"/>
              </w:rPr>
            </w:pPr>
            <w:r w:rsidRPr="00C523E2">
              <w:rPr>
                <w:rFonts w:ascii="Times New Roman" w:hAnsi="Times New Roman"/>
                <w:noProof/>
                <w:sz w:val="24"/>
                <w:szCs w:val="24"/>
              </w:rPr>
              <w:t xml:space="preserve">Direktīvas norma ir pārņemta ar </w:t>
            </w:r>
            <w:r w:rsidRPr="00C523E2">
              <w:rPr>
                <w:rFonts w:ascii="Times New Roman" w:hAnsi="Times New Roman"/>
                <w:bCs/>
                <w:noProof/>
                <w:sz w:val="24"/>
                <w:szCs w:val="24"/>
              </w:rPr>
              <w:t>Farmācijas likumu (25., 25.</w:t>
            </w:r>
            <w:r w:rsidRPr="00C523E2">
              <w:rPr>
                <w:rFonts w:ascii="Times New Roman" w:hAnsi="Times New Roman"/>
                <w:bCs/>
                <w:noProof/>
                <w:sz w:val="24"/>
                <w:szCs w:val="24"/>
                <w:vertAlign w:val="superscript"/>
              </w:rPr>
              <w:t xml:space="preserve">1 </w:t>
            </w:r>
            <w:r w:rsidRPr="00C523E2">
              <w:rPr>
                <w:rFonts w:ascii="Times New Roman" w:hAnsi="Times New Roman"/>
                <w:bCs/>
                <w:noProof/>
                <w:sz w:val="24"/>
                <w:szCs w:val="24"/>
              </w:rPr>
              <w:t>un 45.pants).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C22" w:rsidRPr="00A65752" w:rsidRDefault="00414C22" w:rsidP="004134D0">
            <w:pPr>
              <w:jc w:val="both"/>
              <w:rPr>
                <w:lang w:val="lv-LV"/>
              </w:rPr>
            </w:pPr>
            <w:r w:rsidRPr="00C523E2">
              <w:rPr>
                <w:noProof/>
                <w:lang w:val="lv-LV"/>
              </w:rPr>
              <w:t xml:space="preserve">Direktīvas norma pārņemta pilnībā </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C22" w:rsidRPr="00A65752" w:rsidRDefault="00414C22" w:rsidP="00AC5468">
            <w:pPr>
              <w:jc w:val="both"/>
              <w:rPr>
                <w:lang w:val="lv-LV"/>
              </w:rPr>
            </w:pPr>
            <w:r w:rsidRPr="00C523E2">
              <w:rPr>
                <w:noProof/>
                <w:lang w:val="lv-LV"/>
              </w:rPr>
              <w:t>Stingrākas prasības neparedz</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B5555E">
            <w:pPr>
              <w:jc w:val="both"/>
              <w:rPr>
                <w:noProof/>
                <w:lang w:val="lv-LV"/>
              </w:rPr>
            </w:pPr>
            <w:r w:rsidRPr="00A65752">
              <w:rPr>
                <w:noProof/>
                <w:lang w:val="lv-LV"/>
              </w:rPr>
              <w:t xml:space="preserve">Direktīvas 2011/62/EK </w:t>
            </w:r>
            <w:r w:rsidRPr="00A65752">
              <w:rPr>
                <w:lang w:val="lv-LV"/>
              </w:rPr>
              <w:t>1.panta 16.punkts b)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5D1B9B" w:rsidP="008037C1">
            <w:pPr>
              <w:pStyle w:val="NoSpacing"/>
              <w:jc w:val="both"/>
              <w:rPr>
                <w:rFonts w:ascii="Times New Roman" w:hAnsi="Times New Roman"/>
                <w:sz w:val="24"/>
                <w:szCs w:val="24"/>
              </w:rPr>
            </w:pPr>
            <w:r>
              <w:rPr>
                <w:rFonts w:ascii="Times New Roman" w:hAnsi="Times New Roman"/>
                <w:sz w:val="24"/>
                <w:szCs w:val="24"/>
              </w:rPr>
              <w:t>8</w:t>
            </w:r>
            <w:r w:rsidR="006C282F" w:rsidRPr="00A65752">
              <w:rPr>
                <w:rFonts w:ascii="Times New Roman" w:hAnsi="Times New Roman"/>
                <w:sz w:val="24"/>
                <w:szCs w:val="24"/>
              </w:rPr>
              <w:t xml:space="preserve">. un </w:t>
            </w:r>
            <w:r>
              <w:rPr>
                <w:rFonts w:ascii="Times New Roman" w:hAnsi="Times New Roman"/>
                <w:sz w:val="24"/>
                <w:szCs w:val="24"/>
              </w:rPr>
              <w:t>9</w:t>
            </w:r>
            <w:r w:rsidR="006C282F" w:rsidRPr="00A65752">
              <w:rPr>
                <w:rFonts w:ascii="Times New Roman" w:hAnsi="Times New Roman"/>
                <w:sz w:val="24"/>
                <w:szCs w:val="24"/>
              </w:rPr>
              <w:t>.punkts</w:t>
            </w:r>
          </w:p>
          <w:p w:rsidR="00570469" w:rsidRDefault="00570469" w:rsidP="00570469">
            <w:pPr>
              <w:pStyle w:val="NoSpacing"/>
              <w:jc w:val="both"/>
              <w:rPr>
                <w:rFonts w:ascii="Times New Roman" w:hAnsi="Times New Roman"/>
                <w:noProof/>
                <w:sz w:val="24"/>
                <w:szCs w:val="24"/>
              </w:rPr>
            </w:pPr>
          </w:p>
          <w:p w:rsidR="006C282F" w:rsidRPr="00A65752" w:rsidRDefault="00570469" w:rsidP="00F72D1F">
            <w:pPr>
              <w:pStyle w:val="NoSpacing"/>
              <w:jc w:val="both"/>
              <w:rPr>
                <w:rFonts w:ascii="Times New Roman" w:hAnsi="Times New Roman"/>
                <w:noProof/>
                <w:sz w:val="24"/>
                <w:szCs w:val="24"/>
              </w:rPr>
            </w:pPr>
            <w:r w:rsidRPr="00C523E2">
              <w:rPr>
                <w:rFonts w:ascii="Times New Roman" w:hAnsi="Times New Roman"/>
                <w:noProof/>
                <w:sz w:val="24"/>
                <w:szCs w:val="24"/>
              </w:rPr>
              <w:t xml:space="preserve">Direktīvas norma ir daļēji ieviesta ar </w:t>
            </w:r>
            <w:r w:rsidRPr="00C523E2">
              <w:rPr>
                <w:rFonts w:ascii="Times New Roman" w:hAnsi="Times New Roman"/>
                <w:bCs/>
                <w:noProof/>
                <w:sz w:val="24"/>
                <w:szCs w:val="24"/>
              </w:rPr>
              <w:t>MK noteikumiem Nr.800</w:t>
            </w:r>
            <w:r w:rsidRPr="00C523E2" w:rsidDel="00E24867">
              <w:rPr>
                <w:rFonts w:ascii="Times New Roman" w:hAnsi="Times New Roman"/>
                <w:bCs/>
                <w:noProof/>
                <w:sz w:val="24"/>
                <w:szCs w:val="24"/>
              </w:rPr>
              <w:t xml:space="preserve"> </w:t>
            </w:r>
            <w:r w:rsidRPr="00C523E2">
              <w:rPr>
                <w:rFonts w:ascii="Times New Roman" w:hAnsi="Times New Roman"/>
                <w:bCs/>
                <w:noProof/>
                <w:sz w:val="24"/>
                <w:szCs w:val="24"/>
              </w:rPr>
              <w:t>(78.8.apakšpunkts).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B5555E">
            <w:pPr>
              <w:jc w:val="both"/>
              <w:rPr>
                <w:lang w:val="lv-LV"/>
              </w:rPr>
            </w:pPr>
            <w:r w:rsidRPr="00A65752">
              <w:rPr>
                <w:lang w:val="lv-LV"/>
              </w:rPr>
              <w:t>Direktīvas norma pilnībā ieviesta.</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B5555E">
            <w:pPr>
              <w:jc w:val="both"/>
              <w:rPr>
                <w:lang w:val="lv-LV"/>
              </w:rPr>
            </w:pPr>
            <w:r w:rsidRPr="00A65752">
              <w:rPr>
                <w:lang w:val="lv-LV"/>
              </w:rPr>
              <w:t>Stingrākas prasības neparedz.</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17.punkts a)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41F2">
            <w:pPr>
              <w:pStyle w:val="NoSpacing"/>
              <w:jc w:val="both"/>
            </w:pPr>
            <w:r w:rsidRPr="00A65752">
              <w:rPr>
                <w:rFonts w:ascii="Times New Roman" w:hAnsi="Times New Roman"/>
                <w:sz w:val="24"/>
                <w:szCs w:val="24"/>
              </w:rPr>
              <w:t>Direktīvas norma tik pārņemta ar grozījumiem MK noteikumos Nr.416.</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DA275D">
            <w:pPr>
              <w:jc w:val="both"/>
              <w:rPr>
                <w:noProof/>
                <w:lang w:val="lv-LV"/>
              </w:rPr>
            </w:pPr>
            <w:r w:rsidRPr="00A65752">
              <w:rPr>
                <w:noProof/>
                <w:lang w:val="lv-LV"/>
              </w:rPr>
              <w:t xml:space="preserve">Direktīvas 2011/62/EK </w:t>
            </w:r>
            <w:r w:rsidRPr="00A65752">
              <w:rPr>
                <w:lang w:val="lv-LV"/>
              </w:rPr>
              <w:t>1.panta 17.punkts b)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41F2">
            <w:pPr>
              <w:pStyle w:val="NoSpacing"/>
              <w:jc w:val="both"/>
            </w:pPr>
            <w:r w:rsidRPr="00A65752">
              <w:rPr>
                <w:rFonts w:ascii="Times New Roman" w:hAnsi="Times New Roman"/>
                <w:sz w:val="24"/>
                <w:szCs w:val="24"/>
              </w:rPr>
              <w:t>Direktīvas norma tik pārņemta ar grozījumiem MK noteikumos Nr.416.</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17.punkts c)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41F2">
            <w:pPr>
              <w:pStyle w:val="NoSpacing"/>
              <w:jc w:val="both"/>
            </w:pPr>
            <w:r w:rsidRPr="00A65752">
              <w:rPr>
                <w:rFonts w:ascii="Times New Roman" w:hAnsi="Times New Roman"/>
                <w:sz w:val="24"/>
                <w:szCs w:val="24"/>
              </w:rPr>
              <w:t>Direktīvas norma tik pārņemta ar grozījumiem MK noteikumos Nr.416.</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1254"/>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17.punkts d)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41F2">
            <w:pPr>
              <w:pStyle w:val="NoSpacing"/>
              <w:jc w:val="both"/>
            </w:pPr>
            <w:r w:rsidRPr="00A65752">
              <w:rPr>
                <w:rFonts w:ascii="Times New Roman" w:hAnsi="Times New Roman"/>
                <w:sz w:val="24"/>
                <w:szCs w:val="24"/>
              </w:rPr>
              <w:t>Direktīvas norma tik pārņemta ar grozījumiem MK noteikumos Nr.416.</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18.punkts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B1904">
            <w:pPr>
              <w:pStyle w:val="NoSpacing"/>
              <w:jc w:val="both"/>
              <w:rPr>
                <w:rFonts w:ascii="Times New Roman" w:hAnsi="Times New Roman"/>
                <w:sz w:val="24"/>
                <w:szCs w:val="24"/>
              </w:rPr>
            </w:pPr>
            <w:r w:rsidRPr="00A65752">
              <w:rPr>
                <w:rFonts w:ascii="Times New Roman" w:hAnsi="Times New Roman"/>
                <w:sz w:val="24"/>
                <w:szCs w:val="24"/>
              </w:rPr>
              <w:t xml:space="preserve">Direktīvas norma ir pārņemta ar </w:t>
            </w:r>
            <w:r w:rsidRPr="00A65752">
              <w:rPr>
                <w:rFonts w:ascii="Times New Roman" w:hAnsi="Times New Roman"/>
                <w:bCs/>
                <w:sz w:val="24"/>
                <w:szCs w:val="24"/>
              </w:rPr>
              <w:t xml:space="preserve">MK </w:t>
            </w:r>
            <w:r w:rsidRPr="00A65752">
              <w:rPr>
                <w:rFonts w:ascii="Times New Roman" w:hAnsi="Times New Roman"/>
                <w:sz w:val="24"/>
                <w:szCs w:val="24"/>
              </w:rPr>
              <w:t>2007.gada 26.jūnija noteikumiem Nr.416 „Zāļu izplatīšanas un kvalitātes kontroles kārtība”</w:t>
            </w:r>
            <w:r w:rsidRPr="00A65752" w:rsidDel="00846BC9">
              <w:rPr>
                <w:rFonts w:ascii="Times New Roman" w:hAnsi="Times New Roman"/>
                <w:sz w:val="24"/>
                <w:szCs w:val="24"/>
              </w:rPr>
              <w:t xml:space="preserve"> </w:t>
            </w:r>
            <w:r w:rsidRPr="00A65752">
              <w:rPr>
                <w:rFonts w:ascii="Times New Roman" w:hAnsi="Times New Roman"/>
                <w:bCs/>
                <w:sz w:val="24"/>
                <w:szCs w:val="24"/>
              </w:rPr>
              <w:t>(30.2.3.apakšpunkts)</w:t>
            </w:r>
          </w:p>
          <w:p w:rsidR="006C282F" w:rsidRPr="00A65752" w:rsidRDefault="006C282F" w:rsidP="00EB1904">
            <w:pPr>
              <w:rPr>
                <w:highlight w:val="green"/>
                <w:lang w:val="lv-LV"/>
              </w:rPr>
            </w:pP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A64A9">
            <w:pPr>
              <w:jc w:val="both"/>
              <w:rPr>
                <w:lang w:val="lv-LV"/>
              </w:rPr>
            </w:pPr>
            <w:r w:rsidRPr="00A65752">
              <w:rPr>
                <w:lang w:val="lv-LV"/>
              </w:rPr>
              <w:t>Direktīvas norma ievieta pilnībā.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55086">
            <w:pPr>
              <w:jc w:val="both"/>
              <w:rPr>
                <w:lang w:val="lv-LV"/>
              </w:rPr>
            </w:pPr>
            <w:r w:rsidRPr="00A65752">
              <w:rPr>
                <w:lang w:val="lv-LV"/>
              </w:rPr>
              <w:t xml:space="preserve">Stingrākas prasības neparedz. </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19.punkts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41CE1">
            <w:pPr>
              <w:pStyle w:val="NoSpacing"/>
              <w:jc w:val="both"/>
              <w:rPr>
                <w:rFonts w:ascii="Times New Roman" w:hAnsi="Times New Roman"/>
                <w:spacing w:val="-6"/>
                <w:sz w:val="24"/>
                <w:szCs w:val="24"/>
              </w:rPr>
            </w:pPr>
            <w:r w:rsidRPr="00A65752">
              <w:rPr>
                <w:rFonts w:ascii="Times New Roman" w:hAnsi="Times New Roman"/>
                <w:spacing w:val="-6"/>
                <w:sz w:val="24"/>
                <w:szCs w:val="24"/>
              </w:rPr>
              <w:t xml:space="preserve">Farmācijas likums </w:t>
            </w:r>
            <w:r w:rsidRPr="00A65752">
              <w:rPr>
                <w:rFonts w:ascii="Times New Roman" w:hAnsi="Times New Roman"/>
                <w:sz w:val="24"/>
                <w:szCs w:val="24"/>
              </w:rPr>
              <w:t xml:space="preserve"> 22.pantā (3) daļa.</w:t>
            </w:r>
          </w:p>
          <w:p w:rsidR="006C282F" w:rsidRPr="00A65752" w:rsidRDefault="006C282F" w:rsidP="00963F87">
            <w:pPr>
              <w:pStyle w:val="NoSpacing"/>
              <w:jc w:val="both"/>
              <w:rPr>
                <w:rFonts w:ascii="Times New Roman" w:hAnsi="Times New Roman"/>
                <w:sz w:val="24"/>
                <w:szCs w:val="24"/>
              </w:rPr>
            </w:pPr>
          </w:p>
          <w:p w:rsidR="006C282F" w:rsidRPr="00A65752" w:rsidRDefault="006C282F" w:rsidP="00155DB0">
            <w:pPr>
              <w:pStyle w:val="NoSpacing"/>
              <w:jc w:val="both"/>
              <w:rPr>
                <w:rFonts w:ascii="Times New Roman" w:hAnsi="Times New Roman"/>
                <w:bCs/>
                <w:sz w:val="24"/>
                <w:szCs w:val="24"/>
              </w:rPr>
            </w:pPr>
            <w:r w:rsidRPr="00A65752">
              <w:rPr>
                <w:rFonts w:ascii="Times New Roman" w:hAnsi="Times New Roman"/>
                <w:sz w:val="24"/>
                <w:szCs w:val="24"/>
              </w:rPr>
              <w:t>Direktīvas norma tik pārņemta ar grozījumiem MK noteikumos Nr.416.</w:t>
            </w:r>
          </w:p>
          <w:p w:rsidR="006C282F" w:rsidRPr="00A65752" w:rsidRDefault="006C282F" w:rsidP="00493CAF">
            <w:pPr>
              <w:pStyle w:val="Default"/>
              <w:jc w:val="both"/>
              <w:rPr>
                <w:noProof/>
                <w:color w:val="auto"/>
                <w:lang w:val="lv-LV"/>
              </w:rPr>
            </w:pPr>
          </w:p>
          <w:p w:rsidR="006C282F" w:rsidRPr="00A65752" w:rsidRDefault="006C282F" w:rsidP="00493CAF">
            <w:pPr>
              <w:pStyle w:val="Default"/>
              <w:jc w:val="both"/>
              <w:rPr>
                <w:color w:val="auto"/>
                <w:lang w:val="lv-LV"/>
              </w:rPr>
            </w:pPr>
            <w:r w:rsidRPr="00A65752">
              <w:rPr>
                <w:noProof/>
                <w:color w:val="auto"/>
                <w:lang w:val="lv-LV"/>
              </w:rPr>
              <w:t xml:space="preserve">Eiropas Komisija 2013.gada 7.martā ir pieņēmusi un publiskojusi </w:t>
            </w:r>
            <w:r w:rsidRPr="00A65752">
              <w:rPr>
                <w:color w:val="auto"/>
                <w:lang w:val="lv-LV"/>
              </w:rPr>
              <w:t xml:space="preserve">(OJ C68, 8.3.2013, p. 1) </w:t>
            </w:r>
            <w:r w:rsidRPr="00A65752">
              <w:rPr>
                <w:noProof/>
                <w:color w:val="auto"/>
                <w:lang w:val="lv-LV"/>
              </w:rPr>
              <w:t xml:space="preserve">pamatnostādnes (guidelines) Nr. </w:t>
            </w:r>
            <w:r w:rsidRPr="00A65752">
              <w:rPr>
                <w:color w:val="auto"/>
                <w:lang w:val="lv-LV"/>
              </w:rPr>
              <w:t xml:space="preserve">2013/C 68/01  </w:t>
            </w:r>
            <w:r w:rsidRPr="00A65752">
              <w:rPr>
                <w:i/>
                <w:color w:val="auto"/>
                <w:lang w:val="lv-LV"/>
              </w:rPr>
              <w:t xml:space="preserve">cilvēkiem paredzētu zāļu </w:t>
            </w:r>
            <w:r w:rsidRPr="00A65752">
              <w:rPr>
                <w:bCs/>
                <w:i/>
                <w:color w:val="auto"/>
                <w:lang w:val="lv-LV"/>
              </w:rPr>
              <w:t xml:space="preserve">labu izplatīšanas praksi (kurās ir iekļautas prasības arī </w:t>
            </w:r>
            <w:r w:rsidRPr="00A65752">
              <w:rPr>
                <w:i/>
                <w:color w:val="auto"/>
                <w:lang w:val="lv-LV"/>
              </w:rPr>
              <w:t>starpniecības darījumiem ar zālēm)</w:t>
            </w:r>
          </w:p>
          <w:p w:rsidR="006C282F" w:rsidRPr="00A65752" w:rsidRDefault="006C282F" w:rsidP="00493CAF">
            <w:pPr>
              <w:pStyle w:val="NoSpacing"/>
              <w:jc w:val="both"/>
              <w:rPr>
                <w:rFonts w:ascii="Times New Roman" w:hAnsi="Times New Roman"/>
                <w:i/>
                <w:noProof/>
                <w:sz w:val="24"/>
                <w:szCs w:val="24"/>
              </w:rPr>
            </w:pPr>
            <w:r w:rsidRPr="00A65752">
              <w:rPr>
                <w:rFonts w:ascii="Times New Roman" w:hAnsi="Times New Roman"/>
                <w:i/>
                <w:noProof/>
                <w:sz w:val="24"/>
                <w:szCs w:val="24"/>
              </w:rPr>
              <w:t xml:space="preserve">http://eur-lex.europa.eu/LexUriServ/LexUriServ.do?uri=OJ:C:2013:068:0001:0014:LV:PDF </w:t>
            </w:r>
          </w:p>
          <w:p w:rsidR="006C282F" w:rsidRPr="00A65752" w:rsidRDefault="006C282F" w:rsidP="00493CAF">
            <w:pPr>
              <w:pStyle w:val="NoSpacing"/>
              <w:jc w:val="both"/>
              <w:rPr>
                <w:rFonts w:ascii="Times New Roman" w:hAnsi="Times New Roman"/>
                <w:noProof/>
                <w:sz w:val="24"/>
                <w:szCs w:val="24"/>
              </w:rPr>
            </w:pPr>
            <w:r w:rsidRPr="00A65752">
              <w:rPr>
                <w:rFonts w:ascii="Times New Roman" w:hAnsi="Times New Roman"/>
                <w:noProof/>
                <w:sz w:val="24"/>
                <w:szCs w:val="24"/>
              </w:rPr>
              <w:t>Stājas spēkā sešus mēnešus pēc publikācijas - ar 2013.gada 8.septembri.</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Direktīvas norma pārņemta daļēji.</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963F87">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20.punkts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252E8">
            <w:pPr>
              <w:pStyle w:val="NoSpacing"/>
              <w:jc w:val="both"/>
              <w:rPr>
                <w:rFonts w:ascii="Times New Roman" w:hAnsi="Times New Roman"/>
                <w:sz w:val="24"/>
                <w:szCs w:val="24"/>
              </w:rPr>
            </w:pPr>
            <w:r w:rsidRPr="00A65752">
              <w:rPr>
                <w:rFonts w:ascii="Times New Roman" w:hAnsi="Times New Roman"/>
                <w:sz w:val="24"/>
                <w:szCs w:val="24"/>
              </w:rPr>
              <w:t>Direktīvas norma ir daļēji ieviesta ar:</w:t>
            </w:r>
          </w:p>
          <w:p w:rsidR="006C282F" w:rsidRPr="00A65752" w:rsidRDefault="006C282F" w:rsidP="005252E8">
            <w:pPr>
              <w:pStyle w:val="NoSpacing"/>
              <w:jc w:val="both"/>
              <w:rPr>
                <w:rFonts w:ascii="Times New Roman" w:hAnsi="Times New Roman"/>
                <w:bCs/>
                <w:sz w:val="24"/>
                <w:szCs w:val="24"/>
              </w:rPr>
            </w:pPr>
            <w:r w:rsidRPr="00A65752">
              <w:rPr>
                <w:rFonts w:ascii="Times New Roman" w:hAnsi="Times New Roman"/>
                <w:sz w:val="24"/>
                <w:szCs w:val="24"/>
              </w:rPr>
              <w:t xml:space="preserve">1) MK </w:t>
            </w:r>
            <w:r w:rsidRPr="00A65752">
              <w:rPr>
                <w:rFonts w:ascii="Times New Roman" w:hAnsi="Times New Roman"/>
                <w:bCs/>
                <w:sz w:val="24"/>
                <w:szCs w:val="24"/>
              </w:rPr>
              <w:t>2011.gada 19.oktobra noteikumiem Nr.800 ”Farmaceitiskās darbības licencēšanas kārtība”</w:t>
            </w:r>
          </w:p>
          <w:p w:rsidR="006C282F" w:rsidRPr="00A65752" w:rsidRDefault="006C282F" w:rsidP="005D651E">
            <w:pPr>
              <w:pStyle w:val="NoSpacing"/>
              <w:jc w:val="both"/>
              <w:rPr>
                <w:rFonts w:ascii="Times New Roman" w:hAnsi="Times New Roman"/>
                <w:bCs/>
                <w:sz w:val="24"/>
                <w:szCs w:val="24"/>
              </w:rPr>
            </w:pPr>
            <w:r w:rsidRPr="00A65752">
              <w:rPr>
                <w:rFonts w:ascii="Times New Roman" w:hAnsi="Times New Roman"/>
                <w:bCs/>
                <w:sz w:val="24"/>
                <w:szCs w:val="24"/>
              </w:rPr>
              <w:t>(70.6.apakšpunkts)</w:t>
            </w:r>
          </w:p>
          <w:p w:rsidR="006C282F" w:rsidRPr="00A65752" w:rsidRDefault="006C282F" w:rsidP="005252E8">
            <w:pPr>
              <w:pStyle w:val="NoSpacing"/>
              <w:jc w:val="both"/>
              <w:rPr>
                <w:rFonts w:ascii="Times New Roman" w:hAnsi="Times New Roman"/>
                <w:bCs/>
                <w:sz w:val="24"/>
                <w:szCs w:val="24"/>
              </w:rPr>
            </w:pPr>
            <w:r w:rsidRPr="00A65752">
              <w:rPr>
                <w:rFonts w:ascii="Times New Roman" w:hAnsi="Times New Roman"/>
                <w:bCs/>
                <w:sz w:val="24"/>
                <w:szCs w:val="24"/>
              </w:rPr>
              <w:t xml:space="preserve">2) MK </w:t>
            </w:r>
            <w:r w:rsidRPr="00A65752">
              <w:rPr>
                <w:rFonts w:ascii="Times New Roman" w:hAnsi="Times New Roman"/>
                <w:sz w:val="24"/>
                <w:szCs w:val="24"/>
              </w:rPr>
              <w:t>2007.gada 26.jūnija noteikumiem Nr.416 ”Zāļu izplatīšanas un kvalitātes kontroles kārtība”</w:t>
            </w:r>
          </w:p>
          <w:p w:rsidR="006C282F" w:rsidRPr="00A65752" w:rsidRDefault="006C282F" w:rsidP="0081799D">
            <w:pPr>
              <w:pStyle w:val="NoSpacing"/>
              <w:jc w:val="both"/>
              <w:rPr>
                <w:rFonts w:ascii="Times New Roman" w:hAnsi="Times New Roman"/>
                <w:bCs/>
                <w:sz w:val="24"/>
                <w:szCs w:val="24"/>
              </w:rPr>
            </w:pPr>
            <w:r w:rsidRPr="00A65752">
              <w:rPr>
                <w:rFonts w:ascii="Times New Roman" w:hAnsi="Times New Roman"/>
                <w:bCs/>
                <w:sz w:val="24"/>
                <w:szCs w:val="24"/>
              </w:rPr>
              <w:t xml:space="preserve">(99., 100., 101., 102. </w:t>
            </w:r>
            <w:r w:rsidR="00854A9E">
              <w:rPr>
                <w:rFonts w:ascii="Times New Roman" w:hAnsi="Times New Roman"/>
                <w:bCs/>
                <w:sz w:val="24"/>
                <w:szCs w:val="24"/>
              </w:rPr>
              <w:t>u</w:t>
            </w:r>
            <w:r w:rsidRPr="00A65752">
              <w:rPr>
                <w:rFonts w:ascii="Times New Roman" w:hAnsi="Times New Roman"/>
                <w:bCs/>
                <w:sz w:val="24"/>
                <w:szCs w:val="24"/>
              </w:rPr>
              <w:t>n 103.punkts);</w:t>
            </w:r>
          </w:p>
          <w:p w:rsidR="006C282F" w:rsidRPr="00A65752" w:rsidRDefault="006C282F" w:rsidP="005252E8">
            <w:pPr>
              <w:pStyle w:val="NoSpacing"/>
              <w:jc w:val="both"/>
              <w:rPr>
                <w:rFonts w:ascii="Times New Roman" w:hAnsi="Times New Roman"/>
                <w:sz w:val="24"/>
                <w:szCs w:val="24"/>
              </w:rPr>
            </w:pPr>
            <w:r w:rsidRPr="00A65752">
              <w:rPr>
                <w:rFonts w:ascii="Times New Roman" w:hAnsi="Times New Roman"/>
                <w:bCs/>
                <w:sz w:val="24"/>
                <w:szCs w:val="24"/>
              </w:rPr>
              <w:t>3) Latvijas Administratīvo pārkāpumu kodeksu 46.</w:t>
            </w:r>
            <w:r w:rsidRPr="00A65752">
              <w:rPr>
                <w:rFonts w:ascii="Times New Roman" w:hAnsi="Times New Roman"/>
                <w:bCs/>
                <w:sz w:val="24"/>
                <w:szCs w:val="24"/>
                <w:vertAlign w:val="superscript"/>
              </w:rPr>
              <w:t xml:space="preserve">1 </w:t>
            </w:r>
            <w:r w:rsidRPr="00A65752">
              <w:rPr>
                <w:rFonts w:ascii="Times New Roman" w:hAnsi="Times New Roman"/>
                <w:bCs/>
                <w:sz w:val="24"/>
                <w:szCs w:val="24"/>
              </w:rPr>
              <w:t>pantu.</w:t>
            </w:r>
          </w:p>
          <w:p w:rsidR="006C282F" w:rsidRPr="00A65752" w:rsidRDefault="006C282F" w:rsidP="005252E8">
            <w:pPr>
              <w:jc w:val="both"/>
              <w:rPr>
                <w:lang w:val="lv-LV"/>
              </w:rPr>
            </w:pPr>
          </w:p>
          <w:p w:rsidR="006C282F" w:rsidRPr="00A65752" w:rsidRDefault="006C282F" w:rsidP="00555086">
            <w:pPr>
              <w:pStyle w:val="NoSpacing"/>
              <w:jc w:val="both"/>
              <w:rPr>
                <w:rFonts w:ascii="Times New Roman" w:hAnsi="Times New Roman"/>
                <w:sz w:val="24"/>
                <w:szCs w:val="24"/>
              </w:rPr>
            </w:pPr>
            <w:r w:rsidRPr="00A65752">
              <w:rPr>
                <w:rFonts w:ascii="Times New Roman" w:hAnsi="Times New Roman"/>
                <w:sz w:val="24"/>
                <w:szCs w:val="24"/>
              </w:rPr>
              <w:t xml:space="preserve">Direktīvas norma tiks pārņemta ar grozījumiem </w:t>
            </w:r>
            <w:r w:rsidRPr="00A65752">
              <w:rPr>
                <w:rFonts w:ascii="Times New Roman" w:hAnsi="Times New Roman"/>
                <w:bCs/>
                <w:sz w:val="24"/>
                <w:szCs w:val="24"/>
              </w:rPr>
              <w:t xml:space="preserve">MK </w:t>
            </w:r>
            <w:r w:rsidRPr="00A65752">
              <w:rPr>
                <w:rFonts w:ascii="Times New Roman" w:hAnsi="Times New Roman"/>
                <w:sz w:val="24"/>
                <w:szCs w:val="24"/>
              </w:rPr>
              <w:t>noteikumos Nr.416.</w:t>
            </w:r>
          </w:p>
          <w:p w:rsidR="006C282F" w:rsidRPr="00A65752" w:rsidRDefault="006C282F" w:rsidP="004607D9">
            <w:pPr>
              <w:pStyle w:val="NoSpacing"/>
              <w:jc w:val="both"/>
              <w:rPr>
                <w:rFonts w:ascii="Times New Roman" w:hAnsi="Times New Roman"/>
                <w:sz w:val="24"/>
                <w:szCs w:val="24"/>
              </w:rPr>
            </w:pPr>
          </w:p>
          <w:p w:rsidR="006C282F" w:rsidRPr="00A65752" w:rsidRDefault="006C282F" w:rsidP="004607D9">
            <w:pPr>
              <w:pStyle w:val="NoSpacing"/>
              <w:jc w:val="both"/>
              <w:rPr>
                <w:rFonts w:ascii="Times New Roman" w:hAnsi="Times New Roman"/>
                <w:sz w:val="24"/>
                <w:szCs w:val="24"/>
              </w:rPr>
            </w:pPr>
            <w:r w:rsidRPr="00A65752">
              <w:rPr>
                <w:rFonts w:ascii="Times New Roman" w:hAnsi="Times New Roman"/>
                <w:sz w:val="24"/>
                <w:szCs w:val="24"/>
              </w:rPr>
              <w:t>Dalībvalstis piemēro noteikumus, kuri vajadzīgi, lai izpildītu šīs direktīvas 1.panta 20.punktu, ciktāl tas attiecas uz Direktīvas 2001/83/EK 85.c pantu, kas iekļauts ar šo direktīvu – vēlākais vienu gadu pēc dienas, kad publicēti Eiropas Komisijas īstenošanas akti attiecībā uz:</w:t>
            </w:r>
          </w:p>
          <w:p w:rsidR="006C282F" w:rsidRPr="00A65752" w:rsidRDefault="006C282F" w:rsidP="004607D9">
            <w:pPr>
              <w:pStyle w:val="NoSpacing"/>
              <w:jc w:val="both"/>
              <w:rPr>
                <w:rFonts w:ascii="Times New Roman" w:hAnsi="Times New Roman"/>
                <w:sz w:val="24"/>
                <w:szCs w:val="24"/>
              </w:rPr>
            </w:pPr>
            <w:r w:rsidRPr="00A65752">
              <w:rPr>
                <w:rFonts w:ascii="Times New Roman" w:hAnsi="Times New Roman"/>
                <w:sz w:val="24"/>
                <w:szCs w:val="24"/>
              </w:rPr>
              <w:t xml:space="preserve">a) tehniskajām, elektroniskajām un kriptogrāfiskajām prasībām, lai varētu pārbaudīt vienotā logotipa autentiskumu; </w:t>
            </w:r>
          </w:p>
          <w:p w:rsidR="006C282F" w:rsidRPr="00A65752" w:rsidRDefault="006C282F" w:rsidP="00495B17">
            <w:pPr>
              <w:pStyle w:val="NoSpacing"/>
              <w:jc w:val="both"/>
              <w:rPr>
                <w:rFonts w:ascii="Times New Roman" w:hAnsi="Times New Roman"/>
                <w:b/>
                <w:sz w:val="18"/>
                <w:szCs w:val="18"/>
              </w:rPr>
            </w:pPr>
            <w:r w:rsidRPr="00A65752">
              <w:rPr>
                <w:rFonts w:ascii="Times New Roman" w:hAnsi="Times New Roman"/>
                <w:sz w:val="24"/>
                <w:szCs w:val="24"/>
              </w:rPr>
              <w:t>b) vienotā logotipa dizainu, kuru pieņemšana paredzēta 2013.gadā.</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A03FDE">
            <w:pPr>
              <w:jc w:val="both"/>
              <w:rPr>
                <w:lang w:val="lv-LV"/>
              </w:rPr>
            </w:pPr>
            <w:r w:rsidRPr="00A65752">
              <w:rPr>
                <w:lang w:val="lv-LV"/>
              </w:rPr>
              <w:t>Direktīvas norma pārņemta daļēji.</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9493C">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21.punkts a)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pPr>
              <w:pStyle w:val="NoSpacing"/>
              <w:jc w:val="both"/>
              <w:rPr>
                <w:rFonts w:ascii="Times New Roman" w:eastAsia="Times New Roman" w:hAnsi="Times New Roman"/>
                <w:sz w:val="24"/>
                <w:szCs w:val="24"/>
              </w:rPr>
            </w:pPr>
            <w:r w:rsidRPr="00A65752">
              <w:rPr>
                <w:rFonts w:ascii="Times New Roman" w:hAnsi="Times New Roman"/>
                <w:sz w:val="24"/>
                <w:szCs w:val="24"/>
              </w:rPr>
              <w:t xml:space="preserve">Direktīvas norma ir ieviesta daļēji ar </w:t>
            </w:r>
            <w:r w:rsidRPr="00A65752">
              <w:rPr>
                <w:rFonts w:ascii="Times New Roman" w:hAnsi="Times New Roman"/>
                <w:spacing w:val="-6"/>
                <w:sz w:val="24"/>
                <w:szCs w:val="24"/>
              </w:rPr>
              <w:t>MK 2006.gada 18.aprīļa noteikumiem Nr.304 ”Noteikumi par zāļu ražošanas un kontroles kārtību, par zāļu ražošanu atbildības amatpersonas kvalifikācijas prasībām un profesionālo pieredzi un kārtību, kādā zāļu ražošanas uzņēmumam izsniedz labas ražošanas prakses sertifikātu”</w:t>
            </w:r>
            <w:r w:rsidRPr="00A65752" w:rsidDel="00555086">
              <w:rPr>
                <w:rFonts w:ascii="Times New Roman" w:hAnsi="Times New Roman"/>
                <w:bCs/>
                <w:sz w:val="24"/>
                <w:szCs w:val="24"/>
              </w:rPr>
              <w:t xml:space="preserve"> </w:t>
            </w:r>
            <w:r w:rsidRPr="00A65752">
              <w:rPr>
                <w:rFonts w:ascii="Times New Roman" w:hAnsi="Times New Roman"/>
                <w:bCs/>
                <w:sz w:val="24"/>
                <w:szCs w:val="24"/>
              </w:rPr>
              <w:t>(32., 33. un 35.punkts).</w:t>
            </w:r>
          </w:p>
          <w:p w:rsidR="006C282F" w:rsidRPr="00A65752" w:rsidRDefault="006C282F" w:rsidP="00373595">
            <w:pPr>
              <w:pStyle w:val="NoSpacing"/>
              <w:jc w:val="both"/>
              <w:rPr>
                <w:rFonts w:ascii="Times New Roman" w:hAnsi="Times New Roman"/>
                <w:bCs/>
                <w:sz w:val="24"/>
                <w:szCs w:val="24"/>
              </w:rPr>
            </w:pPr>
          </w:p>
          <w:p w:rsidR="006C282F" w:rsidRPr="00A65752" w:rsidRDefault="006C282F" w:rsidP="00373595">
            <w:pPr>
              <w:pStyle w:val="NoSpacing"/>
              <w:jc w:val="both"/>
              <w:rPr>
                <w:rFonts w:ascii="Times New Roman" w:hAnsi="Times New Roman"/>
                <w:sz w:val="24"/>
                <w:szCs w:val="24"/>
              </w:rPr>
            </w:pPr>
            <w:r w:rsidRPr="00A65752">
              <w:rPr>
                <w:rFonts w:ascii="Times New Roman" w:hAnsi="Times New Roman"/>
                <w:sz w:val="24"/>
                <w:szCs w:val="24"/>
              </w:rPr>
              <w:t>Direktīvas norma tiks pārņemta ar:</w:t>
            </w:r>
          </w:p>
          <w:p w:rsidR="006C282F" w:rsidRPr="00A65752" w:rsidRDefault="006C282F" w:rsidP="00BC2D50">
            <w:pPr>
              <w:pStyle w:val="NoSpacing"/>
              <w:jc w:val="both"/>
              <w:rPr>
                <w:rFonts w:ascii="Times New Roman" w:hAnsi="Times New Roman"/>
                <w:sz w:val="24"/>
                <w:szCs w:val="24"/>
              </w:rPr>
            </w:pPr>
            <w:r w:rsidRPr="00A65752">
              <w:rPr>
                <w:rFonts w:ascii="Times New Roman" w:hAnsi="Times New Roman"/>
                <w:sz w:val="24"/>
                <w:szCs w:val="24"/>
              </w:rPr>
              <w:t xml:space="preserve">1) grozījumiem </w:t>
            </w:r>
            <w:r w:rsidRPr="00A65752">
              <w:rPr>
                <w:rFonts w:ascii="Times New Roman" w:hAnsi="Times New Roman"/>
                <w:spacing w:val="-6"/>
                <w:sz w:val="24"/>
                <w:szCs w:val="24"/>
              </w:rPr>
              <w:t>MK noteikumos Nr.304;</w:t>
            </w:r>
          </w:p>
          <w:p w:rsidR="006C282F" w:rsidRPr="00A65752" w:rsidRDefault="006C282F" w:rsidP="00BC2D50">
            <w:pPr>
              <w:pStyle w:val="NoSpacing"/>
              <w:jc w:val="both"/>
              <w:rPr>
                <w:rFonts w:ascii="Times New Roman" w:hAnsi="Times New Roman"/>
                <w:sz w:val="24"/>
                <w:szCs w:val="24"/>
              </w:rPr>
            </w:pPr>
            <w:r w:rsidRPr="00A65752">
              <w:rPr>
                <w:rFonts w:ascii="Times New Roman" w:hAnsi="Times New Roman"/>
                <w:sz w:val="24"/>
                <w:szCs w:val="24"/>
              </w:rPr>
              <w:t xml:space="preserve">2) grozījumiem </w:t>
            </w:r>
            <w:r w:rsidRPr="00A65752">
              <w:rPr>
                <w:rFonts w:ascii="Times New Roman" w:hAnsi="Times New Roman"/>
                <w:bCs/>
                <w:sz w:val="24"/>
                <w:szCs w:val="24"/>
              </w:rPr>
              <w:t xml:space="preserve">MK  </w:t>
            </w:r>
            <w:r w:rsidRPr="00A65752">
              <w:rPr>
                <w:rFonts w:ascii="Times New Roman" w:hAnsi="Times New Roman"/>
                <w:sz w:val="24"/>
                <w:szCs w:val="24"/>
              </w:rPr>
              <w:t>noteikumos Nr.416;</w:t>
            </w:r>
          </w:p>
          <w:p w:rsidR="006C282F" w:rsidRPr="00A65752" w:rsidRDefault="006C282F" w:rsidP="00854A9E">
            <w:pPr>
              <w:pStyle w:val="NoSpacing"/>
              <w:jc w:val="both"/>
              <w:rPr>
                <w:rFonts w:ascii="Times New Roman" w:hAnsi="Times New Roman"/>
                <w:sz w:val="24"/>
                <w:szCs w:val="24"/>
              </w:rPr>
            </w:pPr>
            <w:r w:rsidRPr="00A65752">
              <w:rPr>
                <w:rFonts w:ascii="Times New Roman" w:hAnsi="Times New Roman"/>
                <w:sz w:val="24"/>
                <w:szCs w:val="24"/>
              </w:rPr>
              <w:t>3) MK noteikumiem par aktīvo  vielu importēšanas un izplatīšanas kārtību.</w:t>
            </w:r>
            <w:r w:rsidRPr="00A65752">
              <w:rPr>
                <w:rFonts w:ascii="Times New Roman" w:hAnsi="Times New Roman"/>
                <w:spacing w:val="-6"/>
                <w:sz w:val="24"/>
                <w:szCs w:val="24"/>
              </w:rPr>
              <w:t xml:space="preserve"> </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1A6E">
            <w:pPr>
              <w:spacing w:after="120"/>
              <w:ind w:left="57"/>
              <w:jc w:val="both"/>
              <w:rPr>
                <w:lang w:val="lv-LV"/>
              </w:rPr>
            </w:pPr>
            <w:r w:rsidRPr="00A65752">
              <w:rPr>
                <w:lang w:val="lv-LV"/>
              </w:rPr>
              <w:t xml:space="preserve">Direktīvas norma pārņemta daļēji. </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1A6E">
            <w:pPr>
              <w:spacing w:after="120"/>
              <w:rPr>
                <w:spacing w:val="-3"/>
                <w:lang w:val="lv-LV"/>
              </w:rPr>
            </w:pPr>
            <w:r w:rsidRPr="00A65752">
              <w:rPr>
                <w:spacing w:val="-3"/>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4553E">
            <w:pPr>
              <w:jc w:val="both"/>
              <w:rPr>
                <w:spacing w:val="-6"/>
                <w:lang w:val="lv-LV"/>
              </w:rPr>
            </w:pPr>
            <w:r w:rsidRPr="00A65752">
              <w:rPr>
                <w:noProof/>
                <w:spacing w:val="-6"/>
                <w:lang w:val="lv-LV"/>
              </w:rPr>
              <w:t xml:space="preserve">Direktīvas 2011/62/EK </w:t>
            </w:r>
            <w:r w:rsidRPr="00A65752">
              <w:rPr>
                <w:spacing w:val="-6"/>
                <w:lang w:val="lv-LV"/>
              </w:rPr>
              <w:t>1.panta 21.punkts b) apakšpunkts (izņemot Direktīvas 2001/83 111.panta 6.punkta  pēdējo teikumu)</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55086">
            <w:pPr>
              <w:pStyle w:val="NoSpacing"/>
              <w:jc w:val="both"/>
              <w:rPr>
                <w:rFonts w:ascii="Times New Roman" w:hAnsi="Times New Roman"/>
                <w:spacing w:val="-6"/>
                <w:sz w:val="24"/>
                <w:szCs w:val="24"/>
              </w:rPr>
            </w:pPr>
            <w:r w:rsidRPr="00A65752">
              <w:rPr>
                <w:rFonts w:ascii="Times New Roman" w:hAnsi="Times New Roman"/>
                <w:bCs/>
                <w:sz w:val="24"/>
                <w:szCs w:val="24"/>
              </w:rPr>
              <w:t xml:space="preserve">MK </w:t>
            </w:r>
            <w:r w:rsidRPr="00A65752">
              <w:rPr>
                <w:rFonts w:ascii="Times New Roman" w:hAnsi="Times New Roman"/>
                <w:spacing w:val="-6"/>
                <w:sz w:val="24"/>
                <w:szCs w:val="24"/>
              </w:rPr>
              <w:t>2006.gada 18.aprīļa noteikumi Nr.304 ”Noteikumi par zāļu ražošanas un kontroles kārtību, par zāļu ražošanu atbildības amatpersonas kvalifikācijas prasībām un profesionālo pieredzi un kārtību, kādā zāļu ražošanas uzņēmumam izsniedz labas ražošanas prakses sertifikātu”.</w:t>
            </w:r>
          </w:p>
          <w:p w:rsidR="006C282F" w:rsidRPr="00A65752" w:rsidRDefault="006C282F" w:rsidP="00555086">
            <w:pPr>
              <w:pStyle w:val="NoSpacing"/>
              <w:jc w:val="both"/>
              <w:rPr>
                <w:rFonts w:ascii="Times New Roman" w:hAnsi="Times New Roman"/>
                <w:sz w:val="24"/>
                <w:szCs w:val="24"/>
              </w:rPr>
            </w:pPr>
            <w:r w:rsidRPr="00A65752">
              <w:rPr>
                <w:rFonts w:ascii="Times New Roman" w:hAnsi="Times New Roman"/>
                <w:bCs/>
                <w:sz w:val="24"/>
                <w:szCs w:val="24"/>
              </w:rPr>
              <w:t>Farmācijas likuma 61.</w:t>
            </w:r>
            <w:r w:rsidRPr="00A65752">
              <w:rPr>
                <w:rFonts w:ascii="Times New Roman" w:hAnsi="Times New Roman"/>
                <w:bCs/>
                <w:sz w:val="24"/>
                <w:szCs w:val="24"/>
                <w:vertAlign w:val="superscript"/>
              </w:rPr>
              <w:t>1</w:t>
            </w:r>
            <w:r w:rsidRPr="00A65752">
              <w:rPr>
                <w:rFonts w:ascii="Times New Roman" w:hAnsi="Times New Roman"/>
                <w:bCs/>
                <w:sz w:val="24"/>
                <w:szCs w:val="24"/>
              </w:rPr>
              <w:t>pants.</w:t>
            </w:r>
          </w:p>
          <w:p w:rsidR="006C282F" w:rsidRPr="00A65752" w:rsidRDefault="006C282F" w:rsidP="00EB3546">
            <w:pPr>
              <w:jc w:val="both"/>
              <w:rPr>
                <w:lang w:val="lv-LV"/>
              </w:rPr>
            </w:pPr>
          </w:p>
          <w:p w:rsidR="006C282F" w:rsidRPr="00A65752" w:rsidRDefault="006C282F" w:rsidP="00B80AD9">
            <w:pPr>
              <w:pStyle w:val="NoSpacing"/>
              <w:jc w:val="both"/>
              <w:rPr>
                <w:rFonts w:ascii="Times New Roman" w:hAnsi="Times New Roman"/>
                <w:sz w:val="24"/>
                <w:szCs w:val="24"/>
              </w:rPr>
            </w:pPr>
            <w:r w:rsidRPr="00A65752">
              <w:rPr>
                <w:rFonts w:ascii="Times New Roman" w:hAnsi="Times New Roman"/>
                <w:sz w:val="24"/>
                <w:szCs w:val="24"/>
              </w:rPr>
              <w:t>Direktīvas norma tiks pārņemta ar:</w:t>
            </w:r>
          </w:p>
          <w:p w:rsidR="006C282F" w:rsidRPr="00A65752" w:rsidRDefault="006C282F" w:rsidP="007209BE">
            <w:pPr>
              <w:pStyle w:val="NoSpacing"/>
              <w:jc w:val="both"/>
              <w:rPr>
                <w:rFonts w:ascii="Times New Roman" w:hAnsi="Times New Roman"/>
                <w:sz w:val="24"/>
                <w:szCs w:val="24"/>
              </w:rPr>
            </w:pPr>
            <w:r w:rsidRPr="00A65752">
              <w:rPr>
                <w:rFonts w:ascii="Times New Roman" w:hAnsi="Times New Roman"/>
                <w:sz w:val="24"/>
                <w:szCs w:val="24"/>
              </w:rPr>
              <w:t xml:space="preserve">1) grozījumiem </w:t>
            </w:r>
            <w:r w:rsidRPr="00A65752">
              <w:rPr>
                <w:rFonts w:ascii="Times New Roman" w:hAnsi="Times New Roman"/>
                <w:spacing w:val="-6"/>
                <w:sz w:val="24"/>
                <w:szCs w:val="24"/>
              </w:rPr>
              <w:t xml:space="preserve">noteikumos Nr.304; </w:t>
            </w:r>
            <w:r w:rsidRPr="00A65752">
              <w:rPr>
                <w:rFonts w:ascii="Times New Roman" w:hAnsi="Times New Roman"/>
                <w:sz w:val="24"/>
                <w:szCs w:val="24"/>
              </w:rPr>
              <w:t xml:space="preserve">2) grozījumiem </w:t>
            </w:r>
            <w:r w:rsidRPr="00A65752">
              <w:rPr>
                <w:rFonts w:ascii="Times New Roman" w:hAnsi="Times New Roman"/>
                <w:bCs/>
                <w:sz w:val="24"/>
                <w:szCs w:val="24"/>
              </w:rPr>
              <w:t xml:space="preserve">MK  </w:t>
            </w:r>
            <w:r w:rsidRPr="00A65752">
              <w:rPr>
                <w:rFonts w:ascii="Times New Roman" w:hAnsi="Times New Roman"/>
                <w:sz w:val="24"/>
                <w:szCs w:val="24"/>
              </w:rPr>
              <w:t>noteikumos Nr.416;</w:t>
            </w:r>
          </w:p>
          <w:p w:rsidR="006C282F" w:rsidRPr="00A65752" w:rsidRDefault="006C282F" w:rsidP="00854A9E">
            <w:pPr>
              <w:pStyle w:val="NoSpacing"/>
              <w:jc w:val="both"/>
              <w:rPr>
                <w:rFonts w:ascii="Times New Roman" w:hAnsi="Times New Roman"/>
                <w:sz w:val="24"/>
                <w:szCs w:val="24"/>
              </w:rPr>
            </w:pPr>
            <w:r w:rsidRPr="00A65752">
              <w:rPr>
                <w:rFonts w:ascii="Times New Roman" w:hAnsi="Times New Roman"/>
                <w:sz w:val="24"/>
                <w:szCs w:val="24"/>
              </w:rPr>
              <w:t xml:space="preserve">3) MK noteikumiem par aktīvo  vielu importēšanas un izplatīšanas kārtību </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9493C">
            <w:pPr>
              <w:spacing w:after="120"/>
              <w:ind w:left="57"/>
              <w:jc w:val="both"/>
              <w:rPr>
                <w:lang w:val="lv-LV"/>
              </w:rPr>
            </w:pPr>
            <w:r w:rsidRPr="00A65752">
              <w:rPr>
                <w:lang w:val="lv-LV"/>
              </w:rPr>
              <w:t>Direktīvas norma pārņemta daļēji.</w:t>
            </w:r>
          </w:p>
          <w:p w:rsidR="006C282F" w:rsidRPr="00A65752" w:rsidRDefault="006C282F" w:rsidP="0009493C">
            <w:pPr>
              <w:spacing w:after="120"/>
              <w:ind w:left="57"/>
              <w:jc w:val="both"/>
              <w:rPr>
                <w:lang w:val="lv-LV"/>
              </w:rPr>
            </w:pPr>
          </w:p>
          <w:p w:rsidR="006C282F" w:rsidRPr="00A65752" w:rsidRDefault="006C282F" w:rsidP="0009493C">
            <w:pPr>
              <w:spacing w:after="120"/>
              <w:ind w:left="57"/>
              <w:jc w:val="both"/>
              <w:rPr>
                <w:lang w:val="lv-LV"/>
              </w:rPr>
            </w:pPr>
            <w:r w:rsidRPr="00A65752">
              <w:rPr>
                <w:spacing w:val="-6"/>
                <w:lang w:val="lv-LV"/>
              </w:rPr>
              <w:t>Direktīvas 2001/83 111.panta 6.punkta  pēdējai teikums nav jāpārņem, jo norma par to, ka ES datu bāze (ES) ir publiski pieejama attiecas uz datu bāzes turētāja Eiropas Zāļu aģentūras pienākumu.</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9493C">
            <w:pPr>
              <w:spacing w:after="120"/>
              <w:rPr>
                <w:spacing w:val="-3"/>
                <w:lang w:val="lv-LV"/>
              </w:rPr>
            </w:pPr>
            <w:r w:rsidRPr="00A65752">
              <w:rPr>
                <w:spacing w:val="-3"/>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4C22">
            <w:pPr>
              <w:jc w:val="both"/>
              <w:rPr>
                <w:noProof/>
                <w:spacing w:val="-6"/>
                <w:lang w:val="lv-LV"/>
              </w:rPr>
            </w:pPr>
            <w:r w:rsidRPr="00A65752">
              <w:rPr>
                <w:noProof/>
                <w:spacing w:val="-6"/>
                <w:lang w:val="lv-LV"/>
              </w:rPr>
              <w:lastRenderedPageBreak/>
              <w:t>Direktīvas 2011/62/EK 1.panta 21.punkts c) apakšpunkts</w:t>
            </w:r>
          </w:p>
          <w:p w:rsidR="006C282F" w:rsidRPr="00A65752" w:rsidRDefault="006C282F" w:rsidP="00800B2A">
            <w:pPr>
              <w:jc w:val="center"/>
              <w:rPr>
                <w:noProof/>
                <w:spacing w:val="-6"/>
                <w:lang w:val="lv-LV"/>
              </w:rPr>
            </w:pPr>
            <w:r w:rsidRPr="00A65752">
              <w:rPr>
                <w:rFonts w:eastAsia="Calibri"/>
                <w:noProof/>
                <w:sz w:val="19"/>
                <w:szCs w:val="19"/>
                <w:lang w:val="lv-LV" w:eastAsia="lv-LV"/>
              </w:rPr>
              <w:t>.</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DB219C">
            <w:pPr>
              <w:pStyle w:val="NoSpacing"/>
              <w:jc w:val="both"/>
              <w:rPr>
                <w:rFonts w:ascii="Times New Roman" w:hAnsi="Times New Roman"/>
                <w:bCs/>
                <w:sz w:val="24"/>
                <w:szCs w:val="24"/>
              </w:rPr>
            </w:pPr>
            <w:r w:rsidRPr="00A65752">
              <w:rPr>
                <w:rFonts w:ascii="Times New Roman" w:hAnsi="Times New Roman"/>
                <w:noProof/>
                <w:sz w:val="24"/>
                <w:szCs w:val="24"/>
              </w:rPr>
              <w:t xml:space="preserve">Direktīvas norma tiks pārņemta ar grozījumiem MK noteikumos Nr.416, </w:t>
            </w:r>
            <w:r w:rsidRPr="00A65752">
              <w:rPr>
                <w:rFonts w:ascii="Times New Roman" w:hAnsi="Times New Roman"/>
                <w:noProof/>
                <w:spacing w:val="-6"/>
                <w:sz w:val="24"/>
                <w:szCs w:val="24"/>
              </w:rPr>
              <w:t xml:space="preserve">MK noteikumos Nr.304 </w:t>
            </w:r>
            <w:r w:rsidRPr="00A65752">
              <w:rPr>
                <w:rFonts w:ascii="Times New Roman" w:hAnsi="Times New Roman"/>
                <w:noProof/>
                <w:sz w:val="24"/>
                <w:szCs w:val="24"/>
              </w:rPr>
              <w:t xml:space="preserve">un ar </w:t>
            </w:r>
            <w:r w:rsidR="00854A9E" w:rsidRPr="00A65752">
              <w:rPr>
                <w:rFonts w:ascii="Times New Roman" w:hAnsi="Times New Roman"/>
                <w:sz w:val="24"/>
                <w:szCs w:val="24"/>
              </w:rPr>
              <w:t xml:space="preserve">MK noteikumiem par aktīvo  vielu importēšanas un izplatīšanas </w:t>
            </w:r>
            <w:r w:rsidR="00854A9E">
              <w:rPr>
                <w:rFonts w:ascii="Times New Roman" w:hAnsi="Times New Roman"/>
                <w:sz w:val="24"/>
                <w:szCs w:val="24"/>
              </w:rPr>
              <w:t>kārtību.</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Del="00555086" w:rsidRDefault="006C282F" w:rsidP="0009493C">
            <w:pPr>
              <w:spacing w:after="120"/>
              <w:ind w:left="57"/>
              <w:jc w:val="both"/>
              <w:rPr>
                <w:lang w:val="lv-LV"/>
              </w:rPr>
            </w:pPr>
            <w:r w:rsidRPr="00A65752">
              <w:rPr>
                <w:noProof/>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9493C">
            <w:pPr>
              <w:spacing w:after="120"/>
              <w:rPr>
                <w:spacing w:val="-3"/>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4C22">
            <w:pPr>
              <w:jc w:val="both"/>
              <w:rPr>
                <w:noProof/>
                <w:spacing w:val="-6"/>
                <w:lang w:val="lv-LV"/>
              </w:rPr>
            </w:pPr>
            <w:r w:rsidRPr="00A65752">
              <w:rPr>
                <w:noProof/>
                <w:spacing w:val="-6"/>
                <w:lang w:val="lv-LV"/>
              </w:rPr>
              <w:t>Direktīvas 2011/62/EK 1.panta 21.punkts d) apakšpunkts</w:t>
            </w:r>
          </w:p>
          <w:p w:rsidR="006C282F" w:rsidRPr="00A65752" w:rsidRDefault="006C282F" w:rsidP="0054553E">
            <w:pPr>
              <w:jc w:val="both"/>
              <w:rPr>
                <w:noProof/>
                <w:spacing w:val="-6"/>
                <w:lang w:val="lv-LV"/>
              </w:rPr>
            </w:pP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555086">
            <w:pPr>
              <w:pStyle w:val="NoSpacing"/>
              <w:jc w:val="both"/>
              <w:rPr>
                <w:rFonts w:ascii="Times New Roman" w:hAnsi="Times New Roman"/>
                <w:bCs/>
                <w:sz w:val="24"/>
                <w:szCs w:val="24"/>
              </w:rPr>
            </w:pPr>
            <w:r w:rsidRPr="00A65752">
              <w:rPr>
                <w:rFonts w:ascii="Times New Roman" w:hAnsi="Times New Roman"/>
                <w:noProof/>
                <w:sz w:val="24"/>
                <w:szCs w:val="24"/>
              </w:rPr>
              <w:t>Ministru kabineta 2013.gada 22.janvāra noteikumi Nr.47 ”Farmakovigilances kārtība” (56.punkts)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Del="00555086" w:rsidRDefault="006C282F" w:rsidP="0009493C">
            <w:pPr>
              <w:spacing w:after="120"/>
              <w:ind w:left="57"/>
              <w:jc w:val="both"/>
              <w:rPr>
                <w:lang w:val="lv-LV"/>
              </w:rPr>
            </w:pPr>
            <w:r w:rsidRPr="00A65752">
              <w:rPr>
                <w:noProof/>
                <w:lang w:val="lv-LV"/>
              </w:rPr>
              <w:t>Direktīvas norma pārņemta pilnībā.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9493C">
            <w:pPr>
              <w:spacing w:after="120"/>
              <w:rPr>
                <w:spacing w:val="-3"/>
                <w:lang w:val="lv-LV"/>
              </w:rPr>
            </w:pPr>
            <w:r w:rsidRPr="00A65752">
              <w:rPr>
                <w:noProof/>
                <w:lang w:val="lv-LV"/>
              </w:rPr>
              <w:t>Stingrākas prasības neparedz.</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22.punkts (Direktīvas 2001/83 111a panta 1.paragrāfs un 111b pants).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36F94">
            <w:pPr>
              <w:pStyle w:val="NoSpacing"/>
              <w:jc w:val="both"/>
              <w:rPr>
                <w:rFonts w:ascii="Times New Roman" w:hAnsi="Times New Roman"/>
                <w:sz w:val="24"/>
                <w:szCs w:val="24"/>
              </w:rPr>
            </w:pPr>
            <w:r w:rsidRPr="00A65752">
              <w:rPr>
                <w:rFonts w:ascii="Times New Roman" w:hAnsi="Times New Roman"/>
                <w:sz w:val="24"/>
                <w:szCs w:val="24"/>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36F94">
            <w:pPr>
              <w:jc w:val="both"/>
              <w:rPr>
                <w:lang w:val="lv-LV"/>
              </w:rPr>
            </w:pPr>
            <w:r w:rsidRPr="00A65752">
              <w:rPr>
                <w:spacing w:val="-3"/>
                <w:lang w:val="lv-LV"/>
              </w:rPr>
              <w:t>Nav jāpārņem, jo norma attiecas uz Eiropas Komisijas tiesībām.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36F94">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157BA">
            <w:pPr>
              <w:jc w:val="both"/>
              <w:rPr>
                <w:noProof/>
                <w:lang w:val="lv-LV"/>
              </w:rPr>
            </w:pPr>
            <w:r w:rsidRPr="00A65752">
              <w:rPr>
                <w:noProof/>
                <w:lang w:val="lv-LV"/>
              </w:rPr>
              <w:t xml:space="preserve">Direktīvas 2011/62/EK </w:t>
            </w:r>
            <w:r w:rsidRPr="00A65752">
              <w:rPr>
                <w:lang w:val="lv-LV"/>
              </w:rPr>
              <w:t>1.panta 22.punkts (Direktīvas 2001/83 111a panta 2.paragrāfs).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5D1B9B" w:rsidP="002157BA">
            <w:pPr>
              <w:jc w:val="both"/>
              <w:rPr>
                <w:lang w:val="lv-LV"/>
              </w:rPr>
            </w:pPr>
            <w:r>
              <w:rPr>
                <w:lang w:val="lv-LV"/>
              </w:rPr>
              <w:t>20</w:t>
            </w:r>
            <w:r w:rsidR="006C282F" w:rsidRPr="00A65752">
              <w:rPr>
                <w:lang w:val="lv-LV"/>
              </w:rPr>
              <w:t>., 23. un 24.punkts (MK noteikumu Nr.800 2., 6.</w:t>
            </w:r>
            <w:r w:rsidR="006C282F" w:rsidRPr="00A65752">
              <w:rPr>
                <w:vertAlign w:val="superscript"/>
                <w:lang w:val="lv-LV"/>
              </w:rPr>
              <w:t xml:space="preserve">1 </w:t>
            </w:r>
            <w:r w:rsidR="006C282F" w:rsidRPr="00A65752">
              <w:rPr>
                <w:lang w:val="lv-LV"/>
              </w:rPr>
              <w:t>un 7.pielikums)</w:t>
            </w:r>
          </w:p>
          <w:p w:rsidR="006C282F" w:rsidRPr="00A65752" w:rsidRDefault="006C282F" w:rsidP="002157BA">
            <w:pPr>
              <w:jc w:val="both"/>
              <w:rPr>
                <w:lang w:val="lv-LV"/>
              </w:rPr>
            </w:pPr>
          </w:p>
          <w:p w:rsidR="006C282F" w:rsidRPr="00A65752" w:rsidRDefault="006C282F" w:rsidP="002157BA">
            <w:pPr>
              <w:jc w:val="both"/>
              <w:rPr>
                <w:lang w:val="lv-LV"/>
              </w:rPr>
            </w:pPr>
            <w:r w:rsidRPr="00A65752">
              <w:rPr>
                <w:lang w:val="lv-LV"/>
              </w:rPr>
              <w:t>Pilnībā Direktīvas norma tiks ieviesta ar:</w:t>
            </w:r>
          </w:p>
          <w:p w:rsidR="006C282F" w:rsidRPr="00A65752" w:rsidRDefault="006C282F" w:rsidP="002157BA">
            <w:pPr>
              <w:jc w:val="both"/>
              <w:rPr>
                <w:lang w:val="lv-LV"/>
              </w:rPr>
            </w:pPr>
            <w:r w:rsidRPr="00A65752">
              <w:rPr>
                <w:lang w:val="lv-LV"/>
              </w:rPr>
              <w:t xml:space="preserve">1) grozījumiem </w:t>
            </w:r>
            <w:r w:rsidRPr="00A65752">
              <w:rPr>
                <w:spacing w:val="-6"/>
                <w:lang w:val="lv-LV"/>
              </w:rPr>
              <w:t>MK noteikumos Nr.304</w:t>
            </w:r>
            <w:r w:rsidRPr="00A65752">
              <w:rPr>
                <w:lang w:val="lv-LV"/>
              </w:rPr>
              <w:t>, precizējot tajā kontroles ziņojuma formu un labas ražošanas prakses sertifikāta formu atbilstoši Eiropas Savienības formātam;</w:t>
            </w:r>
          </w:p>
          <w:p w:rsidR="006C282F" w:rsidRPr="00A65752" w:rsidRDefault="006C282F" w:rsidP="002157BA">
            <w:pPr>
              <w:jc w:val="both"/>
              <w:rPr>
                <w:lang w:val="lv-LV"/>
              </w:rPr>
            </w:pPr>
            <w:r w:rsidRPr="00A65752">
              <w:rPr>
                <w:lang w:val="lv-LV"/>
              </w:rPr>
              <w:t xml:space="preserve">2) ar grozījumiem </w:t>
            </w:r>
            <w:r w:rsidRPr="00A65752">
              <w:rPr>
                <w:bCs/>
                <w:lang w:val="lv-LV"/>
              </w:rPr>
              <w:t xml:space="preserve">MK  </w:t>
            </w:r>
            <w:r w:rsidRPr="00A65752">
              <w:rPr>
                <w:lang w:val="lv-LV"/>
              </w:rPr>
              <w:t>noteikumos Nr.416, iestrādājot tajos zāļu labas izplatīšanas prakse sertifikāta formu atbilstoši Eiropas Savienības formātam;</w:t>
            </w:r>
          </w:p>
          <w:p w:rsidR="006C282F" w:rsidRPr="00A65752" w:rsidRDefault="006C282F" w:rsidP="00DB219C">
            <w:pPr>
              <w:jc w:val="both"/>
              <w:rPr>
                <w:lang w:val="lv-LV"/>
              </w:rPr>
            </w:pPr>
            <w:r w:rsidRPr="00A65752">
              <w:rPr>
                <w:lang w:val="lv-LV"/>
              </w:rPr>
              <w:t>3) MK noteikumiem par aktīvo  vielu importēšanas un izplatīšanas kārtību</w:t>
            </w:r>
            <w:r w:rsidR="00DB219C">
              <w:rPr>
                <w:lang w:val="lv-LV"/>
              </w:rPr>
              <w:t>.</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157BA">
            <w:pPr>
              <w:jc w:val="both"/>
              <w:rPr>
                <w:lang w:val="lv-LV"/>
              </w:rPr>
            </w:pPr>
            <w:r w:rsidRPr="00A65752">
              <w:rPr>
                <w:lang w:val="lv-LV"/>
              </w:rPr>
              <w:t>Direktīvas norma pārņemta daļēji.</w:t>
            </w:r>
          </w:p>
          <w:p w:rsidR="006C282F" w:rsidRPr="00A65752" w:rsidRDefault="006C282F" w:rsidP="002157BA">
            <w:pPr>
              <w:jc w:val="both"/>
              <w:rPr>
                <w:lang w:val="lv-LV"/>
              </w:rPr>
            </w:pPr>
          </w:p>
          <w:p w:rsidR="006C282F" w:rsidRPr="00A65752" w:rsidRDefault="006C282F" w:rsidP="002157BA">
            <w:pPr>
              <w:jc w:val="both"/>
              <w:rPr>
                <w:lang w:val="lv-LV"/>
              </w:rPr>
            </w:pPr>
            <w:r w:rsidRPr="00A65752">
              <w:rPr>
                <w:lang w:val="lv-LV"/>
              </w:rPr>
              <w:t>Eiropas Zāļu aģentūras pienākums kopā ar dalībvalstīm izstrādāt:</w:t>
            </w:r>
          </w:p>
          <w:p w:rsidR="006C282F" w:rsidRPr="00A65752" w:rsidRDefault="006C282F" w:rsidP="002157BA">
            <w:pPr>
              <w:rPr>
                <w:lang w:val="lv-LV"/>
              </w:rPr>
            </w:pPr>
            <w:r w:rsidRPr="00A65752">
              <w:rPr>
                <w:lang w:val="lv-LV"/>
              </w:rPr>
              <w:t>- jaunu zāļu ražošanas/importēšanas licences formu - jaunu zāļu vairumtirdzniecības licences formu</w:t>
            </w:r>
          </w:p>
          <w:p w:rsidR="006C282F" w:rsidRPr="00A65752" w:rsidRDefault="006C282F" w:rsidP="002157BA">
            <w:pPr>
              <w:rPr>
                <w:lang w:val="lv-LV"/>
              </w:rPr>
            </w:pPr>
            <w:r w:rsidRPr="00A65752">
              <w:rPr>
                <w:lang w:val="lv-LV"/>
              </w:rPr>
              <w:t>- jaunu kontroles ziņojuma formu</w:t>
            </w:r>
          </w:p>
          <w:p w:rsidR="006C282F" w:rsidRPr="00A65752" w:rsidRDefault="006C282F" w:rsidP="002157BA">
            <w:pPr>
              <w:rPr>
                <w:lang w:val="lv-LV"/>
              </w:rPr>
            </w:pPr>
            <w:r w:rsidRPr="00A65752">
              <w:rPr>
                <w:lang w:val="lv-LV"/>
              </w:rPr>
              <w:t>- zāļu un aktīvo vielu labas ražošanas prakses sertifikāta formu</w:t>
            </w:r>
          </w:p>
          <w:p w:rsidR="006C282F" w:rsidRPr="00A65752" w:rsidRDefault="006C282F" w:rsidP="002157BA">
            <w:pPr>
              <w:jc w:val="both"/>
              <w:rPr>
                <w:lang w:val="lv-LV"/>
              </w:rPr>
            </w:pPr>
            <w:r w:rsidRPr="00A65752">
              <w:rPr>
                <w:lang w:val="lv-LV"/>
              </w:rPr>
              <w:t>- zāļu labas izplatīšanas prakse formu, kura ir iekļauta Eiropas Kopienas apkopojumā par inspicēšanas un informācijas apmaiņas procedūrām.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157BA">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23.punkts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A5583">
            <w:pPr>
              <w:rPr>
                <w:lang w:val="lv-LV"/>
              </w:rPr>
            </w:pPr>
            <w:r w:rsidRPr="00A65752">
              <w:rPr>
                <w:lang w:val="lv-LV"/>
              </w:rPr>
              <w:t xml:space="preserve">Direktīvas norma tik pārņemta ar grozījumiem </w:t>
            </w:r>
            <w:r w:rsidRPr="00A65752">
              <w:rPr>
                <w:bCs/>
                <w:lang w:val="lv-LV"/>
              </w:rPr>
              <w:t xml:space="preserve">MK </w:t>
            </w:r>
            <w:r w:rsidRPr="00A65752">
              <w:rPr>
                <w:rFonts w:eastAsia="Calibri"/>
                <w:lang w:val="lv-LV"/>
              </w:rPr>
              <w:t>noteikumos Nr.376 „Zāļu reģistrēšanas kārtība”.</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A07CF">
            <w:pPr>
              <w:spacing w:after="120"/>
              <w:ind w:left="57"/>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A07CF">
            <w:pPr>
              <w:spacing w:after="120"/>
              <w:rPr>
                <w:spacing w:val="-3"/>
                <w:lang w:val="lv-LV"/>
              </w:rPr>
            </w:pPr>
            <w:r w:rsidRPr="00A65752">
              <w:rPr>
                <w:spacing w:val="-3"/>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1.panta 24.punkts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A5583">
            <w:pPr>
              <w:pStyle w:val="NoSpacing"/>
              <w:jc w:val="both"/>
              <w:rPr>
                <w:rFonts w:ascii="Times New Roman" w:hAnsi="Times New Roman"/>
                <w:sz w:val="24"/>
                <w:szCs w:val="24"/>
              </w:rPr>
            </w:pPr>
            <w:r w:rsidRPr="00A65752">
              <w:rPr>
                <w:rFonts w:ascii="Times New Roman" w:hAnsi="Times New Roman"/>
                <w:sz w:val="24"/>
                <w:szCs w:val="24"/>
              </w:rPr>
              <w:t xml:space="preserve">Direktīvas norma ir ieviesta ar </w:t>
            </w:r>
          </w:p>
          <w:p w:rsidR="006C282F" w:rsidRPr="00A65752" w:rsidRDefault="006C282F" w:rsidP="00EA5583">
            <w:pPr>
              <w:jc w:val="both"/>
              <w:rPr>
                <w:lang w:val="lv-LV"/>
              </w:rPr>
            </w:pPr>
            <w:r w:rsidRPr="00A65752">
              <w:rPr>
                <w:bCs/>
                <w:lang w:val="lv-LV"/>
              </w:rPr>
              <w:t xml:space="preserve">MK </w:t>
            </w:r>
            <w:r w:rsidRPr="00A65752">
              <w:rPr>
                <w:lang w:val="lv-LV"/>
              </w:rPr>
              <w:t>2007.gada 26.jūnija noteikumiem Nr.416 „Zāļu izplatīšanas un kvalitātes kontroles kārtība”</w:t>
            </w:r>
            <w:r w:rsidRPr="00A65752" w:rsidDel="00BE4774">
              <w:rPr>
                <w:bCs/>
                <w:lang w:val="lv-LV"/>
              </w:rPr>
              <w:t xml:space="preserve"> </w:t>
            </w:r>
            <w:r w:rsidRPr="00A65752">
              <w:rPr>
                <w:bCs/>
                <w:lang w:val="lv-LV"/>
              </w:rPr>
              <w:t>(</w:t>
            </w:r>
            <w:bookmarkStart w:id="0" w:name="243060"/>
            <w:r w:rsidRPr="00A65752">
              <w:rPr>
                <w:lang w:val="lv-LV"/>
              </w:rPr>
              <w:t>XI. Rīcība ārkārtas situācijās un zāļu atsaukšanas kārtība</w:t>
            </w:r>
            <w:bookmarkStart w:id="1" w:name="243074"/>
            <w:bookmarkEnd w:id="0"/>
            <w:r w:rsidRPr="00A65752">
              <w:rPr>
                <w:lang w:val="lv-LV"/>
              </w:rPr>
              <w:t>. XII. Kompetentās iestādes pienākumi un procedūra ātrai reaģēšanai</w:t>
            </w:r>
            <w:bookmarkEnd w:id="1"/>
            <w:r w:rsidRPr="00A65752">
              <w:rPr>
                <w:lang w:val="lv-LV"/>
              </w:rPr>
              <w:t>).</w:t>
            </w:r>
          </w:p>
          <w:p w:rsidR="006C282F" w:rsidRPr="00A65752" w:rsidRDefault="006C282F" w:rsidP="00EA5583">
            <w:pPr>
              <w:jc w:val="both"/>
              <w:rPr>
                <w:lang w:val="lv-LV"/>
              </w:rPr>
            </w:pPr>
          </w:p>
          <w:p w:rsidR="006C282F" w:rsidRPr="00A65752" w:rsidRDefault="006C282F" w:rsidP="00EA5583">
            <w:pPr>
              <w:jc w:val="both"/>
              <w:rPr>
                <w:lang w:val="lv-LV"/>
              </w:rPr>
            </w:pPr>
            <w:r w:rsidRPr="00A65752">
              <w:rPr>
                <w:lang w:val="lv-LV"/>
              </w:rPr>
              <w:t>Direktīvas normas tiks ieviestas pilnībā ar grozījumiem iepriekš minētajos noteikumos.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614E9">
            <w:pPr>
              <w:jc w:val="both"/>
              <w:rPr>
                <w:lang w:val="lv-LV"/>
              </w:rPr>
            </w:pPr>
            <w:r w:rsidRPr="00A65752">
              <w:rPr>
                <w:lang w:val="lv-LV"/>
              </w:rPr>
              <w:t>Direktīvas norma ieviesta daļēji.</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6B404C">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1.panta 25.punkts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B6B56">
            <w:pPr>
              <w:pStyle w:val="NoSpacing"/>
              <w:jc w:val="both"/>
              <w:rPr>
                <w:rFonts w:ascii="Times New Roman" w:hAnsi="Times New Roman"/>
                <w:sz w:val="24"/>
                <w:szCs w:val="24"/>
              </w:rPr>
            </w:pPr>
            <w:r w:rsidRPr="00A65752">
              <w:rPr>
                <w:rFonts w:ascii="Times New Roman" w:hAnsi="Times New Roman"/>
                <w:sz w:val="24"/>
                <w:szCs w:val="24"/>
              </w:rPr>
              <w:t>Direktīvas norma ir ieviesta daļēji ar:</w:t>
            </w:r>
          </w:p>
          <w:p w:rsidR="006C282F" w:rsidRPr="00A65752" w:rsidRDefault="006C282F" w:rsidP="000B6B56">
            <w:pPr>
              <w:pStyle w:val="NoSpacing"/>
              <w:jc w:val="both"/>
              <w:rPr>
                <w:rFonts w:ascii="Times New Roman" w:hAnsi="Times New Roman"/>
                <w:sz w:val="24"/>
                <w:szCs w:val="24"/>
              </w:rPr>
            </w:pPr>
            <w:r w:rsidRPr="00A65752">
              <w:rPr>
                <w:rFonts w:ascii="Times New Roman" w:hAnsi="Times New Roman"/>
                <w:sz w:val="24"/>
                <w:szCs w:val="24"/>
              </w:rPr>
              <w:t>1)</w:t>
            </w:r>
            <w:r w:rsidRPr="00A65752">
              <w:rPr>
                <w:rFonts w:ascii="Times New Roman" w:hAnsi="Times New Roman"/>
                <w:bCs/>
                <w:sz w:val="24"/>
                <w:szCs w:val="24"/>
              </w:rPr>
              <w:t>Administratīvo pārkāpumu kodeksa 46.</w:t>
            </w:r>
            <w:r w:rsidRPr="00A65752">
              <w:rPr>
                <w:rFonts w:ascii="Times New Roman" w:hAnsi="Times New Roman"/>
                <w:bCs/>
                <w:sz w:val="24"/>
                <w:szCs w:val="24"/>
                <w:vertAlign w:val="superscript"/>
              </w:rPr>
              <w:t xml:space="preserve">1 </w:t>
            </w:r>
            <w:r w:rsidRPr="00A65752">
              <w:rPr>
                <w:rFonts w:ascii="Times New Roman" w:hAnsi="Times New Roman"/>
                <w:bCs/>
                <w:sz w:val="24"/>
                <w:szCs w:val="24"/>
              </w:rPr>
              <w:t xml:space="preserve">pantu attiecībā uz </w:t>
            </w:r>
            <w:r w:rsidRPr="00A65752">
              <w:rPr>
                <w:rFonts w:ascii="Times New Roman" w:hAnsi="Times New Roman"/>
                <w:sz w:val="24"/>
                <w:szCs w:val="24"/>
              </w:rPr>
              <w:t>zāļu ražošanas, kontroles un izplatīšanas noteikumu pārkāpšanu, par Latvijas Republikā nereģistrētu vai neatļautu zāļu izplatīšanu, par tādu zāļu izplatīšanu, kurām beidzies derīguma termiņš vai kuru kvalitāte neatbilst apstiprinātās tehnisko normatīvu dokumentācijas prasībām;</w:t>
            </w:r>
          </w:p>
          <w:p w:rsidR="006C282F" w:rsidRPr="00A65752" w:rsidRDefault="006C282F" w:rsidP="000B6B56">
            <w:pPr>
              <w:pStyle w:val="NoSpacing"/>
              <w:jc w:val="both"/>
              <w:rPr>
                <w:rFonts w:ascii="Times New Roman" w:eastAsia="Times New Roman" w:hAnsi="Times New Roman"/>
                <w:sz w:val="24"/>
                <w:szCs w:val="24"/>
                <w:lang w:eastAsia="lv-LV"/>
              </w:rPr>
            </w:pPr>
            <w:r w:rsidRPr="00A65752">
              <w:rPr>
                <w:rFonts w:ascii="Times New Roman" w:eastAsia="Times New Roman" w:hAnsi="Times New Roman"/>
                <w:sz w:val="24"/>
                <w:szCs w:val="24"/>
                <w:lang w:eastAsia="lv-LV"/>
              </w:rPr>
              <w:t>2) MK noteikumiem Nr.436 (53.punkts).</w:t>
            </w:r>
          </w:p>
          <w:p w:rsidR="006C282F" w:rsidRPr="00A65752" w:rsidRDefault="006C282F" w:rsidP="000B6B56">
            <w:pPr>
              <w:pStyle w:val="NoSpacing"/>
              <w:jc w:val="both"/>
              <w:rPr>
                <w:rFonts w:ascii="Times New Roman" w:hAnsi="Times New Roman"/>
                <w:sz w:val="24"/>
                <w:szCs w:val="24"/>
              </w:rPr>
            </w:pPr>
          </w:p>
          <w:p w:rsidR="006C282F" w:rsidRPr="00A65752" w:rsidRDefault="006C282F" w:rsidP="000B6B56">
            <w:pPr>
              <w:pStyle w:val="NoSpacing"/>
              <w:jc w:val="both"/>
              <w:rPr>
                <w:rFonts w:ascii="Times New Roman" w:hAnsi="Times New Roman"/>
                <w:bCs/>
                <w:sz w:val="24"/>
                <w:szCs w:val="24"/>
              </w:rPr>
            </w:pPr>
            <w:r w:rsidRPr="00A65752">
              <w:rPr>
                <w:rFonts w:ascii="Times New Roman" w:hAnsi="Times New Roman"/>
                <w:sz w:val="24"/>
                <w:szCs w:val="24"/>
              </w:rPr>
              <w:t xml:space="preserve">Direktīvas normas tiks pārņemtas ar grozījumiem </w:t>
            </w:r>
            <w:r w:rsidRPr="00A65752">
              <w:rPr>
                <w:rFonts w:ascii="Times New Roman" w:hAnsi="Times New Roman"/>
                <w:bCs/>
                <w:sz w:val="24"/>
                <w:szCs w:val="24"/>
              </w:rPr>
              <w:t>Administratīvo pārkāpumu kodeksā saistībā ar neatbilstību noteikumiem par aktīvo vielu ražošanu, izplatīšanu, importu un eksportu un palīgvielu izmantošanu.</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375634">
            <w:pPr>
              <w:jc w:val="both"/>
              <w:rPr>
                <w:lang w:val="lv-LV"/>
              </w:rPr>
            </w:pPr>
            <w:r w:rsidRPr="00A65752">
              <w:rPr>
                <w:lang w:val="lv-LV"/>
              </w:rPr>
              <w:t>Direktīvas norma pārņemta daļēji.</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Direktīvas 2011/62/EK 1.panta 26.punkts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743F60">
            <w:pPr>
              <w:pStyle w:val="NoSpacing"/>
              <w:rPr>
                <w:rFonts w:ascii="Times New Roman" w:hAnsi="Times New Roman"/>
                <w:sz w:val="24"/>
                <w:szCs w:val="24"/>
              </w:rPr>
            </w:pPr>
            <w:r w:rsidRPr="00A65752">
              <w:rPr>
                <w:rFonts w:ascii="Times New Roman" w:hAnsi="Times New Roman"/>
                <w:noProof/>
                <w:sz w:val="24"/>
                <w:szCs w:val="24"/>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375634">
            <w:pPr>
              <w:jc w:val="both"/>
              <w:rPr>
                <w:lang w:val="lv-LV"/>
              </w:rPr>
            </w:pPr>
            <w:r w:rsidRPr="00A65752">
              <w:rPr>
                <w:noProof/>
                <w:lang w:val="lv-LV"/>
              </w:rPr>
              <w:t>Nav jāievieš, jo norma attiecas uz Eiropas Komisijas pilnvarām.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noProof/>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Direktīvas 2011/62/EK 1.panta 27.punkts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743F60">
            <w:pPr>
              <w:pStyle w:val="NoSpacing"/>
              <w:rPr>
                <w:rFonts w:ascii="Times New Roman" w:hAnsi="Times New Roman"/>
                <w:sz w:val="24"/>
                <w:szCs w:val="24"/>
              </w:rPr>
            </w:pPr>
            <w:r w:rsidRPr="00A65752">
              <w:rPr>
                <w:rFonts w:ascii="Times New Roman" w:hAnsi="Times New Roman"/>
                <w:noProof/>
                <w:sz w:val="24"/>
                <w:szCs w:val="24"/>
              </w:rPr>
              <w:t>Nav</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375634">
            <w:pPr>
              <w:jc w:val="both"/>
              <w:rPr>
                <w:lang w:val="lv-LV"/>
              </w:rPr>
            </w:pPr>
            <w:r w:rsidRPr="00A65752">
              <w:rPr>
                <w:noProof/>
                <w:lang w:val="lv-LV"/>
              </w:rPr>
              <w:t>Nav jāievieš, jo norma attiecas uz Eiropas Parlamenta un Padomes pilnvarām.</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noProof/>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2.panta 2.punkts a)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103785">
            <w:pPr>
              <w:pStyle w:val="NoSpacing"/>
              <w:jc w:val="both"/>
              <w:rPr>
                <w:rFonts w:ascii="Times New Roman" w:hAnsi="Times New Roman"/>
                <w:sz w:val="24"/>
                <w:szCs w:val="24"/>
              </w:rPr>
            </w:pPr>
            <w:r w:rsidRPr="00A65752">
              <w:rPr>
                <w:rFonts w:ascii="Times New Roman" w:hAnsi="Times New Roman"/>
                <w:sz w:val="24"/>
                <w:szCs w:val="24"/>
              </w:rPr>
              <w:t xml:space="preserve">Direktīvas norma tiks pārņemta ar MK noteikumiem par aktīvo  vielu importēšanas un izplatīšanas kārtību un ar </w:t>
            </w:r>
            <w:r w:rsidRPr="00A65752">
              <w:rPr>
                <w:rFonts w:ascii="Times New Roman" w:hAnsi="Times New Roman"/>
                <w:spacing w:val="-6"/>
                <w:sz w:val="24"/>
                <w:szCs w:val="24"/>
              </w:rPr>
              <w:t xml:space="preserve">grozījumiem MK noteikumos Nr.304.                                                </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438E">
            <w:pPr>
              <w:jc w:val="both"/>
              <w:rPr>
                <w:lang w:val="lv-LV"/>
              </w:rPr>
            </w:pPr>
            <w:r w:rsidRPr="00A65752">
              <w:rPr>
                <w:lang w:val="lv-LV"/>
              </w:rPr>
              <w:t xml:space="preserve">Nav </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28438E">
            <w:pPr>
              <w:jc w:val="both"/>
              <w:rPr>
                <w:lang w:val="lv-LV"/>
              </w:rPr>
            </w:pPr>
            <w:r w:rsidRPr="00A65752">
              <w:rPr>
                <w:lang w:val="lv-LV"/>
              </w:rPr>
              <w:t xml:space="preserve"> 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lastRenderedPageBreak/>
              <w:t xml:space="preserve">Direktīvas 2011/62/EK </w:t>
            </w:r>
            <w:r w:rsidRPr="00A65752">
              <w:rPr>
                <w:lang w:val="lv-LV"/>
              </w:rPr>
              <w:t>2.panta 2.punkts b)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B71B5">
            <w:pPr>
              <w:pStyle w:val="NoSpacing"/>
              <w:rPr>
                <w:rFonts w:ascii="Times New Roman" w:hAnsi="Times New Roman"/>
                <w:sz w:val="24"/>
                <w:szCs w:val="24"/>
              </w:rPr>
            </w:pPr>
            <w:r w:rsidRPr="00A65752">
              <w:rPr>
                <w:rFonts w:ascii="Times New Roman" w:hAnsi="Times New Roman"/>
                <w:sz w:val="24"/>
                <w:szCs w:val="24"/>
              </w:rPr>
              <w:t>Direktīvas norma tiks pārņemta pēc Eiropas Komisijas deleģētā akta par drošuma pazīmēm pieņemšanas, kuru Eiropas Komisija paredz pieņemt regulas formā 2014.gadā.</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jc w:val="both"/>
              <w:rPr>
                <w:noProof/>
                <w:lang w:val="lv-LV"/>
              </w:rPr>
            </w:pPr>
            <w:r w:rsidRPr="00A65752">
              <w:rPr>
                <w:noProof/>
                <w:lang w:val="lv-LV"/>
              </w:rPr>
              <w:t xml:space="preserve">Direktīvas 2011/62/EK </w:t>
            </w:r>
            <w:r w:rsidRPr="00A65752">
              <w:rPr>
                <w:lang w:val="lv-LV"/>
              </w:rPr>
              <w:t>2.panta 2.punkts c) apakšpunkts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B6B56">
            <w:pPr>
              <w:pStyle w:val="NoSpacing"/>
              <w:jc w:val="both"/>
              <w:rPr>
                <w:rFonts w:ascii="Times New Roman" w:hAnsi="Times New Roman"/>
                <w:sz w:val="24"/>
                <w:szCs w:val="24"/>
              </w:rPr>
            </w:pPr>
            <w:r w:rsidRPr="00A65752">
              <w:rPr>
                <w:rFonts w:ascii="Times New Roman" w:hAnsi="Times New Roman"/>
                <w:sz w:val="24"/>
                <w:szCs w:val="24"/>
              </w:rPr>
              <w:t>Direktīvas norma tiks pārņemta pēc Eiropas Komisijas deleģētā akta pieņemšanas, kuru Eiropas Komisija paredz pieņemt regulas formā 2013.gadā.</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6CE">
            <w:pPr>
              <w:jc w:val="both"/>
              <w:rPr>
                <w:lang w:val="lv-LV"/>
              </w:rPr>
            </w:pPr>
            <w:r w:rsidRPr="00A65752">
              <w:rPr>
                <w:lang w:val="lv-LV"/>
              </w:rPr>
              <w:t>Nav</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6CE">
            <w:pPr>
              <w:jc w:val="both"/>
              <w:rPr>
                <w:lang w:val="lv-LV"/>
              </w:rPr>
            </w:pPr>
            <w:r w:rsidRPr="00A65752">
              <w:rPr>
                <w:lang w:val="lv-LV"/>
              </w:rPr>
              <w:t>Nav</w:t>
            </w:r>
          </w:p>
        </w:tc>
      </w:tr>
      <w:tr w:rsidR="006C282F" w:rsidRPr="00A65752" w:rsidTr="00C26215">
        <w:tblPrEx>
          <w:tblCellMar>
            <w:left w:w="0" w:type="dxa"/>
            <w:right w:w="0" w:type="dxa"/>
          </w:tblCellMar>
        </w:tblPrEx>
        <w:trPr>
          <w:gridAfter w:val="3"/>
          <w:wAfter w:w="2677" w:type="dxa"/>
          <w:cantSplit/>
          <w:trHeight w:val="3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064F20">
            <w:pPr>
              <w:jc w:val="both"/>
              <w:rPr>
                <w:noProof/>
                <w:lang w:val="lv-LV"/>
              </w:rPr>
            </w:pPr>
            <w:r w:rsidRPr="00A65752">
              <w:rPr>
                <w:noProof/>
                <w:lang w:val="lv-LV"/>
              </w:rPr>
              <w:t xml:space="preserve">Direktīvas 2011/62/EK </w:t>
            </w:r>
            <w:r w:rsidRPr="00A65752">
              <w:rPr>
                <w:lang w:val="lv-LV"/>
              </w:rPr>
              <w:t>2.panta 3.punkts</w:t>
            </w:r>
          </w:p>
        </w:tc>
        <w:tc>
          <w:tcPr>
            <w:tcW w:w="297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CB71B5">
            <w:pPr>
              <w:pStyle w:val="NoSpacing"/>
              <w:jc w:val="both"/>
              <w:rPr>
                <w:rFonts w:ascii="Times New Roman" w:hAnsi="Times New Roman"/>
                <w:sz w:val="24"/>
                <w:szCs w:val="24"/>
              </w:rPr>
            </w:pPr>
            <w:r w:rsidRPr="00A65752">
              <w:rPr>
                <w:rFonts w:ascii="Times New Roman" w:hAnsi="Times New Roman"/>
                <w:sz w:val="24"/>
                <w:szCs w:val="24"/>
              </w:rPr>
              <w:t>9.punkts</w:t>
            </w:r>
          </w:p>
        </w:tc>
        <w:tc>
          <w:tcPr>
            <w:tcW w:w="2693"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6CE">
            <w:pPr>
              <w:jc w:val="both"/>
              <w:rPr>
                <w:lang w:val="lv-LV"/>
              </w:rPr>
            </w:pPr>
            <w:r w:rsidRPr="00A65752">
              <w:rPr>
                <w:lang w:val="lv-LV"/>
              </w:rPr>
              <w:t>Direktīvas norma pilnībā ieviesta.</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6CE">
            <w:pPr>
              <w:jc w:val="both"/>
              <w:rPr>
                <w:lang w:val="lv-LV"/>
              </w:rPr>
            </w:pPr>
            <w:r w:rsidRPr="00A65752">
              <w:rPr>
                <w:lang w:val="lv-LV"/>
              </w:rPr>
              <w:t>Stingrākas prasības neparedz.</w:t>
            </w:r>
          </w:p>
        </w:tc>
      </w:tr>
      <w:tr w:rsidR="006C282F" w:rsidRPr="00A65752" w:rsidTr="00C26215">
        <w:tblPrEx>
          <w:tblCellMar>
            <w:left w:w="0" w:type="dxa"/>
            <w:right w:w="0" w:type="dxa"/>
          </w:tblCellMar>
        </w:tblPrEx>
        <w:trPr>
          <w:gridAfter w:val="3"/>
          <w:wAfter w:w="2677" w:type="dxa"/>
          <w:cantSplit/>
          <w:trHeight w:val="281"/>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ind w:left="57"/>
              <w:rPr>
                <w:spacing w:val="-6"/>
                <w:lang w:val="lv-LV"/>
              </w:rPr>
            </w:pPr>
            <w:r w:rsidRPr="00A65752">
              <w:rPr>
                <w:spacing w:val="-6"/>
                <w:lang w:val="lv-LV"/>
              </w:rPr>
              <w:t>Kā ir izmantota ES tiesību aktā paredzētā rīcības brīvība dalībvalstij pārņemt vai ieviest noteiktas ES tiesību akta normas?</w:t>
            </w:r>
          </w:p>
          <w:p w:rsidR="006C282F" w:rsidRPr="00A65752" w:rsidRDefault="006C282F" w:rsidP="004134D0">
            <w:pPr>
              <w:ind w:left="57"/>
              <w:rPr>
                <w:spacing w:val="-3"/>
                <w:lang w:val="lv-LV"/>
              </w:rPr>
            </w:pPr>
            <w:r w:rsidRPr="00A65752">
              <w:rPr>
                <w:spacing w:val="-6"/>
                <w:lang w:val="lv-LV"/>
              </w:rPr>
              <w:t>Kādēļ?</w:t>
            </w:r>
          </w:p>
        </w:tc>
        <w:tc>
          <w:tcPr>
            <w:tcW w:w="7372"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E948A5">
            <w:pPr>
              <w:ind w:left="57"/>
              <w:rPr>
                <w:lang w:val="lv-LV"/>
              </w:rPr>
            </w:pPr>
            <w:r w:rsidRPr="00A65752">
              <w:rPr>
                <w:lang w:val="lv-LV"/>
              </w:rPr>
              <w:t>Nav attiecināms.</w:t>
            </w:r>
          </w:p>
        </w:tc>
      </w:tr>
      <w:tr w:rsidR="006C282F" w:rsidRPr="00A65752" w:rsidTr="00C26215">
        <w:tblPrEx>
          <w:tblCellMar>
            <w:left w:w="0" w:type="dxa"/>
            <w:right w:w="0" w:type="dxa"/>
          </w:tblCellMar>
        </w:tblPrEx>
        <w:trPr>
          <w:gridAfter w:val="3"/>
          <w:wAfter w:w="2677" w:type="dxa"/>
          <w:cantSplit/>
          <w:trHeight w:val="9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ind w:left="57"/>
              <w:rPr>
                <w:spacing w:val="-6"/>
                <w:lang w:val="lv-LV"/>
              </w:rPr>
            </w:pPr>
            <w:r w:rsidRPr="00A65752">
              <w:rPr>
                <w:spacing w:val="-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72"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ind w:left="57"/>
              <w:rPr>
                <w:lang w:val="lv-LV"/>
              </w:rPr>
            </w:pPr>
            <w:r w:rsidRPr="00A65752">
              <w:rPr>
                <w:lang w:val="lv-LV"/>
              </w:rPr>
              <w:t>Nav attiecināms.</w:t>
            </w:r>
          </w:p>
        </w:tc>
      </w:tr>
      <w:tr w:rsidR="006C282F" w:rsidRPr="00A65752" w:rsidTr="00C26215">
        <w:tblPrEx>
          <w:tblCellMar>
            <w:left w:w="0" w:type="dxa"/>
            <w:right w:w="0" w:type="dxa"/>
          </w:tblCellMar>
        </w:tblPrEx>
        <w:trPr>
          <w:gridAfter w:val="3"/>
          <w:wAfter w:w="2677" w:type="dxa"/>
          <w:cantSplit/>
          <w:trHeight w:val="413"/>
        </w:trPr>
        <w:tc>
          <w:tcPr>
            <w:tcW w:w="198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4134D0">
            <w:pPr>
              <w:ind w:left="57"/>
              <w:rPr>
                <w:lang w:val="lv-LV"/>
              </w:rPr>
            </w:pPr>
            <w:r w:rsidRPr="00A65752">
              <w:rPr>
                <w:lang w:val="lv-LV"/>
              </w:rPr>
              <w:t>Cita informācija</w:t>
            </w:r>
          </w:p>
        </w:tc>
        <w:tc>
          <w:tcPr>
            <w:tcW w:w="7372"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C282F" w:rsidRPr="00A65752" w:rsidRDefault="006C282F" w:rsidP="006A5F30">
            <w:pPr>
              <w:shd w:val="clear" w:color="auto" w:fill="F5F5F5"/>
              <w:jc w:val="both"/>
              <w:textAlignment w:val="top"/>
              <w:rPr>
                <w:lang w:val="lv-LV"/>
              </w:rPr>
            </w:pPr>
            <w:r w:rsidRPr="00A65752">
              <w:rPr>
                <w:lang w:val="lv-LV"/>
              </w:rPr>
              <w:t>Nav</w:t>
            </w:r>
          </w:p>
        </w:tc>
      </w:tr>
      <w:tr w:rsidR="006C282F" w:rsidRPr="00A65752" w:rsidTr="00A176BE">
        <w:tblPrEx>
          <w:tblCellMar>
            <w:left w:w="0" w:type="dxa"/>
            <w:right w:w="0" w:type="dxa"/>
          </w:tblCellMar>
        </w:tblPrEx>
        <w:trPr>
          <w:trHeight w:val="91"/>
        </w:trPr>
        <w:tc>
          <w:tcPr>
            <w:tcW w:w="164" w:type="dxa"/>
            <w:gridSpan w:val="2"/>
            <w:tcBorders>
              <w:top w:val="nil"/>
              <w:left w:val="nil"/>
              <w:bottom w:val="nil"/>
              <w:right w:val="nil"/>
            </w:tcBorders>
            <w:vAlign w:val="center"/>
            <w:hideMark/>
          </w:tcPr>
          <w:p w:rsidR="006C282F" w:rsidRPr="00A65752" w:rsidRDefault="006C282F" w:rsidP="004134D0">
            <w:pPr>
              <w:rPr>
                <w:lang w:val="lv-LV" w:eastAsia="lv-LV"/>
              </w:rPr>
            </w:pPr>
          </w:p>
        </w:tc>
        <w:tc>
          <w:tcPr>
            <w:tcW w:w="557" w:type="dxa"/>
            <w:gridSpan w:val="3"/>
            <w:tcBorders>
              <w:top w:val="nil"/>
              <w:left w:val="nil"/>
              <w:bottom w:val="nil"/>
              <w:right w:val="nil"/>
            </w:tcBorders>
            <w:vAlign w:val="center"/>
            <w:hideMark/>
          </w:tcPr>
          <w:p w:rsidR="006C282F" w:rsidRPr="00A65752" w:rsidRDefault="006C282F" w:rsidP="004134D0">
            <w:pPr>
              <w:rPr>
                <w:lang w:val="lv-LV" w:eastAsia="lv-LV"/>
              </w:rPr>
            </w:pPr>
          </w:p>
        </w:tc>
        <w:tc>
          <w:tcPr>
            <w:tcW w:w="1263" w:type="dxa"/>
            <w:tcBorders>
              <w:top w:val="nil"/>
              <w:left w:val="nil"/>
              <w:bottom w:val="nil"/>
              <w:right w:val="nil"/>
            </w:tcBorders>
            <w:vAlign w:val="center"/>
            <w:hideMark/>
          </w:tcPr>
          <w:p w:rsidR="006C282F" w:rsidRPr="00A65752" w:rsidRDefault="006C282F" w:rsidP="004134D0">
            <w:pPr>
              <w:rPr>
                <w:lang w:val="lv-LV" w:eastAsia="lv-LV"/>
              </w:rPr>
            </w:pPr>
          </w:p>
        </w:tc>
        <w:tc>
          <w:tcPr>
            <w:tcW w:w="2169" w:type="dxa"/>
            <w:gridSpan w:val="2"/>
            <w:tcBorders>
              <w:top w:val="nil"/>
              <w:left w:val="nil"/>
              <w:bottom w:val="nil"/>
              <w:right w:val="nil"/>
            </w:tcBorders>
            <w:vAlign w:val="center"/>
            <w:hideMark/>
          </w:tcPr>
          <w:p w:rsidR="006C282F" w:rsidRPr="00A65752" w:rsidRDefault="006C282F" w:rsidP="004134D0">
            <w:pPr>
              <w:rPr>
                <w:lang w:val="lv-LV" w:eastAsia="lv-LV"/>
              </w:rPr>
            </w:pPr>
          </w:p>
        </w:tc>
        <w:tc>
          <w:tcPr>
            <w:tcW w:w="2302" w:type="dxa"/>
            <w:gridSpan w:val="2"/>
            <w:tcBorders>
              <w:top w:val="nil"/>
              <w:left w:val="nil"/>
              <w:bottom w:val="nil"/>
              <w:right w:val="nil"/>
            </w:tcBorders>
            <w:vAlign w:val="center"/>
            <w:hideMark/>
          </w:tcPr>
          <w:p w:rsidR="006C282F" w:rsidRPr="00A65752" w:rsidRDefault="006C282F" w:rsidP="004134D0">
            <w:pPr>
              <w:rPr>
                <w:lang w:val="lv-LV" w:eastAsia="lv-LV"/>
              </w:rPr>
            </w:pPr>
          </w:p>
        </w:tc>
        <w:tc>
          <w:tcPr>
            <w:tcW w:w="4119" w:type="dxa"/>
            <w:gridSpan w:val="3"/>
            <w:tcBorders>
              <w:top w:val="nil"/>
              <w:left w:val="nil"/>
              <w:bottom w:val="nil"/>
              <w:right w:val="nil"/>
            </w:tcBorders>
            <w:vAlign w:val="center"/>
            <w:hideMark/>
          </w:tcPr>
          <w:p w:rsidR="006C282F" w:rsidRPr="00A65752" w:rsidRDefault="006C282F" w:rsidP="004134D0">
            <w:pPr>
              <w:rPr>
                <w:lang w:val="lv-LV" w:eastAsia="lv-LV"/>
              </w:rPr>
            </w:pPr>
          </w:p>
        </w:tc>
        <w:tc>
          <w:tcPr>
            <w:tcW w:w="20" w:type="dxa"/>
            <w:tcBorders>
              <w:top w:val="nil"/>
              <w:left w:val="nil"/>
              <w:bottom w:val="nil"/>
              <w:right w:val="nil"/>
            </w:tcBorders>
            <w:vAlign w:val="center"/>
            <w:hideMark/>
          </w:tcPr>
          <w:p w:rsidR="006C282F" w:rsidRPr="00A65752" w:rsidRDefault="006C282F" w:rsidP="004134D0">
            <w:pPr>
              <w:rPr>
                <w:lang w:val="lv-LV" w:eastAsia="lv-LV"/>
              </w:rPr>
            </w:pPr>
          </w:p>
        </w:tc>
        <w:tc>
          <w:tcPr>
            <w:tcW w:w="1439" w:type="dxa"/>
            <w:tcBorders>
              <w:top w:val="nil"/>
              <w:left w:val="nil"/>
              <w:bottom w:val="nil"/>
              <w:right w:val="nil"/>
            </w:tcBorders>
            <w:vAlign w:val="center"/>
            <w:hideMark/>
          </w:tcPr>
          <w:p w:rsidR="006C282F" w:rsidRPr="00A65752" w:rsidRDefault="006C282F" w:rsidP="004134D0">
            <w:pPr>
              <w:rPr>
                <w:lang w:val="lv-LV" w:eastAsia="lv-LV"/>
              </w:rPr>
            </w:pPr>
          </w:p>
        </w:tc>
      </w:tr>
    </w:tbl>
    <w:p w:rsidR="004134D0" w:rsidRPr="00A65752" w:rsidRDefault="004134D0" w:rsidP="004134D0">
      <w:pPr>
        <w:pStyle w:val="naisf"/>
        <w:spacing w:before="0" w:beforeAutospacing="0" w:after="0" w:afterAutospacing="0"/>
        <w:rPr>
          <w:sz w:val="28"/>
          <w:szCs w:val="28"/>
          <w:lang w:val="lv-LV"/>
        </w:rPr>
      </w:pPr>
    </w:p>
    <w:tbl>
      <w:tblPr>
        <w:tblW w:w="938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997"/>
        <w:gridCol w:w="2552"/>
        <w:gridCol w:w="2835"/>
      </w:tblGrid>
      <w:tr w:rsidR="004134D0" w:rsidRPr="00A65752" w:rsidTr="00137424">
        <w:trPr>
          <w:trHeight w:val="20"/>
        </w:trPr>
        <w:tc>
          <w:tcPr>
            <w:tcW w:w="9384" w:type="dxa"/>
            <w:gridSpan w:val="3"/>
            <w:tcBorders>
              <w:top w:val="outset" w:sz="6" w:space="0" w:color="auto"/>
              <w:left w:val="outset" w:sz="6" w:space="0" w:color="auto"/>
              <w:bottom w:val="outset" w:sz="6" w:space="0" w:color="auto"/>
              <w:right w:val="outset" w:sz="6" w:space="0" w:color="auto"/>
            </w:tcBorders>
            <w:vAlign w:val="center"/>
            <w:hideMark/>
          </w:tcPr>
          <w:p w:rsidR="00FB4613" w:rsidRPr="00A65752" w:rsidRDefault="004134D0" w:rsidP="00FB4613">
            <w:pPr>
              <w:pStyle w:val="NoSpacing"/>
              <w:rPr>
                <w:rFonts w:ascii="Times New Roman" w:hAnsi="Times New Roman"/>
                <w:b/>
              </w:rPr>
            </w:pPr>
            <w:r w:rsidRPr="00A65752">
              <w:rPr>
                <w:rFonts w:ascii="Times New Roman" w:hAnsi="Times New Roman"/>
                <w:b/>
              </w:rPr>
              <w:lastRenderedPageBreak/>
              <w:t>2.tabula</w:t>
            </w:r>
          </w:p>
          <w:p w:rsidR="004134D0" w:rsidRPr="00A65752" w:rsidRDefault="004134D0" w:rsidP="00FB4613">
            <w:pPr>
              <w:pStyle w:val="NoSpacing"/>
              <w:rPr>
                <w:rFonts w:ascii="Times New Roman" w:hAnsi="Times New Roman"/>
                <w:b/>
              </w:rPr>
            </w:pPr>
            <w:r w:rsidRPr="00A65752">
              <w:rPr>
                <w:rFonts w:ascii="Times New Roman" w:hAnsi="Times New Roman"/>
                <w:b/>
              </w:rPr>
              <w:t>Ar tiesību akta projektu izpildītās vai uzņemtās saistības, kas izriet no starptautiskajiem tiesību aktiem vai starptautiskas institūcijas vai organizācijas dokumentiem.</w:t>
            </w:r>
          </w:p>
          <w:p w:rsidR="004134D0" w:rsidRPr="00A65752" w:rsidRDefault="004134D0" w:rsidP="00FB4613">
            <w:pPr>
              <w:pStyle w:val="NoSpacing"/>
              <w:rPr>
                <w:sz w:val="28"/>
                <w:szCs w:val="28"/>
              </w:rPr>
            </w:pPr>
            <w:r w:rsidRPr="00A65752">
              <w:rPr>
                <w:rFonts w:ascii="Times New Roman" w:hAnsi="Times New Roman"/>
                <w:b/>
              </w:rPr>
              <w:t>Pasākumi šo saistību izpildei</w:t>
            </w:r>
          </w:p>
        </w:tc>
      </w:tr>
      <w:tr w:rsidR="004134D0" w:rsidRPr="00A65752" w:rsidTr="00A176BE">
        <w:trPr>
          <w:trHeight w:val="20"/>
        </w:trPr>
        <w:tc>
          <w:tcPr>
            <w:tcW w:w="3997" w:type="dxa"/>
            <w:tcBorders>
              <w:top w:val="outset" w:sz="6" w:space="0" w:color="auto"/>
              <w:left w:val="outset" w:sz="6" w:space="0" w:color="auto"/>
              <w:bottom w:val="outset" w:sz="6" w:space="0" w:color="auto"/>
              <w:right w:val="outset" w:sz="6" w:space="0" w:color="auto"/>
            </w:tcBorders>
            <w:vAlign w:val="center"/>
            <w:hideMark/>
          </w:tcPr>
          <w:p w:rsidR="004134D0" w:rsidRPr="00A65752" w:rsidRDefault="004134D0" w:rsidP="004134D0">
            <w:pPr>
              <w:pStyle w:val="naisf"/>
              <w:rPr>
                <w:spacing w:val="-6"/>
                <w:lang w:val="lv-LV"/>
              </w:rPr>
            </w:pPr>
            <w:r w:rsidRPr="00A65752">
              <w:rPr>
                <w:spacing w:val="-6"/>
                <w:lang w:val="lv-LV"/>
              </w:rPr>
              <w:t>Attiecīgā starptautiskā tiesību akta vai starptautiskas institūcijas vai organizācijas dokumenta (turpmāk – starptautiskais dokuments) datums, numurs un nosaukums</w:t>
            </w:r>
          </w:p>
        </w:tc>
        <w:tc>
          <w:tcPr>
            <w:tcW w:w="5387" w:type="dxa"/>
            <w:gridSpan w:val="2"/>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lang w:val="lv-LV"/>
              </w:rPr>
            </w:pPr>
            <w:r w:rsidRPr="00A65752">
              <w:rPr>
                <w:lang w:val="lv-LV"/>
              </w:rPr>
              <w:t>Projekts šo jomu neskar.</w:t>
            </w:r>
          </w:p>
        </w:tc>
      </w:tr>
      <w:tr w:rsidR="004134D0" w:rsidRPr="00A65752" w:rsidTr="00A176BE">
        <w:trPr>
          <w:trHeight w:val="20"/>
        </w:trPr>
        <w:tc>
          <w:tcPr>
            <w:tcW w:w="3997" w:type="dxa"/>
            <w:tcBorders>
              <w:top w:val="outset" w:sz="6" w:space="0" w:color="auto"/>
              <w:left w:val="outset" w:sz="6" w:space="0" w:color="auto"/>
              <w:bottom w:val="outset" w:sz="6" w:space="0" w:color="auto"/>
              <w:right w:val="outset" w:sz="6" w:space="0" w:color="auto"/>
            </w:tcBorders>
            <w:vAlign w:val="center"/>
            <w:hideMark/>
          </w:tcPr>
          <w:p w:rsidR="004134D0" w:rsidRPr="00A65752" w:rsidRDefault="004134D0" w:rsidP="004134D0">
            <w:pPr>
              <w:pStyle w:val="naisf"/>
              <w:rPr>
                <w:lang w:val="lv-LV"/>
              </w:rPr>
            </w:pPr>
            <w:r w:rsidRPr="00A65752">
              <w:rPr>
                <w:lang w:val="lv-LV"/>
              </w:rPr>
              <w:t>A</w:t>
            </w:r>
          </w:p>
        </w:tc>
        <w:tc>
          <w:tcPr>
            <w:tcW w:w="2552" w:type="dxa"/>
            <w:tcBorders>
              <w:top w:val="outset" w:sz="6" w:space="0" w:color="auto"/>
              <w:left w:val="outset" w:sz="6" w:space="0" w:color="auto"/>
              <w:bottom w:val="outset" w:sz="6" w:space="0" w:color="auto"/>
              <w:right w:val="outset" w:sz="6" w:space="0" w:color="auto"/>
            </w:tcBorders>
            <w:vAlign w:val="center"/>
            <w:hideMark/>
          </w:tcPr>
          <w:p w:rsidR="004134D0" w:rsidRPr="00A65752" w:rsidRDefault="004134D0" w:rsidP="004134D0">
            <w:pPr>
              <w:pStyle w:val="naisf"/>
              <w:rPr>
                <w:lang w:val="lv-LV"/>
              </w:rPr>
            </w:pPr>
            <w:r w:rsidRPr="00A65752">
              <w:rPr>
                <w:lang w:val="lv-LV"/>
              </w:rPr>
              <w:t>B</w:t>
            </w:r>
          </w:p>
        </w:tc>
        <w:tc>
          <w:tcPr>
            <w:tcW w:w="2835" w:type="dxa"/>
            <w:tcBorders>
              <w:top w:val="outset" w:sz="6" w:space="0" w:color="auto"/>
              <w:left w:val="outset" w:sz="6" w:space="0" w:color="auto"/>
              <w:bottom w:val="outset" w:sz="6" w:space="0" w:color="auto"/>
              <w:right w:val="outset" w:sz="6" w:space="0" w:color="auto"/>
            </w:tcBorders>
            <w:vAlign w:val="center"/>
            <w:hideMark/>
          </w:tcPr>
          <w:p w:rsidR="004134D0" w:rsidRPr="00A65752" w:rsidRDefault="004134D0" w:rsidP="004134D0">
            <w:pPr>
              <w:pStyle w:val="naisf"/>
              <w:rPr>
                <w:lang w:val="lv-LV"/>
              </w:rPr>
            </w:pPr>
            <w:r w:rsidRPr="00A65752">
              <w:rPr>
                <w:lang w:val="lv-LV"/>
              </w:rPr>
              <w:t>C</w:t>
            </w:r>
          </w:p>
        </w:tc>
      </w:tr>
      <w:tr w:rsidR="004134D0" w:rsidRPr="00A65752" w:rsidTr="00A176BE">
        <w:trPr>
          <w:trHeight w:val="20"/>
        </w:trPr>
        <w:tc>
          <w:tcPr>
            <w:tcW w:w="3997" w:type="dxa"/>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spacing w:val="-6"/>
                <w:lang w:val="lv-LV"/>
              </w:rPr>
            </w:pPr>
            <w:r w:rsidRPr="00A65752">
              <w:rPr>
                <w:spacing w:val="-6"/>
                <w:lang w:val="lv-LV"/>
              </w:rPr>
              <w:t>Starptautiskās saistības (pēc būtības), kas izriet no norādītā starptautiskā dokumenta.Konkrēti veicamie pasākumi vai uzdevumi, kas nepieciešami šo starptautisko saistību izpildei</w:t>
            </w:r>
          </w:p>
        </w:tc>
        <w:tc>
          <w:tcPr>
            <w:tcW w:w="2552" w:type="dxa"/>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spacing w:val="-6"/>
                <w:lang w:val="lv-LV"/>
              </w:rPr>
            </w:pPr>
            <w:r w:rsidRPr="00A65752">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35" w:type="dxa"/>
            <w:tcBorders>
              <w:top w:val="outset" w:sz="6" w:space="0" w:color="auto"/>
              <w:left w:val="outset" w:sz="6" w:space="0" w:color="auto"/>
              <w:bottom w:val="outset" w:sz="6" w:space="0" w:color="auto"/>
              <w:right w:val="outset" w:sz="6" w:space="0" w:color="auto"/>
            </w:tcBorders>
            <w:hideMark/>
          </w:tcPr>
          <w:p w:rsidR="004134D0" w:rsidRPr="00A65752" w:rsidRDefault="004134D0" w:rsidP="00144DB3">
            <w:pPr>
              <w:pStyle w:val="naisf"/>
              <w:rPr>
                <w:spacing w:val="-6"/>
                <w:lang w:val="lv-LV"/>
              </w:rPr>
            </w:pPr>
            <w:r w:rsidRPr="00A65752">
              <w:rPr>
                <w:spacing w:val="-6"/>
                <w:lang w:val="lv-LV"/>
              </w:rPr>
              <w:t>Informācija par to, vai starptautiskās saistības, kas minētas šīs tabulas A ailē, tiek izpildītas pilnībā vai daļēji.Ja attiecīgās starptautiskās saistības tiek izpildītas daļēji, sniedz attiecīgu skaidrojumu, kā arī precīzi norāda, kad un kādā veidā starptautiskās saistības tiks izpildītas pilnībā.Norāda institūciju, kas ir atbildīga par šo saistību izpildi pilnībā</w:t>
            </w:r>
          </w:p>
        </w:tc>
      </w:tr>
      <w:tr w:rsidR="004134D0" w:rsidRPr="00A65752" w:rsidTr="00A176BE">
        <w:trPr>
          <w:trHeight w:val="20"/>
        </w:trPr>
        <w:tc>
          <w:tcPr>
            <w:tcW w:w="3997" w:type="dxa"/>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lang w:val="lv-LV"/>
              </w:rPr>
            </w:pPr>
            <w:r w:rsidRPr="00A65752">
              <w:rPr>
                <w:lang w:val="lv-LV"/>
              </w:rPr>
              <w:t>Projekts šo jomu neskar.</w:t>
            </w:r>
          </w:p>
        </w:tc>
        <w:tc>
          <w:tcPr>
            <w:tcW w:w="2552" w:type="dxa"/>
            <w:tcBorders>
              <w:top w:val="outset" w:sz="6" w:space="0" w:color="auto"/>
              <w:left w:val="outset" w:sz="6" w:space="0" w:color="auto"/>
              <w:bottom w:val="outset" w:sz="6" w:space="0" w:color="auto"/>
              <w:right w:val="outset" w:sz="6" w:space="0" w:color="auto"/>
            </w:tcBorders>
            <w:hideMark/>
          </w:tcPr>
          <w:p w:rsidR="00EF2553" w:rsidRDefault="008F7702" w:rsidP="00EF2553">
            <w:pPr>
              <w:pStyle w:val="naisf"/>
              <w:jc w:val="both"/>
              <w:rPr>
                <w:lang w:val="lv-LV"/>
              </w:rPr>
            </w:pPr>
            <w:r w:rsidRPr="00A65752">
              <w:rPr>
                <w:lang w:val="lv-LV"/>
              </w:rPr>
              <w:t>Projekts šo jomu neskar</w:t>
            </w:r>
            <w:r w:rsidR="000B6B56" w:rsidRPr="00A65752">
              <w:rPr>
                <w:lang w:val="lv-LV"/>
              </w:rPr>
              <w:t>.</w:t>
            </w:r>
          </w:p>
        </w:tc>
        <w:tc>
          <w:tcPr>
            <w:tcW w:w="2835" w:type="dxa"/>
            <w:tcBorders>
              <w:top w:val="outset" w:sz="6" w:space="0" w:color="auto"/>
              <w:left w:val="outset" w:sz="6" w:space="0" w:color="auto"/>
              <w:bottom w:val="outset" w:sz="6" w:space="0" w:color="auto"/>
              <w:right w:val="outset" w:sz="6" w:space="0" w:color="auto"/>
            </w:tcBorders>
            <w:hideMark/>
          </w:tcPr>
          <w:p w:rsidR="004134D0" w:rsidRPr="00A65752" w:rsidRDefault="008F7702" w:rsidP="007331E9">
            <w:pPr>
              <w:pStyle w:val="naisf"/>
              <w:ind w:firstLine="374"/>
              <w:jc w:val="both"/>
              <w:rPr>
                <w:lang w:val="lv-LV"/>
              </w:rPr>
            </w:pPr>
            <w:r w:rsidRPr="00A65752">
              <w:rPr>
                <w:lang w:val="lv-LV"/>
              </w:rPr>
              <w:t>Projekts šo jomu neskar</w:t>
            </w:r>
            <w:r w:rsidR="000B6B56" w:rsidRPr="00A65752">
              <w:rPr>
                <w:lang w:val="lv-LV"/>
              </w:rPr>
              <w:t>.</w:t>
            </w:r>
          </w:p>
        </w:tc>
      </w:tr>
      <w:tr w:rsidR="004134D0" w:rsidRPr="00A65752" w:rsidTr="00A176BE">
        <w:trPr>
          <w:trHeight w:val="20"/>
        </w:trPr>
        <w:tc>
          <w:tcPr>
            <w:tcW w:w="3997" w:type="dxa"/>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spacing w:val="6"/>
                <w:lang w:val="lv-LV"/>
              </w:rPr>
            </w:pPr>
            <w:r w:rsidRPr="00A65752">
              <w:rPr>
                <w:spacing w:val="6"/>
                <w:lang w:val="lv-LV"/>
              </w:rPr>
              <w:t>Vai starptautiskajā dokumentā paredzētās saistības nav pretrunā ar jau esošajām Latvijas Republikas starptautiskajām saistībām</w:t>
            </w:r>
          </w:p>
        </w:tc>
        <w:tc>
          <w:tcPr>
            <w:tcW w:w="5387" w:type="dxa"/>
            <w:gridSpan w:val="2"/>
            <w:tcBorders>
              <w:top w:val="outset" w:sz="6" w:space="0" w:color="auto"/>
              <w:left w:val="outset" w:sz="6" w:space="0" w:color="auto"/>
              <w:bottom w:val="outset" w:sz="6" w:space="0" w:color="auto"/>
              <w:right w:val="outset" w:sz="6" w:space="0" w:color="auto"/>
            </w:tcBorders>
            <w:hideMark/>
          </w:tcPr>
          <w:p w:rsidR="004134D0" w:rsidRPr="00A65752" w:rsidRDefault="008F7702" w:rsidP="004134D0">
            <w:pPr>
              <w:pStyle w:val="naisf"/>
              <w:ind w:firstLine="374"/>
              <w:rPr>
                <w:lang w:val="lv-LV"/>
              </w:rPr>
            </w:pPr>
            <w:r w:rsidRPr="00A65752">
              <w:rPr>
                <w:lang w:val="lv-LV"/>
              </w:rPr>
              <w:t>Projekts šo jomu neskar</w:t>
            </w:r>
            <w:r w:rsidR="000B6B56" w:rsidRPr="00A65752">
              <w:rPr>
                <w:lang w:val="lv-LV"/>
              </w:rPr>
              <w:t>.</w:t>
            </w:r>
          </w:p>
        </w:tc>
      </w:tr>
      <w:tr w:rsidR="004134D0" w:rsidRPr="00A65752" w:rsidTr="00A176BE">
        <w:trPr>
          <w:trHeight w:val="350"/>
        </w:trPr>
        <w:tc>
          <w:tcPr>
            <w:tcW w:w="3997" w:type="dxa"/>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lang w:val="lv-LV"/>
              </w:rPr>
            </w:pPr>
            <w:r w:rsidRPr="00A65752">
              <w:rPr>
                <w:lang w:val="lv-LV"/>
              </w:rPr>
              <w:t>Cita informācija</w:t>
            </w:r>
          </w:p>
        </w:tc>
        <w:tc>
          <w:tcPr>
            <w:tcW w:w="5387" w:type="dxa"/>
            <w:gridSpan w:val="2"/>
            <w:tcBorders>
              <w:top w:val="outset" w:sz="6" w:space="0" w:color="auto"/>
              <w:left w:val="outset" w:sz="6" w:space="0" w:color="auto"/>
              <w:bottom w:val="outset" w:sz="6" w:space="0" w:color="auto"/>
              <w:right w:val="outset" w:sz="6" w:space="0" w:color="auto"/>
            </w:tcBorders>
            <w:hideMark/>
          </w:tcPr>
          <w:p w:rsidR="004134D0" w:rsidRPr="00A65752" w:rsidRDefault="004134D0" w:rsidP="004134D0">
            <w:pPr>
              <w:pStyle w:val="naisf"/>
              <w:rPr>
                <w:lang w:val="lv-LV"/>
              </w:rPr>
            </w:pPr>
            <w:r w:rsidRPr="00A65752">
              <w:rPr>
                <w:lang w:val="lv-LV"/>
              </w:rPr>
              <w:t>Nav</w:t>
            </w:r>
          </w:p>
        </w:tc>
      </w:tr>
    </w:tbl>
    <w:p w:rsidR="004134D0" w:rsidRPr="00A65752" w:rsidRDefault="004134D0" w:rsidP="004134D0">
      <w:pPr>
        <w:pStyle w:val="naisf"/>
        <w:spacing w:before="0" w:beforeAutospacing="0" w:after="0" w:afterAutospacing="0"/>
        <w:rPr>
          <w:sz w:val="28"/>
          <w:szCs w:val="28"/>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
        <w:gridCol w:w="3600"/>
        <w:gridCol w:w="5387"/>
      </w:tblGrid>
      <w:tr w:rsidR="004134D0" w:rsidRPr="00A65752" w:rsidTr="00137424">
        <w:tc>
          <w:tcPr>
            <w:tcW w:w="9361"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t>VI. Sabiedrības līdzdalība un šīs līdzdalības rezultāti</w:t>
            </w:r>
          </w:p>
        </w:tc>
      </w:tr>
      <w:tr w:rsidR="004134D0" w:rsidRPr="00A65752" w:rsidTr="00A176BE">
        <w:trPr>
          <w:trHeight w:val="553"/>
        </w:trPr>
        <w:tc>
          <w:tcPr>
            <w:tcW w:w="374"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rPr>
                <w:bCs/>
              </w:rPr>
            </w:pPr>
            <w:r w:rsidRPr="00A65752">
              <w:rPr>
                <w:bCs/>
              </w:rPr>
              <w:t>1.</w:t>
            </w:r>
          </w:p>
        </w:tc>
        <w:tc>
          <w:tcPr>
            <w:tcW w:w="3600"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tabs>
                <w:tab w:val="left" w:pos="170"/>
              </w:tabs>
              <w:spacing w:before="0" w:after="0"/>
              <w:ind w:left="57" w:right="57"/>
            </w:pPr>
            <w:r w:rsidRPr="00A65752">
              <w:t>Sabiedrības informēšana par projekta izstrādes uzsākšanu</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197E79" w:rsidP="000B6B56">
            <w:pPr>
              <w:pStyle w:val="NoSpacing"/>
              <w:ind w:right="316"/>
              <w:jc w:val="both"/>
              <w:rPr>
                <w:rFonts w:ascii="Times New Roman" w:hAnsi="Times New Roman"/>
              </w:rPr>
            </w:pPr>
            <w:r w:rsidRPr="00A65752">
              <w:rPr>
                <w:rFonts w:ascii="Times New Roman" w:hAnsi="Times New Roman"/>
                <w:spacing w:val="-6"/>
                <w:sz w:val="24"/>
                <w:szCs w:val="24"/>
              </w:rPr>
              <w:t xml:space="preserve">2012.gada </w:t>
            </w:r>
            <w:r w:rsidR="00015256" w:rsidRPr="00A65752">
              <w:rPr>
                <w:rFonts w:ascii="Times New Roman" w:hAnsi="Times New Roman"/>
                <w:spacing w:val="-6"/>
                <w:sz w:val="24"/>
                <w:szCs w:val="24"/>
              </w:rPr>
              <w:t xml:space="preserve">Farmācijas jomas konsultatīvās padomes ietvaros </w:t>
            </w:r>
            <w:r w:rsidRPr="00A65752">
              <w:rPr>
                <w:rFonts w:ascii="Times New Roman" w:hAnsi="Times New Roman"/>
                <w:spacing w:val="-6"/>
                <w:sz w:val="24"/>
                <w:szCs w:val="24"/>
              </w:rPr>
              <w:t>notikusi apspriede</w:t>
            </w:r>
            <w:r w:rsidR="000B6B56" w:rsidRPr="00A65752">
              <w:rPr>
                <w:rFonts w:ascii="Times New Roman" w:hAnsi="Times New Roman"/>
                <w:spacing w:val="-6"/>
                <w:sz w:val="24"/>
                <w:szCs w:val="24"/>
              </w:rPr>
              <w:t>.</w:t>
            </w:r>
          </w:p>
        </w:tc>
      </w:tr>
      <w:tr w:rsidR="004134D0" w:rsidRPr="00A65752" w:rsidTr="00A176BE">
        <w:trPr>
          <w:trHeight w:val="339"/>
        </w:trPr>
        <w:tc>
          <w:tcPr>
            <w:tcW w:w="374"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rPr>
                <w:bCs/>
              </w:rPr>
            </w:pPr>
            <w:r w:rsidRPr="00A65752">
              <w:rPr>
                <w:bCs/>
              </w:rPr>
              <w:t>2.</w:t>
            </w:r>
          </w:p>
        </w:tc>
        <w:tc>
          <w:tcPr>
            <w:tcW w:w="3600"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 xml:space="preserve">Sabiedrības līdzdalība projekta izstrādē </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375634" w:rsidP="00504E0B">
            <w:pPr>
              <w:pStyle w:val="NoSpacing"/>
              <w:jc w:val="both"/>
              <w:rPr>
                <w:rFonts w:ascii="Times New Roman" w:hAnsi="Times New Roman"/>
                <w:sz w:val="24"/>
                <w:szCs w:val="24"/>
              </w:rPr>
            </w:pPr>
            <w:r w:rsidRPr="00A65752">
              <w:rPr>
                <w:rFonts w:ascii="Times New Roman" w:hAnsi="Times New Roman"/>
                <w:spacing w:val="-6"/>
                <w:sz w:val="24"/>
                <w:szCs w:val="24"/>
              </w:rPr>
              <w:t xml:space="preserve">Farmācijas jomas </w:t>
            </w:r>
            <w:r w:rsidR="005F2B4A" w:rsidRPr="00A65752">
              <w:rPr>
                <w:rFonts w:ascii="Times New Roman" w:hAnsi="Times New Roman"/>
                <w:spacing w:val="-6"/>
                <w:sz w:val="24"/>
                <w:szCs w:val="24"/>
              </w:rPr>
              <w:t xml:space="preserve">konsultatīvās padomes ietvaros </w:t>
            </w:r>
            <w:r w:rsidRPr="00A65752">
              <w:rPr>
                <w:rFonts w:ascii="Times New Roman" w:hAnsi="Times New Roman"/>
                <w:spacing w:val="-6"/>
                <w:sz w:val="24"/>
                <w:szCs w:val="24"/>
              </w:rPr>
              <w:t>sniegta informācija par Direktīvas 2011/62/ES prasību ieviešanu.</w:t>
            </w:r>
          </w:p>
        </w:tc>
      </w:tr>
      <w:tr w:rsidR="004134D0" w:rsidRPr="00A65752" w:rsidTr="00A176BE">
        <w:trPr>
          <w:trHeight w:val="375"/>
        </w:trPr>
        <w:tc>
          <w:tcPr>
            <w:tcW w:w="374"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rPr>
                <w:bCs/>
              </w:rPr>
            </w:pPr>
            <w:r w:rsidRPr="00A65752">
              <w:rPr>
                <w:bCs/>
              </w:rPr>
              <w:t>3.</w:t>
            </w:r>
          </w:p>
        </w:tc>
        <w:tc>
          <w:tcPr>
            <w:tcW w:w="3600"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 xml:space="preserve">Sabiedrības līdzdalības rezultāti </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FC7C8C" w:rsidP="00FC7C8C">
            <w:pPr>
              <w:pStyle w:val="naiskr"/>
              <w:ind w:right="57"/>
              <w:jc w:val="both"/>
            </w:pPr>
            <w:r w:rsidRPr="00A65752">
              <w:t>Latvijas Ķīmijas un</w:t>
            </w:r>
            <w:r>
              <w:t xml:space="preserve"> farmācijas uzņēmēju asociācijai iebildumu par Not</w:t>
            </w:r>
            <w:r w:rsidR="005D1B9B">
              <w:t>ei</w:t>
            </w:r>
            <w:r w:rsidR="002C6635">
              <w:t>kumu projektu nav.</w:t>
            </w:r>
            <w:r>
              <w:t xml:space="preserve"> Pārējie </w:t>
            </w:r>
            <w:r w:rsidRPr="00A65752">
              <w:t xml:space="preserve"> Farmācijas jomas konsultatīvās padomes</w:t>
            </w:r>
            <w:r>
              <w:t xml:space="preserve"> pārstāvji viedokli nav pauduši.</w:t>
            </w:r>
          </w:p>
        </w:tc>
      </w:tr>
      <w:tr w:rsidR="004134D0" w:rsidRPr="00A65752" w:rsidTr="00A176BE">
        <w:trPr>
          <w:trHeight w:val="397"/>
        </w:trPr>
        <w:tc>
          <w:tcPr>
            <w:tcW w:w="374"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rPr>
                <w:bCs/>
              </w:rPr>
            </w:pPr>
            <w:r w:rsidRPr="00A65752">
              <w:rPr>
                <w:bCs/>
              </w:rPr>
              <w:t>4.</w:t>
            </w:r>
          </w:p>
        </w:tc>
        <w:tc>
          <w:tcPr>
            <w:tcW w:w="3600"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Saeimas un ekspertu līdzdalība</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jc w:val="both"/>
            </w:pPr>
            <w:r w:rsidRPr="00A65752">
              <w:t>Konsultācijas ar Saeimas komisiju vai apakškomisiju, kā arī ar ekspertiem nav notikušas.</w:t>
            </w:r>
          </w:p>
        </w:tc>
      </w:tr>
      <w:tr w:rsidR="004134D0" w:rsidRPr="00A65752" w:rsidTr="00A176BE">
        <w:trPr>
          <w:trHeight w:val="476"/>
        </w:trPr>
        <w:tc>
          <w:tcPr>
            <w:tcW w:w="374"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rPr>
                <w:bCs/>
              </w:rPr>
            </w:pPr>
            <w:r w:rsidRPr="00A65752">
              <w:rPr>
                <w:bCs/>
              </w:rPr>
              <w:t>5.</w:t>
            </w:r>
          </w:p>
        </w:tc>
        <w:tc>
          <w:tcPr>
            <w:tcW w:w="3600"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Cita informācija</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015256" w:rsidP="004134D0">
            <w:pPr>
              <w:pStyle w:val="naiskr"/>
              <w:spacing w:before="0" w:after="0"/>
              <w:ind w:left="57" w:right="57"/>
              <w:jc w:val="both"/>
            </w:pPr>
            <w:r w:rsidRPr="00A65752">
              <w:t xml:space="preserve">Farmācijas jomas konsultatīvās padomes sastāvā darbojas pārstāvji no Latvijas Farmaceitu biedrības, </w:t>
            </w:r>
            <w:r w:rsidRPr="00A65752">
              <w:lastRenderedPageBreak/>
              <w:t>Latvijas Farmācijas arodbiedrības, Aptieku biedrības, Aptieku īpašnieku asociācijas, Latvijas Brīvo farmaceitu apvienības, Latvijas Ārstu biedrības, Aptieku attīstības biedrības, Latvijas Cilvēku ar īpašām vajadzībām sadarbības organizācijas “Sustento”, Latvijas Ķīmijas un farmācijas uzņēmēju asociācijas, Latvijas Patērētāju interešu aizstāvības asociācijas, Latvijas Patentbrīvo medikamentu asociācijas, Latvijas Zāļu lieltirgotāju asociācijas un Starptautisko inovatīvo farmaceitisko firmu asociācijas.</w:t>
            </w:r>
          </w:p>
        </w:tc>
      </w:tr>
    </w:tbl>
    <w:p w:rsidR="004134D0" w:rsidRPr="00A65752" w:rsidRDefault="004134D0" w:rsidP="004134D0">
      <w:pPr>
        <w:pStyle w:val="naisf"/>
        <w:spacing w:before="0" w:beforeAutospacing="0" w:after="0" w:afterAutospacing="0"/>
        <w:rPr>
          <w:sz w:val="28"/>
          <w:szCs w:val="28"/>
          <w:lang w:val="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3571"/>
        <w:gridCol w:w="5387"/>
      </w:tblGrid>
      <w:tr w:rsidR="004134D0" w:rsidRPr="00A65752" w:rsidTr="00137424">
        <w:tc>
          <w:tcPr>
            <w:tcW w:w="9384" w:type="dxa"/>
            <w:gridSpan w:val="3"/>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t>VII. Tiesību akta projekta izpildes nodrošināšana un tās ietekme uz institūcijām</w:t>
            </w:r>
          </w:p>
        </w:tc>
      </w:tr>
      <w:tr w:rsidR="004134D0" w:rsidRPr="00A65752" w:rsidTr="00C91FEE">
        <w:trPr>
          <w:trHeight w:val="427"/>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rPr>
                <w:b w:val="0"/>
              </w:rPr>
              <w:t>1.</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f"/>
              <w:spacing w:before="0" w:beforeAutospacing="0" w:after="0" w:afterAutospacing="0"/>
              <w:ind w:left="57" w:right="57"/>
              <w:rPr>
                <w:lang w:val="lv-LV"/>
              </w:rPr>
            </w:pPr>
            <w:r w:rsidRPr="00A65752">
              <w:rPr>
                <w:lang w:val="lv-LV"/>
              </w:rPr>
              <w:t>Projekta izpildē iesaistītās institūcijas</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oSpacing"/>
              <w:jc w:val="both"/>
              <w:rPr>
                <w:rFonts w:ascii="Times New Roman" w:hAnsi="Times New Roman"/>
                <w:sz w:val="24"/>
                <w:szCs w:val="24"/>
              </w:rPr>
            </w:pPr>
            <w:r w:rsidRPr="00A65752">
              <w:rPr>
                <w:rFonts w:ascii="Times New Roman" w:hAnsi="Times New Roman"/>
                <w:sz w:val="24"/>
                <w:szCs w:val="24"/>
              </w:rPr>
              <w:t>Zāļu valsts aģentūra.</w:t>
            </w:r>
          </w:p>
        </w:tc>
      </w:tr>
      <w:tr w:rsidR="004134D0" w:rsidRPr="00A65752" w:rsidTr="00C91FEE">
        <w:trPr>
          <w:trHeight w:val="463"/>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rPr>
                <w:b w:val="0"/>
              </w:rPr>
              <w:t>2.</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f"/>
              <w:spacing w:before="0" w:beforeAutospacing="0" w:after="0" w:afterAutospacing="0"/>
              <w:ind w:left="57" w:right="57"/>
              <w:rPr>
                <w:lang w:val="lv-LV"/>
              </w:rPr>
            </w:pPr>
            <w:r w:rsidRPr="00A65752">
              <w:rPr>
                <w:lang w:val="lv-LV"/>
              </w:rPr>
              <w:t xml:space="preserve">Projekta izpildes ietekme uz pārvaldes funkcijām </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352190" w:rsidP="007331E9">
            <w:pPr>
              <w:pStyle w:val="NoSpacing"/>
              <w:jc w:val="both"/>
              <w:rPr>
                <w:rFonts w:ascii="Times New Roman" w:hAnsi="Times New Roman"/>
                <w:spacing w:val="-6"/>
                <w:sz w:val="24"/>
                <w:szCs w:val="24"/>
              </w:rPr>
            </w:pPr>
            <w:r w:rsidRPr="00A65752">
              <w:rPr>
                <w:rFonts w:ascii="Times New Roman" w:hAnsi="Times New Roman"/>
                <w:spacing w:val="-6"/>
                <w:sz w:val="24"/>
                <w:szCs w:val="24"/>
                <w:lang w:eastAsia="lv-LV"/>
              </w:rPr>
              <w:t>Noteikumu projekts</w:t>
            </w:r>
            <w:r w:rsidR="004134D0" w:rsidRPr="00A65752">
              <w:rPr>
                <w:rFonts w:ascii="Times New Roman" w:hAnsi="Times New Roman"/>
                <w:spacing w:val="-6"/>
                <w:sz w:val="24"/>
                <w:szCs w:val="24"/>
                <w:lang w:eastAsia="lv-LV"/>
              </w:rPr>
              <w:t xml:space="preserve"> paplašina </w:t>
            </w:r>
            <w:r w:rsidR="004134D0" w:rsidRPr="00A65752">
              <w:rPr>
                <w:rFonts w:ascii="Times New Roman" w:hAnsi="Times New Roman"/>
                <w:spacing w:val="-6"/>
                <w:sz w:val="24"/>
                <w:szCs w:val="24"/>
              </w:rPr>
              <w:t>pienākumus Zāļu valsts aģentūrai veikt funkcijas</w:t>
            </w:r>
            <w:r w:rsidR="00FA78AA" w:rsidRPr="00A65752">
              <w:rPr>
                <w:rFonts w:ascii="Times New Roman" w:hAnsi="Times New Roman"/>
                <w:spacing w:val="-6"/>
                <w:sz w:val="24"/>
                <w:szCs w:val="24"/>
              </w:rPr>
              <w:t>.</w:t>
            </w:r>
          </w:p>
        </w:tc>
      </w:tr>
      <w:tr w:rsidR="004134D0" w:rsidRPr="00A65752" w:rsidTr="00C91FEE">
        <w:trPr>
          <w:trHeight w:val="725"/>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rPr>
                <w:b w:val="0"/>
              </w:rPr>
              <w:t>3.</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f"/>
              <w:spacing w:before="0" w:beforeAutospacing="0" w:after="0" w:afterAutospacing="0"/>
              <w:ind w:left="57" w:right="57"/>
              <w:rPr>
                <w:spacing w:val="-6"/>
                <w:lang w:val="lv-LV"/>
              </w:rPr>
            </w:pPr>
            <w:r w:rsidRPr="00A65752">
              <w:rPr>
                <w:spacing w:val="-6"/>
                <w:lang w:val="lv-LV"/>
              </w:rPr>
              <w:t>Projekta izpildes ietekme uz pārvaldes institucionālo struktūru.</w:t>
            </w:r>
          </w:p>
          <w:p w:rsidR="004134D0" w:rsidRPr="00A65752" w:rsidRDefault="004134D0" w:rsidP="004134D0">
            <w:pPr>
              <w:pStyle w:val="naisf"/>
              <w:spacing w:before="0" w:beforeAutospacing="0" w:after="0" w:afterAutospacing="0"/>
              <w:ind w:left="57" w:right="57"/>
              <w:rPr>
                <w:lang w:val="lv-LV"/>
              </w:rPr>
            </w:pPr>
            <w:r w:rsidRPr="00A65752">
              <w:rPr>
                <w:spacing w:val="-6"/>
                <w:lang w:val="lv-LV"/>
              </w:rPr>
              <w:t>Jaunu institūciju izveide</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375634" w:rsidP="00990459">
            <w:pPr>
              <w:pStyle w:val="naisnod"/>
              <w:spacing w:before="0" w:after="0"/>
              <w:ind w:left="57" w:right="57"/>
              <w:jc w:val="left"/>
              <w:rPr>
                <w:b w:val="0"/>
              </w:rPr>
            </w:pPr>
            <w:r w:rsidRPr="00A65752">
              <w:rPr>
                <w:b w:val="0"/>
              </w:rPr>
              <w:t>Projekts šo jomu neskar</w:t>
            </w:r>
            <w:r w:rsidR="000B6B56" w:rsidRPr="00A65752">
              <w:rPr>
                <w:b w:val="0"/>
              </w:rPr>
              <w:t>.</w:t>
            </w:r>
          </w:p>
        </w:tc>
      </w:tr>
      <w:tr w:rsidR="004134D0" w:rsidRPr="00A65752" w:rsidTr="00C91FEE">
        <w:trPr>
          <w:trHeight w:val="780"/>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rPr>
                <w:b w:val="0"/>
              </w:rPr>
              <w:t>4.</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f"/>
              <w:spacing w:before="0" w:beforeAutospacing="0" w:after="0" w:afterAutospacing="0"/>
              <w:ind w:left="57" w:right="57"/>
              <w:rPr>
                <w:spacing w:val="-6"/>
                <w:lang w:val="lv-LV"/>
              </w:rPr>
            </w:pPr>
            <w:r w:rsidRPr="00A65752">
              <w:rPr>
                <w:spacing w:val="-6"/>
                <w:lang w:val="lv-LV"/>
              </w:rPr>
              <w:t>Projekta izpildes ietekme uz pārvaldes institucionālo struktūru.</w:t>
            </w:r>
          </w:p>
          <w:p w:rsidR="004134D0" w:rsidRPr="00A65752" w:rsidRDefault="004134D0" w:rsidP="004134D0">
            <w:pPr>
              <w:pStyle w:val="naisf"/>
              <w:spacing w:before="0" w:beforeAutospacing="0" w:after="0" w:afterAutospacing="0"/>
              <w:ind w:left="57" w:right="57"/>
              <w:rPr>
                <w:lang w:val="lv-LV"/>
              </w:rPr>
            </w:pPr>
            <w:r w:rsidRPr="00A65752">
              <w:rPr>
                <w:spacing w:val="-6"/>
                <w:lang w:val="lv-LV"/>
              </w:rPr>
              <w:t>Esošu institūciju likvidācija</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375634" w:rsidP="00990459">
            <w:pPr>
              <w:pStyle w:val="naisnod"/>
              <w:spacing w:before="0" w:after="0"/>
              <w:ind w:left="57" w:right="57"/>
              <w:jc w:val="left"/>
              <w:rPr>
                <w:b w:val="0"/>
              </w:rPr>
            </w:pPr>
            <w:r w:rsidRPr="00A65752">
              <w:rPr>
                <w:b w:val="0"/>
              </w:rPr>
              <w:t>Projekts šo jomu neskar</w:t>
            </w:r>
            <w:r w:rsidR="000B6B56" w:rsidRPr="00A65752">
              <w:rPr>
                <w:b w:val="0"/>
              </w:rPr>
              <w:t>.</w:t>
            </w:r>
          </w:p>
        </w:tc>
      </w:tr>
      <w:tr w:rsidR="004134D0" w:rsidRPr="00A65752" w:rsidTr="00C91FEE">
        <w:trPr>
          <w:trHeight w:val="703"/>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nod"/>
              <w:spacing w:before="0" w:after="0"/>
              <w:ind w:left="57" w:right="57"/>
              <w:rPr>
                <w:b w:val="0"/>
              </w:rPr>
            </w:pPr>
            <w:r w:rsidRPr="00A65752">
              <w:rPr>
                <w:b w:val="0"/>
              </w:rPr>
              <w:t>5.</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f"/>
              <w:spacing w:before="0" w:beforeAutospacing="0" w:after="0" w:afterAutospacing="0"/>
              <w:ind w:left="57" w:right="57"/>
              <w:rPr>
                <w:spacing w:val="-6"/>
                <w:lang w:val="lv-LV"/>
              </w:rPr>
            </w:pPr>
            <w:r w:rsidRPr="00A65752">
              <w:rPr>
                <w:spacing w:val="-6"/>
                <w:lang w:val="lv-LV"/>
              </w:rPr>
              <w:t>Projekta izpildes ietekme uz pārvaldes institucionālo struktūru.</w:t>
            </w:r>
          </w:p>
          <w:p w:rsidR="004134D0" w:rsidRPr="00A65752" w:rsidRDefault="004134D0" w:rsidP="004134D0">
            <w:pPr>
              <w:pStyle w:val="naisf"/>
              <w:spacing w:before="0" w:beforeAutospacing="0" w:after="0" w:afterAutospacing="0"/>
              <w:ind w:left="57" w:right="57"/>
              <w:rPr>
                <w:lang w:val="lv-LV"/>
              </w:rPr>
            </w:pPr>
            <w:r w:rsidRPr="00A65752">
              <w:rPr>
                <w:spacing w:val="-6"/>
                <w:lang w:val="lv-LV"/>
              </w:rPr>
              <w:t>Esošu institūciju reorganizācija</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375634" w:rsidP="009305A6">
            <w:pPr>
              <w:pStyle w:val="naisnod"/>
              <w:spacing w:before="0" w:after="0"/>
              <w:ind w:left="57" w:right="57"/>
              <w:jc w:val="both"/>
              <w:rPr>
                <w:b w:val="0"/>
              </w:rPr>
            </w:pPr>
            <w:r w:rsidRPr="00A65752">
              <w:rPr>
                <w:b w:val="0"/>
              </w:rPr>
              <w:t>Projekts šo jomu neskar</w:t>
            </w:r>
            <w:r w:rsidR="004134D0" w:rsidRPr="00A65752">
              <w:rPr>
                <w:b w:val="0"/>
              </w:rPr>
              <w:t>.</w:t>
            </w:r>
          </w:p>
        </w:tc>
      </w:tr>
      <w:tr w:rsidR="004134D0" w:rsidRPr="00A65752" w:rsidTr="00C91FEE">
        <w:trPr>
          <w:trHeight w:val="365"/>
        </w:trPr>
        <w:tc>
          <w:tcPr>
            <w:tcW w:w="426"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6.</w:t>
            </w:r>
          </w:p>
        </w:tc>
        <w:tc>
          <w:tcPr>
            <w:tcW w:w="3571"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Cita informācija</w:t>
            </w:r>
          </w:p>
        </w:tc>
        <w:tc>
          <w:tcPr>
            <w:tcW w:w="5387" w:type="dxa"/>
            <w:tcBorders>
              <w:top w:val="single" w:sz="4" w:space="0" w:color="auto"/>
              <w:left w:val="single" w:sz="4" w:space="0" w:color="auto"/>
              <w:bottom w:val="single" w:sz="4" w:space="0" w:color="auto"/>
              <w:right w:val="single" w:sz="4" w:space="0" w:color="auto"/>
            </w:tcBorders>
            <w:hideMark/>
          </w:tcPr>
          <w:p w:rsidR="004134D0" w:rsidRPr="00A65752" w:rsidRDefault="004134D0" w:rsidP="004134D0">
            <w:pPr>
              <w:pStyle w:val="naiskr"/>
              <w:spacing w:before="0" w:after="0"/>
              <w:ind w:left="57" w:right="57"/>
            </w:pPr>
            <w:r w:rsidRPr="00A65752">
              <w:t>Nav</w:t>
            </w:r>
          </w:p>
        </w:tc>
      </w:tr>
    </w:tbl>
    <w:p w:rsidR="002C6635" w:rsidRDefault="002C6635" w:rsidP="008D1E1E">
      <w:pPr>
        <w:ind w:firstLine="720"/>
        <w:jc w:val="both"/>
        <w:rPr>
          <w:sz w:val="28"/>
          <w:szCs w:val="28"/>
          <w:lang w:val="lv-LV"/>
        </w:rPr>
      </w:pPr>
    </w:p>
    <w:p w:rsidR="002C6635" w:rsidRDefault="002C6635" w:rsidP="008D1E1E">
      <w:pPr>
        <w:ind w:firstLine="720"/>
        <w:jc w:val="both"/>
        <w:rPr>
          <w:sz w:val="28"/>
          <w:szCs w:val="28"/>
          <w:lang w:val="lv-LV"/>
        </w:rPr>
      </w:pPr>
    </w:p>
    <w:p w:rsidR="008D1E1E" w:rsidRPr="00A65752" w:rsidRDefault="008D1E1E" w:rsidP="008D1E1E">
      <w:pPr>
        <w:ind w:firstLine="720"/>
        <w:jc w:val="both"/>
        <w:rPr>
          <w:rStyle w:val="Strong"/>
          <w:b w:val="0"/>
          <w:bCs w:val="0"/>
          <w:sz w:val="28"/>
          <w:szCs w:val="28"/>
          <w:lang w:val="lv-LV"/>
        </w:rPr>
      </w:pPr>
      <w:r w:rsidRPr="00A65752">
        <w:rPr>
          <w:sz w:val="28"/>
          <w:szCs w:val="28"/>
          <w:lang w:val="lv-LV"/>
        </w:rPr>
        <w:t>Veselības ministre</w:t>
      </w:r>
      <w:r w:rsidRPr="00A65752">
        <w:rPr>
          <w:sz w:val="28"/>
          <w:szCs w:val="28"/>
          <w:lang w:val="lv-LV"/>
        </w:rPr>
        <w:tab/>
      </w:r>
      <w:r w:rsidRPr="00A65752">
        <w:rPr>
          <w:sz w:val="28"/>
          <w:szCs w:val="28"/>
          <w:lang w:val="lv-LV"/>
        </w:rPr>
        <w:tab/>
      </w:r>
      <w:r w:rsidRPr="00A65752">
        <w:rPr>
          <w:sz w:val="28"/>
          <w:szCs w:val="28"/>
          <w:lang w:val="lv-LV"/>
        </w:rPr>
        <w:tab/>
      </w:r>
      <w:r w:rsidRPr="00A65752">
        <w:rPr>
          <w:sz w:val="28"/>
          <w:szCs w:val="28"/>
          <w:lang w:val="lv-LV"/>
        </w:rPr>
        <w:tab/>
      </w:r>
      <w:r w:rsidRPr="00A65752">
        <w:rPr>
          <w:sz w:val="28"/>
          <w:szCs w:val="28"/>
          <w:lang w:val="lv-LV"/>
        </w:rPr>
        <w:tab/>
      </w:r>
      <w:r w:rsidRPr="00A65752">
        <w:rPr>
          <w:sz w:val="28"/>
          <w:szCs w:val="28"/>
          <w:lang w:val="lv-LV"/>
        </w:rPr>
        <w:tab/>
      </w:r>
      <w:proofErr w:type="spellStart"/>
      <w:r w:rsidRPr="00A65752">
        <w:rPr>
          <w:sz w:val="28"/>
          <w:szCs w:val="28"/>
          <w:lang w:val="lv-LV"/>
        </w:rPr>
        <w:t>I.Circene</w:t>
      </w:r>
      <w:proofErr w:type="spellEnd"/>
    </w:p>
    <w:p w:rsidR="008D1E1E" w:rsidRPr="00A65752" w:rsidRDefault="008D1E1E" w:rsidP="008D1E1E">
      <w:pPr>
        <w:pStyle w:val="NoSpacing"/>
        <w:tabs>
          <w:tab w:val="left" w:pos="2270"/>
        </w:tabs>
        <w:jc w:val="both"/>
        <w:rPr>
          <w:rFonts w:ascii="Times New Roman" w:hAnsi="Times New Roman"/>
          <w:sz w:val="24"/>
          <w:szCs w:val="24"/>
        </w:rPr>
      </w:pPr>
    </w:p>
    <w:p w:rsidR="00C91FEE" w:rsidRDefault="00C91FEE" w:rsidP="008D1E1E">
      <w:pPr>
        <w:pStyle w:val="NoSpacing"/>
        <w:tabs>
          <w:tab w:val="left" w:pos="2270"/>
        </w:tabs>
        <w:jc w:val="both"/>
        <w:rPr>
          <w:rFonts w:ascii="Times New Roman" w:hAnsi="Times New Roman"/>
          <w:sz w:val="24"/>
          <w:szCs w:val="24"/>
        </w:rPr>
      </w:pPr>
    </w:p>
    <w:p w:rsidR="00A176BE" w:rsidRDefault="00A176BE" w:rsidP="008D1E1E">
      <w:pPr>
        <w:pStyle w:val="NoSpacing"/>
        <w:tabs>
          <w:tab w:val="left" w:pos="2270"/>
        </w:tabs>
        <w:jc w:val="both"/>
        <w:rPr>
          <w:rFonts w:ascii="Times New Roman" w:hAnsi="Times New Roman"/>
          <w:sz w:val="24"/>
          <w:szCs w:val="24"/>
        </w:rPr>
      </w:pPr>
    </w:p>
    <w:p w:rsidR="00A176BE" w:rsidRDefault="00A176BE" w:rsidP="008D1E1E">
      <w:pPr>
        <w:pStyle w:val="NoSpacing"/>
        <w:tabs>
          <w:tab w:val="left" w:pos="2270"/>
        </w:tabs>
        <w:jc w:val="both"/>
        <w:rPr>
          <w:rFonts w:ascii="Times New Roman" w:hAnsi="Times New Roman"/>
          <w:sz w:val="24"/>
          <w:szCs w:val="24"/>
        </w:rPr>
      </w:pPr>
    </w:p>
    <w:p w:rsidR="00A176BE" w:rsidRDefault="00A176BE" w:rsidP="008D1E1E">
      <w:pPr>
        <w:pStyle w:val="NoSpacing"/>
        <w:tabs>
          <w:tab w:val="left" w:pos="2270"/>
        </w:tabs>
        <w:jc w:val="both"/>
        <w:rPr>
          <w:rFonts w:ascii="Times New Roman" w:hAnsi="Times New Roman"/>
          <w:sz w:val="24"/>
          <w:szCs w:val="24"/>
        </w:rPr>
      </w:pPr>
    </w:p>
    <w:p w:rsidR="00A176BE" w:rsidRDefault="00A176BE" w:rsidP="008D1E1E">
      <w:pPr>
        <w:pStyle w:val="NoSpacing"/>
        <w:tabs>
          <w:tab w:val="left" w:pos="2270"/>
        </w:tabs>
        <w:jc w:val="both"/>
        <w:rPr>
          <w:rFonts w:ascii="Times New Roman" w:hAnsi="Times New Roman"/>
          <w:sz w:val="24"/>
          <w:szCs w:val="24"/>
        </w:rPr>
      </w:pPr>
    </w:p>
    <w:p w:rsidR="008D1E1E" w:rsidRPr="00A65752" w:rsidRDefault="00F35B47" w:rsidP="008D1E1E">
      <w:pPr>
        <w:pStyle w:val="NoSpacing"/>
        <w:tabs>
          <w:tab w:val="left" w:pos="2270"/>
        </w:tabs>
        <w:jc w:val="both"/>
        <w:rPr>
          <w:rFonts w:ascii="Times New Roman" w:hAnsi="Times New Roman"/>
          <w:sz w:val="24"/>
          <w:szCs w:val="24"/>
        </w:rPr>
      </w:pPr>
      <w:r>
        <w:rPr>
          <w:rFonts w:ascii="Times New Roman" w:hAnsi="Times New Roman"/>
          <w:sz w:val="24"/>
          <w:szCs w:val="24"/>
        </w:rPr>
        <w:t>05.06</w:t>
      </w:r>
      <w:r w:rsidR="008D1E1E" w:rsidRPr="00A65752">
        <w:rPr>
          <w:rFonts w:ascii="Times New Roman" w:hAnsi="Times New Roman"/>
          <w:sz w:val="24"/>
          <w:szCs w:val="24"/>
        </w:rPr>
        <w:t>.2013.</w:t>
      </w:r>
      <w:r>
        <w:rPr>
          <w:rFonts w:ascii="Times New Roman" w:hAnsi="Times New Roman"/>
          <w:sz w:val="24"/>
          <w:szCs w:val="24"/>
        </w:rPr>
        <w:t>15:37</w:t>
      </w:r>
    </w:p>
    <w:p w:rsidR="008D1E1E" w:rsidRPr="00A65752" w:rsidRDefault="00716B8E" w:rsidP="008D1E1E">
      <w:pPr>
        <w:pStyle w:val="NoSpacing"/>
        <w:jc w:val="both"/>
        <w:rPr>
          <w:rFonts w:ascii="Times New Roman" w:hAnsi="Times New Roman"/>
          <w:sz w:val="24"/>
          <w:szCs w:val="24"/>
        </w:rPr>
      </w:pPr>
      <w:r>
        <w:rPr>
          <w:rFonts w:ascii="Times New Roman" w:hAnsi="Times New Roman"/>
          <w:sz w:val="24"/>
          <w:szCs w:val="24"/>
        </w:rPr>
        <w:t>5</w:t>
      </w:r>
      <w:r w:rsidR="006A5B59">
        <w:rPr>
          <w:rFonts w:ascii="Times New Roman" w:hAnsi="Times New Roman"/>
          <w:sz w:val="24"/>
          <w:szCs w:val="24"/>
        </w:rPr>
        <w:t>308</w:t>
      </w:r>
    </w:p>
    <w:p w:rsidR="008D1E1E" w:rsidRPr="00A65752" w:rsidRDefault="008D1E1E" w:rsidP="008D1E1E">
      <w:pPr>
        <w:pStyle w:val="NoSpacing"/>
        <w:jc w:val="both"/>
        <w:rPr>
          <w:rFonts w:ascii="Times New Roman" w:hAnsi="Times New Roman"/>
          <w:sz w:val="24"/>
          <w:szCs w:val="24"/>
        </w:rPr>
      </w:pPr>
      <w:r w:rsidRPr="00A65752">
        <w:rPr>
          <w:rFonts w:ascii="Times New Roman" w:hAnsi="Times New Roman"/>
          <w:sz w:val="24"/>
          <w:szCs w:val="24"/>
        </w:rPr>
        <w:t>I.Mača</w:t>
      </w:r>
    </w:p>
    <w:p w:rsidR="002F28E4" w:rsidRPr="00A65752" w:rsidRDefault="008D1E1E" w:rsidP="00253A39">
      <w:pPr>
        <w:pStyle w:val="NoSpacing"/>
        <w:jc w:val="both"/>
        <w:rPr>
          <w:rFonts w:ascii="Times New Roman" w:hAnsi="Times New Roman"/>
          <w:sz w:val="24"/>
          <w:szCs w:val="24"/>
        </w:rPr>
      </w:pPr>
      <w:r w:rsidRPr="00A65752">
        <w:rPr>
          <w:rFonts w:ascii="Times New Roman" w:hAnsi="Times New Roman"/>
          <w:sz w:val="24"/>
          <w:szCs w:val="24"/>
        </w:rPr>
        <w:t xml:space="preserve">67876117, </w:t>
      </w:r>
      <w:hyperlink r:id="rId20" w:history="1">
        <w:r w:rsidRPr="00A65752">
          <w:rPr>
            <w:rStyle w:val="Hyperlink"/>
            <w:rFonts w:ascii="Times New Roman" w:hAnsi="Times New Roman"/>
            <w:color w:val="auto"/>
            <w:sz w:val="24"/>
            <w:szCs w:val="24"/>
            <w:u w:val="none"/>
          </w:rPr>
          <w:t>Inguna.Maca@vm.gov.lv</w:t>
        </w:r>
      </w:hyperlink>
    </w:p>
    <w:sectPr w:rsidR="002F28E4" w:rsidRPr="00A65752" w:rsidSect="00722013">
      <w:headerReference w:type="default" r:id="rId21"/>
      <w:footerReference w:type="default" r:id="rId22"/>
      <w:footerReference w:type="first" r:id="rId23"/>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34" w:rsidRDefault="00C01634" w:rsidP="00CB2893">
      <w:r>
        <w:separator/>
      </w:r>
    </w:p>
  </w:endnote>
  <w:endnote w:type="continuationSeparator" w:id="0">
    <w:p w:rsidR="00C01634" w:rsidRDefault="00C01634"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34" w:rsidRPr="00A30EBA" w:rsidRDefault="00C01634" w:rsidP="00675EA4">
    <w:pPr>
      <w:pStyle w:val="NoSpacing"/>
      <w:rPr>
        <w:rFonts w:ascii="Times New Roman" w:hAnsi="Times New Roman"/>
        <w:sz w:val="24"/>
        <w:szCs w:val="24"/>
      </w:rPr>
    </w:pPr>
    <w:r w:rsidRPr="00A30EBA">
      <w:rPr>
        <w:rFonts w:ascii="Times New Roman" w:hAnsi="Times New Roman"/>
        <w:sz w:val="24"/>
        <w:szCs w:val="24"/>
      </w:rPr>
      <w:t>VMAnot_</w:t>
    </w:r>
    <w:r w:rsidR="00F35B47">
      <w:rPr>
        <w:rFonts w:ascii="Times New Roman" w:hAnsi="Times New Roman"/>
        <w:sz w:val="24"/>
        <w:szCs w:val="24"/>
      </w:rPr>
      <w:t>0506</w:t>
    </w:r>
    <w:r>
      <w:rPr>
        <w:rFonts w:ascii="Times New Roman" w:hAnsi="Times New Roman"/>
        <w:sz w:val="24"/>
        <w:szCs w:val="24"/>
      </w:rPr>
      <w:t>13_VSS366</w:t>
    </w:r>
    <w:r w:rsidR="002C6635">
      <w:rPr>
        <w:rFonts w:ascii="Times New Roman" w:hAnsi="Times New Roman"/>
        <w:sz w:val="24"/>
        <w:szCs w:val="24"/>
      </w:rPr>
      <w:t>_lic</w:t>
    </w:r>
    <w:r w:rsidRPr="00A30EBA">
      <w:rPr>
        <w:rFonts w:ascii="Times New Roman" w:hAnsi="Times New Roman"/>
        <w:sz w:val="24"/>
        <w:szCs w:val="24"/>
      </w:rPr>
      <w:t>; Ministru kabineta noteikumu projekts Grozījumi Ministru kabineta 2011.gada 19.oktobra noteikumos Nr.800 ”Farmaceitiskās darbības licencēšanas kārtība”</w:t>
    </w:r>
  </w:p>
  <w:p w:rsidR="00C01634" w:rsidRPr="00B47DC5" w:rsidRDefault="00C01634" w:rsidP="00B47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34" w:rsidRPr="00A30EBA" w:rsidRDefault="00C01634" w:rsidP="00A30EBA">
    <w:pPr>
      <w:pStyle w:val="NoSpacing"/>
      <w:rPr>
        <w:rFonts w:ascii="Times New Roman" w:hAnsi="Times New Roman"/>
        <w:sz w:val="24"/>
        <w:szCs w:val="24"/>
      </w:rPr>
    </w:pPr>
    <w:r w:rsidRPr="00A30EBA">
      <w:rPr>
        <w:rFonts w:ascii="Times New Roman" w:hAnsi="Times New Roman"/>
        <w:sz w:val="24"/>
        <w:szCs w:val="24"/>
      </w:rPr>
      <w:t>VMAnot_</w:t>
    </w:r>
    <w:r w:rsidR="00F35B47">
      <w:rPr>
        <w:rFonts w:ascii="Times New Roman" w:hAnsi="Times New Roman"/>
        <w:sz w:val="24"/>
        <w:szCs w:val="24"/>
      </w:rPr>
      <w:t>0506</w:t>
    </w:r>
    <w:r>
      <w:rPr>
        <w:rFonts w:ascii="Times New Roman" w:hAnsi="Times New Roman"/>
        <w:sz w:val="24"/>
        <w:szCs w:val="24"/>
      </w:rPr>
      <w:t>13_VSS366</w:t>
    </w:r>
    <w:r w:rsidR="002C6635">
      <w:rPr>
        <w:rFonts w:ascii="Times New Roman" w:hAnsi="Times New Roman"/>
        <w:sz w:val="24"/>
        <w:szCs w:val="24"/>
      </w:rPr>
      <w:t>_lic</w:t>
    </w:r>
    <w:r w:rsidRPr="00A30EBA">
      <w:rPr>
        <w:rFonts w:ascii="Times New Roman" w:hAnsi="Times New Roman"/>
        <w:sz w:val="24"/>
        <w:szCs w:val="24"/>
      </w:rPr>
      <w:t>; Ministru kabineta noteikumu projekts Grozījumi Ministru kabineta 2011.gada 19.oktobra noteikumos Nr.800 ”Farmaceitiskās darbības licencēšanas kārtība”</w:t>
    </w:r>
  </w:p>
  <w:p w:rsidR="00C01634" w:rsidRPr="00841018" w:rsidRDefault="00C01634" w:rsidP="00841018">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34" w:rsidRDefault="00C01634" w:rsidP="00CB2893">
      <w:r>
        <w:separator/>
      </w:r>
    </w:p>
  </w:footnote>
  <w:footnote w:type="continuationSeparator" w:id="0">
    <w:p w:rsidR="00C01634" w:rsidRDefault="00C01634"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34" w:rsidRDefault="00E079E4">
    <w:pPr>
      <w:pStyle w:val="Header"/>
      <w:jc w:val="center"/>
    </w:pPr>
    <w:fldSimple w:instr=" PAGE   \* MERGEFORMAT ">
      <w:r w:rsidR="00F35B47">
        <w:rPr>
          <w:noProof/>
        </w:rPr>
        <w:t>27</w:t>
      </w:r>
    </w:fldSimple>
  </w:p>
  <w:p w:rsidR="00C01634" w:rsidRDefault="00C01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9"/>
    <w:multiLevelType w:val="hybridMultilevel"/>
    <w:tmpl w:val="518CEA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C7FD4"/>
    <w:multiLevelType w:val="hybridMultilevel"/>
    <w:tmpl w:val="99027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D12F72"/>
    <w:multiLevelType w:val="hybridMultilevel"/>
    <w:tmpl w:val="5D809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5B0E03"/>
    <w:multiLevelType w:val="hybridMultilevel"/>
    <w:tmpl w:val="9B78E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91153"/>
    <w:multiLevelType w:val="hybridMultilevel"/>
    <w:tmpl w:val="AC082656"/>
    <w:lvl w:ilvl="0" w:tplc="75A010B0">
      <w:start w:val="1"/>
      <w:numFmt w:val="lowerLetter"/>
      <w:lvlText w:val="%1)"/>
      <w:lvlJc w:val="left"/>
      <w:pPr>
        <w:ind w:left="720" w:hanging="360"/>
      </w:pPr>
      <w:rPr>
        <w:rFonts w:hint="default"/>
        <w:color w:val="333333"/>
        <w:sz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42B5CD7"/>
    <w:multiLevelType w:val="hybridMultilevel"/>
    <w:tmpl w:val="1A9C5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1">
    <w:nsid w:val="49810EFF"/>
    <w:multiLevelType w:val="hybridMultilevel"/>
    <w:tmpl w:val="6D5277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F20982"/>
    <w:multiLevelType w:val="hybridMultilevel"/>
    <w:tmpl w:val="3AA891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C0550C"/>
    <w:multiLevelType w:val="hybridMultilevel"/>
    <w:tmpl w:val="A7AE36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7"/>
  </w:num>
  <w:num w:numId="7">
    <w:abstractNumId w:val="13"/>
  </w:num>
  <w:num w:numId="8">
    <w:abstractNumId w:val="6"/>
  </w:num>
  <w:num w:numId="9">
    <w:abstractNumId w:val="8"/>
  </w:num>
  <w:num w:numId="10">
    <w:abstractNumId w:val="11"/>
  </w:num>
  <w:num w:numId="11">
    <w:abstractNumId w:val="4"/>
  </w:num>
  <w:num w:numId="12">
    <w:abstractNumId w:val="1"/>
  </w:num>
  <w:num w:numId="13">
    <w:abstractNumId w:val="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04F2"/>
    <w:rsid w:val="00001289"/>
    <w:rsid w:val="00001D79"/>
    <w:rsid w:val="00001E9A"/>
    <w:rsid w:val="00001EF2"/>
    <w:rsid w:val="0000228C"/>
    <w:rsid w:val="00002559"/>
    <w:rsid w:val="00003659"/>
    <w:rsid w:val="00003C89"/>
    <w:rsid w:val="00005208"/>
    <w:rsid w:val="0000613D"/>
    <w:rsid w:val="00006E22"/>
    <w:rsid w:val="0000718E"/>
    <w:rsid w:val="00007C76"/>
    <w:rsid w:val="00007FAA"/>
    <w:rsid w:val="00010861"/>
    <w:rsid w:val="00011558"/>
    <w:rsid w:val="000117F2"/>
    <w:rsid w:val="00012BFE"/>
    <w:rsid w:val="00012FFB"/>
    <w:rsid w:val="00013BD0"/>
    <w:rsid w:val="00015256"/>
    <w:rsid w:val="000155B8"/>
    <w:rsid w:val="00015964"/>
    <w:rsid w:val="00016CD7"/>
    <w:rsid w:val="0002034A"/>
    <w:rsid w:val="00020485"/>
    <w:rsid w:val="00020906"/>
    <w:rsid w:val="00020A20"/>
    <w:rsid w:val="000213A2"/>
    <w:rsid w:val="00021C8F"/>
    <w:rsid w:val="00022BAC"/>
    <w:rsid w:val="00022C05"/>
    <w:rsid w:val="00023126"/>
    <w:rsid w:val="00023CF5"/>
    <w:rsid w:val="0002589B"/>
    <w:rsid w:val="00027846"/>
    <w:rsid w:val="00027D57"/>
    <w:rsid w:val="00030EEF"/>
    <w:rsid w:val="00031188"/>
    <w:rsid w:val="00032BCC"/>
    <w:rsid w:val="00035CEA"/>
    <w:rsid w:val="000367B6"/>
    <w:rsid w:val="0004045C"/>
    <w:rsid w:val="000404ED"/>
    <w:rsid w:val="00042608"/>
    <w:rsid w:val="00044972"/>
    <w:rsid w:val="00046C3E"/>
    <w:rsid w:val="000474E0"/>
    <w:rsid w:val="00047C33"/>
    <w:rsid w:val="00050905"/>
    <w:rsid w:val="00052ABA"/>
    <w:rsid w:val="00052C5D"/>
    <w:rsid w:val="000535C7"/>
    <w:rsid w:val="000538E3"/>
    <w:rsid w:val="0005425A"/>
    <w:rsid w:val="00055C6D"/>
    <w:rsid w:val="0005624A"/>
    <w:rsid w:val="000608DD"/>
    <w:rsid w:val="000616E4"/>
    <w:rsid w:val="00061C6C"/>
    <w:rsid w:val="0006236E"/>
    <w:rsid w:val="000639A9"/>
    <w:rsid w:val="000639C0"/>
    <w:rsid w:val="00064A2A"/>
    <w:rsid w:val="00064E34"/>
    <w:rsid w:val="00064F20"/>
    <w:rsid w:val="000676C0"/>
    <w:rsid w:val="00070972"/>
    <w:rsid w:val="00070AAB"/>
    <w:rsid w:val="00070C8F"/>
    <w:rsid w:val="00072EAE"/>
    <w:rsid w:val="00075530"/>
    <w:rsid w:val="0007751C"/>
    <w:rsid w:val="0008146C"/>
    <w:rsid w:val="0008348C"/>
    <w:rsid w:val="00083B1E"/>
    <w:rsid w:val="00083E00"/>
    <w:rsid w:val="000846B6"/>
    <w:rsid w:val="00084E0B"/>
    <w:rsid w:val="000863BB"/>
    <w:rsid w:val="00086DC5"/>
    <w:rsid w:val="00087E9A"/>
    <w:rsid w:val="000916DE"/>
    <w:rsid w:val="00092538"/>
    <w:rsid w:val="00092BAE"/>
    <w:rsid w:val="000931C2"/>
    <w:rsid w:val="0009493C"/>
    <w:rsid w:val="00096225"/>
    <w:rsid w:val="00096C3F"/>
    <w:rsid w:val="000A015C"/>
    <w:rsid w:val="000A0FCE"/>
    <w:rsid w:val="000A1209"/>
    <w:rsid w:val="000A16CA"/>
    <w:rsid w:val="000A19B1"/>
    <w:rsid w:val="000A3086"/>
    <w:rsid w:val="000A58BA"/>
    <w:rsid w:val="000A66DA"/>
    <w:rsid w:val="000A6C30"/>
    <w:rsid w:val="000A6DC3"/>
    <w:rsid w:val="000A78D3"/>
    <w:rsid w:val="000B0AC6"/>
    <w:rsid w:val="000B2FCB"/>
    <w:rsid w:val="000B3BE4"/>
    <w:rsid w:val="000B3DD2"/>
    <w:rsid w:val="000B3FB7"/>
    <w:rsid w:val="000B4DC9"/>
    <w:rsid w:val="000B663D"/>
    <w:rsid w:val="000B6B56"/>
    <w:rsid w:val="000B6BA6"/>
    <w:rsid w:val="000B725F"/>
    <w:rsid w:val="000B778C"/>
    <w:rsid w:val="000C03F3"/>
    <w:rsid w:val="000C2321"/>
    <w:rsid w:val="000C259E"/>
    <w:rsid w:val="000C32AD"/>
    <w:rsid w:val="000C4733"/>
    <w:rsid w:val="000C4E9F"/>
    <w:rsid w:val="000C50A4"/>
    <w:rsid w:val="000C5484"/>
    <w:rsid w:val="000C61FD"/>
    <w:rsid w:val="000C6F84"/>
    <w:rsid w:val="000C71EF"/>
    <w:rsid w:val="000D13A9"/>
    <w:rsid w:val="000D142E"/>
    <w:rsid w:val="000D24D0"/>
    <w:rsid w:val="000D2653"/>
    <w:rsid w:val="000D30C8"/>
    <w:rsid w:val="000D3F72"/>
    <w:rsid w:val="000D6996"/>
    <w:rsid w:val="000D79E9"/>
    <w:rsid w:val="000D7E97"/>
    <w:rsid w:val="000E128E"/>
    <w:rsid w:val="000E1F01"/>
    <w:rsid w:val="000E34DE"/>
    <w:rsid w:val="000E44C0"/>
    <w:rsid w:val="000E4EF6"/>
    <w:rsid w:val="000E5134"/>
    <w:rsid w:val="000E5623"/>
    <w:rsid w:val="000E5642"/>
    <w:rsid w:val="000E5A1E"/>
    <w:rsid w:val="000E6DC8"/>
    <w:rsid w:val="000E6FF6"/>
    <w:rsid w:val="000F0692"/>
    <w:rsid w:val="000F0872"/>
    <w:rsid w:val="000F1993"/>
    <w:rsid w:val="000F1E84"/>
    <w:rsid w:val="000F215C"/>
    <w:rsid w:val="000F248E"/>
    <w:rsid w:val="000F4604"/>
    <w:rsid w:val="000F63CB"/>
    <w:rsid w:val="000F73C3"/>
    <w:rsid w:val="000F7478"/>
    <w:rsid w:val="0010123C"/>
    <w:rsid w:val="0010348D"/>
    <w:rsid w:val="001034FD"/>
    <w:rsid w:val="00103785"/>
    <w:rsid w:val="00103C93"/>
    <w:rsid w:val="00106744"/>
    <w:rsid w:val="00110A3F"/>
    <w:rsid w:val="00111DD7"/>
    <w:rsid w:val="001129C8"/>
    <w:rsid w:val="00113210"/>
    <w:rsid w:val="0011592A"/>
    <w:rsid w:val="00116331"/>
    <w:rsid w:val="00116DEC"/>
    <w:rsid w:val="001176B2"/>
    <w:rsid w:val="00120CD4"/>
    <w:rsid w:val="00120F93"/>
    <w:rsid w:val="00121247"/>
    <w:rsid w:val="00123D54"/>
    <w:rsid w:val="00123FBC"/>
    <w:rsid w:val="00124208"/>
    <w:rsid w:val="00124AC5"/>
    <w:rsid w:val="0012667B"/>
    <w:rsid w:val="00131F58"/>
    <w:rsid w:val="001327C9"/>
    <w:rsid w:val="001336D0"/>
    <w:rsid w:val="00135123"/>
    <w:rsid w:val="001356D2"/>
    <w:rsid w:val="00135E59"/>
    <w:rsid w:val="00136DDE"/>
    <w:rsid w:val="00137096"/>
    <w:rsid w:val="00137424"/>
    <w:rsid w:val="00137E23"/>
    <w:rsid w:val="001411BC"/>
    <w:rsid w:val="00141217"/>
    <w:rsid w:val="00142288"/>
    <w:rsid w:val="0014384D"/>
    <w:rsid w:val="001444FF"/>
    <w:rsid w:val="00144DB3"/>
    <w:rsid w:val="00147C7C"/>
    <w:rsid w:val="001512CE"/>
    <w:rsid w:val="001525F6"/>
    <w:rsid w:val="0015264B"/>
    <w:rsid w:val="00155AC5"/>
    <w:rsid w:val="00155B54"/>
    <w:rsid w:val="00155DB0"/>
    <w:rsid w:val="00156061"/>
    <w:rsid w:val="001609B9"/>
    <w:rsid w:val="001615FD"/>
    <w:rsid w:val="0016272A"/>
    <w:rsid w:val="0016281F"/>
    <w:rsid w:val="001648A7"/>
    <w:rsid w:val="00165216"/>
    <w:rsid w:val="00165849"/>
    <w:rsid w:val="00166B8E"/>
    <w:rsid w:val="00170B67"/>
    <w:rsid w:val="00171CBB"/>
    <w:rsid w:val="00171E86"/>
    <w:rsid w:val="0017218C"/>
    <w:rsid w:val="00172B60"/>
    <w:rsid w:val="00173049"/>
    <w:rsid w:val="0017318A"/>
    <w:rsid w:val="00173792"/>
    <w:rsid w:val="00173B68"/>
    <w:rsid w:val="00174C6B"/>
    <w:rsid w:val="0017659B"/>
    <w:rsid w:val="00177807"/>
    <w:rsid w:val="0018103F"/>
    <w:rsid w:val="00181C49"/>
    <w:rsid w:val="00182D52"/>
    <w:rsid w:val="00183A10"/>
    <w:rsid w:val="001844D0"/>
    <w:rsid w:val="00185D59"/>
    <w:rsid w:val="0018735F"/>
    <w:rsid w:val="00187F32"/>
    <w:rsid w:val="00190583"/>
    <w:rsid w:val="00190A0D"/>
    <w:rsid w:val="00191E34"/>
    <w:rsid w:val="001926F4"/>
    <w:rsid w:val="00192B03"/>
    <w:rsid w:val="00193809"/>
    <w:rsid w:val="00193D34"/>
    <w:rsid w:val="00193F09"/>
    <w:rsid w:val="00196C13"/>
    <w:rsid w:val="00197301"/>
    <w:rsid w:val="00197A5E"/>
    <w:rsid w:val="00197E79"/>
    <w:rsid w:val="001A25F8"/>
    <w:rsid w:val="001A25FA"/>
    <w:rsid w:val="001A46EC"/>
    <w:rsid w:val="001A52F9"/>
    <w:rsid w:val="001A59B1"/>
    <w:rsid w:val="001A5A65"/>
    <w:rsid w:val="001A5E30"/>
    <w:rsid w:val="001A6C3F"/>
    <w:rsid w:val="001A7345"/>
    <w:rsid w:val="001A77B7"/>
    <w:rsid w:val="001A7FB2"/>
    <w:rsid w:val="001B02DD"/>
    <w:rsid w:val="001B361C"/>
    <w:rsid w:val="001B3B3B"/>
    <w:rsid w:val="001B45AA"/>
    <w:rsid w:val="001B48EB"/>
    <w:rsid w:val="001B4AD9"/>
    <w:rsid w:val="001B4E81"/>
    <w:rsid w:val="001B6625"/>
    <w:rsid w:val="001B67D5"/>
    <w:rsid w:val="001B685D"/>
    <w:rsid w:val="001B6B99"/>
    <w:rsid w:val="001C030D"/>
    <w:rsid w:val="001C1FAC"/>
    <w:rsid w:val="001C2D8D"/>
    <w:rsid w:val="001C2FF0"/>
    <w:rsid w:val="001C3035"/>
    <w:rsid w:val="001C33F8"/>
    <w:rsid w:val="001C3F6E"/>
    <w:rsid w:val="001C6B86"/>
    <w:rsid w:val="001C6B9D"/>
    <w:rsid w:val="001D0B5F"/>
    <w:rsid w:val="001D0F6A"/>
    <w:rsid w:val="001D1743"/>
    <w:rsid w:val="001D271E"/>
    <w:rsid w:val="001D273C"/>
    <w:rsid w:val="001D3896"/>
    <w:rsid w:val="001D3FAB"/>
    <w:rsid w:val="001D5313"/>
    <w:rsid w:val="001E080D"/>
    <w:rsid w:val="001E0B9E"/>
    <w:rsid w:val="001E39DA"/>
    <w:rsid w:val="001E3D9E"/>
    <w:rsid w:val="001E4D7C"/>
    <w:rsid w:val="001E6D46"/>
    <w:rsid w:val="001F0535"/>
    <w:rsid w:val="001F155D"/>
    <w:rsid w:val="001F2135"/>
    <w:rsid w:val="001F2BA6"/>
    <w:rsid w:val="001F324C"/>
    <w:rsid w:val="001F378B"/>
    <w:rsid w:val="001F531E"/>
    <w:rsid w:val="001F6D91"/>
    <w:rsid w:val="002006D2"/>
    <w:rsid w:val="0020129F"/>
    <w:rsid w:val="002012CC"/>
    <w:rsid w:val="00202829"/>
    <w:rsid w:val="0020359B"/>
    <w:rsid w:val="00203D8D"/>
    <w:rsid w:val="00203DE2"/>
    <w:rsid w:val="002051CB"/>
    <w:rsid w:val="00205255"/>
    <w:rsid w:val="00206043"/>
    <w:rsid w:val="00211483"/>
    <w:rsid w:val="00212275"/>
    <w:rsid w:val="002157BA"/>
    <w:rsid w:val="00216E7A"/>
    <w:rsid w:val="00220757"/>
    <w:rsid w:val="0022124A"/>
    <w:rsid w:val="00222FDE"/>
    <w:rsid w:val="00223536"/>
    <w:rsid w:val="00223C90"/>
    <w:rsid w:val="00224013"/>
    <w:rsid w:val="00224852"/>
    <w:rsid w:val="00224E45"/>
    <w:rsid w:val="00226B5C"/>
    <w:rsid w:val="00227CD0"/>
    <w:rsid w:val="00231C29"/>
    <w:rsid w:val="00232311"/>
    <w:rsid w:val="002329DB"/>
    <w:rsid w:val="00232BD7"/>
    <w:rsid w:val="00234237"/>
    <w:rsid w:val="00234C9D"/>
    <w:rsid w:val="00234D06"/>
    <w:rsid w:val="00235EB9"/>
    <w:rsid w:val="00236D74"/>
    <w:rsid w:val="00236DF8"/>
    <w:rsid w:val="002400A0"/>
    <w:rsid w:val="00242A09"/>
    <w:rsid w:val="00243381"/>
    <w:rsid w:val="002444C1"/>
    <w:rsid w:val="00244F7E"/>
    <w:rsid w:val="00250388"/>
    <w:rsid w:val="00250BB5"/>
    <w:rsid w:val="00253A39"/>
    <w:rsid w:val="00254673"/>
    <w:rsid w:val="00255DCA"/>
    <w:rsid w:val="00256D42"/>
    <w:rsid w:val="00257F97"/>
    <w:rsid w:val="002600AD"/>
    <w:rsid w:val="00262B67"/>
    <w:rsid w:val="0026362B"/>
    <w:rsid w:val="00264F6C"/>
    <w:rsid w:val="002659DE"/>
    <w:rsid w:val="00265E30"/>
    <w:rsid w:val="00266066"/>
    <w:rsid w:val="00267857"/>
    <w:rsid w:val="00267D0A"/>
    <w:rsid w:val="00270413"/>
    <w:rsid w:val="00271F51"/>
    <w:rsid w:val="002720C8"/>
    <w:rsid w:val="002721FB"/>
    <w:rsid w:val="00272A73"/>
    <w:rsid w:val="002743AB"/>
    <w:rsid w:val="002748F4"/>
    <w:rsid w:val="00276851"/>
    <w:rsid w:val="00276E83"/>
    <w:rsid w:val="00277E4A"/>
    <w:rsid w:val="00281A6E"/>
    <w:rsid w:val="00281B45"/>
    <w:rsid w:val="00281DB0"/>
    <w:rsid w:val="0028304C"/>
    <w:rsid w:val="0028438E"/>
    <w:rsid w:val="002858DF"/>
    <w:rsid w:val="002863C6"/>
    <w:rsid w:val="00286FD8"/>
    <w:rsid w:val="002873E9"/>
    <w:rsid w:val="00290A4A"/>
    <w:rsid w:val="00291C5A"/>
    <w:rsid w:val="00291D81"/>
    <w:rsid w:val="00291E73"/>
    <w:rsid w:val="00292E58"/>
    <w:rsid w:val="00293B62"/>
    <w:rsid w:val="0029481E"/>
    <w:rsid w:val="00294F06"/>
    <w:rsid w:val="002958CE"/>
    <w:rsid w:val="002A00C5"/>
    <w:rsid w:val="002A14E9"/>
    <w:rsid w:val="002A161C"/>
    <w:rsid w:val="002A1BB8"/>
    <w:rsid w:val="002A2155"/>
    <w:rsid w:val="002A25B9"/>
    <w:rsid w:val="002A312F"/>
    <w:rsid w:val="002A3135"/>
    <w:rsid w:val="002A39BC"/>
    <w:rsid w:val="002A4616"/>
    <w:rsid w:val="002A60B7"/>
    <w:rsid w:val="002A64F9"/>
    <w:rsid w:val="002A7337"/>
    <w:rsid w:val="002A7E62"/>
    <w:rsid w:val="002B00DD"/>
    <w:rsid w:val="002B01ED"/>
    <w:rsid w:val="002B0817"/>
    <w:rsid w:val="002B2C44"/>
    <w:rsid w:val="002B2CBA"/>
    <w:rsid w:val="002B405C"/>
    <w:rsid w:val="002B4575"/>
    <w:rsid w:val="002B48FE"/>
    <w:rsid w:val="002B588D"/>
    <w:rsid w:val="002B667F"/>
    <w:rsid w:val="002C0158"/>
    <w:rsid w:val="002C09EC"/>
    <w:rsid w:val="002C139F"/>
    <w:rsid w:val="002C2789"/>
    <w:rsid w:val="002C2F8F"/>
    <w:rsid w:val="002C382A"/>
    <w:rsid w:val="002C3A96"/>
    <w:rsid w:val="002C3C41"/>
    <w:rsid w:val="002C53E6"/>
    <w:rsid w:val="002C6635"/>
    <w:rsid w:val="002C70A1"/>
    <w:rsid w:val="002D03B6"/>
    <w:rsid w:val="002D0B40"/>
    <w:rsid w:val="002D173A"/>
    <w:rsid w:val="002D211B"/>
    <w:rsid w:val="002D2745"/>
    <w:rsid w:val="002D2BF3"/>
    <w:rsid w:val="002D2D67"/>
    <w:rsid w:val="002D3312"/>
    <w:rsid w:val="002D3650"/>
    <w:rsid w:val="002D427C"/>
    <w:rsid w:val="002D4E98"/>
    <w:rsid w:val="002D6ED5"/>
    <w:rsid w:val="002D72DE"/>
    <w:rsid w:val="002E158F"/>
    <w:rsid w:val="002E1D0A"/>
    <w:rsid w:val="002E2A00"/>
    <w:rsid w:val="002E2F20"/>
    <w:rsid w:val="002E349A"/>
    <w:rsid w:val="002E46BA"/>
    <w:rsid w:val="002E6DA0"/>
    <w:rsid w:val="002F0DD3"/>
    <w:rsid w:val="002F1031"/>
    <w:rsid w:val="002F1B5A"/>
    <w:rsid w:val="002F28E4"/>
    <w:rsid w:val="002F3755"/>
    <w:rsid w:val="002F3E4C"/>
    <w:rsid w:val="002F43EE"/>
    <w:rsid w:val="002F5B5D"/>
    <w:rsid w:val="002F5F38"/>
    <w:rsid w:val="002F76BF"/>
    <w:rsid w:val="002F7A3A"/>
    <w:rsid w:val="0030015A"/>
    <w:rsid w:val="00300A11"/>
    <w:rsid w:val="00304587"/>
    <w:rsid w:val="0030518D"/>
    <w:rsid w:val="003056C3"/>
    <w:rsid w:val="00305D7F"/>
    <w:rsid w:val="00307532"/>
    <w:rsid w:val="00311781"/>
    <w:rsid w:val="00311AC2"/>
    <w:rsid w:val="00312031"/>
    <w:rsid w:val="003124A7"/>
    <w:rsid w:val="003130D9"/>
    <w:rsid w:val="0031332A"/>
    <w:rsid w:val="00316543"/>
    <w:rsid w:val="0031799C"/>
    <w:rsid w:val="00320778"/>
    <w:rsid w:val="00320D27"/>
    <w:rsid w:val="0032303C"/>
    <w:rsid w:val="00323EEF"/>
    <w:rsid w:val="00326C6F"/>
    <w:rsid w:val="00332320"/>
    <w:rsid w:val="0033252A"/>
    <w:rsid w:val="00332DC5"/>
    <w:rsid w:val="003333CB"/>
    <w:rsid w:val="00333A13"/>
    <w:rsid w:val="00333D26"/>
    <w:rsid w:val="00333F42"/>
    <w:rsid w:val="003341D8"/>
    <w:rsid w:val="003345FB"/>
    <w:rsid w:val="0033535E"/>
    <w:rsid w:val="00336345"/>
    <w:rsid w:val="00337412"/>
    <w:rsid w:val="0034089D"/>
    <w:rsid w:val="00340CF9"/>
    <w:rsid w:val="0034143D"/>
    <w:rsid w:val="00342C5C"/>
    <w:rsid w:val="003431B7"/>
    <w:rsid w:val="00343D5C"/>
    <w:rsid w:val="00344414"/>
    <w:rsid w:val="0034592D"/>
    <w:rsid w:val="00345DE8"/>
    <w:rsid w:val="0034672E"/>
    <w:rsid w:val="00346895"/>
    <w:rsid w:val="0034698A"/>
    <w:rsid w:val="0034760E"/>
    <w:rsid w:val="00350717"/>
    <w:rsid w:val="00350DA6"/>
    <w:rsid w:val="00350DEA"/>
    <w:rsid w:val="00350EC6"/>
    <w:rsid w:val="00351843"/>
    <w:rsid w:val="00352190"/>
    <w:rsid w:val="00352D4F"/>
    <w:rsid w:val="00353F8D"/>
    <w:rsid w:val="00354417"/>
    <w:rsid w:val="00356B31"/>
    <w:rsid w:val="00357331"/>
    <w:rsid w:val="00360504"/>
    <w:rsid w:val="00361BCC"/>
    <w:rsid w:val="00363BF0"/>
    <w:rsid w:val="00365723"/>
    <w:rsid w:val="00366195"/>
    <w:rsid w:val="00367229"/>
    <w:rsid w:val="003708E7"/>
    <w:rsid w:val="00370BF6"/>
    <w:rsid w:val="003715AE"/>
    <w:rsid w:val="00371B37"/>
    <w:rsid w:val="00371EA2"/>
    <w:rsid w:val="00372F6F"/>
    <w:rsid w:val="003732A1"/>
    <w:rsid w:val="00373595"/>
    <w:rsid w:val="00374185"/>
    <w:rsid w:val="003745DD"/>
    <w:rsid w:val="00374711"/>
    <w:rsid w:val="00375634"/>
    <w:rsid w:val="00376763"/>
    <w:rsid w:val="0037714E"/>
    <w:rsid w:val="003777FF"/>
    <w:rsid w:val="00377B47"/>
    <w:rsid w:val="00381DA4"/>
    <w:rsid w:val="00382E29"/>
    <w:rsid w:val="00383694"/>
    <w:rsid w:val="00383856"/>
    <w:rsid w:val="00384959"/>
    <w:rsid w:val="003849A2"/>
    <w:rsid w:val="00386538"/>
    <w:rsid w:val="00387D0E"/>
    <w:rsid w:val="00390B3E"/>
    <w:rsid w:val="00392359"/>
    <w:rsid w:val="003924A6"/>
    <w:rsid w:val="003930FB"/>
    <w:rsid w:val="00394A6A"/>
    <w:rsid w:val="00395DA8"/>
    <w:rsid w:val="00395FBA"/>
    <w:rsid w:val="00396584"/>
    <w:rsid w:val="00397498"/>
    <w:rsid w:val="003A1305"/>
    <w:rsid w:val="003A1EB7"/>
    <w:rsid w:val="003A2134"/>
    <w:rsid w:val="003A5C24"/>
    <w:rsid w:val="003A5F1F"/>
    <w:rsid w:val="003A60C2"/>
    <w:rsid w:val="003A65E2"/>
    <w:rsid w:val="003A6F8A"/>
    <w:rsid w:val="003A7D4F"/>
    <w:rsid w:val="003B1D2F"/>
    <w:rsid w:val="003B3939"/>
    <w:rsid w:val="003B65FE"/>
    <w:rsid w:val="003B6EE2"/>
    <w:rsid w:val="003B707F"/>
    <w:rsid w:val="003B7C58"/>
    <w:rsid w:val="003B7F81"/>
    <w:rsid w:val="003C00B6"/>
    <w:rsid w:val="003C3E55"/>
    <w:rsid w:val="003C4839"/>
    <w:rsid w:val="003C6879"/>
    <w:rsid w:val="003C70A8"/>
    <w:rsid w:val="003C70B0"/>
    <w:rsid w:val="003D0542"/>
    <w:rsid w:val="003D170E"/>
    <w:rsid w:val="003D204B"/>
    <w:rsid w:val="003D2411"/>
    <w:rsid w:val="003D2614"/>
    <w:rsid w:val="003D32C7"/>
    <w:rsid w:val="003D32CF"/>
    <w:rsid w:val="003D457C"/>
    <w:rsid w:val="003D45B5"/>
    <w:rsid w:val="003D57E3"/>
    <w:rsid w:val="003D72F8"/>
    <w:rsid w:val="003E140B"/>
    <w:rsid w:val="003E1B8C"/>
    <w:rsid w:val="003E2EB3"/>
    <w:rsid w:val="003E6725"/>
    <w:rsid w:val="003E743D"/>
    <w:rsid w:val="003F010D"/>
    <w:rsid w:val="003F06B5"/>
    <w:rsid w:val="003F0C56"/>
    <w:rsid w:val="003F2433"/>
    <w:rsid w:val="003F264B"/>
    <w:rsid w:val="003F2839"/>
    <w:rsid w:val="003F3C32"/>
    <w:rsid w:val="003F5045"/>
    <w:rsid w:val="003F6263"/>
    <w:rsid w:val="003F6D61"/>
    <w:rsid w:val="003F70F4"/>
    <w:rsid w:val="00403EFF"/>
    <w:rsid w:val="004050E7"/>
    <w:rsid w:val="004056A1"/>
    <w:rsid w:val="00405A9B"/>
    <w:rsid w:val="00405F34"/>
    <w:rsid w:val="0040694B"/>
    <w:rsid w:val="00406A87"/>
    <w:rsid w:val="004075D5"/>
    <w:rsid w:val="00410AD3"/>
    <w:rsid w:val="00411E1F"/>
    <w:rsid w:val="00411F2B"/>
    <w:rsid w:val="00412D3D"/>
    <w:rsid w:val="00412FF4"/>
    <w:rsid w:val="004134D0"/>
    <w:rsid w:val="004136CE"/>
    <w:rsid w:val="00413D49"/>
    <w:rsid w:val="0041446A"/>
    <w:rsid w:val="004149EC"/>
    <w:rsid w:val="00414C22"/>
    <w:rsid w:val="00415BF5"/>
    <w:rsid w:val="004177F0"/>
    <w:rsid w:val="00417C3C"/>
    <w:rsid w:val="00422E2C"/>
    <w:rsid w:val="00424B4E"/>
    <w:rsid w:val="004251C2"/>
    <w:rsid w:val="00426F6D"/>
    <w:rsid w:val="004307EF"/>
    <w:rsid w:val="004313AB"/>
    <w:rsid w:val="00432FD5"/>
    <w:rsid w:val="0043622F"/>
    <w:rsid w:val="00436943"/>
    <w:rsid w:val="00440B7B"/>
    <w:rsid w:val="00441CE1"/>
    <w:rsid w:val="004429A5"/>
    <w:rsid w:val="004447BA"/>
    <w:rsid w:val="0044516C"/>
    <w:rsid w:val="00445834"/>
    <w:rsid w:val="00445CB6"/>
    <w:rsid w:val="0044662B"/>
    <w:rsid w:val="00447E5B"/>
    <w:rsid w:val="00451663"/>
    <w:rsid w:val="0045174B"/>
    <w:rsid w:val="00453287"/>
    <w:rsid w:val="0045352D"/>
    <w:rsid w:val="004546F7"/>
    <w:rsid w:val="00454E96"/>
    <w:rsid w:val="00455A1D"/>
    <w:rsid w:val="00456109"/>
    <w:rsid w:val="00456F06"/>
    <w:rsid w:val="004606BF"/>
    <w:rsid w:val="004607D9"/>
    <w:rsid w:val="0046121C"/>
    <w:rsid w:val="00461300"/>
    <w:rsid w:val="004621FB"/>
    <w:rsid w:val="00462A69"/>
    <w:rsid w:val="00463FE8"/>
    <w:rsid w:val="00464A01"/>
    <w:rsid w:val="00464E03"/>
    <w:rsid w:val="00465C7E"/>
    <w:rsid w:val="004674DF"/>
    <w:rsid w:val="0047051A"/>
    <w:rsid w:val="004708B9"/>
    <w:rsid w:val="00470CBA"/>
    <w:rsid w:val="004712C4"/>
    <w:rsid w:val="004719E3"/>
    <w:rsid w:val="00472B84"/>
    <w:rsid w:val="004745BE"/>
    <w:rsid w:val="00474B43"/>
    <w:rsid w:val="004758BA"/>
    <w:rsid w:val="004764E5"/>
    <w:rsid w:val="00476B20"/>
    <w:rsid w:val="0047771C"/>
    <w:rsid w:val="004811DA"/>
    <w:rsid w:val="00481417"/>
    <w:rsid w:val="00482831"/>
    <w:rsid w:val="00483A65"/>
    <w:rsid w:val="00484407"/>
    <w:rsid w:val="0048585D"/>
    <w:rsid w:val="00485A9E"/>
    <w:rsid w:val="0048647E"/>
    <w:rsid w:val="0048662C"/>
    <w:rsid w:val="00487D83"/>
    <w:rsid w:val="0049035C"/>
    <w:rsid w:val="0049138E"/>
    <w:rsid w:val="00492670"/>
    <w:rsid w:val="00493383"/>
    <w:rsid w:val="00493CAF"/>
    <w:rsid w:val="00494867"/>
    <w:rsid w:val="00494BD2"/>
    <w:rsid w:val="00495B17"/>
    <w:rsid w:val="004960AE"/>
    <w:rsid w:val="004962EC"/>
    <w:rsid w:val="004969D6"/>
    <w:rsid w:val="00496AE5"/>
    <w:rsid w:val="00496B23"/>
    <w:rsid w:val="004A09CE"/>
    <w:rsid w:val="004A0F32"/>
    <w:rsid w:val="004A0F4F"/>
    <w:rsid w:val="004A13E8"/>
    <w:rsid w:val="004A19D4"/>
    <w:rsid w:val="004A1E90"/>
    <w:rsid w:val="004A245A"/>
    <w:rsid w:val="004A2F48"/>
    <w:rsid w:val="004A3CD2"/>
    <w:rsid w:val="004A4330"/>
    <w:rsid w:val="004A460D"/>
    <w:rsid w:val="004A64D2"/>
    <w:rsid w:val="004A7F09"/>
    <w:rsid w:val="004B012E"/>
    <w:rsid w:val="004B04C2"/>
    <w:rsid w:val="004B07C3"/>
    <w:rsid w:val="004B1067"/>
    <w:rsid w:val="004B32E6"/>
    <w:rsid w:val="004B4BD0"/>
    <w:rsid w:val="004B5969"/>
    <w:rsid w:val="004B6B48"/>
    <w:rsid w:val="004B6E15"/>
    <w:rsid w:val="004B70EC"/>
    <w:rsid w:val="004B749A"/>
    <w:rsid w:val="004C3CA9"/>
    <w:rsid w:val="004C3E41"/>
    <w:rsid w:val="004C3F8F"/>
    <w:rsid w:val="004C6DFC"/>
    <w:rsid w:val="004D13C0"/>
    <w:rsid w:val="004D1468"/>
    <w:rsid w:val="004D18E1"/>
    <w:rsid w:val="004D27D7"/>
    <w:rsid w:val="004D28FE"/>
    <w:rsid w:val="004D2CE3"/>
    <w:rsid w:val="004D4105"/>
    <w:rsid w:val="004D4234"/>
    <w:rsid w:val="004D4C52"/>
    <w:rsid w:val="004D734D"/>
    <w:rsid w:val="004D7857"/>
    <w:rsid w:val="004E25CF"/>
    <w:rsid w:val="004E27E3"/>
    <w:rsid w:val="004E352C"/>
    <w:rsid w:val="004E4379"/>
    <w:rsid w:val="004E6717"/>
    <w:rsid w:val="004E7619"/>
    <w:rsid w:val="004E788B"/>
    <w:rsid w:val="004F1832"/>
    <w:rsid w:val="004F1E47"/>
    <w:rsid w:val="004F1F32"/>
    <w:rsid w:val="004F52AE"/>
    <w:rsid w:val="004F632C"/>
    <w:rsid w:val="004F68A6"/>
    <w:rsid w:val="004F6D1E"/>
    <w:rsid w:val="004F704C"/>
    <w:rsid w:val="004F7698"/>
    <w:rsid w:val="004F798B"/>
    <w:rsid w:val="004F7C1B"/>
    <w:rsid w:val="00501553"/>
    <w:rsid w:val="005023BF"/>
    <w:rsid w:val="00502C7E"/>
    <w:rsid w:val="00503613"/>
    <w:rsid w:val="00503E30"/>
    <w:rsid w:val="00503EB5"/>
    <w:rsid w:val="00503FE7"/>
    <w:rsid w:val="00504E0B"/>
    <w:rsid w:val="0050591F"/>
    <w:rsid w:val="0050659B"/>
    <w:rsid w:val="00506961"/>
    <w:rsid w:val="005076BD"/>
    <w:rsid w:val="00507C0E"/>
    <w:rsid w:val="00510F92"/>
    <w:rsid w:val="005116DC"/>
    <w:rsid w:val="0051256F"/>
    <w:rsid w:val="0051446C"/>
    <w:rsid w:val="00516EA8"/>
    <w:rsid w:val="00517218"/>
    <w:rsid w:val="00517794"/>
    <w:rsid w:val="005179CC"/>
    <w:rsid w:val="00517A11"/>
    <w:rsid w:val="00517FFB"/>
    <w:rsid w:val="00520E93"/>
    <w:rsid w:val="00521076"/>
    <w:rsid w:val="005224D8"/>
    <w:rsid w:val="00523F5E"/>
    <w:rsid w:val="005241C6"/>
    <w:rsid w:val="005241F2"/>
    <w:rsid w:val="0052471F"/>
    <w:rsid w:val="005252E8"/>
    <w:rsid w:val="00525472"/>
    <w:rsid w:val="00527AC8"/>
    <w:rsid w:val="00527F00"/>
    <w:rsid w:val="00530015"/>
    <w:rsid w:val="0053123C"/>
    <w:rsid w:val="005312BE"/>
    <w:rsid w:val="00531657"/>
    <w:rsid w:val="00533239"/>
    <w:rsid w:val="00533B86"/>
    <w:rsid w:val="00534192"/>
    <w:rsid w:val="0053563C"/>
    <w:rsid w:val="0053630C"/>
    <w:rsid w:val="00536E90"/>
    <w:rsid w:val="00536F27"/>
    <w:rsid w:val="00537924"/>
    <w:rsid w:val="0054061F"/>
    <w:rsid w:val="00541485"/>
    <w:rsid w:val="005433DD"/>
    <w:rsid w:val="00543A95"/>
    <w:rsid w:val="0054408D"/>
    <w:rsid w:val="00544D17"/>
    <w:rsid w:val="005454A0"/>
    <w:rsid w:val="0054553E"/>
    <w:rsid w:val="00545AE4"/>
    <w:rsid w:val="00546505"/>
    <w:rsid w:val="00547553"/>
    <w:rsid w:val="00547B05"/>
    <w:rsid w:val="005506BD"/>
    <w:rsid w:val="00553DD2"/>
    <w:rsid w:val="005541E7"/>
    <w:rsid w:val="005549AE"/>
    <w:rsid w:val="00555086"/>
    <w:rsid w:val="00555114"/>
    <w:rsid w:val="00555C4B"/>
    <w:rsid w:val="00556EA6"/>
    <w:rsid w:val="005577C6"/>
    <w:rsid w:val="0055797A"/>
    <w:rsid w:val="00560428"/>
    <w:rsid w:val="005620B0"/>
    <w:rsid w:val="00563E81"/>
    <w:rsid w:val="005651EB"/>
    <w:rsid w:val="005658C1"/>
    <w:rsid w:val="005676C9"/>
    <w:rsid w:val="00567C0E"/>
    <w:rsid w:val="00570469"/>
    <w:rsid w:val="00570F3B"/>
    <w:rsid w:val="00571807"/>
    <w:rsid w:val="00571846"/>
    <w:rsid w:val="00571A9B"/>
    <w:rsid w:val="00571EE5"/>
    <w:rsid w:val="00572154"/>
    <w:rsid w:val="00572259"/>
    <w:rsid w:val="0057389D"/>
    <w:rsid w:val="00574EAE"/>
    <w:rsid w:val="005751E0"/>
    <w:rsid w:val="00575397"/>
    <w:rsid w:val="00576C1C"/>
    <w:rsid w:val="00577451"/>
    <w:rsid w:val="00577D8A"/>
    <w:rsid w:val="0058168B"/>
    <w:rsid w:val="00584924"/>
    <w:rsid w:val="00584D5B"/>
    <w:rsid w:val="00585728"/>
    <w:rsid w:val="0058620B"/>
    <w:rsid w:val="00586C6E"/>
    <w:rsid w:val="00586ECA"/>
    <w:rsid w:val="00586F05"/>
    <w:rsid w:val="00587037"/>
    <w:rsid w:val="0058709D"/>
    <w:rsid w:val="0058713B"/>
    <w:rsid w:val="005871EF"/>
    <w:rsid w:val="0058744C"/>
    <w:rsid w:val="005878D7"/>
    <w:rsid w:val="005900CA"/>
    <w:rsid w:val="00590E04"/>
    <w:rsid w:val="00591279"/>
    <w:rsid w:val="00591C86"/>
    <w:rsid w:val="00592143"/>
    <w:rsid w:val="005923E0"/>
    <w:rsid w:val="00592697"/>
    <w:rsid w:val="00594664"/>
    <w:rsid w:val="00594BA3"/>
    <w:rsid w:val="00596131"/>
    <w:rsid w:val="00596207"/>
    <w:rsid w:val="00596F38"/>
    <w:rsid w:val="005979EB"/>
    <w:rsid w:val="005A037D"/>
    <w:rsid w:val="005A30B3"/>
    <w:rsid w:val="005A36FE"/>
    <w:rsid w:val="005A381F"/>
    <w:rsid w:val="005A4E91"/>
    <w:rsid w:val="005A55B6"/>
    <w:rsid w:val="005A577B"/>
    <w:rsid w:val="005A57CE"/>
    <w:rsid w:val="005A6483"/>
    <w:rsid w:val="005A6ABA"/>
    <w:rsid w:val="005B0520"/>
    <w:rsid w:val="005B0DBE"/>
    <w:rsid w:val="005B1779"/>
    <w:rsid w:val="005B22FF"/>
    <w:rsid w:val="005B4164"/>
    <w:rsid w:val="005B4F4C"/>
    <w:rsid w:val="005B7014"/>
    <w:rsid w:val="005B7C9C"/>
    <w:rsid w:val="005B7D43"/>
    <w:rsid w:val="005B7D91"/>
    <w:rsid w:val="005B7E9F"/>
    <w:rsid w:val="005B7F01"/>
    <w:rsid w:val="005C1A5C"/>
    <w:rsid w:val="005C1C77"/>
    <w:rsid w:val="005C2049"/>
    <w:rsid w:val="005C2677"/>
    <w:rsid w:val="005C5DCD"/>
    <w:rsid w:val="005C6885"/>
    <w:rsid w:val="005C69FF"/>
    <w:rsid w:val="005C707A"/>
    <w:rsid w:val="005D1287"/>
    <w:rsid w:val="005D1B9B"/>
    <w:rsid w:val="005D4010"/>
    <w:rsid w:val="005D4C35"/>
    <w:rsid w:val="005D588E"/>
    <w:rsid w:val="005D5B87"/>
    <w:rsid w:val="005D60A3"/>
    <w:rsid w:val="005D641D"/>
    <w:rsid w:val="005D651E"/>
    <w:rsid w:val="005E00B1"/>
    <w:rsid w:val="005E06A7"/>
    <w:rsid w:val="005E06CD"/>
    <w:rsid w:val="005E0A02"/>
    <w:rsid w:val="005E38BC"/>
    <w:rsid w:val="005E3C37"/>
    <w:rsid w:val="005E3F05"/>
    <w:rsid w:val="005E4309"/>
    <w:rsid w:val="005E4F9B"/>
    <w:rsid w:val="005E50F5"/>
    <w:rsid w:val="005E53DD"/>
    <w:rsid w:val="005E53FB"/>
    <w:rsid w:val="005E56AB"/>
    <w:rsid w:val="005E5C8F"/>
    <w:rsid w:val="005E5E37"/>
    <w:rsid w:val="005E7AF1"/>
    <w:rsid w:val="005E7E70"/>
    <w:rsid w:val="005F102C"/>
    <w:rsid w:val="005F105D"/>
    <w:rsid w:val="005F1A36"/>
    <w:rsid w:val="005F1E26"/>
    <w:rsid w:val="005F20F1"/>
    <w:rsid w:val="005F2B4A"/>
    <w:rsid w:val="005F31DB"/>
    <w:rsid w:val="005F3AD5"/>
    <w:rsid w:val="005F4F41"/>
    <w:rsid w:val="005F502F"/>
    <w:rsid w:val="005F5761"/>
    <w:rsid w:val="005F5FF9"/>
    <w:rsid w:val="005F626A"/>
    <w:rsid w:val="0060153A"/>
    <w:rsid w:val="006049DC"/>
    <w:rsid w:val="00604B28"/>
    <w:rsid w:val="00604FE7"/>
    <w:rsid w:val="006059EB"/>
    <w:rsid w:val="006068D2"/>
    <w:rsid w:val="00607061"/>
    <w:rsid w:val="00610B04"/>
    <w:rsid w:val="00610B7B"/>
    <w:rsid w:val="006110B4"/>
    <w:rsid w:val="00612A64"/>
    <w:rsid w:val="006134BB"/>
    <w:rsid w:val="0061583A"/>
    <w:rsid w:val="00615876"/>
    <w:rsid w:val="00616F34"/>
    <w:rsid w:val="0061796F"/>
    <w:rsid w:val="00617CA3"/>
    <w:rsid w:val="006202C7"/>
    <w:rsid w:val="00623DF0"/>
    <w:rsid w:val="006244C1"/>
    <w:rsid w:val="00624B6C"/>
    <w:rsid w:val="00624D64"/>
    <w:rsid w:val="006250DD"/>
    <w:rsid w:val="006253F9"/>
    <w:rsid w:val="006261FF"/>
    <w:rsid w:val="006266C1"/>
    <w:rsid w:val="00626EAD"/>
    <w:rsid w:val="00630A2E"/>
    <w:rsid w:val="00632273"/>
    <w:rsid w:val="00632590"/>
    <w:rsid w:val="00632C2B"/>
    <w:rsid w:val="0063459B"/>
    <w:rsid w:val="00636FFA"/>
    <w:rsid w:val="00637474"/>
    <w:rsid w:val="0064051F"/>
    <w:rsid w:val="00640B8A"/>
    <w:rsid w:val="00640D72"/>
    <w:rsid w:val="00641C48"/>
    <w:rsid w:val="00641D4B"/>
    <w:rsid w:val="00643D5C"/>
    <w:rsid w:val="00644D71"/>
    <w:rsid w:val="00644EEE"/>
    <w:rsid w:val="0064714F"/>
    <w:rsid w:val="00647B05"/>
    <w:rsid w:val="00647DEC"/>
    <w:rsid w:val="00647FE9"/>
    <w:rsid w:val="00650317"/>
    <w:rsid w:val="0065252E"/>
    <w:rsid w:val="00652780"/>
    <w:rsid w:val="006534F1"/>
    <w:rsid w:val="0065370F"/>
    <w:rsid w:val="00653A0F"/>
    <w:rsid w:val="00653B31"/>
    <w:rsid w:val="00653CC9"/>
    <w:rsid w:val="0065415D"/>
    <w:rsid w:val="006551C1"/>
    <w:rsid w:val="00655540"/>
    <w:rsid w:val="00656AD3"/>
    <w:rsid w:val="00656F73"/>
    <w:rsid w:val="006627AC"/>
    <w:rsid w:val="00662CDC"/>
    <w:rsid w:val="00664DCA"/>
    <w:rsid w:val="0066553F"/>
    <w:rsid w:val="006660CD"/>
    <w:rsid w:val="0066690A"/>
    <w:rsid w:val="00666FA2"/>
    <w:rsid w:val="006677E2"/>
    <w:rsid w:val="006707F4"/>
    <w:rsid w:val="00671585"/>
    <w:rsid w:val="00672CEC"/>
    <w:rsid w:val="0067325A"/>
    <w:rsid w:val="0067328C"/>
    <w:rsid w:val="00674464"/>
    <w:rsid w:val="00674826"/>
    <w:rsid w:val="006751B5"/>
    <w:rsid w:val="00675EA4"/>
    <w:rsid w:val="006764B9"/>
    <w:rsid w:val="006823B9"/>
    <w:rsid w:val="00684082"/>
    <w:rsid w:val="006843F8"/>
    <w:rsid w:val="006845EF"/>
    <w:rsid w:val="00684B98"/>
    <w:rsid w:val="006855F0"/>
    <w:rsid w:val="00686AEA"/>
    <w:rsid w:val="0069237F"/>
    <w:rsid w:val="00692624"/>
    <w:rsid w:val="00694963"/>
    <w:rsid w:val="0069529C"/>
    <w:rsid w:val="00695AFC"/>
    <w:rsid w:val="00695C18"/>
    <w:rsid w:val="006A0592"/>
    <w:rsid w:val="006A0D91"/>
    <w:rsid w:val="006A0DD9"/>
    <w:rsid w:val="006A1372"/>
    <w:rsid w:val="006A1AC3"/>
    <w:rsid w:val="006A1BE2"/>
    <w:rsid w:val="006A3774"/>
    <w:rsid w:val="006A3AA3"/>
    <w:rsid w:val="006A40DA"/>
    <w:rsid w:val="006A41C5"/>
    <w:rsid w:val="006A43CD"/>
    <w:rsid w:val="006A5101"/>
    <w:rsid w:val="006A5B59"/>
    <w:rsid w:val="006A5F30"/>
    <w:rsid w:val="006A629D"/>
    <w:rsid w:val="006A64BB"/>
    <w:rsid w:val="006B14FA"/>
    <w:rsid w:val="006B2772"/>
    <w:rsid w:val="006B404C"/>
    <w:rsid w:val="006B43F7"/>
    <w:rsid w:val="006B52E7"/>
    <w:rsid w:val="006B60B9"/>
    <w:rsid w:val="006B7A31"/>
    <w:rsid w:val="006B7B11"/>
    <w:rsid w:val="006C0422"/>
    <w:rsid w:val="006C052A"/>
    <w:rsid w:val="006C0BA0"/>
    <w:rsid w:val="006C1229"/>
    <w:rsid w:val="006C138E"/>
    <w:rsid w:val="006C26E2"/>
    <w:rsid w:val="006C282F"/>
    <w:rsid w:val="006C2C24"/>
    <w:rsid w:val="006C488D"/>
    <w:rsid w:val="006C4DC1"/>
    <w:rsid w:val="006C5573"/>
    <w:rsid w:val="006C7156"/>
    <w:rsid w:val="006C7175"/>
    <w:rsid w:val="006D19B6"/>
    <w:rsid w:val="006D19EA"/>
    <w:rsid w:val="006D2340"/>
    <w:rsid w:val="006D2E59"/>
    <w:rsid w:val="006D42D9"/>
    <w:rsid w:val="006D5447"/>
    <w:rsid w:val="006D600A"/>
    <w:rsid w:val="006D67CA"/>
    <w:rsid w:val="006E176A"/>
    <w:rsid w:val="006E1EB0"/>
    <w:rsid w:val="006E299D"/>
    <w:rsid w:val="006E5607"/>
    <w:rsid w:val="006E676D"/>
    <w:rsid w:val="006E72EE"/>
    <w:rsid w:val="006F118E"/>
    <w:rsid w:val="006F15D9"/>
    <w:rsid w:val="006F3282"/>
    <w:rsid w:val="006F33FD"/>
    <w:rsid w:val="006F355B"/>
    <w:rsid w:val="006F3CE1"/>
    <w:rsid w:val="006F50D0"/>
    <w:rsid w:val="006F536B"/>
    <w:rsid w:val="006F720C"/>
    <w:rsid w:val="00705043"/>
    <w:rsid w:val="00705302"/>
    <w:rsid w:val="007100CA"/>
    <w:rsid w:val="007100EE"/>
    <w:rsid w:val="00710DA7"/>
    <w:rsid w:val="007116A5"/>
    <w:rsid w:val="00712F30"/>
    <w:rsid w:val="00714689"/>
    <w:rsid w:val="007147F7"/>
    <w:rsid w:val="0071590E"/>
    <w:rsid w:val="007160E3"/>
    <w:rsid w:val="00716B8E"/>
    <w:rsid w:val="00717303"/>
    <w:rsid w:val="0071759A"/>
    <w:rsid w:val="007209BE"/>
    <w:rsid w:val="007211CA"/>
    <w:rsid w:val="0072188D"/>
    <w:rsid w:val="00722013"/>
    <w:rsid w:val="00722F4C"/>
    <w:rsid w:val="00724FF0"/>
    <w:rsid w:val="00725638"/>
    <w:rsid w:val="00725834"/>
    <w:rsid w:val="00725E6A"/>
    <w:rsid w:val="00726C5D"/>
    <w:rsid w:val="007275C7"/>
    <w:rsid w:val="00727D27"/>
    <w:rsid w:val="00731092"/>
    <w:rsid w:val="007310FC"/>
    <w:rsid w:val="00731582"/>
    <w:rsid w:val="0073285C"/>
    <w:rsid w:val="0073294D"/>
    <w:rsid w:val="00732D7E"/>
    <w:rsid w:val="007331E9"/>
    <w:rsid w:val="00733C13"/>
    <w:rsid w:val="007348F6"/>
    <w:rsid w:val="0074053A"/>
    <w:rsid w:val="00740E52"/>
    <w:rsid w:val="007414AF"/>
    <w:rsid w:val="00743F60"/>
    <w:rsid w:val="0074536C"/>
    <w:rsid w:val="00745A77"/>
    <w:rsid w:val="007479B5"/>
    <w:rsid w:val="00752379"/>
    <w:rsid w:val="0075287F"/>
    <w:rsid w:val="00752A04"/>
    <w:rsid w:val="0075302A"/>
    <w:rsid w:val="00753D87"/>
    <w:rsid w:val="00754720"/>
    <w:rsid w:val="00754C8A"/>
    <w:rsid w:val="00756B26"/>
    <w:rsid w:val="00760861"/>
    <w:rsid w:val="007623B4"/>
    <w:rsid w:val="007625FA"/>
    <w:rsid w:val="00762657"/>
    <w:rsid w:val="00762CB1"/>
    <w:rsid w:val="007635A2"/>
    <w:rsid w:val="00763E64"/>
    <w:rsid w:val="0076702F"/>
    <w:rsid w:val="00767CEC"/>
    <w:rsid w:val="00770B0C"/>
    <w:rsid w:val="00771C6A"/>
    <w:rsid w:val="00771EA6"/>
    <w:rsid w:val="00772411"/>
    <w:rsid w:val="00772D47"/>
    <w:rsid w:val="007738D6"/>
    <w:rsid w:val="00774171"/>
    <w:rsid w:val="0077497C"/>
    <w:rsid w:val="0077570D"/>
    <w:rsid w:val="00775B93"/>
    <w:rsid w:val="00776714"/>
    <w:rsid w:val="00776771"/>
    <w:rsid w:val="0078091D"/>
    <w:rsid w:val="00780A4E"/>
    <w:rsid w:val="007814AA"/>
    <w:rsid w:val="00781587"/>
    <w:rsid w:val="00781677"/>
    <w:rsid w:val="00781ACA"/>
    <w:rsid w:val="00781BED"/>
    <w:rsid w:val="007820F0"/>
    <w:rsid w:val="0078276D"/>
    <w:rsid w:val="00783DDF"/>
    <w:rsid w:val="00784BF3"/>
    <w:rsid w:val="00786222"/>
    <w:rsid w:val="00791F07"/>
    <w:rsid w:val="00792EB9"/>
    <w:rsid w:val="00797D75"/>
    <w:rsid w:val="007A0DC3"/>
    <w:rsid w:val="007A18C0"/>
    <w:rsid w:val="007A4933"/>
    <w:rsid w:val="007A5621"/>
    <w:rsid w:val="007A569C"/>
    <w:rsid w:val="007A6CDC"/>
    <w:rsid w:val="007A7A9B"/>
    <w:rsid w:val="007B02CC"/>
    <w:rsid w:val="007B0316"/>
    <w:rsid w:val="007B0A56"/>
    <w:rsid w:val="007B1B60"/>
    <w:rsid w:val="007B2AC2"/>
    <w:rsid w:val="007B4F20"/>
    <w:rsid w:val="007B5858"/>
    <w:rsid w:val="007B6C10"/>
    <w:rsid w:val="007B7669"/>
    <w:rsid w:val="007C1238"/>
    <w:rsid w:val="007C20ED"/>
    <w:rsid w:val="007C2311"/>
    <w:rsid w:val="007C250E"/>
    <w:rsid w:val="007C29CD"/>
    <w:rsid w:val="007C4C9F"/>
    <w:rsid w:val="007C77B4"/>
    <w:rsid w:val="007C78BD"/>
    <w:rsid w:val="007C7A41"/>
    <w:rsid w:val="007C7E0D"/>
    <w:rsid w:val="007D15E7"/>
    <w:rsid w:val="007D1FE3"/>
    <w:rsid w:val="007D2078"/>
    <w:rsid w:val="007D38D4"/>
    <w:rsid w:val="007D5CAC"/>
    <w:rsid w:val="007D693A"/>
    <w:rsid w:val="007D76CE"/>
    <w:rsid w:val="007E00C5"/>
    <w:rsid w:val="007E1B16"/>
    <w:rsid w:val="007E1F4A"/>
    <w:rsid w:val="007E2C5E"/>
    <w:rsid w:val="007E40DF"/>
    <w:rsid w:val="007E47C8"/>
    <w:rsid w:val="007E5AB8"/>
    <w:rsid w:val="007E65E0"/>
    <w:rsid w:val="007E6947"/>
    <w:rsid w:val="007F09D8"/>
    <w:rsid w:val="007F0D26"/>
    <w:rsid w:val="007F0FEC"/>
    <w:rsid w:val="007F22EF"/>
    <w:rsid w:val="007F34E8"/>
    <w:rsid w:val="007F5E24"/>
    <w:rsid w:val="007F6095"/>
    <w:rsid w:val="007F6A28"/>
    <w:rsid w:val="007F7488"/>
    <w:rsid w:val="007F7F3A"/>
    <w:rsid w:val="0080020F"/>
    <w:rsid w:val="00800AC5"/>
    <w:rsid w:val="00800B2A"/>
    <w:rsid w:val="00801ADE"/>
    <w:rsid w:val="008032FA"/>
    <w:rsid w:val="008037C1"/>
    <w:rsid w:val="008047D0"/>
    <w:rsid w:val="0080564D"/>
    <w:rsid w:val="00806424"/>
    <w:rsid w:val="00807AAE"/>
    <w:rsid w:val="00807C42"/>
    <w:rsid w:val="0081028E"/>
    <w:rsid w:val="008108B8"/>
    <w:rsid w:val="00811B9F"/>
    <w:rsid w:val="00811D1E"/>
    <w:rsid w:val="0081245E"/>
    <w:rsid w:val="00813771"/>
    <w:rsid w:val="008138FD"/>
    <w:rsid w:val="00814E84"/>
    <w:rsid w:val="00815869"/>
    <w:rsid w:val="008166C0"/>
    <w:rsid w:val="008170E4"/>
    <w:rsid w:val="0081799D"/>
    <w:rsid w:val="00817BCD"/>
    <w:rsid w:val="0082128D"/>
    <w:rsid w:val="00822BEA"/>
    <w:rsid w:val="00823375"/>
    <w:rsid w:val="008266A9"/>
    <w:rsid w:val="00827D4C"/>
    <w:rsid w:val="008303C7"/>
    <w:rsid w:val="008307CA"/>
    <w:rsid w:val="00831B51"/>
    <w:rsid w:val="008323FD"/>
    <w:rsid w:val="00832F5A"/>
    <w:rsid w:val="0083309E"/>
    <w:rsid w:val="008333DA"/>
    <w:rsid w:val="00833EFF"/>
    <w:rsid w:val="00834CD2"/>
    <w:rsid w:val="0083684F"/>
    <w:rsid w:val="00840E30"/>
    <w:rsid w:val="00841018"/>
    <w:rsid w:val="00844612"/>
    <w:rsid w:val="00844D61"/>
    <w:rsid w:val="00844E3F"/>
    <w:rsid w:val="00845B87"/>
    <w:rsid w:val="00847BF2"/>
    <w:rsid w:val="0085061E"/>
    <w:rsid w:val="00850BEB"/>
    <w:rsid w:val="008510DE"/>
    <w:rsid w:val="00851676"/>
    <w:rsid w:val="00852B4A"/>
    <w:rsid w:val="00853549"/>
    <w:rsid w:val="008539EC"/>
    <w:rsid w:val="00854A9E"/>
    <w:rsid w:val="0085504F"/>
    <w:rsid w:val="00855A48"/>
    <w:rsid w:val="008577E0"/>
    <w:rsid w:val="008579F8"/>
    <w:rsid w:val="00860A2B"/>
    <w:rsid w:val="008615D6"/>
    <w:rsid w:val="00861E2A"/>
    <w:rsid w:val="00863425"/>
    <w:rsid w:val="00863730"/>
    <w:rsid w:val="00863A5E"/>
    <w:rsid w:val="00863FAA"/>
    <w:rsid w:val="008643D3"/>
    <w:rsid w:val="008656B5"/>
    <w:rsid w:val="008658A9"/>
    <w:rsid w:val="00865FE6"/>
    <w:rsid w:val="0086620E"/>
    <w:rsid w:val="00867421"/>
    <w:rsid w:val="0087183F"/>
    <w:rsid w:val="00875C6F"/>
    <w:rsid w:val="00876159"/>
    <w:rsid w:val="0087669A"/>
    <w:rsid w:val="00880451"/>
    <w:rsid w:val="00884438"/>
    <w:rsid w:val="0088589A"/>
    <w:rsid w:val="00885E13"/>
    <w:rsid w:val="0088628B"/>
    <w:rsid w:val="0089306F"/>
    <w:rsid w:val="0089389A"/>
    <w:rsid w:val="00894AC7"/>
    <w:rsid w:val="008A15DF"/>
    <w:rsid w:val="008A1606"/>
    <w:rsid w:val="008A1754"/>
    <w:rsid w:val="008A220A"/>
    <w:rsid w:val="008A2ACA"/>
    <w:rsid w:val="008A30B2"/>
    <w:rsid w:val="008A3503"/>
    <w:rsid w:val="008A3749"/>
    <w:rsid w:val="008A59CA"/>
    <w:rsid w:val="008A75E8"/>
    <w:rsid w:val="008B060C"/>
    <w:rsid w:val="008B361E"/>
    <w:rsid w:val="008B5090"/>
    <w:rsid w:val="008B5475"/>
    <w:rsid w:val="008B5575"/>
    <w:rsid w:val="008B5D6E"/>
    <w:rsid w:val="008B61D9"/>
    <w:rsid w:val="008B675E"/>
    <w:rsid w:val="008B7703"/>
    <w:rsid w:val="008B7BB0"/>
    <w:rsid w:val="008C27B5"/>
    <w:rsid w:val="008C2924"/>
    <w:rsid w:val="008C7396"/>
    <w:rsid w:val="008D042F"/>
    <w:rsid w:val="008D080D"/>
    <w:rsid w:val="008D10FC"/>
    <w:rsid w:val="008D1A96"/>
    <w:rsid w:val="008D1E1E"/>
    <w:rsid w:val="008D2603"/>
    <w:rsid w:val="008D2617"/>
    <w:rsid w:val="008D269E"/>
    <w:rsid w:val="008D2842"/>
    <w:rsid w:val="008D2EC3"/>
    <w:rsid w:val="008D338D"/>
    <w:rsid w:val="008D479C"/>
    <w:rsid w:val="008D580E"/>
    <w:rsid w:val="008D6A6E"/>
    <w:rsid w:val="008D6F79"/>
    <w:rsid w:val="008D6FDA"/>
    <w:rsid w:val="008E0F37"/>
    <w:rsid w:val="008E0FB6"/>
    <w:rsid w:val="008E153A"/>
    <w:rsid w:val="008E3863"/>
    <w:rsid w:val="008E3A08"/>
    <w:rsid w:val="008E3BA6"/>
    <w:rsid w:val="008E3F4D"/>
    <w:rsid w:val="008E5C2A"/>
    <w:rsid w:val="008E5C4E"/>
    <w:rsid w:val="008E5D79"/>
    <w:rsid w:val="008E6944"/>
    <w:rsid w:val="008E6DC4"/>
    <w:rsid w:val="008E7B64"/>
    <w:rsid w:val="008F0B90"/>
    <w:rsid w:val="008F235D"/>
    <w:rsid w:val="008F2721"/>
    <w:rsid w:val="008F2C67"/>
    <w:rsid w:val="008F5F9E"/>
    <w:rsid w:val="008F62FC"/>
    <w:rsid w:val="008F7702"/>
    <w:rsid w:val="00900E7C"/>
    <w:rsid w:val="00902168"/>
    <w:rsid w:val="0090265A"/>
    <w:rsid w:val="0090424D"/>
    <w:rsid w:val="009049AE"/>
    <w:rsid w:val="009052B2"/>
    <w:rsid w:val="00905698"/>
    <w:rsid w:val="00906903"/>
    <w:rsid w:val="00907AD4"/>
    <w:rsid w:val="00907AFE"/>
    <w:rsid w:val="00910080"/>
    <w:rsid w:val="009116E6"/>
    <w:rsid w:val="00911C05"/>
    <w:rsid w:val="00912979"/>
    <w:rsid w:val="00912C2F"/>
    <w:rsid w:val="00912C31"/>
    <w:rsid w:val="00912D2D"/>
    <w:rsid w:val="00914070"/>
    <w:rsid w:val="00914CF6"/>
    <w:rsid w:val="00915251"/>
    <w:rsid w:val="00916208"/>
    <w:rsid w:val="00917146"/>
    <w:rsid w:val="00922353"/>
    <w:rsid w:val="009224AB"/>
    <w:rsid w:val="00922C3C"/>
    <w:rsid w:val="00923EBB"/>
    <w:rsid w:val="0092412A"/>
    <w:rsid w:val="00927ABC"/>
    <w:rsid w:val="00927AC0"/>
    <w:rsid w:val="009305A6"/>
    <w:rsid w:val="00930658"/>
    <w:rsid w:val="00930802"/>
    <w:rsid w:val="00930A20"/>
    <w:rsid w:val="009317EB"/>
    <w:rsid w:val="009319F2"/>
    <w:rsid w:val="00931B33"/>
    <w:rsid w:val="00932CD7"/>
    <w:rsid w:val="009336E6"/>
    <w:rsid w:val="00933C7A"/>
    <w:rsid w:val="00934921"/>
    <w:rsid w:val="00935CF5"/>
    <w:rsid w:val="00935E4E"/>
    <w:rsid w:val="009364C8"/>
    <w:rsid w:val="00937774"/>
    <w:rsid w:val="00937C13"/>
    <w:rsid w:val="00937F40"/>
    <w:rsid w:val="009413D1"/>
    <w:rsid w:val="00944E95"/>
    <w:rsid w:val="00945756"/>
    <w:rsid w:val="00950477"/>
    <w:rsid w:val="0095047B"/>
    <w:rsid w:val="0095085A"/>
    <w:rsid w:val="009508E9"/>
    <w:rsid w:val="00951361"/>
    <w:rsid w:val="00952728"/>
    <w:rsid w:val="0095378B"/>
    <w:rsid w:val="00953B01"/>
    <w:rsid w:val="00955362"/>
    <w:rsid w:val="009568A7"/>
    <w:rsid w:val="009607B9"/>
    <w:rsid w:val="0096161B"/>
    <w:rsid w:val="009622D4"/>
    <w:rsid w:val="00963A31"/>
    <w:rsid w:val="00963F87"/>
    <w:rsid w:val="00964910"/>
    <w:rsid w:val="00964D40"/>
    <w:rsid w:val="00966206"/>
    <w:rsid w:val="00966565"/>
    <w:rsid w:val="00967043"/>
    <w:rsid w:val="00967ABA"/>
    <w:rsid w:val="00971542"/>
    <w:rsid w:val="00973CD8"/>
    <w:rsid w:val="009748AA"/>
    <w:rsid w:val="00977D46"/>
    <w:rsid w:val="0098069D"/>
    <w:rsid w:val="009819C6"/>
    <w:rsid w:val="00981C0B"/>
    <w:rsid w:val="009825DF"/>
    <w:rsid w:val="0098275A"/>
    <w:rsid w:val="009829D4"/>
    <w:rsid w:val="0098333F"/>
    <w:rsid w:val="009845AA"/>
    <w:rsid w:val="009865E1"/>
    <w:rsid w:val="00987FF8"/>
    <w:rsid w:val="009901AF"/>
    <w:rsid w:val="00990459"/>
    <w:rsid w:val="009917CD"/>
    <w:rsid w:val="009918F6"/>
    <w:rsid w:val="00991C1D"/>
    <w:rsid w:val="00991CED"/>
    <w:rsid w:val="009921E7"/>
    <w:rsid w:val="00992EB2"/>
    <w:rsid w:val="00997294"/>
    <w:rsid w:val="009A00E5"/>
    <w:rsid w:val="009A037D"/>
    <w:rsid w:val="009A05B2"/>
    <w:rsid w:val="009A069C"/>
    <w:rsid w:val="009A1BBD"/>
    <w:rsid w:val="009A1F18"/>
    <w:rsid w:val="009A2044"/>
    <w:rsid w:val="009A2561"/>
    <w:rsid w:val="009A267D"/>
    <w:rsid w:val="009A371E"/>
    <w:rsid w:val="009A39BE"/>
    <w:rsid w:val="009A56B8"/>
    <w:rsid w:val="009A64A9"/>
    <w:rsid w:val="009A7A93"/>
    <w:rsid w:val="009B2A03"/>
    <w:rsid w:val="009B2EA1"/>
    <w:rsid w:val="009B3473"/>
    <w:rsid w:val="009B3F17"/>
    <w:rsid w:val="009B6184"/>
    <w:rsid w:val="009B73EB"/>
    <w:rsid w:val="009C05C2"/>
    <w:rsid w:val="009C125A"/>
    <w:rsid w:val="009C1A31"/>
    <w:rsid w:val="009C2681"/>
    <w:rsid w:val="009C2D7A"/>
    <w:rsid w:val="009C363E"/>
    <w:rsid w:val="009C3B77"/>
    <w:rsid w:val="009C545F"/>
    <w:rsid w:val="009C548C"/>
    <w:rsid w:val="009C5B02"/>
    <w:rsid w:val="009C62B5"/>
    <w:rsid w:val="009C6B88"/>
    <w:rsid w:val="009D0B77"/>
    <w:rsid w:val="009D282B"/>
    <w:rsid w:val="009D43FD"/>
    <w:rsid w:val="009D4629"/>
    <w:rsid w:val="009D4B03"/>
    <w:rsid w:val="009D57AE"/>
    <w:rsid w:val="009D5C1F"/>
    <w:rsid w:val="009D5F88"/>
    <w:rsid w:val="009D5FB6"/>
    <w:rsid w:val="009D729F"/>
    <w:rsid w:val="009D72D2"/>
    <w:rsid w:val="009D7468"/>
    <w:rsid w:val="009E0421"/>
    <w:rsid w:val="009E09BC"/>
    <w:rsid w:val="009E0C00"/>
    <w:rsid w:val="009E117E"/>
    <w:rsid w:val="009E12C2"/>
    <w:rsid w:val="009E16B1"/>
    <w:rsid w:val="009E2AD9"/>
    <w:rsid w:val="009E3915"/>
    <w:rsid w:val="009E466C"/>
    <w:rsid w:val="009E736A"/>
    <w:rsid w:val="009E7976"/>
    <w:rsid w:val="009F252A"/>
    <w:rsid w:val="009F27F2"/>
    <w:rsid w:val="009F4390"/>
    <w:rsid w:val="009F4DB7"/>
    <w:rsid w:val="009F5EBE"/>
    <w:rsid w:val="009F7B6F"/>
    <w:rsid w:val="00A003D9"/>
    <w:rsid w:val="00A007BE"/>
    <w:rsid w:val="00A012FC"/>
    <w:rsid w:val="00A02606"/>
    <w:rsid w:val="00A03208"/>
    <w:rsid w:val="00A03FDE"/>
    <w:rsid w:val="00A058F9"/>
    <w:rsid w:val="00A05B22"/>
    <w:rsid w:val="00A06587"/>
    <w:rsid w:val="00A06DED"/>
    <w:rsid w:val="00A070C3"/>
    <w:rsid w:val="00A07E9D"/>
    <w:rsid w:val="00A107B0"/>
    <w:rsid w:val="00A1107B"/>
    <w:rsid w:val="00A11938"/>
    <w:rsid w:val="00A11DA2"/>
    <w:rsid w:val="00A11FD7"/>
    <w:rsid w:val="00A132DA"/>
    <w:rsid w:val="00A14925"/>
    <w:rsid w:val="00A1713C"/>
    <w:rsid w:val="00A176BE"/>
    <w:rsid w:val="00A17A33"/>
    <w:rsid w:val="00A2099A"/>
    <w:rsid w:val="00A20A56"/>
    <w:rsid w:val="00A226C9"/>
    <w:rsid w:val="00A23610"/>
    <w:rsid w:val="00A23724"/>
    <w:rsid w:val="00A248F5"/>
    <w:rsid w:val="00A24CED"/>
    <w:rsid w:val="00A24FF1"/>
    <w:rsid w:val="00A257E2"/>
    <w:rsid w:val="00A267FA"/>
    <w:rsid w:val="00A2689C"/>
    <w:rsid w:val="00A2789E"/>
    <w:rsid w:val="00A30EBA"/>
    <w:rsid w:val="00A3102C"/>
    <w:rsid w:val="00A34470"/>
    <w:rsid w:val="00A346B5"/>
    <w:rsid w:val="00A3609C"/>
    <w:rsid w:val="00A362E6"/>
    <w:rsid w:val="00A36E49"/>
    <w:rsid w:val="00A40087"/>
    <w:rsid w:val="00A41916"/>
    <w:rsid w:val="00A4313F"/>
    <w:rsid w:val="00A436AE"/>
    <w:rsid w:val="00A44275"/>
    <w:rsid w:val="00A449FF"/>
    <w:rsid w:val="00A44C27"/>
    <w:rsid w:val="00A4507F"/>
    <w:rsid w:val="00A450F5"/>
    <w:rsid w:val="00A45778"/>
    <w:rsid w:val="00A45D4C"/>
    <w:rsid w:val="00A475AF"/>
    <w:rsid w:val="00A479D2"/>
    <w:rsid w:val="00A47C05"/>
    <w:rsid w:val="00A511B3"/>
    <w:rsid w:val="00A51FC8"/>
    <w:rsid w:val="00A53BF1"/>
    <w:rsid w:val="00A54343"/>
    <w:rsid w:val="00A56A44"/>
    <w:rsid w:val="00A56ECC"/>
    <w:rsid w:val="00A57276"/>
    <w:rsid w:val="00A573F5"/>
    <w:rsid w:val="00A578A8"/>
    <w:rsid w:val="00A57E97"/>
    <w:rsid w:val="00A61210"/>
    <w:rsid w:val="00A63285"/>
    <w:rsid w:val="00A655D5"/>
    <w:rsid w:val="00A65752"/>
    <w:rsid w:val="00A65950"/>
    <w:rsid w:val="00A66A2B"/>
    <w:rsid w:val="00A66EE7"/>
    <w:rsid w:val="00A716BA"/>
    <w:rsid w:val="00A71F91"/>
    <w:rsid w:val="00A72D53"/>
    <w:rsid w:val="00A730DD"/>
    <w:rsid w:val="00A7313E"/>
    <w:rsid w:val="00A73187"/>
    <w:rsid w:val="00A74C62"/>
    <w:rsid w:val="00A74D13"/>
    <w:rsid w:val="00A7588C"/>
    <w:rsid w:val="00A769B0"/>
    <w:rsid w:val="00A76A65"/>
    <w:rsid w:val="00A800A1"/>
    <w:rsid w:val="00A80FD9"/>
    <w:rsid w:val="00A81835"/>
    <w:rsid w:val="00A828E5"/>
    <w:rsid w:val="00A832A5"/>
    <w:rsid w:val="00A832FE"/>
    <w:rsid w:val="00A8373A"/>
    <w:rsid w:val="00A83B5C"/>
    <w:rsid w:val="00A85F5C"/>
    <w:rsid w:val="00A87023"/>
    <w:rsid w:val="00A87F98"/>
    <w:rsid w:val="00A90FB1"/>
    <w:rsid w:val="00A91EAA"/>
    <w:rsid w:val="00A92294"/>
    <w:rsid w:val="00A92A4A"/>
    <w:rsid w:val="00A92B7C"/>
    <w:rsid w:val="00A94912"/>
    <w:rsid w:val="00A95384"/>
    <w:rsid w:val="00A975BC"/>
    <w:rsid w:val="00A97C50"/>
    <w:rsid w:val="00AA06BA"/>
    <w:rsid w:val="00AA08D4"/>
    <w:rsid w:val="00AA1A9A"/>
    <w:rsid w:val="00AA2905"/>
    <w:rsid w:val="00AA2A75"/>
    <w:rsid w:val="00AA2ADA"/>
    <w:rsid w:val="00AA34BE"/>
    <w:rsid w:val="00AA3939"/>
    <w:rsid w:val="00AA4265"/>
    <w:rsid w:val="00AA48B5"/>
    <w:rsid w:val="00AA4CE7"/>
    <w:rsid w:val="00AA5624"/>
    <w:rsid w:val="00AA62C8"/>
    <w:rsid w:val="00AA7EF2"/>
    <w:rsid w:val="00AB13E8"/>
    <w:rsid w:val="00AB1C98"/>
    <w:rsid w:val="00AB2B0D"/>
    <w:rsid w:val="00AB2F41"/>
    <w:rsid w:val="00AB319F"/>
    <w:rsid w:val="00AB37BB"/>
    <w:rsid w:val="00AB3DD1"/>
    <w:rsid w:val="00AB4363"/>
    <w:rsid w:val="00AB4A01"/>
    <w:rsid w:val="00AB4B06"/>
    <w:rsid w:val="00AB54B5"/>
    <w:rsid w:val="00AB56BA"/>
    <w:rsid w:val="00AB5A0D"/>
    <w:rsid w:val="00AB647D"/>
    <w:rsid w:val="00AB65DF"/>
    <w:rsid w:val="00AB7DC3"/>
    <w:rsid w:val="00AB7FE9"/>
    <w:rsid w:val="00AC0B7F"/>
    <w:rsid w:val="00AC1433"/>
    <w:rsid w:val="00AC1982"/>
    <w:rsid w:val="00AC2042"/>
    <w:rsid w:val="00AC213B"/>
    <w:rsid w:val="00AC2916"/>
    <w:rsid w:val="00AC3338"/>
    <w:rsid w:val="00AC404C"/>
    <w:rsid w:val="00AC469E"/>
    <w:rsid w:val="00AC4989"/>
    <w:rsid w:val="00AC5385"/>
    <w:rsid w:val="00AC5468"/>
    <w:rsid w:val="00AC63BA"/>
    <w:rsid w:val="00AC7066"/>
    <w:rsid w:val="00AC726C"/>
    <w:rsid w:val="00AC7362"/>
    <w:rsid w:val="00AD0A27"/>
    <w:rsid w:val="00AD135E"/>
    <w:rsid w:val="00AD184B"/>
    <w:rsid w:val="00AD2C4F"/>
    <w:rsid w:val="00AD3332"/>
    <w:rsid w:val="00AD4E21"/>
    <w:rsid w:val="00AD542A"/>
    <w:rsid w:val="00AD752D"/>
    <w:rsid w:val="00AD794C"/>
    <w:rsid w:val="00AD7D6A"/>
    <w:rsid w:val="00AE0BC6"/>
    <w:rsid w:val="00AE16E3"/>
    <w:rsid w:val="00AE2E63"/>
    <w:rsid w:val="00AE3508"/>
    <w:rsid w:val="00AE4C2E"/>
    <w:rsid w:val="00AE58EE"/>
    <w:rsid w:val="00AE6037"/>
    <w:rsid w:val="00AF046F"/>
    <w:rsid w:val="00AF0F6E"/>
    <w:rsid w:val="00AF2508"/>
    <w:rsid w:val="00AF2A1B"/>
    <w:rsid w:val="00AF35DD"/>
    <w:rsid w:val="00B01916"/>
    <w:rsid w:val="00B01F4A"/>
    <w:rsid w:val="00B0376E"/>
    <w:rsid w:val="00B05455"/>
    <w:rsid w:val="00B07572"/>
    <w:rsid w:val="00B07BB6"/>
    <w:rsid w:val="00B104D8"/>
    <w:rsid w:val="00B1073B"/>
    <w:rsid w:val="00B1174D"/>
    <w:rsid w:val="00B12448"/>
    <w:rsid w:val="00B124EC"/>
    <w:rsid w:val="00B13802"/>
    <w:rsid w:val="00B13E9F"/>
    <w:rsid w:val="00B1431F"/>
    <w:rsid w:val="00B14E58"/>
    <w:rsid w:val="00B150EF"/>
    <w:rsid w:val="00B1565C"/>
    <w:rsid w:val="00B166EC"/>
    <w:rsid w:val="00B21A66"/>
    <w:rsid w:val="00B23491"/>
    <w:rsid w:val="00B23B31"/>
    <w:rsid w:val="00B2408B"/>
    <w:rsid w:val="00B242FC"/>
    <w:rsid w:val="00B250DE"/>
    <w:rsid w:val="00B2646E"/>
    <w:rsid w:val="00B269DF"/>
    <w:rsid w:val="00B27542"/>
    <w:rsid w:val="00B279EE"/>
    <w:rsid w:val="00B301F1"/>
    <w:rsid w:val="00B324D7"/>
    <w:rsid w:val="00B32D30"/>
    <w:rsid w:val="00B3416F"/>
    <w:rsid w:val="00B34924"/>
    <w:rsid w:val="00B41F68"/>
    <w:rsid w:val="00B420DE"/>
    <w:rsid w:val="00B43861"/>
    <w:rsid w:val="00B43CC4"/>
    <w:rsid w:val="00B45330"/>
    <w:rsid w:val="00B4672C"/>
    <w:rsid w:val="00B46EBC"/>
    <w:rsid w:val="00B4793C"/>
    <w:rsid w:val="00B47DC5"/>
    <w:rsid w:val="00B50B32"/>
    <w:rsid w:val="00B5163D"/>
    <w:rsid w:val="00B525FD"/>
    <w:rsid w:val="00B54538"/>
    <w:rsid w:val="00B54E7C"/>
    <w:rsid w:val="00B5555E"/>
    <w:rsid w:val="00B56077"/>
    <w:rsid w:val="00B57C7C"/>
    <w:rsid w:val="00B60698"/>
    <w:rsid w:val="00B60FCF"/>
    <w:rsid w:val="00B61176"/>
    <w:rsid w:val="00B6154C"/>
    <w:rsid w:val="00B617F9"/>
    <w:rsid w:val="00B650E4"/>
    <w:rsid w:val="00B66C6C"/>
    <w:rsid w:val="00B6795F"/>
    <w:rsid w:val="00B7201B"/>
    <w:rsid w:val="00B724D1"/>
    <w:rsid w:val="00B7327A"/>
    <w:rsid w:val="00B74A26"/>
    <w:rsid w:val="00B74CE7"/>
    <w:rsid w:val="00B76438"/>
    <w:rsid w:val="00B769EA"/>
    <w:rsid w:val="00B772C9"/>
    <w:rsid w:val="00B80552"/>
    <w:rsid w:val="00B80A18"/>
    <w:rsid w:val="00B80AD9"/>
    <w:rsid w:val="00B812D0"/>
    <w:rsid w:val="00B8130E"/>
    <w:rsid w:val="00B82E6A"/>
    <w:rsid w:val="00B82FFB"/>
    <w:rsid w:val="00B86702"/>
    <w:rsid w:val="00B87DC0"/>
    <w:rsid w:val="00B90428"/>
    <w:rsid w:val="00B90C40"/>
    <w:rsid w:val="00B90FC9"/>
    <w:rsid w:val="00B92195"/>
    <w:rsid w:val="00B92CC9"/>
    <w:rsid w:val="00B9395B"/>
    <w:rsid w:val="00B969E3"/>
    <w:rsid w:val="00B9757B"/>
    <w:rsid w:val="00BA2028"/>
    <w:rsid w:val="00BA3BA2"/>
    <w:rsid w:val="00BA7DE5"/>
    <w:rsid w:val="00BB0C05"/>
    <w:rsid w:val="00BB1209"/>
    <w:rsid w:val="00BB35FE"/>
    <w:rsid w:val="00BB41A8"/>
    <w:rsid w:val="00BB44F5"/>
    <w:rsid w:val="00BB54F3"/>
    <w:rsid w:val="00BB6400"/>
    <w:rsid w:val="00BB666C"/>
    <w:rsid w:val="00BB6885"/>
    <w:rsid w:val="00BC0F29"/>
    <w:rsid w:val="00BC2B7B"/>
    <w:rsid w:val="00BC2CCB"/>
    <w:rsid w:val="00BC2D50"/>
    <w:rsid w:val="00BC396B"/>
    <w:rsid w:val="00BC55FD"/>
    <w:rsid w:val="00BC78D6"/>
    <w:rsid w:val="00BD055E"/>
    <w:rsid w:val="00BD18AA"/>
    <w:rsid w:val="00BD4E48"/>
    <w:rsid w:val="00BD5226"/>
    <w:rsid w:val="00BD5469"/>
    <w:rsid w:val="00BD6288"/>
    <w:rsid w:val="00BE2252"/>
    <w:rsid w:val="00BE363B"/>
    <w:rsid w:val="00BE3675"/>
    <w:rsid w:val="00BE48E6"/>
    <w:rsid w:val="00BE4DC6"/>
    <w:rsid w:val="00BE4F93"/>
    <w:rsid w:val="00BE6BB5"/>
    <w:rsid w:val="00BF0D0F"/>
    <w:rsid w:val="00BF2054"/>
    <w:rsid w:val="00BF229E"/>
    <w:rsid w:val="00BF2F13"/>
    <w:rsid w:val="00BF3292"/>
    <w:rsid w:val="00BF3DF2"/>
    <w:rsid w:val="00BF3FAE"/>
    <w:rsid w:val="00BF467F"/>
    <w:rsid w:val="00BF4C00"/>
    <w:rsid w:val="00BF5926"/>
    <w:rsid w:val="00BF5CF3"/>
    <w:rsid w:val="00BF7780"/>
    <w:rsid w:val="00C006CA"/>
    <w:rsid w:val="00C00FFC"/>
    <w:rsid w:val="00C01221"/>
    <w:rsid w:val="00C01634"/>
    <w:rsid w:val="00C02DA1"/>
    <w:rsid w:val="00C03137"/>
    <w:rsid w:val="00C039A3"/>
    <w:rsid w:val="00C04443"/>
    <w:rsid w:val="00C04D34"/>
    <w:rsid w:val="00C05352"/>
    <w:rsid w:val="00C059C9"/>
    <w:rsid w:val="00C05A7E"/>
    <w:rsid w:val="00C07CCF"/>
    <w:rsid w:val="00C11440"/>
    <w:rsid w:val="00C114F9"/>
    <w:rsid w:val="00C11C7D"/>
    <w:rsid w:val="00C13315"/>
    <w:rsid w:val="00C1331B"/>
    <w:rsid w:val="00C157ED"/>
    <w:rsid w:val="00C16DC7"/>
    <w:rsid w:val="00C16E42"/>
    <w:rsid w:val="00C206DA"/>
    <w:rsid w:val="00C20911"/>
    <w:rsid w:val="00C20D02"/>
    <w:rsid w:val="00C20E23"/>
    <w:rsid w:val="00C21E53"/>
    <w:rsid w:val="00C21F1D"/>
    <w:rsid w:val="00C239B9"/>
    <w:rsid w:val="00C23A22"/>
    <w:rsid w:val="00C252CA"/>
    <w:rsid w:val="00C26215"/>
    <w:rsid w:val="00C26CEF"/>
    <w:rsid w:val="00C30284"/>
    <w:rsid w:val="00C31AB2"/>
    <w:rsid w:val="00C31EA8"/>
    <w:rsid w:val="00C31FF9"/>
    <w:rsid w:val="00C32C9A"/>
    <w:rsid w:val="00C3338E"/>
    <w:rsid w:val="00C333B7"/>
    <w:rsid w:val="00C33585"/>
    <w:rsid w:val="00C335BF"/>
    <w:rsid w:val="00C33784"/>
    <w:rsid w:val="00C35A50"/>
    <w:rsid w:val="00C35D2F"/>
    <w:rsid w:val="00C36669"/>
    <w:rsid w:val="00C36F94"/>
    <w:rsid w:val="00C37692"/>
    <w:rsid w:val="00C42152"/>
    <w:rsid w:val="00C43293"/>
    <w:rsid w:val="00C441AB"/>
    <w:rsid w:val="00C441B5"/>
    <w:rsid w:val="00C45719"/>
    <w:rsid w:val="00C4699D"/>
    <w:rsid w:val="00C47E59"/>
    <w:rsid w:val="00C507DA"/>
    <w:rsid w:val="00C511F5"/>
    <w:rsid w:val="00C526BF"/>
    <w:rsid w:val="00C52B74"/>
    <w:rsid w:val="00C52FB9"/>
    <w:rsid w:val="00C53C4D"/>
    <w:rsid w:val="00C54328"/>
    <w:rsid w:val="00C546D2"/>
    <w:rsid w:val="00C552D4"/>
    <w:rsid w:val="00C56883"/>
    <w:rsid w:val="00C5792D"/>
    <w:rsid w:val="00C600AB"/>
    <w:rsid w:val="00C614E9"/>
    <w:rsid w:val="00C61BE7"/>
    <w:rsid w:val="00C61C5E"/>
    <w:rsid w:val="00C63273"/>
    <w:rsid w:val="00C636F0"/>
    <w:rsid w:val="00C639FE"/>
    <w:rsid w:val="00C673EF"/>
    <w:rsid w:val="00C6791D"/>
    <w:rsid w:val="00C67E06"/>
    <w:rsid w:val="00C70BD6"/>
    <w:rsid w:val="00C71DD0"/>
    <w:rsid w:val="00C72681"/>
    <w:rsid w:val="00C740C8"/>
    <w:rsid w:val="00C7614E"/>
    <w:rsid w:val="00C77A0E"/>
    <w:rsid w:val="00C77FAC"/>
    <w:rsid w:val="00C80861"/>
    <w:rsid w:val="00C83918"/>
    <w:rsid w:val="00C839E0"/>
    <w:rsid w:val="00C8416B"/>
    <w:rsid w:val="00C847D4"/>
    <w:rsid w:val="00C84C42"/>
    <w:rsid w:val="00C84D11"/>
    <w:rsid w:val="00C857E6"/>
    <w:rsid w:val="00C85F34"/>
    <w:rsid w:val="00C865F7"/>
    <w:rsid w:val="00C87A2F"/>
    <w:rsid w:val="00C904C2"/>
    <w:rsid w:val="00C90F2A"/>
    <w:rsid w:val="00C91CC9"/>
    <w:rsid w:val="00C91FEE"/>
    <w:rsid w:val="00C9230A"/>
    <w:rsid w:val="00C93C0C"/>
    <w:rsid w:val="00C944E7"/>
    <w:rsid w:val="00C945A7"/>
    <w:rsid w:val="00C97E61"/>
    <w:rsid w:val="00CA0C3B"/>
    <w:rsid w:val="00CA0E7A"/>
    <w:rsid w:val="00CA13FE"/>
    <w:rsid w:val="00CA20D1"/>
    <w:rsid w:val="00CA46CA"/>
    <w:rsid w:val="00CA5D5A"/>
    <w:rsid w:val="00CA6A38"/>
    <w:rsid w:val="00CB12DC"/>
    <w:rsid w:val="00CB13F0"/>
    <w:rsid w:val="00CB2098"/>
    <w:rsid w:val="00CB20F7"/>
    <w:rsid w:val="00CB2893"/>
    <w:rsid w:val="00CB2BCA"/>
    <w:rsid w:val="00CB4333"/>
    <w:rsid w:val="00CB54A1"/>
    <w:rsid w:val="00CB54E9"/>
    <w:rsid w:val="00CB55D2"/>
    <w:rsid w:val="00CB5E68"/>
    <w:rsid w:val="00CB60B0"/>
    <w:rsid w:val="00CB71B5"/>
    <w:rsid w:val="00CC0874"/>
    <w:rsid w:val="00CC187B"/>
    <w:rsid w:val="00CC3227"/>
    <w:rsid w:val="00CC326C"/>
    <w:rsid w:val="00CC41AC"/>
    <w:rsid w:val="00CC578F"/>
    <w:rsid w:val="00CC69A4"/>
    <w:rsid w:val="00CC7907"/>
    <w:rsid w:val="00CC7D9E"/>
    <w:rsid w:val="00CD3336"/>
    <w:rsid w:val="00CD3CEF"/>
    <w:rsid w:val="00CD5FB5"/>
    <w:rsid w:val="00CD6E62"/>
    <w:rsid w:val="00CD71A7"/>
    <w:rsid w:val="00CD762C"/>
    <w:rsid w:val="00CE03AA"/>
    <w:rsid w:val="00CE25E5"/>
    <w:rsid w:val="00CE3482"/>
    <w:rsid w:val="00CE3635"/>
    <w:rsid w:val="00CE3889"/>
    <w:rsid w:val="00CE5563"/>
    <w:rsid w:val="00CE58CB"/>
    <w:rsid w:val="00CF0396"/>
    <w:rsid w:val="00CF0601"/>
    <w:rsid w:val="00CF1A9C"/>
    <w:rsid w:val="00CF5375"/>
    <w:rsid w:val="00CF5530"/>
    <w:rsid w:val="00CF5C80"/>
    <w:rsid w:val="00CF63F8"/>
    <w:rsid w:val="00CF6891"/>
    <w:rsid w:val="00CF6B8C"/>
    <w:rsid w:val="00D008AA"/>
    <w:rsid w:val="00D0151E"/>
    <w:rsid w:val="00D02573"/>
    <w:rsid w:val="00D02825"/>
    <w:rsid w:val="00D0397E"/>
    <w:rsid w:val="00D05C20"/>
    <w:rsid w:val="00D0603C"/>
    <w:rsid w:val="00D0743D"/>
    <w:rsid w:val="00D1086D"/>
    <w:rsid w:val="00D11C3F"/>
    <w:rsid w:val="00D12CCE"/>
    <w:rsid w:val="00D1592E"/>
    <w:rsid w:val="00D16E0C"/>
    <w:rsid w:val="00D206C2"/>
    <w:rsid w:val="00D21AF8"/>
    <w:rsid w:val="00D22C3F"/>
    <w:rsid w:val="00D25489"/>
    <w:rsid w:val="00D255A0"/>
    <w:rsid w:val="00D25E7A"/>
    <w:rsid w:val="00D2614D"/>
    <w:rsid w:val="00D27D00"/>
    <w:rsid w:val="00D27DC0"/>
    <w:rsid w:val="00D27E75"/>
    <w:rsid w:val="00D30843"/>
    <w:rsid w:val="00D30FAC"/>
    <w:rsid w:val="00D31169"/>
    <w:rsid w:val="00D319D8"/>
    <w:rsid w:val="00D35975"/>
    <w:rsid w:val="00D363BF"/>
    <w:rsid w:val="00D371F4"/>
    <w:rsid w:val="00D373A8"/>
    <w:rsid w:val="00D40ADF"/>
    <w:rsid w:val="00D42B07"/>
    <w:rsid w:val="00D44445"/>
    <w:rsid w:val="00D44960"/>
    <w:rsid w:val="00D44A19"/>
    <w:rsid w:val="00D44F2C"/>
    <w:rsid w:val="00D45818"/>
    <w:rsid w:val="00D46046"/>
    <w:rsid w:val="00D47092"/>
    <w:rsid w:val="00D5016E"/>
    <w:rsid w:val="00D50EE4"/>
    <w:rsid w:val="00D51D96"/>
    <w:rsid w:val="00D528E1"/>
    <w:rsid w:val="00D5389B"/>
    <w:rsid w:val="00D53B32"/>
    <w:rsid w:val="00D5464B"/>
    <w:rsid w:val="00D556B6"/>
    <w:rsid w:val="00D559AF"/>
    <w:rsid w:val="00D55C3A"/>
    <w:rsid w:val="00D5766D"/>
    <w:rsid w:val="00D60CB2"/>
    <w:rsid w:val="00D61472"/>
    <w:rsid w:val="00D645A9"/>
    <w:rsid w:val="00D646B9"/>
    <w:rsid w:val="00D65AED"/>
    <w:rsid w:val="00D65D86"/>
    <w:rsid w:val="00D7023C"/>
    <w:rsid w:val="00D712DC"/>
    <w:rsid w:val="00D72712"/>
    <w:rsid w:val="00D72D8E"/>
    <w:rsid w:val="00D73002"/>
    <w:rsid w:val="00D73991"/>
    <w:rsid w:val="00D77F29"/>
    <w:rsid w:val="00D80661"/>
    <w:rsid w:val="00D8181B"/>
    <w:rsid w:val="00D84CF1"/>
    <w:rsid w:val="00D84EB8"/>
    <w:rsid w:val="00D85BF1"/>
    <w:rsid w:val="00D86006"/>
    <w:rsid w:val="00D8602C"/>
    <w:rsid w:val="00D86123"/>
    <w:rsid w:val="00D86717"/>
    <w:rsid w:val="00D87C0C"/>
    <w:rsid w:val="00D92358"/>
    <w:rsid w:val="00D924DF"/>
    <w:rsid w:val="00D93E74"/>
    <w:rsid w:val="00D9518E"/>
    <w:rsid w:val="00D962A0"/>
    <w:rsid w:val="00D962FE"/>
    <w:rsid w:val="00D96603"/>
    <w:rsid w:val="00D96B3A"/>
    <w:rsid w:val="00DA0D4B"/>
    <w:rsid w:val="00DA1D71"/>
    <w:rsid w:val="00DA2221"/>
    <w:rsid w:val="00DA275D"/>
    <w:rsid w:val="00DA34EF"/>
    <w:rsid w:val="00DA3D6A"/>
    <w:rsid w:val="00DA40F5"/>
    <w:rsid w:val="00DA42B0"/>
    <w:rsid w:val="00DA4831"/>
    <w:rsid w:val="00DA4AB9"/>
    <w:rsid w:val="00DA5A67"/>
    <w:rsid w:val="00DA6037"/>
    <w:rsid w:val="00DA658E"/>
    <w:rsid w:val="00DA6770"/>
    <w:rsid w:val="00DA7123"/>
    <w:rsid w:val="00DB0C0C"/>
    <w:rsid w:val="00DB219C"/>
    <w:rsid w:val="00DB23FC"/>
    <w:rsid w:val="00DB2E0B"/>
    <w:rsid w:val="00DB3537"/>
    <w:rsid w:val="00DB3712"/>
    <w:rsid w:val="00DB43BF"/>
    <w:rsid w:val="00DB4A9B"/>
    <w:rsid w:val="00DB605F"/>
    <w:rsid w:val="00DB6368"/>
    <w:rsid w:val="00DB6779"/>
    <w:rsid w:val="00DB7C7A"/>
    <w:rsid w:val="00DC0614"/>
    <w:rsid w:val="00DC0FA7"/>
    <w:rsid w:val="00DC2C81"/>
    <w:rsid w:val="00DC3B86"/>
    <w:rsid w:val="00DC3F70"/>
    <w:rsid w:val="00DC5F97"/>
    <w:rsid w:val="00DC64EE"/>
    <w:rsid w:val="00DC64FB"/>
    <w:rsid w:val="00DC68F8"/>
    <w:rsid w:val="00DC6A4F"/>
    <w:rsid w:val="00DC6BBF"/>
    <w:rsid w:val="00DC78AB"/>
    <w:rsid w:val="00DC7C37"/>
    <w:rsid w:val="00DD0399"/>
    <w:rsid w:val="00DD0AEC"/>
    <w:rsid w:val="00DD0D13"/>
    <w:rsid w:val="00DD2B39"/>
    <w:rsid w:val="00DD374D"/>
    <w:rsid w:val="00DD4EC6"/>
    <w:rsid w:val="00DD5BEE"/>
    <w:rsid w:val="00DD682E"/>
    <w:rsid w:val="00DD6D22"/>
    <w:rsid w:val="00DD709B"/>
    <w:rsid w:val="00DD7B6D"/>
    <w:rsid w:val="00DE04B9"/>
    <w:rsid w:val="00DE0807"/>
    <w:rsid w:val="00DE2966"/>
    <w:rsid w:val="00DE365B"/>
    <w:rsid w:val="00DE3DD9"/>
    <w:rsid w:val="00DE5593"/>
    <w:rsid w:val="00DE6AC8"/>
    <w:rsid w:val="00DE6B17"/>
    <w:rsid w:val="00DF0519"/>
    <w:rsid w:val="00DF0683"/>
    <w:rsid w:val="00DF2106"/>
    <w:rsid w:val="00DF2459"/>
    <w:rsid w:val="00DF2D70"/>
    <w:rsid w:val="00DF317A"/>
    <w:rsid w:val="00DF3314"/>
    <w:rsid w:val="00DF5FE9"/>
    <w:rsid w:val="00E00CF0"/>
    <w:rsid w:val="00E02AC6"/>
    <w:rsid w:val="00E02C69"/>
    <w:rsid w:val="00E049CB"/>
    <w:rsid w:val="00E079E4"/>
    <w:rsid w:val="00E10295"/>
    <w:rsid w:val="00E11611"/>
    <w:rsid w:val="00E117C8"/>
    <w:rsid w:val="00E11805"/>
    <w:rsid w:val="00E128B9"/>
    <w:rsid w:val="00E13378"/>
    <w:rsid w:val="00E13403"/>
    <w:rsid w:val="00E13470"/>
    <w:rsid w:val="00E14069"/>
    <w:rsid w:val="00E158FA"/>
    <w:rsid w:val="00E15BD2"/>
    <w:rsid w:val="00E1762F"/>
    <w:rsid w:val="00E20041"/>
    <w:rsid w:val="00E203C2"/>
    <w:rsid w:val="00E21BA9"/>
    <w:rsid w:val="00E22119"/>
    <w:rsid w:val="00E233B4"/>
    <w:rsid w:val="00E24826"/>
    <w:rsid w:val="00E27CDA"/>
    <w:rsid w:val="00E30794"/>
    <w:rsid w:val="00E32ACC"/>
    <w:rsid w:val="00E32DC4"/>
    <w:rsid w:val="00E33153"/>
    <w:rsid w:val="00E33589"/>
    <w:rsid w:val="00E33AD4"/>
    <w:rsid w:val="00E344A6"/>
    <w:rsid w:val="00E35FD2"/>
    <w:rsid w:val="00E36725"/>
    <w:rsid w:val="00E409CE"/>
    <w:rsid w:val="00E41F2C"/>
    <w:rsid w:val="00E4284E"/>
    <w:rsid w:val="00E428A1"/>
    <w:rsid w:val="00E4372E"/>
    <w:rsid w:val="00E46A34"/>
    <w:rsid w:val="00E470AB"/>
    <w:rsid w:val="00E52480"/>
    <w:rsid w:val="00E5322E"/>
    <w:rsid w:val="00E5376B"/>
    <w:rsid w:val="00E537CE"/>
    <w:rsid w:val="00E53EE2"/>
    <w:rsid w:val="00E543CB"/>
    <w:rsid w:val="00E561B9"/>
    <w:rsid w:val="00E56363"/>
    <w:rsid w:val="00E61313"/>
    <w:rsid w:val="00E64D7C"/>
    <w:rsid w:val="00E65214"/>
    <w:rsid w:val="00E654EA"/>
    <w:rsid w:val="00E65CA7"/>
    <w:rsid w:val="00E668CC"/>
    <w:rsid w:val="00E67CE3"/>
    <w:rsid w:val="00E7063A"/>
    <w:rsid w:val="00E72133"/>
    <w:rsid w:val="00E742DC"/>
    <w:rsid w:val="00E75BF8"/>
    <w:rsid w:val="00E75D00"/>
    <w:rsid w:val="00E76254"/>
    <w:rsid w:val="00E76574"/>
    <w:rsid w:val="00E766BD"/>
    <w:rsid w:val="00E81E09"/>
    <w:rsid w:val="00E82E07"/>
    <w:rsid w:val="00E82FED"/>
    <w:rsid w:val="00E845E5"/>
    <w:rsid w:val="00E850E5"/>
    <w:rsid w:val="00E86978"/>
    <w:rsid w:val="00E86D01"/>
    <w:rsid w:val="00E870A5"/>
    <w:rsid w:val="00E879B6"/>
    <w:rsid w:val="00E9049A"/>
    <w:rsid w:val="00E9085D"/>
    <w:rsid w:val="00E90FE8"/>
    <w:rsid w:val="00E91126"/>
    <w:rsid w:val="00E92D27"/>
    <w:rsid w:val="00E930D5"/>
    <w:rsid w:val="00E948A5"/>
    <w:rsid w:val="00E94D16"/>
    <w:rsid w:val="00E95C51"/>
    <w:rsid w:val="00E967B9"/>
    <w:rsid w:val="00E97651"/>
    <w:rsid w:val="00EA07CF"/>
    <w:rsid w:val="00EA1504"/>
    <w:rsid w:val="00EA20D0"/>
    <w:rsid w:val="00EA4F0A"/>
    <w:rsid w:val="00EA4FAA"/>
    <w:rsid w:val="00EA5583"/>
    <w:rsid w:val="00EA5873"/>
    <w:rsid w:val="00EA61CA"/>
    <w:rsid w:val="00EA7FF7"/>
    <w:rsid w:val="00EB0E5B"/>
    <w:rsid w:val="00EB1375"/>
    <w:rsid w:val="00EB1904"/>
    <w:rsid w:val="00EB2114"/>
    <w:rsid w:val="00EB280B"/>
    <w:rsid w:val="00EB3546"/>
    <w:rsid w:val="00EB36EB"/>
    <w:rsid w:val="00EB464F"/>
    <w:rsid w:val="00EB5E62"/>
    <w:rsid w:val="00EB7D9B"/>
    <w:rsid w:val="00EC07B3"/>
    <w:rsid w:val="00EC1F1C"/>
    <w:rsid w:val="00EC2179"/>
    <w:rsid w:val="00EC4EA4"/>
    <w:rsid w:val="00EC50C0"/>
    <w:rsid w:val="00EC63ED"/>
    <w:rsid w:val="00EC70E1"/>
    <w:rsid w:val="00EC772D"/>
    <w:rsid w:val="00EC7D7F"/>
    <w:rsid w:val="00EC7F0B"/>
    <w:rsid w:val="00EC7FC7"/>
    <w:rsid w:val="00ED077A"/>
    <w:rsid w:val="00ED1DBF"/>
    <w:rsid w:val="00ED4FC0"/>
    <w:rsid w:val="00ED66A5"/>
    <w:rsid w:val="00ED7A52"/>
    <w:rsid w:val="00EE018F"/>
    <w:rsid w:val="00EE2272"/>
    <w:rsid w:val="00EE36F1"/>
    <w:rsid w:val="00EE4A7C"/>
    <w:rsid w:val="00EE5163"/>
    <w:rsid w:val="00EE600F"/>
    <w:rsid w:val="00EE7B08"/>
    <w:rsid w:val="00EF0E74"/>
    <w:rsid w:val="00EF2553"/>
    <w:rsid w:val="00EF2A87"/>
    <w:rsid w:val="00EF2C60"/>
    <w:rsid w:val="00EF3396"/>
    <w:rsid w:val="00EF46CC"/>
    <w:rsid w:val="00EF4D82"/>
    <w:rsid w:val="00EF54FE"/>
    <w:rsid w:val="00EF6314"/>
    <w:rsid w:val="00F000F5"/>
    <w:rsid w:val="00F00812"/>
    <w:rsid w:val="00F02BBA"/>
    <w:rsid w:val="00F0365B"/>
    <w:rsid w:val="00F04434"/>
    <w:rsid w:val="00F054BA"/>
    <w:rsid w:val="00F062D1"/>
    <w:rsid w:val="00F07E67"/>
    <w:rsid w:val="00F102AC"/>
    <w:rsid w:val="00F11EF3"/>
    <w:rsid w:val="00F11FCD"/>
    <w:rsid w:val="00F12412"/>
    <w:rsid w:val="00F12BDC"/>
    <w:rsid w:val="00F13BFB"/>
    <w:rsid w:val="00F14747"/>
    <w:rsid w:val="00F14BA2"/>
    <w:rsid w:val="00F15001"/>
    <w:rsid w:val="00F15169"/>
    <w:rsid w:val="00F160FD"/>
    <w:rsid w:val="00F1610C"/>
    <w:rsid w:val="00F16CF1"/>
    <w:rsid w:val="00F2209F"/>
    <w:rsid w:val="00F2260E"/>
    <w:rsid w:val="00F24A59"/>
    <w:rsid w:val="00F25C3D"/>
    <w:rsid w:val="00F27237"/>
    <w:rsid w:val="00F277A2"/>
    <w:rsid w:val="00F30BDE"/>
    <w:rsid w:val="00F32012"/>
    <w:rsid w:val="00F33F2A"/>
    <w:rsid w:val="00F35961"/>
    <w:rsid w:val="00F35B47"/>
    <w:rsid w:val="00F40C7F"/>
    <w:rsid w:val="00F4248B"/>
    <w:rsid w:val="00F42504"/>
    <w:rsid w:val="00F42A2D"/>
    <w:rsid w:val="00F44A71"/>
    <w:rsid w:val="00F44AA0"/>
    <w:rsid w:val="00F47537"/>
    <w:rsid w:val="00F47869"/>
    <w:rsid w:val="00F47D0E"/>
    <w:rsid w:val="00F50224"/>
    <w:rsid w:val="00F51A2F"/>
    <w:rsid w:val="00F51AFE"/>
    <w:rsid w:val="00F52AE4"/>
    <w:rsid w:val="00F53425"/>
    <w:rsid w:val="00F56A00"/>
    <w:rsid w:val="00F601CA"/>
    <w:rsid w:val="00F60E65"/>
    <w:rsid w:val="00F63EDC"/>
    <w:rsid w:val="00F6497D"/>
    <w:rsid w:val="00F64C36"/>
    <w:rsid w:val="00F653F5"/>
    <w:rsid w:val="00F657B3"/>
    <w:rsid w:val="00F666A4"/>
    <w:rsid w:val="00F66C9C"/>
    <w:rsid w:val="00F66EC7"/>
    <w:rsid w:val="00F70175"/>
    <w:rsid w:val="00F71105"/>
    <w:rsid w:val="00F727C1"/>
    <w:rsid w:val="00F72D1B"/>
    <w:rsid w:val="00F72D1F"/>
    <w:rsid w:val="00F73B15"/>
    <w:rsid w:val="00F75127"/>
    <w:rsid w:val="00F7577A"/>
    <w:rsid w:val="00F7711F"/>
    <w:rsid w:val="00F8171E"/>
    <w:rsid w:val="00F81DC0"/>
    <w:rsid w:val="00F82533"/>
    <w:rsid w:val="00F826B8"/>
    <w:rsid w:val="00F82E15"/>
    <w:rsid w:val="00F835EB"/>
    <w:rsid w:val="00F83FAC"/>
    <w:rsid w:val="00F86920"/>
    <w:rsid w:val="00F87B31"/>
    <w:rsid w:val="00F90DAC"/>
    <w:rsid w:val="00F9165A"/>
    <w:rsid w:val="00F91965"/>
    <w:rsid w:val="00F92E97"/>
    <w:rsid w:val="00F9575C"/>
    <w:rsid w:val="00F958EA"/>
    <w:rsid w:val="00F95FE4"/>
    <w:rsid w:val="00F964EE"/>
    <w:rsid w:val="00F97496"/>
    <w:rsid w:val="00F97948"/>
    <w:rsid w:val="00FA1834"/>
    <w:rsid w:val="00FA341F"/>
    <w:rsid w:val="00FA346F"/>
    <w:rsid w:val="00FA4428"/>
    <w:rsid w:val="00FA493E"/>
    <w:rsid w:val="00FA5290"/>
    <w:rsid w:val="00FA5818"/>
    <w:rsid w:val="00FA78AA"/>
    <w:rsid w:val="00FB042C"/>
    <w:rsid w:val="00FB0E5A"/>
    <w:rsid w:val="00FB4613"/>
    <w:rsid w:val="00FB4B9E"/>
    <w:rsid w:val="00FB6816"/>
    <w:rsid w:val="00FB6BD6"/>
    <w:rsid w:val="00FB6C0F"/>
    <w:rsid w:val="00FB7121"/>
    <w:rsid w:val="00FC118A"/>
    <w:rsid w:val="00FC12D6"/>
    <w:rsid w:val="00FC60E0"/>
    <w:rsid w:val="00FC692F"/>
    <w:rsid w:val="00FC6D37"/>
    <w:rsid w:val="00FC7C8C"/>
    <w:rsid w:val="00FD0A6D"/>
    <w:rsid w:val="00FD245D"/>
    <w:rsid w:val="00FD4B11"/>
    <w:rsid w:val="00FD5359"/>
    <w:rsid w:val="00FD5588"/>
    <w:rsid w:val="00FD5F32"/>
    <w:rsid w:val="00FD61D3"/>
    <w:rsid w:val="00FD6433"/>
    <w:rsid w:val="00FD7A62"/>
    <w:rsid w:val="00FE07EE"/>
    <w:rsid w:val="00FE1FFC"/>
    <w:rsid w:val="00FE226E"/>
    <w:rsid w:val="00FE558A"/>
    <w:rsid w:val="00FE5E67"/>
    <w:rsid w:val="00FE65A5"/>
    <w:rsid w:val="00FE6B77"/>
    <w:rsid w:val="00FE7A66"/>
    <w:rsid w:val="00FF033D"/>
    <w:rsid w:val="00FF10A5"/>
    <w:rsid w:val="00FF150F"/>
    <w:rsid w:val="00FF2FB2"/>
    <w:rsid w:val="00FF5C45"/>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uiPriority w:val="99"/>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rsid w:val="00CB2893"/>
    <w:rPr>
      <w:color w:val="0000FF"/>
      <w:u w:val="single"/>
    </w:rPr>
  </w:style>
  <w:style w:type="paragraph" w:customStyle="1" w:styleId="naisnod">
    <w:name w:val="naisnod"/>
    <w:basedOn w:val="Normal"/>
    <w:rsid w:val="00CB2893"/>
    <w:pPr>
      <w:spacing w:before="150" w:after="150"/>
      <w:jc w:val="center"/>
    </w:pPr>
    <w:rPr>
      <w:b/>
      <w:bCs/>
      <w:lang w:val="lv-LV" w:eastAsia="lv-LV"/>
    </w:rPr>
  </w:style>
  <w:style w:type="paragraph" w:customStyle="1" w:styleId="naiskr">
    <w:name w:val="naiskr"/>
    <w:basedOn w:val="Normal"/>
    <w:uiPriority w:val="99"/>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aliases w:val="normal"/>
    <w:basedOn w:val="Normal"/>
    <w:link w:val="HeaderChar"/>
    <w:unhideWhenUsed/>
    <w:rsid w:val="00CB2893"/>
    <w:pPr>
      <w:tabs>
        <w:tab w:val="center" w:pos="4153"/>
        <w:tab w:val="right" w:pos="8306"/>
      </w:tabs>
    </w:pPr>
  </w:style>
  <w:style w:type="character" w:customStyle="1" w:styleId="HeaderChar">
    <w:name w:val="Header Char"/>
    <w:aliases w:val="normal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eastAsia="en-US"/>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unhideWhenUsed/>
    <w:rsid w:val="004134D0"/>
    <w:rPr>
      <w:color w:val="000000"/>
      <w:sz w:val="20"/>
      <w:szCs w:val="20"/>
      <w:lang w:val="lv-LV" w:eastAsia="lv-LV"/>
    </w:rPr>
  </w:style>
  <w:style w:type="character" w:customStyle="1" w:styleId="FootnoteTextChar">
    <w:name w:val="Footnote Text Char"/>
    <w:basedOn w:val="DefaultParagraphFont"/>
    <w:link w:val="FootnoteText"/>
    <w:uiPriority w:val="99"/>
    <w:rsid w:val="004134D0"/>
    <w:rPr>
      <w:rFonts w:ascii="Times New Roman" w:eastAsia="Times New Roman" w:hAnsi="Times New Roman"/>
      <w:color w:val="000000"/>
    </w:rPr>
  </w:style>
  <w:style w:type="paragraph" w:styleId="Title">
    <w:name w:val="Title"/>
    <w:basedOn w:val="Normal"/>
    <w:link w:val="TitleChar"/>
    <w:qFormat/>
    <w:rsid w:val="004134D0"/>
    <w:pPr>
      <w:jc w:val="center"/>
    </w:pPr>
    <w:rPr>
      <w:b/>
      <w:color w:val="000000"/>
      <w:sz w:val="28"/>
      <w:szCs w:val="20"/>
      <w:lang w:val="lv-LV"/>
    </w:rPr>
  </w:style>
  <w:style w:type="character" w:customStyle="1" w:styleId="TitleChar">
    <w:name w:val="Title Char"/>
    <w:basedOn w:val="DefaultParagraphFont"/>
    <w:link w:val="Title"/>
    <w:rsid w:val="004134D0"/>
    <w:rPr>
      <w:rFonts w:ascii="Times New Roman" w:eastAsia="Times New Roman" w:hAnsi="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rsid w:val="004134D0"/>
  </w:style>
  <w:style w:type="paragraph" w:customStyle="1" w:styleId="tvhtml1">
    <w:name w:val="tv_html1"/>
    <w:basedOn w:val="Normal"/>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rsid w:val="00CB54E9"/>
  </w:style>
  <w:style w:type="paragraph" w:customStyle="1" w:styleId="tv2131">
    <w:name w:val="tv2131"/>
    <w:basedOn w:val="Normal"/>
    <w:rsid w:val="006C4DC1"/>
    <w:pPr>
      <w:spacing w:before="240" w:line="360" w:lineRule="auto"/>
      <w:ind w:firstLine="300"/>
      <w:jc w:val="both"/>
    </w:pPr>
    <w:rPr>
      <w:rFonts w:ascii="Verdana" w:hAnsi="Verdana"/>
      <w:sz w:val="18"/>
      <w:szCs w:val="18"/>
      <w:lang w:val="lv-LV" w:eastAsia="lv-LV"/>
    </w:rPr>
  </w:style>
  <w:style w:type="character" w:customStyle="1" w:styleId="fontsize21">
    <w:name w:val="fontsize21"/>
    <w:basedOn w:val="DefaultParagraphFont"/>
    <w:rsid w:val="00292E58"/>
    <w:rPr>
      <w:i/>
      <w:iCs/>
      <w:sz w:val="10"/>
      <w:szCs w:val="10"/>
    </w:rPr>
  </w:style>
  <w:style w:type="paragraph" w:customStyle="1" w:styleId="labojumupamats1">
    <w:name w:val="labojumu_pamats1"/>
    <w:basedOn w:val="Normal"/>
    <w:rsid w:val="006A3774"/>
    <w:pPr>
      <w:spacing w:before="56" w:line="360" w:lineRule="auto"/>
      <w:ind w:firstLine="374"/>
    </w:pPr>
    <w:rPr>
      <w:rFonts w:ascii="Verdana" w:hAnsi="Verdana"/>
      <w:i/>
      <w:iCs/>
      <w:sz w:val="21"/>
      <w:szCs w:val="21"/>
      <w:lang w:val="lv-LV" w:eastAsia="lv-LV"/>
    </w:rPr>
  </w:style>
  <w:style w:type="paragraph" w:styleId="BodyTextIndent">
    <w:name w:val="Body Text Indent"/>
    <w:basedOn w:val="Normal"/>
    <w:link w:val="BodyTextIndentChar"/>
    <w:rsid w:val="0061796F"/>
    <w:pPr>
      <w:spacing w:before="100" w:beforeAutospacing="1" w:after="100" w:afterAutospacing="1"/>
    </w:pPr>
    <w:rPr>
      <w:lang w:val="lv-LV" w:eastAsia="lv-LV"/>
    </w:rPr>
  </w:style>
  <w:style w:type="character" w:customStyle="1" w:styleId="BodyTextIndentChar">
    <w:name w:val="Body Text Indent Char"/>
    <w:basedOn w:val="DefaultParagraphFont"/>
    <w:link w:val="BodyTextIndent"/>
    <w:rsid w:val="0061796F"/>
    <w:rPr>
      <w:rFonts w:ascii="Times New Roman" w:eastAsia="Times New Roman" w:hAnsi="Times New Roman"/>
      <w:sz w:val="24"/>
      <w:szCs w:val="24"/>
    </w:rPr>
  </w:style>
  <w:style w:type="character" w:customStyle="1" w:styleId="spelle">
    <w:name w:val="spelle"/>
    <w:basedOn w:val="DefaultParagraphFont"/>
    <w:rsid w:val="00A92294"/>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28096226">
      <w:bodyDiv w:val="1"/>
      <w:marLeft w:val="0"/>
      <w:marRight w:val="0"/>
      <w:marTop w:val="0"/>
      <w:marBottom w:val="0"/>
      <w:divBdr>
        <w:top w:val="none" w:sz="0" w:space="0" w:color="auto"/>
        <w:left w:val="none" w:sz="0" w:space="0" w:color="auto"/>
        <w:bottom w:val="none" w:sz="0" w:space="0" w:color="auto"/>
        <w:right w:val="none" w:sz="0" w:space="0" w:color="auto"/>
      </w:divBdr>
      <w:divsChild>
        <w:div w:id="1574314630">
          <w:marLeft w:val="0"/>
          <w:marRight w:val="0"/>
          <w:marTop w:val="0"/>
          <w:marBottom w:val="0"/>
          <w:divBdr>
            <w:top w:val="none" w:sz="0" w:space="0" w:color="auto"/>
            <w:left w:val="none" w:sz="0" w:space="0" w:color="auto"/>
            <w:bottom w:val="none" w:sz="0" w:space="0" w:color="auto"/>
            <w:right w:val="none" w:sz="0" w:space="0" w:color="auto"/>
          </w:divBdr>
          <w:divsChild>
            <w:div w:id="1832790395">
              <w:marLeft w:val="0"/>
              <w:marRight w:val="0"/>
              <w:marTop w:val="0"/>
              <w:marBottom w:val="0"/>
              <w:divBdr>
                <w:top w:val="none" w:sz="0" w:space="0" w:color="auto"/>
                <w:left w:val="none" w:sz="0" w:space="0" w:color="auto"/>
                <w:bottom w:val="none" w:sz="0" w:space="0" w:color="auto"/>
                <w:right w:val="none" w:sz="0" w:space="0" w:color="auto"/>
              </w:divBdr>
              <w:divsChild>
                <w:div w:id="1682197158">
                  <w:marLeft w:val="0"/>
                  <w:marRight w:val="0"/>
                  <w:marTop w:val="0"/>
                  <w:marBottom w:val="0"/>
                  <w:divBdr>
                    <w:top w:val="none" w:sz="0" w:space="0" w:color="auto"/>
                    <w:left w:val="none" w:sz="0" w:space="0" w:color="auto"/>
                    <w:bottom w:val="none" w:sz="0" w:space="0" w:color="auto"/>
                    <w:right w:val="none" w:sz="0" w:space="0" w:color="auto"/>
                  </w:divBdr>
                  <w:divsChild>
                    <w:div w:id="1537280640">
                      <w:marLeft w:val="0"/>
                      <w:marRight w:val="0"/>
                      <w:marTop w:val="0"/>
                      <w:marBottom w:val="0"/>
                      <w:divBdr>
                        <w:top w:val="none" w:sz="0" w:space="0" w:color="auto"/>
                        <w:left w:val="none" w:sz="0" w:space="0" w:color="auto"/>
                        <w:bottom w:val="none" w:sz="0" w:space="0" w:color="auto"/>
                        <w:right w:val="none" w:sz="0" w:space="0" w:color="auto"/>
                      </w:divBdr>
                      <w:divsChild>
                        <w:div w:id="1380398596">
                          <w:marLeft w:val="0"/>
                          <w:marRight w:val="0"/>
                          <w:marTop w:val="0"/>
                          <w:marBottom w:val="0"/>
                          <w:divBdr>
                            <w:top w:val="none" w:sz="0" w:space="0" w:color="auto"/>
                            <w:left w:val="none" w:sz="0" w:space="0" w:color="auto"/>
                            <w:bottom w:val="none" w:sz="0" w:space="0" w:color="auto"/>
                            <w:right w:val="none" w:sz="0" w:space="0" w:color="auto"/>
                          </w:divBdr>
                          <w:divsChild>
                            <w:div w:id="420416078">
                              <w:marLeft w:val="0"/>
                              <w:marRight w:val="0"/>
                              <w:marTop w:val="0"/>
                              <w:marBottom w:val="0"/>
                              <w:divBdr>
                                <w:top w:val="none" w:sz="0" w:space="0" w:color="auto"/>
                                <w:left w:val="none" w:sz="0" w:space="0" w:color="auto"/>
                                <w:bottom w:val="none" w:sz="0" w:space="0" w:color="auto"/>
                                <w:right w:val="none" w:sz="0" w:space="0" w:color="auto"/>
                              </w:divBdr>
                              <w:divsChild>
                                <w:div w:id="2104835584">
                                  <w:marLeft w:val="0"/>
                                  <w:marRight w:val="0"/>
                                  <w:marTop w:val="0"/>
                                  <w:marBottom w:val="0"/>
                                  <w:divBdr>
                                    <w:top w:val="none" w:sz="0" w:space="0" w:color="auto"/>
                                    <w:left w:val="none" w:sz="0" w:space="0" w:color="auto"/>
                                    <w:bottom w:val="none" w:sz="0" w:space="0" w:color="auto"/>
                                    <w:right w:val="none" w:sz="0" w:space="0" w:color="auto"/>
                                  </w:divBdr>
                                  <w:divsChild>
                                    <w:div w:id="320744601">
                                      <w:marLeft w:val="0"/>
                                      <w:marRight w:val="0"/>
                                      <w:marTop w:val="0"/>
                                      <w:marBottom w:val="0"/>
                                      <w:divBdr>
                                        <w:top w:val="single" w:sz="4" w:space="0" w:color="F5F5F5"/>
                                        <w:left w:val="single" w:sz="4" w:space="0" w:color="F5F5F5"/>
                                        <w:bottom w:val="single" w:sz="4" w:space="0" w:color="F5F5F5"/>
                                        <w:right w:val="single" w:sz="4" w:space="0" w:color="F5F5F5"/>
                                      </w:divBdr>
                                      <w:divsChild>
                                        <w:div w:id="27873389">
                                          <w:marLeft w:val="0"/>
                                          <w:marRight w:val="0"/>
                                          <w:marTop w:val="0"/>
                                          <w:marBottom w:val="0"/>
                                          <w:divBdr>
                                            <w:top w:val="none" w:sz="0" w:space="0" w:color="auto"/>
                                            <w:left w:val="none" w:sz="0" w:space="0" w:color="auto"/>
                                            <w:bottom w:val="none" w:sz="0" w:space="0" w:color="auto"/>
                                            <w:right w:val="none" w:sz="0" w:space="0" w:color="auto"/>
                                          </w:divBdr>
                                          <w:divsChild>
                                            <w:div w:id="1381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06193771">
      <w:bodyDiv w:val="1"/>
      <w:marLeft w:val="0"/>
      <w:marRight w:val="0"/>
      <w:marTop w:val="0"/>
      <w:marBottom w:val="0"/>
      <w:divBdr>
        <w:top w:val="none" w:sz="0" w:space="0" w:color="auto"/>
        <w:left w:val="none" w:sz="0" w:space="0" w:color="auto"/>
        <w:bottom w:val="none" w:sz="0" w:space="0" w:color="auto"/>
        <w:right w:val="none" w:sz="0" w:space="0" w:color="auto"/>
      </w:divBdr>
      <w:divsChild>
        <w:div w:id="496850580">
          <w:marLeft w:val="0"/>
          <w:marRight w:val="0"/>
          <w:marTop w:val="0"/>
          <w:marBottom w:val="0"/>
          <w:divBdr>
            <w:top w:val="none" w:sz="0" w:space="0" w:color="auto"/>
            <w:left w:val="none" w:sz="0" w:space="0" w:color="auto"/>
            <w:bottom w:val="none" w:sz="0" w:space="0" w:color="auto"/>
            <w:right w:val="none" w:sz="0" w:space="0" w:color="auto"/>
          </w:divBdr>
          <w:divsChild>
            <w:div w:id="948244348">
              <w:marLeft w:val="0"/>
              <w:marRight w:val="0"/>
              <w:marTop w:val="0"/>
              <w:marBottom w:val="0"/>
              <w:divBdr>
                <w:top w:val="none" w:sz="0" w:space="0" w:color="auto"/>
                <w:left w:val="none" w:sz="0" w:space="0" w:color="auto"/>
                <w:bottom w:val="none" w:sz="0" w:space="0" w:color="auto"/>
                <w:right w:val="none" w:sz="0" w:space="0" w:color="auto"/>
              </w:divBdr>
              <w:divsChild>
                <w:div w:id="885603347">
                  <w:marLeft w:val="0"/>
                  <w:marRight w:val="0"/>
                  <w:marTop w:val="0"/>
                  <w:marBottom w:val="0"/>
                  <w:divBdr>
                    <w:top w:val="none" w:sz="0" w:space="0" w:color="auto"/>
                    <w:left w:val="none" w:sz="0" w:space="0" w:color="auto"/>
                    <w:bottom w:val="none" w:sz="0" w:space="0" w:color="auto"/>
                    <w:right w:val="none" w:sz="0" w:space="0" w:color="auto"/>
                  </w:divBdr>
                  <w:divsChild>
                    <w:div w:id="1955405767">
                      <w:marLeft w:val="0"/>
                      <w:marRight w:val="0"/>
                      <w:marTop w:val="0"/>
                      <w:marBottom w:val="0"/>
                      <w:divBdr>
                        <w:top w:val="none" w:sz="0" w:space="0" w:color="auto"/>
                        <w:left w:val="none" w:sz="0" w:space="0" w:color="auto"/>
                        <w:bottom w:val="none" w:sz="0" w:space="0" w:color="auto"/>
                        <w:right w:val="none" w:sz="0" w:space="0" w:color="auto"/>
                      </w:divBdr>
                      <w:divsChild>
                        <w:div w:id="1913660965">
                          <w:marLeft w:val="0"/>
                          <w:marRight w:val="0"/>
                          <w:marTop w:val="0"/>
                          <w:marBottom w:val="0"/>
                          <w:divBdr>
                            <w:top w:val="none" w:sz="0" w:space="0" w:color="auto"/>
                            <w:left w:val="none" w:sz="0" w:space="0" w:color="auto"/>
                            <w:bottom w:val="none" w:sz="0" w:space="0" w:color="auto"/>
                            <w:right w:val="none" w:sz="0" w:space="0" w:color="auto"/>
                          </w:divBdr>
                          <w:divsChild>
                            <w:div w:id="176235595">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sChild>
                                    <w:div w:id="771054613">
                                      <w:marLeft w:val="0"/>
                                      <w:marRight w:val="0"/>
                                      <w:marTop w:val="0"/>
                                      <w:marBottom w:val="0"/>
                                      <w:divBdr>
                                        <w:top w:val="single" w:sz="8" w:space="0" w:color="F5F5F5"/>
                                        <w:left w:val="single" w:sz="8" w:space="0" w:color="F5F5F5"/>
                                        <w:bottom w:val="single" w:sz="8" w:space="0" w:color="F5F5F5"/>
                                        <w:right w:val="single" w:sz="8" w:space="0" w:color="F5F5F5"/>
                                      </w:divBdr>
                                      <w:divsChild>
                                        <w:div w:id="483090840">
                                          <w:marLeft w:val="0"/>
                                          <w:marRight w:val="0"/>
                                          <w:marTop w:val="0"/>
                                          <w:marBottom w:val="0"/>
                                          <w:divBdr>
                                            <w:top w:val="none" w:sz="0" w:space="0" w:color="auto"/>
                                            <w:left w:val="none" w:sz="0" w:space="0" w:color="auto"/>
                                            <w:bottom w:val="none" w:sz="0" w:space="0" w:color="auto"/>
                                            <w:right w:val="none" w:sz="0" w:space="0" w:color="auto"/>
                                          </w:divBdr>
                                          <w:divsChild>
                                            <w:div w:id="596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6432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76">
          <w:marLeft w:val="0"/>
          <w:marRight w:val="0"/>
          <w:marTop w:val="0"/>
          <w:marBottom w:val="0"/>
          <w:divBdr>
            <w:top w:val="none" w:sz="0" w:space="0" w:color="auto"/>
            <w:left w:val="none" w:sz="0" w:space="0" w:color="auto"/>
            <w:bottom w:val="none" w:sz="0" w:space="0" w:color="auto"/>
            <w:right w:val="none" w:sz="0" w:space="0" w:color="auto"/>
          </w:divBdr>
          <w:divsChild>
            <w:div w:id="1069769494">
              <w:marLeft w:val="0"/>
              <w:marRight w:val="0"/>
              <w:marTop w:val="0"/>
              <w:marBottom w:val="0"/>
              <w:divBdr>
                <w:top w:val="none" w:sz="0" w:space="0" w:color="auto"/>
                <w:left w:val="none" w:sz="0" w:space="0" w:color="auto"/>
                <w:bottom w:val="none" w:sz="0" w:space="0" w:color="auto"/>
                <w:right w:val="none" w:sz="0" w:space="0" w:color="auto"/>
              </w:divBdr>
              <w:divsChild>
                <w:div w:id="1149594179">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0"/>
                      <w:marRight w:val="0"/>
                      <w:marTop w:val="0"/>
                      <w:marBottom w:val="0"/>
                      <w:divBdr>
                        <w:top w:val="none" w:sz="0" w:space="0" w:color="auto"/>
                        <w:left w:val="none" w:sz="0" w:space="0" w:color="auto"/>
                        <w:bottom w:val="none" w:sz="0" w:space="0" w:color="auto"/>
                        <w:right w:val="none" w:sz="0" w:space="0" w:color="auto"/>
                      </w:divBdr>
                      <w:divsChild>
                        <w:div w:id="1966691520">
                          <w:marLeft w:val="0"/>
                          <w:marRight w:val="0"/>
                          <w:marTop w:val="0"/>
                          <w:marBottom w:val="0"/>
                          <w:divBdr>
                            <w:top w:val="none" w:sz="0" w:space="0" w:color="auto"/>
                            <w:left w:val="none" w:sz="0" w:space="0" w:color="auto"/>
                            <w:bottom w:val="none" w:sz="0" w:space="0" w:color="auto"/>
                            <w:right w:val="none" w:sz="0" w:space="0" w:color="auto"/>
                          </w:divBdr>
                          <w:divsChild>
                            <w:div w:id="745498337">
                              <w:marLeft w:val="0"/>
                              <w:marRight w:val="0"/>
                              <w:marTop w:val="0"/>
                              <w:marBottom w:val="0"/>
                              <w:divBdr>
                                <w:top w:val="none" w:sz="0" w:space="0" w:color="auto"/>
                                <w:left w:val="none" w:sz="0" w:space="0" w:color="auto"/>
                                <w:bottom w:val="none" w:sz="0" w:space="0" w:color="auto"/>
                                <w:right w:val="none" w:sz="0" w:space="0" w:color="auto"/>
                              </w:divBdr>
                              <w:divsChild>
                                <w:div w:id="1836722267">
                                  <w:marLeft w:val="0"/>
                                  <w:marRight w:val="0"/>
                                  <w:marTop w:val="0"/>
                                  <w:marBottom w:val="0"/>
                                  <w:divBdr>
                                    <w:top w:val="none" w:sz="0" w:space="0" w:color="auto"/>
                                    <w:left w:val="none" w:sz="0" w:space="0" w:color="auto"/>
                                    <w:bottom w:val="none" w:sz="0" w:space="0" w:color="auto"/>
                                    <w:right w:val="none" w:sz="0" w:space="0" w:color="auto"/>
                                  </w:divBdr>
                                  <w:divsChild>
                                    <w:div w:id="1355690791">
                                      <w:marLeft w:val="0"/>
                                      <w:marRight w:val="0"/>
                                      <w:marTop w:val="0"/>
                                      <w:marBottom w:val="0"/>
                                      <w:divBdr>
                                        <w:top w:val="single" w:sz="8" w:space="0" w:color="F5F5F5"/>
                                        <w:left w:val="single" w:sz="8" w:space="0" w:color="F5F5F5"/>
                                        <w:bottom w:val="single" w:sz="8" w:space="0" w:color="F5F5F5"/>
                                        <w:right w:val="single" w:sz="8" w:space="0" w:color="F5F5F5"/>
                                      </w:divBdr>
                                      <w:divsChild>
                                        <w:div w:id="120736482">
                                          <w:marLeft w:val="0"/>
                                          <w:marRight w:val="0"/>
                                          <w:marTop w:val="0"/>
                                          <w:marBottom w:val="0"/>
                                          <w:divBdr>
                                            <w:top w:val="none" w:sz="0" w:space="0" w:color="auto"/>
                                            <w:left w:val="none" w:sz="0" w:space="0" w:color="auto"/>
                                            <w:bottom w:val="none" w:sz="0" w:space="0" w:color="auto"/>
                                            <w:right w:val="none" w:sz="0" w:space="0" w:color="auto"/>
                                          </w:divBdr>
                                          <w:divsChild>
                                            <w:div w:id="1889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529025">
      <w:bodyDiv w:val="1"/>
      <w:marLeft w:val="0"/>
      <w:marRight w:val="0"/>
      <w:marTop w:val="0"/>
      <w:marBottom w:val="0"/>
      <w:divBdr>
        <w:top w:val="none" w:sz="0" w:space="0" w:color="auto"/>
        <w:left w:val="none" w:sz="0" w:space="0" w:color="auto"/>
        <w:bottom w:val="none" w:sz="0" w:space="0" w:color="auto"/>
        <w:right w:val="none" w:sz="0" w:space="0" w:color="auto"/>
      </w:divBdr>
      <w:divsChild>
        <w:div w:id="191302892">
          <w:marLeft w:val="0"/>
          <w:marRight w:val="0"/>
          <w:marTop w:val="0"/>
          <w:marBottom w:val="0"/>
          <w:divBdr>
            <w:top w:val="none" w:sz="0" w:space="0" w:color="auto"/>
            <w:left w:val="none" w:sz="0" w:space="0" w:color="auto"/>
            <w:bottom w:val="none" w:sz="0" w:space="0" w:color="auto"/>
            <w:right w:val="none" w:sz="0" w:space="0" w:color="auto"/>
          </w:divBdr>
          <w:divsChild>
            <w:div w:id="228269762">
              <w:marLeft w:val="0"/>
              <w:marRight w:val="0"/>
              <w:marTop w:val="0"/>
              <w:marBottom w:val="0"/>
              <w:divBdr>
                <w:top w:val="none" w:sz="0" w:space="0" w:color="auto"/>
                <w:left w:val="none" w:sz="0" w:space="0" w:color="auto"/>
                <w:bottom w:val="none" w:sz="0" w:space="0" w:color="auto"/>
                <w:right w:val="none" w:sz="0" w:space="0" w:color="auto"/>
              </w:divBdr>
              <w:divsChild>
                <w:div w:id="412746369">
                  <w:marLeft w:val="0"/>
                  <w:marRight w:val="0"/>
                  <w:marTop w:val="0"/>
                  <w:marBottom w:val="0"/>
                  <w:divBdr>
                    <w:top w:val="none" w:sz="0" w:space="0" w:color="auto"/>
                    <w:left w:val="none" w:sz="0" w:space="0" w:color="auto"/>
                    <w:bottom w:val="none" w:sz="0" w:space="0" w:color="auto"/>
                    <w:right w:val="none" w:sz="0" w:space="0" w:color="auto"/>
                  </w:divBdr>
                  <w:divsChild>
                    <w:div w:id="1929801323">
                      <w:marLeft w:val="0"/>
                      <w:marRight w:val="0"/>
                      <w:marTop w:val="0"/>
                      <w:marBottom w:val="0"/>
                      <w:divBdr>
                        <w:top w:val="none" w:sz="0" w:space="0" w:color="auto"/>
                        <w:left w:val="none" w:sz="0" w:space="0" w:color="auto"/>
                        <w:bottom w:val="none" w:sz="0" w:space="0" w:color="auto"/>
                        <w:right w:val="none" w:sz="0" w:space="0" w:color="auto"/>
                      </w:divBdr>
                      <w:divsChild>
                        <w:div w:id="674844080">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0"/>
                              <w:marRight w:val="0"/>
                              <w:marTop w:val="0"/>
                              <w:marBottom w:val="0"/>
                              <w:divBdr>
                                <w:top w:val="none" w:sz="0" w:space="0" w:color="auto"/>
                                <w:left w:val="none" w:sz="0" w:space="0" w:color="auto"/>
                                <w:bottom w:val="none" w:sz="0" w:space="0" w:color="auto"/>
                                <w:right w:val="none" w:sz="0" w:space="0" w:color="auto"/>
                              </w:divBdr>
                              <w:divsChild>
                                <w:div w:id="1880431246">
                                  <w:marLeft w:val="0"/>
                                  <w:marRight w:val="0"/>
                                  <w:marTop w:val="0"/>
                                  <w:marBottom w:val="0"/>
                                  <w:divBdr>
                                    <w:top w:val="none" w:sz="0" w:space="0" w:color="auto"/>
                                    <w:left w:val="none" w:sz="0" w:space="0" w:color="auto"/>
                                    <w:bottom w:val="none" w:sz="0" w:space="0" w:color="auto"/>
                                    <w:right w:val="none" w:sz="0" w:space="0" w:color="auto"/>
                                  </w:divBdr>
                                  <w:divsChild>
                                    <w:div w:id="1527789304">
                                      <w:marLeft w:val="0"/>
                                      <w:marRight w:val="0"/>
                                      <w:marTop w:val="0"/>
                                      <w:marBottom w:val="0"/>
                                      <w:divBdr>
                                        <w:top w:val="single" w:sz="8" w:space="0" w:color="F5F5F5"/>
                                        <w:left w:val="single" w:sz="8" w:space="0" w:color="F5F5F5"/>
                                        <w:bottom w:val="single" w:sz="8" w:space="0" w:color="F5F5F5"/>
                                        <w:right w:val="single" w:sz="8" w:space="0" w:color="F5F5F5"/>
                                      </w:divBdr>
                                      <w:divsChild>
                                        <w:div w:id="684287919">
                                          <w:marLeft w:val="0"/>
                                          <w:marRight w:val="0"/>
                                          <w:marTop w:val="0"/>
                                          <w:marBottom w:val="0"/>
                                          <w:divBdr>
                                            <w:top w:val="none" w:sz="0" w:space="0" w:color="auto"/>
                                            <w:left w:val="none" w:sz="0" w:space="0" w:color="auto"/>
                                            <w:bottom w:val="none" w:sz="0" w:space="0" w:color="auto"/>
                                            <w:right w:val="none" w:sz="0" w:space="0" w:color="auto"/>
                                          </w:divBdr>
                                          <w:divsChild>
                                            <w:div w:id="1670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18413">
      <w:bodyDiv w:val="1"/>
      <w:marLeft w:val="0"/>
      <w:marRight w:val="0"/>
      <w:marTop w:val="0"/>
      <w:marBottom w:val="0"/>
      <w:divBdr>
        <w:top w:val="none" w:sz="0" w:space="0" w:color="auto"/>
        <w:left w:val="none" w:sz="0" w:space="0" w:color="auto"/>
        <w:bottom w:val="none" w:sz="0" w:space="0" w:color="auto"/>
        <w:right w:val="none" w:sz="0" w:space="0" w:color="auto"/>
      </w:divBdr>
      <w:divsChild>
        <w:div w:id="463542672">
          <w:marLeft w:val="0"/>
          <w:marRight w:val="0"/>
          <w:marTop w:val="0"/>
          <w:marBottom w:val="0"/>
          <w:divBdr>
            <w:top w:val="none" w:sz="0" w:space="0" w:color="auto"/>
            <w:left w:val="none" w:sz="0" w:space="0" w:color="auto"/>
            <w:bottom w:val="none" w:sz="0" w:space="0" w:color="auto"/>
            <w:right w:val="none" w:sz="0" w:space="0" w:color="auto"/>
          </w:divBdr>
          <w:divsChild>
            <w:div w:id="1367025417">
              <w:marLeft w:val="0"/>
              <w:marRight w:val="0"/>
              <w:marTop w:val="0"/>
              <w:marBottom w:val="0"/>
              <w:divBdr>
                <w:top w:val="none" w:sz="0" w:space="0" w:color="auto"/>
                <w:left w:val="none" w:sz="0" w:space="0" w:color="auto"/>
                <w:bottom w:val="none" w:sz="0" w:space="0" w:color="auto"/>
                <w:right w:val="none" w:sz="0" w:space="0" w:color="auto"/>
              </w:divBdr>
              <w:divsChild>
                <w:div w:id="1675034923">
                  <w:marLeft w:val="0"/>
                  <w:marRight w:val="0"/>
                  <w:marTop w:val="0"/>
                  <w:marBottom w:val="0"/>
                  <w:divBdr>
                    <w:top w:val="none" w:sz="0" w:space="0" w:color="auto"/>
                    <w:left w:val="none" w:sz="0" w:space="0" w:color="auto"/>
                    <w:bottom w:val="none" w:sz="0" w:space="0" w:color="auto"/>
                    <w:right w:val="none" w:sz="0" w:space="0" w:color="auto"/>
                  </w:divBdr>
                  <w:divsChild>
                    <w:div w:id="8873343">
                      <w:marLeft w:val="0"/>
                      <w:marRight w:val="0"/>
                      <w:marTop w:val="0"/>
                      <w:marBottom w:val="0"/>
                      <w:divBdr>
                        <w:top w:val="none" w:sz="0" w:space="0" w:color="auto"/>
                        <w:left w:val="none" w:sz="0" w:space="0" w:color="auto"/>
                        <w:bottom w:val="none" w:sz="0" w:space="0" w:color="auto"/>
                        <w:right w:val="none" w:sz="0" w:space="0" w:color="auto"/>
                      </w:divBdr>
                      <w:divsChild>
                        <w:div w:id="923874301">
                          <w:marLeft w:val="0"/>
                          <w:marRight w:val="0"/>
                          <w:marTop w:val="0"/>
                          <w:marBottom w:val="0"/>
                          <w:divBdr>
                            <w:top w:val="none" w:sz="0" w:space="0" w:color="auto"/>
                            <w:left w:val="none" w:sz="0" w:space="0" w:color="auto"/>
                            <w:bottom w:val="none" w:sz="0" w:space="0" w:color="auto"/>
                            <w:right w:val="none" w:sz="0" w:space="0" w:color="auto"/>
                          </w:divBdr>
                          <w:divsChild>
                            <w:div w:id="496582685">
                              <w:marLeft w:val="0"/>
                              <w:marRight w:val="0"/>
                              <w:marTop w:val="0"/>
                              <w:marBottom w:val="0"/>
                              <w:divBdr>
                                <w:top w:val="none" w:sz="0" w:space="0" w:color="auto"/>
                                <w:left w:val="none" w:sz="0" w:space="0" w:color="auto"/>
                                <w:bottom w:val="none" w:sz="0" w:space="0" w:color="auto"/>
                                <w:right w:val="none" w:sz="0" w:space="0" w:color="auto"/>
                              </w:divBdr>
                              <w:divsChild>
                                <w:div w:id="2043822535">
                                  <w:marLeft w:val="0"/>
                                  <w:marRight w:val="0"/>
                                  <w:marTop w:val="0"/>
                                  <w:marBottom w:val="0"/>
                                  <w:divBdr>
                                    <w:top w:val="none" w:sz="0" w:space="0" w:color="auto"/>
                                    <w:left w:val="none" w:sz="0" w:space="0" w:color="auto"/>
                                    <w:bottom w:val="none" w:sz="0" w:space="0" w:color="auto"/>
                                    <w:right w:val="none" w:sz="0" w:space="0" w:color="auto"/>
                                  </w:divBdr>
                                  <w:divsChild>
                                    <w:div w:id="682249922">
                                      <w:marLeft w:val="0"/>
                                      <w:marRight w:val="0"/>
                                      <w:marTop w:val="0"/>
                                      <w:marBottom w:val="0"/>
                                      <w:divBdr>
                                        <w:top w:val="single" w:sz="8" w:space="0" w:color="F5F5F5"/>
                                        <w:left w:val="single" w:sz="8" w:space="0" w:color="F5F5F5"/>
                                        <w:bottom w:val="single" w:sz="8" w:space="0" w:color="F5F5F5"/>
                                        <w:right w:val="single" w:sz="8" w:space="0" w:color="F5F5F5"/>
                                      </w:divBdr>
                                      <w:divsChild>
                                        <w:div w:id="1513686314">
                                          <w:marLeft w:val="0"/>
                                          <w:marRight w:val="0"/>
                                          <w:marTop w:val="0"/>
                                          <w:marBottom w:val="0"/>
                                          <w:divBdr>
                                            <w:top w:val="none" w:sz="0" w:space="0" w:color="auto"/>
                                            <w:left w:val="none" w:sz="0" w:space="0" w:color="auto"/>
                                            <w:bottom w:val="none" w:sz="0" w:space="0" w:color="auto"/>
                                            <w:right w:val="none" w:sz="0" w:space="0" w:color="auto"/>
                                          </w:divBdr>
                                          <w:divsChild>
                                            <w:div w:id="1488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6589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99">
          <w:marLeft w:val="0"/>
          <w:marRight w:val="0"/>
          <w:marTop w:val="0"/>
          <w:marBottom w:val="0"/>
          <w:divBdr>
            <w:top w:val="none" w:sz="0" w:space="0" w:color="auto"/>
            <w:left w:val="none" w:sz="0" w:space="0" w:color="auto"/>
            <w:bottom w:val="none" w:sz="0" w:space="0" w:color="auto"/>
            <w:right w:val="none" w:sz="0" w:space="0" w:color="auto"/>
          </w:divBdr>
          <w:divsChild>
            <w:div w:id="231087813">
              <w:marLeft w:val="0"/>
              <w:marRight w:val="0"/>
              <w:marTop w:val="0"/>
              <w:marBottom w:val="0"/>
              <w:divBdr>
                <w:top w:val="none" w:sz="0" w:space="0" w:color="auto"/>
                <w:left w:val="none" w:sz="0" w:space="0" w:color="auto"/>
                <w:bottom w:val="none" w:sz="0" w:space="0" w:color="auto"/>
                <w:right w:val="none" w:sz="0" w:space="0" w:color="auto"/>
              </w:divBdr>
              <w:divsChild>
                <w:div w:id="1593199862">
                  <w:marLeft w:val="0"/>
                  <w:marRight w:val="0"/>
                  <w:marTop w:val="0"/>
                  <w:marBottom w:val="0"/>
                  <w:divBdr>
                    <w:top w:val="none" w:sz="0" w:space="0" w:color="auto"/>
                    <w:left w:val="none" w:sz="0" w:space="0" w:color="auto"/>
                    <w:bottom w:val="none" w:sz="0" w:space="0" w:color="auto"/>
                    <w:right w:val="none" w:sz="0" w:space="0" w:color="auto"/>
                  </w:divBdr>
                  <w:divsChild>
                    <w:div w:id="507448597">
                      <w:marLeft w:val="0"/>
                      <w:marRight w:val="0"/>
                      <w:marTop w:val="0"/>
                      <w:marBottom w:val="0"/>
                      <w:divBdr>
                        <w:top w:val="none" w:sz="0" w:space="0" w:color="auto"/>
                        <w:left w:val="none" w:sz="0" w:space="0" w:color="auto"/>
                        <w:bottom w:val="none" w:sz="0" w:space="0" w:color="auto"/>
                        <w:right w:val="none" w:sz="0" w:space="0" w:color="auto"/>
                      </w:divBdr>
                      <w:divsChild>
                        <w:div w:id="775029230">
                          <w:marLeft w:val="0"/>
                          <w:marRight w:val="0"/>
                          <w:marTop w:val="0"/>
                          <w:marBottom w:val="0"/>
                          <w:divBdr>
                            <w:top w:val="none" w:sz="0" w:space="0" w:color="auto"/>
                            <w:left w:val="none" w:sz="0" w:space="0" w:color="auto"/>
                            <w:bottom w:val="none" w:sz="0" w:space="0" w:color="auto"/>
                            <w:right w:val="none" w:sz="0" w:space="0" w:color="auto"/>
                          </w:divBdr>
                          <w:divsChild>
                            <w:div w:id="1089733830">
                              <w:marLeft w:val="0"/>
                              <w:marRight w:val="0"/>
                              <w:marTop w:val="0"/>
                              <w:marBottom w:val="0"/>
                              <w:divBdr>
                                <w:top w:val="none" w:sz="0" w:space="0" w:color="auto"/>
                                <w:left w:val="none" w:sz="0" w:space="0" w:color="auto"/>
                                <w:bottom w:val="none" w:sz="0" w:space="0" w:color="auto"/>
                                <w:right w:val="none" w:sz="0" w:space="0" w:color="auto"/>
                              </w:divBdr>
                              <w:divsChild>
                                <w:div w:id="592780592">
                                  <w:marLeft w:val="0"/>
                                  <w:marRight w:val="0"/>
                                  <w:marTop w:val="0"/>
                                  <w:marBottom w:val="0"/>
                                  <w:divBdr>
                                    <w:top w:val="none" w:sz="0" w:space="0" w:color="auto"/>
                                    <w:left w:val="none" w:sz="0" w:space="0" w:color="auto"/>
                                    <w:bottom w:val="none" w:sz="0" w:space="0" w:color="auto"/>
                                    <w:right w:val="none" w:sz="0" w:space="0" w:color="auto"/>
                                  </w:divBdr>
                                  <w:divsChild>
                                    <w:div w:id="436684078">
                                      <w:marLeft w:val="0"/>
                                      <w:marRight w:val="0"/>
                                      <w:marTop w:val="0"/>
                                      <w:marBottom w:val="0"/>
                                      <w:divBdr>
                                        <w:top w:val="single" w:sz="8" w:space="0" w:color="F5F5F5"/>
                                        <w:left w:val="single" w:sz="8" w:space="0" w:color="F5F5F5"/>
                                        <w:bottom w:val="single" w:sz="8" w:space="0" w:color="F5F5F5"/>
                                        <w:right w:val="single" w:sz="8" w:space="0" w:color="F5F5F5"/>
                                      </w:divBdr>
                                      <w:divsChild>
                                        <w:div w:id="513618708">
                                          <w:marLeft w:val="0"/>
                                          <w:marRight w:val="0"/>
                                          <w:marTop w:val="0"/>
                                          <w:marBottom w:val="0"/>
                                          <w:divBdr>
                                            <w:top w:val="none" w:sz="0" w:space="0" w:color="auto"/>
                                            <w:left w:val="none" w:sz="0" w:space="0" w:color="auto"/>
                                            <w:bottom w:val="none" w:sz="0" w:space="0" w:color="auto"/>
                                            <w:right w:val="none" w:sz="0" w:space="0" w:color="auto"/>
                                          </w:divBdr>
                                          <w:divsChild>
                                            <w:div w:id="109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956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75">
          <w:marLeft w:val="0"/>
          <w:marRight w:val="0"/>
          <w:marTop w:val="0"/>
          <w:marBottom w:val="0"/>
          <w:divBdr>
            <w:top w:val="none" w:sz="0" w:space="0" w:color="auto"/>
            <w:left w:val="none" w:sz="0" w:space="0" w:color="auto"/>
            <w:bottom w:val="none" w:sz="0" w:space="0" w:color="auto"/>
            <w:right w:val="none" w:sz="0" w:space="0" w:color="auto"/>
          </w:divBdr>
          <w:divsChild>
            <w:div w:id="1632007099">
              <w:marLeft w:val="0"/>
              <w:marRight w:val="0"/>
              <w:marTop w:val="0"/>
              <w:marBottom w:val="0"/>
              <w:divBdr>
                <w:top w:val="none" w:sz="0" w:space="0" w:color="auto"/>
                <w:left w:val="none" w:sz="0" w:space="0" w:color="auto"/>
                <w:bottom w:val="none" w:sz="0" w:space="0" w:color="auto"/>
                <w:right w:val="none" w:sz="0" w:space="0" w:color="auto"/>
              </w:divBdr>
              <w:divsChild>
                <w:div w:id="1862668642">
                  <w:marLeft w:val="0"/>
                  <w:marRight w:val="0"/>
                  <w:marTop w:val="0"/>
                  <w:marBottom w:val="0"/>
                  <w:divBdr>
                    <w:top w:val="none" w:sz="0" w:space="0" w:color="auto"/>
                    <w:left w:val="none" w:sz="0" w:space="0" w:color="auto"/>
                    <w:bottom w:val="none" w:sz="0" w:space="0" w:color="auto"/>
                    <w:right w:val="none" w:sz="0" w:space="0" w:color="auto"/>
                  </w:divBdr>
                  <w:divsChild>
                    <w:div w:id="860894668">
                      <w:marLeft w:val="0"/>
                      <w:marRight w:val="0"/>
                      <w:marTop w:val="0"/>
                      <w:marBottom w:val="0"/>
                      <w:divBdr>
                        <w:top w:val="none" w:sz="0" w:space="0" w:color="auto"/>
                        <w:left w:val="none" w:sz="0" w:space="0" w:color="auto"/>
                        <w:bottom w:val="none" w:sz="0" w:space="0" w:color="auto"/>
                        <w:right w:val="none" w:sz="0" w:space="0" w:color="auto"/>
                      </w:divBdr>
                      <w:divsChild>
                        <w:div w:id="430200976">
                          <w:marLeft w:val="0"/>
                          <w:marRight w:val="0"/>
                          <w:marTop w:val="0"/>
                          <w:marBottom w:val="0"/>
                          <w:divBdr>
                            <w:top w:val="none" w:sz="0" w:space="0" w:color="auto"/>
                            <w:left w:val="none" w:sz="0" w:space="0" w:color="auto"/>
                            <w:bottom w:val="none" w:sz="0" w:space="0" w:color="auto"/>
                            <w:right w:val="none" w:sz="0" w:space="0" w:color="auto"/>
                          </w:divBdr>
                          <w:divsChild>
                            <w:div w:id="422839914">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0"/>
                                  <w:marRight w:val="0"/>
                                  <w:marTop w:val="0"/>
                                  <w:marBottom w:val="0"/>
                                  <w:divBdr>
                                    <w:top w:val="none" w:sz="0" w:space="0" w:color="auto"/>
                                    <w:left w:val="none" w:sz="0" w:space="0" w:color="auto"/>
                                    <w:bottom w:val="none" w:sz="0" w:space="0" w:color="auto"/>
                                    <w:right w:val="none" w:sz="0" w:space="0" w:color="auto"/>
                                  </w:divBdr>
                                  <w:divsChild>
                                    <w:div w:id="1972323795">
                                      <w:marLeft w:val="0"/>
                                      <w:marRight w:val="0"/>
                                      <w:marTop w:val="0"/>
                                      <w:marBottom w:val="0"/>
                                      <w:divBdr>
                                        <w:top w:val="single" w:sz="8" w:space="0" w:color="F5F5F5"/>
                                        <w:left w:val="single" w:sz="8" w:space="0" w:color="F5F5F5"/>
                                        <w:bottom w:val="single" w:sz="8" w:space="0" w:color="F5F5F5"/>
                                        <w:right w:val="single" w:sz="8" w:space="0" w:color="F5F5F5"/>
                                      </w:divBdr>
                                      <w:divsChild>
                                        <w:div w:id="677199269">
                                          <w:marLeft w:val="0"/>
                                          <w:marRight w:val="0"/>
                                          <w:marTop w:val="0"/>
                                          <w:marBottom w:val="0"/>
                                          <w:divBdr>
                                            <w:top w:val="none" w:sz="0" w:space="0" w:color="auto"/>
                                            <w:left w:val="none" w:sz="0" w:space="0" w:color="auto"/>
                                            <w:bottom w:val="none" w:sz="0" w:space="0" w:color="auto"/>
                                            <w:right w:val="none" w:sz="0" w:space="0" w:color="auto"/>
                                          </w:divBdr>
                                          <w:divsChild>
                                            <w:div w:id="1462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133319">
      <w:bodyDiv w:val="1"/>
      <w:marLeft w:val="0"/>
      <w:marRight w:val="0"/>
      <w:marTop w:val="0"/>
      <w:marBottom w:val="0"/>
      <w:divBdr>
        <w:top w:val="none" w:sz="0" w:space="0" w:color="auto"/>
        <w:left w:val="none" w:sz="0" w:space="0" w:color="auto"/>
        <w:bottom w:val="none" w:sz="0" w:space="0" w:color="auto"/>
        <w:right w:val="none" w:sz="0" w:space="0" w:color="auto"/>
      </w:divBdr>
      <w:divsChild>
        <w:div w:id="347370620">
          <w:marLeft w:val="0"/>
          <w:marRight w:val="0"/>
          <w:marTop w:val="0"/>
          <w:marBottom w:val="0"/>
          <w:divBdr>
            <w:top w:val="none" w:sz="0" w:space="0" w:color="auto"/>
            <w:left w:val="none" w:sz="0" w:space="0" w:color="auto"/>
            <w:bottom w:val="none" w:sz="0" w:space="0" w:color="auto"/>
            <w:right w:val="none" w:sz="0" w:space="0" w:color="auto"/>
          </w:divBdr>
          <w:divsChild>
            <w:div w:id="1577939720">
              <w:marLeft w:val="0"/>
              <w:marRight w:val="0"/>
              <w:marTop w:val="0"/>
              <w:marBottom w:val="0"/>
              <w:divBdr>
                <w:top w:val="none" w:sz="0" w:space="0" w:color="auto"/>
                <w:left w:val="none" w:sz="0" w:space="0" w:color="auto"/>
                <w:bottom w:val="none" w:sz="0" w:space="0" w:color="auto"/>
                <w:right w:val="none" w:sz="0" w:space="0" w:color="auto"/>
              </w:divBdr>
              <w:divsChild>
                <w:div w:id="1474709722">
                  <w:marLeft w:val="0"/>
                  <w:marRight w:val="0"/>
                  <w:marTop w:val="0"/>
                  <w:marBottom w:val="0"/>
                  <w:divBdr>
                    <w:top w:val="none" w:sz="0" w:space="0" w:color="auto"/>
                    <w:left w:val="none" w:sz="0" w:space="0" w:color="auto"/>
                    <w:bottom w:val="none" w:sz="0" w:space="0" w:color="auto"/>
                    <w:right w:val="none" w:sz="0" w:space="0" w:color="auto"/>
                  </w:divBdr>
                  <w:divsChild>
                    <w:div w:id="1947690967">
                      <w:marLeft w:val="0"/>
                      <w:marRight w:val="0"/>
                      <w:marTop w:val="0"/>
                      <w:marBottom w:val="0"/>
                      <w:divBdr>
                        <w:top w:val="none" w:sz="0" w:space="0" w:color="auto"/>
                        <w:left w:val="none" w:sz="0" w:space="0" w:color="auto"/>
                        <w:bottom w:val="none" w:sz="0" w:space="0" w:color="auto"/>
                        <w:right w:val="none" w:sz="0" w:space="0" w:color="auto"/>
                      </w:divBdr>
                      <w:divsChild>
                        <w:div w:id="1669408327">
                          <w:marLeft w:val="0"/>
                          <w:marRight w:val="0"/>
                          <w:marTop w:val="0"/>
                          <w:marBottom w:val="0"/>
                          <w:divBdr>
                            <w:top w:val="none" w:sz="0" w:space="0" w:color="auto"/>
                            <w:left w:val="none" w:sz="0" w:space="0" w:color="auto"/>
                            <w:bottom w:val="none" w:sz="0" w:space="0" w:color="auto"/>
                            <w:right w:val="none" w:sz="0" w:space="0" w:color="auto"/>
                          </w:divBdr>
                          <w:divsChild>
                            <w:div w:id="317001778">
                              <w:marLeft w:val="0"/>
                              <w:marRight w:val="0"/>
                              <w:marTop w:val="0"/>
                              <w:marBottom w:val="0"/>
                              <w:divBdr>
                                <w:top w:val="none" w:sz="0" w:space="0" w:color="auto"/>
                                <w:left w:val="none" w:sz="0" w:space="0" w:color="auto"/>
                                <w:bottom w:val="none" w:sz="0" w:space="0" w:color="auto"/>
                                <w:right w:val="none" w:sz="0" w:space="0" w:color="auto"/>
                              </w:divBdr>
                              <w:divsChild>
                                <w:div w:id="1033699695">
                                  <w:marLeft w:val="0"/>
                                  <w:marRight w:val="0"/>
                                  <w:marTop w:val="0"/>
                                  <w:marBottom w:val="0"/>
                                  <w:divBdr>
                                    <w:top w:val="none" w:sz="0" w:space="0" w:color="auto"/>
                                    <w:left w:val="none" w:sz="0" w:space="0" w:color="auto"/>
                                    <w:bottom w:val="none" w:sz="0" w:space="0" w:color="auto"/>
                                    <w:right w:val="none" w:sz="0" w:space="0" w:color="auto"/>
                                  </w:divBdr>
                                  <w:divsChild>
                                    <w:div w:id="1597058626">
                                      <w:marLeft w:val="0"/>
                                      <w:marRight w:val="0"/>
                                      <w:marTop w:val="0"/>
                                      <w:marBottom w:val="0"/>
                                      <w:divBdr>
                                        <w:top w:val="single" w:sz="8" w:space="0" w:color="F5F5F5"/>
                                        <w:left w:val="single" w:sz="8" w:space="0" w:color="F5F5F5"/>
                                        <w:bottom w:val="single" w:sz="8" w:space="0" w:color="F5F5F5"/>
                                        <w:right w:val="single" w:sz="8" w:space="0" w:color="F5F5F5"/>
                                      </w:divBdr>
                                      <w:divsChild>
                                        <w:div w:id="15734975">
                                          <w:marLeft w:val="0"/>
                                          <w:marRight w:val="0"/>
                                          <w:marTop w:val="0"/>
                                          <w:marBottom w:val="0"/>
                                          <w:divBdr>
                                            <w:top w:val="none" w:sz="0" w:space="0" w:color="auto"/>
                                            <w:left w:val="none" w:sz="0" w:space="0" w:color="auto"/>
                                            <w:bottom w:val="none" w:sz="0" w:space="0" w:color="auto"/>
                                            <w:right w:val="none" w:sz="0" w:space="0" w:color="auto"/>
                                          </w:divBdr>
                                          <w:divsChild>
                                            <w:div w:id="2119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 w:id="20242858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891">
          <w:marLeft w:val="0"/>
          <w:marRight w:val="0"/>
          <w:marTop w:val="0"/>
          <w:marBottom w:val="0"/>
          <w:divBdr>
            <w:top w:val="none" w:sz="0" w:space="0" w:color="auto"/>
            <w:left w:val="none" w:sz="0" w:space="0" w:color="auto"/>
            <w:bottom w:val="none" w:sz="0" w:space="0" w:color="auto"/>
            <w:right w:val="none" w:sz="0" w:space="0" w:color="auto"/>
          </w:divBdr>
          <w:divsChild>
            <w:div w:id="501120201">
              <w:marLeft w:val="0"/>
              <w:marRight w:val="0"/>
              <w:marTop w:val="0"/>
              <w:marBottom w:val="0"/>
              <w:divBdr>
                <w:top w:val="none" w:sz="0" w:space="0" w:color="auto"/>
                <w:left w:val="none" w:sz="0" w:space="0" w:color="auto"/>
                <w:bottom w:val="none" w:sz="0" w:space="0" w:color="auto"/>
                <w:right w:val="none" w:sz="0" w:space="0" w:color="auto"/>
              </w:divBdr>
              <w:divsChild>
                <w:div w:id="1050180607">
                  <w:marLeft w:val="0"/>
                  <w:marRight w:val="0"/>
                  <w:marTop w:val="0"/>
                  <w:marBottom w:val="0"/>
                  <w:divBdr>
                    <w:top w:val="none" w:sz="0" w:space="0" w:color="auto"/>
                    <w:left w:val="none" w:sz="0" w:space="0" w:color="auto"/>
                    <w:bottom w:val="none" w:sz="0" w:space="0" w:color="auto"/>
                    <w:right w:val="none" w:sz="0" w:space="0" w:color="auto"/>
                  </w:divBdr>
                  <w:divsChild>
                    <w:div w:id="1476994923">
                      <w:marLeft w:val="0"/>
                      <w:marRight w:val="0"/>
                      <w:marTop w:val="0"/>
                      <w:marBottom w:val="0"/>
                      <w:divBdr>
                        <w:top w:val="none" w:sz="0" w:space="0" w:color="auto"/>
                        <w:left w:val="none" w:sz="0" w:space="0" w:color="auto"/>
                        <w:bottom w:val="none" w:sz="0" w:space="0" w:color="auto"/>
                        <w:right w:val="none" w:sz="0" w:space="0" w:color="auto"/>
                      </w:divBdr>
                      <w:divsChild>
                        <w:div w:id="1669600553">
                          <w:marLeft w:val="0"/>
                          <w:marRight w:val="0"/>
                          <w:marTop w:val="0"/>
                          <w:marBottom w:val="0"/>
                          <w:divBdr>
                            <w:top w:val="none" w:sz="0" w:space="0" w:color="auto"/>
                            <w:left w:val="none" w:sz="0" w:space="0" w:color="auto"/>
                            <w:bottom w:val="none" w:sz="0" w:space="0" w:color="auto"/>
                            <w:right w:val="none" w:sz="0" w:space="0" w:color="auto"/>
                          </w:divBdr>
                          <w:divsChild>
                            <w:div w:id="524749677">
                              <w:marLeft w:val="0"/>
                              <w:marRight w:val="0"/>
                              <w:marTop w:val="0"/>
                              <w:marBottom w:val="0"/>
                              <w:divBdr>
                                <w:top w:val="none" w:sz="0" w:space="0" w:color="auto"/>
                                <w:left w:val="none" w:sz="0" w:space="0" w:color="auto"/>
                                <w:bottom w:val="none" w:sz="0" w:space="0" w:color="auto"/>
                                <w:right w:val="none" w:sz="0" w:space="0" w:color="auto"/>
                              </w:divBdr>
                              <w:divsChild>
                                <w:div w:id="243610892">
                                  <w:marLeft w:val="0"/>
                                  <w:marRight w:val="0"/>
                                  <w:marTop w:val="0"/>
                                  <w:marBottom w:val="0"/>
                                  <w:divBdr>
                                    <w:top w:val="none" w:sz="0" w:space="0" w:color="auto"/>
                                    <w:left w:val="none" w:sz="0" w:space="0" w:color="auto"/>
                                    <w:bottom w:val="none" w:sz="0" w:space="0" w:color="auto"/>
                                    <w:right w:val="none" w:sz="0" w:space="0" w:color="auto"/>
                                  </w:divBdr>
                                  <w:divsChild>
                                    <w:div w:id="726104697">
                                      <w:marLeft w:val="0"/>
                                      <w:marRight w:val="0"/>
                                      <w:marTop w:val="0"/>
                                      <w:marBottom w:val="0"/>
                                      <w:divBdr>
                                        <w:top w:val="single" w:sz="6" w:space="0" w:color="F5F5F5"/>
                                        <w:left w:val="single" w:sz="6" w:space="0" w:color="F5F5F5"/>
                                        <w:bottom w:val="single" w:sz="6" w:space="0" w:color="F5F5F5"/>
                                        <w:right w:val="single" w:sz="6" w:space="0" w:color="F5F5F5"/>
                                      </w:divBdr>
                                      <w:divsChild>
                                        <w:div w:id="1440951931">
                                          <w:marLeft w:val="0"/>
                                          <w:marRight w:val="0"/>
                                          <w:marTop w:val="0"/>
                                          <w:marBottom w:val="0"/>
                                          <w:divBdr>
                                            <w:top w:val="none" w:sz="0" w:space="0" w:color="auto"/>
                                            <w:left w:val="none" w:sz="0" w:space="0" w:color="auto"/>
                                            <w:bottom w:val="none" w:sz="0" w:space="0" w:color="auto"/>
                                            <w:right w:val="none" w:sz="0" w:space="0" w:color="auto"/>
                                          </w:divBdr>
                                          <w:divsChild>
                                            <w:div w:id="1454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2" TargetMode="External"/><Relationship Id="rId13" Type="http://schemas.openxmlformats.org/officeDocument/2006/relationships/hyperlink" Target="http://pro.nais.lv/naiser/text.cfm?Ref=0101032010033000313&amp;Req=0101032010033000313&amp;Key=0103011996050932770&amp;Hash=1" TargetMode="External"/><Relationship Id="rId18" Type="http://schemas.openxmlformats.org/officeDocument/2006/relationships/hyperlink" Target="http://pro.nais.lv/naiser/text.cfm?Ref=0101032010033000313&amp;Req=0101032010033000313&amp;Key=0103012002103132806&amp;Has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o.nais.lv/naiser/text.cfm?Ref=0101032010033000313&amp;Req=0101032010033000313&amp;Key=0103011997041032772&amp;Hash=6" TargetMode="External"/><Relationship Id="rId17" Type="http://schemas.openxmlformats.org/officeDocument/2006/relationships/hyperlink" Target="http://ec.europa.eu/health/files/eudralex/vol-4/2011_site_master_file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stnesis.lv/?menu=doc&amp;id=253610" TargetMode="External"/><Relationship Id="rId20" Type="http://schemas.openxmlformats.org/officeDocument/2006/relationships/hyperlink" Target="mailto:Inguna.Maca@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10033000313&amp;Req=0101032010033000313&amp;Key=0103011997041032772&amp;Hash=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a.europa.eu/ema/index.jsp?curl=pages/regulation/document_listing/document_listing_000156.jsp&amp;mid=WC0b01ac05800296cb" TargetMode="External"/><Relationship Id="rId23" Type="http://schemas.openxmlformats.org/officeDocument/2006/relationships/footer" Target="footer2.xml"/><Relationship Id="rId10" Type="http://schemas.openxmlformats.org/officeDocument/2006/relationships/hyperlink" Target="http://pro.nais.lv/naiser/text.cfm?Ref=0101032010033000313&amp;Req=0101032010033000313&amp;Key=0103011997041032772&amp;Hash=4" TargetMode="External"/><Relationship Id="rId19" Type="http://schemas.openxmlformats.org/officeDocument/2006/relationships/hyperlink" Target="http://ec.europa.eu/health/files/counterf_par_trade/planning.pdf" TargetMode="External"/><Relationship Id="rId4" Type="http://schemas.openxmlformats.org/officeDocument/2006/relationships/settings" Target="settings.xml"/><Relationship Id="rId9" Type="http://schemas.openxmlformats.org/officeDocument/2006/relationships/hyperlink" Target="http://pro.nais.lv/naiser/text.cfm?Ref=0101032010033000313&amp;Req=0101032010033000313&amp;Key=0103011997041032772&amp;Hash=3" TargetMode="External"/><Relationship Id="rId14" Type="http://schemas.openxmlformats.org/officeDocument/2006/relationships/hyperlink" Target="http://eudragmp.ema.europa.eu/inspections/displayWelcome.do"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6523-7A4D-4B86-9532-5EB1F7E8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6655</Words>
  <Characters>37935</Characters>
  <Application>Microsoft Office Word</Application>
  <DocSecurity>0</DocSecurity>
  <Lines>316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19.oktobra noteikumos Nr.800 "Farmaceitiskās darbības licencēšanas kārtība"" anotācija</vt:lpstr>
      <vt:lpstr>Ministru kabineta noteikumu projekta "Grozījumi Ministru kabineta 2011.gada 19.oktobra noteikumos Nr.800 "Farmaceitiskās darbības licencēšanas kārtība"" anotācija</vt:lpstr>
    </vt:vector>
  </TitlesOfParts>
  <Company>Veselības ministrija</Company>
  <LinksUpToDate>false</LinksUpToDate>
  <CharactersWithSpaces>44501</CharactersWithSpaces>
  <SharedDoc>false</SharedDoc>
  <HLinks>
    <vt:vector size="12" baseType="variant">
      <vt:variant>
        <vt:i4>4391022</vt:i4>
      </vt:variant>
      <vt:variant>
        <vt:i4>3</vt:i4>
      </vt:variant>
      <vt:variant>
        <vt:i4>0</vt:i4>
      </vt:variant>
      <vt:variant>
        <vt:i4>5</vt:i4>
      </vt:variant>
      <vt:variant>
        <vt:lpwstr>mailto:Inguna.Maca@vm.gov.lv</vt:lpwstr>
      </vt:variant>
      <vt:variant>
        <vt:lpwstr/>
      </vt:variant>
      <vt:variant>
        <vt:i4>4128855</vt:i4>
      </vt:variant>
      <vt:variant>
        <vt:i4>0</vt:i4>
      </vt:variant>
      <vt:variant>
        <vt:i4>0</vt:i4>
      </vt:variant>
      <vt:variant>
        <vt:i4>5</vt:i4>
      </vt:variant>
      <vt:variant>
        <vt:lpwstr>http://ec.europa.eu/health/documents/eudralex/vol-4/index_en.htm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Nr.800 "Farmaceitiskās darbības licencēšanas kārtība"" anotācija</dc:title>
  <dc:subject>Projekta anotācija</dc:subject>
  <dc:creator>Ingūna Mača</dc:creator>
  <cp:keywords/>
  <dc:description>tālr.67876117, 
Inguna.Maca@vm.gov.lv</dc:description>
  <cp:lastModifiedBy>sriekstina</cp:lastModifiedBy>
  <cp:revision>5</cp:revision>
  <cp:lastPrinted>2012-11-16T10:36:00Z</cp:lastPrinted>
  <dcterms:created xsi:type="dcterms:W3CDTF">2013-05-14T13:35:00Z</dcterms:created>
  <dcterms:modified xsi:type="dcterms:W3CDTF">2013-06-05T12:37:00Z</dcterms:modified>
</cp:coreProperties>
</file>