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6E" w:rsidRPr="003E5D2E" w:rsidRDefault="002E426E" w:rsidP="003E5D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3E5D2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bookmarkStart w:id="0" w:name="OLE_LINK1"/>
      <w:bookmarkStart w:id="1" w:name="OLE_LINK2"/>
      <w:r w:rsidR="003E5D2E" w:rsidRPr="003E5D2E">
        <w:rPr>
          <w:rFonts w:ascii="Times New Roman" w:hAnsi="Times New Roman" w:cs="Times New Roman"/>
          <w:b/>
          <w:bCs/>
          <w:sz w:val="24"/>
          <w:szCs w:val="24"/>
          <w:lang w:val="lv-LV"/>
        </w:rPr>
        <w:t>Ministru kabineta noteikumu projekta „Grozījumi Ministru kabineta 2006.gada 19.decembra noteikumos Nr.1046 „Veselības aprūpes organizēšanas un finansēšanas kārtība””</w:t>
      </w:r>
      <w:r w:rsidR="003E5D2E" w:rsidRPr="003E5D2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bookmarkStart w:id="2" w:name="OLE_LINK17"/>
      <w:bookmarkStart w:id="3" w:name="OLE_LINK18"/>
      <w:r w:rsidR="003E5D2E" w:rsidRPr="003E5D2E">
        <w:rPr>
          <w:rFonts w:ascii="Times New Roman" w:hAnsi="Times New Roman" w:cs="Times New Roman"/>
          <w:b/>
          <w:sz w:val="24"/>
          <w:szCs w:val="24"/>
          <w:lang w:val="lv-LV"/>
        </w:rPr>
        <w:t>sākotnējās ietekmes novērtējuma ziņojums (anotācija)</w:t>
      </w:r>
      <w:bookmarkEnd w:id="0"/>
      <w:bookmarkEnd w:id="1"/>
      <w:bookmarkEnd w:id="2"/>
      <w:bookmarkEnd w:id="3"/>
      <w:r w:rsidRPr="003E5D2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</w:p>
    <w:p w:rsidR="002E426E" w:rsidRPr="003E5D2E" w:rsidRDefault="002E426E" w:rsidP="0007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4153"/>
        <w:gridCol w:w="5246"/>
      </w:tblGrid>
      <w:tr w:rsidR="001C403B" w:rsidRPr="009008AC" w:rsidTr="00716CAF">
        <w:trPr>
          <w:tblCellSpacing w:w="0" w:type="dxa"/>
          <w:jc w:val="center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03B" w:rsidRPr="009008AC" w:rsidRDefault="001C403B" w:rsidP="00716CAF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:rsidR="001C403B" w:rsidRPr="00AA7CA8" w:rsidTr="00716CAF">
        <w:trPr>
          <w:trHeight w:val="454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Pamatojums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036" w:rsidRDefault="00716CAF" w:rsidP="0096703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CB29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CB29A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ieviešanas kārtības likuma 30.panta pirmā un ceturtā daļa.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 w:rsidR="00736FF6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Latvijas Nacionālā</w:t>
            </w:r>
            <w:r w:rsidRPr="00955B4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55B4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ieviešanas plāna (apstiprināts ar Ministru kabineta 2013.gada 4.aprīļa rīkojumu Nr.136) 1.pielikuma J2.2.2 apakšpunkt</w:t>
            </w:r>
            <w:r w:rsidR="00736FF6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9670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E91E79" w:rsidRPr="00967036" w:rsidRDefault="00967036" w:rsidP="0096703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Ministru kabineta 2013.gada 29.maija rīkojuma Nr.212 „Par tiesību aktu grozījumu virzību saistībā ar </w:t>
            </w:r>
            <w:proofErr w:type="spellStart"/>
            <w:r w:rsidRPr="00F2698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ieviešanu Latvijā” (prot.Nr.30, 52.§) 1.3. un 1.6.apakšpunkts.</w:t>
            </w:r>
            <w:r w:rsidRPr="005B4D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1C403B" w:rsidRPr="00AA7CA8" w:rsidTr="00716CAF">
        <w:trPr>
          <w:trHeight w:val="472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Pašreizējā situācija un problēmas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B29AE" w:rsidRDefault="00716CAF" w:rsidP="0096703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Ņemot vērā, ka ar 2014.gada 1.janvāri Latvijā plānots ieviest </w:t>
            </w:r>
            <w:proofErr w:type="spellStart"/>
            <w:r w:rsidRPr="00955B43"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, ir nepieciešams izstrādāt Ministru kabineta </w:t>
            </w:r>
            <w:r w:rsidRPr="003E5D2E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noteikumu </w:t>
            </w:r>
            <w:r w:rsidR="003E5D2E" w:rsidRPr="003E5D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„Grozījumi Ministru kabineta 2006.gada 19.decembra noteikumos Nr.1046 „Veselības aprūpes organizēšanas un finansēšanas kārtība””</w:t>
            </w:r>
            <w:r w:rsidRPr="003E5D2E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projektu.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Nepieciešams </w:t>
            </w:r>
            <w:r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n</w:t>
            </w:r>
            <w:r w:rsidRPr="00CB29AE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odrošināt tiesību akta pielāgošanu  </w:t>
            </w:r>
            <w:proofErr w:type="spellStart"/>
            <w:r w:rsidRPr="00CB29AE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CB29AE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 ieviešanai.</w:t>
            </w:r>
          </w:p>
        </w:tc>
      </w:tr>
      <w:tr w:rsidR="001C403B" w:rsidRPr="009008AC" w:rsidTr="00716CAF">
        <w:trPr>
          <w:trHeight w:val="68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Saistītie politikas ietekmes novērtējumi un pētījumi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B29AE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B29A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AA7CA8" w:rsidTr="00716CAF">
        <w:trPr>
          <w:trHeight w:val="200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Tiesiskā regulējuma mērķis un būtība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Default="001C403B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B29A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716CAF" w:rsidRPr="0063261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Šā projekta mērķis ir pielāgot </w:t>
            </w:r>
            <w:r w:rsidR="003E5D2E" w:rsidRPr="003E5D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Ministru kabineta 2006.gada 19.decembra noteikum</w:t>
            </w:r>
            <w:r w:rsidR="003E5D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us</w:t>
            </w:r>
            <w:r w:rsidR="003E5D2E" w:rsidRPr="003E5D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Nr.1046 „Veselības aprūpes organizēšanas un finansēšanas kārtība”</w:t>
            </w:r>
            <w:r w:rsidR="00716CAF" w:rsidRPr="0063261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716CAF" w:rsidRPr="00632615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716CAF" w:rsidRPr="0063261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ieviešanai, t.i., konvertēt </w:t>
            </w:r>
            <w:r w:rsidR="003E5D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noteikumos norādītās</w:t>
            </w:r>
            <w:r w:rsidR="00716CAF" w:rsidRPr="0063261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cenas no latiem uz </w:t>
            </w:r>
            <w:proofErr w:type="spellStart"/>
            <w:r w:rsidR="00716CAF" w:rsidRPr="00632615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716CAF" w:rsidRPr="0063261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atbilstoši </w:t>
            </w:r>
            <w:proofErr w:type="spellStart"/>
            <w:r w:rsidR="00716CAF" w:rsidRPr="006326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16CAF" w:rsidRPr="0063261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ieviešanas kārtības likuma 6.pantā atrunātajam principam, kas balstīts uz Eiropas Savienības Padomes noteikto valūtas maiņas kursu un matemātiskās noapaļošanas principiem. Grozītās tiesību normas </w:t>
            </w:r>
            <w:proofErr w:type="spellStart"/>
            <w:r w:rsidR="00716CAF" w:rsidRPr="00632615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716CAF" w:rsidRPr="0063261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valūtā nav personām nelabvēlīgākas par sākotnējo tiesību normu latos un nerada negatīvu ietekmi uz valsts budžetu.</w:t>
            </w:r>
          </w:p>
          <w:p w:rsidR="00A746D3" w:rsidRDefault="00A746D3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00C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Šis projekts paredz aizstāt Noteikumos Nr.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1046</w:t>
            </w:r>
            <w:r w:rsidRPr="00D00C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latus ar </w:t>
            </w:r>
            <w:proofErr w:type="spellStart"/>
            <w:r w:rsidRPr="00D00CB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D00C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</w:t>
            </w:r>
            <w:proofErr w:type="spellStart"/>
            <w:r w:rsidRPr="00D00CB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D00CB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 w:rsidRPr="00D00C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ieviešanas kārtības likuma </w:t>
            </w:r>
            <w:r w:rsidRPr="00D00C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6.pantā paredzētajiem principiem.</w:t>
            </w:r>
          </w:p>
          <w:p w:rsidR="006B29BD" w:rsidRDefault="006B29BD" w:rsidP="006B29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Ņemot vērā, ka 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Ministru kabineta 2006.gada 19.decembra noteikum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Nr.1046 „Veselības aprūpes organizēšanas un finansēšanas kārtība”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12.pielikumā un 22.pielikumā (1.punkta apakšpunktos un </w:t>
            </w:r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3.2., 3.3., 3.4. un 3.5.apakšpunktos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norādītās vērtības ir aprēķina rezultāts, kas iegūts no citām šajos noteikumos noteiktajām vērtībām, tad minētajos pielikumos s</w:t>
            </w:r>
            <w:r w:rsidRPr="003B3B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umma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3B3B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pare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dzētas normatīvā akta grozījumos</w:t>
            </w:r>
            <w:r w:rsidRPr="003B3B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 w:rsidRPr="0010715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), netiek iegūtas konvertējot gala summu, bet noteiktas atbilstoši noteikumos piemērotajam aprēķinam</w:t>
            </w:r>
            <w:r w:rsidR="00143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līdz ar to minētajos pielikumos norādītās vērtības, kas pārrēķinātas no latiem uz </w:t>
            </w:r>
            <w:proofErr w:type="spellStart"/>
            <w:r w:rsidR="00143A39" w:rsidRPr="00143A3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143A3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r w:rsidR="00143A39" w:rsidRPr="00143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atšķiras (ir  </w:t>
            </w:r>
            <w:r w:rsidR="00143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nedaudz </w:t>
            </w:r>
            <w:r w:rsidR="00143A39" w:rsidRPr="00143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lielākas vai mazākas) no tām, kas tiktu iegūtas konvertējot gala summu, piemērojot </w:t>
            </w:r>
            <w:proofErr w:type="spellStart"/>
            <w:r w:rsidR="00143A39" w:rsidRPr="00143A3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143A39" w:rsidRPr="00143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ieviešanas kārtības likuma 6.pantā atrunāto principu, kas balstīts uz Eiropas Savienības Padomes noteikto valūtas maiņas kursu un matemātiskās noapaļošanas principiem</w:t>
            </w:r>
            <w:r w:rsidRPr="00143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6B29BD" w:rsidRDefault="006B29BD" w:rsidP="006B29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12.pielikumā  noteiktās vērtības „Ls/gadā” netiek konvertētas tieši, bet r</w:t>
            </w:r>
            <w:r w:rsidRPr="004746A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ādītāja vērtība (</w:t>
            </w:r>
            <w:proofErr w:type="spellStart"/>
            <w:r w:rsidRPr="008D4B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746A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/gadā) tiek iegūta reizinot mēneša vērtību (</w:t>
            </w:r>
            <w:proofErr w:type="spellStart"/>
            <w:r w:rsidRPr="008D4B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746A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/mēnesī) ar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pielikums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anotācijai)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:rsidR="00E91E79" w:rsidRDefault="006B29BD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22.pielikuma 1.punkta apakšpunktos norādīt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ais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f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iksētās piemaksas gada apjoms un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iemaksas par pacienta observāciju līdz 24 stundām gada apjoms aprēķināts, ņemot vērā noteikumu 180 punktā, 17.pielikumā un 22 pielikuma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1.apakš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punktā konvertētās un noapaļotās (2 zīmes aiz komata) vērtības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(7.-9.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ielikum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anotācijai).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Savukārt </w:t>
            </w:r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22.pielikuma 3.punkta 3.2., 3.3., 3.4. un 3.5.apakšpunktos tiek atspoguļoti viena pacienta ārstēšanas tarifi, kurus aprēķina: pie summas, kas iegūta, reizinot </w:t>
            </w:r>
            <w:proofErr w:type="spellStart"/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gultasdienu</w:t>
            </w:r>
            <w:proofErr w:type="spellEnd"/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skaitu ar šo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oteikumu 22.pielikuma 3.punktā 3.1. apakšpunktā noteikto </w:t>
            </w:r>
            <w:proofErr w:type="spellStart"/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gultasdienas</w:t>
            </w:r>
            <w:proofErr w:type="spellEnd"/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tarifu, pieskaitot veikto manipulāciju, kas šo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oteikumu 18.pielikumā atzīmētas ar (*), tarifu summu, aprēķināto summu dalot ar hospitalizāciju skaitu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11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pielikums</w:t>
            </w:r>
            <w:r w:rsidRPr="00C1009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anotācijai)</w:t>
            </w:r>
            <w:r w:rsidRPr="00C100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A746D3" w:rsidRDefault="00085E0F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 projekts paredz, ka s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kaidras naudas maksājumiem, kuri vienlaicīgas apgrozības periodā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tiks 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veikti latos, piemēro</w:t>
            </w:r>
            <w:r w:rsidR="004A03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2006.gada 19.decembra noteikumu</w:t>
            </w:r>
            <w:r w:rsidR="004A03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Nr.1046 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„Veselības aprūpes organizēšanas un finansēšanas kārtība” re</w:t>
            </w:r>
            <w:r w:rsidR="004A03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dakcijā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kas bija spēkā </w:t>
            </w:r>
            <w:r w:rsidR="00B15E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līdz 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</w:t>
            </w:r>
            <w:r w:rsidR="009964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.gada </w:t>
            </w:r>
            <w:r w:rsidR="009964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9964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decembrim</w:t>
            </w:r>
            <w:r w:rsidR="00A746D3" w:rsidRPr="00A746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085E0F" w:rsidRDefault="00085E0F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37C1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Noteiku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mu projekta spēkā stāšanās</w:t>
            </w:r>
            <w:r w:rsidRPr="00837C1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paredzēta</w:t>
            </w:r>
            <w:r w:rsidRPr="00837C1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837C1D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837C1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ieviešanas dienā.</w:t>
            </w:r>
          </w:p>
          <w:p w:rsidR="00A746D3" w:rsidRPr="00A746D3" w:rsidRDefault="00A746D3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Ar noteikumu projekta pieņemšanu pilnībā tiks atrisināta anotācijas I sadaļas 2.punktā minētā problēma.</w:t>
            </w:r>
          </w:p>
        </w:tc>
      </w:tr>
      <w:tr w:rsidR="001C403B" w:rsidRPr="00F359DF" w:rsidTr="00716CAF">
        <w:trPr>
          <w:trHeight w:val="476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Projekta izstrādē iesaistītās institūcijas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624C4" w:rsidRDefault="001C403B" w:rsidP="00716CAF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1C403B" w:rsidRPr="00AA7CA8" w:rsidTr="00716CAF">
        <w:trPr>
          <w:trHeight w:val="688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Iemesli, kādēļ netika nodrošināta sabiedrības līdzdalība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Default="001C403B" w:rsidP="00E91E79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</w:t>
            </w:r>
            <w:r w:rsidR="00716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Sabiedrības līdzdalība netika nodrošināta, jo noteikumu projekts ir tehnisks projekts, ka paredz tikai </w:t>
            </w:r>
            <w:r w:rsidR="005046F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latu</w:t>
            </w:r>
            <w:r w:rsidR="00716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konvertāciju uz </w:t>
            </w:r>
            <w:proofErr w:type="spellStart"/>
            <w:r w:rsidR="00716CAF" w:rsidRPr="00480DA3">
              <w:rPr>
                <w:rFonts w:ascii="Times New Roman" w:hAnsi="Times New Roman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16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, nekādi citi grozījumi </w:t>
            </w:r>
            <w:r w:rsidR="00FC0E8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noteikumu projektā</w:t>
            </w:r>
            <w:r w:rsidR="00716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nav paredzēti. Projekts nemaina pastāvošo tiesisko regulējumu pēc būtības.</w:t>
            </w:r>
          </w:p>
          <w:p w:rsidR="00E91E79" w:rsidRPr="001B141F" w:rsidRDefault="00E91E79" w:rsidP="00E91E7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C403B" w:rsidRPr="009008AC" w:rsidTr="00716CAF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7.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79" w:rsidRPr="004A03AA" w:rsidRDefault="004A03AA" w:rsidP="00E91E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716CAF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Saskaņā ar </w:t>
            </w:r>
            <w:proofErr w:type="spellStart"/>
            <w:r w:rsidR="00716CAF" w:rsidRPr="00B6450E"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716CAF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="00716CAF" w:rsidRPr="00480DA3"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716CAF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1C403B" w:rsidRPr="00D176BF" w:rsidRDefault="001C403B" w:rsidP="00ED2F20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W w:w="99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1330"/>
        <w:gridCol w:w="1354"/>
        <w:gridCol w:w="1354"/>
        <w:gridCol w:w="1355"/>
        <w:gridCol w:w="1748"/>
      </w:tblGrid>
      <w:tr w:rsidR="002E426E" w:rsidRPr="00CF30F9" w:rsidTr="001C403B">
        <w:trPr>
          <w:trHeight w:val="652"/>
          <w:jc w:val="center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nod"/>
              <w:spacing w:before="0" w:after="0"/>
              <w:rPr>
                <w:i/>
                <w:iCs/>
              </w:rPr>
            </w:pPr>
            <w:r w:rsidRPr="005E31B4">
              <w:br w:type="page"/>
            </w:r>
            <w:r w:rsidRPr="00CF30F9">
              <w:t>III. Tiesību akta projekta ietekme uz valsts budžetu un pašvaldību budžetiem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CF30F9">
              <w:rPr>
                <w:b/>
                <w:bCs/>
              </w:rPr>
              <w:t>Rādītāji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CF30F9">
              <w:rPr>
                <w:b/>
                <w:bCs/>
              </w:rPr>
              <w:t>2013. gads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 xml:space="preserve">Turpmākie trīs gadi (tūkst. </w:t>
            </w:r>
            <w:proofErr w:type="spellStart"/>
            <w:r w:rsidRPr="00CF30F9">
              <w:rPr>
                <w:i/>
                <w:iCs/>
              </w:rPr>
              <w:t>euro</w:t>
            </w:r>
            <w:proofErr w:type="spellEnd"/>
            <w:r w:rsidRPr="00CF30F9">
              <w:t>)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</w:rPr>
              <w:t>2014. gads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</w:rPr>
              <w:t>2015. gads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</w:rPr>
              <w:t>2016. gads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Saskaņā ar valsts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Izmaiņas kārtējā gadā, salīdzinot ar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Izmaiņas, salīdzinot ar kārtējo 2013. gadu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Izmaiņas, salīdzinot ar kārtējo 2013. gadu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Izmaiņas, salīdzinot ar kārtējo 2013. gadu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6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t>1. Budžeta ieņēmumi: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t>1.1. valsts pamatbudžets, tai skaitā ieņēmumi no maksas pakalpojumiem un citi pašu ieņēmumi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lastRenderedPageBreak/>
              <w:t>1.2. valsts speciālais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t>1.3. pašvaldību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Budžeta izdevumi: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 valsts pamatbudžets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 valsts speciālais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2.3. pašvaldību budžets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Finansiālā ietekme: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 valsts pamatbudžets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 speciālais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3.3. pašvaldību budžets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 Finanšu līdzekļi papildu izde</w:t>
            </w: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  <w:r w:rsidRPr="00CF30F9"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Precizēta finansiālā ietekme: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  <w:r w:rsidRPr="00CF30F9"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 valsts pamatbudžets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5.2. speciālais budžets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5.3. pašvaldību budžets 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 Detalizēts ieņēmumu un izdevu</w:t>
            </w: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F83200">
            <w:pPr>
              <w:pStyle w:val="naisf"/>
              <w:spacing w:before="0" w:after="120"/>
              <w:ind w:firstLine="0"/>
            </w:pPr>
            <w:r w:rsidRPr="00CF30F9">
              <w:t xml:space="preserve">Noteikumu projekts neparedz </w:t>
            </w:r>
            <w:r w:rsidR="00F83200">
              <w:t>ieņēmumu vai  izdevumu samazinājumu/</w:t>
            </w:r>
            <w:r w:rsidRPr="00CF30F9">
              <w:t>palielinājumu. Noteikumu projekts tiks īstenots, nemainot attiecīgā budžeta programmās/apakšprogrammās finansējuma sadalījumu pa ieņēmumu, izdevumu vai finansēšanas klasifikācijas kodiem.</w:t>
            </w:r>
            <w:r w:rsidRPr="00CF30F9">
              <w:rPr>
                <w:i/>
                <w:iCs/>
              </w:rPr>
              <w:t xml:space="preserve"> 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6.1. detalizēts ieņēmumu aprēķins</w:t>
            </w:r>
          </w:p>
        </w:tc>
        <w:tc>
          <w:tcPr>
            <w:tcW w:w="71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6.2. detalizēts izdevumu aprēķins</w:t>
            </w:r>
          </w:p>
        </w:tc>
        <w:tc>
          <w:tcPr>
            <w:tcW w:w="71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</w:p>
        </w:tc>
      </w:tr>
      <w:tr w:rsidR="002E426E" w:rsidRPr="004125D1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 Cita informācija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356"/>
            </w:pPr>
            <w:r w:rsidRPr="00CF30F9">
              <w:t>Nav</w:t>
            </w:r>
          </w:p>
        </w:tc>
      </w:tr>
    </w:tbl>
    <w:p w:rsidR="002E426E" w:rsidRPr="005E31B4" w:rsidRDefault="002E426E" w:rsidP="000752B8">
      <w:pPr>
        <w:pStyle w:val="naisf"/>
        <w:spacing w:before="0" w:after="0"/>
        <w:ind w:firstLine="0"/>
        <w:rPr>
          <w:sz w:val="28"/>
          <w:szCs w:val="28"/>
        </w:rPr>
      </w:pPr>
    </w:p>
    <w:p w:rsidR="002E426E" w:rsidRDefault="006E6E1A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Anotācijas II, IV - VI</w:t>
      </w:r>
      <w:r w:rsidRPr="005E31B4">
        <w:rPr>
          <w:i/>
          <w:sz w:val="28"/>
          <w:szCs w:val="28"/>
        </w:rPr>
        <w:t xml:space="preserve"> sadaļa – projekts šīs jomas neskar.</w:t>
      </w:r>
    </w:p>
    <w:p w:rsidR="001C403B" w:rsidRPr="005E31B4" w:rsidRDefault="001C403B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</w:p>
    <w:tbl>
      <w:tblPr>
        <w:tblW w:w="9921" w:type="dxa"/>
        <w:jc w:val="center"/>
        <w:tblCellSpacing w:w="0" w:type="dxa"/>
        <w:tblInd w:w="-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954"/>
        <w:gridCol w:w="6402"/>
      </w:tblGrid>
      <w:tr w:rsidR="001C403B" w:rsidRPr="00AA7CA8" w:rsidTr="00716CAF">
        <w:trPr>
          <w:tblCellSpacing w:w="0" w:type="dxa"/>
          <w:jc w:val="center"/>
        </w:trPr>
        <w:tc>
          <w:tcPr>
            <w:tcW w:w="9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:rsidR="001C403B" w:rsidRPr="00AA7CA8" w:rsidTr="00716CAF">
        <w:trPr>
          <w:trHeight w:val="427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izpildē iesaistītās institūcijas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3E5D2E" w:rsidP="004A03AA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Nacionālais veselības d</w:t>
            </w:r>
            <w:r w:rsidR="004A03AA">
              <w:rPr>
                <w:rFonts w:ascii="Times New Roman" w:hAnsi="Times New Roman" w:cs="Times New Roman"/>
                <w:sz w:val="24"/>
                <w:szCs w:val="24"/>
                <w:lang w:val="lv-LV" w:eastAsia="lv-LV" w:bidi="lo-LA"/>
              </w:rPr>
              <w:t xml:space="preserve">ienests, </w:t>
            </w: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 w:bidi="lo-LA"/>
              </w:rPr>
              <w:t>Veselības inspekcija.</w:t>
            </w:r>
          </w:p>
        </w:tc>
      </w:tr>
      <w:tr w:rsidR="001C403B" w:rsidRPr="00C80A77" w:rsidTr="00716CAF">
        <w:trPr>
          <w:trHeight w:val="46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funkcijām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031ACD" w:rsidP="00716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Nacionālais veselības d</w:t>
            </w: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 w:bidi="lo-LA"/>
              </w:rPr>
              <w:t>ienests, veselības aprūpes pakalpojumu sniedzēji, Veselības inspekcija</w:t>
            </w:r>
            <w:r w:rsidRPr="00AA7631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noteikumu projekta izpildi nodrošinās esošo funkciju ietvaros.</w:t>
            </w:r>
          </w:p>
        </w:tc>
      </w:tr>
      <w:tr w:rsidR="001C403B" w:rsidRPr="00C80A77" w:rsidTr="00716CAF">
        <w:trPr>
          <w:trHeight w:val="725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 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Jaunu institūciju izveide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480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C80A77" w:rsidTr="00716CAF">
        <w:trPr>
          <w:trHeight w:val="780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Esošu institūciju likvidācija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480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C80A77" w:rsidTr="00716CAF">
        <w:trPr>
          <w:trHeight w:val="70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Esošu institūciju reorganizācija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C80A77" w:rsidTr="00716CAF">
        <w:trPr>
          <w:trHeight w:val="476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Nav</w:t>
            </w:r>
          </w:p>
        </w:tc>
      </w:tr>
    </w:tbl>
    <w:p w:rsidR="002E426E" w:rsidRDefault="002E426E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</w:p>
    <w:p w:rsidR="00E91E79" w:rsidRPr="005E31B4" w:rsidRDefault="00E91E79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</w:p>
    <w:p w:rsidR="004A03AA" w:rsidRDefault="004A03AA" w:rsidP="006E6E1A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p w:rsidR="006E6E1A" w:rsidRPr="007D7058" w:rsidRDefault="006E6E1A" w:rsidP="006E6E1A">
      <w:pPr>
        <w:pStyle w:val="naisf"/>
        <w:spacing w:before="0" w:after="0"/>
        <w:ind w:firstLine="0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ministre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I.Circene</w:t>
      </w:r>
      <w:proofErr w:type="spellEnd"/>
    </w:p>
    <w:p w:rsidR="006E6E1A" w:rsidRDefault="006E6E1A" w:rsidP="006E6E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E6E1A" w:rsidRDefault="006E6E1A" w:rsidP="006E6E1A">
      <w:pPr>
        <w:suppressAutoHyphens/>
        <w:spacing w:after="0" w:line="240" w:lineRule="auto"/>
        <w:rPr>
          <w:rFonts w:ascii="Times New Roman" w:hAnsi="Times New Roman"/>
          <w:lang w:val="lv-LV"/>
        </w:rPr>
      </w:pPr>
    </w:p>
    <w:p w:rsidR="006E6E1A" w:rsidRDefault="006E6E1A" w:rsidP="006E6E1A">
      <w:pPr>
        <w:suppressAutoHyphens/>
        <w:spacing w:after="0" w:line="240" w:lineRule="auto"/>
        <w:rPr>
          <w:rFonts w:ascii="Times New Roman" w:hAnsi="Times New Roman"/>
          <w:lang w:val="lv-LV"/>
        </w:rPr>
      </w:pPr>
    </w:p>
    <w:p w:rsidR="006E6E1A" w:rsidRDefault="006E6E1A" w:rsidP="006E6E1A">
      <w:pPr>
        <w:suppressAutoHyphens/>
        <w:spacing w:after="0" w:line="240" w:lineRule="auto"/>
        <w:rPr>
          <w:rFonts w:ascii="Times New Roman" w:hAnsi="Times New Roman"/>
          <w:lang w:val="lv-LV"/>
        </w:rPr>
      </w:pPr>
    </w:p>
    <w:p w:rsidR="00967036" w:rsidRDefault="00967036" w:rsidP="006E6E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05.08.2013</w:t>
      </w:r>
      <w:r w:rsidR="004A03A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85E0F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4C033A">
        <w:rPr>
          <w:rFonts w:ascii="Times New Roman" w:hAnsi="Times New Roman"/>
          <w:sz w:val="24"/>
          <w:szCs w:val="24"/>
          <w:lang w:val="lv-LV"/>
        </w:rPr>
        <w:t>12:24</w:t>
      </w:r>
    </w:p>
    <w:p w:rsidR="006E6E1A" w:rsidRPr="00540000" w:rsidRDefault="002B0F14" w:rsidP="006E6E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1003</w:t>
      </w:r>
    </w:p>
    <w:p w:rsidR="006E6E1A" w:rsidRPr="00540000" w:rsidRDefault="00967036" w:rsidP="006E6E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Ž.Zvaigzne</w:t>
      </w:r>
    </w:p>
    <w:p w:rsidR="006E6E1A" w:rsidRPr="00540000" w:rsidRDefault="006E6E1A" w:rsidP="006E6E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40000">
        <w:rPr>
          <w:rFonts w:ascii="Times New Roman" w:hAnsi="Times New Roman"/>
          <w:sz w:val="24"/>
          <w:szCs w:val="24"/>
          <w:lang w:val="lv-LV"/>
        </w:rPr>
        <w:t>678760</w:t>
      </w:r>
      <w:r w:rsidR="00967036">
        <w:rPr>
          <w:rFonts w:ascii="Times New Roman" w:hAnsi="Times New Roman"/>
          <w:sz w:val="24"/>
          <w:szCs w:val="24"/>
          <w:lang w:val="lv-LV"/>
        </w:rPr>
        <w:t>41</w:t>
      </w:r>
      <w:r w:rsidRPr="0054000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967036">
        <w:rPr>
          <w:rFonts w:ascii="Times New Roman" w:hAnsi="Times New Roman"/>
          <w:sz w:val="24"/>
          <w:szCs w:val="24"/>
          <w:lang w:val="lv-LV"/>
        </w:rPr>
        <w:t>Zanete.Zvaigzne</w:t>
      </w:r>
      <w:r w:rsidRPr="00540000">
        <w:rPr>
          <w:rFonts w:ascii="Times New Roman" w:hAnsi="Times New Roman"/>
          <w:sz w:val="24"/>
          <w:szCs w:val="24"/>
          <w:lang w:val="lv-LV"/>
        </w:rPr>
        <w:t>@vm.gov.lv</w:t>
      </w:r>
    </w:p>
    <w:p w:rsidR="002E426E" w:rsidRDefault="002E426E" w:rsidP="009501D0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sectPr w:rsidR="002E426E" w:rsidSect="008F0541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36" w:rsidRDefault="00967036" w:rsidP="00D176BF">
      <w:pPr>
        <w:spacing w:after="0" w:line="240" w:lineRule="auto"/>
      </w:pPr>
      <w:r>
        <w:separator/>
      </w:r>
    </w:p>
  </w:endnote>
  <w:endnote w:type="continuationSeparator" w:id="0">
    <w:p w:rsidR="00967036" w:rsidRDefault="00967036" w:rsidP="00D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36" w:rsidRDefault="00967036" w:rsidP="00480DA3">
    <w:pPr>
      <w:pStyle w:val="Footer"/>
      <w:rPr>
        <w:rFonts w:ascii="Times New Roman" w:hAnsi="Times New Roman" w:cs="Times New Roman"/>
      </w:rPr>
    </w:pPr>
  </w:p>
  <w:p w:rsidR="00967036" w:rsidRPr="00480DA3" w:rsidRDefault="00967036" w:rsidP="00967036">
    <w:pPr>
      <w:pStyle w:val="Footer"/>
      <w:jc w:val="both"/>
      <w:rPr>
        <w:rFonts w:ascii="Times New Roman" w:hAnsi="Times New Roman" w:cs="Times New Roman"/>
        <w:lang w:val="lv-LV"/>
      </w:rPr>
    </w:pPr>
    <w:bookmarkStart w:id="4" w:name="OLE_LINK3"/>
    <w:bookmarkStart w:id="5" w:name="OLE_LINK4"/>
    <w:r w:rsidRPr="00480DA3">
      <w:rPr>
        <w:rFonts w:ascii="Times New Roman" w:hAnsi="Times New Roman" w:cs="Times New Roman"/>
        <w:lang w:val="lv-LV"/>
      </w:rPr>
      <w:t>VManot_</w:t>
    </w:r>
    <w:r>
      <w:rPr>
        <w:rFonts w:ascii="Times New Roman" w:hAnsi="Times New Roman" w:cs="Times New Roman"/>
        <w:lang w:val="lv-LV"/>
      </w:rPr>
      <w:t>0508</w:t>
    </w:r>
    <w:r w:rsidRPr="00480DA3">
      <w:rPr>
        <w:rFonts w:ascii="Times New Roman" w:hAnsi="Times New Roman" w:cs="Times New Roman"/>
        <w:lang w:val="lv-LV"/>
      </w:rPr>
      <w:t>13_not1046;</w:t>
    </w:r>
    <w:r w:rsidRPr="00480DA3">
      <w:rPr>
        <w:rFonts w:ascii="Times New Roman" w:hAnsi="Times New Roman" w:cs="Times New Roman"/>
        <w:noProof/>
        <w:lang w:val="lv-LV"/>
      </w:rPr>
      <w:t xml:space="preserve"> </w:t>
    </w:r>
    <w:r w:rsidRPr="00480DA3">
      <w:rPr>
        <w:rFonts w:ascii="Times New Roman" w:hAnsi="Times New Roman" w:cs="Times New Roman"/>
        <w:lang w:val="lv-LV"/>
      </w:rPr>
      <w:t>Ministru kabineta noteikumu projekta „Grozījumi Ministru kabineta 2006.gada 19.decembra noteikumos Nr.1046 „Veselības aprūpes organizēšanas un finansēšanas kārtība”” sākotnējās ietekmes novērtējuma ziņojums (anotācija)</w:t>
    </w:r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36" w:rsidRDefault="00967036" w:rsidP="00480DA3">
    <w:pPr>
      <w:pStyle w:val="Footer"/>
      <w:rPr>
        <w:rFonts w:ascii="Times New Roman" w:hAnsi="Times New Roman" w:cs="Times New Roman"/>
      </w:rPr>
    </w:pPr>
  </w:p>
  <w:p w:rsidR="00967036" w:rsidRPr="00CF30F9" w:rsidRDefault="00967036" w:rsidP="00967036">
    <w:pPr>
      <w:pStyle w:val="Footer"/>
      <w:jc w:val="both"/>
      <w:rPr>
        <w:rFonts w:ascii="Times New Roman" w:hAnsi="Times New Roman" w:cs="Times New Roman"/>
        <w:lang w:val="lv-LV"/>
      </w:rPr>
    </w:pPr>
    <w:r w:rsidRPr="00CF30F9">
      <w:rPr>
        <w:rFonts w:ascii="Times New Roman" w:hAnsi="Times New Roman" w:cs="Times New Roman"/>
        <w:lang w:val="lv-LV"/>
      </w:rPr>
      <w:t>VManot_</w:t>
    </w:r>
    <w:r>
      <w:rPr>
        <w:rFonts w:ascii="Times New Roman" w:hAnsi="Times New Roman" w:cs="Times New Roman"/>
        <w:lang w:val="lv-LV"/>
      </w:rPr>
      <w:t>0508</w:t>
    </w:r>
    <w:r w:rsidRPr="00CF30F9">
      <w:rPr>
        <w:rFonts w:ascii="Times New Roman" w:hAnsi="Times New Roman" w:cs="Times New Roman"/>
        <w:lang w:val="lv-LV"/>
      </w:rPr>
      <w:t>13_not1046;</w:t>
    </w:r>
    <w:r w:rsidRPr="00CF30F9">
      <w:rPr>
        <w:rFonts w:ascii="Times New Roman" w:hAnsi="Times New Roman" w:cs="Times New Roman"/>
        <w:noProof/>
        <w:lang w:val="lv-LV"/>
      </w:rPr>
      <w:t xml:space="preserve"> </w:t>
    </w:r>
    <w:r w:rsidRPr="00CF30F9">
      <w:rPr>
        <w:rFonts w:ascii="Times New Roman" w:hAnsi="Times New Roman" w:cs="Times New Roman"/>
        <w:lang w:val="lv-LV"/>
      </w:rPr>
      <w:t>Ministru kabineta noteikumu projekta „Grozījumi Ministru kabineta 2006.gada 19.decembra noteikumos Nr.1046 „Veselības aprūpes organizēšanas un finansēšanas kārtība”” sākotnējās ietekmes novērtējuma ziņojums (anotācija)</w:t>
    </w:r>
  </w:p>
  <w:p w:rsidR="00967036" w:rsidRPr="00C80A77" w:rsidRDefault="00967036" w:rsidP="00967036">
    <w:pPr>
      <w:pStyle w:val="Footer"/>
      <w:jc w:val="both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36" w:rsidRDefault="00967036" w:rsidP="00D176BF">
      <w:pPr>
        <w:spacing w:after="0" w:line="240" w:lineRule="auto"/>
      </w:pPr>
      <w:r>
        <w:separator/>
      </w:r>
    </w:p>
  </w:footnote>
  <w:footnote w:type="continuationSeparator" w:id="0">
    <w:p w:rsidR="00967036" w:rsidRDefault="00967036" w:rsidP="00D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36" w:rsidRDefault="00F24AC5">
    <w:pPr>
      <w:pStyle w:val="Header"/>
      <w:jc w:val="center"/>
    </w:pPr>
    <w:r w:rsidRPr="008F0541">
      <w:rPr>
        <w:rFonts w:ascii="Times New Roman" w:hAnsi="Times New Roman" w:cs="Times New Roman"/>
      </w:rPr>
      <w:fldChar w:fldCharType="begin"/>
    </w:r>
    <w:r w:rsidR="00967036" w:rsidRPr="008F0541">
      <w:rPr>
        <w:rFonts w:ascii="Times New Roman" w:hAnsi="Times New Roman" w:cs="Times New Roman"/>
      </w:rPr>
      <w:instrText xml:space="preserve"> PAGE   \* MERGEFORMAT </w:instrText>
    </w:r>
    <w:r w:rsidRPr="008F0541">
      <w:rPr>
        <w:rFonts w:ascii="Times New Roman" w:hAnsi="Times New Roman" w:cs="Times New Roman"/>
      </w:rPr>
      <w:fldChar w:fldCharType="separate"/>
    </w:r>
    <w:r w:rsidR="004C033A">
      <w:rPr>
        <w:rFonts w:ascii="Times New Roman" w:hAnsi="Times New Roman" w:cs="Times New Roman"/>
        <w:noProof/>
      </w:rPr>
      <w:t>5</w:t>
    </w:r>
    <w:r w:rsidRPr="008F0541">
      <w:rPr>
        <w:rFonts w:ascii="Times New Roman" w:hAnsi="Times New Roman" w:cs="Times New Roman"/>
      </w:rPr>
      <w:fldChar w:fldCharType="end"/>
    </w:r>
  </w:p>
  <w:p w:rsidR="00967036" w:rsidRDefault="00967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C3D"/>
    <w:multiLevelType w:val="hybridMultilevel"/>
    <w:tmpl w:val="323A441E"/>
    <w:lvl w:ilvl="0" w:tplc="D84C54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58F"/>
    <w:multiLevelType w:val="hybridMultilevel"/>
    <w:tmpl w:val="C310F654"/>
    <w:lvl w:ilvl="0" w:tplc="D696CDC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1AE"/>
    <w:multiLevelType w:val="hybridMultilevel"/>
    <w:tmpl w:val="E02C9A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17097"/>
    <w:multiLevelType w:val="hybridMultilevel"/>
    <w:tmpl w:val="09FC8008"/>
    <w:lvl w:ilvl="0" w:tplc="2EDABAB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AD04AA"/>
    <w:multiLevelType w:val="hybridMultilevel"/>
    <w:tmpl w:val="A856889A"/>
    <w:lvl w:ilvl="0" w:tplc="DC1A8A7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76106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55A37"/>
    <w:multiLevelType w:val="hybridMultilevel"/>
    <w:tmpl w:val="891209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C0D8F"/>
    <w:multiLevelType w:val="hybridMultilevel"/>
    <w:tmpl w:val="7EEC8F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D44A8"/>
    <w:multiLevelType w:val="hybridMultilevel"/>
    <w:tmpl w:val="194E1B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E96CF0"/>
    <w:multiLevelType w:val="multilevel"/>
    <w:tmpl w:val="19C623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57E110B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D5651C"/>
    <w:multiLevelType w:val="hybridMultilevel"/>
    <w:tmpl w:val="278EDF6A"/>
    <w:lvl w:ilvl="0" w:tplc="F4EEE740">
      <w:start w:val="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4A4A09"/>
    <w:multiLevelType w:val="hybridMultilevel"/>
    <w:tmpl w:val="491A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1008FA"/>
    <w:multiLevelType w:val="multilevel"/>
    <w:tmpl w:val="2DB6F736"/>
    <w:lvl w:ilvl="0">
      <w:start w:val="45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.0"/>
      <w:lvlJc w:val="left"/>
      <w:pPr>
        <w:ind w:left="108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32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7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76BF"/>
    <w:rsid w:val="00000362"/>
    <w:rsid w:val="000005F6"/>
    <w:rsid w:val="00011728"/>
    <w:rsid w:val="000178DB"/>
    <w:rsid w:val="0002007C"/>
    <w:rsid w:val="00020C0C"/>
    <w:rsid w:val="00025013"/>
    <w:rsid w:val="000253A5"/>
    <w:rsid w:val="00031ACD"/>
    <w:rsid w:val="0004227B"/>
    <w:rsid w:val="000528B6"/>
    <w:rsid w:val="00053897"/>
    <w:rsid w:val="00060E6A"/>
    <w:rsid w:val="00063230"/>
    <w:rsid w:val="00064F32"/>
    <w:rsid w:val="00067F88"/>
    <w:rsid w:val="000752B8"/>
    <w:rsid w:val="00076727"/>
    <w:rsid w:val="00076978"/>
    <w:rsid w:val="000833C5"/>
    <w:rsid w:val="000834BE"/>
    <w:rsid w:val="00085E0F"/>
    <w:rsid w:val="000914ED"/>
    <w:rsid w:val="000940C1"/>
    <w:rsid w:val="0009665A"/>
    <w:rsid w:val="0009733D"/>
    <w:rsid w:val="0009784C"/>
    <w:rsid w:val="000A587D"/>
    <w:rsid w:val="000C5F3C"/>
    <w:rsid w:val="000C77C4"/>
    <w:rsid w:val="000D1549"/>
    <w:rsid w:val="000D469D"/>
    <w:rsid w:val="000E03FB"/>
    <w:rsid w:val="000F0009"/>
    <w:rsid w:val="000F08D1"/>
    <w:rsid w:val="000F12B2"/>
    <w:rsid w:val="000F53A1"/>
    <w:rsid w:val="00101CAA"/>
    <w:rsid w:val="001028CB"/>
    <w:rsid w:val="00104C96"/>
    <w:rsid w:val="0011335C"/>
    <w:rsid w:val="0011591E"/>
    <w:rsid w:val="00135079"/>
    <w:rsid w:val="00142244"/>
    <w:rsid w:val="00143A39"/>
    <w:rsid w:val="0014731E"/>
    <w:rsid w:val="00150589"/>
    <w:rsid w:val="00154FFB"/>
    <w:rsid w:val="00171B5A"/>
    <w:rsid w:val="0017506D"/>
    <w:rsid w:val="00176877"/>
    <w:rsid w:val="00191346"/>
    <w:rsid w:val="001941BF"/>
    <w:rsid w:val="001962D0"/>
    <w:rsid w:val="001A0BBA"/>
    <w:rsid w:val="001B05B2"/>
    <w:rsid w:val="001B141F"/>
    <w:rsid w:val="001B4C40"/>
    <w:rsid w:val="001B51C8"/>
    <w:rsid w:val="001C0BF7"/>
    <w:rsid w:val="001C403B"/>
    <w:rsid w:val="001D5605"/>
    <w:rsid w:val="001D59DA"/>
    <w:rsid w:val="001D732D"/>
    <w:rsid w:val="001F33B8"/>
    <w:rsid w:val="002001A5"/>
    <w:rsid w:val="002032A0"/>
    <w:rsid w:val="0021084F"/>
    <w:rsid w:val="00211D92"/>
    <w:rsid w:val="00222B6F"/>
    <w:rsid w:val="00227725"/>
    <w:rsid w:val="00235FE6"/>
    <w:rsid w:val="00241FCF"/>
    <w:rsid w:val="00245710"/>
    <w:rsid w:val="0025078C"/>
    <w:rsid w:val="00251BDC"/>
    <w:rsid w:val="0025543A"/>
    <w:rsid w:val="0026338C"/>
    <w:rsid w:val="002637E7"/>
    <w:rsid w:val="002639BD"/>
    <w:rsid w:val="00267BEC"/>
    <w:rsid w:val="002825B3"/>
    <w:rsid w:val="00282A0E"/>
    <w:rsid w:val="002864A5"/>
    <w:rsid w:val="00292F2A"/>
    <w:rsid w:val="002A266A"/>
    <w:rsid w:val="002A4881"/>
    <w:rsid w:val="002A51C6"/>
    <w:rsid w:val="002A5446"/>
    <w:rsid w:val="002B0F14"/>
    <w:rsid w:val="002B4988"/>
    <w:rsid w:val="002C5D32"/>
    <w:rsid w:val="002E426E"/>
    <w:rsid w:val="002E50CE"/>
    <w:rsid w:val="00306641"/>
    <w:rsid w:val="00312F06"/>
    <w:rsid w:val="003139BF"/>
    <w:rsid w:val="0031547E"/>
    <w:rsid w:val="0031647C"/>
    <w:rsid w:val="003203BC"/>
    <w:rsid w:val="00324283"/>
    <w:rsid w:val="003274ED"/>
    <w:rsid w:val="00335F3F"/>
    <w:rsid w:val="00341F31"/>
    <w:rsid w:val="00345CFC"/>
    <w:rsid w:val="00352A66"/>
    <w:rsid w:val="00365E8B"/>
    <w:rsid w:val="0037236D"/>
    <w:rsid w:val="003735BD"/>
    <w:rsid w:val="0037510C"/>
    <w:rsid w:val="003775C6"/>
    <w:rsid w:val="0038278E"/>
    <w:rsid w:val="003838C5"/>
    <w:rsid w:val="00387B92"/>
    <w:rsid w:val="00392160"/>
    <w:rsid w:val="00396195"/>
    <w:rsid w:val="003A23F1"/>
    <w:rsid w:val="003A27D3"/>
    <w:rsid w:val="003A4781"/>
    <w:rsid w:val="003A50A7"/>
    <w:rsid w:val="003A5F34"/>
    <w:rsid w:val="003A6A1A"/>
    <w:rsid w:val="003B0A2B"/>
    <w:rsid w:val="003B33B2"/>
    <w:rsid w:val="003B73DC"/>
    <w:rsid w:val="003C50C6"/>
    <w:rsid w:val="003D1D07"/>
    <w:rsid w:val="003E306E"/>
    <w:rsid w:val="003E4ED8"/>
    <w:rsid w:val="003E5D2E"/>
    <w:rsid w:val="003F0001"/>
    <w:rsid w:val="003F0CA5"/>
    <w:rsid w:val="003F412B"/>
    <w:rsid w:val="003F4512"/>
    <w:rsid w:val="003F6650"/>
    <w:rsid w:val="004013E2"/>
    <w:rsid w:val="00406D82"/>
    <w:rsid w:val="00411537"/>
    <w:rsid w:val="004125D1"/>
    <w:rsid w:val="004144CF"/>
    <w:rsid w:val="00417F29"/>
    <w:rsid w:val="004234B0"/>
    <w:rsid w:val="00425645"/>
    <w:rsid w:val="0042610B"/>
    <w:rsid w:val="00431D99"/>
    <w:rsid w:val="0045458F"/>
    <w:rsid w:val="00455411"/>
    <w:rsid w:val="0046030E"/>
    <w:rsid w:val="00460C11"/>
    <w:rsid w:val="004631F4"/>
    <w:rsid w:val="0046466C"/>
    <w:rsid w:val="00476CBE"/>
    <w:rsid w:val="00480DA3"/>
    <w:rsid w:val="00492D51"/>
    <w:rsid w:val="004A03AA"/>
    <w:rsid w:val="004A1BC5"/>
    <w:rsid w:val="004A2DC2"/>
    <w:rsid w:val="004A4E32"/>
    <w:rsid w:val="004B405B"/>
    <w:rsid w:val="004B68DA"/>
    <w:rsid w:val="004C033A"/>
    <w:rsid w:val="004C3A89"/>
    <w:rsid w:val="004E0EDB"/>
    <w:rsid w:val="004E32E7"/>
    <w:rsid w:val="005046F1"/>
    <w:rsid w:val="005054CC"/>
    <w:rsid w:val="00522302"/>
    <w:rsid w:val="005265C4"/>
    <w:rsid w:val="00540818"/>
    <w:rsid w:val="005411E1"/>
    <w:rsid w:val="0054168B"/>
    <w:rsid w:val="0054471A"/>
    <w:rsid w:val="00545536"/>
    <w:rsid w:val="005506A0"/>
    <w:rsid w:val="005534FE"/>
    <w:rsid w:val="005557D8"/>
    <w:rsid w:val="005602A4"/>
    <w:rsid w:val="00561DD1"/>
    <w:rsid w:val="005651E9"/>
    <w:rsid w:val="005677C2"/>
    <w:rsid w:val="0057017B"/>
    <w:rsid w:val="00571A68"/>
    <w:rsid w:val="005866EF"/>
    <w:rsid w:val="0059461C"/>
    <w:rsid w:val="005C3B8C"/>
    <w:rsid w:val="005D15E8"/>
    <w:rsid w:val="005D4AE6"/>
    <w:rsid w:val="005E31B4"/>
    <w:rsid w:val="005F5533"/>
    <w:rsid w:val="005F76A5"/>
    <w:rsid w:val="00605BE7"/>
    <w:rsid w:val="00611A72"/>
    <w:rsid w:val="006230C6"/>
    <w:rsid w:val="00630063"/>
    <w:rsid w:val="00632615"/>
    <w:rsid w:val="00636C85"/>
    <w:rsid w:val="00646059"/>
    <w:rsid w:val="00650A61"/>
    <w:rsid w:val="00651E70"/>
    <w:rsid w:val="006528C4"/>
    <w:rsid w:val="006614D3"/>
    <w:rsid w:val="00663130"/>
    <w:rsid w:val="00663B03"/>
    <w:rsid w:val="0066508E"/>
    <w:rsid w:val="00666600"/>
    <w:rsid w:val="00675CEE"/>
    <w:rsid w:val="00675D97"/>
    <w:rsid w:val="00676BDA"/>
    <w:rsid w:val="00677602"/>
    <w:rsid w:val="00694649"/>
    <w:rsid w:val="006A467A"/>
    <w:rsid w:val="006A5353"/>
    <w:rsid w:val="006A7D54"/>
    <w:rsid w:val="006B1A03"/>
    <w:rsid w:val="006B2600"/>
    <w:rsid w:val="006B29BD"/>
    <w:rsid w:val="006B35FF"/>
    <w:rsid w:val="006C126F"/>
    <w:rsid w:val="006C63FD"/>
    <w:rsid w:val="006C64C5"/>
    <w:rsid w:val="006C71B1"/>
    <w:rsid w:val="006E0ADB"/>
    <w:rsid w:val="006E1B1F"/>
    <w:rsid w:val="006E49B0"/>
    <w:rsid w:val="006E5FD1"/>
    <w:rsid w:val="006E619B"/>
    <w:rsid w:val="006E6E1A"/>
    <w:rsid w:val="006E7258"/>
    <w:rsid w:val="006F40E3"/>
    <w:rsid w:val="00700849"/>
    <w:rsid w:val="007014D9"/>
    <w:rsid w:val="0070292C"/>
    <w:rsid w:val="00711B2F"/>
    <w:rsid w:val="00716CAF"/>
    <w:rsid w:val="007205B7"/>
    <w:rsid w:val="00722DC7"/>
    <w:rsid w:val="00724701"/>
    <w:rsid w:val="00726E72"/>
    <w:rsid w:val="00736FF6"/>
    <w:rsid w:val="00741751"/>
    <w:rsid w:val="0075021F"/>
    <w:rsid w:val="0075091C"/>
    <w:rsid w:val="00753290"/>
    <w:rsid w:val="00760809"/>
    <w:rsid w:val="00766639"/>
    <w:rsid w:val="00766DC5"/>
    <w:rsid w:val="00772A6B"/>
    <w:rsid w:val="00772C22"/>
    <w:rsid w:val="00780206"/>
    <w:rsid w:val="0078736E"/>
    <w:rsid w:val="00794128"/>
    <w:rsid w:val="007A3C0A"/>
    <w:rsid w:val="007A7F2E"/>
    <w:rsid w:val="007C16A4"/>
    <w:rsid w:val="007C6501"/>
    <w:rsid w:val="007D1667"/>
    <w:rsid w:val="007D7058"/>
    <w:rsid w:val="007E0C28"/>
    <w:rsid w:val="007E24D9"/>
    <w:rsid w:val="007E3E6A"/>
    <w:rsid w:val="007F41CE"/>
    <w:rsid w:val="00811A3F"/>
    <w:rsid w:val="008139E2"/>
    <w:rsid w:val="008143D2"/>
    <w:rsid w:val="00821980"/>
    <w:rsid w:val="00822B8C"/>
    <w:rsid w:val="00825ECD"/>
    <w:rsid w:val="008535C3"/>
    <w:rsid w:val="00865693"/>
    <w:rsid w:val="008671C0"/>
    <w:rsid w:val="0088018F"/>
    <w:rsid w:val="008946F9"/>
    <w:rsid w:val="008A3639"/>
    <w:rsid w:val="008B0C2D"/>
    <w:rsid w:val="008B224F"/>
    <w:rsid w:val="008B36C6"/>
    <w:rsid w:val="008C093F"/>
    <w:rsid w:val="008C0B8F"/>
    <w:rsid w:val="008C325D"/>
    <w:rsid w:val="008C5AC5"/>
    <w:rsid w:val="008E3D1F"/>
    <w:rsid w:val="008E3E63"/>
    <w:rsid w:val="008E6147"/>
    <w:rsid w:val="008E7072"/>
    <w:rsid w:val="008F0541"/>
    <w:rsid w:val="008F20FD"/>
    <w:rsid w:val="008F62BB"/>
    <w:rsid w:val="009008AC"/>
    <w:rsid w:val="00903B19"/>
    <w:rsid w:val="00904C68"/>
    <w:rsid w:val="00910EB6"/>
    <w:rsid w:val="00915468"/>
    <w:rsid w:val="009251FA"/>
    <w:rsid w:val="009253D0"/>
    <w:rsid w:val="00925688"/>
    <w:rsid w:val="00936F64"/>
    <w:rsid w:val="0093718E"/>
    <w:rsid w:val="00943978"/>
    <w:rsid w:val="00947238"/>
    <w:rsid w:val="009501D0"/>
    <w:rsid w:val="00953993"/>
    <w:rsid w:val="00960A25"/>
    <w:rsid w:val="00964BD3"/>
    <w:rsid w:val="00967036"/>
    <w:rsid w:val="0097354B"/>
    <w:rsid w:val="00992F12"/>
    <w:rsid w:val="009937C4"/>
    <w:rsid w:val="0099647E"/>
    <w:rsid w:val="00996A24"/>
    <w:rsid w:val="009A25F8"/>
    <w:rsid w:val="009A269C"/>
    <w:rsid w:val="009A2AE8"/>
    <w:rsid w:val="009A2E44"/>
    <w:rsid w:val="009A2ECD"/>
    <w:rsid w:val="009A2F72"/>
    <w:rsid w:val="009A3914"/>
    <w:rsid w:val="009A75CC"/>
    <w:rsid w:val="009B24FF"/>
    <w:rsid w:val="009B48E2"/>
    <w:rsid w:val="009B656C"/>
    <w:rsid w:val="009B7708"/>
    <w:rsid w:val="009C299F"/>
    <w:rsid w:val="009D31CB"/>
    <w:rsid w:val="009D451B"/>
    <w:rsid w:val="009D7D54"/>
    <w:rsid w:val="009E1CCA"/>
    <w:rsid w:val="009E1DC9"/>
    <w:rsid w:val="009E3562"/>
    <w:rsid w:val="009E6FBA"/>
    <w:rsid w:val="009E733A"/>
    <w:rsid w:val="009F2D54"/>
    <w:rsid w:val="00A01DA9"/>
    <w:rsid w:val="00A14F85"/>
    <w:rsid w:val="00A154E6"/>
    <w:rsid w:val="00A1716D"/>
    <w:rsid w:val="00A17681"/>
    <w:rsid w:val="00A226E5"/>
    <w:rsid w:val="00A22853"/>
    <w:rsid w:val="00A2298F"/>
    <w:rsid w:val="00A33967"/>
    <w:rsid w:val="00A36BC2"/>
    <w:rsid w:val="00A47AD0"/>
    <w:rsid w:val="00A57CED"/>
    <w:rsid w:val="00A619FC"/>
    <w:rsid w:val="00A62C32"/>
    <w:rsid w:val="00A746D3"/>
    <w:rsid w:val="00A76594"/>
    <w:rsid w:val="00A77B33"/>
    <w:rsid w:val="00A83D9E"/>
    <w:rsid w:val="00A858EB"/>
    <w:rsid w:val="00A90041"/>
    <w:rsid w:val="00A9062C"/>
    <w:rsid w:val="00A90A37"/>
    <w:rsid w:val="00A90B79"/>
    <w:rsid w:val="00A917BE"/>
    <w:rsid w:val="00A95465"/>
    <w:rsid w:val="00AA1216"/>
    <w:rsid w:val="00AA536F"/>
    <w:rsid w:val="00AA6256"/>
    <w:rsid w:val="00AA7CA8"/>
    <w:rsid w:val="00AB0053"/>
    <w:rsid w:val="00AB1850"/>
    <w:rsid w:val="00AB1D0C"/>
    <w:rsid w:val="00AC15D9"/>
    <w:rsid w:val="00AD23CD"/>
    <w:rsid w:val="00AD6B1B"/>
    <w:rsid w:val="00AE471D"/>
    <w:rsid w:val="00AF0A73"/>
    <w:rsid w:val="00AF1B69"/>
    <w:rsid w:val="00AF22E3"/>
    <w:rsid w:val="00B01999"/>
    <w:rsid w:val="00B02314"/>
    <w:rsid w:val="00B10414"/>
    <w:rsid w:val="00B107D0"/>
    <w:rsid w:val="00B15EF3"/>
    <w:rsid w:val="00B20BC2"/>
    <w:rsid w:val="00B26EF6"/>
    <w:rsid w:val="00B35014"/>
    <w:rsid w:val="00B41505"/>
    <w:rsid w:val="00B51920"/>
    <w:rsid w:val="00B555F1"/>
    <w:rsid w:val="00B621B6"/>
    <w:rsid w:val="00B62ED7"/>
    <w:rsid w:val="00B64674"/>
    <w:rsid w:val="00B807E7"/>
    <w:rsid w:val="00B9753B"/>
    <w:rsid w:val="00BA2565"/>
    <w:rsid w:val="00BA30E3"/>
    <w:rsid w:val="00BB1494"/>
    <w:rsid w:val="00BB4AF8"/>
    <w:rsid w:val="00BC6D08"/>
    <w:rsid w:val="00BE2810"/>
    <w:rsid w:val="00BF2451"/>
    <w:rsid w:val="00C13395"/>
    <w:rsid w:val="00C135D0"/>
    <w:rsid w:val="00C27CC2"/>
    <w:rsid w:val="00C4647A"/>
    <w:rsid w:val="00C4720E"/>
    <w:rsid w:val="00C473DB"/>
    <w:rsid w:val="00C50A62"/>
    <w:rsid w:val="00C519B9"/>
    <w:rsid w:val="00C51C9A"/>
    <w:rsid w:val="00C56CE1"/>
    <w:rsid w:val="00C56E67"/>
    <w:rsid w:val="00C624C4"/>
    <w:rsid w:val="00C64D79"/>
    <w:rsid w:val="00C71D38"/>
    <w:rsid w:val="00C72FA3"/>
    <w:rsid w:val="00C7638F"/>
    <w:rsid w:val="00C80A77"/>
    <w:rsid w:val="00C81F07"/>
    <w:rsid w:val="00C82C07"/>
    <w:rsid w:val="00C855DF"/>
    <w:rsid w:val="00C90053"/>
    <w:rsid w:val="00C9101B"/>
    <w:rsid w:val="00C94BA4"/>
    <w:rsid w:val="00C94FF8"/>
    <w:rsid w:val="00CA0A59"/>
    <w:rsid w:val="00CA1AF8"/>
    <w:rsid w:val="00CA3E1C"/>
    <w:rsid w:val="00CA444C"/>
    <w:rsid w:val="00CA6033"/>
    <w:rsid w:val="00CB207B"/>
    <w:rsid w:val="00CD1F0F"/>
    <w:rsid w:val="00CD5BDB"/>
    <w:rsid w:val="00CE0648"/>
    <w:rsid w:val="00CE149F"/>
    <w:rsid w:val="00CE1F61"/>
    <w:rsid w:val="00CE37A3"/>
    <w:rsid w:val="00CE5A39"/>
    <w:rsid w:val="00CF30F9"/>
    <w:rsid w:val="00CF6FA9"/>
    <w:rsid w:val="00CF7CAA"/>
    <w:rsid w:val="00D02021"/>
    <w:rsid w:val="00D0490D"/>
    <w:rsid w:val="00D110E9"/>
    <w:rsid w:val="00D176BF"/>
    <w:rsid w:val="00D23050"/>
    <w:rsid w:val="00D301EC"/>
    <w:rsid w:val="00D34275"/>
    <w:rsid w:val="00D34FB1"/>
    <w:rsid w:val="00D4100E"/>
    <w:rsid w:val="00D72EA4"/>
    <w:rsid w:val="00D77185"/>
    <w:rsid w:val="00D77995"/>
    <w:rsid w:val="00D847C1"/>
    <w:rsid w:val="00D904EA"/>
    <w:rsid w:val="00D908F7"/>
    <w:rsid w:val="00D913E3"/>
    <w:rsid w:val="00D92465"/>
    <w:rsid w:val="00D92BBE"/>
    <w:rsid w:val="00D93782"/>
    <w:rsid w:val="00D97DF6"/>
    <w:rsid w:val="00DA343B"/>
    <w:rsid w:val="00DA530D"/>
    <w:rsid w:val="00DA687D"/>
    <w:rsid w:val="00DC0F2B"/>
    <w:rsid w:val="00DC5CB2"/>
    <w:rsid w:val="00DD2C0A"/>
    <w:rsid w:val="00DD50D2"/>
    <w:rsid w:val="00DD5244"/>
    <w:rsid w:val="00DF095D"/>
    <w:rsid w:val="00DF417E"/>
    <w:rsid w:val="00DF5AB3"/>
    <w:rsid w:val="00DF6D63"/>
    <w:rsid w:val="00DF78E2"/>
    <w:rsid w:val="00E01C8A"/>
    <w:rsid w:val="00E03159"/>
    <w:rsid w:val="00E06A7E"/>
    <w:rsid w:val="00E411FA"/>
    <w:rsid w:val="00E46C79"/>
    <w:rsid w:val="00E47831"/>
    <w:rsid w:val="00E556DE"/>
    <w:rsid w:val="00E57163"/>
    <w:rsid w:val="00E60065"/>
    <w:rsid w:val="00E60824"/>
    <w:rsid w:val="00E631DF"/>
    <w:rsid w:val="00E80D61"/>
    <w:rsid w:val="00E8692C"/>
    <w:rsid w:val="00E8755F"/>
    <w:rsid w:val="00E91E79"/>
    <w:rsid w:val="00E921DA"/>
    <w:rsid w:val="00E930F3"/>
    <w:rsid w:val="00E9665D"/>
    <w:rsid w:val="00EB3667"/>
    <w:rsid w:val="00EB40E9"/>
    <w:rsid w:val="00EB4AD0"/>
    <w:rsid w:val="00EC07C2"/>
    <w:rsid w:val="00EC2CC8"/>
    <w:rsid w:val="00EC5BDA"/>
    <w:rsid w:val="00EC7079"/>
    <w:rsid w:val="00ED26BA"/>
    <w:rsid w:val="00ED2F20"/>
    <w:rsid w:val="00EE7103"/>
    <w:rsid w:val="00EF50BE"/>
    <w:rsid w:val="00F04828"/>
    <w:rsid w:val="00F12C9C"/>
    <w:rsid w:val="00F14405"/>
    <w:rsid w:val="00F24AC5"/>
    <w:rsid w:val="00F319E8"/>
    <w:rsid w:val="00F359DF"/>
    <w:rsid w:val="00F408B2"/>
    <w:rsid w:val="00F44DBB"/>
    <w:rsid w:val="00F4705B"/>
    <w:rsid w:val="00F6163C"/>
    <w:rsid w:val="00F63AD2"/>
    <w:rsid w:val="00F70AF2"/>
    <w:rsid w:val="00F714F8"/>
    <w:rsid w:val="00F76510"/>
    <w:rsid w:val="00F77370"/>
    <w:rsid w:val="00F81A95"/>
    <w:rsid w:val="00F81B85"/>
    <w:rsid w:val="00F83200"/>
    <w:rsid w:val="00F84588"/>
    <w:rsid w:val="00F85632"/>
    <w:rsid w:val="00F90BB0"/>
    <w:rsid w:val="00F92828"/>
    <w:rsid w:val="00F92DAB"/>
    <w:rsid w:val="00F9329C"/>
    <w:rsid w:val="00F94F58"/>
    <w:rsid w:val="00FB11D6"/>
    <w:rsid w:val="00FB5418"/>
    <w:rsid w:val="00FB5823"/>
    <w:rsid w:val="00FB5831"/>
    <w:rsid w:val="00FC0A93"/>
    <w:rsid w:val="00FC0E87"/>
    <w:rsid w:val="00FC2815"/>
    <w:rsid w:val="00FD543A"/>
    <w:rsid w:val="00FD54E0"/>
    <w:rsid w:val="00FE58E6"/>
    <w:rsid w:val="00FE665B"/>
    <w:rsid w:val="00FF0B50"/>
    <w:rsid w:val="00FF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06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6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D176BF"/>
    <w:rPr>
      <w:rFonts w:cs="Times New Roman"/>
      <w:color w:val="800080"/>
      <w:u w:val="single"/>
    </w:rPr>
  </w:style>
  <w:style w:type="paragraph" w:customStyle="1" w:styleId="h1">
    <w:name w:val="h1"/>
    <w:basedOn w:val="Normal"/>
    <w:rsid w:val="00D176BF"/>
    <w:pPr>
      <w:spacing w:after="150" w:line="240" w:lineRule="auto"/>
    </w:pPr>
    <w:rPr>
      <w:rFonts w:ascii="Times New Roman" w:eastAsia="Calibri" w:hAnsi="Times New Roman" w:cs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rsid w:val="00D176BF"/>
    <w:pPr>
      <w:shd w:val="clear" w:color="auto" w:fill="C9E1DF"/>
      <w:spacing w:before="75" w:after="75" w:line="240" w:lineRule="auto"/>
    </w:pPr>
    <w:rPr>
      <w:rFonts w:ascii="Arial" w:eastAsia="Calibri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rsid w:val="00D176BF"/>
    <w:pPr>
      <w:spacing w:before="75" w:after="75" w:line="240" w:lineRule="auto"/>
    </w:pPr>
    <w:rPr>
      <w:rFonts w:ascii="Arial" w:eastAsia="Calibri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rsid w:val="00D176BF"/>
    <w:pPr>
      <w:spacing w:before="75" w:after="75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rsid w:val="00D176BF"/>
    <w:pPr>
      <w:spacing w:before="75" w:after="75" w:line="240" w:lineRule="auto"/>
      <w:jc w:val="right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bdc">
    <w:name w:val="bdc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rsid w:val="00D176BF"/>
    <w:pPr>
      <w:shd w:val="clear" w:color="auto" w:fill="F0F8F8"/>
      <w:spacing w:before="75" w:after="75" w:line="240" w:lineRule="auto"/>
    </w:pPr>
    <w:rPr>
      <w:rFonts w:ascii="Arial" w:eastAsia="Calibri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rsid w:val="00D176BF"/>
    <w:pPr>
      <w:shd w:val="clear" w:color="auto" w:fill="F0F8F8"/>
      <w:spacing w:before="75" w:after="75" w:line="240" w:lineRule="auto"/>
    </w:pPr>
    <w:rPr>
      <w:rFonts w:ascii="Times New Roman" w:eastAsia="Calibri" w:hAnsi="Times New Roman" w:cs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rsid w:val="00D176B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rsid w:val="00D176BF"/>
    <w:pPr>
      <w:spacing w:before="75" w:after="75" w:line="240" w:lineRule="auto"/>
      <w:ind w:left="450"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rsid w:val="00D176BF"/>
    <w:pPr>
      <w:spacing w:before="75" w:after="75" w:line="240" w:lineRule="auto"/>
      <w:ind w:left="900"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rsid w:val="00D176BF"/>
    <w:pPr>
      <w:spacing w:before="75" w:after="75" w:line="240" w:lineRule="auto"/>
      <w:ind w:left="375" w:firstLine="375"/>
      <w:jc w:val="both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rsid w:val="00D176BF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176BF"/>
    <w:pPr>
      <w:spacing w:before="75" w:after="75" w:line="240" w:lineRule="auto"/>
      <w:jc w:val="right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6B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rsid w:val="00D176BF"/>
    <w:pPr>
      <w:spacing w:before="75" w:after="75" w:line="240" w:lineRule="auto"/>
      <w:ind w:firstLine="375"/>
    </w:pPr>
    <w:rPr>
      <w:rFonts w:ascii="Times New Roman" w:eastAsia="Calibri" w:hAnsi="Times New Roman" w:cs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semiHidden/>
    <w:rsid w:val="00D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176BF"/>
    <w:rPr>
      <w:rFonts w:cs="Times New Roman"/>
    </w:rPr>
  </w:style>
  <w:style w:type="paragraph" w:styleId="Footer">
    <w:name w:val="footer"/>
    <w:basedOn w:val="Normal"/>
    <w:link w:val="FooterChar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D176BF"/>
    <w:rPr>
      <w:rFonts w:cs="Times New Roman"/>
    </w:rPr>
  </w:style>
  <w:style w:type="paragraph" w:styleId="NoSpacing">
    <w:name w:val="No Spacing"/>
    <w:qFormat/>
    <w:rsid w:val="00FC0A93"/>
    <w:rPr>
      <w:rFonts w:eastAsia="Times New Roman" w:cs="Calibri"/>
      <w:sz w:val="22"/>
      <w:szCs w:val="22"/>
    </w:rPr>
  </w:style>
  <w:style w:type="paragraph" w:customStyle="1" w:styleId="Default">
    <w:name w:val="Default"/>
    <w:rsid w:val="00FC0A9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FC0A93"/>
    <w:pPr>
      <w:spacing w:after="0" w:line="240" w:lineRule="auto"/>
      <w:ind w:left="720"/>
    </w:pPr>
    <w:rPr>
      <w:lang w:val="lv-LV" w:eastAsia="lv-LV"/>
    </w:rPr>
  </w:style>
  <w:style w:type="character" w:customStyle="1" w:styleId="NormalWebChar">
    <w:name w:val="Normal (Web) Char"/>
    <w:basedOn w:val="DefaultParagraphFont"/>
    <w:link w:val="NormalWeb"/>
    <w:locked/>
    <w:rsid w:val="00FC0A93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basedOn w:val="DefaultParagraphFont"/>
    <w:rsid w:val="00FC0A93"/>
    <w:rPr>
      <w:rFonts w:cs="Times New Roman"/>
    </w:rPr>
  </w:style>
  <w:style w:type="paragraph" w:styleId="List2">
    <w:name w:val="List 2"/>
    <w:basedOn w:val="Normal"/>
    <w:rsid w:val="00651E7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rsid w:val="00DA530D"/>
    <w:rPr>
      <w:rFonts w:eastAsia="Times New Roman" w:cs="Calibri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D34FB1"/>
    <w:pPr>
      <w:spacing w:before="240" w:after="0" w:line="360" w:lineRule="auto"/>
      <w:ind w:firstLine="300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cipari">
    <w:name w:val="cipari"/>
    <w:basedOn w:val="Normal"/>
    <w:link w:val="cipariChar"/>
    <w:rsid w:val="00904C68"/>
    <w:pPr>
      <w:spacing w:after="12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lv-LV" w:eastAsia="lv-LV"/>
    </w:rPr>
  </w:style>
  <w:style w:type="character" w:customStyle="1" w:styleId="cipariChar">
    <w:name w:val="cipari Char"/>
    <w:link w:val="cipari"/>
    <w:locked/>
    <w:rsid w:val="00904C68"/>
    <w:rPr>
      <w:rFonts w:ascii="Times New Roman" w:hAnsi="Times New Roman"/>
      <w:sz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1003</Words>
  <Characters>6777</Characters>
  <Application>Microsoft Office Word</Application>
  <DocSecurity>0</DocSecurity>
  <Lines>376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2006.gada 19.decembra noteikumos Nr.1046 „Veselības aprūpes organizēšanas un finansēšanas kārtība”” sākotnējās ietekmes novērtējuma ziņojums (anotācija)</vt:lpstr>
    </vt:vector>
  </TitlesOfParts>
  <Company>Veselības ministrija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2006.gada 19.decembra noteikumos Nr.1046 „Veselības aprūpes organizēšanas un finansēšanas kārtība”” sākotnējās ietekmes novērtējuma ziņojums (anotācija)</dc:title>
  <dc:subject>Anotācija</dc:subject>
  <dc:creator>Žanete Zvaigzne</dc:creator>
  <cp:keywords/>
  <dc:description>Budžeta un investīciju departamenta Budžeta plānošanas nodaļa Žanete Zvaigzne, tel.67876041 Zanete.Zvaigzne@vm.gov.lv</dc:description>
  <cp:lastModifiedBy>zzvaigzne</cp:lastModifiedBy>
  <cp:revision>6</cp:revision>
  <cp:lastPrinted>2013-04-19T11:09:00Z</cp:lastPrinted>
  <dcterms:created xsi:type="dcterms:W3CDTF">2013-07-23T04:51:00Z</dcterms:created>
  <dcterms:modified xsi:type="dcterms:W3CDTF">2013-08-05T09:24:00Z</dcterms:modified>
</cp:coreProperties>
</file>