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AF" w:rsidRPr="0091098E" w:rsidRDefault="000B76E3" w:rsidP="008C11A9">
      <w:pPr>
        <w:jc w:val="center"/>
        <w:rPr>
          <w:b/>
          <w:color w:val="000000"/>
          <w:sz w:val="28"/>
          <w:szCs w:val="28"/>
        </w:rPr>
      </w:pPr>
      <w:bookmarkStart w:id="0" w:name="OLE_LINK19"/>
      <w:bookmarkStart w:id="1" w:name="OLE_LINK20"/>
      <w:r w:rsidRPr="0091098E">
        <w:rPr>
          <w:color w:val="000000"/>
          <w:sz w:val="28"/>
          <w:szCs w:val="28"/>
        </w:rPr>
        <w:t xml:space="preserve">Ministru kabineta </w:t>
      </w:r>
      <w:r w:rsidR="009817AF" w:rsidRPr="0091098E">
        <w:rPr>
          <w:color w:val="000000"/>
          <w:sz w:val="28"/>
          <w:szCs w:val="28"/>
        </w:rPr>
        <w:t>noteikumu</w:t>
      </w:r>
      <w:r w:rsidRPr="0091098E">
        <w:rPr>
          <w:color w:val="000000"/>
          <w:sz w:val="28"/>
          <w:szCs w:val="28"/>
        </w:rPr>
        <w:t xml:space="preserve"> projekta</w:t>
      </w:r>
      <w:bookmarkStart w:id="2" w:name="OLE_LINK13"/>
      <w:bookmarkStart w:id="3" w:name="OLE_LINK14"/>
      <w:r w:rsidRPr="0091098E">
        <w:rPr>
          <w:b/>
          <w:color w:val="000000"/>
          <w:sz w:val="28"/>
          <w:szCs w:val="28"/>
        </w:rPr>
        <w:t xml:space="preserve"> </w:t>
      </w:r>
    </w:p>
    <w:p w:rsidR="000B76E3" w:rsidRPr="0091098E" w:rsidRDefault="000B76E3" w:rsidP="008C11A9">
      <w:pPr>
        <w:jc w:val="center"/>
        <w:rPr>
          <w:color w:val="000000"/>
          <w:sz w:val="28"/>
          <w:szCs w:val="28"/>
        </w:rPr>
      </w:pPr>
      <w:r w:rsidRPr="0091098E">
        <w:rPr>
          <w:color w:val="000000"/>
          <w:sz w:val="28"/>
          <w:szCs w:val="28"/>
        </w:rPr>
        <w:t>„</w:t>
      </w:r>
      <w:bookmarkEnd w:id="2"/>
      <w:bookmarkEnd w:id="3"/>
      <w:r w:rsidR="0020243D" w:rsidRPr="0091098E">
        <w:rPr>
          <w:color w:val="000000"/>
          <w:sz w:val="28"/>
          <w:szCs w:val="28"/>
        </w:rPr>
        <w:t>Grozījum</w:t>
      </w:r>
      <w:r w:rsidR="00307155" w:rsidRPr="0091098E">
        <w:rPr>
          <w:color w:val="000000"/>
          <w:sz w:val="28"/>
          <w:szCs w:val="28"/>
        </w:rPr>
        <w:t>i</w:t>
      </w:r>
      <w:r w:rsidR="0020243D" w:rsidRPr="0091098E">
        <w:rPr>
          <w:color w:val="000000"/>
          <w:sz w:val="28"/>
          <w:szCs w:val="28"/>
        </w:rPr>
        <w:t xml:space="preserve"> Ministru kabineta 200</w:t>
      </w:r>
      <w:r w:rsidR="005A75F2" w:rsidRPr="0091098E">
        <w:rPr>
          <w:color w:val="000000"/>
          <w:sz w:val="28"/>
          <w:szCs w:val="28"/>
        </w:rPr>
        <w:t>4</w:t>
      </w:r>
      <w:r w:rsidR="0020243D" w:rsidRPr="0091098E">
        <w:rPr>
          <w:color w:val="000000"/>
          <w:sz w:val="28"/>
          <w:szCs w:val="28"/>
        </w:rPr>
        <w:t xml:space="preserve">.gada </w:t>
      </w:r>
      <w:r w:rsidR="005A75F2" w:rsidRPr="0091098E">
        <w:rPr>
          <w:color w:val="000000"/>
          <w:sz w:val="28"/>
          <w:szCs w:val="28"/>
        </w:rPr>
        <w:t>13</w:t>
      </w:r>
      <w:r w:rsidR="0020243D" w:rsidRPr="0091098E">
        <w:rPr>
          <w:color w:val="000000"/>
          <w:sz w:val="28"/>
          <w:szCs w:val="28"/>
        </w:rPr>
        <w:t>.</w:t>
      </w:r>
      <w:r w:rsidR="005A75F2" w:rsidRPr="0091098E">
        <w:rPr>
          <w:color w:val="000000"/>
          <w:sz w:val="28"/>
          <w:szCs w:val="28"/>
        </w:rPr>
        <w:t>aprīļ</w:t>
      </w:r>
      <w:r w:rsidR="0020243D" w:rsidRPr="0091098E">
        <w:rPr>
          <w:color w:val="000000"/>
          <w:sz w:val="28"/>
          <w:szCs w:val="28"/>
        </w:rPr>
        <w:t>a noteikumos Nr.</w:t>
      </w:r>
      <w:r w:rsidR="005A75F2" w:rsidRPr="0091098E">
        <w:rPr>
          <w:color w:val="000000"/>
          <w:sz w:val="28"/>
          <w:szCs w:val="28"/>
        </w:rPr>
        <w:t>28</w:t>
      </w:r>
      <w:r w:rsidR="0020243D" w:rsidRPr="0091098E">
        <w:rPr>
          <w:color w:val="000000"/>
          <w:sz w:val="28"/>
          <w:szCs w:val="28"/>
        </w:rPr>
        <w:t xml:space="preserve">6 „Veselības </w:t>
      </w:r>
      <w:r w:rsidR="005A75F2" w:rsidRPr="0091098E">
        <w:rPr>
          <w:color w:val="000000"/>
          <w:sz w:val="28"/>
          <w:szCs w:val="28"/>
        </w:rPr>
        <w:t>ministrijas</w:t>
      </w:r>
      <w:r w:rsidR="0020243D" w:rsidRPr="0091098E">
        <w:rPr>
          <w:color w:val="000000"/>
          <w:sz w:val="28"/>
          <w:szCs w:val="28"/>
        </w:rPr>
        <w:t xml:space="preserve"> </w:t>
      </w:r>
      <w:r w:rsidR="0020243D" w:rsidRPr="0091098E">
        <w:rPr>
          <w:bCs/>
          <w:sz w:val="28"/>
          <w:szCs w:val="28"/>
        </w:rPr>
        <w:t>nolikums</w:t>
      </w:r>
      <w:r w:rsidR="0020243D" w:rsidRPr="0091098E">
        <w:rPr>
          <w:color w:val="000000"/>
          <w:sz w:val="28"/>
          <w:szCs w:val="28"/>
        </w:rPr>
        <w:t>”</w:t>
      </w:r>
      <w:r w:rsidRPr="0091098E">
        <w:rPr>
          <w:color w:val="000000"/>
          <w:sz w:val="28"/>
          <w:szCs w:val="28"/>
        </w:rPr>
        <w:t>”</w:t>
      </w:r>
    </w:p>
    <w:p w:rsidR="000B76E3" w:rsidRPr="0091098E" w:rsidRDefault="000B76E3" w:rsidP="000B76E3">
      <w:pPr>
        <w:jc w:val="center"/>
        <w:rPr>
          <w:b/>
          <w:bCs/>
          <w:color w:val="000000"/>
          <w:sz w:val="28"/>
          <w:szCs w:val="28"/>
        </w:rPr>
      </w:pPr>
      <w:r w:rsidRPr="0091098E">
        <w:rPr>
          <w:bCs/>
          <w:color w:val="000000"/>
          <w:sz w:val="28"/>
          <w:szCs w:val="28"/>
        </w:rPr>
        <w:t>sākotnējās ietekmes novērtējuma ziņojums</w:t>
      </w:r>
    </w:p>
    <w:p w:rsidR="0038044A" w:rsidRPr="0091098E" w:rsidRDefault="000B76E3" w:rsidP="0026799B">
      <w:pPr>
        <w:jc w:val="center"/>
        <w:rPr>
          <w:bCs/>
          <w:color w:val="000000"/>
          <w:sz w:val="28"/>
          <w:szCs w:val="28"/>
        </w:rPr>
      </w:pPr>
      <w:r w:rsidRPr="0091098E">
        <w:rPr>
          <w:bCs/>
          <w:color w:val="000000"/>
          <w:sz w:val="28"/>
          <w:szCs w:val="28"/>
        </w:rPr>
        <w:t>(anotācija)</w:t>
      </w:r>
      <w:bookmarkEnd w:id="0"/>
      <w:bookmarkEnd w:id="1"/>
    </w:p>
    <w:tbl>
      <w:tblPr>
        <w:tblpPr w:leftFromText="180" w:rightFromText="180" w:vertAnchor="text" w:horzAnchor="margin" w:tblpXSpec="center" w:tblpY="149"/>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06"/>
        <w:gridCol w:w="2815"/>
        <w:gridCol w:w="5887"/>
      </w:tblGrid>
      <w:tr w:rsidR="000B76E3" w:rsidRPr="005934BE" w:rsidTr="0027554C">
        <w:tc>
          <w:tcPr>
            <w:tcW w:w="9508" w:type="dxa"/>
            <w:gridSpan w:val="3"/>
            <w:vAlign w:val="center"/>
          </w:tcPr>
          <w:p w:rsidR="000B76E3" w:rsidRPr="005934BE" w:rsidRDefault="000B76E3" w:rsidP="005A03EE">
            <w:pPr>
              <w:pStyle w:val="naisnod"/>
              <w:spacing w:before="0" w:after="0"/>
              <w:rPr>
                <w:color w:val="000000"/>
              </w:rPr>
            </w:pPr>
            <w:r w:rsidRPr="005934BE">
              <w:rPr>
                <w:color w:val="000000"/>
              </w:rPr>
              <w:t>I. Tiesību akta projekta izstrādes nepieciešamība</w:t>
            </w:r>
          </w:p>
        </w:tc>
      </w:tr>
      <w:tr w:rsidR="000B76E3" w:rsidRPr="005934BE" w:rsidTr="0027554C">
        <w:trPr>
          <w:trHeight w:val="630"/>
        </w:trPr>
        <w:tc>
          <w:tcPr>
            <w:tcW w:w="806" w:type="dxa"/>
          </w:tcPr>
          <w:p w:rsidR="000B76E3" w:rsidRPr="005934BE" w:rsidRDefault="000B76E3" w:rsidP="005A03EE">
            <w:pPr>
              <w:pStyle w:val="naiskr"/>
              <w:spacing w:before="0" w:after="0"/>
              <w:rPr>
                <w:color w:val="000000"/>
              </w:rPr>
            </w:pPr>
            <w:r w:rsidRPr="005934BE">
              <w:rPr>
                <w:color w:val="000000"/>
              </w:rPr>
              <w:t>1.</w:t>
            </w:r>
          </w:p>
        </w:tc>
        <w:tc>
          <w:tcPr>
            <w:tcW w:w="2815" w:type="dxa"/>
          </w:tcPr>
          <w:p w:rsidR="000B76E3" w:rsidRPr="005934BE" w:rsidRDefault="000B76E3" w:rsidP="005A03EE">
            <w:pPr>
              <w:pStyle w:val="naiskr"/>
              <w:spacing w:before="0" w:after="0"/>
              <w:ind w:hanging="10"/>
              <w:rPr>
                <w:color w:val="000000"/>
              </w:rPr>
            </w:pPr>
            <w:r w:rsidRPr="005934BE">
              <w:rPr>
                <w:color w:val="000000"/>
              </w:rPr>
              <w:t>Pamatojums</w:t>
            </w:r>
          </w:p>
          <w:p w:rsidR="000B76E3" w:rsidRPr="005934BE" w:rsidRDefault="000B76E3" w:rsidP="005A03EE">
            <w:pPr>
              <w:pStyle w:val="naiskr"/>
              <w:spacing w:before="0" w:after="0"/>
              <w:ind w:hanging="10"/>
              <w:rPr>
                <w:color w:val="000000"/>
              </w:rPr>
            </w:pPr>
          </w:p>
          <w:p w:rsidR="000B76E3" w:rsidRPr="005934BE" w:rsidRDefault="000B76E3" w:rsidP="005A03EE">
            <w:pPr>
              <w:pStyle w:val="Bezatstarpm"/>
              <w:jc w:val="both"/>
              <w:rPr>
                <w:color w:val="000000"/>
              </w:rPr>
            </w:pPr>
          </w:p>
        </w:tc>
        <w:tc>
          <w:tcPr>
            <w:tcW w:w="5887" w:type="dxa"/>
          </w:tcPr>
          <w:p w:rsidR="0026799B" w:rsidRPr="005934BE" w:rsidRDefault="005E2120" w:rsidP="00070E31">
            <w:pPr>
              <w:jc w:val="both"/>
              <w:rPr>
                <w:color w:val="000000"/>
              </w:rPr>
            </w:pPr>
            <w:r w:rsidRPr="005934BE">
              <w:rPr>
                <w:color w:val="000000"/>
              </w:rPr>
              <w:t xml:space="preserve">Ministru kabineta noteikumu „Grozījumi Ministru kabineta 2004.gada 13.aprīļa noteikumos Nr.286 „Veselības ministrijas </w:t>
            </w:r>
            <w:r w:rsidRPr="005934BE">
              <w:rPr>
                <w:bCs/>
              </w:rPr>
              <w:t>nolikums</w:t>
            </w:r>
            <w:r w:rsidRPr="005934BE">
              <w:rPr>
                <w:color w:val="000000"/>
              </w:rPr>
              <w:t xml:space="preserve">”” </w:t>
            </w:r>
            <w:r w:rsidR="008910E9" w:rsidRPr="005934BE">
              <w:t>projekts (turpmāk  - MK noteikumu projekts) izstrādāts atbilstoši</w:t>
            </w:r>
            <w:r w:rsidR="003A39BE">
              <w:t xml:space="preserve"> </w:t>
            </w:r>
            <w:r w:rsidR="008910E9" w:rsidRPr="005934BE">
              <w:t>Latvijas Stratēģiskās attīstības plāna 2010.-2013.gadam (apstiprināts ar Ministru kabineta</w:t>
            </w:r>
            <w:r w:rsidR="003842CF" w:rsidRPr="005934BE">
              <w:t xml:space="preserve"> 2010.gada 9.aprīļa</w:t>
            </w:r>
            <w:r w:rsidR="008910E9" w:rsidRPr="005934BE">
              <w:t xml:space="preserve"> rīkojumu Nr.203) 3.prioritātes “Publiskās pārvaldes reformas” izvirzītajam rīcības virzienam - publiskās pārvaldes funkciju un pakalpojumu optimizēšana, kas sevī ietver publiskās pārvaldes pakalpojumu un funkciju pārskatīšanu, netipisko pakalpojumu un funkciju pārtraukšanu, vai nodošanu citam izpildītājam, kā arī līdzīgo funkci</w:t>
            </w:r>
            <w:r w:rsidR="004D2CA1">
              <w:t>ju centralizēšanu (apvienošanu).</w:t>
            </w:r>
          </w:p>
        </w:tc>
      </w:tr>
      <w:tr w:rsidR="000B76E3" w:rsidRPr="005934BE" w:rsidTr="0027554C">
        <w:trPr>
          <w:trHeight w:val="472"/>
        </w:trPr>
        <w:tc>
          <w:tcPr>
            <w:tcW w:w="806" w:type="dxa"/>
          </w:tcPr>
          <w:p w:rsidR="000B76E3" w:rsidRPr="005934BE" w:rsidRDefault="000B76E3" w:rsidP="005A03EE">
            <w:pPr>
              <w:pStyle w:val="naiskr"/>
              <w:spacing w:before="0" w:after="0"/>
              <w:rPr>
                <w:color w:val="000000"/>
              </w:rPr>
            </w:pPr>
            <w:r w:rsidRPr="005934BE">
              <w:rPr>
                <w:color w:val="000000"/>
              </w:rPr>
              <w:t>2.</w:t>
            </w:r>
          </w:p>
        </w:tc>
        <w:tc>
          <w:tcPr>
            <w:tcW w:w="2815" w:type="dxa"/>
          </w:tcPr>
          <w:p w:rsidR="000B76E3" w:rsidRPr="005934BE" w:rsidRDefault="000B76E3" w:rsidP="005A03EE">
            <w:pPr>
              <w:pStyle w:val="naiskr"/>
              <w:tabs>
                <w:tab w:val="left" w:pos="170"/>
              </w:tabs>
              <w:spacing w:before="0" w:after="0"/>
              <w:rPr>
                <w:color w:val="000000"/>
              </w:rPr>
            </w:pPr>
            <w:r w:rsidRPr="005934BE">
              <w:rPr>
                <w:color w:val="000000"/>
              </w:rPr>
              <w:t>Pašreizējā situācija un problēmas</w:t>
            </w:r>
          </w:p>
        </w:tc>
        <w:tc>
          <w:tcPr>
            <w:tcW w:w="5887" w:type="dxa"/>
            <w:shd w:val="clear" w:color="auto" w:fill="auto"/>
          </w:tcPr>
          <w:p w:rsidR="008910E9" w:rsidRPr="005934BE" w:rsidRDefault="008910E9" w:rsidP="008910E9">
            <w:pPr>
              <w:jc w:val="both"/>
              <w:rPr>
                <w:color w:val="000000"/>
              </w:rPr>
            </w:pPr>
            <w:r w:rsidRPr="005934BE">
              <w:t>Saskaņā ar Ministru kabineta 2012.gada 21.februāra rīkojumu Nr.101 „Par Slimību profilakses un kontroles centra izveidošanu un Veselības ministrijas un Zemkopības ministrijas padotībā esošo valsts pārvaldes iestāžu reorganizāciju”</w:t>
            </w:r>
            <w:r w:rsidR="009D6D52" w:rsidRPr="005934BE">
              <w:t>,</w:t>
            </w:r>
            <w:r w:rsidR="00633F37" w:rsidRPr="005934BE">
              <w:t xml:space="preserve"> </w:t>
            </w:r>
            <w:r w:rsidR="00633F37" w:rsidRPr="005934BE">
              <w:rPr>
                <w:color w:val="000000"/>
              </w:rPr>
              <w:t xml:space="preserve"> ar 2012.gada 1.aprīli tika izveidota veselības ministra pakļautībā esoša tiešās pārvaldes iestāde - Slimību profilakses un kontroles centrs (turpmāk - centrs). </w:t>
            </w:r>
            <w:r w:rsidRPr="005934BE">
              <w:rPr>
                <w:color w:val="000000"/>
              </w:rPr>
              <w:t xml:space="preserve">Funkcijas un uzdevumi, kas saistīti ar sabiedrības veselību, slimību profilaksi un kontroli, kā arī epidemioloģisko drošību no Latvijas Infektoloģijas centra tika nodotas </w:t>
            </w:r>
            <w:r w:rsidR="00633F37" w:rsidRPr="005934BE">
              <w:rPr>
                <w:color w:val="000000"/>
              </w:rPr>
              <w:t>centram, lai optimizētu un centralizētu (apvienotu) iestāžu funkcijas.</w:t>
            </w:r>
          </w:p>
          <w:p w:rsidR="008910E9" w:rsidRPr="005934BE" w:rsidRDefault="00633F37" w:rsidP="008910E9">
            <w:pPr>
              <w:pStyle w:val="tvhtml"/>
              <w:spacing w:before="0" w:beforeAutospacing="0" w:after="0" w:afterAutospacing="0"/>
              <w:jc w:val="both"/>
              <w:rPr>
                <w:rFonts w:ascii="Times New Roman" w:hAnsi="Times New Roman"/>
                <w:color w:val="000000"/>
                <w:sz w:val="24"/>
                <w:szCs w:val="24"/>
                <w:lang w:val="lv-LV"/>
              </w:rPr>
            </w:pPr>
            <w:r w:rsidRPr="005934BE">
              <w:rPr>
                <w:rFonts w:ascii="Times New Roman" w:hAnsi="Times New Roman"/>
                <w:color w:val="000000"/>
                <w:sz w:val="24"/>
                <w:szCs w:val="24"/>
                <w:lang w:val="lv-LV"/>
              </w:rPr>
              <w:t xml:space="preserve">Saskaņā ar </w:t>
            </w:r>
            <w:r w:rsidR="008910E9" w:rsidRPr="005934BE">
              <w:rPr>
                <w:rFonts w:ascii="Times New Roman" w:hAnsi="Times New Roman"/>
                <w:sz w:val="24"/>
                <w:szCs w:val="24"/>
                <w:lang w:val="lv-LV"/>
              </w:rPr>
              <w:t>Ministru kabineta 2012.gada 3.aprīļa noteikumu Nr.241 „Slimību profilakses un kontroles centra nolikums”</w:t>
            </w:r>
            <w:r w:rsidR="00DA1109" w:rsidRPr="005934BE">
              <w:rPr>
                <w:rFonts w:ascii="Times New Roman" w:hAnsi="Times New Roman"/>
                <w:sz w:val="24"/>
                <w:szCs w:val="24"/>
                <w:lang w:val="lv-LV"/>
              </w:rPr>
              <w:t xml:space="preserve"> (turpmāk – centra nolikums)</w:t>
            </w:r>
            <w:r w:rsidR="008910E9" w:rsidRPr="005934BE">
              <w:rPr>
                <w:rFonts w:ascii="Times New Roman" w:hAnsi="Times New Roman"/>
                <w:sz w:val="24"/>
                <w:szCs w:val="24"/>
                <w:lang w:val="lv-LV"/>
              </w:rPr>
              <w:t xml:space="preserve"> 2. </w:t>
            </w:r>
            <w:r w:rsidR="003842CF" w:rsidRPr="005934BE">
              <w:rPr>
                <w:rFonts w:ascii="Times New Roman" w:hAnsi="Times New Roman"/>
                <w:sz w:val="24"/>
                <w:szCs w:val="24"/>
                <w:lang w:val="lv-LV"/>
              </w:rPr>
              <w:t>p</w:t>
            </w:r>
            <w:r w:rsidR="008910E9" w:rsidRPr="005934BE">
              <w:rPr>
                <w:rFonts w:ascii="Times New Roman" w:hAnsi="Times New Roman"/>
                <w:sz w:val="24"/>
                <w:szCs w:val="24"/>
                <w:lang w:val="lv-LV"/>
              </w:rPr>
              <w:t>unktu</w:t>
            </w:r>
            <w:r w:rsidR="003842CF" w:rsidRPr="005934BE">
              <w:rPr>
                <w:rFonts w:ascii="Times New Roman" w:hAnsi="Times New Roman"/>
                <w:sz w:val="24"/>
                <w:szCs w:val="24"/>
                <w:lang w:val="lv-LV"/>
              </w:rPr>
              <w:t xml:space="preserve"> centrs</w:t>
            </w:r>
            <w:r w:rsidR="008910E9" w:rsidRPr="005934BE">
              <w:rPr>
                <w:rFonts w:ascii="Times New Roman" w:hAnsi="Times New Roman"/>
                <w:color w:val="000000"/>
                <w:sz w:val="24"/>
                <w:szCs w:val="24"/>
                <w:lang w:val="lv-LV"/>
              </w:rPr>
              <w:t xml:space="preserve"> ir atbildīgs par sabiedrības veselības politikas īstenošanu valstī epidemioloģiskās drošības un slimību profilakses </w:t>
            </w:r>
            <w:proofErr w:type="spellStart"/>
            <w:r w:rsidR="008910E9" w:rsidRPr="005934BE">
              <w:rPr>
                <w:rFonts w:ascii="Times New Roman" w:hAnsi="Times New Roman"/>
                <w:color w:val="000000"/>
                <w:sz w:val="24"/>
                <w:szCs w:val="24"/>
                <w:lang w:val="lv-LV"/>
              </w:rPr>
              <w:t>apakšjomās</w:t>
            </w:r>
            <w:proofErr w:type="spellEnd"/>
            <w:r w:rsidR="008910E9" w:rsidRPr="005934BE">
              <w:rPr>
                <w:rFonts w:ascii="Times New Roman" w:hAnsi="Times New Roman"/>
                <w:color w:val="000000"/>
                <w:sz w:val="24"/>
                <w:szCs w:val="24"/>
                <w:lang w:val="lv-LV"/>
              </w:rPr>
              <w:t>. Savukārt saskaņā ar Ministru kabineta</w:t>
            </w:r>
            <w:r w:rsidR="000B483A" w:rsidRPr="005934BE">
              <w:rPr>
                <w:rFonts w:ascii="Times New Roman" w:hAnsi="Times New Roman"/>
                <w:color w:val="000000"/>
                <w:sz w:val="24"/>
                <w:szCs w:val="24"/>
                <w:lang w:val="lv-LV"/>
              </w:rPr>
              <w:t xml:space="preserve"> 2004.gada 13.aprīļa noteikumu</w:t>
            </w:r>
            <w:r w:rsidR="008910E9" w:rsidRPr="005934BE">
              <w:rPr>
                <w:rFonts w:ascii="Times New Roman" w:hAnsi="Times New Roman"/>
                <w:color w:val="000000"/>
                <w:sz w:val="24"/>
                <w:szCs w:val="24"/>
                <w:lang w:val="lv-LV"/>
              </w:rPr>
              <w:t xml:space="preserve"> Nr.286 „Veselības ministrijas nolikums” (turpmāk –</w:t>
            </w:r>
            <w:r w:rsidR="003842CF" w:rsidRPr="005934BE">
              <w:rPr>
                <w:rFonts w:ascii="Times New Roman" w:hAnsi="Times New Roman"/>
                <w:color w:val="000000"/>
                <w:sz w:val="24"/>
                <w:szCs w:val="24"/>
                <w:lang w:val="lv-LV"/>
              </w:rPr>
              <w:t xml:space="preserve"> ministrijas </w:t>
            </w:r>
            <w:r w:rsidR="008910E9" w:rsidRPr="005934BE">
              <w:rPr>
                <w:rFonts w:ascii="Times New Roman" w:hAnsi="Times New Roman"/>
                <w:color w:val="000000"/>
                <w:sz w:val="24"/>
                <w:szCs w:val="24"/>
                <w:lang w:val="lv-LV"/>
              </w:rPr>
              <w:t xml:space="preserve">nolikums) </w:t>
            </w:r>
            <w:r w:rsidR="000B483A" w:rsidRPr="005934BE">
              <w:rPr>
                <w:rFonts w:ascii="Times New Roman" w:hAnsi="Times New Roman"/>
                <w:color w:val="000000"/>
                <w:sz w:val="24"/>
                <w:szCs w:val="24"/>
                <w:lang w:val="lv-LV"/>
              </w:rPr>
              <w:t xml:space="preserve">5.1.1. apakšpunktu </w:t>
            </w:r>
            <w:r w:rsidR="008910E9" w:rsidRPr="005934BE">
              <w:rPr>
                <w:rFonts w:ascii="Times New Roman" w:hAnsi="Times New Roman"/>
                <w:color w:val="000000"/>
                <w:sz w:val="24"/>
                <w:szCs w:val="24"/>
                <w:lang w:val="lv-LV"/>
              </w:rPr>
              <w:t xml:space="preserve">Veselības ministrija (turpmāk – ministrija) izstrādā un īsteno valsts politiku veselības veicināšanas </w:t>
            </w:r>
            <w:proofErr w:type="spellStart"/>
            <w:r w:rsidR="008910E9" w:rsidRPr="005934BE">
              <w:rPr>
                <w:rFonts w:ascii="Times New Roman" w:hAnsi="Times New Roman"/>
                <w:color w:val="000000"/>
                <w:sz w:val="24"/>
                <w:szCs w:val="24"/>
                <w:lang w:val="lv-LV"/>
              </w:rPr>
              <w:t>apakšjomā</w:t>
            </w:r>
            <w:proofErr w:type="spellEnd"/>
            <w:r w:rsidR="000B483A" w:rsidRPr="005934BE">
              <w:rPr>
                <w:rFonts w:ascii="Times New Roman" w:hAnsi="Times New Roman"/>
                <w:color w:val="000000"/>
                <w:sz w:val="24"/>
                <w:szCs w:val="24"/>
                <w:lang w:val="lv-LV"/>
              </w:rPr>
              <w:t xml:space="preserve">. </w:t>
            </w:r>
            <w:r w:rsidR="004D2CA1">
              <w:rPr>
                <w:rFonts w:ascii="Times New Roman" w:hAnsi="Times New Roman"/>
                <w:color w:val="000000"/>
                <w:sz w:val="24"/>
                <w:szCs w:val="24"/>
                <w:lang w:val="lv-LV"/>
              </w:rPr>
              <w:t>S</w:t>
            </w:r>
            <w:r w:rsidR="000B483A" w:rsidRPr="005934BE">
              <w:rPr>
                <w:rFonts w:ascii="Times New Roman" w:hAnsi="Times New Roman"/>
                <w:color w:val="000000"/>
                <w:sz w:val="24"/>
                <w:szCs w:val="24"/>
                <w:lang w:val="lv-LV"/>
              </w:rPr>
              <w:t xml:space="preserve">askaņā </w:t>
            </w:r>
            <w:r w:rsidR="00123792">
              <w:rPr>
                <w:rFonts w:ascii="Times New Roman" w:hAnsi="Times New Roman"/>
                <w:color w:val="000000"/>
                <w:sz w:val="24"/>
                <w:szCs w:val="24"/>
                <w:lang w:val="lv-LV"/>
              </w:rPr>
              <w:t xml:space="preserve">ar </w:t>
            </w:r>
            <w:r w:rsidR="000B483A" w:rsidRPr="005934BE">
              <w:rPr>
                <w:rFonts w:ascii="Times New Roman" w:hAnsi="Times New Roman"/>
                <w:color w:val="000000"/>
                <w:sz w:val="24"/>
                <w:szCs w:val="24"/>
                <w:lang w:val="lv-LV"/>
              </w:rPr>
              <w:t xml:space="preserve">ministrijas nolikuma 5.1.7. un 5.1.10. </w:t>
            </w:r>
            <w:r w:rsidR="00BB25C6" w:rsidRPr="005934BE">
              <w:rPr>
                <w:rFonts w:ascii="Times New Roman" w:hAnsi="Times New Roman"/>
                <w:color w:val="000000"/>
                <w:sz w:val="24"/>
                <w:szCs w:val="24"/>
                <w:lang w:val="lv-LV"/>
              </w:rPr>
              <w:t>apakšpunktu</w:t>
            </w:r>
            <w:r w:rsidR="000B483A" w:rsidRPr="005934BE">
              <w:rPr>
                <w:rFonts w:ascii="Times New Roman" w:hAnsi="Times New Roman"/>
                <w:color w:val="000000"/>
                <w:sz w:val="24"/>
                <w:szCs w:val="24"/>
                <w:lang w:val="lv-LV"/>
              </w:rPr>
              <w:t xml:space="preserve"> ministrija</w:t>
            </w:r>
            <w:r w:rsidR="004D2CA1">
              <w:rPr>
                <w:rFonts w:ascii="Times New Roman" w:hAnsi="Times New Roman"/>
                <w:color w:val="000000"/>
                <w:sz w:val="24"/>
                <w:szCs w:val="24"/>
                <w:lang w:val="lv-LV"/>
              </w:rPr>
              <w:t xml:space="preserve"> </w:t>
            </w:r>
            <w:r w:rsidR="008910E9" w:rsidRPr="005934BE">
              <w:rPr>
                <w:rFonts w:ascii="Times New Roman" w:hAnsi="Times New Roman"/>
                <w:color w:val="000000"/>
                <w:sz w:val="24"/>
                <w:szCs w:val="24"/>
                <w:lang w:val="lv-LV"/>
              </w:rPr>
              <w:t xml:space="preserve">valsts un reģionālā līmenī uzrauga un koordinē veselības veicināšanas pasākumu īstenošanu, izglīto sabiedrības grupas jautājumos, kas ietekmē veselību un veselīgu dzīvesveidu, sagatavo informāciju un izstrādā ieteikumus valsts un pašvaldību institūcijām, nevalstiskajām organizācijām, citām juridiskām un fiziskām personām jautājumos, kas saistīti ar </w:t>
            </w:r>
            <w:r w:rsidR="008910E9" w:rsidRPr="005934BE">
              <w:rPr>
                <w:rFonts w:ascii="Times New Roman" w:hAnsi="Times New Roman"/>
                <w:color w:val="000000"/>
                <w:sz w:val="24"/>
                <w:szCs w:val="24"/>
                <w:lang w:val="lv-LV"/>
              </w:rPr>
              <w:lastRenderedPageBreak/>
              <w:t xml:space="preserve">veselības veicināšanu. </w:t>
            </w:r>
          </w:p>
          <w:p w:rsidR="008910E9" w:rsidRPr="005934BE" w:rsidRDefault="008910E9" w:rsidP="00135306">
            <w:pPr>
              <w:pStyle w:val="tvhtml"/>
              <w:spacing w:before="0" w:beforeAutospacing="0" w:after="0" w:afterAutospacing="0"/>
              <w:jc w:val="both"/>
              <w:rPr>
                <w:rFonts w:ascii="Times New Roman" w:hAnsi="Times New Roman"/>
                <w:color w:val="000000"/>
                <w:sz w:val="24"/>
                <w:szCs w:val="24"/>
                <w:lang w:val="lv-LV"/>
              </w:rPr>
            </w:pPr>
            <w:r w:rsidRPr="005934BE">
              <w:rPr>
                <w:rFonts w:ascii="Times New Roman" w:hAnsi="Times New Roman"/>
                <w:color w:val="000000"/>
                <w:sz w:val="24"/>
                <w:szCs w:val="24"/>
                <w:lang w:val="lv-LV"/>
              </w:rPr>
              <w:t xml:space="preserve">Pēc būtības ministrija nodarbojas ar nozares vadošai iestādei neraksturīgām funkcijām un uzdevumiem - veselības veicināšanas politikas īstenošanu, veselību veicinošu pasākumu organizēšanu, izglītojošu materiālu izstrādāšanu un informācijas izplatīšanu dažādām mērķa grupām par veselīga dzīvesveida jautājumiem un veselības veicināšanas pasākumu koordinēšanu pašvaldībās, kas pēc būtības būtu </w:t>
            </w:r>
            <w:r w:rsidR="000B483A" w:rsidRPr="005934BE">
              <w:rPr>
                <w:rFonts w:ascii="Times New Roman" w:hAnsi="Times New Roman"/>
                <w:color w:val="000000"/>
                <w:sz w:val="24"/>
                <w:szCs w:val="24"/>
                <w:lang w:val="lv-LV"/>
              </w:rPr>
              <w:t xml:space="preserve">centra </w:t>
            </w:r>
            <w:r w:rsidRPr="005934BE">
              <w:rPr>
                <w:rFonts w:ascii="Times New Roman" w:hAnsi="Times New Roman"/>
                <w:color w:val="000000"/>
                <w:sz w:val="24"/>
                <w:szCs w:val="24"/>
                <w:lang w:val="lv-LV"/>
              </w:rPr>
              <w:t xml:space="preserve">uzdevumi. </w:t>
            </w:r>
          </w:p>
          <w:p w:rsidR="008910E9" w:rsidRPr="005934BE" w:rsidRDefault="008910E9" w:rsidP="00135306">
            <w:pPr>
              <w:widowControl w:val="0"/>
              <w:autoSpaceDE w:val="0"/>
              <w:autoSpaceDN w:val="0"/>
              <w:adjustRightInd w:val="0"/>
              <w:jc w:val="both"/>
              <w:rPr>
                <w:color w:val="000000"/>
              </w:rPr>
            </w:pPr>
            <w:r w:rsidRPr="005934BE">
              <w:rPr>
                <w:color w:val="000000"/>
              </w:rPr>
              <w:t>2011.gadā ministrijā notika veselības veicināšanas sistēmas audits, kura rezultātā ministrijas Audita un kvalitātes nodaļa konstatēja, ka veselības veicināšanas funkcija un uzdevumi, ņemot vērā esošos sistēmu un reformas,</w:t>
            </w:r>
            <w:r w:rsidR="000B483A" w:rsidRPr="005934BE">
              <w:rPr>
                <w:color w:val="000000"/>
              </w:rPr>
              <w:t xml:space="preserve"> ministrijā netiek veikti</w:t>
            </w:r>
            <w:r w:rsidRPr="005934BE">
              <w:rPr>
                <w:color w:val="000000"/>
              </w:rPr>
              <w:t xml:space="preserve"> pilnā apjomā un ir nepieciešami uzlabojumi.</w:t>
            </w:r>
          </w:p>
          <w:p w:rsidR="0026799B" w:rsidRPr="005934BE" w:rsidRDefault="008910E9" w:rsidP="00135306">
            <w:pPr>
              <w:widowControl w:val="0"/>
              <w:autoSpaceDE w:val="0"/>
              <w:autoSpaceDN w:val="0"/>
              <w:adjustRightInd w:val="0"/>
              <w:jc w:val="both"/>
              <w:rPr>
                <w:color w:val="000000"/>
              </w:rPr>
            </w:pPr>
            <w:r w:rsidRPr="005934BE">
              <w:rPr>
                <w:color w:val="000000"/>
              </w:rPr>
              <w:t xml:space="preserve">2011. gadā </w:t>
            </w:r>
            <w:r w:rsidR="000B483A" w:rsidRPr="005934BE">
              <w:rPr>
                <w:color w:val="000000"/>
              </w:rPr>
              <w:t xml:space="preserve">ministrijā </w:t>
            </w:r>
            <w:r w:rsidRPr="005934BE">
              <w:rPr>
                <w:color w:val="000000"/>
              </w:rPr>
              <w:t xml:space="preserve">notika arī ārējs funkciju audits sabiedrības veselības jomā - </w:t>
            </w:r>
            <w:r w:rsidRPr="005934BE">
              <w:rPr>
                <w:iCs/>
                <w:color w:val="000000"/>
              </w:rPr>
              <w:t>Pasaules Veselības organizācijas un Apvienoto Nāciju organizācijas Narkotiku un noziedzības biroja (UNODC) ekspertu iesniegtais novērtējuma ziņojums „</w:t>
            </w:r>
            <w:proofErr w:type="spellStart"/>
            <w:r w:rsidRPr="005934BE">
              <w:rPr>
                <w:iCs/>
                <w:color w:val="000000"/>
              </w:rPr>
              <w:t>Mid-term</w:t>
            </w:r>
            <w:proofErr w:type="spellEnd"/>
            <w:r w:rsidRPr="005934BE">
              <w:rPr>
                <w:iCs/>
                <w:color w:val="000000"/>
              </w:rPr>
              <w:t xml:space="preserve"> </w:t>
            </w:r>
            <w:proofErr w:type="spellStart"/>
            <w:r w:rsidRPr="005934BE">
              <w:rPr>
                <w:iCs/>
                <w:color w:val="000000"/>
              </w:rPr>
              <w:t>Evaluation</w:t>
            </w:r>
            <w:proofErr w:type="spellEnd"/>
            <w:r w:rsidRPr="005934BE">
              <w:rPr>
                <w:iCs/>
                <w:color w:val="000000"/>
              </w:rPr>
              <w:t xml:space="preserve"> </w:t>
            </w:r>
            <w:proofErr w:type="spellStart"/>
            <w:r w:rsidRPr="005934BE">
              <w:rPr>
                <w:iCs/>
                <w:color w:val="000000"/>
              </w:rPr>
              <w:t>of</w:t>
            </w:r>
            <w:proofErr w:type="spellEnd"/>
            <w:r w:rsidRPr="005934BE">
              <w:rPr>
                <w:iCs/>
                <w:color w:val="000000"/>
              </w:rPr>
              <w:t xml:space="preserve"> </w:t>
            </w:r>
            <w:proofErr w:type="spellStart"/>
            <w:r w:rsidRPr="005934BE">
              <w:rPr>
                <w:iCs/>
                <w:color w:val="000000"/>
              </w:rPr>
              <w:t>the</w:t>
            </w:r>
            <w:proofErr w:type="spellEnd"/>
            <w:r w:rsidRPr="005934BE">
              <w:rPr>
                <w:iCs/>
                <w:color w:val="000000"/>
              </w:rPr>
              <w:t xml:space="preserve"> </w:t>
            </w:r>
            <w:proofErr w:type="spellStart"/>
            <w:r w:rsidRPr="005934BE">
              <w:rPr>
                <w:iCs/>
                <w:color w:val="000000"/>
              </w:rPr>
              <w:t>Latvian</w:t>
            </w:r>
            <w:proofErr w:type="spellEnd"/>
            <w:r w:rsidRPr="005934BE">
              <w:rPr>
                <w:iCs/>
                <w:color w:val="000000"/>
              </w:rPr>
              <w:t xml:space="preserve"> </w:t>
            </w:r>
            <w:proofErr w:type="spellStart"/>
            <w:r w:rsidRPr="005934BE">
              <w:rPr>
                <w:iCs/>
                <w:color w:val="000000"/>
              </w:rPr>
              <w:t>National</w:t>
            </w:r>
            <w:proofErr w:type="spellEnd"/>
            <w:r w:rsidRPr="005934BE">
              <w:rPr>
                <w:iCs/>
                <w:color w:val="000000"/>
              </w:rPr>
              <w:t xml:space="preserve"> HIV </w:t>
            </w:r>
            <w:proofErr w:type="spellStart"/>
            <w:r w:rsidRPr="005934BE">
              <w:rPr>
                <w:iCs/>
                <w:color w:val="000000"/>
              </w:rPr>
              <w:t>Programme</w:t>
            </w:r>
            <w:proofErr w:type="spellEnd"/>
            <w:r w:rsidRPr="005934BE">
              <w:rPr>
                <w:iCs/>
                <w:color w:val="000000"/>
              </w:rPr>
              <w:t xml:space="preserve"> 2009-2013”. Šajā ziņojumā tika atzīts, ka </w:t>
            </w:r>
            <w:r w:rsidRPr="005934BE">
              <w:rPr>
                <w:color w:val="000000"/>
              </w:rPr>
              <w:t>sabiedrības veselības funkciju stiprināšana Latvijā ir ļoti nepieciešama, it sevišķi veselības veicināšanas un slimību profilakses jomās. Kā uzsvērts ziņojumā, veselības veicināšana ir tieši saistīta funkcija ar slimību profilaksi, un tās ietvaros iestāde</w:t>
            </w:r>
            <w:r w:rsidRPr="005934BE">
              <w:rPr>
                <w:bCs/>
                <w:color w:val="000000"/>
              </w:rPr>
              <w:t xml:space="preserve"> </w:t>
            </w:r>
            <w:r w:rsidRPr="005934BE">
              <w:rPr>
                <w:color w:val="000000"/>
              </w:rPr>
              <w:t>attīsta, novērtē, ievieš programmas veselīga dzīvesveida sekmēšanai, pielieto uz pierādījumiem balstītas zināšanas, atbalsta likumdošanas pilnveidošanu, veselības izglītību, informatīvas kampaņas (video, materiāli, brošūras u.c.), sekmē vides izmaiņas, kā arī sadarbojas ar pašvaldībām.</w:t>
            </w:r>
          </w:p>
          <w:p w:rsidR="001206AA" w:rsidRPr="005934BE" w:rsidRDefault="008910E9" w:rsidP="00135306">
            <w:pPr>
              <w:pStyle w:val="naisf"/>
              <w:spacing w:before="0" w:after="0"/>
              <w:ind w:firstLine="0"/>
              <w:rPr>
                <w:color w:val="000000"/>
              </w:rPr>
            </w:pPr>
            <w:r w:rsidRPr="005934BE">
              <w:rPr>
                <w:color w:val="000000"/>
              </w:rPr>
              <w:t xml:space="preserve">Ņemot vērā iepriekšminēto, ir nepieciešams īstenot otro etapu publiskās pārvaldes funkciju un pakalpojumu optimizēšanai un līdzīgo funkciju centralizēšanai (apvienošanai) sabiedrības veselības jomā, nododot ministrijai neraksturīgos uzdevumus, kas saistīti ar veselības veicināšanas politikas īstenošanas koordināciju </w:t>
            </w:r>
            <w:r w:rsidR="000B483A" w:rsidRPr="005934BE">
              <w:rPr>
                <w:color w:val="000000"/>
              </w:rPr>
              <w:t xml:space="preserve">centram, </w:t>
            </w:r>
            <w:r w:rsidRPr="005934BE">
              <w:rPr>
                <w:color w:val="000000"/>
              </w:rPr>
              <w:t xml:space="preserve">saglabājot ministrijas veselības veicināšanas politikas </w:t>
            </w:r>
            <w:r w:rsidR="004D2CA1">
              <w:rPr>
                <w:color w:val="000000"/>
              </w:rPr>
              <w:t xml:space="preserve">izstrādes </w:t>
            </w:r>
            <w:r w:rsidRPr="005934BE">
              <w:rPr>
                <w:color w:val="000000"/>
              </w:rPr>
              <w:t xml:space="preserve">un īstenošanas uzraudzības uzdevumu. Lai atrisinātu problēmas, uz kurām norādīts  ministrijas audita ziņojumā, gan arī starptautisko ekspertu ziņojumā sabiedrības veselības un </w:t>
            </w:r>
            <w:r w:rsidR="004146EF" w:rsidRPr="005934BE">
              <w:rPr>
                <w:color w:val="000000"/>
              </w:rPr>
              <w:t xml:space="preserve">veselības veicināšanas jomā, </w:t>
            </w:r>
            <w:r w:rsidR="0026799B" w:rsidRPr="005934BE">
              <w:rPr>
                <w:color w:val="000000"/>
              </w:rPr>
              <w:t>ministrija ir izstrādājusi Ministru kabineta</w:t>
            </w:r>
            <w:r w:rsidR="003E69A4" w:rsidRPr="005934BE">
              <w:rPr>
                <w:color w:val="000000"/>
              </w:rPr>
              <w:t xml:space="preserve"> </w:t>
            </w:r>
            <w:r w:rsidR="00890E2F" w:rsidRPr="005934BE">
              <w:t>noteikumu projektu</w:t>
            </w:r>
            <w:r w:rsidR="0026799B" w:rsidRPr="005934BE">
              <w:rPr>
                <w:color w:val="000000"/>
              </w:rPr>
              <w:t xml:space="preserve"> </w:t>
            </w:r>
            <w:r w:rsidR="0026799B" w:rsidRPr="005934BE">
              <w:t>„Grozījumi Ministru kabineta 2012.gada 3.aprīļa noteikumu Nr.241 „Slimību profilakses</w:t>
            </w:r>
            <w:r w:rsidR="003E69A4" w:rsidRPr="005934BE">
              <w:t xml:space="preserve"> un kontroles centra nolikums””</w:t>
            </w:r>
            <w:r w:rsidR="0026799B" w:rsidRPr="005934BE">
              <w:t xml:space="preserve">, kas 2012.gada 16.augustā tika </w:t>
            </w:r>
            <w:r w:rsidR="00B57266" w:rsidRPr="005934BE">
              <w:t xml:space="preserve">izsludināts </w:t>
            </w:r>
            <w:r w:rsidR="003E69A4" w:rsidRPr="005934BE">
              <w:t>Valsts sekretāru sanāksmē</w:t>
            </w:r>
            <w:r w:rsidR="0026799B" w:rsidRPr="005934BE">
              <w:t xml:space="preserve"> (VSS</w:t>
            </w:r>
            <w:r w:rsidR="00652710" w:rsidRPr="005934BE">
              <w:t xml:space="preserve"> </w:t>
            </w:r>
            <w:r w:rsidR="0026799B" w:rsidRPr="005934BE">
              <w:t>–</w:t>
            </w:r>
            <w:r w:rsidR="00652710" w:rsidRPr="005934BE">
              <w:t xml:space="preserve"> </w:t>
            </w:r>
            <w:r w:rsidR="0026799B" w:rsidRPr="005934BE">
              <w:t xml:space="preserve">815 </w:t>
            </w:r>
            <w:r w:rsidR="004146EF" w:rsidRPr="005934BE">
              <w:t xml:space="preserve">prot. </w:t>
            </w:r>
            <w:r w:rsidR="0026799B" w:rsidRPr="005934BE">
              <w:t>Nr. 33 13. §).</w:t>
            </w:r>
            <w:r w:rsidR="002A6667">
              <w:t xml:space="preserve"> Ņemot vērā</w:t>
            </w:r>
            <w:r w:rsidR="004146EF" w:rsidRPr="005934BE">
              <w:t xml:space="preserve">, ka </w:t>
            </w:r>
            <w:r w:rsidR="004146EF" w:rsidRPr="005934BE">
              <w:rPr>
                <w:color w:val="000000"/>
              </w:rPr>
              <w:t>Ministru kabineta</w:t>
            </w:r>
            <w:r w:rsidR="003E69A4" w:rsidRPr="005934BE">
              <w:rPr>
                <w:color w:val="000000"/>
              </w:rPr>
              <w:t xml:space="preserve"> noteikumu projektā</w:t>
            </w:r>
            <w:r w:rsidR="004146EF" w:rsidRPr="005934BE">
              <w:rPr>
                <w:color w:val="000000"/>
              </w:rPr>
              <w:t xml:space="preserve"> </w:t>
            </w:r>
            <w:r w:rsidR="004146EF" w:rsidRPr="005934BE">
              <w:t>„Grozījumi Ministru kabineta 2012.gada 3.aprīļa noteikumu Nr.241 „Slimību profilakses un kontr</w:t>
            </w:r>
            <w:r w:rsidR="003E69A4" w:rsidRPr="005934BE">
              <w:t xml:space="preserve">oles centra nolikums”” </w:t>
            </w:r>
            <w:r w:rsidR="004146EF" w:rsidRPr="005934BE">
              <w:t xml:space="preserve"> uzdevumi, kas saistīti ar veselības veicināšanas pol</w:t>
            </w:r>
            <w:r w:rsidR="004F0DB1" w:rsidRPr="005934BE">
              <w:t xml:space="preserve">itikas </w:t>
            </w:r>
            <w:r w:rsidR="004F0DB1" w:rsidRPr="005934BE">
              <w:lastRenderedPageBreak/>
              <w:t xml:space="preserve">īstenošanas koordināciju </w:t>
            </w:r>
            <w:r w:rsidR="004146EF" w:rsidRPr="005934BE">
              <w:t>ar 2013.gada 1.janvāri tiek nodoti</w:t>
            </w:r>
            <w:r w:rsidR="0020539C" w:rsidRPr="005934BE">
              <w:t xml:space="preserve"> centram</w:t>
            </w:r>
            <w:r w:rsidR="004146EF" w:rsidRPr="005934BE">
              <w:t xml:space="preserve">, ir nepieciešams veikt grozījumus </w:t>
            </w:r>
            <w:r w:rsidR="0020539C" w:rsidRPr="005934BE">
              <w:t xml:space="preserve">ministrijas </w:t>
            </w:r>
            <w:r w:rsidR="004146EF" w:rsidRPr="005934BE">
              <w:t xml:space="preserve">nolikumā, lai </w:t>
            </w:r>
            <w:r w:rsidRPr="005934BE">
              <w:rPr>
                <w:color w:val="000000"/>
              </w:rPr>
              <w:t xml:space="preserve">precizētu </w:t>
            </w:r>
            <w:r w:rsidR="004146EF" w:rsidRPr="005934BE">
              <w:rPr>
                <w:color w:val="000000"/>
              </w:rPr>
              <w:t xml:space="preserve">ministrijas </w:t>
            </w:r>
            <w:r w:rsidRPr="005934BE">
              <w:rPr>
                <w:color w:val="000000"/>
              </w:rPr>
              <w:t xml:space="preserve">uzdevumus veselības veicināšanas politikas </w:t>
            </w:r>
            <w:r w:rsidR="004146EF" w:rsidRPr="005934BE">
              <w:rPr>
                <w:color w:val="000000"/>
              </w:rPr>
              <w:t>jomā un svītrotu tos ar veselības veicināšanas politiku saistītos uzdevumus, kas tiks nodoti</w:t>
            </w:r>
            <w:r w:rsidR="0020539C" w:rsidRPr="005934BE">
              <w:rPr>
                <w:color w:val="000000"/>
              </w:rPr>
              <w:t xml:space="preserve"> centram</w:t>
            </w:r>
            <w:r w:rsidR="004146EF" w:rsidRPr="005934BE">
              <w:rPr>
                <w:color w:val="000000"/>
              </w:rPr>
              <w:t>.</w:t>
            </w:r>
            <w:r w:rsidR="00306169" w:rsidRPr="005934BE">
              <w:rPr>
                <w:color w:val="000000" w:themeColor="text1"/>
              </w:rPr>
              <w:t xml:space="preserve"> </w:t>
            </w:r>
          </w:p>
          <w:p w:rsidR="004A3BDB" w:rsidRPr="00310299" w:rsidRDefault="00297430" w:rsidP="006D6CB8">
            <w:pPr>
              <w:widowControl w:val="0"/>
              <w:autoSpaceDE w:val="0"/>
              <w:autoSpaceDN w:val="0"/>
              <w:adjustRightInd w:val="0"/>
              <w:jc w:val="both"/>
            </w:pPr>
            <w:r w:rsidRPr="00310299">
              <w:t xml:space="preserve">Saskaņā ar </w:t>
            </w:r>
            <w:r w:rsidR="002F370D" w:rsidRPr="00310299">
              <w:t>ministrijas nolikumu</w:t>
            </w:r>
            <w:r w:rsidR="00D95126" w:rsidRPr="00310299">
              <w:t>,</w:t>
            </w:r>
            <w:r w:rsidRPr="00310299">
              <w:t xml:space="preserve"> ministrija gan izstrādā valsts politiku epidemioloģiskās drošības un vides veselības jomā (nolikuma 5</w:t>
            </w:r>
            <w:r w:rsidR="001E3332" w:rsidRPr="00310299">
              <w:t xml:space="preserve">.1.1. apakšpunkts), gan pārrauga peldvietu un peldūdeņu monitoringu (nolikuma 5.1.3. apakšpunkts), </w:t>
            </w:r>
            <w:r w:rsidR="00617FE0" w:rsidRPr="00310299">
              <w:t xml:space="preserve">gan arī </w:t>
            </w:r>
            <w:r w:rsidRPr="00310299">
              <w:t>nodrošina valsts kontroli un uzraudzību epidemioloģiskās drošības, vides higiēnas, ķīmisko vielu un ķīmisko produktu tirdzniecības un lietošanas un kosmētikas līdzekļu drošuma jomā, kā arī nodrošina dzeramā ūdens obligāto nekaitīguma un kvalitātes prasību kontroli un monitoringu publiskajā dzeramā ūdens apgādes sist</w:t>
            </w:r>
            <w:r w:rsidR="00E07E52" w:rsidRPr="00310299">
              <w:t>ēmā (</w:t>
            </w:r>
            <w:r w:rsidR="00617FE0" w:rsidRPr="00310299">
              <w:t xml:space="preserve">nolikuma </w:t>
            </w:r>
            <w:r w:rsidR="00E07E52" w:rsidRPr="00310299">
              <w:t xml:space="preserve">5.1.6. </w:t>
            </w:r>
            <w:r w:rsidR="00617FE0" w:rsidRPr="00310299">
              <w:t xml:space="preserve">apakšpunkts). </w:t>
            </w:r>
            <w:r w:rsidRPr="00310299">
              <w:t xml:space="preserve">Tomēr saskaņā ar </w:t>
            </w:r>
            <w:r w:rsidR="006D6CB8" w:rsidRPr="00310299">
              <w:rPr>
                <w:color w:val="000000"/>
              </w:rPr>
              <w:t xml:space="preserve">Pārtikas aprites un uzraudzības likuma 19.panta 4. </w:t>
            </w:r>
            <w:r w:rsidR="00853BCD" w:rsidRPr="00310299">
              <w:rPr>
                <w:color w:val="000000"/>
              </w:rPr>
              <w:t>d</w:t>
            </w:r>
            <w:r w:rsidR="006D6CB8" w:rsidRPr="00310299">
              <w:rPr>
                <w:color w:val="000000"/>
              </w:rPr>
              <w:t xml:space="preserve">aļu, </w:t>
            </w:r>
            <w:r w:rsidR="00853BCD" w:rsidRPr="00310299">
              <w:rPr>
                <w:color w:val="000000"/>
              </w:rPr>
              <w:t xml:space="preserve">ar </w:t>
            </w:r>
            <w:r w:rsidR="00853BCD" w:rsidRPr="00310299">
              <w:rPr>
                <w:bCs/>
              </w:rPr>
              <w:t>2008.gada 5.februāra Ministru kabineta noteikumu Nr.76</w:t>
            </w:r>
            <w:r w:rsidR="00853BCD" w:rsidRPr="00310299">
              <w:t xml:space="preserve"> „Veselības inspekci</w:t>
            </w:r>
            <w:r w:rsidR="005528B7" w:rsidRPr="00310299">
              <w:t xml:space="preserve">jas nolikums” 3.13. apakšpunktu un </w:t>
            </w:r>
            <w:r w:rsidR="00853BCD" w:rsidRPr="00310299">
              <w:t xml:space="preserve">ar </w:t>
            </w:r>
            <w:r w:rsidR="006D6CB8" w:rsidRPr="00310299">
              <w:t xml:space="preserve">2003.gada 29.aprīļa </w:t>
            </w:r>
            <w:r w:rsidR="008950A1" w:rsidRPr="00310299">
              <w:rPr>
                <w:bCs/>
              </w:rPr>
              <w:t>Ministru kabineta noteikumu</w:t>
            </w:r>
            <w:r w:rsidR="006D6CB8" w:rsidRPr="00310299">
              <w:rPr>
                <w:bCs/>
              </w:rPr>
              <w:t xml:space="preserve"> Nr.235</w:t>
            </w:r>
            <w:r w:rsidR="006D6CB8" w:rsidRPr="00310299">
              <w:t xml:space="preserve"> „Dzeramā ūdens obligātās nekaitīguma un kvalitātes prasības, monitoringa un kontroles kārtība” 3.punktu</w:t>
            </w:r>
            <w:r w:rsidR="006D6CB8" w:rsidRPr="00310299">
              <w:rPr>
                <w:color w:val="000000"/>
              </w:rPr>
              <w:t>,</w:t>
            </w:r>
            <w:r w:rsidR="005528B7" w:rsidRPr="00310299">
              <w:t xml:space="preserve"> Veselības inspekcija (turpmāk – inspekcija) </w:t>
            </w:r>
            <w:r w:rsidR="006D6CB8" w:rsidRPr="00310299">
              <w:t xml:space="preserve">kontrolē dzeramā ūdens nekaitīguma nodrošināšanas prasību izpildi publiskajos dzeramā ūdens apgādes objektos no ūdens ņemšanas vietas līdz patērētājam, </w:t>
            </w:r>
            <w:r w:rsidR="005528B7" w:rsidRPr="00310299">
              <w:t>kā arī kontrolē</w:t>
            </w:r>
            <w:r w:rsidR="00F87B7A" w:rsidRPr="00310299">
              <w:t xml:space="preserve"> dzeramā ūdens ņemšanas vietu aizsardzības prasību iz</w:t>
            </w:r>
            <w:r w:rsidR="00853BCD" w:rsidRPr="00310299">
              <w:t>pildi un pārrauga dzeramā ūdens monitoringu.</w:t>
            </w:r>
            <w:r w:rsidR="005528B7" w:rsidRPr="00310299">
              <w:t xml:space="preserve"> </w:t>
            </w:r>
            <w:r w:rsidR="000A51D0" w:rsidRPr="00310299">
              <w:t>Ņemot vērā iepriekšminētos normatīvos aktus, esošā ministrijas nolikuma 5.1.3. un 5.1.6. apakšpunktu</w:t>
            </w:r>
            <w:r w:rsidR="005528B7" w:rsidRPr="00310299">
              <w:t xml:space="preserve"> </w:t>
            </w:r>
            <w:r w:rsidR="000A51D0" w:rsidRPr="00310299">
              <w:t>redakcija</w:t>
            </w:r>
            <w:r w:rsidR="005528B7" w:rsidRPr="00310299">
              <w:t xml:space="preserve"> neprecīzi un neskaidri nosaka </w:t>
            </w:r>
            <w:r w:rsidR="000A51D0" w:rsidRPr="00310299">
              <w:t xml:space="preserve">kompetences un uzdevumu sadalījumu </w:t>
            </w:r>
            <w:r w:rsidR="004D2CA1">
              <w:t>starp ministriju un</w:t>
            </w:r>
            <w:r w:rsidR="000A51D0" w:rsidRPr="00310299">
              <w:t xml:space="preserve"> inspekciju </w:t>
            </w:r>
            <w:r w:rsidR="005528B7" w:rsidRPr="00310299">
              <w:t>epidemioloģiskās drošības un vides veselības jomā (tai skaitā dzeramā ūdens un peldvietu ūden</w:t>
            </w:r>
            <w:r w:rsidR="000A51D0" w:rsidRPr="00310299">
              <w:t>s monitoringa uzraudzības jomā).</w:t>
            </w:r>
            <w:r w:rsidR="005528B7" w:rsidRPr="00310299">
              <w:t xml:space="preserve"> Pie </w:t>
            </w:r>
            <w:r w:rsidR="008950A1" w:rsidRPr="00310299">
              <w:t xml:space="preserve">tam </w:t>
            </w:r>
            <w:r w:rsidR="000A51D0" w:rsidRPr="00310299">
              <w:t xml:space="preserve">ministrijas nolikuma 5.1.6. apakšpunktā minētais uzdevums nav terminoloģiski precīzi formulēts </w:t>
            </w:r>
            <w:r w:rsidR="005528B7" w:rsidRPr="00310299">
              <w:t xml:space="preserve">atbilstoši aktuālām normatīvo aktu redakcijām - </w:t>
            </w:r>
            <w:r w:rsidR="005528B7" w:rsidRPr="00310299">
              <w:rPr>
                <w:color w:val="000000"/>
              </w:rPr>
              <w:t>Ķīmisko vielu likumam, kurā termins „ķīmiskie produkti” aizstāts ar terminu „ķīmiskie maisījumi”, kā arī atbilstoši 2010. gada 6. jūlija Ministru kabineta noteikumiem Nr.608 „</w:t>
            </w:r>
            <w:r w:rsidR="005528B7" w:rsidRPr="00310299">
              <w:t>Noteikumi par peldvietu ūdens monitoringu, kvalitātes nodrošināšanu un prasībām sabiedrības informēšanai”, kas nosaka ministrijas un inspekcijas kompetenci peldvietu ūdens monitoringa nodrošināšanā un uzraudzībā.</w:t>
            </w:r>
            <w:r w:rsidR="008950A1" w:rsidRPr="00310299">
              <w:t xml:space="preserve"> Lai p</w:t>
            </w:r>
            <w:r w:rsidR="002A6667">
              <w:t>recizētu ministrijas kompetenci</w:t>
            </w:r>
            <w:r w:rsidR="008950A1" w:rsidRPr="00310299">
              <w:t xml:space="preserve"> un uzdevumus vides veselības un epidemioloģiskās drošības jomās, ir nepieciešams veikt grozījum</w:t>
            </w:r>
            <w:r w:rsidR="002A6667">
              <w:t>u</w:t>
            </w:r>
            <w:r w:rsidR="008950A1" w:rsidRPr="00310299">
              <w:t>s ministrijas nolikuma 5.1.3. un 5.1.6. apakšpunktā.</w:t>
            </w:r>
          </w:p>
          <w:p w:rsidR="008C317D" w:rsidRPr="005934BE" w:rsidRDefault="00751777" w:rsidP="008C317D">
            <w:pPr>
              <w:widowControl w:val="0"/>
              <w:autoSpaceDE w:val="0"/>
              <w:autoSpaceDN w:val="0"/>
              <w:adjustRightInd w:val="0"/>
              <w:jc w:val="both"/>
              <w:rPr>
                <w:color w:val="000000"/>
              </w:rPr>
            </w:pPr>
            <w:r w:rsidRPr="00310299">
              <w:t>Publisko aģentūru likuma pārejas noteikumu 2.punkts</w:t>
            </w:r>
            <w:r w:rsidRPr="005934BE">
              <w:t xml:space="preserve"> </w:t>
            </w:r>
            <w:r w:rsidRPr="005934BE">
              <w:lastRenderedPageBreak/>
              <w:t>nosaka, ka ministrijām jāizvērtē aģentūru darbības atbilstību Publisko aģentūru likuma prasībām un jālemj par aģentūru statusa maiņu.</w:t>
            </w:r>
            <w:r w:rsidRPr="005934BE">
              <w:rPr>
                <w:color w:val="000000"/>
              </w:rPr>
              <w:t xml:space="preserve"> </w:t>
            </w:r>
            <w:r w:rsidR="001C2650" w:rsidRPr="005934BE">
              <w:rPr>
                <w:color w:val="000000"/>
              </w:rPr>
              <w:t>Lai nodrošinātu Publisko aģentūru likuma pārejas note</w:t>
            </w:r>
            <w:r w:rsidR="005F3D81" w:rsidRPr="005934BE">
              <w:rPr>
                <w:color w:val="000000"/>
              </w:rPr>
              <w:t>ikumu</w:t>
            </w:r>
            <w:r w:rsidR="0020539C" w:rsidRPr="005934BE">
              <w:rPr>
                <w:color w:val="000000"/>
              </w:rPr>
              <w:t xml:space="preserve"> 2.punkta</w:t>
            </w:r>
            <w:r w:rsidR="005F3D81" w:rsidRPr="005934BE">
              <w:rPr>
                <w:color w:val="000000"/>
              </w:rPr>
              <w:t xml:space="preserve"> prasības, kas nosaka, ka m</w:t>
            </w:r>
            <w:r w:rsidR="001C2650" w:rsidRPr="005934BE">
              <w:rPr>
                <w:color w:val="000000"/>
              </w:rPr>
              <w:t>inistrijas izvērtē valsts aģentūru darbības atbilstību šā likuma prasībām, un Ministru kabinets līdz 2013.gada 1.janvārim pieņem lēmumu par attiecīgās aģentūras darbības turpināšanu, aģentūras likvidēšanu vai reorganizēšanu</w:t>
            </w:r>
            <w:r w:rsidRPr="005934BE">
              <w:rPr>
                <w:color w:val="000000"/>
              </w:rPr>
              <w:t>,</w:t>
            </w:r>
            <w:r w:rsidR="001C2650" w:rsidRPr="005934BE">
              <w:rPr>
                <w:color w:val="000000"/>
              </w:rPr>
              <w:t xml:space="preserve"> </w:t>
            </w:r>
            <w:r w:rsidR="00920ED1" w:rsidRPr="005934BE">
              <w:rPr>
                <w:color w:val="000000"/>
              </w:rPr>
              <w:t>ministrijas padotības iestāde</w:t>
            </w:r>
            <w:r w:rsidR="00062CA6" w:rsidRPr="005934BE">
              <w:rPr>
                <w:color w:val="000000"/>
              </w:rPr>
              <w:t xml:space="preserve"> Sporta medicīnas valsts aģentūra, </w:t>
            </w:r>
            <w:r w:rsidR="001C2650" w:rsidRPr="005934BE">
              <w:rPr>
                <w:color w:val="000000"/>
              </w:rPr>
              <w:t>kas ietverta</w:t>
            </w:r>
            <w:r w:rsidR="00920ED1" w:rsidRPr="005934BE">
              <w:rPr>
                <w:color w:val="000000"/>
              </w:rPr>
              <w:t xml:space="preserve"> ministrijas</w:t>
            </w:r>
            <w:r w:rsidR="001C2650" w:rsidRPr="005934BE">
              <w:rPr>
                <w:color w:val="000000"/>
              </w:rPr>
              <w:t xml:space="preserve"> nolikuma 24.22.</w:t>
            </w:r>
            <w:r w:rsidR="00A537AC" w:rsidRPr="005934BE">
              <w:rPr>
                <w:color w:val="000000"/>
              </w:rPr>
              <w:t xml:space="preserve"> </w:t>
            </w:r>
            <w:r w:rsidR="001C2650" w:rsidRPr="005934BE">
              <w:rPr>
                <w:color w:val="000000"/>
              </w:rPr>
              <w:t>apakšpunktā</w:t>
            </w:r>
            <w:r w:rsidR="005F3D81" w:rsidRPr="005934BE">
              <w:rPr>
                <w:color w:val="000000"/>
              </w:rPr>
              <w:t xml:space="preserve">, </w:t>
            </w:r>
            <w:r w:rsidR="00062CA6" w:rsidRPr="005934BE">
              <w:rPr>
                <w:color w:val="000000"/>
              </w:rPr>
              <w:t xml:space="preserve">ar 2013.gada 1.janvāri </w:t>
            </w:r>
            <w:r w:rsidR="001C2650" w:rsidRPr="005934BE">
              <w:rPr>
                <w:color w:val="000000"/>
              </w:rPr>
              <w:t>turpina</w:t>
            </w:r>
            <w:r w:rsidR="005F3D81" w:rsidRPr="005934BE">
              <w:rPr>
                <w:color w:val="000000"/>
              </w:rPr>
              <w:t xml:space="preserve"> darboties kā</w:t>
            </w:r>
            <w:r w:rsidR="00BB25C6" w:rsidRPr="005934BE">
              <w:rPr>
                <w:color w:val="000000"/>
              </w:rPr>
              <w:t xml:space="preserve"> Valsts s</w:t>
            </w:r>
            <w:r w:rsidR="00062CA6" w:rsidRPr="005934BE">
              <w:rPr>
                <w:color w:val="000000"/>
              </w:rPr>
              <w:t>po</w:t>
            </w:r>
            <w:r w:rsidR="00920ED1" w:rsidRPr="005934BE">
              <w:rPr>
                <w:color w:val="000000"/>
              </w:rPr>
              <w:t>rta medicīnas centrs (</w:t>
            </w:r>
            <w:r w:rsidR="005F3D81" w:rsidRPr="005934BE">
              <w:rPr>
                <w:color w:val="000000"/>
              </w:rPr>
              <w:t>M</w:t>
            </w:r>
            <w:r w:rsidR="00BB25C6" w:rsidRPr="005934BE">
              <w:rPr>
                <w:color w:val="000000"/>
              </w:rPr>
              <w:t>inistru kabineta</w:t>
            </w:r>
            <w:r w:rsidR="005F3D81" w:rsidRPr="005934BE">
              <w:rPr>
                <w:color w:val="000000"/>
              </w:rPr>
              <w:t xml:space="preserve"> noteikumu projekts "Valsts sporta medicīnas centra nolikums" izsludināts 2012.gada 13.septembra Valsts sekretāru sanāksmē (VSS-907,</w:t>
            </w:r>
            <w:r w:rsidRPr="005934BE">
              <w:t xml:space="preserve"> </w:t>
            </w:r>
            <w:r w:rsidR="00920ED1" w:rsidRPr="005934BE">
              <w:t xml:space="preserve">protokols </w:t>
            </w:r>
            <w:r w:rsidRPr="005934BE">
              <w:t>Nr.</w:t>
            </w:r>
            <w:r w:rsidR="00920ED1" w:rsidRPr="005934BE">
              <w:t>37</w:t>
            </w:r>
            <w:r w:rsidR="00BB25C6" w:rsidRPr="005934BE">
              <w:t> </w:t>
            </w:r>
            <w:r w:rsidRPr="005934BE">
              <w:t xml:space="preserve">13. §). </w:t>
            </w:r>
            <w:r w:rsidR="005F3D81" w:rsidRPr="005934BE">
              <w:rPr>
                <w:i/>
                <w:iCs/>
                <w:color w:val="000000"/>
              </w:rPr>
              <w:t xml:space="preserve"> </w:t>
            </w:r>
            <w:r w:rsidR="004042F6" w:rsidRPr="005934BE">
              <w:rPr>
                <w:color w:val="000000"/>
              </w:rPr>
              <w:t>Tāpēc ir nepieciešams precizēt ministrijas</w:t>
            </w:r>
            <w:r w:rsidR="00A537AC" w:rsidRPr="005934BE">
              <w:rPr>
                <w:color w:val="000000"/>
              </w:rPr>
              <w:t xml:space="preserve"> nolikuma 24.22.</w:t>
            </w:r>
            <w:r w:rsidR="00BB25C6" w:rsidRPr="005934BE">
              <w:rPr>
                <w:color w:val="000000"/>
              </w:rPr>
              <w:t xml:space="preserve"> apakšpunktu, grozot</w:t>
            </w:r>
            <w:r w:rsidR="008C317D" w:rsidRPr="005934BE">
              <w:rPr>
                <w:color w:val="000000"/>
              </w:rPr>
              <w:t xml:space="preserve"> Sporta medicīnas valsts aģentūra</w:t>
            </w:r>
            <w:r w:rsidR="00A537AC" w:rsidRPr="005934BE">
              <w:rPr>
                <w:color w:val="000000"/>
              </w:rPr>
              <w:t>s</w:t>
            </w:r>
            <w:r w:rsidR="008C317D" w:rsidRPr="005934BE">
              <w:rPr>
                <w:color w:val="000000"/>
              </w:rPr>
              <w:t xml:space="preserve">  nosaukumu.</w:t>
            </w:r>
          </w:p>
          <w:p w:rsidR="005F3D81" w:rsidRPr="005934BE" w:rsidRDefault="005F3D81" w:rsidP="00BB25C6">
            <w:pPr>
              <w:widowControl w:val="0"/>
              <w:autoSpaceDE w:val="0"/>
              <w:autoSpaceDN w:val="0"/>
              <w:adjustRightInd w:val="0"/>
              <w:jc w:val="both"/>
              <w:rPr>
                <w:color w:val="000000"/>
              </w:rPr>
            </w:pPr>
            <w:r w:rsidRPr="005934BE">
              <w:rPr>
                <w:color w:val="000000"/>
              </w:rPr>
              <w:t xml:space="preserve">Ar Ministru kabineta 2012.gada 24.jūlija rīkojumu Nr.350 „Par valsts sabiedrības ar ierobežotu atbildību „Latgales novada rehabilitācijas centrs „Rāzna”” kapitāla daļu nodošanu Rēzeknes pilsētas pašvaldības īpašumā” valsts sabiedrības ar ierobežotu atbildību „Latgales novada rehabilitācijas </w:t>
            </w:r>
            <w:r w:rsidR="008C317D" w:rsidRPr="005934BE">
              <w:rPr>
                <w:color w:val="000000"/>
              </w:rPr>
              <w:t xml:space="preserve">centrs „Rāzna””, </w:t>
            </w:r>
            <w:r w:rsidRPr="005934BE">
              <w:rPr>
                <w:color w:val="000000"/>
              </w:rPr>
              <w:t>kurā ministrija ir valsts kapitāla daļu turētāja</w:t>
            </w:r>
            <w:r w:rsidR="00BB25C6" w:rsidRPr="005934BE">
              <w:rPr>
                <w:color w:val="000000"/>
              </w:rPr>
              <w:t>,</w:t>
            </w:r>
            <w:r w:rsidR="002A6667">
              <w:rPr>
                <w:color w:val="000000"/>
              </w:rPr>
              <w:t xml:space="preserve"> nodots</w:t>
            </w:r>
            <w:r w:rsidRPr="005934BE">
              <w:rPr>
                <w:color w:val="000000"/>
              </w:rPr>
              <w:t xml:space="preserve"> bez atlīdzības Rēzekn</w:t>
            </w:r>
            <w:r w:rsidR="008C317D" w:rsidRPr="005934BE">
              <w:rPr>
                <w:color w:val="000000"/>
              </w:rPr>
              <w:t xml:space="preserve">es pilsētas pašvaldības īpašumā. </w:t>
            </w:r>
            <w:r w:rsidRPr="005934BE">
              <w:rPr>
                <w:color w:val="000000"/>
              </w:rPr>
              <w:t xml:space="preserve">Tāpēc </w:t>
            </w:r>
            <w:r w:rsidR="008C317D" w:rsidRPr="005934BE">
              <w:rPr>
                <w:color w:val="000000"/>
              </w:rPr>
              <w:t xml:space="preserve">ministrijas </w:t>
            </w:r>
            <w:r w:rsidRPr="005934BE">
              <w:rPr>
                <w:color w:val="000000"/>
              </w:rPr>
              <w:t xml:space="preserve">nolikumā ir nepieciešams svītrot </w:t>
            </w:r>
            <w:r w:rsidRPr="005934BE">
              <w:rPr>
                <w:bCs/>
                <w:color w:val="000000"/>
              </w:rPr>
              <w:t>25.10.</w:t>
            </w:r>
            <w:r w:rsidR="00A537AC" w:rsidRPr="005934BE">
              <w:rPr>
                <w:bCs/>
                <w:color w:val="000000"/>
              </w:rPr>
              <w:t xml:space="preserve"> </w:t>
            </w:r>
            <w:r w:rsidRPr="005934BE">
              <w:rPr>
                <w:bCs/>
                <w:color w:val="000000"/>
              </w:rPr>
              <w:t>apakšpunktu</w:t>
            </w:r>
            <w:r w:rsidR="008C317D" w:rsidRPr="005934BE">
              <w:rPr>
                <w:bCs/>
                <w:color w:val="000000"/>
              </w:rPr>
              <w:t xml:space="preserve">, lai izslēgtu </w:t>
            </w:r>
            <w:r w:rsidRPr="005934BE">
              <w:rPr>
                <w:color w:val="000000"/>
              </w:rPr>
              <w:t>v</w:t>
            </w:r>
            <w:r w:rsidR="008C317D" w:rsidRPr="005934BE">
              <w:rPr>
                <w:color w:val="000000"/>
              </w:rPr>
              <w:t>alsts sabiedrību</w:t>
            </w:r>
            <w:r w:rsidRPr="005934BE">
              <w:rPr>
                <w:color w:val="000000"/>
              </w:rPr>
              <w:t xml:space="preserve"> ar ierobežotu atbildību „Latgales novada rehabilitācijas centrs „Rāzna”” no </w:t>
            </w:r>
            <w:r w:rsidR="008C317D" w:rsidRPr="005934BE">
              <w:rPr>
                <w:color w:val="000000"/>
              </w:rPr>
              <w:t xml:space="preserve">kapitālsabiedrību, kurās ministrija ir valsts kapitāla daļu turētāja, saraksta. </w:t>
            </w:r>
          </w:p>
        </w:tc>
      </w:tr>
      <w:tr w:rsidR="000B76E3" w:rsidRPr="005934BE" w:rsidTr="0027554C">
        <w:trPr>
          <w:trHeight w:val="648"/>
        </w:trPr>
        <w:tc>
          <w:tcPr>
            <w:tcW w:w="806" w:type="dxa"/>
          </w:tcPr>
          <w:p w:rsidR="000B76E3" w:rsidRPr="005934BE" w:rsidRDefault="000B76E3" w:rsidP="005A03EE">
            <w:pPr>
              <w:pStyle w:val="naiskr"/>
              <w:spacing w:before="0" w:after="0"/>
              <w:rPr>
                <w:color w:val="000000"/>
              </w:rPr>
            </w:pPr>
            <w:r w:rsidRPr="005934BE">
              <w:rPr>
                <w:color w:val="000000"/>
              </w:rPr>
              <w:lastRenderedPageBreak/>
              <w:t>3.</w:t>
            </w:r>
          </w:p>
        </w:tc>
        <w:tc>
          <w:tcPr>
            <w:tcW w:w="2815" w:type="dxa"/>
          </w:tcPr>
          <w:p w:rsidR="000B76E3" w:rsidRPr="005934BE" w:rsidRDefault="000B76E3" w:rsidP="005A03EE">
            <w:pPr>
              <w:pStyle w:val="naiskr"/>
              <w:spacing w:before="0" w:after="0"/>
              <w:rPr>
                <w:color w:val="000000"/>
              </w:rPr>
            </w:pPr>
            <w:r w:rsidRPr="005934BE">
              <w:rPr>
                <w:color w:val="000000"/>
              </w:rPr>
              <w:t>Saistītie politikas ietekmes novērtējumi un pētījumi</w:t>
            </w:r>
          </w:p>
        </w:tc>
        <w:tc>
          <w:tcPr>
            <w:tcW w:w="5887" w:type="dxa"/>
            <w:vAlign w:val="center"/>
          </w:tcPr>
          <w:p w:rsidR="000B76E3" w:rsidRPr="005934BE" w:rsidRDefault="0038044A" w:rsidP="003B2FD5">
            <w:pPr>
              <w:pStyle w:val="Vresteksts"/>
              <w:spacing w:before="100" w:beforeAutospacing="1" w:after="100" w:afterAutospacing="1"/>
              <w:rPr>
                <w:color w:val="000000"/>
                <w:sz w:val="24"/>
                <w:szCs w:val="24"/>
              </w:rPr>
            </w:pPr>
            <w:r w:rsidRPr="005934BE">
              <w:rPr>
                <w:color w:val="000000"/>
                <w:sz w:val="24"/>
                <w:szCs w:val="24"/>
              </w:rPr>
              <w:t>N</w:t>
            </w:r>
            <w:r w:rsidR="004C2675" w:rsidRPr="005934BE">
              <w:rPr>
                <w:color w:val="000000"/>
                <w:sz w:val="24"/>
                <w:szCs w:val="24"/>
              </w:rPr>
              <w:t>oteikumu</w:t>
            </w:r>
            <w:r w:rsidR="000B76E3" w:rsidRPr="005934BE">
              <w:rPr>
                <w:color w:val="000000"/>
                <w:sz w:val="24"/>
                <w:szCs w:val="24"/>
              </w:rPr>
              <w:t xml:space="preserve"> projekts šo jomu neskar</w:t>
            </w:r>
          </w:p>
        </w:tc>
      </w:tr>
      <w:tr w:rsidR="000B76E3" w:rsidRPr="005934BE" w:rsidTr="0027554C">
        <w:trPr>
          <w:trHeight w:val="384"/>
        </w:trPr>
        <w:tc>
          <w:tcPr>
            <w:tcW w:w="806" w:type="dxa"/>
          </w:tcPr>
          <w:p w:rsidR="000B76E3" w:rsidRPr="005934BE" w:rsidRDefault="000B76E3" w:rsidP="005A03EE">
            <w:pPr>
              <w:pStyle w:val="naiskr"/>
              <w:spacing w:before="0" w:after="0"/>
              <w:rPr>
                <w:color w:val="000000"/>
              </w:rPr>
            </w:pPr>
            <w:r w:rsidRPr="005934BE">
              <w:rPr>
                <w:color w:val="000000"/>
              </w:rPr>
              <w:t>4.</w:t>
            </w:r>
          </w:p>
        </w:tc>
        <w:tc>
          <w:tcPr>
            <w:tcW w:w="2815" w:type="dxa"/>
          </w:tcPr>
          <w:p w:rsidR="000B76E3" w:rsidRDefault="000B76E3" w:rsidP="005A03EE">
            <w:pPr>
              <w:pStyle w:val="naiskr"/>
              <w:spacing w:before="0" w:after="0"/>
              <w:rPr>
                <w:color w:val="000000"/>
              </w:rPr>
            </w:pPr>
            <w:r w:rsidRPr="005934BE">
              <w:rPr>
                <w:color w:val="000000"/>
              </w:rPr>
              <w:t>Tiesiskā regulējuma mērķis un būtība</w:t>
            </w:r>
          </w:p>
          <w:p w:rsidR="00790DBE" w:rsidRDefault="00790DBE" w:rsidP="005A03EE">
            <w:pPr>
              <w:pStyle w:val="naiskr"/>
              <w:spacing w:before="0" w:after="0"/>
              <w:rPr>
                <w:color w:val="000000"/>
              </w:rPr>
            </w:pPr>
          </w:p>
          <w:p w:rsidR="0027554C" w:rsidRPr="005934BE" w:rsidRDefault="0027554C" w:rsidP="005A03EE">
            <w:pPr>
              <w:pStyle w:val="naiskr"/>
              <w:spacing w:before="0" w:after="0"/>
              <w:rPr>
                <w:color w:val="000000"/>
              </w:rPr>
            </w:pPr>
          </w:p>
        </w:tc>
        <w:tc>
          <w:tcPr>
            <w:tcW w:w="5887" w:type="dxa"/>
          </w:tcPr>
          <w:p w:rsidR="00310299" w:rsidRDefault="008C317D" w:rsidP="005F1ED0">
            <w:pPr>
              <w:jc w:val="both"/>
            </w:pPr>
            <w:r w:rsidRPr="005934BE">
              <w:t>MK noteikumu projekta mērķis ir precizēt ministrijas nolikumu</w:t>
            </w:r>
            <w:r w:rsidR="009970A8" w:rsidRPr="005934BE">
              <w:t xml:space="preserve"> atbilstoši normatīvajos aktos noteiktajam </w:t>
            </w:r>
            <w:r w:rsidR="005234C0">
              <w:t xml:space="preserve"> aktuālajam </w:t>
            </w:r>
            <w:r w:rsidR="009970A8" w:rsidRPr="005934BE">
              <w:t xml:space="preserve">regulējumam. </w:t>
            </w:r>
          </w:p>
          <w:p w:rsidR="00310299" w:rsidRPr="00333547" w:rsidRDefault="00B57266" w:rsidP="00333547">
            <w:pPr>
              <w:jc w:val="both"/>
            </w:pPr>
            <w:r w:rsidRPr="005934BE">
              <w:t>MK n</w:t>
            </w:r>
            <w:r w:rsidR="007804A5" w:rsidRPr="005934BE">
              <w:t>oteikumu projekts paredz veikt grozījumu</w:t>
            </w:r>
            <w:r w:rsidRPr="005934BE">
              <w:t xml:space="preserve">s </w:t>
            </w:r>
            <w:r w:rsidR="009970A8" w:rsidRPr="005934BE">
              <w:t xml:space="preserve">ministrijas </w:t>
            </w:r>
            <w:r w:rsidRPr="005934BE">
              <w:t>nolikumā</w:t>
            </w:r>
            <w:r w:rsidR="007804A5" w:rsidRPr="005934BE">
              <w:rPr>
                <w:color w:val="000000"/>
              </w:rPr>
              <w:t xml:space="preserve">, precizējot ministrijas </w:t>
            </w:r>
            <w:r w:rsidR="004146EF" w:rsidRPr="005934BE">
              <w:rPr>
                <w:color w:val="000000"/>
              </w:rPr>
              <w:t>uzdevu</w:t>
            </w:r>
            <w:r w:rsidR="008A0ED7" w:rsidRPr="005934BE">
              <w:rPr>
                <w:color w:val="000000"/>
              </w:rPr>
              <w:t xml:space="preserve">mus </w:t>
            </w:r>
            <w:r w:rsidR="000477C6" w:rsidRPr="005934BE">
              <w:rPr>
                <w:color w:val="000000"/>
              </w:rPr>
              <w:t xml:space="preserve">sabiedrības veselības un </w:t>
            </w:r>
            <w:r w:rsidR="008A0ED7" w:rsidRPr="005934BE">
              <w:rPr>
                <w:color w:val="000000"/>
              </w:rPr>
              <w:t xml:space="preserve">veselības veicināšanas jomā un svītrojot ar veselības veicināšanu saistītos uzdevumus, </w:t>
            </w:r>
            <w:r w:rsidR="00C3083C" w:rsidRPr="005934BE">
              <w:rPr>
                <w:color w:val="000000"/>
              </w:rPr>
              <w:t>kas no 2013.gada 1.janvāra tiks</w:t>
            </w:r>
            <w:r w:rsidR="004146EF" w:rsidRPr="005934BE">
              <w:rPr>
                <w:color w:val="000000"/>
              </w:rPr>
              <w:t xml:space="preserve"> </w:t>
            </w:r>
            <w:r w:rsidR="00C3083C" w:rsidRPr="005934BE">
              <w:rPr>
                <w:color w:val="000000"/>
              </w:rPr>
              <w:t>nodoti</w:t>
            </w:r>
            <w:r w:rsidR="009970A8" w:rsidRPr="005934BE">
              <w:rPr>
                <w:color w:val="000000"/>
              </w:rPr>
              <w:t xml:space="preserve"> centram</w:t>
            </w:r>
            <w:r w:rsidR="00C3083C" w:rsidRPr="005934BE">
              <w:rPr>
                <w:color w:val="000000"/>
              </w:rPr>
              <w:t xml:space="preserve">. </w:t>
            </w:r>
            <w:r w:rsidR="00310299">
              <w:t xml:space="preserve"> Lai nodrošinātu efektīvāku</w:t>
            </w:r>
            <w:r w:rsidR="00310299" w:rsidRPr="00790DBE">
              <w:t xml:space="preserve"> veselības</w:t>
            </w:r>
            <w:r w:rsidR="00310299">
              <w:t xml:space="preserve"> veicināšanas darba plānošanu, īstenošanu valsts un pašvaldību līmenī tiks veikti grozījumi </w:t>
            </w:r>
            <w:r w:rsidR="00310299" w:rsidRPr="005934BE">
              <w:t>ministrijas nolikuma</w:t>
            </w:r>
            <w:r w:rsidR="00310299">
              <w:t xml:space="preserve"> 5.1.7. apakšpunktā nosakot, ka</w:t>
            </w:r>
            <w:r w:rsidR="00310299" w:rsidRPr="005934BE">
              <w:t xml:space="preserve"> ministrija valsts un reģionālā līmenī uzrauga veselības veicināšanas politikas īstenošanu</w:t>
            </w:r>
            <w:r w:rsidR="00310299">
              <w:rPr>
                <w:color w:val="000000"/>
              </w:rPr>
              <w:t>, bet</w:t>
            </w:r>
            <w:r w:rsidR="00310299" w:rsidRPr="005934BE">
              <w:rPr>
                <w:color w:val="000000"/>
              </w:rPr>
              <w:t xml:space="preserve"> veselības vei</w:t>
            </w:r>
            <w:r w:rsidR="00310299">
              <w:rPr>
                <w:color w:val="000000"/>
              </w:rPr>
              <w:t>cināšanas koordinācijas uzdevumi</w:t>
            </w:r>
            <w:r w:rsidR="00310299" w:rsidRPr="005934BE">
              <w:rPr>
                <w:color w:val="000000"/>
              </w:rPr>
              <w:t xml:space="preserve"> no 2013.gada 1.janvāra</w:t>
            </w:r>
            <w:r w:rsidR="00310299">
              <w:rPr>
                <w:color w:val="000000"/>
              </w:rPr>
              <w:t xml:space="preserve"> tiks nodoti</w:t>
            </w:r>
            <w:r w:rsidR="00310299" w:rsidRPr="005934BE">
              <w:rPr>
                <w:color w:val="000000"/>
              </w:rPr>
              <w:t xml:space="preserve"> </w:t>
            </w:r>
            <w:r w:rsidR="00310299">
              <w:rPr>
                <w:color w:val="000000"/>
              </w:rPr>
              <w:t xml:space="preserve">centram. </w:t>
            </w:r>
            <w:r w:rsidR="004D2CA1">
              <w:rPr>
                <w:color w:val="000000"/>
              </w:rPr>
              <w:t>N</w:t>
            </w:r>
            <w:r w:rsidR="00310299">
              <w:rPr>
                <w:color w:val="000000"/>
              </w:rPr>
              <w:t xml:space="preserve">o ministrijas nolikuma tiks svītroti 5.1.8. un 5.1.10. apakšpunkti, kuros </w:t>
            </w:r>
            <w:r w:rsidR="00CA13CB">
              <w:rPr>
                <w:color w:val="000000"/>
              </w:rPr>
              <w:t xml:space="preserve">ir </w:t>
            </w:r>
            <w:r w:rsidR="00310299">
              <w:rPr>
                <w:color w:val="000000"/>
              </w:rPr>
              <w:t xml:space="preserve">noteikti ar veselības veicināšanas politikas īstenošanu saistīti uzdevumi -  metodoloģiska atbalsta sniegšana ārstniecības iestādēm </w:t>
            </w:r>
            <w:r w:rsidR="00310299">
              <w:rPr>
                <w:color w:val="000000"/>
              </w:rPr>
              <w:lastRenderedPageBreak/>
              <w:t>sabiedrības veselības jautājumos un sabiedrības izglītošana jautājumos, kas ietekmē veselīb</w:t>
            </w:r>
            <w:r w:rsidR="00333547">
              <w:rPr>
                <w:color w:val="000000"/>
              </w:rPr>
              <w:t>u un veselīgu dzīvesveidu, jo tos</w:t>
            </w:r>
            <w:r w:rsidR="00310299">
              <w:rPr>
                <w:color w:val="000000"/>
              </w:rPr>
              <w:t xml:space="preserve"> no 2013.gada </w:t>
            </w:r>
            <w:r w:rsidR="00333547">
              <w:rPr>
                <w:color w:val="000000"/>
              </w:rPr>
              <w:t xml:space="preserve">1.janvāra īstenos centrs. </w:t>
            </w:r>
          </w:p>
          <w:p w:rsidR="00333547" w:rsidRPr="00333547" w:rsidRDefault="005F1ED0" w:rsidP="00333547">
            <w:pPr>
              <w:jc w:val="both"/>
            </w:pPr>
            <w:r w:rsidRPr="005934BE">
              <w:rPr>
                <w:color w:val="000000"/>
              </w:rPr>
              <w:t xml:space="preserve">MK </w:t>
            </w:r>
            <w:r w:rsidR="00C3083C" w:rsidRPr="005934BE">
              <w:rPr>
                <w:color w:val="000000"/>
              </w:rPr>
              <w:t>noteikumu projekts paredz</w:t>
            </w:r>
            <w:r w:rsidR="005234C0">
              <w:rPr>
                <w:color w:val="000000"/>
              </w:rPr>
              <w:t xml:space="preserve"> arī</w:t>
            </w:r>
            <w:r w:rsidR="00C3083C" w:rsidRPr="005934BE">
              <w:rPr>
                <w:color w:val="000000"/>
              </w:rPr>
              <w:t xml:space="preserve"> </w:t>
            </w:r>
            <w:r w:rsidR="008E58F5" w:rsidRPr="005934BE">
              <w:rPr>
                <w:color w:val="000000"/>
              </w:rPr>
              <w:t xml:space="preserve">precizējumus </w:t>
            </w:r>
            <w:r w:rsidR="00333547">
              <w:rPr>
                <w:color w:val="000000"/>
              </w:rPr>
              <w:t xml:space="preserve">ministrijas </w:t>
            </w:r>
            <w:r w:rsidR="008E58F5" w:rsidRPr="005934BE">
              <w:rPr>
                <w:color w:val="000000"/>
              </w:rPr>
              <w:t>uzdevumos epidemioloģiskās drošības un vides veselības jomās</w:t>
            </w:r>
            <w:r w:rsidR="001F6F56" w:rsidRPr="005934BE">
              <w:rPr>
                <w:color w:val="000000"/>
              </w:rPr>
              <w:t xml:space="preserve"> (atbilstoši normatīvajos aktos noteiktajam aktuālajam regulējumam</w:t>
            </w:r>
            <w:r w:rsidR="0027554C">
              <w:rPr>
                <w:color w:val="000000"/>
              </w:rPr>
              <w:t xml:space="preserve"> un atbilstoši uzdevumu </w:t>
            </w:r>
            <w:r w:rsidR="00333547">
              <w:rPr>
                <w:color w:val="000000"/>
              </w:rPr>
              <w:t xml:space="preserve">un kompetenču </w:t>
            </w:r>
            <w:r w:rsidR="0027554C">
              <w:rPr>
                <w:color w:val="000000"/>
              </w:rPr>
              <w:t xml:space="preserve">sadalījumam starp ministriju un </w:t>
            </w:r>
            <w:r w:rsidR="00310299">
              <w:rPr>
                <w:color w:val="000000"/>
              </w:rPr>
              <w:t>inspekciju</w:t>
            </w:r>
            <w:r w:rsidR="001F6F56" w:rsidRPr="005934BE">
              <w:rPr>
                <w:color w:val="000000"/>
              </w:rPr>
              <w:t>)</w:t>
            </w:r>
            <w:r w:rsidR="00333547">
              <w:rPr>
                <w:color w:val="000000"/>
              </w:rPr>
              <w:t>.</w:t>
            </w:r>
            <w:r w:rsidR="00333547" w:rsidRPr="00790DBE">
              <w:rPr>
                <w:color w:val="000000"/>
              </w:rPr>
              <w:t xml:space="preserve"> Lai terminoloģiski precizētu ministrijas uzdevumus vides veselības un epidemioloģiskās drošības jomā, atbilstoši aktuālām normatīvo aktu </w:t>
            </w:r>
            <w:r w:rsidR="005234C0">
              <w:rPr>
                <w:color w:val="000000"/>
              </w:rPr>
              <w:t>redakcijām un esošajam uzdevumu</w:t>
            </w:r>
            <w:r w:rsidR="00333547">
              <w:rPr>
                <w:color w:val="000000"/>
              </w:rPr>
              <w:t xml:space="preserve"> un kompetenču </w:t>
            </w:r>
            <w:r w:rsidR="00333547" w:rsidRPr="00790DBE">
              <w:rPr>
                <w:color w:val="000000"/>
              </w:rPr>
              <w:t>sadalījumam starp ministriju un inspekciju, MK noteikuma projekta ietvaros</w:t>
            </w:r>
            <w:r w:rsidR="00333547">
              <w:rPr>
                <w:color w:val="000000"/>
              </w:rPr>
              <w:t xml:space="preserve"> </w:t>
            </w:r>
            <w:r w:rsidR="00333547" w:rsidRPr="00790DBE">
              <w:t xml:space="preserve">ministrijas nolikuma 5.1.3 </w:t>
            </w:r>
            <w:r w:rsidR="00333547">
              <w:t>apakšpunkts tiek svītrot</w:t>
            </w:r>
            <w:r w:rsidR="004D2CA1">
              <w:t>s</w:t>
            </w:r>
            <w:r w:rsidR="00333547">
              <w:t xml:space="preserve">, bet tajā minētais uzdevums tiek </w:t>
            </w:r>
            <w:r w:rsidR="004D2CA1">
              <w:t>apvienots</w:t>
            </w:r>
            <w:r w:rsidR="00333547">
              <w:t xml:space="preserve"> </w:t>
            </w:r>
            <w:r w:rsidR="004D2CA1">
              <w:t xml:space="preserve">ar </w:t>
            </w:r>
            <w:r w:rsidR="00333547">
              <w:t>5.1.6. apakšpunktā minētajiem</w:t>
            </w:r>
            <w:r w:rsidR="00333547" w:rsidRPr="00790DBE">
              <w:t xml:space="preserve"> uzdevumi</w:t>
            </w:r>
            <w:r w:rsidR="00333547">
              <w:t xml:space="preserve">em, </w:t>
            </w:r>
            <w:r w:rsidR="00333547" w:rsidRPr="00790DBE">
              <w:t>nosakot, ka</w:t>
            </w:r>
            <w:r w:rsidR="00333547">
              <w:t xml:space="preserve"> ministrija valsts līmenī uzraudzīs</w:t>
            </w:r>
            <w:r w:rsidR="00333547" w:rsidRPr="00790DBE">
              <w:t xml:space="preserve"> politikas īstenošanu epidemioloģiskās drošības un vides veselības jom</w:t>
            </w:r>
            <w:r w:rsidR="00333547">
              <w:t xml:space="preserve">ā (tai skaitā </w:t>
            </w:r>
            <w:r w:rsidR="005234C0" w:rsidRPr="00790DBE">
              <w:t>dzeramā ūden</w:t>
            </w:r>
            <w:r w:rsidR="005234C0">
              <w:t xml:space="preserve">s </w:t>
            </w:r>
            <w:r w:rsidR="00333547">
              <w:t>un</w:t>
            </w:r>
            <w:r w:rsidR="005234C0">
              <w:t xml:space="preserve"> peldvietu ūdens</w:t>
            </w:r>
            <w:r w:rsidR="00333547" w:rsidRPr="00790DBE">
              <w:t xml:space="preserve"> </w:t>
            </w:r>
            <w:r w:rsidR="00333547">
              <w:t>drošuma un nekaitīguma jomā).</w:t>
            </w:r>
          </w:p>
          <w:p w:rsidR="00BA02DA" w:rsidRPr="00333547" w:rsidRDefault="00333547" w:rsidP="00333547">
            <w:pPr>
              <w:jc w:val="both"/>
            </w:pPr>
            <w:r w:rsidRPr="005934BE">
              <w:rPr>
                <w:color w:val="000000"/>
              </w:rPr>
              <w:t xml:space="preserve">MK noteikumu projekts </w:t>
            </w:r>
            <w:r w:rsidR="008A7995" w:rsidRPr="005934BE">
              <w:rPr>
                <w:color w:val="000000"/>
              </w:rPr>
              <w:t>paredz</w:t>
            </w:r>
            <w:r>
              <w:rPr>
                <w:color w:val="000000"/>
              </w:rPr>
              <w:t xml:space="preserve"> veikt</w:t>
            </w:r>
            <w:r w:rsidR="008A7995" w:rsidRPr="005934BE">
              <w:rPr>
                <w:color w:val="000000"/>
              </w:rPr>
              <w:t xml:space="preserve"> </w:t>
            </w:r>
            <w:r w:rsidR="005234C0">
              <w:rPr>
                <w:color w:val="000000"/>
              </w:rPr>
              <w:t xml:space="preserve">arī </w:t>
            </w:r>
            <w:r w:rsidR="008A7995" w:rsidRPr="005934BE">
              <w:rPr>
                <w:color w:val="000000"/>
              </w:rPr>
              <w:t>izmaiņas</w:t>
            </w:r>
            <w:r w:rsidR="00C3083C" w:rsidRPr="005934BE">
              <w:t xml:space="preserve"> ministrijas padotībā esošo valsts pārvaldes iestāžu un kapitālsabiedrību</w:t>
            </w:r>
            <w:r w:rsidR="00471032" w:rsidRPr="005934BE">
              <w:t xml:space="preserve"> sarakstā</w:t>
            </w:r>
            <w:r w:rsidR="00C3083C" w:rsidRPr="005934BE">
              <w:t>, kurās ministrija ir</w:t>
            </w:r>
            <w:r w:rsidR="00471032" w:rsidRPr="005934BE">
              <w:t xml:space="preserve"> valsts kapitāla daļu turētāja</w:t>
            </w:r>
            <w:r w:rsidR="005234C0">
              <w:t>,</w:t>
            </w:r>
            <w:r w:rsidRPr="005934BE">
              <w:rPr>
                <w:color w:val="000000"/>
              </w:rPr>
              <w:t xml:space="preserve"> atbilstoši normatīvajos aktos noteiktajam aktuālajam regulējumam</w:t>
            </w:r>
            <w:r w:rsidR="00145F7D" w:rsidRPr="005934BE">
              <w:t>.</w:t>
            </w:r>
            <w:r>
              <w:t xml:space="preserve"> MK noteikumu projekta</w:t>
            </w:r>
            <w:r w:rsidR="005234C0">
              <w:t xml:space="preserve"> ietvaros</w:t>
            </w:r>
            <w:r>
              <w:t xml:space="preserve"> tiks grozīts Sporta medicīnas valsts aģentūras nosaukums, kura </w:t>
            </w:r>
            <w:r w:rsidR="0078641E" w:rsidRPr="005934BE">
              <w:rPr>
                <w:color w:val="000000"/>
              </w:rPr>
              <w:t xml:space="preserve">ar 2013.gada 1.janvāri </w:t>
            </w:r>
            <w:r w:rsidR="000477C6" w:rsidRPr="005934BE">
              <w:rPr>
                <w:color w:val="000000"/>
              </w:rPr>
              <w:t>turpinās darboties</w:t>
            </w:r>
            <w:r w:rsidR="009970A8" w:rsidRPr="005934BE">
              <w:rPr>
                <w:color w:val="000000"/>
              </w:rPr>
              <w:t xml:space="preserve"> kā </w:t>
            </w:r>
            <w:r w:rsidR="005234C0">
              <w:rPr>
                <w:color w:val="000000"/>
              </w:rPr>
              <w:t>Valsts sporta medicīnas centrs.</w:t>
            </w:r>
            <w:r w:rsidR="0078641E" w:rsidRPr="005934BE">
              <w:rPr>
                <w:color w:val="000000"/>
              </w:rPr>
              <w:t xml:space="preserve"> </w:t>
            </w:r>
            <w:r>
              <w:rPr>
                <w:color w:val="000000"/>
              </w:rPr>
              <w:t xml:space="preserve">Tāpat </w:t>
            </w:r>
            <w:r w:rsidR="005234C0">
              <w:t>MK noteikumu projekta ietvaros</w:t>
            </w:r>
            <w:r w:rsidR="00A540F4" w:rsidRPr="005934BE">
              <w:t xml:space="preserve"> </w:t>
            </w:r>
            <w:r>
              <w:t xml:space="preserve">no </w:t>
            </w:r>
            <w:r w:rsidR="009970A8" w:rsidRPr="005934BE">
              <w:t xml:space="preserve">ministrijas </w:t>
            </w:r>
            <w:r w:rsidRPr="005934BE">
              <w:t>kapitālsabiedrību saraksta</w:t>
            </w:r>
            <w:r>
              <w:t xml:space="preserve"> tiek izslēgta </w:t>
            </w:r>
            <w:r w:rsidR="004E0831" w:rsidRPr="005934BE">
              <w:t>Valsts sab</w:t>
            </w:r>
            <w:r>
              <w:t>iedrība</w:t>
            </w:r>
            <w:r w:rsidR="004E0831" w:rsidRPr="005934BE">
              <w:t xml:space="preserve"> ar ierobežotu atbildību „Latgales novada rehabilitācij</w:t>
            </w:r>
            <w:r>
              <w:t xml:space="preserve">as centrs „Rāzna””, </w:t>
            </w:r>
            <w:r w:rsidRPr="005934BE">
              <w:t>kurā ministrija ir valsts kapitāla daļu turētāja.</w:t>
            </w:r>
          </w:p>
          <w:p w:rsidR="00D41270" w:rsidRPr="005934BE" w:rsidRDefault="00872BB4" w:rsidP="001C64EA">
            <w:pPr>
              <w:jc w:val="both"/>
            </w:pPr>
            <w:r w:rsidRPr="005934BE">
              <w:rPr>
                <w:color w:val="000000"/>
              </w:rPr>
              <w:t>MK noteikumu projekts atrisinās anotācijas 2.punktā konstatētās problēmas.</w:t>
            </w:r>
          </w:p>
        </w:tc>
      </w:tr>
      <w:tr w:rsidR="000B76E3" w:rsidRPr="005934BE" w:rsidTr="0027554C">
        <w:trPr>
          <w:trHeight w:val="476"/>
        </w:trPr>
        <w:tc>
          <w:tcPr>
            <w:tcW w:w="806" w:type="dxa"/>
          </w:tcPr>
          <w:p w:rsidR="000B76E3" w:rsidRPr="005934BE" w:rsidRDefault="000B76E3" w:rsidP="005A03EE">
            <w:pPr>
              <w:pStyle w:val="naiskr"/>
              <w:spacing w:before="0" w:after="0"/>
              <w:rPr>
                <w:color w:val="000000"/>
              </w:rPr>
            </w:pPr>
            <w:r w:rsidRPr="005934BE">
              <w:rPr>
                <w:color w:val="000000"/>
              </w:rPr>
              <w:lastRenderedPageBreak/>
              <w:t>5.</w:t>
            </w:r>
          </w:p>
        </w:tc>
        <w:tc>
          <w:tcPr>
            <w:tcW w:w="2815" w:type="dxa"/>
          </w:tcPr>
          <w:p w:rsidR="000B76E3" w:rsidRPr="005934BE" w:rsidRDefault="000B76E3" w:rsidP="005A03EE">
            <w:pPr>
              <w:pStyle w:val="naiskr"/>
              <w:spacing w:before="0" w:after="0"/>
              <w:rPr>
                <w:color w:val="000000"/>
              </w:rPr>
            </w:pPr>
            <w:r w:rsidRPr="005934BE">
              <w:rPr>
                <w:color w:val="000000"/>
              </w:rPr>
              <w:t>Projekta izstrādē iesaistītās institūcijas</w:t>
            </w:r>
          </w:p>
        </w:tc>
        <w:tc>
          <w:tcPr>
            <w:tcW w:w="5887" w:type="dxa"/>
          </w:tcPr>
          <w:p w:rsidR="000B76E3" w:rsidRPr="005934BE" w:rsidRDefault="00C33322" w:rsidP="006B456D">
            <w:pPr>
              <w:pStyle w:val="naiskr"/>
              <w:spacing w:before="0" w:after="0"/>
              <w:jc w:val="both"/>
              <w:rPr>
                <w:color w:val="000000"/>
              </w:rPr>
            </w:pPr>
            <w:r w:rsidRPr="005934BE">
              <w:rPr>
                <w:color w:val="000000"/>
              </w:rPr>
              <w:t>N</w:t>
            </w:r>
            <w:r w:rsidR="006C0B9D" w:rsidRPr="005934BE">
              <w:rPr>
                <w:color w:val="000000"/>
              </w:rPr>
              <w:t>oteikumu projekts šo jomu neskar</w:t>
            </w:r>
          </w:p>
        </w:tc>
      </w:tr>
      <w:tr w:rsidR="000B76E3" w:rsidRPr="005934BE" w:rsidTr="0027554C">
        <w:trPr>
          <w:trHeight w:val="719"/>
        </w:trPr>
        <w:tc>
          <w:tcPr>
            <w:tcW w:w="806" w:type="dxa"/>
          </w:tcPr>
          <w:p w:rsidR="000B76E3" w:rsidRPr="005934BE" w:rsidRDefault="000B76E3" w:rsidP="005A03EE">
            <w:pPr>
              <w:pStyle w:val="naiskr"/>
              <w:spacing w:before="0" w:after="0"/>
              <w:rPr>
                <w:color w:val="000000"/>
              </w:rPr>
            </w:pPr>
            <w:r w:rsidRPr="005934BE">
              <w:rPr>
                <w:color w:val="000000"/>
              </w:rPr>
              <w:t>6.</w:t>
            </w:r>
          </w:p>
        </w:tc>
        <w:tc>
          <w:tcPr>
            <w:tcW w:w="2815" w:type="dxa"/>
          </w:tcPr>
          <w:p w:rsidR="000B76E3" w:rsidRPr="005934BE" w:rsidRDefault="000B76E3" w:rsidP="005A03EE">
            <w:pPr>
              <w:pStyle w:val="naiskr"/>
              <w:spacing w:before="0" w:after="0"/>
              <w:rPr>
                <w:i/>
                <w:color w:val="000000"/>
              </w:rPr>
            </w:pPr>
            <w:r w:rsidRPr="005934BE">
              <w:rPr>
                <w:color w:val="000000"/>
              </w:rPr>
              <w:t>Iemesli, kādēļ netika nodrošināta sabiedrības līdzdalība</w:t>
            </w:r>
          </w:p>
        </w:tc>
        <w:tc>
          <w:tcPr>
            <w:tcW w:w="5887" w:type="dxa"/>
          </w:tcPr>
          <w:p w:rsidR="000B76E3" w:rsidRPr="005934BE" w:rsidRDefault="00291DE3" w:rsidP="00F06737">
            <w:pPr>
              <w:pStyle w:val="Vresteksts"/>
              <w:jc w:val="both"/>
              <w:rPr>
                <w:color w:val="000000"/>
                <w:sz w:val="24"/>
                <w:szCs w:val="24"/>
              </w:rPr>
            </w:pPr>
            <w:r w:rsidRPr="005934BE">
              <w:rPr>
                <w:sz w:val="24"/>
                <w:szCs w:val="24"/>
              </w:rPr>
              <w:t>Plaša sabiedrības iesaistīšana nebija lietderīga, jo MK noteikumu projekts paredz ministrijas darbības jautājumus.</w:t>
            </w:r>
          </w:p>
        </w:tc>
      </w:tr>
      <w:tr w:rsidR="000B76E3" w:rsidRPr="005934BE" w:rsidTr="0027554C">
        <w:tc>
          <w:tcPr>
            <w:tcW w:w="806" w:type="dxa"/>
          </w:tcPr>
          <w:p w:rsidR="000B76E3" w:rsidRPr="005934BE" w:rsidRDefault="000B76E3" w:rsidP="005A03EE">
            <w:pPr>
              <w:pStyle w:val="naiskr"/>
              <w:spacing w:before="0" w:after="0"/>
              <w:rPr>
                <w:color w:val="000000"/>
              </w:rPr>
            </w:pPr>
            <w:r w:rsidRPr="005934BE">
              <w:rPr>
                <w:color w:val="000000"/>
              </w:rPr>
              <w:t>7.</w:t>
            </w:r>
          </w:p>
        </w:tc>
        <w:tc>
          <w:tcPr>
            <w:tcW w:w="2815" w:type="dxa"/>
          </w:tcPr>
          <w:p w:rsidR="000B76E3" w:rsidRPr="005934BE" w:rsidRDefault="000B76E3" w:rsidP="005A03EE">
            <w:pPr>
              <w:pStyle w:val="naiskr"/>
              <w:spacing w:before="0" w:after="0"/>
              <w:rPr>
                <w:color w:val="000000"/>
              </w:rPr>
            </w:pPr>
            <w:r w:rsidRPr="005934BE">
              <w:rPr>
                <w:color w:val="000000"/>
              </w:rPr>
              <w:t>Cita informācija</w:t>
            </w:r>
          </w:p>
        </w:tc>
        <w:tc>
          <w:tcPr>
            <w:tcW w:w="5887" w:type="dxa"/>
          </w:tcPr>
          <w:p w:rsidR="000B76E3" w:rsidRPr="005934BE" w:rsidRDefault="000B76E3" w:rsidP="005A03EE">
            <w:pPr>
              <w:pStyle w:val="naiskr"/>
              <w:spacing w:before="0" w:after="0"/>
              <w:rPr>
                <w:color w:val="000000"/>
              </w:rPr>
            </w:pPr>
            <w:r w:rsidRPr="005934BE">
              <w:rPr>
                <w:color w:val="000000"/>
              </w:rPr>
              <w:t>Nav</w:t>
            </w:r>
          </w:p>
        </w:tc>
      </w:tr>
    </w:tbl>
    <w:p w:rsidR="00872BB4" w:rsidRDefault="00872BB4" w:rsidP="002907C5">
      <w:pPr>
        <w:pStyle w:val="naisf"/>
        <w:spacing w:before="0" w:after="0"/>
        <w:ind w:firstLine="0"/>
        <w:rPr>
          <w:color w:val="000000"/>
          <w:sz w:val="28"/>
          <w:szCs w:val="28"/>
        </w:rPr>
      </w:pPr>
    </w:p>
    <w:tbl>
      <w:tblPr>
        <w:tblpPr w:leftFromText="180" w:rightFromText="180" w:vertAnchor="text" w:horzAnchor="margin" w:tblpXSpec="center" w:tblpY="149"/>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
        <w:gridCol w:w="3266"/>
        <w:gridCol w:w="5920"/>
      </w:tblGrid>
      <w:tr w:rsidR="0047429F" w:rsidRPr="005934BE" w:rsidTr="00135306">
        <w:tc>
          <w:tcPr>
            <w:tcW w:w="9611" w:type="dxa"/>
            <w:gridSpan w:val="3"/>
            <w:vAlign w:val="center"/>
          </w:tcPr>
          <w:p w:rsidR="0047429F" w:rsidRPr="005934BE" w:rsidRDefault="0047429F" w:rsidP="0047429F">
            <w:pPr>
              <w:pStyle w:val="naisnod"/>
              <w:spacing w:before="0" w:after="0"/>
            </w:pPr>
            <w:r w:rsidRPr="005934BE">
              <w:t>II. Tiesību akta projekta ietekme uz sabiedrību</w:t>
            </w:r>
          </w:p>
        </w:tc>
      </w:tr>
      <w:tr w:rsidR="0047429F" w:rsidRPr="005934BE" w:rsidTr="00FD15EF">
        <w:trPr>
          <w:trHeight w:val="275"/>
        </w:trPr>
        <w:tc>
          <w:tcPr>
            <w:tcW w:w="425" w:type="dxa"/>
          </w:tcPr>
          <w:p w:rsidR="0047429F" w:rsidRPr="005934BE" w:rsidRDefault="0047429F" w:rsidP="0047429F">
            <w:pPr>
              <w:pStyle w:val="naiskr"/>
              <w:spacing w:before="0" w:after="0"/>
            </w:pPr>
            <w:r w:rsidRPr="005934BE">
              <w:t>1.</w:t>
            </w:r>
          </w:p>
        </w:tc>
        <w:tc>
          <w:tcPr>
            <w:tcW w:w="3266" w:type="dxa"/>
          </w:tcPr>
          <w:p w:rsidR="0047429F" w:rsidRPr="005934BE" w:rsidRDefault="0047429F" w:rsidP="0047429F">
            <w:pPr>
              <w:pStyle w:val="naiskr"/>
              <w:spacing w:before="0" w:after="0"/>
            </w:pPr>
            <w:r w:rsidRPr="005934BE">
              <w:t>Sabiedrības mērķgrupa</w:t>
            </w:r>
          </w:p>
        </w:tc>
        <w:tc>
          <w:tcPr>
            <w:tcW w:w="5920" w:type="dxa"/>
          </w:tcPr>
          <w:p w:rsidR="0047429F" w:rsidRPr="005934BE" w:rsidRDefault="00646178" w:rsidP="00AE2977">
            <w:pPr>
              <w:pStyle w:val="tv213"/>
            </w:pPr>
            <w:r w:rsidRPr="005934BE">
              <w:rPr>
                <w:iCs/>
              </w:rPr>
              <w:t>Veselības ministrijas darbinieki</w:t>
            </w:r>
            <w:r w:rsidR="00AE2977" w:rsidRPr="005934BE">
              <w:rPr>
                <w:iCs/>
              </w:rPr>
              <w:t xml:space="preserve"> </w:t>
            </w:r>
          </w:p>
        </w:tc>
      </w:tr>
      <w:tr w:rsidR="0047429F" w:rsidRPr="005934BE" w:rsidTr="00FD15EF">
        <w:trPr>
          <w:trHeight w:val="275"/>
        </w:trPr>
        <w:tc>
          <w:tcPr>
            <w:tcW w:w="425" w:type="dxa"/>
          </w:tcPr>
          <w:p w:rsidR="0047429F" w:rsidRPr="005934BE" w:rsidRDefault="0047429F" w:rsidP="0047429F">
            <w:pPr>
              <w:pStyle w:val="naiskr"/>
              <w:spacing w:before="0" w:after="0"/>
            </w:pPr>
            <w:r w:rsidRPr="005934BE">
              <w:t>2.</w:t>
            </w:r>
          </w:p>
        </w:tc>
        <w:tc>
          <w:tcPr>
            <w:tcW w:w="3266" w:type="dxa"/>
          </w:tcPr>
          <w:p w:rsidR="0047429F" w:rsidRPr="005934BE" w:rsidRDefault="0047429F" w:rsidP="0047429F">
            <w:pPr>
              <w:pStyle w:val="naiskr"/>
              <w:spacing w:before="0" w:after="0"/>
            </w:pPr>
            <w:r w:rsidRPr="005934BE">
              <w:t>Citas sabiedrības grupas (bez mērķgrupas), kuras tiesiskais regulējums arī ietekmē vai varētu ietekmēt</w:t>
            </w:r>
          </w:p>
        </w:tc>
        <w:tc>
          <w:tcPr>
            <w:tcW w:w="5920" w:type="dxa"/>
          </w:tcPr>
          <w:p w:rsidR="0047429F" w:rsidRPr="005934BE" w:rsidRDefault="00646178" w:rsidP="00AE2977">
            <w:pPr>
              <w:pStyle w:val="naisf"/>
              <w:spacing w:before="120" w:after="0"/>
              <w:ind w:firstLine="0"/>
            </w:pPr>
            <w:r w:rsidRPr="005934BE">
              <w:t>Slimību profilakses un kontroles centra darbinieki</w:t>
            </w:r>
          </w:p>
        </w:tc>
      </w:tr>
      <w:tr w:rsidR="0047429F" w:rsidRPr="005934BE" w:rsidTr="00FD15EF">
        <w:trPr>
          <w:trHeight w:val="517"/>
        </w:trPr>
        <w:tc>
          <w:tcPr>
            <w:tcW w:w="425" w:type="dxa"/>
          </w:tcPr>
          <w:p w:rsidR="0047429F" w:rsidRPr="005934BE" w:rsidRDefault="0047429F" w:rsidP="0047429F">
            <w:pPr>
              <w:pStyle w:val="naiskr"/>
              <w:spacing w:before="0" w:after="0"/>
            </w:pPr>
            <w:r w:rsidRPr="005934BE">
              <w:t>3.</w:t>
            </w:r>
          </w:p>
        </w:tc>
        <w:tc>
          <w:tcPr>
            <w:tcW w:w="3266" w:type="dxa"/>
          </w:tcPr>
          <w:p w:rsidR="0047429F" w:rsidRPr="005934BE" w:rsidRDefault="0047429F" w:rsidP="0047429F">
            <w:pPr>
              <w:pStyle w:val="naiskr"/>
              <w:spacing w:before="0" w:after="0"/>
            </w:pPr>
            <w:r w:rsidRPr="005934BE">
              <w:t>Tiesiskā regulējuma finansiālā ietekme</w:t>
            </w:r>
          </w:p>
        </w:tc>
        <w:tc>
          <w:tcPr>
            <w:tcW w:w="5920" w:type="dxa"/>
          </w:tcPr>
          <w:p w:rsidR="0047429F" w:rsidRPr="005934BE" w:rsidRDefault="001D3F54" w:rsidP="00FA35C4">
            <w:pPr>
              <w:pStyle w:val="naisf"/>
              <w:spacing w:before="120" w:after="0"/>
              <w:ind w:left="62" w:firstLine="0"/>
              <w:rPr>
                <w:color w:val="000000" w:themeColor="text1"/>
              </w:rPr>
            </w:pPr>
            <w:r w:rsidRPr="005934BE">
              <w:t>MK noteikumu projekts paredz veikt grozījumus ministrijas nolikumā</w:t>
            </w:r>
            <w:r w:rsidRPr="005934BE">
              <w:rPr>
                <w:color w:val="000000"/>
              </w:rPr>
              <w:t xml:space="preserve">, precizējot ministrijas uzdevumus sabiedrības veselības un </w:t>
            </w:r>
            <w:r w:rsidR="00EF1D02" w:rsidRPr="005934BE">
              <w:rPr>
                <w:color w:val="000000"/>
              </w:rPr>
              <w:t xml:space="preserve">veselības veicināšanas jomā, </w:t>
            </w:r>
            <w:r w:rsidRPr="005934BE">
              <w:rPr>
                <w:color w:val="000000"/>
              </w:rPr>
              <w:t xml:space="preserve">svītrojot ar </w:t>
            </w:r>
            <w:r w:rsidRPr="005934BE">
              <w:rPr>
                <w:color w:val="000000"/>
              </w:rPr>
              <w:lastRenderedPageBreak/>
              <w:t xml:space="preserve">veselības veicināšanu saistītos uzdevumus, kas no 2013.gada 1.janvāra tiks nodoti centram. </w:t>
            </w:r>
            <w:r w:rsidR="003A39BE">
              <w:rPr>
                <w:color w:val="000000"/>
              </w:rPr>
              <w:t xml:space="preserve">Saskaņā ar MK noteikumu projektu, </w:t>
            </w:r>
            <w:r w:rsidR="003A39BE">
              <w:rPr>
                <w:color w:val="000000" w:themeColor="text1"/>
              </w:rPr>
              <w:t>m</w:t>
            </w:r>
            <w:r w:rsidR="00050339" w:rsidRPr="005934BE">
              <w:rPr>
                <w:color w:val="000000" w:themeColor="text1"/>
              </w:rPr>
              <w:t xml:space="preserve">inistrijai saglabājas veselības veicināšanas politikas </w:t>
            </w:r>
            <w:r w:rsidR="003A39BE">
              <w:rPr>
                <w:color w:val="000000" w:themeColor="text1"/>
              </w:rPr>
              <w:t xml:space="preserve">izstrādes </w:t>
            </w:r>
            <w:r w:rsidR="00EF1D02" w:rsidRPr="005934BE">
              <w:rPr>
                <w:color w:val="000000" w:themeColor="text1"/>
              </w:rPr>
              <w:t xml:space="preserve">un </w:t>
            </w:r>
            <w:r w:rsidR="003A39BE">
              <w:rPr>
                <w:color w:val="000000" w:themeColor="text1"/>
              </w:rPr>
              <w:t xml:space="preserve">īstenošanas </w:t>
            </w:r>
            <w:r w:rsidR="00EF1D02" w:rsidRPr="005934BE">
              <w:rPr>
                <w:color w:val="000000" w:themeColor="text1"/>
              </w:rPr>
              <w:t>uzraudzības uzdevumi, kuru</w:t>
            </w:r>
            <w:r w:rsidR="003A39BE">
              <w:rPr>
                <w:color w:val="000000" w:themeColor="text1"/>
              </w:rPr>
              <w:t>s</w:t>
            </w:r>
            <w:r w:rsidR="00EF1D02" w:rsidRPr="005934BE">
              <w:rPr>
                <w:color w:val="000000" w:themeColor="text1"/>
              </w:rPr>
              <w:t xml:space="preserve"> īsteno</w:t>
            </w:r>
            <w:r w:rsidR="003A39BE">
              <w:rPr>
                <w:color w:val="000000" w:themeColor="text1"/>
              </w:rPr>
              <w:t>s ministrijas darbinieki. MK noteikumu projekta rezultātā</w:t>
            </w:r>
            <w:r w:rsidR="00050339" w:rsidRPr="005934BE">
              <w:rPr>
                <w:color w:val="000000" w:themeColor="text1"/>
              </w:rPr>
              <w:t xml:space="preserve"> </w:t>
            </w:r>
            <w:r w:rsidR="003A39BE">
              <w:rPr>
                <w:color w:val="000000" w:themeColor="text1"/>
              </w:rPr>
              <w:t xml:space="preserve">netiks </w:t>
            </w:r>
            <w:r w:rsidR="00050339" w:rsidRPr="005934BE">
              <w:rPr>
                <w:color w:val="000000" w:themeColor="text1"/>
              </w:rPr>
              <w:t>samazināt</w:t>
            </w:r>
            <w:r w:rsidR="003A39BE">
              <w:rPr>
                <w:color w:val="000000" w:themeColor="text1"/>
              </w:rPr>
              <w:t>s</w:t>
            </w:r>
            <w:r w:rsidR="00050339" w:rsidRPr="005934BE">
              <w:rPr>
                <w:color w:val="000000" w:themeColor="text1"/>
              </w:rPr>
              <w:t xml:space="preserve"> </w:t>
            </w:r>
            <w:r w:rsidR="00FA35C4">
              <w:rPr>
                <w:color w:val="000000" w:themeColor="text1"/>
              </w:rPr>
              <w:t>kopējais ministrijas darbinieku skaits.</w:t>
            </w:r>
            <w:r w:rsidR="00050339" w:rsidRPr="005934BE">
              <w:rPr>
                <w:color w:val="000000" w:themeColor="text1"/>
              </w:rPr>
              <w:t xml:space="preserve"> </w:t>
            </w:r>
            <w:r w:rsidR="003A39BE">
              <w:rPr>
                <w:color w:val="000000" w:themeColor="text1"/>
              </w:rPr>
              <w:t>Turpretī c</w:t>
            </w:r>
            <w:r w:rsidR="00FA35C4">
              <w:rPr>
                <w:color w:val="000000" w:themeColor="text1"/>
              </w:rPr>
              <w:t>entrā,</w:t>
            </w:r>
            <w:r w:rsidR="00AE2977" w:rsidRPr="005934BE">
              <w:rPr>
                <w:color w:val="000000" w:themeColor="text1"/>
              </w:rPr>
              <w:t xml:space="preserve"> esošā finansējuma ietvaros</w:t>
            </w:r>
            <w:r w:rsidR="00FA35C4">
              <w:rPr>
                <w:color w:val="000000" w:themeColor="text1"/>
              </w:rPr>
              <w:t>,</w:t>
            </w:r>
            <w:r w:rsidR="00AE2977" w:rsidRPr="005934BE">
              <w:rPr>
                <w:color w:val="000000" w:themeColor="text1"/>
              </w:rPr>
              <w:t xml:space="preserve"> ar 2013.gada 1.janvāri </w:t>
            </w:r>
            <w:r w:rsidR="00FA35C4">
              <w:rPr>
                <w:color w:val="000000" w:themeColor="text1"/>
              </w:rPr>
              <w:t xml:space="preserve">tiks nodrošinātas 3 jaunas amata vietas </w:t>
            </w:r>
            <w:r w:rsidR="00AE2977" w:rsidRPr="005934BE">
              <w:rPr>
                <w:color w:val="000000" w:themeColor="text1"/>
              </w:rPr>
              <w:t xml:space="preserve">veselības veicināšanas </w:t>
            </w:r>
            <w:r w:rsidR="003A39BE">
              <w:rPr>
                <w:color w:val="000000" w:themeColor="text1"/>
              </w:rPr>
              <w:t xml:space="preserve">koordinācijas </w:t>
            </w:r>
            <w:r w:rsidR="00AE2977" w:rsidRPr="005934BE">
              <w:rPr>
                <w:color w:val="000000" w:themeColor="text1"/>
              </w:rPr>
              <w:t>uzdevumu izpildei (ņemot vērā, ka amata vietas nav pārceļamas no ministrijas, jo ministrijā nav atsevišķu amata vienību, kas nodarbotos tikai a</w:t>
            </w:r>
            <w:r w:rsidR="00FA35C4">
              <w:rPr>
                <w:color w:val="000000" w:themeColor="text1"/>
              </w:rPr>
              <w:t>r šiem uzdevumiem)</w:t>
            </w:r>
            <w:r w:rsidR="00AE2977" w:rsidRPr="005934BE">
              <w:rPr>
                <w:color w:val="000000" w:themeColor="text1"/>
              </w:rPr>
              <w:t>. Amata vietu limits (bez finansējuma) tiks nodrošināts no Valsts asinsdonoru centra vakancēm, tādējādi nemainot nozares kopējo maksimālo amata vietu skaitu.</w:t>
            </w:r>
          </w:p>
        </w:tc>
      </w:tr>
      <w:tr w:rsidR="0047429F" w:rsidRPr="005934BE" w:rsidTr="00FD15EF">
        <w:trPr>
          <w:trHeight w:val="517"/>
        </w:trPr>
        <w:tc>
          <w:tcPr>
            <w:tcW w:w="425" w:type="dxa"/>
          </w:tcPr>
          <w:p w:rsidR="0047429F" w:rsidRPr="005934BE" w:rsidRDefault="0047429F" w:rsidP="0047429F">
            <w:pPr>
              <w:pStyle w:val="naiskr"/>
              <w:spacing w:before="0" w:after="0"/>
            </w:pPr>
            <w:r w:rsidRPr="005934BE">
              <w:lastRenderedPageBreak/>
              <w:t>4.</w:t>
            </w:r>
          </w:p>
        </w:tc>
        <w:tc>
          <w:tcPr>
            <w:tcW w:w="3266" w:type="dxa"/>
          </w:tcPr>
          <w:p w:rsidR="0047429F" w:rsidRPr="005934BE" w:rsidRDefault="0047429F" w:rsidP="0047429F">
            <w:pPr>
              <w:pStyle w:val="naiskr"/>
              <w:spacing w:before="0" w:after="0"/>
            </w:pPr>
            <w:r w:rsidRPr="005934BE">
              <w:t>Tiesiskā regulējuma nefinansiālā ietekme</w:t>
            </w:r>
          </w:p>
        </w:tc>
        <w:tc>
          <w:tcPr>
            <w:tcW w:w="5920" w:type="dxa"/>
          </w:tcPr>
          <w:p w:rsidR="0047429F" w:rsidRPr="005934BE" w:rsidRDefault="00A22B94" w:rsidP="0047429F">
            <w:pPr>
              <w:pStyle w:val="naiskr"/>
              <w:spacing w:before="0" w:after="0"/>
            </w:pPr>
            <w:r w:rsidRPr="005934BE">
              <w:rPr>
                <w:iCs/>
              </w:rPr>
              <w:t>Projekts šo jomu neskar</w:t>
            </w:r>
          </w:p>
        </w:tc>
      </w:tr>
      <w:tr w:rsidR="0047429F" w:rsidRPr="005934BE" w:rsidTr="00FD15EF">
        <w:trPr>
          <w:trHeight w:val="531"/>
        </w:trPr>
        <w:tc>
          <w:tcPr>
            <w:tcW w:w="425" w:type="dxa"/>
          </w:tcPr>
          <w:p w:rsidR="0047429F" w:rsidRPr="005934BE" w:rsidRDefault="0047429F" w:rsidP="0047429F">
            <w:pPr>
              <w:pStyle w:val="naiskr"/>
              <w:spacing w:before="0" w:after="0"/>
            </w:pPr>
            <w:r w:rsidRPr="005934BE">
              <w:t>5.</w:t>
            </w:r>
          </w:p>
        </w:tc>
        <w:tc>
          <w:tcPr>
            <w:tcW w:w="3266" w:type="dxa"/>
          </w:tcPr>
          <w:p w:rsidR="0047429F" w:rsidRPr="005934BE" w:rsidRDefault="0047429F" w:rsidP="0047429F">
            <w:pPr>
              <w:pStyle w:val="naiskr"/>
              <w:spacing w:before="0" w:after="0"/>
            </w:pPr>
            <w:r w:rsidRPr="005934BE">
              <w:t>Administratīvās procedūras raksturojums</w:t>
            </w:r>
          </w:p>
        </w:tc>
        <w:tc>
          <w:tcPr>
            <w:tcW w:w="5920" w:type="dxa"/>
          </w:tcPr>
          <w:p w:rsidR="0047429F" w:rsidRPr="005934BE" w:rsidRDefault="00A22B94" w:rsidP="0047429F">
            <w:pPr>
              <w:pStyle w:val="naiskr"/>
              <w:spacing w:before="0" w:after="0"/>
            </w:pPr>
            <w:r w:rsidRPr="005934BE">
              <w:rPr>
                <w:iCs/>
              </w:rPr>
              <w:t>Projekts šo jomu neskar</w:t>
            </w:r>
          </w:p>
        </w:tc>
      </w:tr>
      <w:tr w:rsidR="0047429F" w:rsidRPr="005934BE" w:rsidTr="00FD15EF">
        <w:trPr>
          <w:trHeight w:val="357"/>
        </w:trPr>
        <w:tc>
          <w:tcPr>
            <w:tcW w:w="425" w:type="dxa"/>
          </w:tcPr>
          <w:p w:rsidR="0047429F" w:rsidRPr="005934BE" w:rsidRDefault="0047429F" w:rsidP="0047429F">
            <w:pPr>
              <w:pStyle w:val="naiskr"/>
              <w:spacing w:before="0" w:after="0"/>
            </w:pPr>
            <w:r w:rsidRPr="005934BE">
              <w:t>6.</w:t>
            </w:r>
          </w:p>
        </w:tc>
        <w:tc>
          <w:tcPr>
            <w:tcW w:w="3266" w:type="dxa"/>
          </w:tcPr>
          <w:p w:rsidR="0047429F" w:rsidRPr="005934BE" w:rsidRDefault="0047429F" w:rsidP="0047429F">
            <w:pPr>
              <w:pStyle w:val="naiskr"/>
              <w:spacing w:before="0" w:after="0"/>
            </w:pPr>
            <w:r w:rsidRPr="005934BE">
              <w:t>Administratīvo izmaksu monetārs novērtējums</w:t>
            </w:r>
          </w:p>
        </w:tc>
        <w:tc>
          <w:tcPr>
            <w:tcW w:w="5920" w:type="dxa"/>
          </w:tcPr>
          <w:p w:rsidR="0047429F" w:rsidRPr="005934BE" w:rsidRDefault="00622396" w:rsidP="0047429F">
            <w:pPr>
              <w:pStyle w:val="naiskr"/>
              <w:spacing w:before="0" w:after="0"/>
            </w:pPr>
            <w:r w:rsidRPr="005934BE">
              <w:rPr>
                <w:iCs/>
              </w:rPr>
              <w:t>Projekts šo jomu neskar</w:t>
            </w:r>
          </w:p>
        </w:tc>
      </w:tr>
      <w:tr w:rsidR="0047429F" w:rsidRPr="005934BE" w:rsidTr="00FD15EF">
        <w:tc>
          <w:tcPr>
            <w:tcW w:w="425" w:type="dxa"/>
          </w:tcPr>
          <w:p w:rsidR="0047429F" w:rsidRPr="005934BE" w:rsidRDefault="0047429F" w:rsidP="0047429F">
            <w:pPr>
              <w:pStyle w:val="naiskr"/>
              <w:spacing w:before="0" w:after="0"/>
            </w:pPr>
            <w:r w:rsidRPr="005934BE">
              <w:t>7.</w:t>
            </w:r>
          </w:p>
        </w:tc>
        <w:tc>
          <w:tcPr>
            <w:tcW w:w="3266" w:type="dxa"/>
          </w:tcPr>
          <w:p w:rsidR="0047429F" w:rsidRPr="005934BE" w:rsidRDefault="0047429F" w:rsidP="0047429F">
            <w:pPr>
              <w:pStyle w:val="naiskr"/>
              <w:spacing w:before="0" w:after="0"/>
            </w:pPr>
            <w:r w:rsidRPr="005934BE">
              <w:t>Cita informācija</w:t>
            </w:r>
          </w:p>
        </w:tc>
        <w:tc>
          <w:tcPr>
            <w:tcW w:w="5920" w:type="dxa"/>
          </w:tcPr>
          <w:p w:rsidR="0047429F" w:rsidRPr="005934BE" w:rsidRDefault="00EF1D02" w:rsidP="0047429F">
            <w:pPr>
              <w:pStyle w:val="naiskr"/>
              <w:spacing w:before="0" w:after="0"/>
            </w:pPr>
            <w:r w:rsidRPr="005934BE">
              <w:t>Nav</w:t>
            </w:r>
          </w:p>
        </w:tc>
      </w:tr>
    </w:tbl>
    <w:p w:rsidR="00361AFD" w:rsidRDefault="00361AFD" w:rsidP="00135306">
      <w:pPr>
        <w:pStyle w:val="naisf"/>
        <w:spacing w:before="0" w:after="0"/>
        <w:ind w:firstLine="0"/>
        <w:rPr>
          <w:color w:val="000000"/>
          <w:sz w:val="28"/>
          <w:szCs w:val="28"/>
        </w:rPr>
      </w:pPr>
    </w:p>
    <w:tbl>
      <w:tblPr>
        <w:tblW w:w="9760"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1331"/>
        <w:gridCol w:w="1354"/>
        <w:gridCol w:w="1354"/>
        <w:gridCol w:w="1355"/>
        <w:gridCol w:w="1406"/>
      </w:tblGrid>
      <w:tr w:rsidR="00E07E52" w:rsidRPr="005934BE" w:rsidTr="0027554C">
        <w:trPr>
          <w:trHeight w:val="283"/>
          <w:jc w:val="center"/>
        </w:trPr>
        <w:tc>
          <w:tcPr>
            <w:tcW w:w="9760" w:type="dxa"/>
            <w:gridSpan w:val="6"/>
            <w:vAlign w:val="center"/>
          </w:tcPr>
          <w:p w:rsidR="00E07E52" w:rsidRPr="005934BE" w:rsidRDefault="00E07E52" w:rsidP="00E07E52">
            <w:pPr>
              <w:pStyle w:val="naisnod"/>
              <w:spacing w:before="0" w:after="0"/>
              <w:rPr>
                <w:i/>
              </w:rPr>
            </w:pPr>
            <w:r w:rsidRPr="005934BE">
              <w:br w:type="page"/>
              <w:t>III. Tiesību akta projekta ietekme uz valsts budžetu un pašvaldību budžetiem</w:t>
            </w:r>
          </w:p>
        </w:tc>
      </w:tr>
      <w:tr w:rsidR="00E07E52" w:rsidRPr="005934BE" w:rsidTr="0027554C">
        <w:trPr>
          <w:jc w:val="center"/>
        </w:trPr>
        <w:tc>
          <w:tcPr>
            <w:tcW w:w="2960" w:type="dxa"/>
            <w:vMerge w:val="restart"/>
            <w:vAlign w:val="center"/>
          </w:tcPr>
          <w:p w:rsidR="00E07E52" w:rsidRPr="005934BE" w:rsidRDefault="00E07E52" w:rsidP="00E07E52">
            <w:pPr>
              <w:pStyle w:val="naisf"/>
              <w:spacing w:before="0" w:after="0"/>
              <w:ind w:firstLine="0"/>
              <w:jc w:val="center"/>
              <w:rPr>
                <w:b/>
              </w:rPr>
            </w:pPr>
            <w:r w:rsidRPr="005934BE">
              <w:rPr>
                <w:b/>
              </w:rPr>
              <w:t>Rādītāji</w:t>
            </w:r>
          </w:p>
        </w:tc>
        <w:tc>
          <w:tcPr>
            <w:tcW w:w="2685" w:type="dxa"/>
            <w:gridSpan w:val="2"/>
            <w:vMerge w:val="restart"/>
            <w:vAlign w:val="center"/>
          </w:tcPr>
          <w:p w:rsidR="00E07E52" w:rsidRPr="005934BE" w:rsidRDefault="002E76AD" w:rsidP="00E07E52">
            <w:pPr>
              <w:pStyle w:val="naisf"/>
              <w:spacing w:before="0" w:after="0"/>
              <w:ind w:firstLine="0"/>
              <w:jc w:val="center"/>
              <w:rPr>
                <w:b/>
              </w:rPr>
            </w:pPr>
            <w:r>
              <w:rPr>
                <w:b/>
              </w:rPr>
              <w:t>2012</w:t>
            </w:r>
            <w:r w:rsidR="00521EEB">
              <w:rPr>
                <w:b/>
              </w:rPr>
              <w:t>.</w:t>
            </w:r>
            <w:r w:rsidR="00E07E52" w:rsidRPr="005934BE">
              <w:rPr>
                <w:b/>
              </w:rPr>
              <w:t xml:space="preserve"> gads</w:t>
            </w:r>
          </w:p>
        </w:tc>
        <w:tc>
          <w:tcPr>
            <w:tcW w:w="4115" w:type="dxa"/>
            <w:gridSpan w:val="3"/>
            <w:vAlign w:val="center"/>
          </w:tcPr>
          <w:p w:rsidR="00E07E52" w:rsidRPr="005934BE" w:rsidRDefault="00E07E52" w:rsidP="00E07E52">
            <w:pPr>
              <w:pStyle w:val="naisf"/>
              <w:spacing w:before="0" w:after="0"/>
              <w:ind w:firstLine="0"/>
              <w:jc w:val="center"/>
              <w:rPr>
                <w:b/>
                <w:i/>
              </w:rPr>
            </w:pPr>
            <w:r w:rsidRPr="005934BE">
              <w:t>Turpmākie trīs gadi (tūkst</w:t>
            </w:r>
            <w:smartTag w:uri="schemas-tilde-lv/tildestengine" w:element="currency2">
              <w:smartTagPr>
                <w:attr w:name="currency_id" w:val="48"/>
                <w:attr w:name="currency_key" w:val="LVL"/>
                <w:attr w:name="currency_value" w:val="."/>
                <w:attr w:name="currency_text" w:val="latu"/>
              </w:smartTagPr>
              <w:r w:rsidRPr="005934BE">
                <w:t>. latu</w:t>
              </w:r>
            </w:smartTag>
            <w:r w:rsidRPr="005934BE">
              <w:t>)</w:t>
            </w:r>
          </w:p>
        </w:tc>
      </w:tr>
      <w:tr w:rsidR="00E07E52" w:rsidRPr="005934BE" w:rsidTr="0027554C">
        <w:trPr>
          <w:jc w:val="center"/>
        </w:trPr>
        <w:tc>
          <w:tcPr>
            <w:tcW w:w="2960" w:type="dxa"/>
            <w:vMerge/>
            <w:vAlign w:val="center"/>
          </w:tcPr>
          <w:p w:rsidR="00E07E52" w:rsidRPr="005934BE" w:rsidRDefault="00E07E52" w:rsidP="00E07E52">
            <w:pPr>
              <w:pStyle w:val="naisf"/>
              <w:spacing w:before="0" w:after="0"/>
              <w:ind w:firstLine="0"/>
              <w:jc w:val="center"/>
              <w:rPr>
                <w:b/>
                <w:i/>
              </w:rPr>
            </w:pPr>
          </w:p>
        </w:tc>
        <w:tc>
          <w:tcPr>
            <w:tcW w:w="2685" w:type="dxa"/>
            <w:gridSpan w:val="2"/>
            <w:vMerge/>
            <w:vAlign w:val="center"/>
          </w:tcPr>
          <w:p w:rsidR="00E07E52" w:rsidRPr="005934BE" w:rsidRDefault="00E07E52" w:rsidP="00E07E52">
            <w:pPr>
              <w:pStyle w:val="naisf"/>
              <w:spacing w:before="0" w:after="0"/>
              <w:ind w:firstLine="0"/>
              <w:jc w:val="center"/>
              <w:rPr>
                <w:b/>
                <w:i/>
              </w:rPr>
            </w:pPr>
          </w:p>
        </w:tc>
        <w:tc>
          <w:tcPr>
            <w:tcW w:w="1354" w:type="dxa"/>
            <w:vAlign w:val="center"/>
          </w:tcPr>
          <w:p w:rsidR="00E07E52" w:rsidRPr="005934BE" w:rsidRDefault="002E76AD" w:rsidP="00E07E52">
            <w:pPr>
              <w:pStyle w:val="naisf"/>
              <w:spacing w:before="0" w:after="0"/>
              <w:ind w:firstLine="0"/>
              <w:jc w:val="center"/>
              <w:rPr>
                <w:b/>
                <w:i/>
              </w:rPr>
            </w:pPr>
            <w:r>
              <w:rPr>
                <w:b/>
                <w:bCs/>
              </w:rPr>
              <w:t>2013</w:t>
            </w:r>
          </w:p>
        </w:tc>
        <w:tc>
          <w:tcPr>
            <w:tcW w:w="1355" w:type="dxa"/>
            <w:vAlign w:val="center"/>
          </w:tcPr>
          <w:p w:rsidR="00E07E52" w:rsidRPr="005934BE" w:rsidRDefault="002E76AD" w:rsidP="002E76AD">
            <w:pPr>
              <w:pStyle w:val="naisf"/>
              <w:spacing w:before="0" w:after="0"/>
              <w:ind w:firstLine="0"/>
              <w:rPr>
                <w:b/>
                <w:i/>
              </w:rPr>
            </w:pPr>
            <w:r>
              <w:rPr>
                <w:b/>
                <w:bCs/>
              </w:rPr>
              <w:t xml:space="preserve">     2014</w:t>
            </w:r>
          </w:p>
        </w:tc>
        <w:tc>
          <w:tcPr>
            <w:tcW w:w="1406" w:type="dxa"/>
            <w:vAlign w:val="center"/>
          </w:tcPr>
          <w:p w:rsidR="00E07E52" w:rsidRPr="005934BE" w:rsidRDefault="002E76AD" w:rsidP="00E07E52">
            <w:pPr>
              <w:pStyle w:val="naisf"/>
              <w:spacing w:before="0" w:after="0"/>
              <w:ind w:firstLine="0"/>
              <w:jc w:val="center"/>
              <w:rPr>
                <w:b/>
                <w:i/>
              </w:rPr>
            </w:pPr>
            <w:r>
              <w:rPr>
                <w:b/>
                <w:bCs/>
              </w:rPr>
              <w:t>2015</w:t>
            </w:r>
          </w:p>
        </w:tc>
      </w:tr>
      <w:tr w:rsidR="00E07E52" w:rsidRPr="005934BE" w:rsidTr="0027554C">
        <w:trPr>
          <w:jc w:val="center"/>
        </w:trPr>
        <w:tc>
          <w:tcPr>
            <w:tcW w:w="2960" w:type="dxa"/>
            <w:vMerge/>
            <w:vAlign w:val="center"/>
          </w:tcPr>
          <w:p w:rsidR="00E07E52" w:rsidRPr="005934BE" w:rsidRDefault="00E07E52" w:rsidP="00E07E52">
            <w:pPr>
              <w:pStyle w:val="naisf"/>
              <w:spacing w:before="0" w:after="0"/>
              <w:ind w:firstLine="0"/>
              <w:jc w:val="center"/>
              <w:rPr>
                <w:b/>
                <w:i/>
              </w:rPr>
            </w:pPr>
          </w:p>
        </w:tc>
        <w:tc>
          <w:tcPr>
            <w:tcW w:w="1331" w:type="dxa"/>
            <w:vAlign w:val="center"/>
          </w:tcPr>
          <w:p w:rsidR="00E07E52" w:rsidRPr="005934BE" w:rsidRDefault="00E07E52" w:rsidP="00E07E52">
            <w:pPr>
              <w:pStyle w:val="naisf"/>
              <w:spacing w:before="0" w:after="0"/>
              <w:ind w:firstLine="0"/>
              <w:jc w:val="center"/>
              <w:rPr>
                <w:b/>
                <w:i/>
              </w:rPr>
            </w:pPr>
            <w:r w:rsidRPr="005934BE">
              <w:t>Saskaņā ar valsts budžetu kārtējam gadam</w:t>
            </w:r>
          </w:p>
        </w:tc>
        <w:tc>
          <w:tcPr>
            <w:tcW w:w="1354" w:type="dxa"/>
            <w:vAlign w:val="center"/>
          </w:tcPr>
          <w:p w:rsidR="00E07E52" w:rsidRPr="005934BE" w:rsidRDefault="00E07E52" w:rsidP="00E07E52">
            <w:pPr>
              <w:pStyle w:val="naisf"/>
              <w:spacing w:before="0" w:after="0"/>
              <w:ind w:firstLine="0"/>
              <w:jc w:val="center"/>
              <w:rPr>
                <w:b/>
                <w:i/>
              </w:rPr>
            </w:pPr>
            <w:r w:rsidRPr="005934BE">
              <w:t>Izmaiņas kārtējā gadā, salīdzinot ar budžetu kārtējam gadam</w:t>
            </w:r>
          </w:p>
        </w:tc>
        <w:tc>
          <w:tcPr>
            <w:tcW w:w="1354" w:type="dxa"/>
            <w:vAlign w:val="center"/>
          </w:tcPr>
          <w:p w:rsidR="00E07E52" w:rsidRPr="005934BE" w:rsidRDefault="00E07E52" w:rsidP="00E07E52">
            <w:pPr>
              <w:pStyle w:val="naisf"/>
              <w:spacing w:before="0" w:after="0"/>
              <w:ind w:firstLine="0"/>
              <w:jc w:val="center"/>
              <w:rPr>
                <w:b/>
                <w:i/>
              </w:rPr>
            </w:pPr>
            <w:r w:rsidRPr="005934BE">
              <w:t>Izmaiņas, salīdzinot ar kārtējo (n) gadu</w:t>
            </w:r>
          </w:p>
        </w:tc>
        <w:tc>
          <w:tcPr>
            <w:tcW w:w="1355" w:type="dxa"/>
            <w:vAlign w:val="center"/>
          </w:tcPr>
          <w:p w:rsidR="00E07E52" w:rsidRPr="005934BE" w:rsidRDefault="00E07E52" w:rsidP="00E07E52">
            <w:pPr>
              <w:pStyle w:val="naisf"/>
              <w:spacing w:before="0" w:after="0"/>
              <w:ind w:firstLine="0"/>
              <w:jc w:val="center"/>
              <w:rPr>
                <w:b/>
                <w:i/>
              </w:rPr>
            </w:pPr>
            <w:r w:rsidRPr="005934BE">
              <w:t>Izmaiņas, salīdzinot ar kārtējo (n) gadu</w:t>
            </w:r>
          </w:p>
        </w:tc>
        <w:tc>
          <w:tcPr>
            <w:tcW w:w="1406" w:type="dxa"/>
            <w:vAlign w:val="center"/>
          </w:tcPr>
          <w:p w:rsidR="00E07E52" w:rsidRPr="005934BE" w:rsidRDefault="00E07E52" w:rsidP="00E07E52">
            <w:pPr>
              <w:pStyle w:val="naisf"/>
              <w:spacing w:before="0" w:after="0"/>
              <w:ind w:firstLine="0"/>
              <w:jc w:val="center"/>
              <w:rPr>
                <w:b/>
                <w:i/>
              </w:rPr>
            </w:pPr>
            <w:r w:rsidRPr="005934BE">
              <w:t>Izmaiņas, salīdzinot ar kārtējo (n) gadu</w:t>
            </w:r>
          </w:p>
        </w:tc>
      </w:tr>
      <w:tr w:rsidR="00E07E52" w:rsidRPr="005934BE" w:rsidTr="0027554C">
        <w:trPr>
          <w:jc w:val="center"/>
        </w:trPr>
        <w:tc>
          <w:tcPr>
            <w:tcW w:w="2960" w:type="dxa"/>
            <w:vAlign w:val="center"/>
          </w:tcPr>
          <w:p w:rsidR="00E07E52" w:rsidRPr="005934BE" w:rsidRDefault="00E07E52" w:rsidP="00E07E52">
            <w:pPr>
              <w:pStyle w:val="naisf"/>
              <w:spacing w:before="0" w:after="0"/>
              <w:ind w:firstLine="0"/>
              <w:jc w:val="center"/>
              <w:rPr>
                <w:bCs/>
              </w:rPr>
            </w:pPr>
            <w:r w:rsidRPr="005934BE">
              <w:rPr>
                <w:bCs/>
              </w:rPr>
              <w:t>1</w:t>
            </w:r>
          </w:p>
        </w:tc>
        <w:tc>
          <w:tcPr>
            <w:tcW w:w="1331" w:type="dxa"/>
            <w:vAlign w:val="center"/>
          </w:tcPr>
          <w:p w:rsidR="00E07E52" w:rsidRPr="005934BE" w:rsidRDefault="00E07E52" w:rsidP="00E07E52">
            <w:pPr>
              <w:pStyle w:val="naisf"/>
              <w:spacing w:before="0" w:after="0"/>
              <w:ind w:firstLine="0"/>
              <w:jc w:val="center"/>
              <w:rPr>
                <w:bCs/>
              </w:rPr>
            </w:pPr>
            <w:r w:rsidRPr="005934BE">
              <w:rPr>
                <w:bCs/>
              </w:rPr>
              <w:t>2</w:t>
            </w:r>
          </w:p>
        </w:tc>
        <w:tc>
          <w:tcPr>
            <w:tcW w:w="1354" w:type="dxa"/>
            <w:vAlign w:val="center"/>
          </w:tcPr>
          <w:p w:rsidR="00E07E52" w:rsidRPr="005934BE" w:rsidRDefault="00E07E52" w:rsidP="00E07E52">
            <w:pPr>
              <w:pStyle w:val="naisf"/>
              <w:spacing w:before="0" w:after="0"/>
              <w:ind w:firstLine="0"/>
              <w:jc w:val="center"/>
              <w:rPr>
                <w:bCs/>
              </w:rPr>
            </w:pPr>
            <w:r w:rsidRPr="005934BE">
              <w:rPr>
                <w:bCs/>
              </w:rPr>
              <w:t>3</w:t>
            </w:r>
          </w:p>
        </w:tc>
        <w:tc>
          <w:tcPr>
            <w:tcW w:w="1354" w:type="dxa"/>
            <w:vAlign w:val="center"/>
          </w:tcPr>
          <w:p w:rsidR="00E07E52" w:rsidRPr="005934BE" w:rsidRDefault="00E07E52" w:rsidP="00E07E52">
            <w:pPr>
              <w:pStyle w:val="naisf"/>
              <w:spacing w:before="0" w:after="0"/>
              <w:ind w:firstLine="0"/>
              <w:jc w:val="center"/>
              <w:rPr>
                <w:bCs/>
              </w:rPr>
            </w:pPr>
            <w:r w:rsidRPr="005934BE">
              <w:rPr>
                <w:bCs/>
              </w:rPr>
              <w:t>4</w:t>
            </w:r>
          </w:p>
        </w:tc>
        <w:tc>
          <w:tcPr>
            <w:tcW w:w="1355" w:type="dxa"/>
            <w:vAlign w:val="center"/>
          </w:tcPr>
          <w:p w:rsidR="00E07E52" w:rsidRPr="005934BE" w:rsidRDefault="00E07E52" w:rsidP="00E07E52">
            <w:pPr>
              <w:pStyle w:val="naisf"/>
              <w:spacing w:before="0" w:after="0"/>
              <w:ind w:firstLine="0"/>
              <w:jc w:val="center"/>
              <w:rPr>
                <w:bCs/>
              </w:rPr>
            </w:pPr>
            <w:r w:rsidRPr="005934BE">
              <w:rPr>
                <w:bCs/>
              </w:rPr>
              <w:t>5</w:t>
            </w:r>
          </w:p>
        </w:tc>
        <w:tc>
          <w:tcPr>
            <w:tcW w:w="1406" w:type="dxa"/>
            <w:vAlign w:val="center"/>
          </w:tcPr>
          <w:p w:rsidR="00E07E52" w:rsidRPr="005934BE" w:rsidRDefault="00E07E52" w:rsidP="00E07E52">
            <w:pPr>
              <w:pStyle w:val="naisf"/>
              <w:spacing w:before="0" w:after="0"/>
              <w:ind w:firstLine="0"/>
              <w:jc w:val="center"/>
              <w:rPr>
                <w:bCs/>
              </w:rPr>
            </w:pPr>
            <w:r w:rsidRPr="005934BE">
              <w:rPr>
                <w:bCs/>
              </w:rPr>
              <w:t>6</w:t>
            </w:r>
          </w:p>
        </w:tc>
      </w:tr>
      <w:tr w:rsidR="00E07E52" w:rsidRPr="005934BE" w:rsidTr="0027554C">
        <w:trPr>
          <w:jc w:val="center"/>
        </w:trPr>
        <w:tc>
          <w:tcPr>
            <w:tcW w:w="2960" w:type="dxa"/>
          </w:tcPr>
          <w:p w:rsidR="00E07E52" w:rsidRPr="005934BE" w:rsidRDefault="00E07E52" w:rsidP="00E07E52">
            <w:pPr>
              <w:pStyle w:val="naisf"/>
              <w:spacing w:before="0" w:after="0"/>
              <w:ind w:firstLine="0"/>
              <w:rPr>
                <w:b/>
                <w:i/>
              </w:rPr>
            </w:pPr>
            <w:r w:rsidRPr="005934BE">
              <w:rPr>
                <w:b/>
              </w:rPr>
              <w:t>1. Budžeta ieņēmumi:</w:t>
            </w:r>
          </w:p>
        </w:tc>
        <w:tc>
          <w:tcPr>
            <w:tcW w:w="1331" w:type="dxa"/>
          </w:tcPr>
          <w:p w:rsidR="00E07E52" w:rsidRPr="005934BE" w:rsidRDefault="00E07E52" w:rsidP="00E07E52">
            <w:pPr>
              <w:pStyle w:val="naisf"/>
              <w:spacing w:before="0" w:after="0"/>
              <w:ind w:firstLine="0"/>
              <w:jc w:val="right"/>
              <w:rPr>
                <w:b/>
              </w:rPr>
            </w:pPr>
            <w:r w:rsidRPr="005934BE">
              <w:rPr>
                <w:b/>
              </w:rPr>
              <w:t>1 700,3</w:t>
            </w:r>
          </w:p>
        </w:tc>
        <w:tc>
          <w:tcPr>
            <w:tcW w:w="1354" w:type="dxa"/>
          </w:tcPr>
          <w:p w:rsidR="00E07E52" w:rsidRPr="005934BE" w:rsidRDefault="00E07E52" w:rsidP="00E07E52">
            <w:pPr>
              <w:pStyle w:val="naisf"/>
              <w:spacing w:before="0" w:after="0"/>
              <w:ind w:firstLine="0"/>
              <w:jc w:val="right"/>
              <w:rPr>
                <w:b/>
              </w:rPr>
            </w:pPr>
            <w:r w:rsidRPr="005934BE">
              <w:rPr>
                <w:b/>
              </w:rPr>
              <w:t>0,0</w:t>
            </w:r>
            <w:r w:rsidR="00521EEB">
              <w:rPr>
                <w:b/>
              </w:rPr>
              <w:t>0</w:t>
            </w:r>
          </w:p>
        </w:tc>
        <w:tc>
          <w:tcPr>
            <w:tcW w:w="1354" w:type="dxa"/>
          </w:tcPr>
          <w:p w:rsidR="00E07E52" w:rsidRPr="005934BE" w:rsidRDefault="00521EEB" w:rsidP="00E07E52">
            <w:pPr>
              <w:pStyle w:val="naisf"/>
              <w:spacing w:before="0" w:after="0"/>
              <w:ind w:firstLine="0"/>
              <w:jc w:val="right"/>
              <w:rPr>
                <w:b/>
              </w:rPr>
            </w:pPr>
            <w:r>
              <w:rPr>
                <w:b/>
              </w:rPr>
              <w:t>0,00</w:t>
            </w:r>
          </w:p>
        </w:tc>
        <w:tc>
          <w:tcPr>
            <w:tcW w:w="1355" w:type="dxa"/>
          </w:tcPr>
          <w:p w:rsidR="00E07E52" w:rsidRPr="005934BE" w:rsidRDefault="00521EEB" w:rsidP="00E07E52">
            <w:pPr>
              <w:pStyle w:val="naisf"/>
              <w:spacing w:before="0" w:after="0"/>
              <w:ind w:firstLine="0"/>
              <w:jc w:val="right"/>
              <w:rPr>
                <w:b/>
              </w:rPr>
            </w:pPr>
            <w:r>
              <w:rPr>
                <w:b/>
              </w:rPr>
              <w:t>0,00</w:t>
            </w:r>
          </w:p>
        </w:tc>
        <w:tc>
          <w:tcPr>
            <w:tcW w:w="1406" w:type="dxa"/>
          </w:tcPr>
          <w:p w:rsidR="00E07E52" w:rsidRPr="005934BE" w:rsidRDefault="00521EEB" w:rsidP="00E07E52">
            <w:pPr>
              <w:pStyle w:val="naisf"/>
              <w:spacing w:before="0" w:after="0"/>
              <w:ind w:firstLine="0"/>
              <w:jc w:val="right"/>
              <w:rPr>
                <w:b/>
              </w:rPr>
            </w:pPr>
            <w:r>
              <w:rPr>
                <w:b/>
              </w:rPr>
              <w:t>0,00</w:t>
            </w:r>
          </w:p>
        </w:tc>
      </w:tr>
      <w:tr w:rsidR="00E07E52" w:rsidRPr="005934BE" w:rsidTr="0027554C">
        <w:trPr>
          <w:jc w:val="center"/>
        </w:trPr>
        <w:tc>
          <w:tcPr>
            <w:tcW w:w="2960" w:type="dxa"/>
          </w:tcPr>
          <w:p w:rsidR="00E07E52" w:rsidRPr="005934BE" w:rsidRDefault="00E07E52" w:rsidP="008C3FF8">
            <w:pPr>
              <w:pStyle w:val="naisf"/>
              <w:spacing w:before="0" w:after="0"/>
              <w:ind w:firstLine="0"/>
              <w:rPr>
                <w:i/>
                <w:noProof/>
              </w:rPr>
            </w:pPr>
            <w:r w:rsidRPr="005934BE">
              <w:rPr>
                <w:noProof/>
              </w:rPr>
              <w:t>1.1. valsts pamatbudžets, tai skaitā ieņēmumi no maksas pakalpojumiem un citi pašu ieņēmumi</w:t>
            </w:r>
          </w:p>
        </w:tc>
        <w:tc>
          <w:tcPr>
            <w:tcW w:w="1331" w:type="dxa"/>
            <w:vAlign w:val="center"/>
          </w:tcPr>
          <w:p w:rsidR="00E07E52" w:rsidRPr="005934BE" w:rsidRDefault="00E07E52" w:rsidP="00E07E52">
            <w:pPr>
              <w:pStyle w:val="naisf"/>
              <w:spacing w:before="0" w:after="0"/>
              <w:ind w:firstLine="0"/>
              <w:jc w:val="right"/>
            </w:pPr>
            <w:r w:rsidRPr="005934BE">
              <w:t>1 700,3</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521EEB" w:rsidP="00E07E52">
            <w:pPr>
              <w:pStyle w:val="naisf"/>
              <w:spacing w:before="0" w:after="0"/>
              <w:ind w:firstLine="0"/>
              <w:jc w:val="right"/>
            </w:pPr>
            <w:r>
              <w:t>0,00</w:t>
            </w:r>
          </w:p>
        </w:tc>
        <w:tc>
          <w:tcPr>
            <w:tcW w:w="1355" w:type="dxa"/>
            <w:vAlign w:val="center"/>
          </w:tcPr>
          <w:p w:rsidR="00E07E52" w:rsidRPr="005934BE" w:rsidRDefault="00521EEB" w:rsidP="00E07E52">
            <w:pPr>
              <w:pStyle w:val="naisf"/>
              <w:spacing w:before="0" w:after="0"/>
              <w:ind w:firstLine="0"/>
              <w:jc w:val="right"/>
            </w:pPr>
            <w:r>
              <w:t>0,00</w:t>
            </w:r>
          </w:p>
        </w:tc>
        <w:tc>
          <w:tcPr>
            <w:tcW w:w="1406" w:type="dxa"/>
            <w:vAlign w:val="center"/>
          </w:tcPr>
          <w:p w:rsidR="00E07E52" w:rsidRPr="005934BE" w:rsidRDefault="00521EEB" w:rsidP="00E07E52">
            <w:pPr>
              <w:pStyle w:val="naisf"/>
              <w:spacing w:before="0" w:after="0"/>
              <w:ind w:firstLine="0"/>
              <w:jc w:val="right"/>
            </w:pPr>
            <w:r>
              <w:t>0,00</w:t>
            </w:r>
          </w:p>
        </w:tc>
      </w:tr>
      <w:tr w:rsidR="008C3FF8" w:rsidRPr="005934BE" w:rsidTr="0027554C">
        <w:trPr>
          <w:jc w:val="center"/>
        </w:trPr>
        <w:tc>
          <w:tcPr>
            <w:tcW w:w="2960" w:type="dxa"/>
          </w:tcPr>
          <w:p w:rsidR="008C3FF8" w:rsidRPr="005934BE" w:rsidRDefault="008C3FF8" w:rsidP="008C3FF8">
            <w:pPr>
              <w:pStyle w:val="naisf"/>
              <w:spacing w:before="0" w:after="0"/>
              <w:ind w:left="95" w:firstLine="0"/>
              <w:jc w:val="left"/>
              <w:rPr>
                <w:noProof/>
              </w:rPr>
            </w:pPr>
            <w:r>
              <w:rPr>
                <w:noProof/>
              </w:rPr>
              <w:t>tai skaitā apakšprogramma 01.01.00 „Veselības aprūpes centrālā vadība”</w:t>
            </w:r>
          </w:p>
        </w:tc>
        <w:tc>
          <w:tcPr>
            <w:tcW w:w="1331" w:type="dxa"/>
            <w:vAlign w:val="center"/>
          </w:tcPr>
          <w:p w:rsidR="008C3FF8" w:rsidRPr="005934BE" w:rsidRDefault="008C3FF8" w:rsidP="00E07E52">
            <w:pPr>
              <w:pStyle w:val="naisf"/>
              <w:spacing w:before="0" w:after="0"/>
              <w:ind w:firstLine="0"/>
              <w:jc w:val="right"/>
            </w:pPr>
            <w:r>
              <w:t>1 637,6</w:t>
            </w:r>
          </w:p>
        </w:tc>
        <w:tc>
          <w:tcPr>
            <w:tcW w:w="1354" w:type="dxa"/>
            <w:vAlign w:val="center"/>
          </w:tcPr>
          <w:p w:rsidR="008C3FF8" w:rsidRPr="005934BE" w:rsidRDefault="008C3FF8" w:rsidP="00E07E52">
            <w:pPr>
              <w:pStyle w:val="naisf"/>
              <w:spacing w:before="0" w:after="0"/>
              <w:ind w:firstLine="0"/>
              <w:jc w:val="right"/>
            </w:pPr>
            <w:r w:rsidRPr="005934BE">
              <w:t>0,0</w:t>
            </w:r>
          </w:p>
        </w:tc>
        <w:tc>
          <w:tcPr>
            <w:tcW w:w="1354" w:type="dxa"/>
            <w:vAlign w:val="center"/>
          </w:tcPr>
          <w:p w:rsidR="008C3FF8" w:rsidRPr="005934BE" w:rsidRDefault="008C3FF8" w:rsidP="00E07E52">
            <w:pPr>
              <w:pStyle w:val="naisf"/>
              <w:spacing w:before="0" w:after="0"/>
              <w:ind w:firstLine="0"/>
              <w:jc w:val="right"/>
            </w:pPr>
            <w:r w:rsidRPr="005934BE">
              <w:t>0,0</w:t>
            </w:r>
          </w:p>
        </w:tc>
        <w:tc>
          <w:tcPr>
            <w:tcW w:w="1355" w:type="dxa"/>
            <w:vAlign w:val="center"/>
          </w:tcPr>
          <w:p w:rsidR="008C3FF8" w:rsidRPr="005934BE" w:rsidRDefault="008C3FF8" w:rsidP="00E07E52">
            <w:pPr>
              <w:pStyle w:val="naisf"/>
              <w:spacing w:before="0" w:after="0"/>
              <w:ind w:firstLine="0"/>
              <w:jc w:val="right"/>
            </w:pPr>
            <w:r w:rsidRPr="005934BE">
              <w:t>0,0</w:t>
            </w:r>
          </w:p>
        </w:tc>
        <w:tc>
          <w:tcPr>
            <w:tcW w:w="1406" w:type="dxa"/>
            <w:vAlign w:val="center"/>
          </w:tcPr>
          <w:p w:rsidR="008C3FF8" w:rsidRPr="005934BE" w:rsidRDefault="008C3FF8" w:rsidP="00E07E52">
            <w:pPr>
              <w:pStyle w:val="naisf"/>
              <w:spacing w:before="0" w:after="0"/>
              <w:ind w:firstLine="0"/>
              <w:jc w:val="right"/>
            </w:pPr>
            <w:r w:rsidRPr="005934BE">
              <w:t>0,0</w:t>
            </w:r>
          </w:p>
        </w:tc>
      </w:tr>
      <w:tr w:rsidR="008C3FF8" w:rsidRPr="005934BE" w:rsidTr="0027554C">
        <w:trPr>
          <w:jc w:val="center"/>
        </w:trPr>
        <w:tc>
          <w:tcPr>
            <w:tcW w:w="2960" w:type="dxa"/>
          </w:tcPr>
          <w:p w:rsidR="008C3FF8" w:rsidRPr="005934BE" w:rsidRDefault="008C3FF8" w:rsidP="008C3FF8">
            <w:pPr>
              <w:pStyle w:val="naisf"/>
              <w:spacing w:before="0" w:after="0"/>
              <w:ind w:left="95" w:firstLine="0"/>
              <w:jc w:val="left"/>
              <w:rPr>
                <w:noProof/>
              </w:rPr>
            </w:pPr>
            <w:r>
              <w:rPr>
                <w:noProof/>
              </w:rPr>
              <w:t>tai skaitā apakšprogramma 01.05.00 „Veselības veicināšana”</w:t>
            </w:r>
          </w:p>
        </w:tc>
        <w:tc>
          <w:tcPr>
            <w:tcW w:w="1331" w:type="dxa"/>
            <w:vAlign w:val="center"/>
          </w:tcPr>
          <w:p w:rsidR="008C3FF8" w:rsidRPr="005934BE" w:rsidRDefault="008C3FF8" w:rsidP="00E07E52">
            <w:pPr>
              <w:pStyle w:val="naisf"/>
              <w:spacing w:before="0" w:after="0"/>
              <w:ind w:firstLine="0"/>
              <w:jc w:val="right"/>
            </w:pPr>
            <w:r>
              <w:t>62,7</w:t>
            </w:r>
          </w:p>
        </w:tc>
        <w:tc>
          <w:tcPr>
            <w:tcW w:w="1354" w:type="dxa"/>
            <w:vAlign w:val="center"/>
          </w:tcPr>
          <w:p w:rsidR="008C3FF8" w:rsidRPr="005934BE" w:rsidRDefault="008C3FF8" w:rsidP="00E07E52">
            <w:pPr>
              <w:pStyle w:val="naisf"/>
              <w:spacing w:before="0" w:after="0"/>
              <w:ind w:firstLine="0"/>
              <w:jc w:val="right"/>
            </w:pPr>
            <w:r w:rsidRPr="005934BE">
              <w:t>0,0</w:t>
            </w:r>
          </w:p>
        </w:tc>
        <w:tc>
          <w:tcPr>
            <w:tcW w:w="1354" w:type="dxa"/>
            <w:vAlign w:val="center"/>
          </w:tcPr>
          <w:p w:rsidR="008C3FF8" w:rsidRPr="005934BE" w:rsidRDefault="008C3FF8" w:rsidP="008C3FF8">
            <w:pPr>
              <w:pStyle w:val="naisf"/>
              <w:spacing w:before="0" w:after="0"/>
              <w:ind w:firstLine="0"/>
              <w:jc w:val="right"/>
            </w:pPr>
            <w:r w:rsidRPr="005934BE">
              <w:t>-62,7</w:t>
            </w:r>
          </w:p>
        </w:tc>
        <w:tc>
          <w:tcPr>
            <w:tcW w:w="1355" w:type="dxa"/>
            <w:vAlign w:val="center"/>
          </w:tcPr>
          <w:p w:rsidR="008C3FF8" w:rsidRPr="005934BE" w:rsidRDefault="008C3FF8" w:rsidP="008C3FF8">
            <w:pPr>
              <w:pStyle w:val="naisf"/>
              <w:spacing w:before="0" w:after="0"/>
              <w:ind w:firstLine="0"/>
              <w:jc w:val="right"/>
            </w:pPr>
            <w:r w:rsidRPr="005934BE">
              <w:t>-62,7</w:t>
            </w:r>
          </w:p>
        </w:tc>
        <w:tc>
          <w:tcPr>
            <w:tcW w:w="1406" w:type="dxa"/>
            <w:vAlign w:val="center"/>
          </w:tcPr>
          <w:p w:rsidR="008C3FF8" w:rsidRPr="005934BE" w:rsidRDefault="008C3FF8" w:rsidP="008C3FF8">
            <w:pPr>
              <w:pStyle w:val="naisf"/>
              <w:spacing w:before="0" w:after="0"/>
              <w:ind w:firstLine="0"/>
              <w:jc w:val="right"/>
            </w:pPr>
            <w:r w:rsidRPr="005934BE">
              <w:t>-62,7</w:t>
            </w:r>
          </w:p>
        </w:tc>
      </w:tr>
      <w:tr w:rsidR="00A634E9" w:rsidRPr="005934BE" w:rsidTr="0027554C">
        <w:trPr>
          <w:jc w:val="center"/>
        </w:trPr>
        <w:tc>
          <w:tcPr>
            <w:tcW w:w="2960" w:type="dxa"/>
          </w:tcPr>
          <w:p w:rsidR="00A634E9" w:rsidRDefault="00CC5A92" w:rsidP="008C3FF8">
            <w:pPr>
              <w:pStyle w:val="naisf"/>
              <w:spacing w:before="0" w:after="0"/>
              <w:ind w:left="95" w:firstLine="0"/>
              <w:jc w:val="left"/>
              <w:rPr>
                <w:noProof/>
              </w:rPr>
            </w:pPr>
            <w:r>
              <w:rPr>
                <w:noProof/>
              </w:rPr>
              <w:t xml:space="preserve">tai skaitā apakšprogramma </w:t>
            </w:r>
            <w:r w:rsidRPr="005934BE">
              <w:t>46.03.00 „Slimību profilakses nodrošināšana</w:t>
            </w:r>
            <w:r>
              <w:t>”</w:t>
            </w:r>
          </w:p>
        </w:tc>
        <w:tc>
          <w:tcPr>
            <w:tcW w:w="1331" w:type="dxa"/>
            <w:vAlign w:val="center"/>
          </w:tcPr>
          <w:p w:rsidR="00A634E9" w:rsidRDefault="00CC5A92" w:rsidP="00E07E52">
            <w:pPr>
              <w:pStyle w:val="naisf"/>
              <w:spacing w:before="0" w:after="0"/>
              <w:ind w:firstLine="0"/>
              <w:jc w:val="right"/>
            </w:pPr>
            <w:r>
              <w:t>0,</w:t>
            </w:r>
            <w:r w:rsidR="00A634E9">
              <w:t>00</w:t>
            </w:r>
          </w:p>
        </w:tc>
        <w:tc>
          <w:tcPr>
            <w:tcW w:w="1354" w:type="dxa"/>
            <w:vAlign w:val="center"/>
          </w:tcPr>
          <w:p w:rsidR="00A634E9" w:rsidRPr="005934BE" w:rsidRDefault="00A634E9" w:rsidP="00E07E52">
            <w:pPr>
              <w:pStyle w:val="naisf"/>
              <w:spacing w:before="0" w:after="0"/>
              <w:ind w:firstLine="0"/>
              <w:jc w:val="right"/>
            </w:pPr>
            <w:r>
              <w:t>0,00</w:t>
            </w:r>
          </w:p>
        </w:tc>
        <w:tc>
          <w:tcPr>
            <w:tcW w:w="1354" w:type="dxa"/>
            <w:vAlign w:val="center"/>
          </w:tcPr>
          <w:p w:rsidR="00A634E9" w:rsidRPr="005934BE" w:rsidRDefault="00A634E9" w:rsidP="008C3FF8">
            <w:pPr>
              <w:pStyle w:val="naisf"/>
              <w:spacing w:before="0" w:after="0"/>
              <w:ind w:firstLine="0"/>
              <w:jc w:val="right"/>
            </w:pPr>
            <w:r>
              <w:t>62,7</w:t>
            </w:r>
          </w:p>
        </w:tc>
        <w:tc>
          <w:tcPr>
            <w:tcW w:w="1355" w:type="dxa"/>
            <w:vAlign w:val="center"/>
          </w:tcPr>
          <w:p w:rsidR="00A634E9" w:rsidRPr="005934BE" w:rsidRDefault="00A634E9" w:rsidP="008C3FF8">
            <w:pPr>
              <w:pStyle w:val="naisf"/>
              <w:spacing w:before="0" w:after="0"/>
              <w:ind w:firstLine="0"/>
              <w:jc w:val="right"/>
            </w:pPr>
            <w:r>
              <w:t>62,7</w:t>
            </w:r>
          </w:p>
        </w:tc>
        <w:tc>
          <w:tcPr>
            <w:tcW w:w="1406" w:type="dxa"/>
            <w:vAlign w:val="center"/>
          </w:tcPr>
          <w:p w:rsidR="00A634E9" w:rsidRPr="005934BE" w:rsidRDefault="00A634E9" w:rsidP="008C3FF8">
            <w:pPr>
              <w:pStyle w:val="naisf"/>
              <w:spacing w:before="0" w:after="0"/>
              <w:ind w:firstLine="0"/>
              <w:jc w:val="right"/>
            </w:pPr>
            <w:r>
              <w:t>62,7</w:t>
            </w:r>
          </w:p>
        </w:tc>
      </w:tr>
      <w:tr w:rsidR="00E07E52" w:rsidRPr="005934BE" w:rsidTr="0027554C">
        <w:trPr>
          <w:jc w:val="center"/>
        </w:trPr>
        <w:tc>
          <w:tcPr>
            <w:tcW w:w="2960" w:type="dxa"/>
          </w:tcPr>
          <w:p w:rsidR="00E07E52" w:rsidRPr="005934BE" w:rsidRDefault="00E07E52" w:rsidP="008C3FF8">
            <w:pPr>
              <w:pStyle w:val="naisf"/>
              <w:spacing w:before="0" w:after="0"/>
              <w:ind w:firstLine="0"/>
              <w:jc w:val="left"/>
              <w:rPr>
                <w:i/>
                <w:noProof/>
              </w:rPr>
            </w:pPr>
            <w:r w:rsidRPr="005934BE">
              <w:rPr>
                <w:noProof/>
              </w:rPr>
              <w:t>1.2. valsts speciālais budžets</w:t>
            </w:r>
          </w:p>
        </w:tc>
        <w:tc>
          <w:tcPr>
            <w:tcW w:w="1331"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pStyle w:val="naisf"/>
              <w:spacing w:before="0" w:after="0"/>
              <w:ind w:firstLine="0"/>
              <w:rPr>
                <w:i/>
              </w:rPr>
            </w:pPr>
            <w:r w:rsidRPr="005934BE">
              <w:lastRenderedPageBreak/>
              <w:t>1.3. pašvaldību budžets</w:t>
            </w:r>
          </w:p>
        </w:tc>
        <w:tc>
          <w:tcPr>
            <w:tcW w:w="1331"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rPr>
                <w:b/>
              </w:rPr>
            </w:pPr>
            <w:r w:rsidRPr="005934BE">
              <w:rPr>
                <w:b/>
              </w:rPr>
              <w:t>2. Budžeta izdevumi:</w:t>
            </w:r>
          </w:p>
        </w:tc>
        <w:tc>
          <w:tcPr>
            <w:tcW w:w="1331" w:type="dxa"/>
          </w:tcPr>
          <w:p w:rsidR="00E07E52" w:rsidRPr="005934BE" w:rsidRDefault="00E07E52" w:rsidP="00E07E52">
            <w:pPr>
              <w:pStyle w:val="naisf"/>
              <w:spacing w:before="0" w:after="0"/>
              <w:ind w:firstLine="0"/>
              <w:jc w:val="right"/>
              <w:rPr>
                <w:b/>
              </w:rPr>
            </w:pPr>
            <w:r w:rsidRPr="005934BE">
              <w:rPr>
                <w:b/>
              </w:rPr>
              <w:t>1 700,3</w:t>
            </w:r>
          </w:p>
        </w:tc>
        <w:tc>
          <w:tcPr>
            <w:tcW w:w="1354" w:type="dxa"/>
          </w:tcPr>
          <w:p w:rsidR="00E07E52" w:rsidRPr="005934BE" w:rsidRDefault="00E07E52" w:rsidP="00E07E52">
            <w:pPr>
              <w:pStyle w:val="naisf"/>
              <w:spacing w:before="0" w:after="0"/>
              <w:ind w:firstLine="0"/>
              <w:jc w:val="right"/>
              <w:rPr>
                <w:b/>
              </w:rPr>
            </w:pPr>
            <w:r w:rsidRPr="005934BE">
              <w:rPr>
                <w:b/>
              </w:rPr>
              <w:t>0,0</w:t>
            </w:r>
          </w:p>
        </w:tc>
        <w:tc>
          <w:tcPr>
            <w:tcW w:w="1354" w:type="dxa"/>
          </w:tcPr>
          <w:p w:rsidR="00E07E52" w:rsidRPr="005934BE" w:rsidRDefault="00521EEB" w:rsidP="00E07E52">
            <w:pPr>
              <w:pStyle w:val="naisf"/>
              <w:spacing w:before="0" w:after="0"/>
              <w:ind w:firstLine="0"/>
              <w:jc w:val="right"/>
              <w:rPr>
                <w:b/>
              </w:rPr>
            </w:pPr>
            <w:r>
              <w:rPr>
                <w:b/>
              </w:rPr>
              <w:t>0,00</w:t>
            </w:r>
          </w:p>
        </w:tc>
        <w:tc>
          <w:tcPr>
            <w:tcW w:w="1355" w:type="dxa"/>
          </w:tcPr>
          <w:p w:rsidR="00E07E52" w:rsidRPr="005934BE" w:rsidRDefault="00521EEB" w:rsidP="00E07E52">
            <w:pPr>
              <w:pStyle w:val="naisf"/>
              <w:spacing w:before="0" w:after="0"/>
              <w:ind w:firstLine="0"/>
              <w:jc w:val="right"/>
              <w:rPr>
                <w:b/>
              </w:rPr>
            </w:pPr>
            <w:r>
              <w:rPr>
                <w:b/>
              </w:rPr>
              <w:t>0,00</w:t>
            </w:r>
          </w:p>
        </w:tc>
        <w:tc>
          <w:tcPr>
            <w:tcW w:w="1406" w:type="dxa"/>
          </w:tcPr>
          <w:p w:rsidR="00E07E52" w:rsidRPr="005934BE" w:rsidRDefault="00521EEB" w:rsidP="00E07E52">
            <w:pPr>
              <w:pStyle w:val="naisf"/>
              <w:spacing w:before="0" w:after="0"/>
              <w:ind w:firstLine="0"/>
              <w:jc w:val="right"/>
              <w:rPr>
                <w:b/>
              </w:rPr>
            </w:pPr>
            <w:r>
              <w:rPr>
                <w:b/>
              </w:rPr>
              <w:t>0,00</w:t>
            </w:r>
          </w:p>
        </w:tc>
      </w:tr>
      <w:tr w:rsidR="00E07E52" w:rsidRPr="005934BE" w:rsidTr="0027554C">
        <w:trPr>
          <w:jc w:val="center"/>
        </w:trPr>
        <w:tc>
          <w:tcPr>
            <w:tcW w:w="2960" w:type="dxa"/>
          </w:tcPr>
          <w:p w:rsidR="00E07E52" w:rsidRPr="005934BE" w:rsidRDefault="00E07E52" w:rsidP="00E07E52">
            <w:pPr>
              <w:jc w:val="both"/>
            </w:pPr>
            <w:r w:rsidRPr="005934BE">
              <w:t>2.1. valsts pamatbudžets</w:t>
            </w:r>
          </w:p>
        </w:tc>
        <w:tc>
          <w:tcPr>
            <w:tcW w:w="1331" w:type="dxa"/>
            <w:vAlign w:val="center"/>
          </w:tcPr>
          <w:p w:rsidR="00E07E52" w:rsidRPr="005934BE" w:rsidRDefault="00E07E52" w:rsidP="00E07E52">
            <w:pPr>
              <w:pStyle w:val="naisf"/>
              <w:spacing w:before="0" w:after="0"/>
              <w:ind w:firstLine="0"/>
              <w:jc w:val="right"/>
            </w:pPr>
            <w:r w:rsidRPr="005934BE">
              <w:t>1 700,3</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521EEB" w:rsidP="00E07E52">
            <w:pPr>
              <w:pStyle w:val="naisf"/>
              <w:spacing w:before="0" w:after="0"/>
              <w:ind w:firstLine="0"/>
              <w:jc w:val="right"/>
            </w:pPr>
            <w:r>
              <w:t>0,00</w:t>
            </w:r>
          </w:p>
        </w:tc>
        <w:tc>
          <w:tcPr>
            <w:tcW w:w="1355" w:type="dxa"/>
            <w:vAlign w:val="center"/>
          </w:tcPr>
          <w:p w:rsidR="00E07E52" w:rsidRPr="005934BE" w:rsidRDefault="00521EEB" w:rsidP="00E07E52">
            <w:pPr>
              <w:pStyle w:val="naisf"/>
              <w:spacing w:before="0" w:after="0"/>
              <w:ind w:firstLine="0"/>
              <w:jc w:val="right"/>
            </w:pPr>
            <w:r>
              <w:t>0,00</w:t>
            </w:r>
          </w:p>
        </w:tc>
        <w:tc>
          <w:tcPr>
            <w:tcW w:w="1406" w:type="dxa"/>
            <w:vAlign w:val="center"/>
          </w:tcPr>
          <w:p w:rsidR="00E07E52" w:rsidRPr="005934BE" w:rsidRDefault="00521EEB" w:rsidP="00E07E52">
            <w:pPr>
              <w:pStyle w:val="naisf"/>
              <w:spacing w:before="0" w:after="0"/>
              <w:ind w:firstLine="0"/>
              <w:jc w:val="right"/>
            </w:pPr>
            <w:r>
              <w:t>0,00</w:t>
            </w:r>
          </w:p>
        </w:tc>
      </w:tr>
      <w:tr w:rsidR="008C3FF8" w:rsidRPr="005934BE" w:rsidTr="0027554C">
        <w:trPr>
          <w:jc w:val="center"/>
        </w:trPr>
        <w:tc>
          <w:tcPr>
            <w:tcW w:w="2960" w:type="dxa"/>
          </w:tcPr>
          <w:p w:rsidR="008C3FF8" w:rsidRPr="005934BE" w:rsidRDefault="008C3FF8" w:rsidP="008C3FF8">
            <w:pPr>
              <w:pStyle w:val="naisf"/>
              <w:spacing w:before="0" w:after="0"/>
              <w:ind w:left="95" w:firstLine="0"/>
              <w:jc w:val="left"/>
              <w:rPr>
                <w:noProof/>
              </w:rPr>
            </w:pPr>
            <w:r>
              <w:rPr>
                <w:noProof/>
              </w:rPr>
              <w:t>tai skaitā apakšprogramma 01.01.00 „Veselības aprūpes centrālā vadība”</w:t>
            </w:r>
          </w:p>
        </w:tc>
        <w:tc>
          <w:tcPr>
            <w:tcW w:w="1331" w:type="dxa"/>
            <w:vAlign w:val="center"/>
          </w:tcPr>
          <w:p w:rsidR="008C3FF8" w:rsidRPr="005934BE" w:rsidRDefault="008C3FF8" w:rsidP="008C3FF8">
            <w:pPr>
              <w:pStyle w:val="naisf"/>
              <w:spacing w:before="0" w:after="0"/>
              <w:ind w:firstLine="0"/>
              <w:jc w:val="right"/>
            </w:pPr>
            <w:r>
              <w:t>1 637,6</w:t>
            </w:r>
          </w:p>
        </w:tc>
        <w:tc>
          <w:tcPr>
            <w:tcW w:w="1354" w:type="dxa"/>
            <w:vAlign w:val="center"/>
          </w:tcPr>
          <w:p w:rsidR="008C3FF8" w:rsidRPr="005934BE" w:rsidRDefault="008C3FF8" w:rsidP="008C3FF8">
            <w:pPr>
              <w:pStyle w:val="naisf"/>
              <w:spacing w:before="0" w:after="0"/>
              <w:ind w:firstLine="0"/>
              <w:jc w:val="right"/>
            </w:pPr>
            <w:r w:rsidRPr="005934BE">
              <w:t>0,0</w:t>
            </w:r>
          </w:p>
        </w:tc>
        <w:tc>
          <w:tcPr>
            <w:tcW w:w="1354" w:type="dxa"/>
            <w:vAlign w:val="center"/>
          </w:tcPr>
          <w:p w:rsidR="008C3FF8" w:rsidRPr="005934BE" w:rsidRDefault="008C3FF8" w:rsidP="008C3FF8">
            <w:pPr>
              <w:pStyle w:val="naisf"/>
              <w:spacing w:before="0" w:after="0"/>
              <w:ind w:firstLine="0"/>
              <w:jc w:val="right"/>
            </w:pPr>
            <w:r w:rsidRPr="005934BE">
              <w:t>0,0</w:t>
            </w:r>
          </w:p>
        </w:tc>
        <w:tc>
          <w:tcPr>
            <w:tcW w:w="1355" w:type="dxa"/>
            <w:vAlign w:val="center"/>
          </w:tcPr>
          <w:p w:rsidR="008C3FF8" w:rsidRPr="005934BE" w:rsidRDefault="008C3FF8" w:rsidP="008C3FF8">
            <w:pPr>
              <w:pStyle w:val="naisf"/>
              <w:spacing w:before="0" w:after="0"/>
              <w:ind w:firstLine="0"/>
              <w:jc w:val="right"/>
            </w:pPr>
            <w:r w:rsidRPr="005934BE">
              <w:t>0,0</w:t>
            </w:r>
          </w:p>
        </w:tc>
        <w:tc>
          <w:tcPr>
            <w:tcW w:w="1406" w:type="dxa"/>
            <w:vAlign w:val="center"/>
          </w:tcPr>
          <w:p w:rsidR="008C3FF8" w:rsidRPr="005934BE" w:rsidRDefault="008C3FF8" w:rsidP="008C3FF8">
            <w:pPr>
              <w:pStyle w:val="naisf"/>
              <w:spacing w:before="0" w:after="0"/>
              <w:ind w:firstLine="0"/>
              <w:jc w:val="right"/>
            </w:pPr>
            <w:r w:rsidRPr="005934BE">
              <w:t>0,0</w:t>
            </w:r>
          </w:p>
        </w:tc>
      </w:tr>
      <w:tr w:rsidR="008C3FF8" w:rsidRPr="005934BE" w:rsidTr="0027554C">
        <w:trPr>
          <w:jc w:val="center"/>
        </w:trPr>
        <w:tc>
          <w:tcPr>
            <w:tcW w:w="2960" w:type="dxa"/>
          </w:tcPr>
          <w:p w:rsidR="008C3FF8" w:rsidRPr="005934BE" w:rsidRDefault="008C3FF8" w:rsidP="008C3FF8">
            <w:pPr>
              <w:pStyle w:val="naisf"/>
              <w:spacing w:before="0" w:after="0"/>
              <w:ind w:left="95" w:firstLine="0"/>
              <w:jc w:val="left"/>
              <w:rPr>
                <w:noProof/>
              </w:rPr>
            </w:pPr>
            <w:r>
              <w:rPr>
                <w:noProof/>
              </w:rPr>
              <w:t>tai skaitā apakšprogramma 01.05.00 „Veselības veicināšana”</w:t>
            </w:r>
          </w:p>
        </w:tc>
        <w:tc>
          <w:tcPr>
            <w:tcW w:w="1331" w:type="dxa"/>
            <w:vAlign w:val="center"/>
          </w:tcPr>
          <w:p w:rsidR="008C3FF8" w:rsidRPr="005934BE" w:rsidRDefault="008C3FF8" w:rsidP="008C3FF8">
            <w:pPr>
              <w:pStyle w:val="naisf"/>
              <w:spacing w:before="0" w:after="0"/>
              <w:ind w:firstLine="0"/>
              <w:jc w:val="right"/>
            </w:pPr>
            <w:r>
              <w:t>62,7</w:t>
            </w:r>
          </w:p>
        </w:tc>
        <w:tc>
          <w:tcPr>
            <w:tcW w:w="1354" w:type="dxa"/>
            <w:vAlign w:val="center"/>
          </w:tcPr>
          <w:p w:rsidR="008C3FF8" w:rsidRPr="005934BE" w:rsidRDefault="008C3FF8" w:rsidP="008C3FF8">
            <w:pPr>
              <w:pStyle w:val="naisf"/>
              <w:spacing w:before="0" w:after="0"/>
              <w:ind w:firstLine="0"/>
              <w:jc w:val="right"/>
            </w:pPr>
            <w:r w:rsidRPr="005934BE">
              <w:t>0,0</w:t>
            </w:r>
          </w:p>
        </w:tc>
        <w:tc>
          <w:tcPr>
            <w:tcW w:w="1354" w:type="dxa"/>
            <w:vAlign w:val="center"/>
          </w:tcPr>
          <w:p w:rsidR="008C3FF8" w:rsidRPr="005934BE" w:rsidRDefault="008C3FF8" w:rsidP="008C3FF8">
            <w:pPr>
              <w:pStyle w:val="naisf"/>
              <w:spacing w:before="0" w:after="0"/>
              <w:ind w:firstLine="0"/>
              <w:jc w:val="right"/>
            </w:pPr>
            <w:r w:rsidRPr="005934BE">
              <w:t>-62,7</w:t>
            </w:r>
          </w:p>
        </w:tc>
        <w:tc>
          <w:tcPr>
            <w:tcW w:w="1355" w:type="dxa"/>
            <w:vAlign w:val="center"/>
          </w:tcPr>
          <w:p w:rsidR="008C3FF8" w:rsidRPr="005934BE" w:rsidRDefault="008C3FF8" w:rsidP="008C3FF8">
            <w:pPr>
              <w:pStyle w:val="naisf"/>
              <w:spacing w:before="0" w:after="0"/>
              <w:ind w:firstLine="0"/>
              <w:jc w:val="right"/>
            </w:pPr>
            <w:r w:rsidRPr="005934BE">
              <w:t>-62,7</w:t>
            </w:r>
          </w:p>
        </w:tc>
        <w:tc>
          <w:tcPr>
            <w:tcW w:w="1406" w:type="dxa"/>
            <w:vAlign w:val="center"/>
          </w:tcPr>
          <w:p w:rsidR="008C3FF8" w:rsidRPr="005934BE" w:rsidRDefault="008C3FF8" w:rsidP="008C3FF8">
            <w:pPr>
              <w:pStyle w:val="naisf"/>
              <w:spacing w:before="0" w:after="0"/>
              <w:ind w:firstLine="0"/>
              <w:jc w:val="right"/>
            </w:pPr>
            <w:r w:rsidRPr="005934BE">
              <w:t>-62,7</w:t>
            </w:r>
          </w:p>
        </w:tc>
      </w:tr>
      <w:tr w:rsidR="00CC5A92" w:rsidRPr="005934BE" w:rsidTr="0027554C">
        <w:trPr>
          <w:jc w:val="center"/>
        </w:trPr>
        <w:tc>
          <w:tcPr>
            <w:tcW w:w="2960" w:type="dxa"/>
          </w:tcPr>
          <w:p w:rsidR="00CC5A92" w:rsidRDefault="00CC5A92" w:rsidP="002B39F3">
            <w:pPr>
              <w:pStyle w:val="naisf"/>
              <w:spacing w:before="0" w:after="0"/>
              <w:ind w:left="95" w:firstLine="0"/>
              <w:jc w:val="left"/>
              <w:rPr>
                <w:noProof/>
              </w:rPr>
            </w:pPr>
            <w:r>
              <w:rPr>
                <w:noProof/>
              </w:rPr>
              <w:t xml:space="preserve">tai skaitā apakšprogramma </w:t>
            </w:r>
            <w:r w:rsidRPr="005934BE">
              <w:t>46.03.00 „Slimību profilakses nodrošināšana</w:t>
            </w:r>
            <w:r>
              <w:t>”</w:t>
            </w:r>
          </w:p>
        </w:tc>
        <w:tc>
          <w:tcPr>
            <w:tcW w:w="1331" w:type="dxa"/>
            <w:vAlign w:val="center"/>
          </w:tcPr>
          <w:p w:rsidR="00CC5A92" w:rsidRDefault="00CC5A92" w:rsidP="002B39F3">
            <w:pPr>
              <w:pStyle w:val="naisf"/>
              <w:spacing w:before="0" w:after="0"/>
              <w:ind w:firstLine="0"/>
              <w:jc w:val="right"/>
            </w:pPr>
            <w:r>
              <w:t>0,00</w:t>
            </w:r>
          </w:p>
        </w:tc>
        <w:tc>
          <w:tcPr>
            <w:tcW w:w="1354" w:type="dxa"/>
            <w:vAlign w:val="center"/>
          </w:tcPr>
          <w:p w:rsidR="00CC5A92" w:rsidRPr="005934BE" w:rsidRDefault="00CC5A92" w:rsidP="002B39F3">
            <w:pPr>
              <w:pStyle w:val="naisf"/>
              <w:spacing w:before="0" w:after="0"/>
              <w:ind w:firstLine="0"/>
              <w:jc w:val="right"/>
            </w:pPr>
            <w:r>
              <w:t>0,00</w:t>
            </w:r>
          </w:p>
        </w:tc>
        <w:tc>
          <w:tcPr>
            <w:tcW w:w="1354" w:type="dxa"/>
            <w:vAlign w:val="center"/>
          </w:tcPr>
          <w:p w:rsidR="00CC5A92" w:rsidRPr="005934BE" w:rsidRDefault="00CC5A92" w:rsidP="002B39F3">
            <w:pPr>
              <w:pStyle w:val="naisf"/>
              <w:spacing w:before="0" w:after="0"/>
              <w:ind w:firstLine="0"/>
              <w:jc w:val="right"/>
            </w:pPr>
            <w:r>
              <w:t>62,7</w:t>
            </w:r>
          </w:p>
        </w:tc>
        <w:tc>
          <w:tcPr>
            <w:tcW w:w="1355" w:type="dxa"/>
            <w:vAlign w:val="center"/>
          </w:tcPr>
          <w:p w:rsidR="00CC5A92" w:rsidRPr="005934BE" w:rsidRDefault="00CC5A92" w:rsidP="002B39F3">
            <w:pPr>
              <w:pStyle w:val="naisf"/>
              <w:spacing w:before="0" w:after="0"/>
              <w:ind w:firstLine="0"/>
              <w:jc w:val="right"/>
            </w:pPr>
            <w:r>
              <w:t>62,7</w:t>
            </w:r>
          </w:p>
        </w:tc>
        <w:tc>
          <w:tcPr>
            <w:tcW w:w="1406" w:type="dxa"/>
            <w:vAlign w:val="center"/>
          </w:tcPr>
          <w:p w:rsidR="00CC5A92" w:rsidRPr="005934BE" w:rsidRDefault="00CC5A92" w:rsidP="002B39F3">
            <w:pPr>
              <w:pStyle w:val="naisf"/>
              <w:spacing w:before="0" w:after="0"/>
              <w:ind w:firstLine="0"/>
              <w:jc w:val="right"/>
            </w:pPr>
            <w:r>
              <w:t>62,7</w:t>
            </w:r>
          </w:p>
        </w:tc>
      </w:tr>
      <w:tr w:rsidR="00E07E52" w:rsidRPr="005934BE" w:rsidTr="0027554C">
        <w:trPr>
          <w:jc w:val="center"/>
        </w:trPr>
        <w:tc>
          <w:tcPr>
            <w:tcW w:w="2960" w:type="dxa"/>
          </w:tcPr>
          <w:p w:rsidR="00E07E52" w:rsidRPr="005934BE" w:rsidRDefault="00E07E52" w:rsidP="008C3FF8">
            <w:r w:rsidRPr="005934BE">
              <w:t>2.2. valsts speciālais budžets</w:t>
            </w:r>
          </w:p>
        </w:tc>
        <w:tc>
          <w:tcPr>
            <w:tcW w:w="1331"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pPr>
            <w:r w:rsidRPr="005934BE">
              <w:t xml:space="preserve">2.3. pašvaldību budžets </w:t>
            </w:r>
          </w:p>
        </w:tc>
        <w:tc>
          <w:tcPr>
            <w:tcW w:w="1331"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rPr>
                <w:b/>
              </w:rPr>
            </w:pPr>
            <w:r w:rsidRPr="005934BE">
              <w:rPr>
                <w:b/>
              </w:rPr>
              <w:t>3. Finansiālā ietekme:</w:t>
            </w:r>
          </w:p>
        </w:tc>
        <w:tc>
          <w:tcPr>
            <w:tcW w:w="1331" w:type="dxa"/>
            <w:shd w:val="clear" w:color="auto" w:fill="auto"/>
            <w:vAlign w:val="center"/>
          </w:tcPr>
          <w:p w:rsidR="00E07E52" w:rsidRPr="005934BE" w:rsidRDefault="00E07E52" w:rsidP="00E07E52">
            <w:pPr>
              <w:pStyle w:val="naisf"/>
              <w:spacing w:before="0" w:after="0"/>
              <w:ind w:firstLine="0"/>
              <w:jc w:val="right"/>
              <w:rPr>
                <w:b/>
              </w:rPr>
            </w:pPr>
            <w:r w:rsidRPr="005934BE">
              <w:rPr>
                <w:b/>
              </w:rPr>
              <w:t>0,0</w:t>
            </w:r>
          </w:p>
        </w:tc>
        <w:tc>
          <w:tcPr>
            <w:tcW w:w="1354" w:type="dxa"/>
            <w:vAlign w:val="center"/>
          </w:tcPr>
          <w:p w:rsidR="00E07E52" w:rsidRPr="005934BE" w:rsidRDefault="00E07E52" w:rsidP="00E07E52">
            <w:pPr>
              <w:pStyle w:val="naisf"/>
              <w:spacing w:before="0" w:after="0"/>
              <w:ind w:firstLine="0"/>
              <w:jc w:val="right"/>
              <w:rPr>
                <w:b/>
              </w:rPr>
            </w:pPr>
            <w:r w:rsidRPr="005934BE">
              <w:rPr>
                <w:b/>
              </w:rPr>
              <w:t>0,0</w:t>
            </w:r>
          </w:p>
        </w:tc>
        <w:tc>
          <w:tcPr>
            <w:tcW w:w="1354" w:type="dxa"/>
            <w:vAlign w:val="center"/>
          </w:tcPr>
          <w:p w:rsidR="00E07E52" w:rsidRPr="005934BE" w:rsidRDefault="00E07E52" w:rsidP="00E07E52">
            <w:pPr>
              <w:pStyle w:val="naisf"/>
              <w:spacing w:before="0" w:after="0"/>
              <w:ind w:firstLine="0"/>
              <w:jc w:val="right"/>
              <w:rPr>
                <w:b/>
              </w:rPr>
            </w:pPr>
            <w:r w:rsidRPr="005934BE">
              <w:rPr>
                <w:b/>
              </w:rPr>
              <w:t>0,0</w:t>
            </w:r>
          </w:p>
        </w:tc>
        <w:tc>
          <w:tcPr>
            <w:tcW w:w="1355" w:type="dxa"/>
            <w:vAlign w:val="center"/>
          </w:tcPr>
          <w:p w:rsidR="00E07E52" w:rsidRPr="005934BE" w:rsidRDefault="00E07E52" w:rsidP="00E07E52">
            <w:pPr>
              <w:pStyle w:val="naisf"/>
              <w:spacing w:before="0" w:after="0"/>
              <w:ind w:firstLine="0"/>
              <w:jc w:val="right"/>
              <w:rPr>
                <w:b/>
              </w:rPr>
            </w:pPr>
            <w:r w:rsidRPr="005934BE">
              <w:rPr>
                <w:b/>
              </w:rPr>
              <w:t>0,0</w:t>
            </w:r>
          </w:p>
        </w:tc>
        <w:tc>
          <w:tcPr>
            <w:tcW w:w="1406" w:type="dxa"/>
            <w:vAlign w:val="center"/>
          </w:tcPr>
          <w:p w:rsidR="00E07E52" w:rsidRPr="005934BE" w:rsidRDefault="00E07E52" w:rsidP="00E07E52">
            <w:pPr>
              <w:pStyle w:val="naisf"/>
              <w:spacing w:before="0" w:after="0"/>
              <w:ind w:firstLine="0"/>
              <w:jc w:val="right"/>
              <w:rPr>
                <w:b/>
              </w:rPr>
            </w:pPr>
            <w:r w:rsidRPr="005934BE">
              <w:rPr>
                <w:b/>
              </w:rPr>
              <w:t>0,0</w:t>
            </w:r>
          </w:p>
        </w:tc>
      </w:tr>
      <w:tr w:rsidR="00E07E52" w:rsidRPr="005934BE" w:rsidTr="0027554C">
        <w:trPr>
          <w:jc w:val="center"/>
        </w:trPr>
        <w:tc>
          <w:tcPr>
            <w:tcW w:w="2960" w:type="dxa"/>
          </w:tcPr>
          <w:p w:rsidR="00E07E52" w:rsidRPr="005934BE" w:rsidRDefault="00E07E52" w:rsidP="00E07E52">
            <w:pPr>
              <w:jc w:val="both"/>
            </w:pPr>
            <w:r w:rsidRPr="005934BE">
              <w:t>3.1. valsts pamatbudžets</w:t>
            </w:r>
          </w:p>
        </w:tc>
        <w:tc>
          <w:tcPr>
            <w:tcW w:w="1331" w:type="dxa"/>
            <w:shd w:val="clear" w:color="auto" w:fill="auto"/>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pPr>
            <w:r w:rsidRPr="005934BE">
              <w:t>3.2. speciālais budžets</w:t>
            </w:r>
          </w:p>
        </w:tc>
        <w:tc>
          <w:tcPr>
            <w:tcW w:w="1331" w:type="dxa"/>
            <w:shd w:val="clear" w:color="auto" w:fill="auto"/>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pPr>
            <w:r w:rsidRPr="005934BE">
              <w:t xml:space="preserve">3.3. pašvaldību budžets </w:t>
            </w:r>
          </w:p>
        </w:tc>
        <w:tc>
          <w:tcPr>
            <w:tcW w:w="1331" w:type="dxa"/>
            <w:shd w:val="clear" w:color="auto" w:fill="auto"/>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vMerge w:val="restart"/>
          </w:tcPr>
          <w:p w:rsidR="00E07E52" w:rsidRPr="005934BE" w:rsidRDefault="00E07E52" w:rsidP="00E07E52">
            <w:pPr>
              <w:jc w:val="both"/>
            </w:pPr>
            <w:r w:rsidRPr="005934BE">
              <w:rPr>
                <w:b/>
              </w:rPr>
              <w:t>4. Finanšu līdzekļi</w:t>
            </w:r>
            <w:r w:rsidRPr="005934BE">
              <w:t xml:space="preserve"> papildu izde</w:t>
            </w:r>
            <w:r w:rsidRPr="005934BE">
              <w:softHyphen/>
              <w:t>vumu finansēšanai (kompensējošu izdevumu samazinājumu norāda ar "+" zīmi)</w:t>
            </w:r>
          </w:p>
        </w:tc>
        <w:tc>
          <w:tcPr>
            <w:tcW w:w="1331" w:type="dxa"/>
            <w:vMerge w:val="restart"/>
            <w:vAlign w:val="center"/>
          </w:tcPr>
          <w:p w:rsidR="00E07E52" w:rsidRPr="005934BE" w:rsidRDefault="00E07E52" w:rsidP="00E07E52">
            <w:pPr>
              <w:pStyle w:val="naisf"/>
              <w:spacing w:before="0" w:after="0"/>
              <w:ind w:firstLine="0"/>
              <w:jc w:val="center"/>
            </w:pPr>
            <w:r w:rsidRPr="005934BE">
              <w:t>X</w:t>
            </w:r>
          </w:p>
        </w:tc>
        <w:tc>
          <w:tcPr>
            <w:tcW w:w="1354" w:type="dxa"/>
            <w:vAlign w:val="center"/>
          </w:tcPr>
          <w:p w:rsidR="00E07E52" w:rsidRPr="005934BE" w:rsidRDefault="00E07E52" w:rsidP="00E07E52">
            <w:pPr>
              <w:pStyle w:val="naisf"/>
              <w:spacing w:before="0" w:after="0"/>
              <w:ind w:firstLine="0"/>
              <w:jc w:val="right"/>
              <w:rPr>
                <w:b/>
              </w:rPr>
            </w:pPr>
            <w:r w:rsidRPr="005934BE">
              <w:rPr>
                <w:b/>
              </w:rPr>
              <w:t>0,0</w:t>
            </w:r>
          </w:p>
        </w:tc>
        <w:tc>
          <w:tcPr>
            <w:tcW w:w="1354" w:type="dxa"/>
            <w:vAlign w:val="center"/>
          </w:tcPr>
          <w:p w:rsidR="00E07E52" w:rsidRPr="005934BE" w:rsidRDefault="00E07E52" w:rsidP="00E07E52">
            <w:pPr>
              <w:pStyle w:val="naisf"/>
              <w:spacing w:before="0" w:after="0"/>
              <w:ind w:firstLine="0"/>
              <w:jc w:val="right"/>
              <w:rPr>
                <w:b/>
              </w:rPr>
            </w:pPr>
            <w:r w:rsidRPr="005934BE">
              <w:rPr>
                <w:b/>
              </w:rPr>
              <w:t>0,0</w:t>
            </w:r>
          </w:p>
        </w:tc>
        <w:tc>
          <w:tcPr>
            <w:tcW w:w="1355" w:type="dxa"/>
            <w:vAlign w:val="center"/>
          </w:tcPr>
          <w:p w:rsidR="00E07E52" w:rsidRPr="005934BE" w:rsidRDefault="00E07E52" w:rsidP="00E07E52">
            <w:pPr>
              <w:pStyle w:val="naisf"/>
              <w:spacing w:before="0" w:after="0"/>
              <w:ind w:firstLine="0"/>
              <w:jc w:val="right"/>
              <w:rPr>
                <w:b/>
              </w:rPr>
            </w:pPr>
            <w:r w:rsidRPr="005934BE">
              <w:rPr>
                <w:b/>
              </w:rPr>
              <w:t>0,0</w:t>
            </w:r>
          </w:p>
        </w:tc>
        <w:tc>
          <w:tcPr>
            <w:tcW w:w="1406" w:type="dxa"/>
            <w:vAlign w:val="center"/>
          </w:tcPr>
          <w:p w:rsidR="00E07E52" w:rsidRPr="005934BE" w:rsidRDefault="00E07E52" w:rsidP="00E07E52">
            <w:pPr>
              <w:pStyle w:val="naisf"/>
              <w:spacing w:before="0" w:after="0"/>
              <w:ind w:firstLine="0"/>
              <w:jc w:val="right"/>
              <w:rPr>
                <w:b/>
              </w:rPr>
            </w:pPr>
            <w:r w:rsidRPr="005934BE">
              <w:rPr>
                <w:b/>
              </w:rPr>
              <w:t>0,0</w:t>
            </w:r>
          </w:p>
        </w:tc>
      </w:tr>
      <w:tr w:rsidR="00E07E52" w:rsidRPr="005934BE" w:rsidTr="0027554C">
        <w:trPr>
          <w:jc w:val="center"/>
        </w:trPr>
        <w:tc>
          <w:tcPr>
            <w:tcW w:w="2960" w:type="dxa"/>
            <w:vMerge/>
          </w:tcPr>
          <w:p w:rsidR="00E07E52" w:rsidRPr="005934BE" w:rsidRDefault="00E07E52" w:rsidP="00E07E52">
            <w:pPr>
              <w:jc w:val="both"/>
            </w:pPr>
          </w:p>
        </w:tc>
        <w:tc>
          <w:tcPr>
            <w:tcW w:w="1331" w:type="dxa"/>
            <w:vMerge/>
            <w:vAlign w:val="center"/>
          </w:tcPr>
          <w:p w:rsidR="00E07E52" w:rsidRPr="005934BE" w:rsidRDefault="00E07E52" w:rsidP="00E07E52">
            <w:pPr>
              <w:pStyle w:val="naisf"/>
              <w:spacing w:before="0" w:after="0"/>
              <w:ind w:firstLine="0"/>
              <w:jc w:val="center"/>
            </w:pP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vMerge/>
          </w:tcPr>
          <w:p w:rsidR="00E07E52" w:rsidRPr="005934BE" w:rsidRDefault="00E07E52" w:rsidP="00E07E52">
            <w:pPr>
              <w:jc w:val="both"/>
            </w:pPr>
          </w:p>
        </w:tc>
        <w:tc>
          <w:tcPr>
            <w:tcW w:w="1331" w:type="dxa"/>
            <w:vMerge/>
            <w:vAlign w:val="center"/>
          </w:tcPr>
          <w:p w:rsidR="00E07E52" w:rsidRPr="005934BE" w:rsidRDefault="00E07E52" w:rsidP="00E07E52">
            <w:pPr>
              <w:pStyle w:val="naisf"/>
              <w:spacing w:before="0" w:after="0"/>
              <w:ind w:firstLine="0"/>
              <w:jc w:val="center"/>
            </w:pP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rPr>
                <w:b/>
              </w:rPr>
            </w:pPr>
            <w:r w:rsidRPr="005934BE">
              <w:rPr>
                <w:b/>
              </w:rPr>
              <w:t>5. Precizēta finansiālā ietekme:</w:t>
            </w:r>
          </w:p>
        </w:tc>
        <w:tc>
          <w:tcPr>
            <w:tcW w:w="1331" w:type="dxa"/>
            <w:vMerge w:val="restart"/>
            <w:vAlign w:val="center"/>
          </w:tcPr>
          <w:p w:rsidR="00E07E52" w:rsidRPr="005934BE" w:rsidRDefault="00E07E52" w:rsidP="00E07E52">
            <w:pPr>
              <w:pStyle w:val="naisf"/>
              <w:spacing w:before="0" w:after="0"/>
              <w:ind w:firstLine="0"/>
              <w:jc w:val="center"/>
            </w:pPr>
            <w:r w:rsidRPr="005934BE">
              <w:t>X</w:t>
            </w:r>
          </w:p>
        </w:tc>
        <w:tc>
          <w:tcPr>
            <w:tcW w:w="1354" w:type="dxa"/>
            <w:vAlign w:val="center"/>
          </w:tcPr>
          <w:p w:rsidR="00E07E52" w:rsidRPr="005934BE" w:rsidRDefault="00E07E52" w:rsidP="00E07E52">
            <w:pPr>
              <w:pStyle w:val="naisf"/>
              <w:spacing w:before="0" w:after="0"/>
              <w:ind w:firstLine="0"/>
              <w:jc w:val="right"/>
              <w:rPr>
                <w:b/>
              </w:rPr>
            </w:pPr>
            <w:r w:rsidRPr="005934BE">
              <w:rPr>
                <w:b/>
              </w:rPr>
              <w:t>0,0</w:t>
            </w:r>
          </w:p>
        </w:tc>
        <w:tc>
          <w:tcPr>
            <w:tcW w:w="1354" w:type="dxa"/>
            <w:vAlign w:val="center"/>
          </w:tcPr>
          <w:p w:rsidR="00E07E52" w:rsidRPr="005934BE" w:rsidRDefault="00E07E52" w:rsidP="00E07E52">
            <w:pPr>
              <w:pStyle w:val="naisf"/>
              <w:spacing w:before="0" w:after="0"/>
              <w:ind w:firstLine="0"/>
              <w:jc w:val="right"/>
              <w:rPr>
                <w:b/>
              </w:rPr>
            </w:pPr>
            <w:r w:rsidRPr="005934BE">
              <w:rPr>
                <w:b/>
              </w:rPr>
              <w:t>0,0</w:t>
            </w:r>
          </w:p>
        </w:tc>
        <w:tc>
          <w:tcPr>
            <w:tcW w:w="1355" w:type="dxa"/>
            <w:vAlign w:val="center"/>
          </w:tcPr>
          <w:p w:rsidR="00E07E52" w:rsidRPr="005934BE" w:rsidRDefault="00E07E52" w:rsidP="00E07E52">
            <w:pPr>
              <w:pStyle w:val="naisf"/>
              <w:spacing w:before="0" w:after="0"/>
              <w:ind w:firstLine="0"/>
              <w:jc w:val="right"/>
              <w:rPr>
                <w:b/>
              </w:rPr>
            </w:pPr>
            <w:r w:rsidRPr="005934BE">
              <w:rPr>
                <w:b/>
              </w:rPr>
              <w:t>0,0</w:t>
            </w:r>
          </w:p>
        </w:tc>
        <w:tc>
          <w:tcPr>
            <w:tcW w:w="1406" w:type="dxa"/>
            <w:vAlign w:val="center"/>
          </w:tcPr>
          <w:p w:rsidR="00E07E52" w:rsidRPr="005934BE" w:rsidRDefault="00E07E52" w:rsidP="00E07E52">
            <w:pPr>
              <w:pStyle w:val="naisf"/>
              <w:spacing w:before="0" w:after="0"/>
              <w:ind w:firstLine="0"/>
              <w:jc w:val="right"/>
              <w:rPr>
                <w:b/>
              </w:rPr>
            </w:pPr>
            <w:r w:rsidRPr="005934BE">
              <w:rPr>
                <w:b/>
              </w:rPr>
              <w:t>0,0</w:t>
            </w:r>
          </w:p>
        </w:tc>
      </w:tr>
      <w:tr w:rsidR="00E07E52" w:rsidRPr="005934BE" w:rsidTr="0027554C">
        <w:trPr>
          <w:jc w:val="center"/>
        </w:trPr>
        <w:tc>
          <w:tcPr>
            <w:tcW w:w="2960" w:type="dxa"/>
          </w:tcPr>
          <w:p w:rsidR="00E07E52" w:rsidRPr="005934BE" w:rsidRDefault="00E07E52" w:rsidP="00E07E52">
            <w:pPr>
              <w:jc w:val="both"/>
            </w:pPr>
            <w:r w:rsidRPr="005934BE">
              <w:t>5.1. valsts pamatbudžets</w:t>
            </w:r>
          </w:p>
        </w:tc>
        <w:tc>
          <w:tcPr>
            <w:tcW w:w="1331" w:type="dxa"/>
            <w:vMerge/>
            <w:vAlign w:val="center"/>
          </w:tcPr>
          <w:p w:rsidR="00E07E52" w:rsidRPr="005934BE" w:rsidRDefault="00E07E52" w:rsidP="00E07E52">
            <w:pPr>
              <w:pStyle w:val="naisf"/>
              <w:spacing w:before="0" w:after="0"/>
              <w:ind w:firstLine="0"/>
              <w:jc w:val="right"/>
            </w:pP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pPr>
            <w:r w:rsidRPr="005934BE">
              <w:t>5.2. speciālais budžets</w:t>
            </w:r>
          </w:p>
        </w:tc>
        <w:tc>
          <w:tcPr>
            <w:tcW w:w="1331" w:type="dxa"/>
            <w:vMerge/>
            <w:vAlign w:val="center"/>
          </w:tcPr>
          <w:p w:rsidR="00E07E52" w:rsidRPr="005934BE" w:rsidRDefault="00E07E52" w:rsidP="00E07E52">
            <w:pPr>
              <w:pStyle w:val="naisf"/>
              <w:spacing w:before="0" w:after="0"/>
              <w:ind w:firstLine="0"/>
              <w:jc w:val="right"/>
            </w:pP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5934BE" w:rsidRDefault="00E07E52" w:rsidP="00E07E52">
            <w:pPr>
              <w:jc w:val="both"/>
            </w:pPr>
            <w:r w:rsidRPr="005934BE">
              <w:t xml:space="preserve">5.3. pašvaldību budžets </w:t>
            </w:r>
          </w:p>
        </w:tc>
        <w:tc>
          <w:tcPr>
            <w:tcW w:w="1331" w:type="dxa"/>
            <w:vMerge/>
            <w:vAlign w:val="center"/>
          </w:tcPr>
          <w:p w:rsidR="00E07E52" w:rsidRPr="005934BE" w:rsidRDefault="00E07E52" w:rsidP="00E07E52">
            <w:pPr>
              <w:pStyle w:val="naisf"/>
              <w:spacing w:before="0" w:after="0"/>
              <w:ind w:firstLine="0"/>
              <w:jc w:val="right"/>
            </w:pPr>
          </w:p>
        </w:tc>
        <w:tc>
          <w:tcPr>
            <w:tcW w:w="1354" w:type="dxa"/>
            <w:vAlign w:val="center"/>
          </w:tcPr>
          <w:p w:rsidR="00E07E52" w:rsidRPr="005934BE" w:rsidRDefault="00E07E52" w:rsidP="00E07E52">
            <w:pPr>
              <w:pStyle w:val="naisf"/>
              <w:spacing w:before="0" w:after="0"/>
              <w:ind w:firstLine="0"/>
              <w:jc w:val="right"/>
            </w:pPr>
            <w:r w:rsidRPr="005934BE">
              <w:t>0,0</w:t>
            </w:r>
          </w:p>
        </w:tc>
        <w:tc>
          <w:tcPr>
            <w:tcW w:w="1354" w:type="dxa"/>
            <w:vAlign w:val="center"/>
          </w:tcPr>
          <w:p w:rsidR="00E07E52" w:rsidRPr="005934BE" w:rsidRDefault="00E07E52" w:rsidP="00E07E52">
            <w:pPr>
              <w:pStyle w:val="naisf"/>
              <w:spacing w:before="0" w:after="0"/>
              <w:ind w:firstLine="0"/>
              <w:jc w:val="right"/>
            </w:pPr>
            <w:r w:rsidRPr="005934BE">
              <w:t>0,0</w:t>
            </w:r>
          </w:p>
        </w:tc>
        <w:tc>
          <w:tcPr>
            <w:tcW w:w="1355" w:type="dxa"/>
            <w:vAlign w:val="center"/>
          </w:tcPr>
          <w:p w:rsidR="00E07E52" w:rsidRPr="005934BE" w:rsidRDefault="00E07E52" w:rsidP="00E07E52">
            <w:pPr>
              <w:pStyle w:val="naisf"/>
              <w:spacing w:before="0" w:after="0"/>
              <w:ind w:firstLine="0"/>
              <w:jc w:val="right"/>
            </w:pPr>
            <w:r w:rsidRPr="005934BE">
              <w:t>0,0</w:t>
            </w:r>
          </w:p>
        </w:tc>
        <w:tc>
          <w:tcPr>
            <w:tcW w:w="1406" w:type="dxa"/>
            <w:vAlign w:val="center"/>
          </w:tcPr>
          <w:p w:rsidR="00E07E52" w:rsidRPr="005934BE" w:rsidRDefault="00E07E52" w:rsidP="00E07E52">
            <w:pPr>
              <w:pStyle w:val="naisf"/>
              <w:spacing w:before="0" w:after="0"/>
              <w:ind w:firstLine="0"/>
              <w:jc w:val="right"/>
            </w:pPr>
            <w:r w:rsidRPr="005934BE">
              <w:t>0,0</w:t>
            </w:r>
          </w:p>
        </w:tc>
      </w:tr>
      <w:tr w:rsidR="00E07E52" w:rsidRPr="005934BE" w:rsidTr="0027554C">
        <w:trPr>
          <w:jc w:val="center"/>
        </w:trPr>
        <w:tc>
          <w:tcPr>
            <w:tcW w:w="2960" w:type="dxa"/>
          </w:tcPr>
          <w:p w:rsidR="00E07E52" w:rsidRPr="008E53FB" w:rsidRDefault="00E07E52" w:rsidP="00E07E52">
            <w:pPr>
              <w:jc w:val="both"/>
            </w:pPr>
            <w:r w:rsidRPr="008E53FB">
              <w:t>6. Detalizēts ieņēmumu un izdevu</w:t>
            </w:r>
            <w:r w:rsidRPr="008E53FB">
              <w:softHyphen/>
              <w:t>mu aprēķins (ja nepieciešams, detalizētu ieņēmumu un izdevumu aprēķinu var pievienot anotācijas pielikumā):</w:t>
            </w:r>
          </w:p>
        </w:tc>
        <w:tc>
          <w:tcPr>
            <w:tcW w:w="6800" w:type="dxa"/>
            <w:gridSpan w:val="5"/>
            <w:vMerge w:val="restart"/>
            <w:vAlign w:val="center"/>
          </w:tcPr>
          <w:p w:rsidR="00E07E52" w:rsidRPr="00AE6979" w:rsidRDefault="00E07E52" w:rsidP="00F85190">
            <w:pPr>
              <w:pStyle w:val="naisf"/>
              <w:spacing w:before="0" w:after="0"/>
              <w:ind w:firstLine="0"/>
            </w:pPr>
            <w:r w:rsidRPr="00AE6979">
              <w:t xml:space="preserve">Atbilstoši </w:t>
            </w:r>
            <w:r w:rsidRPr="00AE6979">
              <w:rPr>
                <w:u w:val="single"/>
              </w:rPr>
              <w:t>likumam „Par valsts budžetu 2012.gadam</w:t>
            </w:r>
            <w:r w:rsidRPr="00AE6979">
              <w:t xml:space="preserve">” ministrijas </w:t>
            </w:r>
            <w:r w:rsidRPr="00AE6979">
              <w:rPr>
                <w:b/>
              </w:rPr>
              <w:t>budžeta ieņēmumi</w:t>
            </w:r>
            <w:r w:rsidRPr="00AE6979">
              <w:t xml:space="preserve"> no valsts pamatbudžeta dotācijas no vispārējiem ieņēmumiem programmā 01.00.00 „Nozares vadība” ir </w:t>
            </w:r>
            <w:r w:rsidRPr="00AE6979">
              <w:rPr>
                <w:b/>
              </w:rPr>
              <w:t>1 700 304 lati</w:t>
            </w:r>
            <w:r w:rsidRPr="00AE6979">
              <w:t xml:space="preserve">, </w:t>
            </w:r>
          </w:p>
          <w:p w:rsidR="00E07E52" w:rsidRPr="005934BE" w:rsidRDefault="00E07E52" w:rsidP="00F85190">
            <w:pPr>
              <w:pStyle w:val="naisf"/>
              <w:spacing w:before="0" w:after="0"/>
              <w:ind w:firstLine="0"/>
            </w:pPr>
            <w:r w:rsidRPr="00AE6979">
              <w:t>tai skaitā:</w:t>
            </w:r>
            <w:r w:rsidRPr="005934BE">
              <w:t xml:space="preserve"> </w:t>
            </w:r>
          </w:p>
          <w:p w:rsidR="00E07E52" w:rsidRPr="005934BE" w:rsidRDefault="00E07E52" w:rsidP="00F85190">
            <w:pPr>
              <w:pStyle w:val="naisf"/>
              <w:numPr>
                <w:ilvl w:val="0"/>
                <w:numId w:val="48"/>
              </w:numPr>
              <w:spacing w:before="0" w:after="0"/>
            </w:pPr>
            <w:r w:rsidRPr="005934BE">
              <w:t>apakšprogrammā 01.01.00 „Veselības aprūpes centrālā vadība” 1 637 559 lati;</w:t>
            </w:r>
          </w:p>
          <w:p w:rsidR="00E07E52" w:rsidRPr="005934BE" w:rsidRDefault="00E07E52" w:rsidP="00F85190">
            <w:pPr>
              <w:pStyle w:val="naisf"/>
              <w:numPr>
                <w:ilvl w:val="0"/>
                <w:numId w:val="48"/>
              </w:numPr>
              <w:spacing w:before="0" w:after="0"/>
            </w:pPr>
            <w:r w:rsidRPr="005934BE">
              <w:t>apakšprogrammā 01.05.00 „Veselības veicināšana” 62 745 lati.</w:t>
            </w:r>
          </w:p>
          <w:p w:rsidR="00E07E52" w:rsidRPr="005934BE" w:rsidRDefault="00E07E52" w:rsidP="00F85190">
            <w:pPr>
              <w:pStyle w:val="naisf"/>
              <w:spacing w:before="0" w:after="0"/>
              <w:ind w:firstLine="0"/>
            </w:pPr>
            <w:r w:rsidRPr="005934BE">
              <w:rPr>
                <w:b/>
              </w:rPr>
              <w:t>Budžeta izdevumi</w:t>
            </w:r>
            <w:r w:rsidRPr="005934BE">
              <w:t xml:space="preserve"> programmā 01.00.00 „Nozares vadība” ir </w:t>
            </w:r>
            <w:r w:rsidRPr="005934BE">
              <w:rPr>
                <w:b/>
              </w:rPr>
              <w:t>1 700 304 lati</w:t>
            </w:r>
            <w:r w:rsidRPr="005934BE">
              <w:t xml:space="preserve">, tai skaitā: </w:t>
            </w:r>
          </w:p>
          <w:p w:rsidR="00E07E52" w:rsidRPr="005934BE" w:rsidRDefault="00E07E52" w:rsidP="00CA13CB">
            <w:pPr>
              <w:pStyle w:val="naisf"/>
              <w:numPr>
                <w:ilvl w:val="0"/>
                <w:numId w:val="47"/>
              </w:numPr>
              <w:spacing w:before="0" w:after="0"/>
              <w:ind w:left="639" w:hanging="279"/>
            </w:pPr>
            <w:r w:rsidRPr="005934BE">
              <w:t>apakšprogrammā 01.01.00 „Veselības aprūpes centrālā vadība”</w:t>
            </w:r>
            <w:r w:rsidR="00CA13CB">
              <w:t xml:space="preserve"> </w:t>
            </w:r>
            <w:r w:rsidRPr="005934BE">
              <w:t>1 637 559 lati, tai skaitā:</w:t>
            </w:r>
          </w:p>
          <w:p w:rsidR="00E07E52" w:rsidRPr="005934BE" w:rsidRDefault="00E07E52" w:rsidP="00F85190">
            <w:pPr>
              <w:pStyle w:val="naisf"/>
              <w:spacing w:before="0" w:after="0"/>
              <w:ind w:firstLine="0"/>
            </w:pPr>
            <w:r w:rsidRPr="005934BE">
              <w:tab/>
              <w:t xml:space="preserve">   1 234 781 lats atlīdzībai, tai skaitā 970 530 lati atalgojumam,</w:t>
            </w:r>
          </w:p>
          <w:p w:rsidR="00E07E52" w:rsidRPr="005934BE" w:rsidRDefault="00E07E52" w:rsidP="00F85190">
            <w:pPr>
              <w:pStyle w:val="naisf"/>
              <w:spacing w:before="0" w:after="0"/>
              <w:ind w:firstLine="0"/>
            </w:pPr>
            <w:r w:rsidRPr="005934BE">
              <w:tab/>
              <w:t xml:space="preserve">   387 778 lati precēm un pakalpojumiem,</w:t>
            </w:r>
          </w:p>
          <w:p w:rsidR="00E07E52" w:rsidRPr="005934BE" w:rsidRDefault="00E07E52" w:rsidP="00F85190">
            <w:pPr>
              <w:pStyle w:val="naisf"/>
              <w:spacing w:before="0" w:after="0"/>
              <w:ind w:firstLine="0"/>
            </w:pPr>
            <w:r w:rsidRPr="005934BE">
              <w:tab/>
              <w:t xml:space="preserve">   15 000 lati kapitāliem izdevumiem;</w:t>
            </w:r>
          </w:p>
          <w:p w:rsidR="00E07E52" w:rsidRPr="005934BE" w:rsidRDefault="00E07E52" w:rsidP="00F85190">
            <w:pPr>
              <w:pStyle w:val="naisf"/>
              <w:numPr>
                <w:ilvl w:val="0"/>
                <w:numId w:val="47"/>
              </w:numPr>
              <w:spacing w:before="0" w:after="0"/>
              <w:ind w:left="639" w:hanging="279"/>
            </w:pPr>
            <w:r w:rsidRPr="005934BE">
              <w:t xml:space="preserve">apakšprogrammā 01.05.00 „Veselības veicināšana” 62 745 lati precēm un pakalpojumiem.  </w:t>
            </w:r>
          </w:p>
          <w:p w:rsidR="00E07E52" w:rsidRPr="005934BE" w:rsidRDefault="00E07E52" w:rsidP="00F85190">
            <w:pPr>
              <w:pStyle w:val="naisf"/>
              <w:spacing w:before="0" w:after="0"/>
              <w:ind w:firstLine="0"/>
            </w:pPr>
            <w:r w:rsidRPr="005934BE">
              <w:t xml:space="preserve">Likumā „Grozījumi likumā „Par valsts budžetu 2012.gadam” programmas 01.00.00 un tās apakšprogrammu ieņēmumos un </w:t>
            </w:r>
            <w:r w:rsidRPr="005934BE">
              <w:lastRenderedPageBreak/>
              <w:t xml:space="preserve">izdevumos izmaiņas netika veiktas. </w:t>
            </w:r>
          </w:p>
          <w:p w:rsidR="00E07E52" w:rsidRPr="005934BE" w:rsidRDefault="00E07E52" w:rsidP="00F85190">
            <w:pPr>
              <w:pStyle w:val="naisf"/>
              <w:spacing w:before="0" w:after="0"/>
              <w:ind w:firstLine="0"/>
            </w:pPr>
            <w:r w:rsidRPr="005934BE">
              <w:t xml:space="preserve">Saskaņā ar </w:t>
            </w:r>
            <w:r w:rsidR="003A39BE">
              <w:t xml:space="preserve">MK </w:t>
            </w:r>
            <w:r w:rsidRPr="005934BE">
              <w:t xml:space="preserve">noteikumu projekta 1.3., 1.4. un 1.5.apakšpunktiem, kā arī atbilstoši Ministru kabineta noteikumu projektam „Grozījumi Ministru kabineta 2012.gada 3.aprīļa noteikumos Nr.241 Slimību profilakses un kontroles centra nolikums”” (VSS-815), ar 2013.gadu visus veselības veicināšanas koordinācijas uzdevumus no ministrijas pilnībā pārņem centrs. </w:t>
            </w:r>
          </w:p>
          <w:p w:rsidR="00E07E52" w:rsidRPr="005934BE" w:rsidRDefault="00E07E52" w:rsidP="00F85190">
            <w:pPr>
              <w:pStyle w:val="naisf"/>
              <w:spacing w:before="0" w:after="0"/>
              <w:ind w:firstLine="0"/>
            </w:pPr>
            <w:r w:rsidRPr="005934BE">
              <w:t xml:space="preserve">Līdz ar to viss veselības veicināšanas pasākumu finansējums 62 745 latu apmērā no budžeta apakšprogrammas 01.05.00 tiek pārcelts uz jaunizveidoto budžeta apakšprogrammu 46.03.00 „Slimību profilakses nodrošināšana”, apakšprogrammu 01.05.00 likvidējot. Līdzekļu pārdale </w:t>
            </w:r>
            <w:r w:rsidR="00A634E9">
              <w:t>jau ir iekļauta</w:t>
            </w:r>
            <w:r w:rsidRPr="005934BE">
              <w:t xml:space="preserve"> Ministru kabineta 2012.gada 25.septembra sēdē atbalstītajā (prot. Nr.53, 51.§) un 22.oktobrī Saeimā pirmajā lasījumā nobalsotajā likumprojektā „Par valsts budžetu 2013.g</w:t>
            </w:r>
            <w:r w:rsidR="006D4F1E">
              <w:t>adam”.</w:t>
            </w:r>
            <w:r w:rsidR="006D4F1E">
              <w:rPr>
                <w:sz w:val="28"/>
                <w:szCs w:val="28"/>
              </w:rPr>
              <w:t xml:space="preserve"> </w:t>
            </w:r>
            <w:r w:rsidR="006D4F1E" w:rsidRPr="006D4F1E">
              <w:t>Savukārt atbilstoši Ministru kabineta 2012.gada 25.septembra sēdē atbalstītajam</w:t>
            </w:r>
            <w:r w:rsidR="00A634E9">
              <w:t xml:space="preserve"> un </w:t>
            </w:r>
            <w:r w:rsidR="00A634E9" w:rsidRPr="005934BE">
              <w:t xml:space="preserve">22.oktobrī Saeimā pirmajā lasījumā </w:t>
            </w:r>
            <w:r w:rsidR="00A634E9">
              <w:t>nobalsotajam</w:t>
            </w:r>
            <w:r w:rsidR="006D4F1E" w:rsidRPr="006D4F1E">
              <w:t xml:space="preserve"> likumprojektam „Par vidēja termiņa budžeta ietvaru 2013.-2015.gadam” attiecīgā finansējuma pārdale 2014.gadam un 2015.gadam iekļauta ministrijas maksimāli pieļaujamo valsts budžeta izdevumu apjomā.</w:t>
            </w:r>
          </w:p>
          <w:p w:rsidR="00E07E52" w:rsidRPr="005934BE" w:rsidRDefault="00E07E52" w:rsidP="00F85190">
            <w:pPr>
              <w:pStyle w:val="naisf"/>
              <w:spacing w:before="0" w:after="0"/>
              <w:ind w:firstLine="0"/>
            </w:pPr>
            <w:r w:rsidRPr="005934BE">
              <w:t xml:space="preserve">Līdz ar veiktajām izmaiņām atbilstoši </w:t>
            </w:r>
            <w:r w:rsidRPr="005934BE">
              <w:rPr>
                <w:u w:val="single"/>
              </w:rPr>
              <w:t>likumprojektam „Par valsts budžetu 2013.gadam</w:t>
            </w:r>
            <w:r w:rsidRPr="005934BE">
              <w:t>”:</w:t>
            </w:r>
          </w:p>
          <w:p w:rsidR="00E07E52" w:rsidRPr="005934BE" w:rsidRDefault="003A39BE" w:rsidP="00F85190">
            <w:pPr>
              <w:pStyle w:val="naisf"/>
              <w:spacing w:before="0" w:after="0"/>
              <w:ind w:firstLine="0"/>
            </w:pPr>
            <w:r>
              <w:t>M</w:t>
            </w:r>
            <w:r w:rsidR="00E07E52" w:rsidRPr="005934BE">
              <w:t xml:space="preserve">inistrijas </w:t>
            </w:r>
            <w:r w:rsidR="00E07E52" w:rsidRPr="00693419">
              <w:t>budžeta ieņēmumi</w:t>
            </w:r>
            <w:r w:rsidR="00E07E52" w:rsidRPr="005934BE">
              <w:t xml:space="preserve"> no valsts pamatbudžeta dotācijas no vispārējiem ieņēmumiem </w:t>
            </w:r>
            <w:r w:rsidR="00880B90">
              <w:t xml:space="preserve">un izdevumi </w:t>
            </w:r>
            <w:r w:rsidR="00E07E52" w:rsidRPr="005934BE">
              <w:t xml:space="preserve">budžeta programmas 01.00.00 „Nozares vadība” apakšprogrammā 01.01.00 „Veselības aprūpes centrālā vadība” ir </w:t>
            </w:r>
            <w:r w:rsidR="00E07E52" w:rsidRPr="005934BE">
              <w:rPr>
                <w:b/>
              </w:rPr>
              <w:t>1 637 559 lati</w:t>
            </w:r>
            <w:r w:rsidR="00693419">
              <w:t xml:space="preserve">, </w:t>
            </w:r>
            <w:r w:rsidR="00E07E52" w:rsidRPr="005934BE">
              <w:t>tai skaitā:</w:t>
            </w:r>
          </w:p>
          <w:p w:rsidR="00E07E52" w:rsidRPr="005934BE" w:rsidRDefault="00E07E52" w:rsidP="00F85190">
            <w:pPr>
              <w:pStyle w:val="naisf"/>
              <w:spacing w:before="0" w:after="0"/>
              <w:ind w:firstLine="0"/>
            </w:pPr>
            <w:r w:rsidRPr="005934BE">
              <w:tab/>
              <w:t>1 257 995 lati atlīdzībai, tai skaitā 979 011 lati atalgojumam,</w:t>
            </w:r>
          </w:p>
          <w:p w:rsidR="00E07E52" w:rsidRPr="005934BE" w:rsidRDefault="00E07E52" w:rsidP="00F85190">
            <w:pPr>
              <w:pStyle w:val="naisf"/>
              <w:spacing w:before="0" w:after="0"/>
              <w:ind w:firstLine="0"/>
            </w:pPr>
            <w:r w:rsidRPr="005934BE">
              <w:tab/>
              <w:t>376 564 lati precēm un pakalpojumiem,</w:t>
            </w:r>
          </w:p>
          <w:p w:rsidR="00E07E52" w:rsidRDefault="00E07E52" w:rsidP="00F85190">
            <w:pPr>
              <w:pStyle w:val="naisf"/>
              <w:spacing w:before="0" w:after="0"/>
              <w:ind w:firstLine="0"/>
            </w:pPr>
            <w:r w:rsidRPr="005934BE">
              <w:tab/>
              <w:t>3 000 lati kapitāliem izdevumiem.</w:t>
            </w:r>
          </w:p>
          <w:p w:rsidR="00253C07" w:rsidRDefault="00253C07" w:rsidP="00253C07">
            <w:pPr>
              <w:pStyle w:val="naisf"/>
              <w:spacing w:before="0" w:after="0"/>
              <w:ind w:firstLine="0"/>
            </w:pPr>
          </w:p>
          <w:p w:rsidR="00253C07" w:rsidRDefault="00253C07" w:rsidP="00253C07">
            <w:pPr>
              <w:pStyle w:val="naisf"/>
              <w:spacing w:before="0" w:after="0"/>
              <w:ind w:firstLine="0"/>
            </w:pPr>
            <w:r>
              <w:t>A</w:t>
            </w:r>
            <w:r w:rsidRPr="005934BE">
              <w:t xml:space="preserve">tbilstoši </w:t>
            </w:r>
            <w:r w:rsidR="00541997">
              <w:rPr>
                <w:u w:val="single"/>
              </w:rPr>
              <w:t>likumprojektā</w:t>
            </w:r>
            <w:r w:rsidRPr="005934BE">
              <w:rPr>
                <w:u w:val="single"/>
              </w:rPr>
              <w:t xml:space="preserve"> „Par </w:t>
            </w:r>
            <w:r>
              <w:rPr>
                <w:u w:val="single"/>
              </w:rPr>
              <w:t>vidēja termiņa budžeta ietvaru</w:t>
            </w:r>
            <w:r w:rsidRPr="005934BE">
              <w:rPr>
                <w:u w:val="single"/>
              </w:rPr>
              <w:t xml:space="preserve"> 2013.</w:t>
            </w:r>
            <w:r>
              <w:rPr>
                <w:u w:val="single"/>
              </w:rPr>
              <w:t>-2015.</w:t>
            </w:r>
            <w:r w:rsidRPr="005934BE">
              <w:rPr>
                <w:u w:val="single"/>
              </w:rPr>
              <w:t>gadam</w:t>
            </w:r>
            <w:r w:rsidRPr="005934BE">
              <w:t>”</w:t>
            </w:r>
            <w:r w:rsidR="006D4F1E">
              <w:t xml:space="preserve"> ministrijai plānoto</w:t>
            </w:r>
            <w:r w:rsidR="00125476">
              <w:t xml:space="preserve"> </w:t>
            </w:r>
            <w:r w:rsidR="008D25CE">
              <w:t xml:space="preserve">maksimāli pieļaujamo </w:t>
            </w:r>
            <w:r w:rsidR="00125476">
              <w:t xml:space="preserve">valsts </w:t>
            </w:r>
            <w:r w:rsidR="008D25CE">
              <w:t>budžeta izdevuma apjomam</w:t>
            </w:r>
            <w:r w:rsidRPr="005934BE">
              <w:t>:</w:t>
            </w:r>
          </w:p>
          <w:p w:rsidR="008E53FB" w:rsidRPr="005934BE" w:rsidRDefault="008E53FB" w:rsidP="00253C07">
            <w:pPr>
              <w:pStyle w:val="naisf"/>
              <w:spacing w:before="0" w:after="0"/>
              <w:ind w:firstLine="0"/>
            </w:pPr>
            <w:r w:rsidRPr="008E53FB">
              <w:rPr>
                <w:b/>
              </w:rPr>
              <w:t>2014.</w:t>
            </w:r>
            <w:r w:rsidR="006D4F1E">
              <w:rPr>
                <w:b/>
              </w:rPr>
              <w:t xml:space="preserve"> </w:t>
            </w:r>
            <w:r w:rsidRPr="008E53FB">
              <w:rPr>
                <w:b/>
              </w:rPr>
              <w:t>gadā</w:t>
            </w:r>
            <w:r w:rsidR="006D4F1E">
              <w:t xml:space="preserve"> </w:t>
            </w:r>
            <w:r w:rsidR="006D4F1E" w:rsidRPr="006D4F1E">
              <w:rPr>
                <w:b/>
              </w:rPr>
              <w:t xml:space="preserve">un 2015. </w:t>
            </w:r>
            <w:r w:rsidR="006D4F1E">
              <w:rPr>
                <w:b/>
              </w:rPr>
              <w:t>g</w:t>
            </w:r>
            <w:r w:rsidR="006D4F1E" w:rsidRPr="006D4F1E">
              <w:rPr>
                <w:b/>
              </w:rPr>
              <w:t>adā</w:t>
            </w:r>
            <w:r w:rsidR="006D4F1E">
              <w:rPr>
                <w:b/>
              </w:rPr>
              <w:t>:</w:t>
            </w:r>
          </w:p>
          <w:p w:rsidR="00253C07" w:rsidRPr="005934BE" w:rsidRDefault="00253C07" w:rsidP="00253C07">
            <w:pPr>
              <w:pStyle w:val="naisf"/>
              <w:spacing w:before="0" w:after="0"/>
              <w:ind w:firstLine="0"/>
            </w:pPr>
            <w:r>
              <w:t>M</w:t>
            </w:r>
            <w:r w:rsidRPr="005934BE">
              <w:t xml:space="preserve">inistrijas </w:t>
            </w:r>
            <w:r w:rsidRPr="008D25CE">
              <w:t>budžeta ieņēmumi</w:t>
            </w:r>
            <w:r w:rsidRPr="005934BE">
              <w:t xml:space="preserve"> no valsts pamatbudžeta dotā</w:t>
            </w:r>
            <w:r w:rsidR="008D25CE">
              <w:t xml:space="preserve">cijas no vispārējiem ieņēmumiem un izdevumi </w:t>
            </w:r>
            <w:r w:rsidRPr="005934BE">
              <w:t xml:space="preserve">budžeta programmas 01.00.00 „Nozares vadība” apakšprogrammā 01.01.00 „Veselības aprūpes centrālā vadība” </w:t>
            </w:r>
            <w:r>
              <w:t>plānoti</w:t>
            </w:r>
            <w:r w:rsidRPr="005934BE">
              <w:t xml:space="preserve"> </w:t>
            </w:r>
            <w:r w:rsidRPr="008D25CE">
              <w:rPr>
                <w:b/>
              </w:rPr>
              <w:t>1 637 559 latu</w:t>
            </w:r>
            <w:r>
              <w:t xml:space="preserve"> apmērā</w:t>
            </w:r>
            <w:r w:rsidR="00693419">
              <w:t xml:space="preserve">, </w:t>
            </w:r>
            <w:r w:rsidRPr="005934BE">
              <w:t>tai skaitā:</w:t>
            </w:r>
          </w:p>
          <w:p w:rsidR="00253C07" w:rsidRPr="005934BE" w:rsidRDefault="00253C07" w:rsidP="00253C07">
            <w:pPr>
              <w:pStyle w:val="naisf"/>
              <w:spacing w:before="0" w:after="0"/>
              <w:ind w:firstLine="0"/>
            </w:pPr>
            <w:r w:rsidRPr="005934BE">
              <w:tab/>
              <w:t>1 257 995 lati atlīdzībai, tai skaitā 979 011 lati atalgojumam,</w:t>
            </w:r>
          </w:p>
          <w:p w:rsidR="00253C07" w:rsidRPr="005934BE" w:rsidRDefault="00253C07" w:rsidP="00253C07">
            <w:pPr>
              <w:pStyle w:val="naisf"/>
              <w:spacing w:before="0" w:after="0"/>
              <w:ind w:firstLine="0"/>
            </w:pPr>
            <w:r w:rsidRPr="005934BE">
              <w:tab/>
              <w:t>376 564 lati precēm un pakalpojumiem,</w:t>
            </w:r>
          </w:p>
          <w:p w:rsidR="00253C07" w:rsidRPr="005934BE" w:rsidRDefault="00253C07" w:rsidP="008E53FB">
            <w:pPr>
              <w:pStyle w:val="naisf"/>
              <w:spacing w:before="0" w:after="0"/>
              <w:ind w:firstLine="0"/>
            </w:pPr>
            <w:r w:rsidRPr="005934BE">
              <w:tab/>
              <w:t>3 000 lati kapitāliem izdevumiem.</w:t>
            </w:r>
          </w:p>
        </w:tc>
      </w:tr>
      <w:tr w:rsidR="00E07E52" w:rsidRPr="005934BE" w:rsidTr="0027554C">
        <w:trPr>
          <w:jc w:val="center"/>
        </w:trPr>
        <w:tc>
          <w:tcPr>
            <w:tcW w:w="2960" w:type="dxa"/>
          </w:tcPr>
          <w:p w:rsidR="00E07E52" w:rsidRPr="005934BE" w:rsidRDefault="00E07E52" w:rsidP="00E07E52">
            <w:pPr>
              <w:jc w:val="both"/>
            </w:pPr>
            <w:r w:rsidRPr="005934BE">
              <w:t>6.1. detalizēts ieņēmumu aprēķins</w:t>
            </w:r>
          </w:p>
        </w:tc>
        <w:tc>
          <w:tcPr>
            <w:tcW w:w="6800" w:type="dxa"/>
            <w:gridSpan w:val="5"/>
            <w:vMerge/>
          </w:tcPr>
          <w:p w:rsidR="00E07E52" w:rsidRPr="005934BE" w:rsidRDefault="00E07E52" w:rsidP="00E07E52">
            <w:pPr>
              <w:pStyle w:val="naisf"/>
              <w:spacing w:before="0" w:after="0"/>
              <w:ind w:firstLine="0"/>
              <w:rPr>
                <w:b/>
                <w:i/>
              </w:rPr>
            </w:pPr>
          </w:p>
        </w:tc>
      </w:tr>
      <w:tr w:rsidR="00E07E52" w:rsidRPr="005934BE" w:rsidTr="0027554C">
        <w:trPr>
          <w:jc w:val="center"/>
        </w:trPr>
        <w:tc>
          <w:tcPr>
            <w:tcW w:w="2960" w:type="dxa"/>
          </w:tcPr>
          <w:p w:rsidR="00E07E52" w:rsidRPr="005934BE" w:rsidRDefault="00E07E52" w:rsidP="00E07E52">
            <w:pPr>
              <w:jc w:val="both"/>
            </w:pPr>
            <w:r w:rsidRPr="005934BE">
              <w:t>6.2. detalizēts izdevumu aprēķins</w:t>
            </w:r>
          </w:p>
        </w:tc>
        <w:tc>
          <w:tcPr>
            <w:tcW w:w="6800" w:type="dxa"/>
            <w:gridSpan w:val="5"/>
            <w:vMerge/>
          </w:tcPr>
          <w:p w:rsidR="00E07E52" w:rsidRPr="005934BE" w:rsidRDefault="00E07E52" w:rsidP="00E07E52">
            <w:pPr>
              <w:pStyle w:val="naisf"/>
              <w:spacing w:before="0" w:after="0"/>
              <w:ind w:firstLine="0"/>
              <w:rPr>
                <w:b/>
                <w:i/>
              </w:rPr>
            </w:pPr>
          </w:p>
        </w:tc>
      </w:tr>
      <w:tr w:rsidR="00E07E52" w:rsidRPr="005934BE" w:rsidTr="0027554C">
        <w:trPr>
          <w:jc w:val="center"/>
        </w:trPr>
        <w:tc>
          <w:tcPr>
            <w:tcW w:w="2960" w:type="dxa"/>
          </w:tcPr>
          <w:p w:rsidR="00E07E52" w:rsidRPr="005934BE" w:rsidRDefault="00E07E52" w:rsidP="00E07E52">
            <w:pPr>
              <w:jc w:val="both"/>
            </w:pPr>
            <w:r w:rsidRPr="005934BE">
              <w:lastRenderedPageBreak/>
              <w:t>7. Cita informācija</w:t>
            </w:r>
          </w:p>
        </w:tc>
        <w:tc>
          <w:tcPr>
            <w:tcW w:w="6800" w:type="dxa"/>
            <w:gridSpan w:val="5"/>
          </w:tcPr>
          <w:p w:rsidR="008E53FB" w:rsidRPr="005934BE" w:rsidRDefault="00E07E52" w:rsidP="00826EB5">
            <w:pPr>
              <w:pStyle w:val="naisf"/>
              <w:tabs>
                <w:tab w:val="left" w:pos="4644"/>
              </w:tabs>
              <w:spacing w:before="0" w:after="0"/>
              <w:ind w:firstLine="0"/>
            </w:pPr>
            <w:r w:rsidRPr="005934BE">
              <w:t>Noteikumu projekta īstenošana tiks nodrošināta ministrijai piešķirto valsts budžeta līdzekļu ietvaros</w:t>
            </w:r>
            <w:r w:rsidR="00826EB5">
              <w:t>.</w:t>
            </w:r>
          </w:p>
        </w:tc>
      </w:tr>
    </w:tbl>
    <w:p w:rsidR="00280BEF" w:rsidRDefault="00280BEF" w:rsidP="00135306">
      <w:pPr>
        <w:pStyle w:val="naisf"/>
        <w:spacing w:before="0" w:after="0"/>
        <w:ind w:firstLine="0"/>
        <w:rPr>
          <w:color w:val="000000"/>
          <w:sz w:val="28"/>
          <w:szCs w:val="28"/>
        </w:rPr>
      </w:pPr>
    </w:p>
    <w:tbl>
      <w:tblPr>
        <w:tblW w:w="9870"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296"/>
        <w:gridCol w:w="6776"/>
      </w:tblGrid>
      <w:tr w:rsidR="0047429F" w:rsidRPr="002F370D" w:rsidTr="0047429F">
        <w:trPr>
          <w:jc w:val="center"/>
        </w:trPr>
        <w:tc>
          <w:tcPr>
            <w:tcW w:w="9870" w:type="dxa"/>
            <w:gridSpan w:val="3"/>
          </w:tcPr>
          <w:p w:rsidR="0047429F" w:rsidRPr="002F370D" w:rsidRDefault="0047429F" w:rsidP="0047429F">
            <w:pPr>
              <w:pStyle w:val="naisnod"/>
              <w:spacing w:before="0" w:after="0"/>
            </w:pPr>
            <w:r w:rsidRPr="002F370D">
              <w:t>IV. Tiesību akta projekta ietekme uz spēkā esošo tiesību normu sistēmu</w:t>
            </w:r>
          </w:p>
        </w:tc>
      </w:tr>
      <w:tr w:rsidR="0047429F" w:rsidRPr="002F370D" w:rsidTr="00271AA3">
        <w:trPr>
          <w:jc w:val="center"/>
        </w:trPr>
        <w:tc>
          <w:tcPr>
            <w:tcW w:w="798" w:type="dxa"/>
          </w:tcPr>
          <w:p w:rsidR="0047429F" w:rsidRPr="002F370D" w:rsidRDefault="0047429F" w:rsidP="0047429F">
            <w:pPr>
              <w:pStyle w:val="naiskr"/>
              <w:tabs>
                <w:tab w:val="left" w:pos="2628"/>
              </w:tabs>
              <w:spacing w:before="0" w:after="0"/>
              <w:jc w:val="both"/>
              <w:rPr>
                <w:iCs/>
              </w:rPr>
            </w:pPr>
            <w:r w:rsidRPr="002F370D">
              <w:rPr>
                <w:iCs/>
              </w:rPr>
              <w:t>1.</w:t>
            </w:r>
          </w:p>
        </w:tc>
        <w:tc>
          <w:tcPr>
            <w:tcW w:w="2296" w:type="dxa"/>
          </w:tcPr>
          <w:p w:rsidR="0047429F" w:rsidRPr="002F370D" w:rsidRDefault="0047429F" w:rsidP="0047429F">
            <w:pPr>
              <w:pStyle w:val="naiskr"/>
              <w:tabs>
                <w:tab w:val="left" w:pos="2628"/>
              </w:tabs>
              <w:spacing w:before="0" w:after="0"/>
              <w:jc w:val="both"/>
              <w:rPr>
                <w:iCs/>
              </w:rPr>
            </w:pPr>
            <w:r w:rsidRPr="002F370D">
              <w:t>Nepieciešamie saistītie tiesību aktu projekti</w:t>
            </w:r>
          </w:p>
        </w:tc>
        <w:tc>
          <w:tcPr>
            <w:tcW w:w="6776" w:type="dxa"/>
          </w:tcPr>
          <w:p w:rsidR="000F0835" w:rsidRPr="002F370D" w:rsidRDefault="000F0835" w:rsidP="006D4F1E">
            <w:pPr>
              <w:ind w:right="141"/>
              <w:jc w:val="both"/>
            </w:pPr>
            <w:r w:rsidRPr="002F370D">
              <w:t>Saistītie tiesību aktu projekti, kuri stāsies spēkā ar 2013.gada 1.janvāri:</w:t>
            </w:r>
          </w:p>
          <w:p w:rsidR="000F0835" w:rsidRPr="002F370D" w:rsidRDefault="000F0835" w:rsidP="0047429F">
            <w:pPr>
              <w:pStyle w:val="naiskr"/>
              <w:numPr>
                <w:ilvl w:val="0"/>
                <w:numId w:val="45"/>
              </w:numPr>
              <w:tabs>
                <w:tab w:val="left" w:pos="2628"/>
              </w:tabs>
              <w:spacing w:before="0" w:after="0"/>
              <w:jc w:val="both"/>
              <w:rPr>
                <w:iCs/>
                <w:color w:val="000000"/>
              </w:rPr>
            </w:pPr>
            <w:r w:rsidRPr="002F370D">
              <w:rPr>
                <w:color w:val="000000"/>
              </w:rPr>
              <w:t xml:space="preserve">Ministru kabineta </w:t>
            </w:r>
            <w:r w:rsidRPr="002F370D">
              <w:t>noteikumu projekts</w:t>
            </w:r>
            <w:r w:rsidRPr="002F370D">
              <w:rPr>
                <w:color w:val="000000"/>
              </w:rPr>
              <w:t xml:space="preserve"> </w:t>
            </w:r>
            <w:r w:rsidRPr="002F370D">
              <w:t xml:space="preserve">„Grozījumi Ministru kabineta 2012.gada 3.aprīļa noteikumu Nr.241 „Slimību profilakses un kontroles centra nolikums””, kas 2012.gada </w:t>
            </w:r>
            <w:r w:rsidRPr="002F370D">
              <w:lastRenderedPageBreak/>
              <w:t>16.augustā tika izsludināts Valsts sekretāru sanāksmē (VSS – 815 prot. Nr. 33 13. §) un iesniegt</w:t>
            </w:r>
            <w:r w:rsidR="001624A0">
              <w:t>s</w:t>
            </w:r>
            <w:r w:rsidRPr="002F370D">
              <w:t xml:space="preserve"> Valsts kancelejā.</w:t>
            </w:r>
          </w:p>
          <w:p w:rsidR="0047429F" w:rsidRPr="002F370D" w:rsidRDefault="0047429F" w:rsidP="000F0835">
            <w:pPr>
              <w:pStyle w:val="naiskr"/>
              <w:numPr>
                <w:ilvl w:val="0"/>
                <w:numId w:val="45"/>
              </w:numPr>
              <w:tabs>
                <w:tab w:val="left" w:pos="2628"/>
              </w:tabs>
              <w:spacing w:before="0" w:after="0"/>
              <w:jc w:val="both"/>
              <w:rPr>
                <w:iCs/>
                <w:color w:val="000000"/>
              </w:rPr>
            </w:pPr>
            <w:r w:rsidRPr="002F370D">
              <w:rPr>
                <w:color w:val="000000"/>
              </w:rPr>
              <w:t>Ministru kabineta noteikumu projekts "Valsts sporta medicīnas centra nolikums" izsludināts 2012.gada 13.septembra Valsts sekretāru sanāksmē (VSS</w:t>
            </w:r>
            <w:r w:rsidR="003A39BE">
              <w:rPr>
                <w:color w:val="000000"/>
              </w:rPr>
              <w:t xml:space="preserve"> </w:t>
            </w:r>
            <w:r w:rsidRPr="002F370D">
              <w:rPr>
                <w:color w:val="000000"/>
              </w:rPr>
              <w:t>-</w:t>
            </w:r>
            <w:r w:rsidR="003A39BE">
              <w:rPr>
                <w:color w:val="000000"/>
              </w:rPr>
              <w:t xml:space="preserve"> </w:t>
            </w:r>
            <w:r w:rsidRPr="002F370D">
              <w:rPr>
                <w:color w:val="000000"/>
              </w:rPr>
              <w:t xml:space="preserve">907, </w:t>
            </w:r>
            <w:r w:rsidRPr="002F370D">
              <w:t xml:space="preserve"> protokols Nr.37 13. §)</w:t>
            </w:r>
            <w:r w:rsidR="000F0835" w:rsidRPr="002F370D">
              <w:t>.</w:t>
            </w:r>
          </w:p>
        </w:tc>
      </w:tr>
      <w:tr w:rsidR="0047429F" w:rsidRPr="002F370D" w:rsidTr="00271AA3">
        <w:trPr>
          <w:jc w:val="center"/>
        </w:trPr>
        <w:tc>
          <w:tcPr>
            <w:tcW w:w="798" w:type="dxa"/>
          </w:tcPr>
          <w:p w:rsidR="0047429F" w:rsidRPr="002F370D" w:rsidRDefault="0047429F" w:rsidP="0047429F">
            <w:pPr>
              <w:pStyle w:val="naiskr"/>
              <w:tabs>
                <w:tab w:val="left" w:pos="2628"/>
              </w:tabs>
              <w:spacing w:before="0" w:after="0"/>
              <w:jc w:val="both"/>
              <w:rPr>
                <w:iCs/>
              </w:rPr>
            </w:pPr>
            <w:r w:rsidRPr="002F370D">
              <w:rPr>
                <w:iCs/>
              </w:rPr>
              <w:lastRenderedPageBreak/>
              <w:t>2.</w:t>
            </w:r>
          </w:p>
        </w:tc>
        <w:tc>
          <w:tcPr>
            <w:tcW w:w="2296" w:type="dxa"/>
          </w:tcPr>
          <w:p w:rsidR="0047429F" w:rsidRPr="002F370D" w:rsidRDefault="0047429F" w:rsidP="0047429F">
            <w:pPr>
              <w:pStyle w:val="naiskr"/>
              <w:tabs>
                <w:tab w:val="left" w:pos="2628"/>
              </w:tabs>
              <w:spacing w:before="0" w:after="0"/>
              <w:jc w:val="both"/>
              <w:rPr>
                <w:iCs/>
              </w:rPr>
            </w:pPr>
            <w:r w:rsidRPr="002F370D">
              <w:t>Cita informācija</w:t>
            </w:r>
          </w:p>
        </w:tc>
        <w:tc>
          <w:tcPr>
            <w:tcW w:w="6776" w:type="dxa"/>
          </w:tcPr>
          <w:p w:rsidR="0047429F" w:rsidRPr="002F370D" w:rsidRDefault="0047429F" w:rsidP="0047429F">
            <w:pPr>
              <w:pStyle w:val="naiskr"/>
              <w:tabs>
                <w:tab w:val="left" w:pos="2628"/>
              </w:tabs>
              <w:spacing w:before="0" w:after="0"/>
              <w:jc w:val="both"/>
              <w:rPr>
                <w:iCs/>
              </w:rPr>
            </w:pPr>
            <w:r w:rsidRPr="002F370D">
              <w:t>Nav</w:t>
            </w:r>
          </w:p>
        </w:tc>
      </w:tr>
    </w:tbl>
    <w:p w:rsidR="0047429F" w:rsidRDefault="0047429F" w:rsidP="00C0367B">
      <w:pPr>
        <w:pStyle w:val="naisf"/>
        <w:spacing w:before="0" w:after="0"/>
        <w:ind w:firstLine="0"/>
        <w:jc w:val="center"/>
        <w:rPr>
          <w:color w:val="000000"/>
          <w:sz w:val="28"/>
          <w:szCs w:val="28"/>
        </w:rPr>
      </w:pPr>
    </w:p>
    <w:p w:rsidR="00C127B5" w:rsidRPr="00C0367B" w:rsidRDefault="0047429F" w:rsidP="00C0367B">
      <w:pPr>
        <w:pStyle w:val="naisf"/>
        <w:spacing w:before="0" w:after="0"/>
        <w:ind w:firstLine="0"/>
        <w:jc w:val="center"/>
        <w:rPr>
          <w:i/>
          <w:color w:val="000000"/>
          <w:sz w:val="28"/>
          <w:szCs w:val="28"/>
        </w:rPr>
      </w:pPr>
      <w:r w:rsidRPr="0091098E">
        <w:rPr>
          <w:color w:val="000000"/>
          <w:sz w:val="28"/>
          <w:szCs w:val="28"/>
        </w:rPr>
        <w:t>Anotācijas</w:t>
      </w:r>
      <w:r>
        <w:rPr>
          <w:color w:val="000000"/>
          <w:sz w:val="28"/>
          <w:szCs w:val="28"/>
        </w:rPr>
        <w:t xml:space="preserve"> </w:t>
      </w:r>
      <w:r w:rsidR="00C0367B">
        <w:rPr>
          <w:color w:val="000000"/>
          <w:sz w:val="28"/>
          <w:szCs w:val="28"/>
        </w:rPr>
        <w:t>V, VI</w:t>
      </w:r>
      <w:r w:rsidR="00682C0C" w:rsidRPr="0091098E">
        <w:rPr>
          <w:color w:val="000000"/>
          <w:sz w:val="28"/>
          <w:szCs w:val="28"/>
        </w:rPr>
        <w:t xml:space="preserve"> </w:t>
      </w:r>
      <w:r w:rsidR="007F05D8" w:rsidRPr="0091098E">
        <w:rPr>
          <w:color w:val="000000"/>
          <w:sz w:val="28"/>
          <w:szCs w:val="28"/>
        </w:rPr>
        <w:t>sadaļa –</w:t>
      </w:r>
      <w:r w:rsidR="007F05D8" w:rsidRPr="0091098E">
        <w:rPr>
          <w:i/>
          <w:color w:val="000000"/>
          <w:sz w:val="28"/>
          <w:szCs w:val="28"/>
        </w:rPr>
        <w:t xml:space="preserve"> projekts šo jomu neskar.</w:t>
      </w:r>
    </w:p>
    <w:p w:rsidR="00CA1775" w:rsidRPr="0091098E" w:rsidRDefault="00CA1775" w:rsidP="00C127B5">
      <w:pPr>
        <w:rPr>
          <w:color w:val="000000"/>
          <w:sz w:val="28"/>
          <w:szCs w:val="28"/>
        </w:rPr>
      </w:pPr>
    </w:p>
    <w:tbl>
      <w:tblPr>
        <w:tblW w:w="5434" w:type="pct"/>
        <w:tblInd w:w="-39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3120"/>
        <w:gridCol w:w="6804"/>
      </w:tblGrid>
      <w:tr w:rsidR="00CA1775" w:rsidRPr="005934BE" w:rsidTr="005934BE">
        <w:tc>
          <w:tcPr>
            <w:tcW w:w="9924" w:type="dxa"/>
            <w:gridSpan w:val="2"/>
            <w:tcBorders>
              <w:top w:val="single" w:sz="4" w:space="0" w:color="auto"/>
              <w:left w:val="outset" w:sz="6" w:space="0" w:color="auto"/>
              <w:bottom w:val="outset" w:sz="6" w:space="0" w:color="auto"/>
              <w:right w:val="outset" w:sz="6" w:space="0" w:color="auto"/>
            </w:tcBorders>
            <w:hideMark/>
          </w:tcPr>
          <w:p w:rsidR="00CA1775" w:rsidRPr="005934BE" w:rsidRDefault="00CA1775" w:rsidP="005934BE">
            <w:pPr>
              <w:autoSpaceDE w:val="0"/>
              <w:autoSpaceDN w:val="0"/>
              <w:adjustRightInd w:val="0"/>
              <w:jc w:val="center"/>
              <w:rPr>
                <w:rFonts w:eastAsia="Calibri"/>
                <w:b/>
                <w:bCs/>
                <w:color w:val="000000"/>
                <w:lang w:eastAsia="en-US"/>
              </w:rPr>
            </w:pPr>
            <w:r w:rsidRPr="005934BE">
              <w:rPr>
                <w:rFonts w:eastAsia="Calibri"/>
                <w:b/>
                <w:bCs/>
                <w:color w:val="000000"/>
                <w:lang w:eastAsia="en-US"/>
              </w:rPr>
              <w:t>VII. Tiesību akta projekta izpildes nodrošināšana un tās ietekme uz institūcijām</w:t>
            </w:r>
          </w:p>
        </w:tc>
      </w:tr>
      <w:tr w:rsidR="00F06737" w:rsidRPr="005934BE" w:rsidTr="00271AA3">
        <w:tc>
          <w:tcPr>
            <w:tcW w:w="3120" w:type="dxa"/>
            <w:tcBorders>
              <w:top w:val="outset" w:sz="6" w:space="0" w:color="auto"/>
              <w:left w:val="outset" w:sz="6" w:space="0" w:color="auto"/>
              <w:bottom w:val="outset" w:sz="6" w:space="0" w:color="auto"/>
              <w:right w:val="outset" w:sz="6" w:space="0" w:color="auto"/>
            </w:tcBorders>
            <w:hideMark/>
          </w:tcPr>
          <w:p w:rsidR="00F06737" w:rsidRPr="005934BE" w:rsidRDefault="00F06737" w:rsidP="00CA1775">
            <w:pPr>
              <w:autoSpaceDE w:val="0"/>
              <w:autoSpaceDN w:val="0"/>
              <w:adjustRightInd w:val="0"/>
              <w:rPr>
                <w:rFonts w:eastAsia="Calibri"/>
                <w:b/>
                <w:bCs/>
                <w:color w:val="000000"/>
                <w:lang w:eastAsia="en-US"/>
              </w:rPr>
            </w:pPr>
            <w:r w:rsidRPr="005934BE">
              <w:rPr>
                <w:rFonts w:eastAsia="Calibri"/>
                <w:color w:val="000000"/>
                <w:lang w:eastAsia="en-US"/>
              </w:rPr>
              <w:t>1. Projekta izpildē iesaistītās institūcijas</w:t>
            </w:r>
          </w:p>
        </w:tc>
        <w:tc>
          <w:tcPr>
            <w:tcW w:w="6804" w:type="dxa"/>
            <w:tcBorders>
              <w:top w:val="outset" w:sz="6" w:space="0" w:color="auto"/>
              <w:left w:val="outset" w:sz="6" w:space="0" w:color="auto"/>
              <w:bottom w:val="outset" w:sz="6" w:space="0" w:color="auto"/>
              <w:right w:val="outset" w:sz="6" w:space="0" w:color="auto"/>
            </w:tcBorders>
          </w:tcPr>
          <w:p w:rsidR="00F06737" w:rsidRPr="005934BE" w:rsidRDefault="00F06737" w:rsidP="00F06737">
            <w:pPr>
              <w:autoSpaceDE w:val="0"/>
              <w:autoSpaceDN w:val="0"/>
              <w:adjustRightInd w:val="0"/>
              <w:jc w:val="both"/>
              <w:rPr>
                <w:rFonts w:eastAsia="Calibri"/>
                <w:bCs/>
                <w:color w:val="000000"/>
                <w:lang w:eastAsia="en-US"/>
              </w:rPr>
            </w:pPr>
            <w:r w:rsidRPr="005934BE">
              <w:rPr>
                <w:rFonts w:eastAsia="Calibri"/>
                <w:bCs/>
                <w:color w:val="000000"/>
                <w:lang w:eastAsia="en-US"/>
              </w:rPr>
              <w:t>MK noteikumu projekta izpildi nodrošinās ministrija</w:t>
            </w:r>
            <w:r w:rsidR="001C64EA" w:rsidRPr="005934BE">
              <w:rPr>
                <w:rFonts w:eastAsia="Calibri"/>
                <w:bCs/>
                <w:color w:val="000000"/>
                <w:lang w:eastAsia="en-US"/>
              </w:rPr>
              <w:t>.</w:t>
            </w:r>
            <w:r w:rsidRPr="005934BE">
              <w:rPr>
                <w:rFonts w:eastAsia="Calibri"/>
                <w:bCs/>
                <w:color w:val="000000"/>
                <w:lang w:eastAsia="en-US"/>
              </w:rPr>
              <w:t xml:space="preserve"> </w:t>
            </w:r>
          </w:p>
        </w:tc>
      </w:tr>
      <w:tr w:rsidR="00F06737" w:rsidRPr="005934BE" w:rsidTr="00271AA3">
        <w:tc>
          <w:tcPr>
            <w:tcW w:w="3120" w:type="dxa"/>
            <w:tcBorders>
              <w:top w:val="outset" w:sz="6" w:space="0" w:color="auto"/>
              <w:left w:val="outset" w:sz="6" w:space="0" w:color="auto"/>
              <w:bottom w:val="outset" w:sz="6" w:space="0" w:color="auto"/>
              <w:right w:val="outset" w:sz="6" w:space="0" w:color="auto"/>
            </w:tcBorders>
            <w:hideMark/>
          </w:tcPr>
          <w:p w:rsidR="00F06737" w:rsidRPr="005934BE" w:rsidRDefault="00F06737" w:rsidP="00CA1775">
            <w:pPr>
              <w:autoSpaceDE w:val="0"/>
              <w:autoSpaceDN w:val="0"/>
              <w:adjustRightInd w:val="0"/>
              <w:rPr>
                <w:rFonts w:eastAsia="Calibri"/>
                <w:b/>
                <w:bCs/>
                <w:color w:val="000000"/>
                <w:lang w:eastAsia="en-US"/>
              </w:rPr>
            </w:pPr>
            <w:r w:rsidRPr="005934BE">
              <w:rPr>
                <w:rFonts w:eastAsia="Calibri"/>
                <w:color w:val="000000"/>
                <w:lang w:eastAsia="en-US"/>
              </w:rPr>
              <w:t>2. Projekta izpildes ietekme uz pārvaldes funkcijām</w:t>
            </w:r>
          </w:p>
        </w:tc>
        <w:tc>
          <w:tcPr>
            <w:tcW w:w="6804" w:type="dxa"/>
            <w:tcBorders>
              <w:top w:val="outset" w:sz="6" w:space="0" w:color="auto"/>
              <w:left w:val="outset" w:sz="6" w:space="0" w:color="auto"/>
              <w:bottom w:val="outset" w:sz="6" w:space="0" w:color="auto"/>
              <w:right w:val="outset" w:sz="6" w:space="0" w:color="auto"/>
            </w:tcBorders>
          </w:tcPr>
          <w:p w:rsidR="00F06737" w:rsidRPr="005934BE" w:rsidRDefault="009970A8" w:rsidP="00C84F24">
            <w:pPr>
              <w:pStyle w:val="naiskr"/>
              <w:spacing w:before="0" w:after="0"/>
              <w:jc w:val="both"/>
              <w:rPr>
                <w:bCs/>
                <w:color w:val="000000"/>
                <w:lang w:eastAsia="en-US"/>
              </w:rPr>
            </w:pPr>
            <w:r w:rsidRPr="005934BE">
              <w:rPr>
                <w:bCs/>
                <w:color w:val="000000"/>
                <w:lang w:eastAsia="en-US"/>
              </w:rPr>
              <w:t>Tiek sašaurināti un precizēti ministrijas</w:t>
            </w:r>
            <w:r w:rsidRPr="005934BE">
              <w:t xml:space="preserve"> uzdevumi veselības veicināšanas</w:t>
            </w:r>
            <w:r w:rsidR="003A39BE">
              <w:t>, epidemioloģiskās drošības un vides veselības</w:t>
            </w:r>
            <w:r w:rsidRPr="005934BE">
              <w:t xml:space="preserve"> poli</w:t>
            </w:r>
            <w:r w:rsidR="00F80154" w:rsidRPr="005934BE">
              <w:t>tikas</w:t>
            </w:r>
            <w:r w:rsidRPr="005934BE">
              <w:t xml:space="preserve"> </w:t>
            </w:r>
            <w:r w:rsidR="003A39BE">
              <w:t>izstrāde</w:t>
            </w:r>
            <w:r w:rsidR="002A6667">
              <w:t>s</w:t>
            </w:r>
            <w:r w:rsidR="003A39BE">
              <w:t xml:space="preserve"> un īstenošanas uzraudzības </w:t>
            </w:r>
            <w:r w:rsidRPr="005934BE">
              <w:t xml:space="preserve">jomā, </w:t>
            </w:r>
            <w:r w:rsidR="000F2251" w:rsidRPr="005934BE">
              <w:t>precizēts ministrijas padotībā</w:t>
            </w:r>
            <w:r w:rsidR="002A6667">
              <w:t xml:space="preserve"> esošo valsts pārvaldes iestāžu</w:t>
            </w:r>
            <w:r w:rsidR="000F2251" w:rsidRPr="005934BE">
              <w:t xml:space="preserve"> saraksts  un kapit</w:t>
            </w:r>
            <w:r w:rsidR="00C84F24" w:rsidRPr="005934BE">
              <w:t xml:space="preserve">ālsabiedrību, kurās ministrijas ir valsts kapitāla daļu turētāja, saraksts. </w:t>
            </w:r>
          </w:p>
        </w:tc>
      </w:tr>
      <w:tr w:rsidR="00F06737" w:rsidRPr="005934BE" w:rsidTr="00271AA3">
        <w:tc>
          <w:tcPr>
            <w:tcW w:w="3120" w:type="dxa"/>
            <w:tcBorders>
              <w:top w:val="outset" w:sz="6" w:space="0" w:color="auto"/>
              <w:left w:val="outset" w:sz="6" w:space="0" w:color="auto"/>
              <w:bottom w:val="outset" w:sz="6" w:space="0" w:color="auto"/>
              <w:right w:val="outset" w:sz="6" w:space="0" w:color="auto"/>
            </w:tcBorders>
            <w:hideMark/>
          </w:tcPr>
          <w:p w:rsidR="00F06737"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3. Projekta izpildes ietekme uz pārvaldes</w:t>
            </w:r>
          </w:p>
          <w:p w:rsidR="00B0204A"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institucionālo struktūru.</w:t>
            </w:r>
          </w:p>
          <w:p w:rsidR="00B0204A" w:rsidRPr="005934BE" w:rsidRDefault="00B0204A" w:rsidP="00CA1775">
            <w:pPr>
              <w:autoSpaceDE w:val="0"/>
              <w:autoSpaceDN w:val="0"/>
              <w:adjustRightInd w:val="0"/>
              <w:rPr>
                <w:rFonts w:eastAsia="Calibri"/>
                <w:color w:val="000000"/>
                <w:lang w:eastAsia="en-US"/>
              </w:rPr>
            </w:pPr>
          </w:p>
          <w:p w:rsidR="00F06737"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Jaunu institūciju izveide</w:t>
            </w:r>
          </w:p>
        </w:tc>
        <w:tc>
          <w:tcPr>
            <w:tcW w:w="6804" w:type="dxa"/>
            <w:tcBorders>
              <w:top w:val="outset" w:sz="6" w:space="0" w:color="auto"/>
              <w:left w:val="outset" w:sz="6" w:space="0" w:color="auto"/>
              <w:bottom w:val="outset" w:sz="6" w:space="0" w:color="auto"/>
              <w:right w:val="outset" w:sz="6" w:space="0" w:color="auto"/>
            </w:tcBorders>
          </w:tcPr>
          <w:p w:rsidR="00F06737" w:rsidRPr="005934BE" w:rsidRDefault="007B3822" w:rsidP="00B50575">
            <w:pPr>
              <w:autoSpaceDE w:val="0"/>
              <w:autoSpaceDN w:val="0"/>
              <w:adjustRightInd w:val="0"/>
              <w:jc w:val="both"/>
              <w:rPr>
                <w:rFonts w:eastAsia="Calibri"/>
                <w:bCs/>
                <w:color w:val="000000"/>
                <w:lang w:eastAsia="en-US"/>
              </w:rPr>
            </w:pPr>
            <w:r w:rsidRPr="005934BE">
              <w:t>MK noteikumu  projekts šo jomu neskar</w:t>
            </w:r>
          </w:p>
        </w:tc>
      </w:tr>
      <w:tr w:rsidR="00F06737" w:rsidRPr="005934BE" w:rsidTr="00271AA3">
        <w:tc>
          <w:tcPr>
            <w:tcW w:w="3120" w:type="dxa"/>
            <w:tcBorders>
              <w:top w:val="outset" w:sz="6" w:space="0" w:color="auto"/>
              <w:left w:val="outset" w:sz="6" w:space="0" w:color="auto"/>
              <w:bottom w:val="outset" w:sz="6" w:space="0" w:color="auto"/>
              <w:right w:val="outset" w:sz="6" w:space="0" w:color="auto"/>
            </w:tcBorders>
            <w:hideMark/>
          </w:tcPr>
          <w:p w:rsidR="00F06737"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4. Projekta izpildes ietekme uz pārvaldes</w:t>
            </w:r>
          </w:p>
          <w:p w:rsidR="00F06737"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institucionālo struktūru.</w:t>
            </w:r>
          </w:p>
          <w:p w:rsidR="00B0204A" w:rsidRPr="005934BE" w:rsidRDefault="00B0204A" w:rsidP="00C84F24">
            <w:pPr>
              <w:autoSpaceDE w:val="0"/>
              <w:autoSpaceDN w:val="0"/>
              <w:adjustRightInd w:val="0"/>
              <w:rPr>
                <w:rFonts w:eastAsia="Calibri"/>
                <w:color w:val="000000"/>
                <w:lang w:eastAsia="en-US"/>
              </w:rPr>
            </w:pPr>
          </w:p>
          <w:p w:rsidR="00F06737" w:rsidRPr="005934BE" w:rsidRDefault="00F06737" w:rsidP="00C84F24">
            <w:pPr>
              <w:autoSpaceDE w:val="0"/>
              <w:autoSpaceDN w:val="0"/>
              <w:adjustRightInd w:val="0"/>
              <w:rPr>
                <w:rFonts w:eastAsia="Calibri"/>
                <w:color w:val="000000"/>
                <w:lang w:eastAsia="en-US"/>
              </w:rPr>
            </w:pPr>
            <w:r w:rsidRPr="005934BE">
              <w:rPr>
                <w:rFonts w:eastAsia="Calibri"/>
                <w:color w:val="000000"/>
                <w:lang w:eastAsia="en-US"/>
              </w:rPr>
              <w:t>Esošu institūciju likvidācija</w:t>
            </w:r>
          </w:p>
        </w:tc>
        <w:tc>
          <w:tcPr>
            <w:tcW w:w="6804" w:type="dxa"/>
            <w:tcBorders>
              <w:top w:val="outset" w:sz="6" w:space="0" w:color="auto"/>
              <w:left w:val="outset" w:sz="6" w:space="0" w:color="auto"/>
              <w:bottom w:val="outset" w:sz="6" w:space="0" w:color="auto"/>
              <w:right w:val="outset" w:sz="6" w:space="0" w:color="auto"/>
            </w:tcBorders>
          </w:tcPr>
          <w:p w:rsidR="00F06737" w:rsidRPr="005934BE" w:rsidRDefault="009970A8" w:rsidP="00B50575">
            <w:pPr>
              <w:autoSpaceDE w:val="0"/>
              <w:autoSpaceDN w:val="0"/>
              <w:adjustRightInd w:val="0"/>
              <w:jc w:val="both"/>
              <w:rPr>
                <w:rFonts w:eastAsia="Calibri"/>
                <w:bCs/>
                <w:color w:val="000000"/>
                <w:lang w:eastAsia="en-US"/>
              </w:rPr>
            </w:pPr>
            <w:r w:rsidRPr="005934BE">
              <w:t>MK noteikumu  projekts šo jomu neskar</w:t>
            </w:r>
          </w:p>
        </w:tc>
      </w:tr>
      <w:tr w:rsidR="00F06737" w:rsidRPr="005934BE" w:rsidTr="00271AA3">
        <w:tc>
          <w:tcPr>
            <w:tcW w:w="3120" w:type="dxa"/>
            <w:tcBorders>
              <w:top w:val="outset" w:sz="6" w:space="0" w:color="auto"/>
              <w:left w:val="outset" w:sz="6" w:space="0" w:color="auto"/>
              <w:bottom w:val="outset" w:sz="6" w:space="0" w:color="auto"/>
              <w:right w:val="outset" w:sz="6" w:space="0" w:color="auto"/>
            </w:tcBorders>
            <w:hideMark/>
          </w:tcPr>
          <w:p w:rsidR="00F06737"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5. Projekta izpildes ietekme uz pārvaldes</w:t>
            </w:r>
          </w:p>
          <w:p w:rsidR="00F06737"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institucionālo struktūru.</w:t>
            </w:r>
          </w:p>
          <w:p w:rsidR="00B0204A" w:rsidRPr="005934BE" w:rsidRDefault="00B0204A" w:rsidP="00CA1775">
            <w:pPr>
              <w:autoSpaceDE w:val="0"/>
              <w:autoSpaceDN w:val="0"/>
              <w:adjustRightInd w:val="0"/>
              <w:rPr>
                <w:rFonts w:eastAsia="Calibri"/>
                <w:color w:val="000000"/>
                <w:lang w:eastAsia="en-US"/>
              </w:rPr>
            </w:pPr>
          </w:p>
          <w:p w:rsidR="00F06737" w:rsidRPr="005934BE" w:rsidRDefault="00F06737" w:rsidP="00CA1775">
            <w:pPr>
              <w:autoSpaceDE w:val="0"/>
              <w:autoSpaceDN w:val="0"/>
              <w:adjustRightInd w:val="0"/>
              <w:rPr>
                <w:rFonts w:eastAsia="Calibri"/>
                <w:color w:val="000000"/>
                <w:lang w:eastAsia="en-US"/>
              </w:rPr>
            </w:pPr>
            <w:r w:rsidRPr="005934BE">
              <w:rPr>
                <w:rFonts w:eastAsia="Calibri"/>
                <w:color w:val="000000"/>
                <w:lang w:eastAsia="en-US"/>
              </w:rPr>
              <w:t>Esošu institūciju reorganizācija</w:t>
            </w:r>
          </w:p>
        </w:tc>
        <w:tc>
          <w:tcPr>
            <w:tcW w:w="6804" w:type="dxa"/>
            <w:tcBorders>
              <w:top w:val="outset" w:sz="6" w:space="0" w:color="auto"/>
              <w:left w:val="outset" w:sz="6" w:space="0" w:color="auto"/>
              <w:bottom w:val="outset" w:sz="6" w:space="0" w:color="auto"/>
              <w:right w:val="outset" w:sz="6" w:space="0" w:color="auto"/>
            </w:tcBorders>
          </w:tcPr>
          <w:p w:rsidR="00F06737" w:rsidRPr="005934BE" w:rsidRDefault="009970A8" w:rsidP="00B50575">
            <w:pPr>
              <w:widowControl w:val="0"/>
              <w:autoSpaceDE w:val="0"/>
              <w:autoSpaceDN w:val="0"/>
              <w:adjustRightInd w:val="0"/>
              <w:jc w:val="both"/>
            </w:pPr>
            <w:r w:rsidRPr="005934BE">
              <w:t>MK noteikumu projekts šo jomu neskar</w:t>
            </w:r>
            <w:r w:rsidR="00F06737" w:rsidRPr="005934BE">
              <w:t>.</w:t>
            </w:r>
          </w:p>
        </w:tc>
      </w:tr>
      <w:tr w:rsidR="00CA1775" w:rsidRPr="005934BE" w:rsidTr="00271AA3">
        <w:tc>
          <w:tcPr>
            <w:tcW w:w="3120" w:type="dxa"/>
            <w:tcBorders>
              <w:top w:val="outset" w:sz="6" w:space="0" w:color="auto"/>
              <w:left w:val="outset" w:sz="6" w:space="0" w:color="auto"/>
              <w:bottom w:val="outset" w:sz="6" w:space="0" w:color="auto"/>
              <w:right w:val="outset" w:sz="6" w:space="0" w:color="auto"/>
            </w:tcBorders>
            <w:hideMark/>
          </w:tcPr>
          <w:p w:rsidR="00CA1775" w:rsidRPr="005934BE" w:rsidRDefault="00CA1775" w:rsidP="00CA1775">
            <w:pPr>
              <w:autoSpaceDE w:val="0"/>
              <w:autoSpaceDN w:val="0"/>
              <w:adjustRightInd w:val="0"/>
              <w:rPr>
                <w:rFonts w:eastAsia="Calibri"/>
                <w:color w:val="000000"/>
                <w:lang w:eastAsia="en-US"/>
              </w:rPr>
            </w:pPr>
            <w:r w:rsidRPr="005934BE">
              <w:rPr>
                <w:rFonts w:eastAsia="Calibri"/>
                <w:color w:val="000000"/>
                <w:lang w:eastAsia="en-US"/>
              </w:rPr>
              <w:t>6. Cita informācija</w:t>
            </w:r>
          </w:p>
        </w:tc>
        <w:tc>
          <w:tcPr>
            <w:tcW w:w="6804" w:type="dxa"/>
            <w:tcBorders>
              <w:top w:val="outset" w:sz="6" w:space="0" w:color="auto"/>
              <w:left w:val="outset" w:sz="6" w:space="0" w:color="auto"/>
              <w:bottom w:val="outset" w:sz="6" w:space="0" w:color="auto"/>
              <w:right w:val="outset" w:sz="6" w:space="0" w:color="auto"/>
            </w:tcBorders>
          </w:tcPr>
          <w:p w:rsidR="00CA1775" w:rsidRPr="005934BE" w:rsidRDefault="00CA1775" w:rsidP="00CA1775">
            <w:pPr>
              <w:autoSpaceDE w:val="0"/>
              <w:autoSpaceDN w:val="0"/>
              <w:adjustRightInd w:val="0"/>
              <w:rPr>
                <w:rFonts w:eastAsia="Calibri"/>
                <w:bCs/>
                <w:color w:val="000000"/>
                <w:lang w:eastAsia="en-US"/>
              </w:rPr>
            </w:pPr>
            <w:r w:rsidRPr="005934BE">
              <w:rPr>
                <w:rFonts w:eastAsia="Calibri"/>
                <w:bCs/>
                <w:color w:val="000000"/>
                <w:lang w:eastAsia="en-US"/>
              </w:rPr>
              <w:t>Nav</w:t>
            </w:r>
          </w:p>
        </w:tc>
      </w:tr>
    </w:tbl>
    <w:p w:rsidR="00C0367B" w:rsidRDefault="00C0367B" w:rsidP="000270AD">
      <w:pPr>
        <w:autoSpaceDE w:val="0"/>
        <w:autoSpaceDN w:val="0"/>
        <w:adjustRightInd w:val="0"/>
        <w:rPr>
          <w:color w:val="000000"/>
          <w:sz w:val="28"/>
          <w:szCs w:val="28"/>
        </w:rPr>
      </w:pPr>
    </w:p>
    <w:p w:rsidR="0020578E" w:rsidRDefault="0020578E" w:rsidP="000270AD">
      <w:pPr>
        <w:autoSpaceDE w:val="0"/>
        <w:autoSpaceDN w:val="0"/>
        <w:adjustRightInd w:val="0"/>
        <w:rPr>
          <w:rFonts w:eastAsia="Calibri"/>
          <w:bCs/>
          <w:color w:val="000000"/>
          <w:sz w:val="28"/>
          <w:szCs w:val="28"/>
        </w:rPr>
      </w:pPr>
    </w:p>
    <w:p w:rsidR="00CA350B" w:rsidRPr="00271AA3" w:rsidRDefault="009D3A83" w:rsidP="00271AA3">
      <w:pPr>
        <w:autoSpaceDE w:val="0"/>
        <w:autoSpaceDN w:val="0"/>
        <w:adjustRightInd w:val="0"/>
        <w:rPr>
          <w:rFonts w:eastAsia="Calibri"/>
          <w:bCs/>
          <w:color w:val="000000"/>
          <w:sz w:val="28"/>
          <w:szCs w:val="28"/>
        </w:rPr>
      </w:pPr>
      <w:r w:rsidRPr="0091098E">
        <w:rPr>
          <w:rFonts w:eastAsia="Calibri"/>
          <w:bCs/>
          <w:color w:val="000000"/>
          <w:sz w:val="28"/>
          <w:szCs w:val="28"/>
        </w:rPr>
        <w:t>Veselības ministre</w:t>
      </w:r>
      <w:r w:rsidR="000270AD" w:rsidRPr="0091098E">
        <w:rPr>
          <w:rFonts w:eastAsia="Calibri"/>
          <w:bCs/>
          <w:color w:val="000000"/>
          <w:sz w:val="28"/>
          <w:szCs w:val="28"/>
        </w:rPr>
        <w:t xml:space="preserve">                                                                               I.Circene</w:t>
      </w:r>
    </w:p>
    <w:p w:rsidR="00945ABA" w:rsidRDefault="00945ABA" w:rsidP="00500326">
      <w:pPr>
        <w:pStyle w:val="naisf"/>
        <w:tabs>
          <w:tab w:val="left" w:pos="720"/>
        </w:tabs>
        <w:spacing w:before="0" w:after="0"/>
        <w:ind w:firstLine="0"/>
        <w:rPr>
          <w:color w:val="000000"/>
          <w:sz w:val="22"/>
          <w:szCs w:val="22"/>
        </w:rPr>
      </w:pPr>
    </w:p>
    <w:p w:rsidR="00945ABA" w:rsidRDefault="00945ABA" w:rsidP="00500326">
      <w:pPr>
        <w:pStyle w:val="naisf"/>
        <w:tabs>
          <w:tab w:val="left" w:pos="720"/>
        </w:tabs>
        <w:spacing w:before="0" w:after="0"/>
        <w:ind w:firstLine="0"/>
        <w:rPr>
          <w:color w:val="000000"/>
          <w:sz w:val="22"/>
          <w:szCs w:val="22"/>
        </w:rPr>
      </w:pPr>
    </w:p>
    <w:p w:rsidR="00945ABA" w:rsidRDefault="00945ABA" w:rsidP="00500326">
      <w:pPr>
        <w:pStyle w:val="naisf"/>
        <w:tabs>
          <w:tab w:val="left" w:pos="720"/>
        </w:tabs>
        <w:spacing w:before="0" w:after="0"/>
        <w:ind w:firstLine="0"/>
        <w:rPr>
          <w:color w:val="000000"/>
          <w:sz w:val="22"/>
          <w:szCs w:val="22"/>
        </w:rPr>
      </w:pPr>
    </w:p>
    <w:p w:rsidR="00945ABA" w:rsidRDefault="00945ABA" w:rsidP="00500326">
      <w:pPr>
        <w:pStyle w:val="naisf"/>
        <w:tabs>
          <w:tab w:val="left" w:pos="720"/>
        </w:tabs>
        <w:spacing w:before="0" w:after="0"/>
        <w:ind w:firstLine="0"/>
        <w:rPr>
          <w:color w:val="000000"/>
          <w:sz w:val="22"/>
          <w:szCs w:val="22"/>
        </w:rPr>
      </w:pPr>
    </w:p>
    <w:p w:rsidR="00945ABA" w:rsidRDefault="00945ABA" w:rsidP="00500326">
      <w:pPr>
        <w:pStyle w:val="naisf"/>
        <w:tabs>
          <w:tab w:val="left" w:pos="720"/>
        </w:tabs>
        <w:spacing w:before="0" w:after="0"/>
        <w:ind w:firstLine="0"/>
        <w:rPr>
          <w:color w:val="000000"/>
          <w:sz w:val="22"/>
          <w:szCs w:val="22"/>
        </w:rPr>
      </w:pPr>
    </w:p>
    <w:p w:rsidR="009F3332" w:rsidRDefault="009F3332" w:rsidP="00500326">
      <w:pPr>
        <w:pStyle w:val="naisf"/>
        <w:tabs>
          <w:tab w:val="left" w:pos="720"/>
        </w:tabs>
        <w:spacing w:before="0" w:after="0"/>
        <w:ind w:firstLine="0"/>
        <w:rPr>
          <w:color w:val="000000"/>
          <w:sz w:val="22"/>
          <w:szCs w:val="22"/>
        </w:rPr>
      </w:pPr>
    </w:p>
    <w:p w:rsidR="00500326" w:rsidRPr="0091098E" w:rsidRDefault="00FA0F20" w:rsidP="00500326">
      <w:pPr>
        <w:pStyle w:val="naisf"/>
        <w:tabs>
          <w:tab w:val="left" w:pos="720"/>
        </w:tabs>
        <w:spacing w:before="0" w:after="0"/>
        <w:ind w:firstLine="0"/>
        <w:rPr>
          <w:color w:val="000000"/>
          <w:sz w:val="22"/>
          <w:szCs w:val="22"/>
        </w:rPr>
      </w:pPr>
      <w:r>
        <w:rPr>
          <w:color w:val="000000"/>
          <w:sz w:val="22"/>
          <w:szCs w:val="22"/>
        </w:rPr>
        <w:t>0</w:t>
      </w:r>
      <w:r w:rsidR="002A6667">
        <w:rPr>
          <w:color w:val="000000"/>
          <w:sz w:val="22"/>
          <w:szCs w:val="22"/>
        </w:rPr>
        <w:t>6</w:t>
      </w:r>
      <w:r w:rsidR="00D9033C" w:rsidRPr="0091098E">
        <w:rPr>
          <w:color w:val="000000"/>
          <w:sz w:val="22"/>
          <w:szCs w:val="22"/>
        </w:rPr>
        <w:t>.</w:t>
      </w:r>
      <w:r>
        <w:rPr>
          <w:color w:val="000000"/>
          <w:sz w:val="22"/>
          <w:szCs w:val="22"/>
        </w:rPr>
        <w:t>11</w:t>
      </w:r>
      <w:r w:rsidR="006D1CCB" w:rsidRPr="0091098E">
        <w:rPr>
          <w:color w:val="000000"/>
          <w:sz w:val="22"/>
          <w:szCs w:val="22"/>
        </w:rPr>
        <w:t>.2012</w:t>
      </w:r>
      <w:r w:rsidR="00442B0D" w:rsidRPr="0091098E">
        <w:rPr>
          <w:color w:val="000000"/>
          <w:sz w:val="22"/>
          <w:szCs w:val="22"/>
        </w:rPr>
        <w:t xml:space="preserve"> </w:t>
      </w:r>
      <w:r w:rsidR="006C19BC">
        <w:rPr>
          <w:color w:val="000000"/>
          <w:sz w:val="22"/>
          <w:szCs w:val="22"/>
        </w:rPr>
        <w:t>11:</w:t>
      </w:r>
      <w:r w:rsidR="009C3AC3">
        <w:rPr>
          <w:color w:val="000000"/>
          <w:sz w:val="22"/>
          <w:szCs w:val="22"/>
        </w:rPr>
        <w:t>11</w:t>
      </w:r>
    </w:p>
    <w:p w:rsidR="000F22FB" w:rsidRDefault="002A6667" w:rsidP="00500326">
      <w:pPr>
        <w:jc w:val="both"/>
        <w:rPr>
          <w:color w:val="000000"/>
          <w:sz w:val="22"/>
          <w:szCs w:val="22"/>
        </w:rPr>
      </w:pPr>
      <w:r>
        <w:rPr>
          <w:color w:val="000000"/>
          <w:sz w:val="22"/>
          <w:szCs w:val="22"/>
        </w:rPr>
        <w:t>2642</w:t>
      </w:r>
    </w:p>
    <w:p w:rsidR="00762D95" w:rsidRDefault="00762D95" w:rsidP="00500326">
      <w:pPr>
        <w:jc w:val="both"/>
        <w:rPr>
          <w:color w:val="000000"/>
          <w:sz w:val="22"/>
          <w:szCs w:val="22"/>
        </w:rPr>
      </w:pPr>
      <w:proofErr w:type="spellStart"/>
      <w:r>
        <w:rPr>
          <w:color w:val="000000"/>
          <w:sz w:val="22"/>
          <w:szCs w:val="22"/>
        </w:rPr>
        <w:t>S.Kukliča</w:t>
      </w:r>
      <w:proofErr w:type="spellEnd"/>
    </w:p>
    <w:p w:rsidR="00E04EDE" w:rsidRPr="00271A1E" w:rsidRDefault="00B764D0" w:rsidP="00F06737">
      <w:pPr>
        <w:jc w:val="both"/>
        <w:rPr>
          <w:sz w:val="22"/>
          <w:szCs w:val="22"/>
        </w:rPr>
      </w:pPr>
      <w:hyperlink r:id="rId8" w:history="1">
        <w:r w:rsidR="00271A1E" w:rsidRPr="0056684A">
          <w:rPr>
            <w:rStyle w:val="Hipersaite"/>
            <w:sz w:val="22"/>
            <w:szCs w:val="22"/>
          </w:rPr>
          <w:t>Sanita.Kukliča@vm.gov.lv</w:t>
        </w:r>
      </w:hyperlink>
      <w:r w:rsidR="00500326" w:rsidRPr="0091098E">
        <w:rPr>
          <w:color w:val="000000"/>
          <w:sz w:val="22"/>
          <w:szCs w:val="22"/>
        </w:rPr>
        <w:t>, 67876</w:t>
      </w:r>
      <w:r w:rsidR="00762D95">
        <w:rPr>
          <w:color w:val="000000"/>
          <w:sz w:val="22"/>
          <w:szCs w:val="22"/>
        </w:rPr>
        <w:t>074</w:t>
      </w:r>
    </w:p>
    <w:sectPr w:rsidR="00E04EDE" w:rsidRPr="00271A1E" w:rsidSect="00295EE9">
      <w:headerReference w:type="default" r:id="rId9"/>
      <w:footerReference w:type="default" r:id="rId10"/>
      <w:footerReference w:type="first" r:id="rId11"/>
      <w:pgSz w:w="11906" w:h="16838" w:code="9"/>
      <w:pgMar w:top="1418" w:right="1134" w:bottom="1134" w:left="1701" w:header="709" w:footer="4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AD" w:rsidRDefault="002E76AD" w:rsidP="000B76E3">
      <w:r>
        <w:separator/>
      </w:r>
    </w:p>
  </w:endnote>
  <w:endnote w:type="continuationSeparator" w:id="0">
    <w:p w:rsidR="002E76AD" w:rsidRDefault="002E76AD" w:rsidP="000B76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AD" w:rsidRPr="002E1563" w:rsidRDefault="002A6667" w:rsidP="002C197C">
    <w:pPr>
      <w:jc w:val="both"/>
      <w:rPr>
        <w:color w:val="000000"/>
        <w:sz w:val="20"/>
        <w:szCs w:val="20"/>
      </w:rPr>
    </w:pPr>
    <w:r>
      <w:rPr>
        <w:sz w:val="20"/>
        <w:szCs w:val="20"/>
      </w:rPr>
      <w:t>VManot_06</w:t>
    </w:r>
    <w:r w:rsidR="002E76AD">
      <w:rPr>
        <w:sz w:val="20"/>
        <w:szCs w:val="20"/>
      </w:rPr>
      <w:t>1112</w:t>
    </w:r>
    <w:r w:rsidR="002E76AD" w:rsidRPr="002E1563">
      <w:rPr>
        <w:sz w:val="20"/>
        <w:szCs w:val="20"/>
      </w:rPr>
      <w:t xml:space="preserve">_VMnolik; </w:t>
    </w:r>
    <w:bookmarkStart w:id="4" w:name="OLE_LINK3"/>
    <w:bookmarkStart w:id="5" w:name="OLE_LINK4"/>
    <w:r w:rsidR="002E76AD" w:rsidRPr="002E1563">
      <w:rPr>
        <w:color w:val="000000"/>
        <w:sz w:val="20"/>
        <w:szCs w:val="20"/>
      </w:rPr>
      <w:t>Ministru kabineta noteikumu projekta</w:t>
    </w:r>
    <w:r w:rsidR="002E76AD" w:rsidRPr="002E1563">
      <w:rPr>
        <w:b/>
        <w:color w:val="000000"/>
        <w:sz w:val="20"/>
        <w:szCs w:val="20"/>
      </w:rPr>
      <w:t xml:space="preserve"> </w:t>
    </w:r>
    <w:r w:rsidR="002E76AD" w:rsidRPr="002E1563">
      <w:rPr>
        <w:color w:val="000000"/>
        <w:sz w:val="20"/>
        <w:szCs w:val="20"/>
      </w:rPr>
      <w:t>„Grozījum</w:t>
    </w:r>
    <w:r w:rsidR="002E76AD">
      <w:rPr>
        <w:color w:val="000000"/>
        <w:sz w:val="20"/>
        <w:szCs w:val="20"/>
      </w:rPr>
      <w:t>i</w:t>
    </w:r>
    <w:r w:rsidR="002E76AD" w:rsidRPr="002E1563">
      <w:rPr>
        <w:color w:val="000000"/>
        <w:sz w:val="20"/>
        <w:szCs w:val="20"/>
      </w:rPr>
      <w:t xml:space="preserve"> Ministru kabineta 2004.gada 13.aprīļa noteikumos Nr.286 „Veselības ministrijas </w:t>
    </w:r>
    <w:r w:rsidR="002E76AD" w:rsidRPr="002E1563">
      <w:rPr>
        <w:bCs/>
        <w:sz w:val="20"/>
        <w:szCs w:val="20"/>
      </w:rPr>
      <w:t>nolikums</w:t>
    </w:r>
    <w:r w:rsidR="002E76AD" w:rsidRPr="002E1563">
      <w:rPr>
        <w:color w:val="000000"/>
        <w:sz w:val="20"/>
        <w:szCs w:val="20"/>
      </w:rPr>
      <w:t xml:space="preserve">”” </w:t>
    </w:r>
    <w:bookmarkEnd w:id="4"/>
    <w:bookmarkEnd w:id="5"/>
    <w:r w:rsidR="002E76AD" w:rsidRPr="002E1563">
      <w:rPr>
        <w:sz w:val="20"/>
        <w:szCs w:val="20"/>
      </w:rPr>
      <w:t xml:space="preserve">sākotnējās ietekmes novērtējuma </w:t>
    </w:r>
    <w:smartTag w:uri="schemas-tilde-lv/tildestengine" w:element="veidnes">
      <w:smartTagPr>
        <w:attr w:name="text" w:val="ziņojums"/>
        <w:attr w:name="baseform" w:val="ziņojums"/>
        <w:attr w:name="id" w:val="-1"/>
      </w:smartTagPr>
      <w:r w:rsidR="002E76AD" w:rsidRPr="002E1563">
        <w:rPr>
          <w:sz w:val="20"/>
          <w:szCs w:val="20"/>
        </w:rPr>
        <w:t>ziņojums</w:t>
      </w:r>
    </w:smartTag>
    <w:r w:rsidR="002E76AD" w:rsidRPr="002E1563">
      <w:rPr>
        <w:sz w:val="20"/>
        <w:szCs w:val="20"/>
      </w:rPr>
      <w:t xml:space="preserve"> (anotācija)</w:t>
    </w:r>
  </w:p>
  <w:p w:rsidR="002E76AD" w:rsidRPr="00C33322" w:rsidRDefault="002E76AD" w:rsidP="00C33322">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AD" w:rsidRPr="000477C6" w:rsidRDefault="002E76AD" w:rsidP="002C197C">
    <w:pPr>
      <w:jc w:val="both"/>
      <w:rPr>
        <w:sz w:val="20"/>
        <w:szCs w:val="20"/>
      </w:rPr>
    </w:pPr>
    <w:r w:rsidRPr="002E1563">
      <w:rPr>
        <w:sz w:val="20"/>
        <w:szCs w:val="20"/>
      </w:rPr>
      <w:t>VM</w:t>
    </w:r>
    <w:r w:rsidR="00123792">
      <w:rPr>
        <w:sz w:val="20"/>
        <w:szCs w:val="20"/>
      </w:rPr>
      <w:t>anot_06</w:t>
    </w:r>
    <w:r>
      <w:rPr>
        <w:sz w:val="20"/>
        <w:szCs w:val="20"/>
      </w:rPr>
      <w:t>1112</w:t>
    </w:r>
    <w:r w:rsidRPr="002E1563">
      <w:rPr>
        <w:sz w:val="20"/>
        <w:szCs w:val="20"/>
      </w:rPr>
      <w:t xml:space="preserve">_VMnolik; </w:t>
    </w:r>
    <w:r w:rsidRPr="002E1563">
      <w:rPr>
        <w:color w:val="000000"/>
        <w:sz w:val="20"/>
        <w:szCs w:val="20"/>
      </w:rPr>
      <w:t>Ministru kabineta noteikumu projekta</w:t>
    </w:r>
    <w:r w:rsidRPr="002E1563">
      <w:rPr>
        <w:b/>
        <w:color w:val="000000"/>
        <w:sz w:val="20"/>
        <w:szCs w:val="20"/>
      </w:rPr>
      <w:t xml:space="preserve"> </w:t>
    </w:r>
    <w:r w:rsidRPr="002E1563">
      <w:rPr>
        <w:color w:val="000000"/>
        <w:sz w:val="20"/>
        <w:szCs w:val="20"/>
      </w:rPr>
      <w:t>„Grozījum</w:t>
    </w:r>
    <w:r>
      <w:rPr>
        <w:color w:val="000000"/>
        <w:sz w:val="20"/>
        <w:szCs w:val="20"/>
      </w:rPr>
      <w:t>i</w:t>
    </w:r>
    <w:r w:rsidRPr="002E1563">
      <w:rPr>
        <w:color w:val="000000"/>
        <w:sz w:val="20"/>
        <w:szCs w:val="20"/>
      </w:rPr>
      <w:t xml:space="preserve"> Ministru kabineta 2004.gada 13.aprīļa noteikumos Nr.286 „Veselības ministrijas </w:t>
    </w:r>
    <w:r w:rsidRPr="002E1563">
      <w:rPr>
        <w:bCs/>
        <w:sz w:val="20"/>
        <w:szCs w:val="20"/>
      </w:rPr>
      <w:t>nolikums</w:t>
    </w:r>
    <w:r w:rsidRPr="002E1563">
      <w:rPr>
        <w:color w:val="000000"/>
        <w:sz w:val="20"/>
        <w:szCs w:val="20"/>
      </w:rPr>
      <w:t xml:space="preserve">”” </w:t>
    </w:r>
    <w:r w:rsidRPr="002E1563">
      <w:rPr>
        <w:sz w:val="20"/>
        <w:szCs w:val="20"/>
      </w:rPr>
      <w:t xml:space="preserve">sākotnējās ietekmes novērtējuma </w:t>
    </w:r>
    <w:smartTag w:uri="schemas-tilde-lv/tildestengine" w:element="veidnes">
      <w:smartTagPr>
        <w:attr w:name="text" w:val="ziņojums"/>
        <w:attr w:name="baseform" w:val="ziņojums"/>
        <w:attr w:name="id" w:val="-1"/>
      </w:smartTagPr>
      <w:r w:rsidRPr="002E1563">
        <w:rPr>
          <w:sz w:val="20"/>
          <w:szCs w:val="20"/>
        </w:rPr>
        <w:t>ziņojums</w:t>
      </w:r>
    </w:smartTag>
    <w:r w:rsidRPr="002E1563">
      <w:rPr>
        <w:sz w:val="20"/>
        <w:szCs w:val="20"/>
      </w:rPr>
      <w:t xml:space="preserve"> (anotācija)</w:t>
    </w:r>
  </w:p>
  <w:p w:rsidR="002E76AD" w:rsidRPr="00D42719" w:rsidRDefault="002E76AD" w:rsidP="005A03EE">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AD" w:rsidRDefault="002E76AD" w:rsidP="000B76E3">
      <w:r>
        <w:separator/>
      </w:r>
    </w:p>
  </w:footnote>
  <w:footnote w:type="continuationSeparator" w:id="0">
    <w:p w:rsidR="002E76AD" w:rsidRDefault="002E76AD" w:rsidP="000B7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6AD" w:rsidRDefault="00B764D0">
    <w:pPr>
      <w:pStyle w:val="Galvene"/>
      <w:jc w:val="center"/>
    </w:pPr>
    <w:fldSimple w:instr=" PAGE   \* MERGEFORMAT ">
      <w:r w:rsidR="009C3AC3">
        <w:rPr>
          <w:noProof/>
        </w:rPr>
        <w:t>9</w:t>
      </w:r>
    </w:fldSimple>
  </w:p>
  <w:p w:rsidR="002E76AD" w:rsidRDefault="002E76AD" w:rsidP="002A6667">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8CB"/>
    <w:multiLevelType w:val="hybridMultilevel"/>
    <w:tmpl w:val="09AEB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3541A8"/>
    <w:multiLevelType w:val="hybridMultilevel"/>
    <w:tmpl w:val="3D10E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C6DEE"/>
    <w:multiLevelType w:val="hybridMultilevel"/>
    <w:tmpl w:val="198433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02700"/>
    <w:multiLevelType w:val="hybridMultilevel"/>
    <w:tmpl w:val="80EA0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1940DA"/>
    <w:multiLevelType w:val="hybridMultilevel"/>
    <w:tmpl w:val="C5ACE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1408BD"/>
    <w:multiLevelType w:val="hybridMultilevel"/>
    <w:tmpl w:val="76204570"/>
    <w:lvl w:ilvl="0" w:tplc="4E9AD95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47270"/>
    <w:multiLevelType w:val="hybridMultilevel"/>
    <w:tmpl w:val="ED8EFF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D42CB1"/>
    <w:multiLevelType w:val="hybridMultilevel"/>
    <w:tmpl w:val="78B08A86"/>
    <w:lvl w:ilvl="0" w:tplc="0409000F">
      <w:start w:val="1"/>
      <w:numFmt w:val="decimal"/>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8">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0C2F13"/>
    <w:multiLevelType w:val="hybridMultilevel"/>
    <w:tmpl w:val="3F5E6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B90828"/>
    <w:multiLevelType w:val="hybridMultilevel"/>
    <w:tmpl w:val="B016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D841DD"/>
    <w:multiLevelType w:val="multilevel"/>
    <w:tmpl w:val="E754018C"/>
    <w:lvl w:ilvl="0">
      <w:start w:val="1"/>
      <w:numFmt w:val="decimal"/>
      <w:lvlText w:val="%1."/>
      <w:lvlJc w:val="left"/>
      <w:pPr>
        <w:ind w:left="495" w:hanging="495"/>
      </w:pPr>
      <w:rPr>
        <w:rFonts w:hint="default"/>
        <w:sz w:val="28"/>
      </w:rPr>
    </w:lvl>
    <w:lvl w:ilvl="1">
      <w:start w:val="1"/>
      <w:numFmt w:val="decimal"/>
      <w:lvlText w:val="%1.%2."/>
      <w:lvlJc w:val="left"/>
      <w:pPr>
        <w:ind w:left="920" w:hanging="49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2">
    <w:nsid w:val="21741293"/>
    <w:multiLevelType w:val="hybridMultilevel"/>
    <w:tmpl w:val="637AD080"/>
    <w:lvl w:ilvl="0" w:tplc="45D2E6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E5468"/>
    <w:multiLevelType w:val="hybridMultilevel"/>
    <w:tmpl w:val="D84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5D4E73"/>
    <w:multiLevelType w:val="hybridMultilevel"/>
    <w:tmpl w:val="4B404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8B4962"/>
    <w:multiLevelType w:val="hybridMultilevel"/>
    <w:tmpl w:val="22043C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9E7E4D"/>
    <w:multiLevelType w:val="hybridMultilevel"/>
    <w:tmpl w:val="69E27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C74EE"/>
    <w:multiLevelType w:val="hybridMultilevel"/>
    <w:tmpl w:val="1EB08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924246"/>
    <w:multiLevelType w:val="hybridMultilevel"/>
    <w:tmpl w:val="61E4E13C"/>
    <w:lvl w:ilvl="0" w:tplc="423A045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D2125"/>
    <w:multiLevelType w:val="hybridMultilevel"/>
    <w:tmpl w:val="895028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20768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2D55C30"/>
    <w:multiLevelType w:val="hybridMultilevel"/>
    <w:tmpl w:val="F27289F6"/>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35D02CDF"/>
    <w:multiLevelType w:val="hybridMultilevel"/>
    <w:tmpl w:val="9ABA559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A5750F9"/>
    <w:multiLevelType w:val="hybridMultilevel"/>
    <w:tmpl w:val="4F7E0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DDB32B2"/>
    <w:multiLevelType w:val="hybridMultilevel"/>
    <w:tmpl w:val="86DC0F2A"/>
    <w:lvl w:ilvl="0" w:tplc="FEE67E74">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E68637A"/>
    <w:multiLevelType w:val="hybridMultilevel"/>
    <w:tmpl w:val="0D2E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08640C"/>
    <w:multiLevelType w:val="hybridMultilevel"/>
    <w:tmpl w:val="58B2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209E4"/>
    <w:multiLevelType w:val="hybridMultilevel"/>
    <w:tmpl w:val="5BBCC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3A55A4E"/>
    <w:multiLevelType w:val="hybridMultilevel"/>
    <w:tmpl w:val="69E27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A64E53"/>
    <w:multiLevelType w:val="hybridMultilevel"/>
    <w:tmpl w:val="69E27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E5B08"/>
    <w:multiLevelType w:val="hybridMultilevel"/>
    <w:tmpl w:val="AA0E5FBC"/>
    <w:lvl w:ilvl="0" w:tplc="21647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A951EE"/>
    <w:multiLevelType w:val="hybridMultilevel"/>
    <w:tmpl w:val="ABFC5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50A4666C"/>
    <w:multiLevelType w:val="hybridMultilevel"/>
    <w:tmpl w:val="D7E4D7CA"/>
    <w:lvl w:ilvl="0" w:tplc="89C6006E">
      <w:start w:val="7"/>
      <w:numFmt w:val="bullet"/>
      <w:lvlText w:val="-"/>
      <w:lvlJc w:val="left"/>
      <w:pPr>
        <w:ind w:left="492" w:hanging="360"/>
      </w:pPr>
      <w:rPr>
        <w:rFonts w:ascii="Times New Roman" w:eastAsia="Times New Roman" w:hAnsi="Times New Roman" w:cs="Times New Roman" w:hint="default"/>
        <w:color w:val="000000"/>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34">
    <w:nsid w:val="525C68E3"/>
    <w:multiLevelType w:val="hybridMultilevel"/>
    <w:tmpl w:val="1EB08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553B78F5"/>
    <w:multiLevelType w:val="hybridMultilevel"/>
    <w:tmpl w:val="2EB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EE38CA"/>
    <w:multiLevelType w:val="hybridMultilevel"/>
    <w:tmpl w:val="FA26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DF5A00"/>
    <w:multiLevelType w:val="multilevel"/>
    <w:tmpl w:val="BA5273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22D27A5"/>
    <w:multiLevelType w:val="hybridMultilevel"/>
    <w:tmpl w:val="3094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B90C48"/>
    <w:multiLevelType w:val="multilevel"/>
    <w:tmpl w:val="F2507556"/>
    <w:lvl w:ilvl="0">
      <w:start w:val="1"/>
      <w:numFmt w:val="decimal"/>
      <w:lvlText w:val="%1."/>
      <w:lvlJc w:val="left"/>
      <w:pPr>
        <w:ind w:left="405" w:hanging="405"/>
      </w:pPr>
      <w:rPr>
        <w:rFonts w:hint="default"/>
        <w:color w:val="000000"/>
      </w:rPr>
    </w:lvl>
    <w:lvl w:ilvl="1">
      <w:start w:val="1"/>
      <w:numFmt w:val="decimal"/>
      <w:isLgl/>
      <w:lvlText w:val="%1.%2."/>
      <w:lvlJc w:val="left"/>
      <w:pPr>
        <w:ind w:left="915" w:hanging="915"/>
      </w:pPr>
      <w:rPr>
        <w:rFonts w:hint="default"/>
      </w:rPr>
    </w:lvl>
    <w:lvl w:ilvl="2">
      <w:start w:val="2"/>
      <w:numFmt w:val="decimal"/>
      <w:isLgl/>
      <w:lvlText w:val="%1.%2.%3."/>
      <w:lvlJc w:val="left"/>
      <w:pPr>
        <w:ind w:left="915" w:hanging="915"/>
      </w:pPr>
      <w:rPr>
        <w:rFonts w:hint="default"/>
      </w:rPr>
    </w:lvl>
    <w:lvl w:ilvl="3">
      <w:start w:val="4"/>
      <w:numFmt w:val="decimal"/>
      <w:isLgl/>
      <w:lvlText w:val="%1.%2.%3.%4."/>
      <w:lvlJc w:val="left"/>
      <w:pPr>
        <w:ind w:left="915" w:hanging="91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2FA6F26"/>
    <w:multiLevelType w:val="multilevel"/>
    <w:tmpl w:val="C4742BE2"/>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43A4990"/>
    <w:multiLevelType w:val="hybridMultilevel"/>
    <w:tmpl w:val="A5C4F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64479F8"/>
    <w:multiLevelType w:val="hybridMultilevel"/>
    <w:tmpl w:val="1EB08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69242BC"/>
    <w:multiLevelType w:val="multilevel"/>
    <w:tmpl w:val="B986FA3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B0A3305"/>
    <w:multiLevelType w:val="hybridMultilevel"/>
    <w:tmpl w:val="640458B8"/>
    <w:lvl w:ilvl="0" w:tplc="BE9AD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52756A"/>
    <w:multiLevelType w:val="hybridMultilevel"/>
    <w:tmpl w:val="58CAA0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A31029"/>
    <w:multiLevelType w:val="hybridMultilevel"/>
    <w:tmpl w:val="D1148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BE5026"/>
    <w:multiLevelType w:val="hybridMultilevel"/>
    <w:tmpl w:val="FF68F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48"/>
  </w:num>
  <w:num w:numId="4">
    <w:abstractNumId w:val="39"/>
  </w:num>
  <w:num w:numId="5">
    <w:abstractNumId w:val="1"/>
  </w:num>
  <w:num w:numId="6">
    <w:abstractNumId w:val="24"/>
  </w:num>
  <w:num w:numId="7">
    <w:abstractNumId w:val="36"/>
  </w:num>
  <w:num w:numId="8">
    <w:abstractNumId w:val="7"/>
  </w:num>
  <w:num w:numId="9">
    <w:abstractNumId w:val="10"/>
  </w:num>
  <w:num w:numId="10">
    <w:abstractNumId w:val="4"/>
  </w:num>
  <w:num w:numId="11">
    <w:abstractNumId w:val="37"/>
  </w:num>
  <w:num w:numId="12">
    <w:abstractNumId w:val="27"/>
  </w:num>
  <w:num w:numId="13">
    <w:abstractNumId w:val="41"/>
  </w:num>
  <w:num w:numId="14">
    <w:abstractNumId w:val="32"/>
  </w:num>
  <w:num w:numId="15">
    <w:abstractNumId w:val="3"/>
  </w:num>
  <w:num w:numId="16">
    <w:abstractNumId w:val="22"/>
  </w:num>
  <w:num w:numId="17">
    <w:abstractNumId w:val="45"/>
  </w:num>
  <w:num w:numId="18">
    <w:abstractNumId w:val="2"/>
  </w:num>
  <w:num w:numId="19">
    <w:abstractNumId w:val="20"/>
  </w:num>
  <w:num w:numId="20">
    <w:abstractNumId w:val="31"/>
  </w:num>
  <w:num w:numId="21">
    <w:abstractNumId w:val="44"/>
  </w:num>
  <w:num w:numId="22">
    <w:abstractNumId w:val="18"/>
  </w:num>
  <w:num w:numId="23">
    <w:abstractNumId w:val="5"/>
  </w:num>
  <w:num w:numId="24">
    <w:abstractNumId w:val="15"/>
  </w:num>
  <w:num w:numId="25">
    <w:abstractNumId w:val="12"/>
  </w:num>
  <w:num w:numId="26">
    <w:abstractNumId w:val="0"/>
  </w:num>
  <w:num w:numId="27">
    <w:abstractNumId w:val="33"/>
  </w:num>
  <w:num w:numId="28">
    <w:abstractNumId w:val="25"/>
  </w:num>
  <w:num w:numId="29">
    <w:abstractNumId w:val="13"/>
  </w:num>
  <w:num w:numId="30">
    <w:abstractNumId w:val="35"/>
  </w:num>
  <w:num w:numId="31">
    <w:abstractNumId w:val="28"/>
  </w:num>
  <w:num w:numId="32">
    <w:abstractNumId w:val="30"/>
  </w:num>
  <w:num w:numId="33">
    <w:abstractNumId w:val="16"/>
  </w:num>
  <w:num w:numId="34">
    <w:abstractNumId w:val="47"/>
  </w:num>
  <w:num w:numId="35">
    <w:abstractNumId w:val="21"/>
  </w:num>
  <w:num w:numId="36">
    <w:abstractNumId w:val="40"/>
  </w:num>
  <w:num w:numId="37">
    <w:abstractNumId w:val="19"/>
  </w:num>
  <w:num w:numId="38">
    <w:abstractNumId w:val="6"/>
  </w:num>
  <w:num w:numId="39">
    <w:abstractNumId w:val="9"/>
  </w:num>
  <w:num w:numId="40">
    <w:abstractNumId w:val="17"/>
  </w:num>
  <w:num w:numId="41">
    <w:abstractNumId w:val="34"/>
  </w:num>
  <w:num w:numId="42">
    <w:abstractNumId w:val="42"/>
  </w:num>
  <w:num w:numId="43">
    <w:abstractNumId w:val="11"/>
  </w:num>
  <w:num w:numId="44">
    <w:abstractNumId w:val="43"/>
  </w:num>
  <w:num w:numId="45">
    <w:abstractNumId w:val="23"/>
  </w:num>
  <w:num w:numId="46">
    <w:abstractNumId w:val="26"/>
  </w:num>
  <w:num w:numId="47">
    <w:abstractNumId w:val="46"/>
  </w:num>
  <w:num w:numId="48">
    <w:abstractNumId w:val="14"/>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51553"/>
  </w:hdrShapeDefaults>
  <w:footnotePr>
    <w:footnote w:id="-1"/>
    <w:footnote w:id="0"/>
  </w:footnotePr>
  <w:endnotePr>
    <w:endnote w:id="-1"/>
    <w:endnote w:id="0"/>
  </w:endnotePr>
  <w:compat/>
  <w:rsids>
    <w:rsidRoot w:val="000B76E3"/>
    <w:rsid w:val="00001721"/>
    <w:rsid w:val="000066F8"/>
    <w:rsid w:val="00011B21"/>
    <w:rsid w:val="000165C2"/>
    <w:rsid w:val="00021082"/>
    <w:rsid w:val="00023880"/>
    <w:rsid w:val="0002606F"/>
    <w:rsid w:val="000270AD"/>
    <w:rsid w:val="00035F91"/>
    <w:rsid w:val="000477C6"/>
    <w:rsid w:val="00050339"/>
    <w:rsid w:val="00053A12"/>
    <w:rsid w:val="00056FD6"/>
    <w:rsid w:val="0006054B"/>
    <w:rsid w:val="00060668"/>
    <w:rsid w:val="000609A8"/>
    <w:rsid w:val="00062CA6"/>
    <w:rsid w:val="00070E31"/>
    <w:rsid w:val="00074D83"/>
    <w:rsid w:val="0007600F"/>
    <w:rsid w:val="00083AD5"/>
    <w:rsid w:val="0008449C"/>
    <w:rsid w:val="00090363"/>
    <w:rsid w:val="00093891"/>
    <w:rsid w:val="00095F36"/>
    <w:rsid w:val="00097329"/>
    <w:rsid w:val="000A2F77"/>
    <w:rsid w:val="000A51D0"/>
    <w:rsid w:val="000B0EBB"/>
    <w:rsid w:val="000B10E8"/>
    <w:rsid w:val="000B483A"/>
    <w:rsid w:val="000B76E3"/>
    <w:rsid w:val="000B7F78"/>
    <w:rsid w:val="000C193A"/>
    <w:rsid w:val="000C31C5"/>
    <w:rsid w:val="000C7132"/>
    <w:rsid w:val="000D06C4"/>
    <w:rsid w:val="000D3920"/>
    <w:rsid w:val="000D3C2C"/>
    <w:rsid w:val="000D4D87"/>
    <w:rsid w:val="000D6AF2"/>
    <w:rsid w:val="000F0835"/>
    <w:rsid w:val="000F0C54"/>
    <w:rsid w:val="000F1DA4"/>
    <w:rsid w:val="000F2251"/>
    <w:rsid w:val="000F22FB"/>
    <w:rsid w:val="000F4943"/>
    <w:rsid w:val="001206AA"/>
    <w:rsid w:val="00120D64"/>
    <w:rsid w:val="00122C08"/>
    <w:rsid w:val="00123792"/>
    <w:rsid w:val="0012419B"/>
    <w:rsid w:val="00125476"/>
    <w:rsid w:val="001257D1"/>
    <w:rsid w:val="00125A1C"/>
    <w:rsid w:val="00135306"/>
    <w:rsid w:val="00135F97"/>
    <w:rsid w:val="001440A4"/>
    <w:rsid w:val="0014497A"/>
    <w:rsid w:val="00145F7D"/>
    <w:rsid w:val="00152EEF"/>
    <w:rsid w:val="00154445"/>
    <w:rsid w:val="00156F2A"/>
    <w:rsid w:val="001624A0"/>
    <w:rsid w:val="00162C8E"/>
    <w:rsid w:val="0016548C"/>
    <w:rsid w:val="00167F19"/>
    <w:rsid w:val="00172D1F"/>
    <w:rsid w:val="00176477"/>
    <w:rsid w:val="00184AE0"/>
    <w:rsid w:val="00185B04"/>
    <w:rsid w:val="00185FDF"/>
    <w:rsid w:val="00186DA0"/>
    <w:rsid w:val="00194596"/>
    <w:rsid w:val="001A08DF"/>
    <w:rsid w:val="001A1824"/>
    <w:rsid w:val="001A2258"/>
    <w:rsid w:val="001A24F0"/>
    <w:rsid w:val="001A24F8"/>
    <w:rsid w:val="001A50F6"/>
    <w:rsid w:val="001B0948"/>
    <w:rsid w:val="001B12E5"/>
    <w:rsid w:val="001B1720"/>
    <w:rsid w:val="001B670B"/>
    <w:rsid w:val="001C2327"/>
    <w:rsid w:val="001C2650"/>
    <w:rsid w:val="001C2B52"/>
    <w:rsid w:val="001C500B"/>
    <w:rsid w:val="001C524F"/>
    <w:rsid w:val="001C64EA"/>
    <w:rsid w:val="001C7A33"/>
    <w:rsid w:val="001D3F54"/>
    <w:rsid w:val="001D5587"/>
    <w:rsid w:val="001E0D68"/>
    <w:rsid w:val="001E3332"/>
    <w:rsid w:val="001E378B"/>
    <w:rsid w:val="001F14A7"/>
    <w:rsid w:val="001F5A34"/>
    <w:rsid w:val="001F6F56"/>
    <w:rsid w:val="002018AC"/>
    <w:rsid w:val="00201E1D"/>
    <w:rsid w:val="0020243D"/>
    <w:rsid w:val="002028ED"/>
    <w:rsid w:val="0020539C"/>
    <w:rsid w:val="0020578E"/>
    <w:rsid w:val="002121D4"/>
    <w:rsid w:val="002241B7"/>
    <w:rsid w:val="00225CE9"/>
    <w:rsid w:val="00227A67"/>
    <w:rsid w:val="00231C9C"/>
    <w:rsid w:val="00234026"/>
    <w:rsid w:val="0024142C"/>
    <w:rsid w:val="002428BD"/>
    <w:rsid w:val="00243F04"/>
    <w:rsid w:val="00250CCD"/>
    <w:rsid w:val="00253602"/>
    <w:rsid w:val="0025366B"/>
    <w:rsid w:val="00253C07"/>
    <w:rsid w:val="0025451D"/>
    <w:rsid w:val="002546D4"/>
    <w:rsid w:val="002549F9"/>
    <w:rsid w:val="00262A63"/>
    <w:rsid w:val="00265A1C"/>
    <w:rsid w:val="0026799B"/>
    <w:rsid w:val="00271A1E"/>
    <w:rsid w:val="00271AA3"/>
    <w:rsid w:val="0027554C"/>
    <w:rsid w:val="002776BF"/>
    <w:rsid w:val="00280BEF"/>
    <w:rsid w:val="002867A1"/>
    <w:rsid w:val="002907C5"/>
    <w:rsid w:val="00291DE3"/>
    <w:rsid w:val="0029282C"/>
    <w:rsid w:val="00295DE3"/>
    <w:rsid w:val="00295EE9"/>
    <w:rsid w:val="00297430"/>
    <w:rsid w:val="002A13CC"/>
    <w:rsid w:val="002A467C"/>
    <w:rsid w:val="002A4E72"/>
    <w:rsid w:val="002A6667"/>
    <w:rsid w:val="002B2F6F"/>
    <w:rsid w:val="002B4BF4"/>
    <w:rsid w:val="002C03AA"/>
    <w:rsid w:val="002C197C"/>
    <w:rsid w:val="002C3CEB"/>
    <w:rsid w:val="002D1E65"/>
    <w:rsid w:val="002D75F0"/>
    <w:rsid w:val="002E1563"/>
    <w:rsid w:val="002E29AF"/>
    <w:rsid w:val="002E6DC4"/>
    <w:rsid w:val="002E76AD"/>
    <w:rsid w:val="002E784B"/>
    <w:rsid w:val="002F34EC"/>
    <w:rsid w:val="002F370D"/>
    <w:rsid w:val="002F616B"/>
    <w:rsid w:val="00301CC0"/>
    <w:rsid w:val="00305197"/>
    <w:rsid w:val="00305E57"/>
    <w:rsid w:val="00306169"/>
    <w:rsid w:val="00307155"/>
    <w:rsid w:val="00307668"/>
    <w:rsid w:val="00310299"/>
    <w:rsid w:val="00314237"/>
    <w:rsid w:val="00317202"/>
    <w:rsid w:val="00320D86"/>
    <w:rsid w:val="003213D0"/>
    <w:rsid w:val="00326942"/>
    <w:rsid w:val="00327A87"/>
    <w:rsid w:val="00327CFE"/>
    <w:rsid w:val="00333547"/>
    <w:rsid w:val="003347A2"/>
    <w:rsid w:val="00335701"/>
    <w:rsid w:val="00336061"/>
    <w:rsid w:val="00342B03"/>
    <w:rsid w:val="00352159"/>
    <w:rsid w:val="003549CF"/>
    <w:rsid w:val="003558E4"/>
    <w:rsid w:val="00357193"/>
    <w:rsid w:val="00361AFD"/>
    <w:rsid w:val="003620EF"/>
    <w:rsid w:val="00373DC4"/>
    <w:rsid w:val="0038044A"/>
    <w:rsid w:val="003842CF"/>
    <w:rsid w:val="003A06D4"/>
    <w:rsid w:val="003A22F0"/>
    <w:rsid w:val="003A289B"/>
    <w:rsid w:val="003A39BE"/>
    <w:rsid w:val="003B2FD5"/>
    <w:rsid w:val="003B357A"/>
    <w:rsid w:val="003C269D"/>
    <w:rsid w:val="003D6E95"/>
    <w:rsid w:val="003E2DE2"/>
    <w:rsid w:val="003E69A4"/>
    <w:rsid w:val="003F0A3E"/>
    <w:rsid w:val="003F2D0A"/>
    <w:rsid w:val="003F4C44"/>
    <w:rsid w:val="003F6849"/>
    <w:rsid w:val="00401E97"/>
    <w:rsid w:val="00402CE8"/>
    <w:rsid w:val="004042F6"/>
    <w:rsid w:val="004106D0"/>
    <w:rsid w:val="004146EF"/>
    <w:rsid w:val="0042086E"/>
    <w:rsid w:val="00421D50"/>
    <w:rsid w:val="00430628"/>
    <w:rsid w:val="00432F14"/>
    <w:rsid w:val="0044240A"/>
    <w:rsid w:val="00442B0D"/>
    <w:rsid w:val="0044418B"/>
    <w:rsid w:val="004456F9"/>
    <w:rsid w:val="00451DD8"/>
    <w:rsid w:val="00453BF5"/>
    <w:rsid w:val="00453FB6"/>
    <w:rsid w:val="00454373"/>
    <w:rsid w:val="0045449C"/>
    <w:rsid w:val="004617A2"/>
    <w:rsid w:val="00461E32"/>
    <w:rsid w:val="0046276B"/>
    <w:rsid w:val="00464A62"/>
    <w:rsid w:val="0046504E"/>
    <w:rsid w:val="00467B31"/>
    <w:rsid w:val="00471032"/>
    <w:rsid w:val="00472280"/>
    <w:rsid w:val="00472736"/>
    <w:rsid w:val="0047429F"/>
    <w:rsid w:val="00483BDE"/>
    <w:rsid w:val="00494A26"/>
    <w:rsid w:val="00495A00"/>
    <w:rsid w:val="00495D19"/>
    <w:rsid w:val="00497D14"/>
    <w:rsid w:val="004A1C50"/>
    <w:rsid w:val="004A2B5D"/>
    <w:rsid w:val="004A3BDB"/>
    <w:rsid w:val="004B18A8"/>
    <w:rsid w:val="004B3A37"/>
    <w:rsid w:val="004B5330"/>
    <w:rsid w:val="004B5405"/>
    <w:rsid w:val="004B6D17"/>
    <w:rsid w:val="004C2675"/>
    <w:rsid w:val="004C2A00"/>
    <w:rsid w:val="004C513F"/>
    <w:rsid w:val="004D194F"/>
    <w:rsid w:val="004D2CA1"/>
    <w:rsid w:val="004D4AFF"/>
    <w:rsid w:val="004D6724"/>
    <w:rsid w:val="004E0831"/>
    <w:rsid w:val="004E798B"/>
    <w:rsid w:val="004E7D32"/>
    <w:rsid w:val="004F02E6"/>
    <w:rsid w:val="004F0DB1"/>
    <w:rsid w:val="00500326"/>
    <w:rsid w:val="005076DD"/>
    <w:rsid w:val="00510BDA"/>
    <w:rsid w:val="00511C54"/>
    <w:rsid w:val="00512E91"/>
    <w:rsid w:val="00520339"/>
    <w:rsid w:val="00521EEB"/>
    <w:rsid w:val="005234C0"/>
    <w:rsid w:val="00526EED"/>
    <w:rsid w:val="00531A63"/>
    <w:rsid w:val="0053243E"/>
    <w:rsid w:val="00541997"/>
    <w:rsid w:val="005528B7"/>
    <w:rsid w:val="00554577"/>
    <w:rsid w:val="00560BFA"/>
    <w:rsid w:val="00564530"/>
    <w:rsid w:val="0057119B"/>
    <w:rsid w:val="005833F6"/>
    <w:rsid w:val="00584363"/>
    <w:rsid w:val="00590AD1"/>
    <w:rsid w:val="00591317"/>
    <w:rsid w:val="005934BE"/>
    <w:rsid w:val="005978FC"/>
    <w:rsid w:val="005A03EE"/>
    <w:rsid w:val="005A250A"/>
    <w:rsid w:val="005A4D69"/>
    <w:rsid w:val="005A5181"/>
    <w:rsid w:val="005A75F2"/>
    <w:rsid w:val="005B4405"/>
    <w:rsid w:val="005B4775"/>
    <w:rsid w:val="005B6E82"/>
    <w:rsid w:val="005B7066"/>
    <w:rsid w:val="005C3E1B"/>
    <w:rsid w:val="005D1E80"/>
    <w:rsid w:val="005D2D4B"/>
    <w:rsid w:val="005D48C6"/>
    <w:rsid w:val="005D621A"/>
    <w:rsid w:val="005E2120"/>
    <w:rsid w:val="005E64CE"/>
    <w:rsid w:val="005F0427"/>
    <w:rsid w:val="005F1ED0"/>
    <w:rsid w:val="005F39AB"/>
    <w:rsid w:val="005F3D81"/>
    <w:rsid w:val="005F5A77"/>
    <w:rsid w:val="005F6AFA"/>
    <w:rsid w:val="00601261"/>
    <w:rsid w:val="00603271"/>
    <w:rsid w:val="0060717F"/>
    <w:rsid w:val="00612126"/>
    <w:rsid w:val="00614C6E"/>
    <w:rsid w:val="00617FE0"/>
    <w:rsid w:val="00622396"/>
    <w:rsid w:val="00626E32"/>
    <w:rsid w:val="006277D6"/>
    <w:rsid w:val="00630BA1"/>
    <w:rsid w:val="00633F37"/>
    <w:rsid w:val="00642BC9"/>
    <w:rsid w:val="0064438C"/>
    <w:rsid w:val="00645521"/>
    <w:rsid w:val="00646178"/>
    <w:rsid w:val="00652710"/>
    <w:rsid w:val="006532B2"/>
    <w:rsid w:val="006560BF"/>
    <w:rsid w:val="006608C4"/>
    <w:rsid w:val="00663DCF"/>
    <w:rsid w:val="00665994"/>
    <w:rsid w:val="006670B7"/>
    <w:rsid w:val="00670481"/>
    <w:rsid w:val="00670DC4"/>
    <w:rsid w:val="006768FB"/>
    <w:rsid w:val="00676BDC"/>
    <w:rsid w:val="00682C0C"/>
    <w:rsid w:val="00683626"/>
    <w:rsid w:val="00685C32"/>
    <w:rsid w:val="006915F8"/>
    <w:rsid w:val="00693419"/>
    <w:rsid w:val="006939AB"/>
    <w:rsid w:val="006A0582"/>
    <w:rsid w:val="006A49F0"/>
    <w:rsid w:val="006A5186"/>
    <w:rsid w:val="006B31F7"/>
    <w:rsid w:val="006B336D"/>
    <w:rsid w:val="006B40C6"/>
    <w:rsid w:val="006B456D"/>
    <w:rsid w:val="006B7D37"/>
    <w:rsid w:val="006C0B9D"/>
    <w:rsid w:val="006C0E9F"/>
    <w:rsid w:val="006C19BC"/>
    <w:rsid w:val="006C2A41"/>
    <w:rsid w:val="006C684B"/>
    <w:rsid w:val="006C6AFA"/>
    <w:rsid w:val="006D0421"/>
    <w:rsid w:val="006D1CCB"/>
    <w:rsid w:val="006D4F1E"/>
    <w:rsid w:val="006D6CB8"/>
    <w:rsid w:val="006D74AB"/>
    <w:rsid w:val="006D75A7"/>
    <w:rsid w:val="006E0721"/>
    <w:rsid w:val="006E29D4"/>
    <w:rsid w:val="006F0712"/>
    <w:rsid w:val="006F6D6A"/>
    <w:rsid w:val="006F7F39"/>
    <w:rsid w:val="0070386C"/>
    <w:rsid w:val="007062CF"/>
    <w:rsid w:val="007069E5"/>
    <w:rsid w:val="00707AA1"/>
    <w:rsid w:val="00712174"/>
    <w:rsid w:val="007129F3"/>
    <w:rsid w:val="00721A67"/>
    <w:rsid w:val="00722551"/>
    <w:rsid w:val="00727F85"/>
    <w:rsid w:val="007303CC"/>
    <w:rsid w:val="007304E7"/>
    <w:rsid w:val="00732F56"/>
    <w:rsid w:val="00741568"/>
    <w:rsid w:val="00747917"/>
    <w:rsid w:val="0075129E"/>
    <w:rsid w:val="0075138D"/>
    <w:rsid w:val="00751777"/>
    <w:rsid w:val="00751D5F"/>
    <w:rsid w:val="00760867"/>
    <w:rsid w:val="00762D95"/>
    <w:rsid w:val="007633EB"/>
    <w:rsid w:val="007707CF"/>
    <w:rsid w:val="0077346F"/>
    <w:rsid w:val="0077572E"/>
    <w:rsid w:val="00777FFA"/>
    <w:rsid w:val="007804A5"/>
    <w:rsid w:val="0078067B"/>
    <w:rsid w:val="00780DC4"/>
    <w:rsid w:val="0078641E"/>
    <w:rsid w:val="00790DBE"/>
    <w:rsid w:val="00797123"/>
    <w:rsid w:val="007A1CC6"/>
    <w:rsid w:val="007B17B0"/>
    <w:rsid w:val="007B2E1A"/>
    <w:rsid w:val="007B31EF"/>
    <w:rsid w:val="007B3822"/>
    <w:rsid w:val="007B459E"/>
    <w:rsid w:val="007B45EB"/>
    <w:rsid w:val="007C3244"/>
    <w:rsid w:val="007D1A65"/>
    <w:rsid w:val="007D4BC7"/>
    <w:rsid w:val="007D5389"/>
    <w:rsid w:val="007D53CB"/>
    <w:rsid w:val="007D5EC2"/>
    <w:rsid w:val="007E659C"/>
    <w:rsid w:val="007F05D8"/>
    <w:rsid w:val="007F2512"/>
    <w:rsid w:val="007F28AC"/>
    <w:rsid w:val="007F5B83"/>
    <w:rsid w:val="007F601D"/>
    <w:rsid w:val="00800393"/>
    <w:rsid w:val="008012CE"/>
    <w:rsid w:val="00805BDF"/>
    <w:rsid w:val="00806D35"/>
    <w:rsid w:val="00811F09"/>
    <w:rsid w:val="00813E90"/>
    <w:rsid w:val="00814DFE"/>
    <w:rsid w:val="00820760"/>
    <w:rsid w:val="008231CE"/>
    <w:rsid w:val="00825DB5"/>
    <w:rsid w:val="00826EB5"/>
    <w:rsid w:val="00833D4B"/>
    <w:rsid w:val="00835DB6"/>
    <w:rsid w:val="0084116E"/>
    <w:rsid w:val="0084175A"/>
    <w:rsid w:val="00847A7D"/>
    <w:rsid w:val="00852D7E"/>
    <w:rsid w:val="0085389D"/>
    <w:rsid w:val="00853BCD"/>
    <w:rsid w:val="0085558C"/>
    <w:rsid w:val="00855F0E"/>
    <w:rsid w:val="00863D31"/>
    <w:rsid w:val="008667CF"/>
    <w:rsid w:val="00867FDE"/>
    <w:rsid w:val="00871D62"/>
    <w:rsid w:val="00872BB4"/>
    <w:rsid w:val="008776B6"/>
    <w:rsid w:val="00880B90"/>
    <w:rsid w:val="00884666"/>
    <w:rsid w:val="00890E2F"/>
    <w:rsid w:val="008910E9"/>
    <w:rsid w:val="0089449E"/>
    <w:rsid w:val="008950A1"/>
    <w:rsid w:val="00895A5F"/>
    <w:rsid w:val="008A0ED7"/>
    <w:rsid w:val="008A1670"/>
    <w:rsid w:val="008A6535"/>
    <w:rsid w:val="008A7995"/>
    <w:rsid w:val="008B1B91"/>
    <w:rsid w:val="008B35A1"/>
    <w:rsid w:val="008B68A5"/>
    <w:rsid w:val="008C11A9"/>
    <w:rsid w:val="008C1F66"/>
    <w:rsid w:val="008C2D77"/>
    <w:rsid w:val="008C317D"/>
    <w:rsid w:val="008C394E"/>
    <w:rsid w:val="008C3FF8"/>
    <w:rsid w:val="008D25CE"/>
    <w:rsid w:val="008D3414"/>
    <w:rsid w:val="008D5F7E"/>
    <w:rsid w:val="008D68EA"/>
    <w:rsid w:val="008D7B8A"/>
    <w:rsid w:val="008E108F"/>
    <w:rsid w:val="008E4499"/>
    <w:rsid w:val="008E53FB"/>
    <w:rsid w:val="008E58F5"/>
    <w:rsid w:val="008F7A09"/>
    <w:rsid w:val="00900D24"/>
    <w:rsid w:val="009030ED"/>
    <w:rsid w:val="0091098E"/>
    <w:rsid w:val="00910999"/>
    <w:rsid w:val="0092090C"/>
    <w:rsid w:val="00920ED1"/>
    <w:rsid w:val="009216B3"/>
    <w:rsid w:val="00924E80"/>
    <w:rsid w:val="00926885"/>
    <w:rsid w:val="00926F1B"/>
    <w:rsid w:val="00936CC2"/>
    <w:rsid w:val="00937ABA"/>
    <w:rsid w:val="00937AC7"/>
    <w:rsid w:val="009419AB"/>
    <w:rsid w:val="0094513E"/>
    <w:rsid w:val="00945315"/>
    <w:rsid w:val="00945ABA"/>
    <w:rsid w:val="00950C23"/>
    <w:rsid w:val="0095440D"/>
    <w:rsid w:val="00961501"/>
    <w:rsid w:val="00961D68"/>
    <w:rsid w:val="00972AC5"/>
    <w:rsid w:val="00973ACE"/>
    <w:rsid w:val="00974EB1"/>
    <w:rsid w:val="009817AF"/>
    <w:rsid w:val="00984598"/>
    <w:rsid w:val="009847BA"/>
    <w:rsid w:val="00987EEC"/>
    <w:rsid w:val="00990750"/>
    <w:rsid w:val="009914C6"/>
    <w:rsid w:val="0099423D"/>
    <w:rsid w:val="00995D7D"/>
    <w:rsid w:val="00996EAD"/>
    <w:rsid w:val="009970A8"/>
    <w:rsid w:val="009A1226"/>
    <w:rsid w:val="009B163C"/>
    <w:rsid w:val="009B1A7F"/>
    <w:rsid w:val="009B2AE7"/>
    <w:rsid w:val="009B3CA5"/>
    <w:rsid w:val="009B667C"/>
    <w:rsid w:val="009C3AC3"/>
    <w:rsid w:val="009D043A"/>
    <w:rsid w:val="009D2119"/>
    <w:rsid w:val="009D3A83"/>
    <w:rsid w:val="009D6D52"/>
    <w:rsid w:val="009E0566"/>
    <w:rsid w:val="009E41FF"/>
    <w:rsid w:val="009E5A31"/>
    <w:rsid w:val="009E61F9"/>
    <w:rsid w:val="009F3332"/>
    <w:rsid w:val="00A05FDE"/>
    <w:rsid w:val="00A06810"/>
    <w:rsid w:val="00A1068A"/>
    <w:rsid w:val="00A161F5"/>
    <w:rsid w:val="00A22B94"/>
    <w:rsid w:val="00A23816"/>
    <w:rsid w:val="00A30D1D"/>
    <w:rsid w:val="00A3592E"/>
    <w:rsid w:val="00A40083"/>
    <w:rsid w:val="00A4101F"/>
    <w:rsid w:val="00A5186A"/>
    <w:rsid w:val="00A52AF8"/>
    <w:rsid w:val="00A537AC"/>
    <w:rsid w:val="00A540F4"/>
    <w:rsid w:val="00A6256C"/>
    <w:rsid w:val="00A634E9"/>
    <w:rsid w:val="00A651B2"/>
    <w:rsid w:val="00A6799B"/>
    <w:rsid w:val="00A731D0"/>
    <w:rsid w:val="00A73C4B"/>
    <w:rsid w:val="00A759A4"/>
    <w:rsid w:val="00A816E6"/>
    <w:rsid w:val="00A840D1"/>
    <w:rsid w:val="00A916C2"/>
    <w:rsid w:val="00AA3CFE"/>
    <w:rsid w:val="00AB0572"/>
    <w:rsid w:val="00AB2B7A"/>
    <w:rsid w:val="00AB4AF1"/>
    <w:rsid w:val="00AC3081"/>
    <w:rsid w:val="00AE2001"/>
    <w:rsid w:val="00AE2977"/>
    <w:rsid w:val="00AE3E2F"/>
    <w:rsid w:val="00AE6979"/>
    <w:rsid w:val="00AE7052"/>
    <w:rsid w:val="00AF05C8"/>
    <w:rsid w:val="00AF44A0"/>
    <w:rsid w:val="00AF45BB"/>
    <w:rsid w:val="00AF5528"/>
    <w:rsid w:val="00AF66B0"/>
    <w:rsid w:val="00AF68C7"/>
    <w:rsid w:val="00B01FD8"/>
    <w:rsid w:val="00B0204A"/>
    <w:rsid w:val="00B035EF"/>
    <w:rsid w:val="00B071B4"/>
    <w:rsid w:val="00B10726"/>
    <w:rsid w:val="00B1322B"/>
    <w:rsid w:val="00B21682"/>
    <w:rsid w:val="00B22359"/>
    <w:rsid w:val="00B23190"/>
    <w:rsid w:val="00B33F2E"/>
    <w:rsid w:val="00B34935"/>
    <w:rsid w:val="00B35ED5"/>
    <w:rsid w:val="00B40791"/>
    <w:rsid w:val="00B442E7"/>
    <w:rsid w:val="00B4474A"/>
    <w:rsid w:val="00B50575"/>
    <w:rsid w:val="00B51361"/>
    <w:rsid w:val="00B55BD6"/>
    <w:rsid w:val="00B57266"/>
    <w:rsid w:val="00B65409"/>
    <w:rsid w:val="00B730D3"/>
    <w:rsid w:val="00B74719"/>
    <w:rsid w:val="00B74847"/>
    <w:rsid w:val="00B764D0"/>
    <w:rsid w:val="00B76D59"/>
    <w:rsid w:val="00B77D6C"/>
    <w:rsid w:val="00B81836"/>
    <w:rsid w:val="00B84422"/>
    <w:rsid w:val="00BA02DA"/>
    <w:rsid w:val="00BA077F"/>
    <w:rsid w:val="00BA2450"/>
    <w:rsid w:val="00BA77C0"/>
    <w:rsid w:val="00BB1E11"/>
    <w:rsid w:val="00BB25C6"/>
    <w:rsid w:val="00BB473B"/>
    <w:rsid w:val="00BB698F"/>
    <w:rsid w:val="00BC07AD"/>
    <w:rsid w:val="00BC1B14"/>
    <w:rsid w:val="00BC259F"/>
    <w:rsid w:val="00BC65B9"/>
    <w:rsid w:val="00BD0F23"/>
    <w:rsid w:val="00BD3B1F"/>
    <w:rsid w:val="00BD63B2"/>
    <w:rsid w:val="00BD73DC"/>
    <w:rsid w:val="00BE0BB6"/>
    <w:rsid w:val="00BE61BE"/>
    <w:rsid w:val="00BF14BC"/>
    <w:rsid w:val="00BF42E6"/>
    <w:rsid w:val="00C011B1"/>
    <w:rsid w:val="00C0367B"/>
    <w:rsid w:val="00C06A6C"/>
    <w:rsid w:val="00C127B5"/>
    <w:rsid w:val="00C146CB"/>
    <w:rsid w:val="00C14D72"/>
    <w:rsid w:val="00C17BE9"/>
    <w:rsid w:val="00C223AB"/>
    <w:rsid w:val="00C237E1"/>
    <w:rsid w:val="00C27680"/>
    <w:rsid w:val="00C3083C"/>
    <w:rsid w:val="00C33322"/>
    <w:rsid w:val="00C3534F"/>
    <w:rsid w:val="00C3545F"/>
    <w:rsid w:val="00C41841"/>
    <w:rsid w:val="00C4600F"/>
    <w:rsid w:val="00C46B17"/>
    <w:rsid w:val="00C56A77"/>
    <w:rsid w:val="00C703CD"/>
    <w:rsid w:val="00C75C7D"/>
    <w:rsid w:val="00C81A36"/>
    <w:rsid w:val="00C8401B"/>
    <w:rsid w:val="00C84917"/>
    <w:rsid w:val="00C84E2E"/>
    <w:rsid w:val="00C84F24"/>
    <w:rsid w:val="00C85858"/>
    <w:rsid w:val="00C87D54"/>
    <w:rsid w:val="00CA13CB"/>
    <w:rsid w:val="00CA1775"/>
    <w:rsid w:val="00CA21EE"/>
    <w:rsid w:val="00CA350B"/>
    <w:rsid w:val="00CA5DAE"/>
    <w:rsid w:val="00CB50DF"/>
    <w:rsid w:val="00CC4C06"/>
    <w:rsid w:val="00CC59AC"/>
    <w:rsid w:val="00CC5A92"/>
    <w:rsid w:val="00CC77E7"/>
    <w:rsid w:val="00CD1947"/>
    <w:rsid w:val="00CD454D"/>
    <w:rsid w:val="00CD62ED"/>
    <w:rsid w:val="00CD6891"/>
    <w:rsid w:val="00CE0642"/>
    <w:rsid w:val="00CE5CF3"/>
    <w:rsid w:val="00CE6858"/>
    <w:rsid w:val="00CE7903"/>
    <w:rsid w:val="00CE7AFA"/>
    <w:rsid w:val="00CF5746"/>
    <w:rsid w:val="00D04B4E"/>
    <w:rsid w:val="00D14A21"/>
    <w:rsid w:val="00D159BA"/>
    <w:rsid w:val="00D216CD"/>
    <w:rsid w:val="00D24090"/>
    <w:rsid w:val="00D2521E"/>
    <w:rsid w:val="00D36529"/>
    <w:rsid w:val="00D36885"/>
    <w:rsid w:val="00D41270"/>
    <w:rsid w:val="00D41E83"/>
    <w:rsid w:val="00D4453E"/>
    <w:rsid w:val="00D64455"/>
    <w:rsid w:val="00D677E1"/>
    <w:rsid w:val="00D70A08"/>
    <w:rsid w:val="00D71F34"/>
    <w:rsid w:val="00D76C17"/>
    <w:rsid w:val="00D85401"/>
    <w:rsid w:val="00D9033C"/>
    <w:rsid w:val="00D9433A"/>
    <w:rsid w:val="00D95126"/>
    <w:rsid w:val="00D966F0"/>
    <w:rsid w:val="00D96BCE"/>
    <w:rsid w:val="00DA1109"/>
    <w:rsid w:val="00DA1605"/>
    <w:rsid w:val="00DB549C"/>
    <w:rsid w:val="00DB6994"/>
    <w:rsid w:val="00DB7874"/>
    <w:rsid w:val="00DC1F29"/>
    <w:rsid w:val="00DC50ED"/>
    <w:rsid w:val="00DD1FBC"/>
    <w:rsid w:val="00DE1120"/>
    <w:rsid w:val="00DE5EB3"/>
    <w:rsid w:val="00DE70EB"/>
    <w:rsid w:val="00DF15EE"/>
    <w:rsid w:val="00DF196B"/>
    <w:rsid w:val="00DF1E4C"/>
    <w:rsid w:val="00DF498A"/>
    <w:rsid w:val="00E04EDE"/>
    <w:rsid w:val="00E064DA"/>
    <w:rsid w:val="00E07E52"/>
    <w:rsid w:val="00E15105"/>
    <w:rsid w:val="00E15745"/>
    <w:rsid w:val="00E157C4"/>
    <w:rsid w:val="00E17178"/>
    <w:rsid w:val="00E202BF"/>
    <w:rsid w:val="00E206A3"/>
    <w:rsid w:val="00E234ED"/>
    <w:rsid w:val="00E27407"/>
    <w:rsid w:val="00E3092E"/>
    <w:rsid w:val="00E33FBF"/>
    <w:rsid w:val="00E340D5"/>
    <w:rsid w:val="00E36150"/>
    <w:rsid w:val="00E367C3"/>
    <w:rsid w:val="00E40CDF"/>
    <w:rsid w:val="00E412C6"/>
    <w:rsid w:val="00E41D7A"/>
    <w:rsid w:val="00E42087"/>
    <w:rsid w:val="00E46208"/>
    <w:rsid w:val="00E508D1"/>
    <w:rsid w:val="00E54AC6"/>
    <w:rsid w:val="00E6711B"/>
    <w:rsid w:val="00E674E2"/>
    <w:rsid w:val="00E71ED9"/>
    <w:rsid w:val="00E74080"/>
    <w:rsid w:val="00E742C6"/>
    <w:rsid w:val="00E74532"/>
    <w:rsid w:val="00E7546D"/>
    <w:rsid w:val="00E763F9"/>
    <w:rsid w:val="00E77897"/>
    <w:rsid w:val="00E805DB"/>
    <w:rsid w:val="00E82D7F"/>
    <w:rsid w:val="00E84825"/>
    <w:rsid w:val="00E924FE"/>
    <w:rsid w:val="00E92573"/>
    <w:rsid w:val="00E92A75"/>
    <w:rsid w:val="00E94500"/>
    <w:rsid w:val="00E979FC"/>
    <w:rsid w:val="00EA60F0"/>
    <w:rsid w:val="00EA7E47"/>
    <w:rsid w:val="00EB22E1"/>
    <w:rsid w:val="00EB4318"/>
    <w:rsid w:val="00EB6594"/>
    <w:rsid w:val="00EB741A"/>
    <w:rsid w:val="00EC057A"/>
    <w:rsid w:val="00EC097D"/>
    <w:rsid w:val="00EC64DA"/>
    <w:rsid w:val="00ED14B4"/>
    <w:rsid w:val="00ED1664"/>
    <w:rsid w:val="00ED5180"/>
    <w:rsid w:val="00EE6C91"/>
    <w:rsid w:val="00EF1B26"/>
    <w:rsid w:val="00EF1D02"/>
    <w:rsid w:val="00EF44EC"/>
    <w:rsid w:val="00EF7F37"/>
    <w:rsid w:val="00F003B6"/>
    <w:rsid w:val="00F01EA0"/>
    <w:rsid w:val="00F06737"/>
    <w:rsid w:val="00F07A55"/>
    <w:rsid w:val="00F11448"/>
    <w:rsid w:val="00F16B09"/>
    <w:rsid w:val="00F2480C"/>
    <w:rsid w:val="00F30D56"/>
    <w:rsid w:val="00F35A23"/>
    <w:rsid w:val="00F4217C"/>
    <w:rsid w:val="00F42275"/>
    <w:rsid w:val="00F4280A"/>
    <w:rsid w:val="00F42F4F"/>
    <w:rsid w:val="00F43021"/>
    <w:rsid w:val="00F43E23"/>
    <w:rsid w:val="00F45D58"/>
    <w:rsid w:val="00F4693E"/>
    <w:rsid w:val="00F47676"/>
    <w:rsid w:val="00F51704"/>
    <w:rsid w:val="00F5508E"/>
    <w:rsid w:val="00F55ED0"/>
    <w:rsid w:val="00F574E0"/>
    <w:rsid w:val="00F60526"/>
    <w:rsid w:val="00F7748F"/>
    <w:rsid w:val="00F77A3C"/>
    <w:rsid w:val="00F80154"/>
    <w:rsid w:val="00F8427B"/>
    <w:rsid w:val="00F84428"/>
    <w:rsid w:val="00F85190"/>
    <w:rsid w:val="00F87B7A"/>
    <w:rsid w:val="00F931F7"/>
    <w:rsid w:val="00F94808"/>
    <w:rsid w:val="00F964B9"/>
    <w:rsid w:val="00FA0485"/>
    <w:rsid w:val="00FA0F20"/>
    <w:rsid w:val="00FA35C4"/>
    <w:rsid w:val="00FA3D97"/>
    <w:rsid w:val="00FA3E96"/>
    <w:rsid w:val="00FB08E4"/>
    <w:rsid w:val="00FB4134"/>
    <w:rsid w:val="00FB58B0"/>
    <w:rsid w:val="00FC09FC"/>
    <w:rsid w:val="00FC5B62"/>
    <w:rsid w:val="00FC6A4C"/>
    <w:rsid w:val="00FC7845"/>
    <w:rsid w:val="00FD15EF"/>
    <w:rsid w:val="00FD2342"/>
    <w:rsid w:val="00FD559C"/>
    <w:rsid w:val="00FE0AA8"/>
    <w:rsid w:val="00FE0DB0"/>
    <w:rsid w:val="00FE1FA6"/>
    <w:rsid w:val="00FE6303"/>
    <w:rsid w:val="00FE7426"/>
    <w:rsid w:val="00FF10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51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76E3"/>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0B76E3"/>
    <w:pPr>
      <w:tabs>
        <w:tab w:val="center" w:pos="4153"/>
        <w:tab w:val="right" w:pos="8306"/>
      </w:tabs>
    </w:pPr>
  </w:style>
  <w:style w:type="character" w:customStyle="1" w:styleId="GalveneRakstz">
    <w:name w:val="Galvene Rakstz."/>
    <w:basedOn w:val="Noklusjumarindkopasfonts"/>
    <w:link w:val="Galvene"/>
    <w:uiPriority w:val="99"/>
    <w:rsid w:val="000B76E3"/>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0B76E3"/>
    <w:pPr>
      <w:tabs>
        <w:tab w:val="center" w:pos="4153"/>
        <w:tab w:val="right" w:pos="8306"/>
      </w:tabs>
    </w:pPr>
  </w:style>
  <w:style w:type="character" w:customStyle="1" w:styleId="KjeneRakstz">
    <w:name w:val="Kājene Rakstz."/>
    <w:basedOn w:val="Noklusjumarindkopasfonts"/>
    <w:link w:val="Kjene"/>
    <w:uiPriority w:val="99"/>
    <w:rsid w:val="000B76E3"/>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0B76E3"/>
  </w:style>
  <w:style w:type="paragraph" w:customStyle="1" w:styleId="naisf">
    <w:name w:val="naisf"/>
    <w:basedOn w:val="Parastais"/>
    <w:rsid w:val="000B76E3"/>
    <w:pPr>
      <w:spacing w:before="75" w:after="75"/>
      <w:ind w:firstLine="375"/>
      <w:jc w:val="both"/>
    </w:pPr>
  </w:style>
  <w:style w:type="paragraph" w:customStyle="1" w:styleId="naisnod">
    <w:name w:val="naisnod"/>
    <w:basedOn w:val="Parastais"/>
    <w:rsid w:val="000B76E3"/>
    <w:pPr>
      <w:spacing w:before="150" w:after="150"/>
      <w:jc w:val="center"/>
    </w:pPr>
    <w:rPr>
      <w:rFonts w:eastAsia="Calibri"/>
      <w:b/>
      <w:bCs/>
    </w:rPr>
  </w:style>
  <w:style w:type="paragraph" w:customStyle="1" w:styleId="naiskr">
    <w:name w:val="naiskr"/>
    <w:basedOn w:val="Parastais"/>
    <w:rsid w:val="000B76E3"/>
    <w:pPr>
      <w:spacing w:before="75" w:after="75"/>
    </w:pPr>
    <w:rPr>
      <w:rFonts w:eastAsia="Calibri"/>
    </w:rPr>
  </w:style>
  <w:style w:type="paragraph" w:styleId="Sarakstarindkopa">
    <w:name w:val="List Paragraph"/>
    <w:basedOn w:val="Parastais"/>
    <w:uiPriority w:val="34"/>
    <w:qFormat/>
    <w:rsid w:val="000B76E3"/>
    <w:pPr>
      <w:spacing w:after="200" w:line="276" w:lineRule="auto"/>
      <w:ind w:left="720"/>
      <w:contextualSpacing/>
    </w:pPr>
    <w:rPr>
      <w:rFonts w:ascii="Calibri" w:eastAsia="Calibri" w:hAnsi="Calibri"/>
      <w:sz w:val="22"/>
      <w:szCs w:val="22"/>
      <w:lang w:val="en-US" w:eastAsia="en-US"/>
    </w:rPr>
  </w:style>
  <w:style w:type="paragraph" w:styleId="ParastaisWeb">
    <w:name w:val="Normal (Web)"/>
    <w:basedOn w:val="Parastais"/>
    <w:uiPriority w:val="99"/>
    <w:rsid w:val="000B76E3"/>
    <w:pPr>
      <w:spacing w:before="100" w:beforeAutospacing="1" w:after="119"/>
    </w:pPr>
  </w:style>
  <w:style w:type="character" w:styleId="Hipersaite">
    <w:name w:val="Hyperlink"/>
    <w:basedOn w:val="Noklusjumarindkopasfonts"/>
    <w:rsid w:val="000B76E3"/>
    <w:rPr>
      <w:color w:val="0000FF"/>
      <w:u w:val="single"/>
    </w:rPr>
  </w:style>
  <w:style w:type="paragraph" w:styleId="Vresteksts">
    <w:name w:val="footnote text"/>
    <w:basedOn w:val="Parastais"/>
    <w:link w:val="VrestekstsRakstz"/>
    <w:rsid w:val="000B76E3"/>
    <w:rPr>
      <w:sz w:val="20"/>
      <w:szCs w:val="20"/>
    </w:rPr>
  </w:style>
  <w:style w:type="character" w:customStyle="1" w:styleId="VrestekstsRakstz">
    <w:name w:val="Vēres teksts Rakstz."/>
    <w:basedOn w:val="Noklusjumarindkopasfonts"/>
    <w:link w:val="Vresteksts"/>
    <w:rsid w:val="000B76E3"/>
    <w:rPr>
      <w:rFonts w:ascii="Times New Roman" w:eastAsia="Times New Roman" w:hAnsi="Times New Roman" w:cs="Times New Roman"/>
      <w:sz w:val="20"/>
      <w:szCs w:val="20"/>
      <w:lang w:val="lv-LV" w:eastAsia="lv-LV"/>
    </w:rPr>
  </w:style>
  <w:style w:type="paragraph" w:styleId="Bezatstarpm">
    <w:name w:val="No Spacing"/>
    <w:uiPriority w:val="1"/>
    <w:qFormat/>
    <w:rsid w:val="000B76E3"/>
    <w:rPr>
      <w:rFonts w:ascii="Times New Roman" w:eastAsia="Times New Roman" w:hAnsi="Times New Roman"/>
      <w:sz w:val="24"/>
      <w:szCs w:val="24"/>
      <w:lang w:val="lv-LV" w:eastAsia="lv-LV"/>
    </w:rPr>
  </w:style>
  <w:style w:type="paragraph" w:customStyle="1" w:styleId="tvhtml">
    <w:name w:val="tv_html"/>
    <w:basedOn w:val="Parastais"/>
    <w:rsid w:val="000B76E3"/>
    <w:pPr>
      <w:spacing w:before="100" w:beforeAutospacing="1" w:after="100" w:afterAutospacing="1"/>
    </w:pPr>
    <w:rPr>
      <w:rFonts w:ascii="Verdana" w:hAnsi="Verdana"/>
      <w:sz w:val="18"/>
      <w:szCs w:val="18"/>
      <w:lang w:val="en-US" w:eastAsia="en-US" w:bidi="lo-LA"/>
    </w:rPr>
  </w:style>
  <w:style w:type="paragraph" w:customStyle="1" w:styleId="naisc">
    <w:name w:val="naisc"/>
    <w:basedOn w:val="Parastais"/>
    <w:rsid w:val="000B76E3"/>
    <w:pPr>
      <w:spacing w:before="75" w:after="75"/>
      <w:jc w:val="center"/>
    </w:pPr>
  </w:style>
  <w:style w:type="paragraph" w:customStyle="1" w:styleId="Default">
    <w:name w:val="Default"/>
    <w:rsid w:val="000B76E3"/>
    <w:pPr>
      <w:autoSpaceDE w:val="0"/>
      <w:autoSpaceDN w:val="0"/>
      <w:adjustRightInd w:val="0"/>
    </w:pPr>
    <w:rPr>
      <w:rFonts w:ascii="EUAlbertina" w:eastAsia="Times New Roman" w:hAnsi="EUAlbertina" w:cs="EUAlbertina"/>
      <w:color w:val="000000"/>
      <w:sz w:val="24"/>
      <w:szCs w:val="24"/>
      <w:lang w:bidi="lo-LA"/>
    </w:rPr>
  </w:style>
  <w:style w:type="character" w:styleId="Komentraatsauce">
    <w:name w:val="annotation reference"/>
    <w:basedOn w:val="Noklusjumarindkopasfonts"/>
    <w:uiPriority w:val="99"/>
    <w:semiHidden/>
    <w:unhideWhenUsed/>
    <w:rsid w:val="00F07A55"/>
    <w:rPr>
      <w:sz w:val="16"/>
      <w:szCs w:val="16"/>
    </w:rPr>
  </w:style>
  <w:style w:type="paragraph" w:styleId="Komentrateksts">
    <w:name w:val="annotation text"/>
    <w:basedOn w:val="Parastais"/>
    <w:link w:val="KomentratekstsRakstz"/>
    <w:uiPriority w:val="99"/>
    <w:semiHidden/>
    <w:unhideWhenUsed/>
    <w:rsid w:val="00F07A55"/>
    <w:rPr>
      <w:sz w:val="20"/>
      <w:szCs w:val="20"/>
    </w:rPr>
  </w:style>
  <w:style w:type="character" w:customStyle="1" w:styleId="KomentratekstsRakstz">
    <w:name w:val="Komentāra teksts Rakstz."/>
    <w:basedOn w:val="Noklusjumarindkopasfonts"/>
    <w:link w:val="Komentrateksts"/>
    <w:uiPriority w:val="99"/>
    <w:semiHidden/>
    <w:rsid w:val="00F07A55"/>
    <w:rPr>
      <w:rFonts w:ascii="Times New Roman" w:eastAsia="Times New Roman" w:hAnsi="Times New Roman"/>
      <w:lang w:val="lv-LV" w:eastAsia="lv-LV"/>
    </w:rPr>
  </w:style>
  <w:style w:type="paragraph" w:styleId="Komentratma">
    <w:name w:val="annotation subject"/>
    <w:basedOn w:val="Komentrateksts"/>
    <w:next w:val="Komentrateksts"/>
    <w:link w:val="KomentratmaRakstz"/>
    <w:uiPriority w:val="99"/>
    <w:semiHidden/>
    <w:unhideWhenUsed/>
    <w:rsid w:val="00F07A55"/>
    <w:rPr>
      <w:b/>
      <w:bCs/>
    </w:rPr>
  </w:style>
  <w:style w:type="character" w:customStyle="1" w:styleId="KomentratmaRakstz">
    <w:name w:val="Komentāra tēma Rakstz."/>
    <w:basedOn w:val="KomentratekstsRakstz"/>
    <w:link w:val="Komentratma"/>
    <w:uiPriority w:val="99"/>
    <w:semiHidden/>
    <w:rsid w:val="00F07A55"/>
    <w:rPr>
      <w:b/>
      <w:bCs/>
    </w:rPr>
  </w:style>
  <w:style w:type="paragraph" w:styleId="Balonteksts">
    <w:name w:val="Balloon Text"/>
    <w:basedOn w:val="Parastais"/>
    <w:link w:val="BalontekstsRakstz"/>
    <w:uiPriority w:val="99"/>
    <w:semiHidden/>
    <w:unhideWhenUsed/>
    <w:rsid w:val="00F07A5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7A55"/>
    <w:rPr>
      <w:rFonts w:ascii="Tahoma" w:eastAsia="Times New Roman" w:hAnsi="Tahoma" w:cs="Tahoma"/>
      <w:sz w:val="16"/>
      <w:szCs w:val="16"/>
      <w:lang w:val="lv-LV" w:eastAsia="lv-LV"/>
    </w:rPr>
  </w:style>
  <w:style w:type="character" w:styleId="Vresatsauce">
    <w:name w:val="footnote reference"/>
    <w:basedOn w:val="Noklusjumarindkopasfonts"/>
    <w:uiPriority w:val="99"/>
    <w:semiHidden/>
    <w:unhideWhenUsed/>
    <w:rsid w:val="003C269D"/>
    <w:rPr>
      <w:vertAlign w:val="superscript"/>
    </w:rPr>
  </w:style>
  <w:style w:type="paragraph" w:styleId="Pamatteksts">
    <w:name w:val="Body Text"/>
    <w:basedOn w:val="Parastais"/>
    <w:link w:val="PamattekstsRakstz"/>
    <w:rsid w:val="004C2675"/>
    <w:pPr>
      <w:jc w:val="center"/>
    </w:pPr>
    <w:rPr>
      <w:b/>
      <w:bCs/>
      <w:sz w:val="28"/>
      <w:lang w:eastAsia="en-US"/>
    </w:rPr>
  </w:style>
  <w:style w:type="character" w:customStyle="1" w:styleId="PamattekstsRakstz">
    <w:name w:val="Pamatteksts Rakstz."/>
    <w:basedOn w:val="Noklusjumarindkopasfonts"/>
    <w:link w:val="Pamatteksts"/>
    <w:rsid w:val="004C2675"/>
    <w:rPr>
      <w:rFonts w:ascii="Times New Roman" w:eastAsia="Times New Roman" w:hAnsi="Times New Roman"/>
      <w:b/>
      <w:bCs/>
      <w:sz w:val="28"/>
      <w:szCs w:val="24"/>
      <w:lang w:val="lv-LV"/>
    </w:rPr>
  </w:style>
  <w:style w:type="paragraph" w:customStyle="1" w:styleId="tv213">
    <w:name w:val="tv213"/>
    <w:basedOn w:val="Parastais"/>
    <w:rsid w:val="00F30D56"/>
    <w:pPr>
      <w:spacing w:before="100" w:beforeAutospacing="1" w:after="100" w:afterAutospacing="1"/>
    </w:pPr>
  </w:style>
  <w:style w:type="paragraph" w:customStyle="1" w:styleId="tv2068792">
    <w:name w:val="tv206_87_92"/>
    <w:basedOn w:val="Parastais"/>
    <w:rsid w:val="001206AA"/>
    <w:pPr>
      <w:spacing w:before="100" w:beforeAutospacing="1" w:after="100" w:afterAutospacing="1"/>
    </w:pPr>
  </w:style>
  <w:style w:type="paragraph" w:customStyle="1" w:styleId="tv2078792">
    <w:name w:val="tv207_87_92"/>
    <w:basedOn w:val="Parastais"/>
    <w:rsid w:val="000F0835"/>
    <w:pPr>
      <w:spacing w:before="100" w:beforeAutospacing="1" w:after="100" w:afterAutospacing="1"/>
    </w:pPr>
  </w:style>
  <w:style w:type="paragraph" w:customStyle="1" w:styleId="tv207">
    <w:name w:val="tv207"/>
    <w:basedOn w:val="Parastais"/>
    <w:rsid w:val="004A3B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291571">
      <w:bodyDiv w:val="1"/>
      <w:marLeft w:val="0"/>
      <w:marRight w:val="0"/>
      <w:marTop w:val="0"/>
      <w:marBottom w:val="0"/>
      <w:divBdr>
        <w:top w:val="none" w:sz="0" w:space="0" w:color="auto"/>
        <w:left w:val="none" w:sz="0" w:space="0" w:color="auto"/>
        <w:bottom w:val="none" w:sz="0" w:space="0" w:color="auto"/>
        <w:right w:val="none" w:sz="0" w:space="0" w:color="auto"/>
      </w:divBdr>
      <w:divsChild>
        <w:div w:id="1486320401">
          <w:marLeft w:val="0"/>
          <w:marRight w:val="0"/>
          <w:marTop w:val="0"/>
          <w:marBottom w:val="0"/>
          <w:divBdr>
            <w:top w:val="none" w:sz="0" w:space="0" w:color="auto"/>
            <w:left w:val="none" w:sz="0" w:space="0" w:color="auto"/>
            <w:bottom w:val="none" w:sz="0" w:space="0" w:color="auto"/>
            <w:right w:val="none" w:sz="0" w:space="0" w:color="auto"/>
          </w:divBdr>
        </w:div>
        <w:div w:id="1873615697">
          <w:marLeft w:val="0"/>
          <w:marRight w:val="0"/>
          <w:marTop w:val="0"/>
          <w:marBottom w:val="0"/>
          <w:divBdr>
            <w:top w:val="none" w:sz="0" w:space="0" w:color="auto"/>
            <w:left w:val="none" w:sz="0" w:space="0" w:color="auto"/>
            <w:bottom w:val="none" w:sz="0" w:space="0" w:color="auto"/>
            <w:right w:val="none" w:sz="0" w:space="0" w:color="auto"/>
          </w:divBdr>
        </w:div>
      </w:divsChild>
    </w:div>
    <w:div w:id="67310659">
      <w:bodyDiv w:val="1"/>
      <w:marLeft w:val="0"/>
      <w:marRight w:val="0"/>
      <w:marTop w:val="0"/>
      <w:marBottom w:val="0"/>
      <w:divBdr>
        <w:top w:val="none" w:sz="0" w:space="0" w:color="auto"/>
        <w:left w:val="none" w:sz="0" w:space="0" w:color="auto"/>
        <w:bottom w:val="none" w:sz="0" w:space="0" w:color="auto"/>
        <w:right w:val="none" w:sz="0" w:space="0" w:color="auto"/>
      </w:divBdr>
    </w:div>
    <w:div w:id="214590619">
      <w:bodyDiv w:val="1"/>
      <w:marLeft w:val="0"/>
      <w:marRight w:val="0"/>
      <w:marTop w:val="0"/>
      <w:marBottom w:val="0"/>
      <w:divBdr>
        <w:top w:val="none" w:sz="0" w:space="0" w:color="auto"/>
        <w:left w:val="none" w:sz="0" w:space="0" w:color="auto"/>
        <w:bottom w:val="none" w:sz="0" w:space="0" w:color="auto"/>
        <w:right w:val="none" w:sz="0" w:space="0" w:color="auto"/>
      </w:divBdr>
      <w:divsChild>
        <w:div w:id="1480069879">
          <w:marLeft w:val="0"/>
          <w:marRight w:val="0"/>
          <w:marTop w:val="0"/>
          <w:marBottom w:val="0"/>
          <w:divBdr>
            <w:top w:val="none" w:sz="0" w:space="0" w:color="auto"/>
            <w:left w:val="none" w:sz="0" w:space="0" w:color="auto"/>
            <w:bottom w:val="none" w:sz="0" w:space="0" w:color="auto"/>
            <w:right w:val="none" w:sz="0" w:space="0" w:color="auto"/>
          </w:divBdr>
          <w:divsChild>
            <w:div w:id="1784155252">
              <w:marLeft w:val="0"/>
              <w:marRight w:val="0"/>
              <w:marTop w:val="0"/>
              <w:marBottom w:val="0"/>
              <w:divBdr>
                <w:top w:val="none" w:sz="0" w:space="0" w:color="auto"/>
                <w:left w:val="none" w:sz="0" w:space="0" w:color="auto"/>
                <w:bottom w:val="none" w:sz="0" w:space="0" w:color="auto"/>
                <w:right w:val="none" w:sz="0" w:space="0" w:color="auto"/>
              </w:divBdr>
              <w:divsChild>
                <w:div w:id="120422121">
                  <w:marLeft w:val="0"/>
                  <w:marRight w:val="0"/>
                  <w:marTop w:val="0"/>
                  <w:marBottom w:val="0"/>
                  <w:divBdr>
                    <w:top w:val="none" w:sz="0" w:space="0" w:color="auto"/>
                    <w:left w:val="none" w:sz="0" w:space="0" w:color="auto"/>
                    <w:bottom w:val="none" w:sz="0" w:space="0" w:color="auto"/>
                    <w:right w:val="none" w:sz="0" w:space="0" w:color="auto"/>
                  </w:divBdr>
                  <w:divsChild>
                    <w:div w:id="170532142">
                      <w:marLeft w:val="0"/>
                      <w:marRight w:val="0"/>
                      <w:marTop w:val="0"/>
                      <w:marBottom w:val="0"/>
                      <w:divBdr>
                        <w:top w:val="none" w:sz="0" w:space="0" w:color="auto"/>
                        <w:left w:val="none" w:sz="0" w:space="0" w:color="auto"/>
                        <w:bottom w:val="none" w:sz="0" w:space="0" w:color="auto"/>
                        <w:right w:val="none" w:sz="0" w:space="0" w:color="auto"/>
                      </w:divBdr>
                      <w:divsChild>
                        <w:div w:id="160630314">
                          <w:marLeft w:val="0"/>
                          <w:marRight w:val="0"/>
                          <w:marTop w:val="0"/>
                          <w:marBottom w:val="0"/>
                          <w:divBdr>
                            <w:top w:val="none" w:sz="0" w:space="0" w:color="auto"/>
                            <w:left w:val="none" w:sz="0" w:space="0" w:color="auto"/>
                            <w:bottom w:val="none" w:sz="0" w:space="0" w:color="auto"/>
                            <w:right w:val="none" w:sz="0" w:space="0" w:color="auto"/>
                          </w:divBdr>
                          <w:divsChild>
                            <w:div w:id="227883866">
                              <w:marLeft w:val="0"/>
                              <w:marRight w:val="0"/>
                              <w:marTop w:val="0"/>
                              <w:marBottom w:val="0"/>
                              <w:divBdr>
                                <w:top w:val="none" w:sz="0" w:space="0" w:color="auto"/>
                                <w:left w:val="none" w:sz="0" w:space="0" w:color="auto"/>
                                <w:bottom w:val="none" w:sz="0" w:space="0" w:color="auto"/>
                                <w:right w:val="none" w:sz="0" w:space="0" w:color="auto"/>
                              </w:divBdr>
                              <w:divsChild>
                                <w:div w:id="1583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20414">
      <w:bodyDiv w:val="1"/>
      <w:marLeft w:val="0"/>
      <w:marRight w:val="0"/>
      <w:marTop w:val="0"/>
      <w:marBottom w:val="0"/>
      <w:divBdr>
        <w:top w:val="none" w:sz="0" w:space="0" w:color="auto"/>
        <w:left w:val="none" w:sz="0" w:space="0" w:color="auto"/>
        <w:bottom w:val="none" w:sz="0" w:space="0" w:color="auto"/>
        <w:right w:val="none" w:sz="0" w:space="0" w:color="auto"/>
      </w:divBdr>
    </w:div>
    <w:div w:id="445275148">
      <w:bodyDiv w:val="1"/>
      <w:marLeft w:val="0"/>
      <w:marRight w:val="0"/>
      <w:marTop w:val="0"/>
      <w:marBottom w:val="0"/>
      <w:divBdr>
        <w:top w:val="none" w:sz="0" w:space="0" w:color="auto"/>
        <w:left w:val="none" w:sz="0" w:space="0" w:color="auto"/>
        <w:bottom w:val="none" w:sz="0" w:space="0" w:color="auto"/>
        <w:right w:val="none" w:sz="0" w:space="0" w:color="auto"/>
      </w:divBdr>
    </w:div>
    <w:div w:id="454913908">
      <w:bodyDiv w:val="1"/>
      <w:marLeft w:val="0"/>
      <w:marRight w:val="0"/>
      <w:marTop w:val="0"/>
      <w:marBottom w:val="0"/>
      <w:divBdr>
        <w:top w:val="none" w:sz="0" w:space="0" w:color="auto"/>
        <w:left w:val="none" w:sz="0" w:space="0" w:color="auto"/>
        <w:bottom w:val="none" w:sz="0" w:space="0" w:color="auto"/>
        <w:right w:val="none" w:sz="0" w:space="0" w:color="auto"/>
      </w:divBdr>
      <w:divsChild>
        <w:div w:id="2116829669">
          <w:marLeft w:val="0"/>
          <w:marRight w:val="0"/>
          <w:marTop w:val="0"/>
          <w:marBottom w:val="0"/>
          <w:divBdr>
            <w:top w:val="none" w:sz="0" w:space="0" w:color="auto"/>
            <w:left w:val="none" w:sz="0" w:space="0" w:color="auto"/>
            <w:bottom w:val="none" w:sz="0" w:space="0" w:color="auto"/>
            <w:right w:val="none" w:sz="0" w:space="0" w:color="auto"/>
          </w:divBdr>
          <w:divsChild>
            <w:div w:id="10604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3647">
      <w:bodyDiv w:val="1"/>
      <w:marLeft w:val="0"/>
      <w:marRight w:val="0"/>
      <w:marTop w:val="0"/>
      <w:marBottom w:val="0"/>
      <w:divBdr>
        <w:top w:val="none" w:sz="0" w:space="0" w:color="auto"/>
        <w:left w:val="none" w:sz="0" w:space="0" w:color="auto"/>
        <w:bottom w:val="none" w:sz="0" w:space="0" w:color="auto"/>
        <w:right w:val="none" w:sz="0" w:space="0" w:color="auto"/>
      </w:divBdr>
    </w:div>
    <w:div w:id="567153422">
      <w:bodyDiv w:val="1"/>
      <w:marLeft w:val="45"/>
      <w:marRight w:val="45"/>
      <w:marTop w:val="90"/>
      <w:marBottom w:val="90"/>
      <w:divBdr>
        <w:top w:val="none" w:sz="0" w:space="0" w:color="auto"/>
        <w:left w:val="none" w:sz="0" w:space="0" w:color="auto"/>
        <w:bottom w:val="none" w:sz="0" w:space="0" w:color="auto"/>
        <w:right w:val="none" w:sz="0" w:space="0" w:color="auto"/>
      </w:divBdr>
      <w:divsChild>
        <w:div w:id="1206143062">
          <w:marLeft w:val="0"/>
          <w:marRight w:val="0"/>
          <w:marTop w:val="0"/>
          <w:marBottom w:val="567"/>
          <w:divBdr>
            <w:top w:val="none" w:sz="0" w:space="0" w:color="auto"/>
            <w:left w:val="none" w:sz="0" w:space="0" w:color="auto"/>
            <w:bottom w:val="none" w:sz="0" w:space="0" w:color="auto"/>
            <w:right w:val="none" w:sz="0" w:space="0" w:color="auto"/>
          </w:divBdr>
        </w:div>
      </w:divsChild>
    </w:div>
    <w:div w:id="767309421">
      <w:bodyDiv w:val="1"/>
      <w:marLeft w:val="0"/>
      <w:marRight w:val="0"/>
      <w:marTop w:val="0"/>
      <w:marBottom w:val="0"/>
      <w:divBdr>
        <w:top w:val="none" w:sz="0" w:space="0" w:color="auto"/>
        <w:left w:val="none" w:sz="0" w:space="0" w:color="auto"/>
        <w:bottom w:val="none" w:sz="0" w:space="0" w:color="auto"/>
        <w:right w:val="none" w:sz="0" w:space="0" w:color="auto"/>
      </w:divBdr>
    </w:div>
    <w:div w:id="1108506240">
      <w:bodyDiv w:val="1"/>
      <w:marLeft w:val="0"/>
      <w:marRight w:val="0"/>
      <w:marTop w:val="0"/>
      <w:marBottom w:val="0"/>
      <w:divBdr>
        <w:top w:val="none" w:sz="0" w:space="0" w:color="auto"/>
        <w:left w:val="none" w:sz="0" w:space="0" w:color="auto"/>
        <w:bottom w:val="none" w:sz="0" w:space="0" w:color="auto"/>
        <w:right w:val="none" w:sz="0" w:space="0" w:color="auto"/>
      </w:divBdr>
    </w:div>
    <w:div w:id="1178957907">
      <w:bodyDiv w:val="1"/>
      <w:marLeft w:val="0"/>
      <w:marRight w:val="0"/>
      <w:marTop w:val="0"/>
      <w:marBottom w:val="0"/>
      <w:divBdr>
        <w:top w:val="none" w:sz="0" w:space="0" w:color="auto"/>
        <w:left w:val="none" w:sz="0" w:space="0" w:color="auto"/>
        <w:bottom w:val="none" w:sz="0" w:space="0" w:color="auto"/>
        <w:right w:val="none" w:sz="0" w:space="0" w:color="auto"/>
      </w:divBdr>
    </w:div>
    <w:div w:id="1242595073">
      <w:bodyDiv w:val="1"/>
      <w:marLeft w:val="0"/>
      <w:marRight w:val="0"/>
      <w:marTop w:val="0"/>
      <w:marBottom w:val="0"/>
      <w:divBdr>
        <w:top w:val="none" w:sz="0" w:space="0" w:color="auto"/>
        <w:left w:val="none" w:sz="0" w:space="0" w:color="auto"/>
        <w:bottom w:val="none" w:sz="0" w:space="0" w:color="auto"/>
        <w:right w:val="none" w:sz="0" w:space="0" w:color="auto"/>
      </w:divBdr>
    </w:div>
    <w:div w:id="1257636160">
      <w:bodyDiv w:val="1"/>
      <w:marLeft w:val="0"/>
      <w:marRight w:val="0"/>
      <w:marTop w:val="0"/>
      <w:marBottom w:val="0"/>
      <w:divBdr>
        <w:top w:val="none" w:sz="0" w:space="0" w:color="auto"/>
        <w:left w:val="none" w:sz="0" w:space="0" w:color="auto"/>
        <w:bottom w:val="none" w:sz="0" w:space="0" w:color="auto"/>
        <w:right w:val="none" w:sz="0" w:space="0" w:color="auto"/>
      </w:divBdr>
    </w:div>
    <w:div w:id="1395274828">
      <w:bodyDiv w:val="1"/>
      <w:marLeft w:val="0"/>
      <w:marRight w:val="0"/>
      <w:marTop w:val="0"/>
      <w:marBottom w:val="0"/>
      <w:divBdr>
        <w:top w:val="none" w:sz="0" w:space="0" w:color="auto"/>
        <w:left w:val="none" w:sz="0" w:space="0" w:color="auto"/>
        <w:bottom w:val="none" w:sz="0" w:space="0" w:color="auto"/>
        <w:right w:val="none" w:sz="0" w:space="0" w:color="auto"/>
      </w:divBdr>
    </w:div>
    <w:div w:id="1464273854">
      <w:bodyDiv w:val="1"/>
      <w:marLeft w:val="0"/>
      <w:marRight w:val="0"/>
      <w:marTop w:val="0"/>
      <w:marBottom w:val="0"/>
      <w:divBdr>
        <w:top w:val="none" w:sz="0" w:space="0" w:color="auto"/>
        <w:left w:val="none" w:sz="0" w:space="0" w:color="auto"/>
        <w:bottom w:val="none" w:sz="0" w:space="0" w:color="auto"/>
        <w:right w:val="none" w:sz="0" w:space="0" w:color="auto"/>
      </w:divBdr>
    </w:div>
    <w:div w:id="1821577996">
      <w:bodyDiv w:val="1"/>
      <w:marLeft w:val="0"/>
      <w:marRight w:val="0"/>
      <w:marTop w:val="0"/>
      <w:marBottom w:val="0"/>
      <w:divBdr>
        <w:top w:val="none" w:sz="0" w:space="0" w:color="auto"/>
        <w:left w:val="none" w:sz="0" w:space="0" w:color="auto"/>
        <w:bottom w:val="none" w:sz="0" w:space="0" w:color="auto"/>
        <w:right w:val="none" w:sz="0" w:space="0" w:color="auto"/>
      </w:divBdr>
      <w:divsChild>
        <w:div w:id="354694017">
          <w:marLeft w:val="0"/>
          <w:marRight w:val="0"/>
          <w:marTop w:val="0"/>
          <w:marBottom w:val="0"/>
          <w:divBdr>
            <w:top w:val="none" w:sz="0" w:space="0" w:color="auto"/>
            <w:left w:val="none" w:sz="0" w:space="0" w:color="auto"/>
            <w:bottom w:val="none" w:sz="0" w:space="0" w:color="auto"/>
            <w:right w:val="none" w:sz="0" w:space="0" w:color="auto"/>
          </w:divBdr>
        </w:div>
        <w:div w:id="138911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ita.Kukli&#269;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51D04-C3FC-41C5-802F-11871A6A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9</Pages>
  <Words>13745</Words>
  <Characters>7835</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2004.gada 13.aprīļa noteikumos Nr.286 „Veselības ministrijas nolikums””</vt:lpstr>
      <vt:lpstr>Ministru kabineta noteikumu projekta „Grozījumi Ministru kabineta 2004.gada 13.aprīļa noteikumos Nr.286 „Veselības ministrijas nolikums””</vt:lpstr>
    </vt:vector>
  </TitlesOfParts>
  <Company>Veselības ministrija</Company>
  <LinksUpToDate>false</LinksUpToDate>
  <CharactersWithSpaces>21537</CharactersWithSpaces>
  <SharedDoc>false</SharedDoc>
  <HLinks>
    <vt:vector size="54" baseType="variant">
      <vt:variant>
        <vt:i4>3342349</vt:i4>
      </vt:variant>
      <vt:variant>
        <vt:i4>24</vt:i4>
      </vt:variant>
      <vt:variant>
        <vt:i4>0</vt:i4>
      </vt:variant>
      <vt:variant>
        <vt:i4>5</vt:i4>
      </vt:variant>
      <vt:variant>
        <vt:lpwstr>mailto:raimonds.osis@vm.gov.lv</vt:lpwstr>
      </vt:variant>
      <vt:variant>
        <vt:lpwstr/>
      </vt:variant>
      <vt:variant>
        <vt:i4>3473436</vt:i4>
      </vt:variant>
      <vt:variant>
        <vt:i4>21</vt:i4>
      </vt:variant>
      <vt:variant>
        <vt:i4>0</vt:i4>
      </vt:variant>
      <vt:variant>
        <vt:i4>5</vt:i4>
      </vt:variant>
      <vt:variant>
        <vt:lpwstr>mailto:arturs.veidemanis@vm.gov.lv</vt:lpwstr>
      </vt:variant>
      <vt:variant>
        <vt:lpwstr/>
      </vt:variant>
      <vt:variant>
        <vt:i4>4718692</vt:i4>
      </vt:variant>
      <vt:variant>
        <vt:i4>18</vt:i4>
      </vt:variant>
      <vt:variant>
        <vt:i4>0</vt:i4>
      </vt:variant>
      <vt:variant>
        <vt:i4>5</vt:i4>
      </vt:variant>
      <vt:variant>
        <vt:lpwstr>mailto:laura.selakova@vm.gov.lv</vt:lpwstr>
      </vt:variant>
      <vt:variant>
        <vt:lpwstr/>
      </vt:variant>
      <vt:variant>
        <vt:i4>7078000</vt:i4>
      </vt:variant>
      <vt:variant>
        <vt:i4>15</vt:i4>
      </vt:variant>
      <vt:variant>
        <vt:i4>0</vt:i4>
      </vt:variant>
      <vt:variant>
        <vt:i4>5</vt:i4>
      </vt:variant>
      <vt:variant>
        <vt:lpwstr>http://pro.nais.lv/naiser/esdoc.cfm?esid=32006R1920</vt:lpwstr>
      </vt:variant>
      <vt:variant>
        <vt:lpwstr/>
      </vt:variant>
      <vt:variant>
        <vt:i4>6881342</vt:i4>
      </vt:variant>
      <vt:variant>
        <vt:i4>12</vt:i4>
      </vt:variant>
      <vt:variant>
        <vt:i4>0</vt:i4>
      </vt:variant>
      <vt:variant>
        <vt:i4>5</vt:i4>
      </vt:variant>
      <vt:variant>
        <vt:lpwstr>http://eur-lex.europa.eu/LexUriServ/LexUriServ.do?uri=OJ:L:2006:376:0001:01:LV:HTML</vt:lpwstr>
      </vt:variant>
      <vt:variant>
        <vt:lpwstr/>
      </vt:variant>
      <vt:variant>
        <vt:i4>6881342</vt:i4>
      </vt:variant>
      <vt:variant>
        <vt:i4>9</vt:i4>
      </vt:variant>
      <vt:variant>
        <vt:i4>0</vt:i4>
      </vt:variant>
      <vt:variant>
        <vt:i4>5</vt:i4>
      </vt:variant>
      <vt:variant>
        <vt:lpwstr>http://eur-lex.europa.eu/LexUriServ/LexUriServ.do?uri=OJ:L:2006:376:0001:01:LV:HTML</vt:lpwstr>
      </vt:variant>
      <vt:variant>
        <vt:lpwstr/>
      </vt:variant>
      <vt:variant>
        <vt:i4>7536676</vt:i4>
      </vt:variant>
      <vt:variant>
        <vt:i4>6</vt:i4>
      </vt:variant>
      <vt:variant>
        <vt:i4>0</vt:i4>
      </vt:variant>
      <vt:variant>
        <vt:i4>5</vt:i4>
      </vt:variant>
      <vt:variant>
        <vt:lpwstr>http://www.likumi.lv/doc.php?id=180617</vt:lpwstr>
      </vt:variant>
      <vt:variant>
        <vt:lpwstr/>
      </vt:variant>
      <vt:variant>
        <vt:i4>5046295</vt:i4>
      </vt:variant>
      <vt:variant>
        <vt:i4>3</vt:i4>
      </vt:variant>
      <vt:variant>
        <vt:i4>0</vt:i4>
      </vt:variant>
      <vt:variant>
        <vt:i4>5</vt:i4>
      </vt:variant>
      <vt:variant>
        <vt:lpwstr>http://www.likumi.lv/doc.php?id=63545</vt:lpwstr>
      </vt:variant>
      <vt:variant>
        <vt:lpwstr/>
      </vt:variant>
      <vt:variant>
        <vt:i4>7208994</vt:i4>
      </vt:variant>
      <vt:variant>
        <vt:i4>0</vt:i4>
      </vt:variant>
      <vt:variant>
        <vt:i4>0</vt:i4>
      </vt:variant>
      <vt:variant>
        <vt:i4>5</vt:i4>
      </vt:variant>
      <vt:variant>
        <vt:lpwstr>http://polsis.mk.gov.lv/view.do?id=1675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2004.gada 13.aprīļa noteikumos Nr.286 „Veselības ministrijas nolikums””</dc:title>
  <dc:subject>Anotācija</dc:subject>
  <dc:creator>Sanita Kukliča</dc:creator>
  <cp:keywords/>
  <dc:description/>
  <cp:lastModifiedBy>skuklica</cp:lastModifiedBy>
  <cp:revision>51</cp:revision>
  <cp:lastPrinted>2012-10-23T13:14:00Z</cp:lastPrinted>
  <dcterms:created xsi:type="dcterms:W3CDTF">2012-09-11T10:06:00Z</dcterms:created>
  <dcterms:modified xsi:type="dcterms:W3CDTF">2012-11-06T09:12:00Z</dcterms:modified>
</cp:coreProperties>
</file>