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7A3" w:rsidRDefault="004247A3" w:rsidP="00C73D7D">
      <w:pPr>
        <w:jc w:val="center"/>
        <w:rPr>
          <w:b/>
          <w:bCs/>
          <w:sz w:val="28"/>
          <w:szCs w:val="28"/>
        </w:rPr>
      </w:pPr>
      <w:r w:rsidRPr="00C73D7D">
        <w:rPr>
          <w:sz w:val="28"/>
          <w:szCs w:val="28"/>
        </w:rPr>
        <w:t>Ministru kabineta rīkojuma projekta</w:t>
      </w:r>
    </w:p>
    <w:p w:rsidR="004247A3" w:rsidRDefault="004247A3" w:rsidP="00C73D7D">
      <w:pPr>
        <w:jc w:val="center"/>
        <w:rPr>
          <w:b/>
          <w:bCs/>
          <w:sz w:val="28"/>
          <w:szCs w:val="28"/>
        </w:rPr>
      </w:pPr>
      <w:r>
        <w:rPr>
          <w:b/>
          <w:bCs/>
          <w:sz w:val="28"/>
          <w:szCs w:val="28"/>
        </w:rPr>
        <w:t>„Par finanšu līdzekļu piešķiršanu no valsts budžeta programmas</w:t>
      </w:r>
    </w:p>
    <w:p w:rsidR="004247A3" w:rsidRPr="00C73D7D" w:rsidRDefault="004247A3" w:rsidP="00C73D7D">
      <w:pPr>
        <w:jc w:val="center"/>
        <w:rPr>
          <w:b/>
          <w:bCs/>
          <w:sz w:val="28"/>
          <w:szCs w:val="28"/>
        </w:rPr>
      </w:pPr>
      <w:r>
        <w:rPr>
          <w:b/>
          <w:bCs/>
          <w:sz w:val="28"/>
          <w:szCs w:val="28"/>
        </w:rPr>
        <w:t>„Līdzekļi neparedzētiem gadījumiem””</w:t>
      </w:r>
    </w:p>
    <w:p w:rsidR="004247A3" w:rsidRDefault="004247A3" w:rsidP="001115CF">
      <w:pPr>
        <w:jc w:val="center"/>
        <w:rPr>
          <w:b/>
          <w:bCs/>
          <w:sz w:val="28"/>
          <w:szCs w:val="28"/>
        </w:rPr>
      </w:pPr>
      <w:r w:rsidRPr="00C73D7D">
        <w:rPr>
          <w:sz w:val="28"/>
          <w:szCs w:val="28"/>
        </w:rPr>
        <w:t xml:space="preserve">sākotnējās </w:t>
      </w:r>
      <w:r>
        <w:rPr>
          <w:sz w:val="28"/>
          <w:szCs w:val="28"/>
        </w:rPr>
        <w:t xml:space="preserve">(ex-ante) </w:t>
      </w:r>
      <w:r w:rsidRPr="00C73D7D">
        <w:rPr>
          <w:sz w:val="28"/>
          <w:szCs w:val="28"/>
        </w:rPr>
        <w:t>ietekmes novērtējuma ziņojums</w:t>
      </w:r>
    </w:p>
    <w:p w:rsidR="004247A3" w:rsidRPr="001115CF" w:rsidRDefault="004247A3" w:rsidP="001115CF">
      <w:pPr>
        <w:jc w:val="center"/>
        <w:rPr>
          <w:b/>
          <w:bCs/>
          <w:sz w:val="28"/>
          <w:szCs w:val="28"/>
        </w:rPr>
      </w:pPr>
      <w:r w:rsidRPr="00FB61AF">
        <w:rPr>
          <w:b/>
          <w:bCs/>
          <w:i/>
          <w:iCs/>
          <w:sz w:val="28"/>
          <w:szCs w:val="28"/>
        </w:rPr>
        <w:t>(anotācija)</w:t>
      </w:r>
    </w:p>
    <w:p w:rsidR="004247A3" w:rsidRPr="00DF62C4" w:rsidRDefault="004247A3" w:rsidP="00DF62C4">
      <w:pPr>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0"/>
        <w:gridCol w:w="5219"/>
      </w:tblGrid>
      <w:tr w:rsidR="004247A3">
        <w:trPr>
          <w:jc w:val="center"/>
        </w:trPr>
        <w:tc>
          <w:tcPr>
            <w:tcW w:w="9287" w:type="dxa"/>
            <w:gridSpan w:val="3"/>
          </w:tcPr>
          <w:p w:rsidR="004247A3" w:rsidRPr="00F60FB7" w:rsidRDefault="004247A3" w:rsidP="001B1A87">
            <w:pPr>
              <w:jc w:val="center"/>
            </w:pPr>
            <w:r w:rsidRPr="000226E6">
              <w:rPr>
                <w:b/>
                <w:bCs/>
                <w:sz w:val="22"/>
                <w:szCs w:val="22"/>
              </w:rPr>
              <w:t>I. Tiesību akta projekta izstrādes nepieciešamība</w:t>
            </w:r>
          </w:p>
        </w:tc>
      </w:tr>
      <w:tr w:rsidR="004247A3">
        <w:trPr>
          <w:jc w:val="center"/>
        </w:trPr>
        <w:tc>
          <w:tcPr>
            <w:tcW w:w="648" w:type="dxa"/>
          </w:tcPr>
          <w:p w:rsidR="004247A3" w:rsidRPr="00D9623B" w:rsidRDefault="004247A3" w:rsidP="001B1A87">
            <w:pPr>
              <w:jc w:val="both"/>
            </w:pPr>
            <w:r w:rsidRPr="00D9623B">
              <w:t>1.</w:t>
            </w:r>
          </w:p>
        </w:tc>
        <w:tc>
          <w:tcPr>
            <w:tcW w:w="3420" w:type="dxa"/>
          </w:tcPr>
          <w:p w:rsidR="004247A3" w:rsidRPr="00D9623B" w:rsidRDefault="004247A3" w:rsidP="001B1A87">
            <w:pPr>
              <w:jc w:val="both"/>
            </w:pPr>
            <w:r w:rsidRPr="00D9623B">
              <w:t> Pamatojums</w:t>
            </w:r>
          </w:p>
        </w:tc>
        <w:tc>
          <w:tcPr>
            <w:tcW w:w="5219" w:type="dxa"/>
          </w:tcPr>
          <w:p w:rsidR="004247A3" w:rsidRPr="00F60FB7" w:rsidRDefault="004247A3" w:rsidP="00AD2522">
            <w:pPr>
              <w:ind w:firstLine="329"/>
              <w:jc w:val="both"/>
            </w:pPr>
            <w:r w:rsidRPr="00AD2522">
              <w:t xml:space="preserve">Veselības ministrija, pamatojoties uz Ministru kabineta 2009.gada 22.decembra noteikumu Nr.1644 „Kārtība, kādā pieprasa un izlieto budžeta programmas „Līdzekļi neparedzētiem gadījumiem” līdzekļus” 2. un 3.punktu, ir izstrādājusi Ministru kabineta rīkojuma „Par finanšu līdzekļu piešķiršanu no valsts budžeta programmas „Līdzekļi neparedzētiem gadījumiem”” </w:t>
            </w:r>
            <w:r w:rsidR="00AD2522" w:rsidRPr="00AD2522">
              <w:t xml:space="preserve">projektu </w:t>
            </w:r>
            <w:r w:rsidRPr="00AD2522">
              <w:t>(turpmāk – rīkojuma projekts).</w:t>
            </w:r>
          </w:p>
        </w:tc>
      </w:tr>
      <w:tr w:rsidR="004247A3">
        <w:trPr>
          <w:jc w:val="center"/>
        </w:trPr>
        <w:tc>
          <w:tcPr>
            <w:tcW w:w="648" w:type="dxa"/>
          </w:tcPr>
          <w:p w:rsidR="004247A3" w:rsidRPr="00D9623B" w:rsidRDefault="004247A3" w:rsidP="001B1A87">
            <w:pPr>
              <w:jc w:val="both"/>
            </w:pPr>
            <w:r w:rsidRPr="00D9623B">
              <w:t>2.</w:t>
            </w:r>
          </w:p>
        </w:tc>
        <w:tc>
          <w:tcPr>
            <w:tcW w:w="3420" w:type="dxa"/>
          </w:tcPr>
          <w:p w:rsidR="004247A3" w:rsidRPr="00D9623B" w:rsidRDefault="004247A3" w:rsidP="001B1A87">
            <w:pPr>
              <w:jc w:val="both"/>
            </w:pPr>
            <w:r w:rsidRPr="00D9623B">
              <w:t>Pašreizējā situācija un problēmas</w:t>
            </w:r>
          </w:p>
        </w:tc>
        <w:tc>
          <w:tcPr>
            <w:tcW w:w="5219" w:type="dxa"/>
          </w:tcPr>
          <w:p w:rsidR="004247A3" w:rsidRDefault="004247A3" w:rsidP="002571E4">
            <w:pPr>
              <w:pStyle w:val="tv2131"/>
              <w:spacing w:before="0" w:after="100" w:line="240" w:lineRule="auto"/>
              <w:ind w:firstLine="327"/>
              <w:rPr>
                <w:rFonts w:ascii="Times New Roman" w:hAnsi="Times New Roman" w:cs="Times New Roman"/>
                <w:sz w:val="24"/>
                <w:szCs w:val="24"/>
              </w:rPr>
            </w:pPr>
            <w:r w:rsidRPr="00126749">
              <w:rPr>
                <w:rFonts w:ascii="Times New Roman" w:hAnsi="Times New Roman" w:cs="Times New Roman"/>
                <w:sz w:val="24"/>
                <w:szCs w:val="24"/>
              </w:rPr>
              <w:t>Valsts sabiedrības ar ierobežotu atbildību „Rīgas psihiatrijas un narkoloģijas centrs” (turpmāk – Centrs) Tiesu psihiatrisko ekspertīžu un piespiedu ārstēšanas centrs (turpmāk – TPEPAC)</w:t>
            </w:r>
            <w:r w:rsidRPr="00126749">
              <w:rPr>
                <w:sz w:val="24"/>
                <w:szCs w:val="24"/>
              </w:rPr>
              <w:t xml:space="preserve"> </w:t>
            </w:r>
            <w:r w:rsidRPr="00126749">
              <w:rPr>
                <w:rFonts w:ascii="Times New Roman" w:hAnsi="Times New Roman" w:cs="Times New Roman"/>
                <w:sz w:val="24"/>
                <w:szCs w:val="24"/>
              </w:rPr>
              <w:t xml:space="preserve">ir Centra struktūrvienība </w:t>
            </w:r>
            <w:r w:rsidR="006351AD">
              <w:rPr>
                <w:rFonts w:ascii="Times New Roman" w:hAnsi="Times New Roman" w:cs="Times New Roman"/>
                <w:sz w:val="24"/>
                <w:szCs w:val="24"/>
              </w:rPr>
              <w:t>adresē Laktas iela 6, Rīgā.</w:t>
            </w:r>
            <w:r w:rsidR="007C7F14" w:rsidRPr="00126749">
              <w:rPr>
                <w:rFonts w:ascii="Times New Roman" w:hAnsi="Times New Roman" w:cs="Times New Roman"/>
                <w:sz w:val="24"/>
                <w:szCs w:val="24"/>
              </w:rPr>
              <w:t xml:space="preserve"> </w:t>
            </w:r>
          </w:p>
          <w:p w:rsidR="006351AD" w:rsidRPr="00103CBD" w:rsidRDefault="006351AD" w:rsidP="006351AD">
            <w:pPr>
              <w:pStyle w:val="tv2131"/>
              <w:spacing w:before="0" w:after="100" w:line="240" w:lineRule="auto"/>
              <w:ind w:firstLine="327"/>
              <w:rPr>
                <w:rFonts w:ascii="Times New Roman" w:hAnsi="Times New Roman" w:cs="Times New Roman"/>
                <w:sz w:val="24"/>
                <w:szCs w:val="24"/>
              </w:rPr>
            </w:pPr>
            <w:r w:rsidRPr="00103CBD">
              <w:rPr>
                <w:rFonts w:ascii="Times New Roman" w:hAnsi="Times New Roman" w:cs="Times New Roman"/>
                <w:sz w:val="24"/>
                <w:szCs w:val="24"/>
              </w:rPr>
              <w:t xml:space="preserve">TPEPAC ārstniecības pakalpojumus nodrošina psihiatrijas pacientiem, kuriem tiesa saskaņā ar Krimināllikuma 68.panta pirmās daļas 3. apakšpunktu noteikusi rakstura piespiedu līdzekli – ārstēšanu specializētā psihiatriskajā slimnīcā ( nodaļā) ar apsardzi, t.i. tiesa nosaka ārstēšanās sākumu, ilgumu un ārstēšanās veida un vietas maiņu ( pārvietošanu uz vispārēja tipa psihiatrisko slimnīcu vai nosakot ambulatoru ārstēšanu). Centrs praktiski nevar ietekmēt pacientu atrašanās ilgumu TPEPAC, jo smagi psihiski traucējumi un slimības nereti ilgst visas dzīves garumā un izceļas ar terapeitisku rezistenci pat pret vismodernākajiem medikamentiem. TPEPAC darbības nodrošināšana vajadzīgajā apjomā ir valstiski svarīga funkcija, kas ir nepieciešama sabiedrības drošībai. Pamatojoties uz to, tiek prasīti papildus līdzekļi no budžeta programmas „Līdzekļi neparedzētiem gadījumiem”. TPEPAC  nodrošina: </w:t>
            </w:r>
          </w:p>
          <w:p w:rsidR="004247A3" w:rsidRPr="00126749" w:rsidRDefault="004247A3" w:rsidP="00620348">
            <w:pPr>
              <w:pStyle w:val="tv2131"/>
              <w:numPr>
                <w:ilvl w:val="0"/>
                <w:numId w:val="9"/>
              </w:numPr>
              <w:tabs>
                <w:tab w:val="left" w:pos="468"/>
              </w:tabs>
              <w:spacing w:before="0" w:line="240" w:lineRule="auto"/>
              <w:ind w:left="45" w:firstLine="0"/>
              <w:rPr>
                <w:rFonts w:ascii="Times New Roman" w:hAnsi="Times New Roman" w:cs="Times New Roman"/>
                <w:sz w:val="24"/>
                <w:szCs w:val="24"/>
              </w:rPr>
            </w:pPr>
            <w:r w:rsidRPr="00103CBD">
              <w:rPr>
                <w:rFonts w:ascii="Times New Roman" w:hAnsi="Times New Roman" w:cs="Times New Roman"/>
                <w:sz w:val="24"/>
                <w:szCs w:val="24"/>
              </w:rPr>
              <w:t>Tiesu psihiatriskās ekspertīzes</w:t>
            </w:r>
            <w:r w:rsidRPr="00126749">
              <w:rPr>
                <w:rFonts w:ascii="Times New Roman" w:hAnsi="Times New Roman" w:cs="Times New Roman"/>
                <w:sz w:val="24"/>
                <w:szCs w:val="24"/>
              </w:rPr>
              <w:t xml:space="preserve"> personām, kurām izmeklēšanas tiesnesis vai tiesa ir piemērojusi drošības līdzekli - apcietinājumu, vai kuras izcieš sodu ieslodzījuma vietās un uz ekspertīzes laiku tiek pārvietoti uz TPEPAC;</w:t>
            </w:r>
          </w:p>
          <w:p w:rsidR="004247A3" w:rsidRPr="00126749" w:rsidRDefault="004247A3" w:rsidP="002571E4">
            <w:pPr>
              <w:pStyle w:val="tv2131"/>
              <w:numPr>
                <w:ilvl w:val="0"/>
                <w:numId w:val="9"/>
              </w:numPr>
              <w:tabs>
                <w:tab w:val="left" w:pos="468"/>
              </w:tabs>
              <w:spacing w:before="0" w:line="240" w:lineRule="auto"/>
              <w:ind w:left="45" w:firstLine="0"/>
              <w:rPr>
                <w:rFonts w:ascii="Times New Roman" w:hAnsi="Times New Roman" w:cs="Times New Roman"/>
                <w:sz w:val="24"/>
                <w:szCs w:val="24"/>
              </w:rPr>
            </w:pPr>
            <w:r w:rsidRPr="00126749">
              <w:rPr>
                <w:rFonts w:ascii="Times New Roman" w:hAnsi="Times New Roman" w:cs="Times New Roman"/>
                <w:sz w:val="24"/>
                <w:szCs w:val="24"/>
              </w:rPr>
              <w:t xml:space="preserve">Medicīniska rakstura </w:t>
            </w:r>
            <w:r w:rsidR="0003131D" w:rsidRPr="00126749">
              <w:rPr>
                <w:rFonts w:ascii="Times New Roman" w:hAnsi="Times New Roman" w:cs="Times New Roman"/>
                <w:sz w:val="24"/>
                <w:szCs w:val="24"/>
              </w:rPr>
              <w:t>piespiedu līdzekli - ārstēšanu</w:t>
            </w:r>
            <w:r w:rsidRPr="00126749">
              <w:rPr>
                <w:rFonts w:ascii="Times New Roman" w:hAnsi="Times New Roman" w:cs="Times New Roman"/>
                <w:sz w:val="24"/>
                <w:szCs w:val="24"/>
              </w:rPr>
              <w:t xml:space="preserve"> slēgta tipa (ar apsardzi) psihiatriskā </w:t>
            </w:r>
            <w:r w:rsidRPr="00126749">
              <w:rPr>
                <w:rFonts w:ascii="Times New Roman" w:hAnsi="Times New Roman" w:cs="Times New Roman"/>
                <w:sz w:val="24"/>
                <w:szCs w:val="24"/>
              </w:rPr>
              <w:lastRenderedPageBreak/>
              <w:t>slimnīcā (nodaļā).</w:t>
            </w:r>
          </w:p>
          <w:p w:rsidR="004247A3" w:rsidRPr="00126749" w:rsidRDefault="004247A3" w:rsidP="00A10AE2">
            <w:pPr>
              <w:pStyle w:val="tv2131"/>
              <w:tabs>
                <w:tab w:val="left" w:pos="468"/>
              </w:tabs>
              <w:spacing w:before="0" w:line="240" w:lineRule="auto"/>
              <w:ind w:left="45" w:firstLine="284"/>
              <w:rPr>
                <w:rFonts w:ascii="Times New Roman" w:hAnsi="Times New Roman" w:cs="Times New Roman"/>
                <w:sz w:val="24"/>
                <w:szCs w:val="24"/>
              </w:rPr>
            </w:pPr>
            <w:r w:rsidRPr="00126749">
              <w:rPr>
                <w:rFonts w:ascii="Times New Roman" w:hAnsi="Times New Roman" w:cs="Times New Roman"/>
                <w:sz w:val="24"/>
                <w:szCs w:val="24"/>
              </w:rPr>
              <w:t>TPEPAC darbības nodrošināšanai Centrs saņem tāmes finansējumu</w:t>
            </w:r>
            <w:r w:rsidR="00A10AE2" w:rsidRPr="00126749">
              <w:rPr>
                <w:rFonts w:ascii="Times New Roman" w:hAnsi="Times New Roman" w:cs="Times New Roman"/>
                <w:sz w:val="24"/>
                <w:szCs w:val="24"/>
              </w:rPr>
              <w:t xml:space="preserve"> - ikmēneša fiksētos maksājumus. </w:t>
            </w:r>
          </w:p>
          <w:p w:rsidR="004247A3" w:rsidRPr="00126749" w:rsidRDefault="004247A3" w:rsidP="002571E4">
            <w:pPr>
              <w:pStyle w:val="tv2131"/>
              <w:tabs>
                <w:tab w:val="left" w:pos="468"/>
              </w:tabs>
              <w:spacing w:before="0" w:line="240" w:lineRule="auto"/>
              <w:ind w:left="45" w:firstLine="284"/>
              <w:rPr>
                <w:rFonts w:ascii="Times New Roman" w:hAnsi="Times New Roman" w:cs="Times New Roman"/>
                <w:sz w:val="24"/>
                <w:szCs w:val="24"/>
              </w:rPr>
            </w:pPr>
            <w:r w:rsidRPr="00126749">
              <w:rPr>
                <w:rFonts w:ascii="Times New Roman" w:hAnsi="Times New Roman" w:cs="Times New Roman"/>
                <w:sz w:val="24"/>
                <w:szCs w:val="24"/>
              </w:rPr>
              <w:t xml:space="preserve">Lai Centrs savlaicīgi un </w:t>
            </w:r>
            <w:r w:rsidR="00455C4C" w:rsidRPr="00126749">
              <w:rPr>
                <w:rFonts w:ascii="Times New Roman" w:hAnsi="Times New Roman" w:cs="Times New Roman"/>
                <w:sz w:val="24"/>
                <w:szCs w:val="24"/>
              </w:rPr>
              <w:t>pilnvērtīgi</w:t>
            </w:r>
            <w:r w:rsidR="006B539A" w:rsidRPr="00126749">
              <w:rPr>
                <w:rFonts w:ascii="Times New Roman" w:hAnsi="Times New Roman" w:cs="Times New Roman"/>
                <w:sz w:val="24"/>
                <w:szCs w:val="24"/>
              </w:rPr>
              <w:t xml:space="preserve"> </w:t>
            </w:r>
            <w:r w:rsidR="005B5B3D" w:rsidRPr="00126749">
              <w:rPr>
                <w:rFonts w:ascii="Times New Roman" w:hAnsi="Times New Roman" w:cs="Times New Roman"/>
                <w:sz w:val="24"/>
                <w:szCs w:val="24"/>
              </w:rPr>
              <w:t>nodrošinātu iepriekš minētos uzdevumus</w:t>
            </w:r>
            <w:r w:rsidR="006B539A" w:rsidRPr="00126749">
              <w:rPr>
                <w:rFonts w:ascii="Times New Roman" w:hAnsi="Times New Roman" w:cs="Times New Roman"/>
                <w:sz w:val="24"/>
                <w:szCs w:val="24"/>
              </w:rPr>
              <w:t>,</w:t>
            </w:r>
            <w:r w:rsidRPr="00126749">
              <w:rPr>
                <w:rFonts w:ascii="Times New Roman" w:hAnsi="Times New Roman" w:cs="Times New Roman"/>
                <w:sz w:val="24"/>
                <w:szCs w:val="24"/>
              </w:rPr>
              <w:t xml:space="preserve"> ir nepieciešami papildus līdzekļi:</w:t>
            </w:r>
          </w:p>
          <w:p w:rsidR="004247A3" w:rsidRPr="00103CBD" w:rsidRDefault="004247A3" w:rsidP="00762B71">
            <w:pPr>
              <w:pStyle w:val="tv2131"/>
              <w:numPr>
                <w:ilvl w:val="0"/>
                <w:numId w:val="16"/>
              </w:numPr>
              <w:tabs>
                <w:tab w:val="left" w:pos="327"/>
              </w:tabs>
              <w:spacing w:before="0" w:line="240" w:lineRule="auto"/>
              <w:ind w:left="185" w:hanging="142"/>
              <w:rPr>
                <w:rFonts w:ascii="Times New Roman" w:hAnsi="Times New Roman" w:cs="Times New Roman"/>
                <w:sz w:val="24"/>
                <w:szCs w:val="24"/>
              </w:rPr>
            </w:pPr>
            <w:r w:rsidRPr="00126749">
              <w:rPr>
                <w:rFonts w:ascii="Times New Roman" w:hAnsi="Times New Roman" w:cs="Times New Roman"/>
                <w:sz w:val="24"/>
                <w:szCs w:val="24"/>
              </w:rPr>
              <w:t>TPEPAC Piespiedu ārstēšanas blokā (A blokā) ir paredzēts sniegt ārstniecības pakalpojumus 45 pacientiem un tiesu psihiatrisko ekspertīžu nodaļā ar apsardzi (E blokā) ir paredzēts sniegt ārstniecības pakalpojumus 15 pacientiem.</w:t>
            </w:r>
            <w:r w:rsidRPr="00126749">
              <w:rPr>
                <w:rFonts w:ascii="Courier" w:hAnsi="Courier" w:cs="Courier"/>
                <w:sz w:val="24"/>
                <w:szCs w:val="24"/>
                <w:lang w:eastAsia="en-US"/>
              </w:rPr>
              <w:t xml:space="preserve"> </w:t>
            </w:r>
            <w:r w:rsidRPr="00126749">
              <w:rPr>
                <w:rFonts w:ascii="Times New Roman" w:hAnsi="Times New Roman" w:cs="Times New Roman"/>
                <w:sz w:val="24"/>
                <w:szCs w:val="24"/>
              </w:rPr>
              <w:t>2012. gada decembrī un 2013. gada janvārī pacientu skaits, par kuru piespiedu ārstniecību ir lēmusi tiesa, bija 52 pacients (A bloks). Kā rāda 2012. gada pēdējo mēnešu statistika: septembri – 49 pacienti, oktobrī – 52 pacienti, novembrī – 53 pacienti, decembrī – 52 pacienti, pacientu skaitam, kam ar tiesas nolēmumu noteikta piespiedu ārstniecība nodaļā ar apsardzi, ir tendence pieaugt (A</w:t>
            </w:r>
            <w:r w:rsidR="00717ED1" w:rsidRPr="00126749">
              <w:rPr>
                <w:rFonts w:ascii="Times New Roman" w:hAnsi="Times New Roman" w:cs="Times New Roman"/>
                <w:sz w:val="24"/>
                <w:szCs w:val="24"/>
              </w:rPr>
              <w:t xml:space="preserve"> </w:t>
            </w:r>
            <w:r w:rsidRPr="00126749">
              <w:rPr>
                <w:rFonts w:ascii="Times New Roman" w:hAnsi="Times New Roman" w:cs="Times New Roman"/>
                <w:sz w:val="24"/>
                <w:szCs w:val="24"/>
              </w:rPr>
              <w:t xml:space="preserve">bloks). Ārstēšanās TPEPAC A blokā tiek piemērota pacientiem, kuriem ir smagi garīgi traucējumi un kuri veikuši smagus noziedzīgus nodarījumus pret personu veselību un dzīvību tieši psihisko slimību izraisīto domāšanas un uztveres traucējumu, tieksmju un dziņu atkavēšanās dēļ. Šīs personas ir sociāli bīstamas un nereti nespēj apzināties savu rīcību, viņu agresivitāte un cita neadekvāta rīcība var izpausties jebkurā brīdī. Pacienti nemitīgi ir jāpatur </w:t>
            </w:r>
            <w:r w:rsidRPr="00103CBD">
              <w:rPr>
                <w:rFonts w:ascii="Times New Roman" w:hAnsi="Times New Roman" w:cs="Times New Roman"/>
                <w:sz w:val="24"/>
                <w:szCs w:val="24"/>
              </w:rPr>
              <w:t xml:space="preserve">redzeslokā un personālam jābūt gatavam saskaņotai rīcībai jebkurā brīdī, tie ir uzraugāmi visu diennakti. Šobrīd pacientu skaits </w:t>
            </w:r>
            <w:r w:rsidR="00762B71" w:rsidRPr="00103CBD">
              <w:rPr>
                <w:rFonts w:ascii="Times New Roman" w:hAnsi="Times New Roman" w:cs="Times New Roman"/>
                <w:sz w:val="24"/>
                <w:szCs w:val="24"/>
              </w:rPr>
              <w:t>A blokā par 12%-13 % pārsniedz paredzēto, bet viņu ārstēšanai atbilstošs finansējums nav paredzēts un palielināts. Ir nepieciešams nodrošināt finansējumu septiņām papildus gultu vietām TPEPAC piespiedu ārstēšanas blokā (A blokā). Līdz ar to ir nepieciešams finansējums precēm un pakalpojumiem septiņām papildus gultu vietām   TPEPAC Piespiedu ārstēšanas blokā (A</w:t>
            </w:r>
            <w:r w:rsidR="00762B71" w:rsidRPr="00762B71">
              <w:rPr>
                <w:rFonts w:ascii="Times New Roman" w:hAnsi="Times New Roman" w:cs="Times New Roman"/>
                <w:sz w:val="24"/>
                <w:szCs w:val="24"/>
              </w:rPr>
              <w:t xml:space="preserve"> blokā).</w:t>
            </w:r>
            <w:r w:rsidR="00762B71">
              <w:rPr>
                <w:rFonts w:ascii="Times New Roman" w:hAnsi="Times New Roman" w:cs="Times New Roman"/>
                <w:color w:val="FF0000"/>
                <w:sz w:val="24"/>
                <w:szCs w:val="24"/>
              </w:rPr>
              <w:t xml:space="preserve"> </w:t>
            </w:r>
            <w:r w:rsidRPr="00762B71">
              <w:rPr>
                <w:rFonts w:ascii="Times New Roman" w:hAnsi="Times New Roman" w:cs="Times New Roman"/>
                <w:sz w:val="24"/>
                <w:szCs w:val="24"/>
              </w:rPr>
              <w:t xml:space="preserve">Centra esošais, skaitliski nepietiekamais, personāls veic psiholoģiski smagu darbu īpaša riska apstākļos. Ja Centra vispārējā tipa psihiatrijas stacionāra nodaļās vidēji uz 30 pacientiem ir 2 ārsti-psihiatri, tad TPEPAC A blokā tāds pats ārstu skaits sniedz veselības aprūpes pakalpojumus 45 – 52 pacientiem. Taču galvenokārt ir risināms jautājums par vidējā medicīniskā un jaunākā medicīniskā personāla </w:t>
            </w:r>
            <w:r w:rsidRPr="00762B71">
              <w:rPr>
                <w:rFonts w:ascii="Times New Roman" w:hAnsi="Times New Roman" w:cs="Times New Roman"/>
                <w:sz w:val="24"/>
                <w:szCs w:val="24"/>
              </w:rPr>
              <w:lastRenderedPageBreak/>
              <w:t xml:space="preserve">skaita palielināšanu. Centrs, cenšoties iekļauties TPEPAC piešķirtajā finansējumā, līdz minimumam samazinājis izdevumus personāla atalgojumam, samazinot gan personāla skaitu posteņos, gan darba samaksas apmēru. Tā laika periodā kopš 2008. gada atalgojuma fonds ir samazināts par 45 %. Ir nepieciešams TPEPAC akūtajos un subakūtajos posteņos nodrošināt tādu personāla skaitu, lai </w:t>
            </w:r>
            <w:r w:rsidRPr="00103CBD">
              <w:rPr>
                <w:rFonts w:ascii="Times New Roman" w:hAnsi="Times New Roman" w:cs="Times New Roman"/>
                <w:sz w:val="24"/>
                <w:szCs w:val="24"/>
              </w:rPr>
              <w:t xml:space="preserve">katra posteņa diennakts uzraudzībai būtu iespējama 3 darbinieku klātbūtne diennakts režīmā. Sakarā ar to ir nepieciešams </w:t>
            </w:r>
            <w:r w:rsidR="00BE3F74" w:rsidRPr="00103CBD">
              <w:rPr>
                <w:rFonts w:ascii="Times New Roman" w:hAnsi="Times New Roman" w:cs="Times New Roman"/>
                <w:sz w:val="24"/>
                <w:szCs w:val="24"/>
              </w:rPr>
              <w:t xml:space="preserve">finansējums, lai </w:t>
            </w:r>
            <w:r w:rsidRPr="00103CBD">
              <w:rPr>
                <w:rFonts w:ascii="Times New Roman" w:hAnsi="Times New Roman" w:cs="Times New Roman"/>
                <w:sz w:val="24"/>
                <w:szCs w:val="24"/>
              </w:rPr>
              <w:t>ieviest</w:t>
            </w:r>
            <w:r w:rsidR="00BE3F74" w:rsidRPr="00103CBD">
              <w:rPr>
                <w:rFonts w:ascii="Times New Roman" w:hAnsi="Times New Roman" w:cs="Times New Roman"/>
                <w:sz w:val="24"/>
                <w:szCs w:val="24"/>
              </w:rPr>
              <w:t>u</w:t>
            </w:r>
            <w:r w:rsidRPr="00103CBD">
              <w:rPr>
                <w:rFonts w:ascii="Times New Roman" w:hAnsi="Times New Roman" w:cs="Times New Roman"/>
                <w:sz w:val="24"/>
                <w:szCs w:val="24"/>
              </w:rPr>
              <w:t xml:space="preserve"> papildus 16 štata vietas</w:t>
            </w:r>
            <w:r w:rsidR="00BE3F74" w:rsidRPr="00103CBD">
              <w:rPr>
                <w:rFonts w:ascii="Times New Roman" w:hAnsi="Times New Roman" w:cs="Times New Roman"/>
                <w:sz w:val="24"/>
                <w:szCs w:val="24"/>
              </w:rPr>
              <w:t xml:space="preserve"> septiņām papildus gultu vietām TPEPAC Piespiedu ārstēšanas blokā (A blokā)</w:t>
            </w:r>
            <w:r w:rsidRPr="00103CBD">
              <w:rPr>
                <w:rFonts w:ascii="Times New Roman" w:hAnsi="Times New Roman" w:cs="Times New Roman"/>
                <w:sz w:val="24"/>
                <w:szCs w:val="24"/>
              </w:rPr>
              <w:t xml:space="preserve">. </w:t>
            </w:r>
          </w:p>
          <w:p w:rsidR="00644B05" w:rsidRDefault="004247A3" w:rsidP="00762B71">
            <w:pPr>
              <w:pStyle w:val="tv2131"/>
              <w:numPr>
                <w:ilvl w:val="0"/>
                <w:numId w:val="16"/>
              </w:numPr>
              <w:tabs>
                <w:tab w:val="left" w:pos="327"/>
              </w:tabs>
              <w:spacing w:before="0" w:line="240" w:lineRule="auto"/>
              <w:ind w:left="185" w:hanging="142"/>
              <w:rPr>
                <w:rFonts w:ascii="Times New Roman" w:hAnsi="Times New Roman" w:cs="Times New Roman"/>
                <w:sz w:val="24"/>
                <w:szCs w:val="24"/>
              </w:rPr>
            </w:pPr>
            <w:r w:rsidRPr="00103CBD">
              <w:rPr>
                <w:rFonts w:ascii="Times New Roman" w:hAnsi="Times New Roman" w:cs="Times New Roman"/>
                <w:sz w:val="24"/>
                <w:szCs w:val="24"/>
              </w:rPr>
              <w:t>TPEPAC pastāvīgi jādomā par drošības sistēmu atjaunošanu un uzlabošanu, turklāt spiestā kārtā pastāvīgi jālabo un jāmaina pacientu sabojātais</w:t>
            </w:r>
            <w:r w:rsidRPr="00126749">
              <w:rPr>
                <w:rFonts w:ascii="Times New Roman" w:hAnsi="Times New Roman" w:cs="Times New Roman"/>
                <w:sz w:val="24"/>
                <w:szCs w:val="24"/>
              </w:rPr>
              <w:t xml:space="preserve"> inventārs un ierīces (logu remonts, ūdenskrāni, mēbeles u.c.), pie tam jālieto augstas kvalitātes, pret vandālismu pēc iespējas drošāki izstrādājumi, lai novērstu pacientu pašsavainošanās iespējas. Šo iemeslu dēļ nepieciešams papildināt videonovērošanas iespējas, jāveido dubults žogs apsardzes pilnveidošanai, lai pēc iespējas izvairītos no pēdējā laikā pasauli pārpludinošu garīgi nelīdzsvarotu personu noziedzīgu nodarījumu pieauguma arī Latvijā. TPEPAC ir Valsts policijas apsargājams objekts. Perimetra apsardzei un videonovērošanas nodrošināšanā tiek izmantoti Centra tehniskie līdzekļi, kuri regulāri jāatjauno un jāpilnveido.  Centrs ir saņēmis Valsts policijas galvenās Kārtības policijas Speciālo objektu apsardzes pārvaldes vēstuli, kurā minētā tehnisko līdzekļu kopuma nepieciešamība ir neapstrīdama, taču to iegādei nepieciešami ievērojami finanšu līdzekļi. Valsts policijas vēstulē norādīts, ka pacientu pastaigu laukums jānorobežo no siltumnīcas un saimniecības daļas ar žogu un  ir jāveic videonovērošanas sistēmas pārbūve, perimetra drošības sistēmas pārbūve un papildināšana. Avārijas stāvoklī šobrīd ir automašīnu stāvlaukums TPEPAC teritorijā, kas nepieciešams transportlīdzekļu novietošanai, veicot saimniecisko darbību, un ekspertējamo personu, un pacientu konvojēšanas transportam. Lielākajā stāvlaukuma daļā asfalts ir iegulis zemāk par stāvlaukuma līmeni. Iespējams, zem asfalta ir izskalota grunts un izveidojies tukšums, </w:t>
            </w:r>
            <w:r w:rsidRPr="00126749">
              <w:rPr>
                <w:rFonts w:ascii="Times New Roman" w:hAnsi="Times New Roman" w:cs="Times New Roman"/>
                <w:sz w:val="24"/>
                <w:szCs w:val="24"/>
              </w:rPr>
              <w:lastRenderedPageBreak/>
              <w:t>kas var draudēt ar stāvlaukuma iebrukšanu. Lai novērstu pacientu neatļautu pārvietošanos pa A bloka telpām, ir nepieciešams izveidot piekļuves kontroles sistēmu durvīm, kas ļautu durvju atvēršanu iespējamu vienīgi personālam, un novērstu pacientu bēgšanas mēģinājumus. Dažādu faktoru ietekmē bojājušies, kļuvuši lietošanai nederīgi un ir regulāri rekonstruējami vai maināmi logi un durvis. Tas viss prasa papildus līdzekļus.</w:t>
            </w:r>
          </w:p>
          <w:p w:rsidR="009D0BE6" w:rsidRPr="00644B05" w:rsidRDefault="009D0BE6" w:rsidP="00762B71">
            <w:pPr>
              <w:pStyle w:val="tv2131"/>
              <w:numPr>
                <w:ilvl w:val="0"/>
                <w:numId w:val="16"/>
              </w:numPr>
              <w:tabs>
                <w:tab w:val="left" w:pos="327"/>
              </w:tabs>
              <w:spacing w:before="0" w:line="240" w:lineRule="auto"/>
              <w:ind w:left="185" w:hanging="142"/>
              <w:rPr>
                <w:rFonts w:ascii="Times New Roman" w:hAnsi="Times New Roman" w:cs="Times New Roman"/>
                <w:sz w:val="24"/>
                <w:szCs w:val="24"/>
              </w:rPr>
            </w:pPr>
            <w:r w:rsidRPr="00644B05">
              <w:rPr>
                <w:rFonts w:ascii="Times New Roman" w:hAnsi="Times New Roman" w:cs="Times New Roman"/>
                <w:sz w:val="24"/>
                <w:szCs w:val="24"/>
              </w:rPr>
              <w:t>Centrs saskaņā ar 2007.gada 13.novembra Ministru kabineta noteikumiem Nr.753 „Noteikumi par tiesu ekspertīžu iestāžu sarakstu” ir tiesīga veikt tiesu psihiatriskās, kompleksās un tiesu psiholoģiskās ekspertīzes.</w:t>
            </w:r>
            <w:r w:rsidR="00644B05">
              <w:rPr>
                <w:rFonts w:ascii="Times New Roman" w:hAnsi="Times New Roman" w:cs="Times New Roman"/>
                <w:sz w:val="24"/>
                <w:szCs w:val="24"/>
              </w:rPr>
              <w:t xml:space="preserve"> </w:t>
            </w:r>
            <w:r w:rsidRPr="00644B05">
              <w:rPr>
                <w:rFonts w:ascii="Times New Roman" w:hAnsi="Times New Roman" w:cs="Times New Roman"/>
                <w:sz w:val="24"/>
                <w:szCs w:val="24"/>
              </w:rPr>
              <w:t>Centra ambulatorā līguma pakalpojuma programmā „Tiesu psihiatriskā un psiholoģiskā ekspertīze” ir nepietiekams finansējums un savlaicīgi nevar tikt veiktas pieteiktās tiesu psihiatriskās ekspertīzes gan pieaugušajiem, gan bērniem. Pēdējo gadu laikā pieaug ambulatoro tiesu psihiatrisko ekspertīžu skaits. Jau 2012.gadā piešķirto kvotu daudzums bija nepietiekams un vidēji uz vienu ekspertīzi bija jāgaida 2-3 mēneši. 2013.gadā rindas pieraksts ambulatorajām tiesu ekspertīzēm ir izveidojies turpmākajiem 2 mēnešiem. Šāda situācija ir nepieļaujama, jo procesa virzītāja lēmums par ekspertīzes noteikšanu ir jāpilda nekavējoties (saskaņā ar Kriminālprocesa likumu). Jāņem vērā, ka 2013.gadā paredzams liels ekspertīžu pieprasījums civillietās personu rīcības spēju ierobežošanas lietās, kas divu gadu garumā netika veiktas sakarā ar grozījumu veikšanu Civillikumā un Civilprocesa likumā. Īpaši jāuzsver, ka rindā jāgaida arī ekspertējamajiem bērniem un pusaudžiem.</w:t>
            </w:r>
          </w:p>
        </w:tc>
      </w:tr>
      <w:tr w:rsidR="004247A3">
        <w:trPr>
          <w:jc w:val="center"/>
        </w:trPr>
        <w:tc>
          <w:tcPr>
            <w:tcW w:w="648" w:type="dxa"/>
          </w:tcPr>
          <w:p w:rsidR="004247A3" w:rsidRPr="00D9623B" w:rsidRDefault="004247A3" w:rsidP="001B1A87">
            <w:pPr>
              <w:jc w:val="both"/>
            </w:pPr>
            <w:r w:rsidRPr="00D9623B">
              <w:lastRenderedPageBreak/>
              <w:t>3.</w:t>
            </w:r>
          </w:p>
        </w:tc>
        <w:tc>
          <w:tcPr>
            <w:tcW w:w="3420" w:type="dxa"/>
          </w:tcPr>
          <w:p w:rsidR="004247A3" w:rsidRPr="00D9623B" w:rsidRDefault="004247A3" w:rsidP="001B1A87">
            <w:pPr>
              <w:jc w:val="both"/>
            </w:pPr>
            <w:r w:rsidRPr="00D9623B">
              <w:t>Saistītie politikas ietekmes novērtējumi un pētījumi</w:t>
            </w:r>
          </w:p>
        </w:tc>
        <w:tc>
          <w:tcPr>
            <w:tcW w:w="5219" w:type="dxa"/>
          </w:tcPr>
          <w:p w:rsidR="004247A3" w:rsidRPr="00126749" w:rsidRDefault="004247A3" w:rsidP="001B1A87">
            <w:pPr>
              <w:jc w:val="both"/>
            </w:pPr>
            <w:r w:rsidRPr="00126749">
              <w:t>Projekts šo jomu neskar.</w:t>
            </w:r>
          </w:p>
        </w:tc>
      </w:tr>
      <w:tr w:rsidR="004247A3" w:rsidRPr="00104184">
        <w:trPr>
          <w:jc w:val="center"/>
        </w:trPr>
        <w:tc>
          <w:tcPr>
            <w:tcW w:w="648" w:type="dxa"/>
          </w:tcPr>
          <w:p w:rsidR="004247A3" w:rsidRPr="00D9623B" w:rsidRDefault="004247A3" w:rsidP="001B1A87">
            <w:pPr>
              <w:jc w:val="both"/>
            </w:pPr>
            <w:r w:rsidRPr="00D9623B">
              <w:t>4.</w:t>
            </w:r>
          </w:p>
        </w:tc>
        <w:tc>
          <w:tcPr>
            <w:tcW w:w="3420" w:type="dxa"/>
          </w:tcPr>
          <w:p w:rsidR="004247A3" w:rsidRPr="00D9623B" w:rsidRDefault="004247A3" w:rsidP="001B1A87">
            <w:pPr>
              <w:jc w:val="both"/>
            </w:pPr>
            <w:r w:rsidRPr="00D9623B">
              <w:t>Tiesiskā regulējuma mērķis un būtība</w:t>
            </w:r>
          </w:p>
        </w:tc>
        <w:tc>
          <w:tcPr>
            <w:tcW w:w="5219" w:type="dxa"/>
          </w:tcPr>
          <w:p w:rsidR="00620348" w:rsidRPr="00126749" w:rsidRDefault="004247A3" w:rsidP="008C1EAE">
            <w:pPr>
              <w:pStyle w:val="BodyText2"/>
              <w:spacing w:line="240" w:lineRule="auto"/>
              <w:ind w:firstLine="327"/>
              <w:jc w:val="both"/>
            </w:pPr>
            <w:r w:rsidRPr="00126749">
              <w:t>Rīkojuma projekts paredz Finanšu ministrijai no valsts pamatbudžeta programmas 02.00.00 „Līdzekļi neparedzētiem gadījumiem” piešķirt Veselības ministrijai nepieciešamo papildu finansējumu 114 276 lata apmērā budžeta programmai 99.00.00 „Līdzekļi neparedzētiem gadījumiem izlietojums”, lai Veselības ministrijas padotības iestāde – Nacionālais veselības dienests pārskaitītu finansējumu Centram</w:t>
            </w:r>
            <w:r w:rsidR="00620348" w:rsidRPr="00126749">
              <w:t>, lai tas pilnvērtīgi nodrošinātu:</w:t>
            </w:r>
          </w:p>
          <w:p w:rsidR="00620348" w:rsidRPr="00126749" w:rsidRDefault="00620348" w:rsidP="00620348">
            <w:pPr>
              <w:pStyle w:val="tv2131"/>
              <w:numPr>
                <w:ilvl w:val="0"/>
                <w:numId w:val="12"/>
              </w:numPr>
              <w:tabs>
                <w:tab w:val="left" w:pos="185"/>
                <w:tab w:val="left" w:pos="327"/>
              </w:tabs>
              <w:spacing w:before="0" w:line="240" w:lineRule="auto"/>
              <w:ind w:left="185" w:hanging="142"/>
              <w:rPr>
                <w:rFonts w:ascii="Times New Roman" w:hAnsi="Times New Roman" w:cs="Times New Roman"/>
                <w:sz w:val="24"/>
                <w:szCs w:val="24"/>
              </w:rPr>
            </w:pPr>
            <w:r w:rsidRPr="00126749">
              <w:rPr>
                <w:rFonts w:ascii="Times New Roman" w:hAnsi="Times New Roman" w:cs="Times New Roman"/>
                <w:sz w:val="24"/>
                <w:szCs w:val="24"/>
              </w:rPr>
              <w:t xml:space="preserve">tiesu psihiatriskās ekspertīzes personām, kurām </w:t>
            </w:r>
            <w:r w:rsidRPr="00126749">
              <w:rPr>
                <w:rFonts w:ascii="Times New Roman" w:hAnsi="Times New Roman" w:cs="Times New Roman"/>
                <w:sz w:val="24"/>
                <w:szCs w:val="24"/>
              </w:rPr>
              <w:lastRenderedPageBreak/>
              <w:t>izmeklēšanas tiesnesis vai tiesa ir piemērojusi drošības līdzekli - apcietinājumu, vai kuras izcieš sodu ieslodzījuma vietās un uz ekspertīzes laiku tiek pārvietoti uz TPEPAC;</w:t>
            </w:r>
          </w:p>
          <w:p w:rsidR="00620348" w:rsidRPr="00126749" w:rsidRDefault="00244147" w:rsidP="00620348">
            <w:pPr>
              <w:pStyle w:val="tv2131"/>
              <w:numPr>
                <w:ilvl w:val="0"/>
                <w:numId w:val="12"/>
              </w:numPr>
              <w:tabs>
                <w:tab w:val="left" w:pos="185"/>
                <w:tab w:val="left" w:pos="327"/>
              </w:tabs>
              <w:spacing w:before="0" w:line="240" w:lineRule="auto"/>
              <w:ind w:left="185" w:hanging="142"/>
              <w:rPr>
                <w:rFonts w:ascii="Times New Roman" w:hAnsi="Times New Roman" w:cs="Times New Roman"/>
                <w:sz w:val="24"/>
                <w:szCs w:val="24"/>
              </w:rPr>
            </w:pPr>
            <w:r>
              <w:rPr>
                <w:rFonts w:ascii="Times New Roman" w:hAnsi="Times New Roman" w:cs="Times New Roman"/>
                <w:sz w:val="24"/>
                <w:szCs w:val="24"/>
              </w:rPr>
              <w:t>m</w:t>
            </w:r>
            <w:r w:rsidR="00620348" w:rsidRPr="00126749">
              <w:rPr>
                <w:rFonts w:ascii="Times New Roman" w:hAnsi="Times New Roman" w:cs="Times New Roman"/>
                <w:sz w:val="24"/>
                <w:szCs w:val="24"/>
              </w:rPr>
              <w:t>edicīniska rakstura piespiedu līdzekli - ārstēšanu slēgta tipa (ar apsardzi) psihiatriskā slimnīcā (nodaļā);</w:t>
            </w:r>
          </w:p>
          <w:p w:rsidR="00A10897" w:rsidRPr="00126749" w:rsidRDefault="00620348" w:rsidP="00620348">
            <w:pPr>
              <w:pStyle w:val="tv2131"/>
              <w:numPr>
                <w:ilvl w:val="0"/>
                <w:numId w:val="12"/>
              </w:numPr>
              <w:tabs>
                <w:tab w:val="left" w:pos="185"/>
                <w:tab w:val="left" w:pos="327"/>
              </w:tabs>
              <w:spacing w:before="0" w:line="240" w:lineRule="auto"/>
              <w:ind w:left="185" w:hanging="142"/>
              <w:rPr>
                <w:rFonts w:ascii="Times New Roman" w:hAnsi="Times New Roman" w:cs="Times New Roman"/>
                <w:sz w:val="24"/>
                <w:szCs w:val="24"/>
              </w:rPr>
            </w:pPr>
            <w:r w:rsidRPr="00126749">
              <w:rPr>
                <w:rFonts w:ascii="Times New Roman" w:hAnsi="Times New Roman" w:cs="Times New Roman"/>
                <w:sz w:val="24"/>
                <w:szCs w:val="24"/>
              </w:rPr>
              <w:t>tiesu psihiatrisko ekspertīžu savlaicīgu veikšanu gan bērniem, gan pieaugušajiem</w:t>
            </w:r>
            <w:r w:rsidR="00154A46" w:rsidRPr="00126749">
              <w:rPr>
                <w:rFonts w:ascii="Times New Roman" w:hAnsi="Times New Roman" w:cs="Times New Roman"/>
                <w:sz w:val="24"/>
                <w:szCs w:val="24"/>
              </w:rPr>
              <w:t xml:space="preserve"> ambulatorā līguma pakalpojuma programmā „Tiesu psihiatriskā un psiholoģiskā ekspertīze”</w:t>
            </w:r>
            <w:r w:rsidRPr="00126749">
              <w:rPr>
                <w:rFonts w:ascii="Times New Roman" w:hAnsi="Times New Roman" w:cs="Times New Roman"/>
                <w:sz w:val="24"/>
                <w:szCs w:val="24"/>
              </w:rPr>
              <w:t xml:space="preserve">. </w:t>
            </w:r>
          </w:p>
          <w:p w:rsidR="004247A3" w:rsidRPr="00126749" w:rsidRDefault="004247A3" w:rsidP="00104184">
            <w:pPr>
              <w:pStyle w:val="NormalWeb"/>
              <w:spacing w:before="0" w:beforeAutospacing="0" w:after="0"/>
              <w:ind w:firstLine="327"/>
              <w:jc w:val="both"/>
            </w:pPr>
            <w:r w:rsidRPr="00126749">
              <w:t>Noteikumu projekts pilnībā atrisinās anotācijas I sadaļas 2.punktā minētās problēmas.</w:t>
            </w:r>
          </w:p>
        </w:tc>
      </w:tr>
      <w:tr w:rsidR="004247A3" w:rsidRPr="00104184">
        <w:trPr>
          <w:jc w:val="center"/>
        </w:trPr>
        <w:tc>
          <w:tcPr>
            <w:tcW w:w="648" w:type="dxa"/>
          </w:tcPr>
          <w:p w:rsidR="004247A3" w:rsidRPr="00104184" w:rsidRDefault="004247A3" w:rsidP="001B1A87">
            <w:pPr>
              <w:jc w:val="both"/>
            </w:pPr>
            <w:r w:rsidRPr="00104184">
              <w:rPr>
                <w:sz w:val="22"/>
                <w:szCs w:val="22"/>
              </w:rPr>
              <w:lastRenderedPageBreak/>
              <w:t>5.</w:t>
            </w:r>
          </w:p>
        </w:tc>
        <w:tc>
          <w:tcPr>
            <w:tcW w:w="3420" w:type="dxa"/>
          </w:tcPr>
          <w:p w:rsidR="004247A3" w:rsidRPr="00D9623B" w:rsidRDefault="004247A3" w:rsidP="001B1A87">
            <w:pPr>
              <w:jc w:val="both"/>
            </w:pPr>
            <w:r w:rsidRPr="00D9623B">
              <w:t>Projekta izstrādē iesaistītās institūcijas</w:t>
            </w:r>
          </w:p>
        </w:tc>
        <w:tc>
          <w:tcPr>
            <w:tcW w:w="5219" w:type="dxa"/>
          </w:tcPr>
          <w:p w:rsidR="004247A3" w:rsidRPr="00126749" w:rsidRDefault="004247A3" w:rsidP="00A803C1">
            <w:pPr>
              <w:ind w:firstLine="327"/>
              <w:jc w:val="both"/>
            </w:pPr>
            <w:r w:rsidRPr="00126749">
              <w:t> Rīkojuma projekta izstrādē tika iesaistīts Nacionālais veselības dienests un Centrs.</w:t>
            </w:r>
          </w:p>
        </w:tc>
      </w:tr>
      <w:tr w:rsidR="004247A3" w:rsidRPr="00104184">
        <w:trPr>
          <w:jc w:val="center"/>
        </w:trPr>
        <w:tc>
          <w:tcPr>
            <w:tcW w:w="648" w:type="dxa"/>
          </w:tcPr>
          <w:p w:rsidR="004247A3" w:rsidRPr="00104184" w:rsidRDefault="004247A3" w:rsidP="001B1A87">
            <w:pPr>
              <w:jc w:val="both"/>
            </w:pPr>
            <w:r w:rsidRPr="00104184">
              <w:rPr>
                <w:sz w:val="22"/>
                <w:szCs w:val="22"/>
              </w:rPr>
              <w:t>6.</w:t>
            </w:r>
          </w:p>
        </w:tc>
        <w:tc>
          <w:tcPr>
            <w:tcW w:w="3420" w:type="dxa"/>
          </w:tcPr>
          <w:p w:rsidR="004247A3" w:rsidRPr="00D9623B" w:rsidRDefault="004247A3" w:rsidP="001B1A87">
            <w:pPr>
              <w:jc w:val="both"/>
            </w:pPr>
            <w:r w:rsidRPr="00D9623B">
              <w:t>Iemesli, kādēļ netika nodrošināta sabiedrības līdzdalība</w:t>
            </w:r>
          </w:p>
        </w:tc>
        <w:tc>
          <w:tcPr>
            <w:tcW w:w="5219" w:type="dxa"/>
          </w:tcPr>
          <w:p w:rsidR="00436E9B" w:rsidRPr="00126749" w:rsidRDefault="004247A3" w:rsidP="00436E9B">
            <w:pPr>
              <w:tabs>
                <w:tab w:val="right" w:pos="2127"/>
                <w:tab w:val="left" w:pos="2410"/>
                <w:tab w:val="right" w:leader="underscore" w:pos="4820"/>
              </w:tabs>
              <w:ind w:firstLine="327"/>
              <w:jc w:val="both"/>
            </w:pPr>
            <w:r w:rsidRPr="00126749">
              <w:t>Rīkojuma projekts nav saistošs plašam sabiedrības lokam. Turklāt rīkojuma projekts neparedz negatīvu ietekmi uz sabiedrību, tieši otrādi tiek meklēti papildus līdzekļi tiesu psihiatrisko ekspertīžu nodrošināšanai, kā rezultātā  varēs savlaicīgi veikt pieteiktās tiesu psihiatriskās ekspertīzes un izveidojusies rinda tiktu likvidēta un</w:t>
            </w:r>
            <w:r w:rsidR="00436E9B" w:rsidRPr="00126749">
              <w:t>, lai</w:t>
            </w:r>
            <w:r w:rsidRPr="00126749">
              <w:t xml:space="preserve"> Centr</w:t>
            </w:r>
            <w:r w:rsidR="00436E9B" w:rsidRPr="00126749">
              <w:t>s varētu sekmīgi sniegt ārs</w:t>
            </w:r>
            <w:r w:rsidR="00DC2E80">
              <w:t>t</w:t>
            </w:r>
            <w:r w:rsidR="00436E9B" w:rsidRPr="00126749">
              <w:t>niecības pakalpojumus pacientiem, nodrošinot drošību gan pacientiem, gan ārs</w:t>
            </w:r>
            <w:r w:rsidR="00DC2E80">
              <w:t>t</w:t>
            </w:r>
            <w:r w:rsidR="00436E9B" w:rsidRPr="00126749">
              <w:t>niecības personālam.</w:t>
            </w:r>
          </w:p>
        </w:tc>
      </w:tr>
      <w:tr w:rsidR="004247A3" w:rsidRPr="00104184">
        <w:trPr>
          <w:jc w:val="center"/>
        </w:trPr>
        <w:tc>
          <w:tcPr>
            <w:tcW w:w="648" w:type="dxa"/>
          </w:tcPr>
          <w:p w:rsidR="004247A3" w:rsidRPr="00D9623B" w:rsidRDefault="004247A3" w:rsidP="001B1A87">
            <w:pPr>
              <w:jc w:val="both"/>
            </w:pPr>
            <w:r w:rsidRPr="00D9623B">
              <w:t>7.</w:t>
            </w:r>
          </w:p>
        </w:tc>
        <w:tc>
          <w:tcPr>
            <w:tcW w:w="3420" w:type="dxa"/>
          </w:tcPr>
          <w:p w:rsidR="004247A3" w:rsidRPr="00D9623B" w:rsidRDefault="004247A3" w:rsidP="001B1A87">
            <w:pPr>
              <w:jc w:val="both"/>
            </w:pPr>
            <w:r w:rsidRPr="00D9623B">
              <w:t>Cita informācija</w:t>
            </w:r>
          </w:p>
        </w:tc>
        <w:tc>
          <w:tcPr>
            <w:tcW w:w="5219" w:type="dxa"/>
          </w:tcPr>
          <w:p w:rsidR="004247A3" w:rsidRPr="00D9623B" w:rsidRDefault="004247A3" w:rsidP="001B1A87">
            <w:pPr>
              <w:jc w:val="both"/>
            </w:pPr>
            <w:r w:rsidRPr="00D9623B">
              <w:t>Nav</w:t>
            </w:r>
          </w:p>
          <w:p w:rsidR="004247A3" w:rsidRPr="00D9623B" w:rsidRDefault="004247A3" w:rsidP="001B1A87">
            <w:pPr>
              <w:jc w:val="both"/>
            </w:pPr>
          </w:p>
        </w:tc>
      </w:tr>
    </w:tbl>
    <w:p w:rsidR="004247A3" w:rsidRPr="00104184" w:rsidRDefault="004247A3" w:rsidP="00745F6C">
      <w:pPr>
        <w:jc w:val="both"/>
      </w:pPr>
      <w:r w:rsidRPr="00104184">
        <w: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260"/>
        <w:gridCol w:w="1440"/>
        <w:gridCol w:w="1440"/>
        <w:gridCol w:w="1440"/>
        <w:gridCol w:w="1440"/>
      </w:tblGrid>
      <w:tr w:rsidR="004247A3" w:rsidRPr="00104184">
        <w:tc>
          <w:tcPr>
            <w:tcW w:w="9288" w:type="dxa"/>
            <w:gridSpan w:val="6"/>
          </w:tcPr>
          <w:p w:rsidR="004247A3" w:rsidRPr="00D9623B" w:rsidRDefault="004247A3" w:rsidP="001B1A87">
            <w:pPr>
              <w:jc w:val="center"/>
            </w:pPr>
            <w:r w:rsidRPr="00D9623B">
              <w:rPr>
                <w:b/>
                <w:bCs/>
              </w:rPr>
              <w:t>III. Tiesību akta projekta ietekme uz valsts budžetu un pašvaldību budžetiem</w:t>
            </w:r>
          </w:p>
        </w:tc>
      </w:tr>
      <w:tr w:rsidR="004247A3" w:rsidRPr="00104184">
        <w:tc>
          <w:tcPr>
            <w:tcW w:w="2268" w:type="dxa"/>
            <w:vMerge w:val="restart"/>
          </w:tcPr>
          <w:p w:rsidR="004247A3" w:rsidRPr="00D9623B" w:rsidRDefault="004247A3" w:rsidP="001B1A87">
            <w:pPr>
              <w:jc w:val="center"/>
            </w:pPr>
            <w:r w:rsidRPr="00D9623B">
              <w:rPr>
                <w:b/>
                <w:bCs/>
              </w:rPr>
              <w:t>Rādītāji</w:t>
            </w:r>
          </w:p>
        </w:tc>
        <w:tc>
          <w:tcPr>
            <w:tcW w:w="2700" w:type="dxa"/>
            <w:gridSpan w:val="2"/>
            <w:vMerge w:val="restart"/>
          </w:tcPr>
          <w:p w:rsidR="004247A3" w:rsidRPr="00D9623B" w:rsidRDefault="004247A3" w:rsidP="001B1A87">
            <w:pPr>
              <w:jc w:val="center"/>
            </w:pPr>
            <w:r w:rsidRPr="00D9623B">
              <w:rPr>
                <w:b/>
                <w:bCs/>
              </w:rPr>
              <w:t>2013.gads</w:t>
            </w:r>
          </w:p>
        </w:tc>
        <w:tc>
          <w:tcPr>
            <w:tcW w:w="4320" w:type="dxa"/>
            <w:gridSpan w:val="3"/>
          </w:tcPr>
          <w:p w:rsidR="004247A3" w:rsidRPr="00D9623B" w:rsidRDefault="004247A3" w:rsidP="001B1A87">
            <w:pPr>
              <w:tabs>
                <w:tab w:val="left" w:pos="3480"/>
              </w:tabs>
              <w:jc w:val="center"/>
              <w:rPr>
                <w:b/>
                <w:bCs/>
              </w:rPr>
            </w:pPr>
            <w:r w:rsidRPr="00D9623B">
              <w:rPr>
                <w:b/>
                <w:bCs/>
              </w:rPr>
              <w:t>Turpmākie trīs gadi (tūkst. latu)</w:t>
            </w:r>
          </w:p>
        </w:tc>
      </w:tr>
      <w:tr w:rsidR="004247A3" w:rsidRPr="00104184">
        <w:tc>
          <w:tcPr>
            <w:tcW w:w="2268" w:type="dxa"/>
            <w:vMerge/>
          </w:tcPr>
          <w:p w:rsidR="004247A3" w:rsidRPr="00D9623B" w:rsidRDefault="004247A3" w:rsidP="001B1A87">
            <w:pPr>
              <w:jc w:val="both"/>
            </w:pPr>
          </w:p>
        </w:tc>
        <w:tc>
          <w:tcPr>
            <w:tcW w:w="2700" w:type="dxa"/>
            <w:gridSpan w:val="2"/>
            <w:vMerge/>
          </w:tcPr>
          <w:p w:rsidR="004247A3" w:rsidRPr="00D9623B" w:rsidRDefault="004247A3" w:rsidP="001B1A87">
            <w:pPr>
              <w:jc w:val="both"/>
            </w:pPr>
          </w:p>
        </w:tc>
        <w:tc>
          <w:tcPr>
            <w:tcW w:w="1440" w:type="dxa"/>
          </w:tcPr>
          <w:p w:rsidR="004247A3" w:rsidRPr="00D9623B" w:rsidRDefault="004247A3" w:rsidP="00E15D0F">
            <w:r w:rsidRPr="00D9623B">
              <w:rPr>
                <w:b/>
                <w:bCs/>
              </w:rPr>
              <w:t>2014.gads</w:t>
            </w:r>
          </w:p>
        </w:tc>
        <w:tc>
          <w:tcPr>
            <w:tcW w:w="1440" w:type="dxa"/>
          </w:tcPr>
          <w:p w:rsidR="004247A3" w:rsidRPr="00D9623B" w:rsidRDefault="004247A3" w:rsidP="00E15D0F">
            <w:pPr>
              <w:jc w:val="center"/>
            </w:pPr>
            <w:r w:rsidRPr="00D9623B">
              <w:rPr>
                <w:b/>
                <w:bCs/>
              </w:rPr>
              <w:t>2015.gads</w:t>
            </w:r>
          </w:p>
        </w:tc>
        <w:tc>
          <w:tcPr>
            <w:tcW w:w="1440" w:type="dxa"/>
          </w:tcPr>
          <w:p w:rsidR="004247A3" w:rsidRPr="00D9623B" w:rsidRDefault="004247A3" w:rsidP="00E15D0F">
            <w:pPr>
              <w:ind w:right="4"/>
              <w:jc w:val="center"/>
            </w:pPr>
            <w:r w:rsidRPr="00D9623B">
              <w:rPr>
                <w:b/>
                <w:bCs/>
              </w:rPr>
              <w:t>2016.gads</w:t>
            </w:r>
          </w:p>
        </w:tc>
      </w:tr>
      <w:tr w:rsidR="004247A3">
        <w:tc>
          <w:tcPr>
            <w:tcW w:w="2268" w:type="dxa"/>
            <w:vMerge/>
          </w:tcPr>
          <w:p w:rsidR="004247A3" w:rsidRPr="00D9623B" w:rsidRDefault="004247A3" w:rsidP="001B1A87">
            <w:pPr>
              <w:jc w:val="both"/>
            </w:pPr>
          </w:p>
        </w:tc>
        <w:tc>
          <w:tcPr>
            <w:tcW w:w="1260" w:type="dxa"/>
          </w:tcPr>
          <w:p w:rsidR="004247A3" w:rsidRPr="00D9623B" w:rsidRDefault="004247A3" w:rsidP="00D9623B">
            <w:pPr>
              <w:jc w:val="center"/>
            </w:pPr>
            <w:r w:rsidRPr="00D9623B">
              <w:t>Saskaņā ar valsts budžetu kārtējam gadam</w:t>
            </w:r>
          </w:p>
        </w:tc>
        <w:tc>
          <w:tcPr>
            <w:tcW w:w="1440" w:type="dxa"/>
          </w:tcPr>
          <w:p w:rsidR="004247A3" w:rsidRPr="00D9623B" w:rsidRDefault="004247A3" w:rsidP="00D9623B">
            <w:pPr>
              <w:ind w:left="-61"/>
              <w:jc w:val="center"/>
            </w:pPr>
            <w:r w:rsidRPr="00D9623B">
              <w:t>Izmaiņas kārtējā gadā, salīdzinot ar budžetu kārtējam gadam</w:t>
            </w:r>
          </w:p>
        </w:tc>
        <w:tc>
          <w:tcPr>
            <w:tcW w:w="1440" w:type="dxa"/>
          </w:tcPr>
          <w:p w:rsidR="004247A3" w:rsidRPr="00D9623B" w:rsidRDefault="004247A3" w:rsidP="00D9623B">
            <w:pPr>
              <w:ind w:left="-108"/>
              <w:jc w:val="center"/>
            </w:pPr>
            <w:r w:rsidRPr="00D9623B">
              <w:t>Izmaiņas, salīdzinot ar kārtējo (n) gadu</w:t>
            </w:r>
          </w:p>
        </w:tc>
        <w:tc>
          <w:tcPr>
            <w:tcW w:w="1440" w:type="dxa"/>
          </w:tcPr>
          <w:p w:rsidR="004247A3" w:rsidRPr="00D9623B" w:rsidRDefault="004247A3" w:rsidP="00D9623B">
            <w:pPr>
              <w:tabs>
                <w:tab w:val="left" w:pos="0"/>
              </w:tabs>
              <w:ind w:right="-108"/>
              <w:jc w:val="center"/>
            </w:pPr>
            <w:r w:rsidRPr="00D9623B">
              <w:t>Izmaiņas, salīdzinot ar kārtējo (n) gadu</w:t>
            </w:r>
          </w:p>
        </w:tc>
        <w:tc>
          <w:tcPr>
            <w:tcW w:w="1440" w:type="dxa"/>
          </w:tcPr>
          <w:p w:rsidR="004247A3" w:rsidRPr="00D9623B" w:rsidRDefault="004247A3" w:rsidP="00D9623B">
            <w:pPr>
              <w:jc w:val="center"/>
            </w:pPr>
            <w:r w:rsidRPr="00D9623B">
              <w:t>Izmaiņas, salīdzinot ar kārtējo (n) gadu</w:t>
            </w:r>
          </w:p>
        </w:tc>
      </w:tr>
      <w:tr w:rsidR="004247A3">
        <w:tc>
          <w:tcPr>
            <w:tcW w:w="2268" w:type="dxa"/>
          </w:tcPr>
          <w:p w:rsidR="004247A3" w:rsidRPr="00F60FB7" w:rsidRDefault="004247A3" w:rsidP="001B1A87">
            <w:pPr>
              <w:jc w:val="center"/>
            </w:pPr>
            <w:r w:rsidRPr="000226E6">
              <w:rPr>
                <w:sz w:val="22"/>
                <w:szCs w:val="22"/>
              </w:rPr>
              <w:t>1</w:t>
            </w:r>
          </w:p>
        </w:tc>
        <w:tc>
          <w:tcPr>
            <w:tcW w:w="1260" w:type="dxa"/>
          </w:tcPr>
          <w:p w:rsidR="004247A3" w:rsidRPr="00F60FB7" w:rsidRDefault="004247A3" w:rsidP="001B1A87">
            <w:pPr>
              <w:jc w:val="center"/>
            </w:pPr>
            <w:r w:rsidRPr="000226E6">
              <w:rPr>
                <w:sz w:val="22"/>
                <w:szCs w:val="22"/>
              </w:rPr>
              <w:t>2</w:t>
            </w:r>
          </w:p>
        </w:tc>
        <w:tc>
          <w:tcPr>
            <w:tcW w:w="1440" w:type="dxa"/>
          </w:tcPr>
          <w:p w:rsidR="004247A3" w:rsidRPr="00F60FB7" w:rsidRDefault="004247A3" w:rsidP="001B1A87">
            <w:pPr>
              <w:jc w:val="center"/>
            </w:pPr>
            <w:r w:rsidRPr="000226E6">
              <w:rPr>
                <w:sz w:val="22"/>
                <w:szCs w:val="22"/>
              </w:rPr>
              <w:t>3</w:t>
            </w:r>
          </w:p>
        </w:tc>
        <w:tc>
          <w:tcPr>
            <w:tcW w:w="1440" w:type="dxa"/>
          </w:tcPr>
          <w:p w:rsidR="004247A3" w:rsidRPr="00F60FB7" w:rsidRDefault="004247A3" w:rsidP="001B1A87">
            <w:pPr>
              <w:jc w:val="center"/>
            </w:pPr>
            <w:r w:rsidRPr="000226E6">
              <w:rPr>
                <w:sz w:val="22"/>
                <w:szCs w:val="22"/>
              </w:rPr>
              <w:t>4</w:t>
            </w:r>
          </w:p>
        </w:tc>
        <w:tc>
          <w:tcPr>
            <w:tcW w:w="1440" w:type="dxa"/>
          </w:tcPr>
          <w:p w:rsidR="004247A3" w:rsidRPr="00F60FB7" w:rsidRDefault="004247A3" w:rsidP="001B1A87">
            <w:pPr>
              <w:jc w:val="center"/>
            </w:pPr>
            <w:r w:rsidRPr="000226E6">
              <w:rPr>
                <w:sz w:val="22"/>
                <w:szCs w:val="22"/>
              </w:rPr>
              <w:t>5</w:t>
            </w:r>
          </w:p>
        </w:tc>
        <w:tc>
          <w:tcPr>
            <w:tcW w:w="1440" w:type="dxa"/>
          </w:tcPr>
          <w:p w:rsidR="004247A3" w:rsidRPr="00F60FB7" w:rsidRDefault="004247A3" w:rsidP="001B1A87">
            <w:pPr>
              <w:jc w:val="center"/>
            </w:pPr>
            <w:r w:rsidRPr="000226E6">
              <w:rPr>
                <w:sz w:val="22"/>
                <w:szCs w:val="22"/>
              </w:rPr>
              <w:t>6</w:t>
            </w:r>
          </w:p>
        </w:tc>
      </w:tr>
      <w:tr w:rsidR="004247A3">
        <w:tc>
          <w:tcPr>
            <w:tcW w:w="2268" w:type="dxa"/>
          </w:tcPr>
          <w:p w:rsidR="004247A3" w:rsidRPr="00D9623B" w:rsidRDefault="004247A3" w:rsidP="003E0A3D">
            <w:r w:rsidRPr="00D9623B">
              <w:t>1.Budžeta ieņēmumi:</w:t>
            </w:r>
          </w:p>
        </w:tc>
        <w:tc>
          <w:tcPr>
            <w:tcW w:w="1260" w:type="dxa"/>
          </w:tcPr>
          <w:p w:rsidR="004247A3" w:rsidRPr="00D9623B" w:rsidRDefault="004247A3" w:rsidP="008002D7">
            <w:pPr>
              <w:jc w:val="center"/>
              <w:rPr>
                <w:b/>
                <w:bCs/>
              </w:rPr>
            </w:pPr>
            <w:r w:rsidRPr="00D9623B">
              <w:rPr>
                <w:b/>
                <w:bCs/>
                <w:color w:val="000000"/>
              </w:rPr>
              <w:t>0</w:t>
            </w:r>
          </w:p>
        </w:tc>
        <w:tc>
          <w:tcPr>
            <w:tcW w:w="1440" w:type="dxa"/>
          </w:tcPr>
          <w:p w:rsidR="004247A3" w:rsidRPr="00D9623B" w:rsidRDefault="004247A3" w:rsidP="00473B24">
            <w:pPr>
              <w:jc w:val="center"/>
              <w:rPr>
                <w:b/>
                <w:bCs/>
              </w:rPr>
            </w:pPr>
            <w:r w:rsidRPr="00D9623B">
              <w:rPr>
                <w:b/>
                <w:bCs/>
              </w:rPr>
              <w:t>0</w:t>
            </w:r>
          </w:p>
        </w:tc>
        <w:tc>
          <w:tcPr>
            <w:tcW w:w="1440" w:type="dxa"/>
          </w:tcPr>
          <w:p w:rsidR="004247A3" w:rsidRPr="005B1004" w:rsidRDefault="004247A3" w:rsidP="001B1A87">
            <w:pPr>
              <w:jc w:val="center"/>
              <w:rPr>
                <w:b/>
              </w:rPr>
            </w:pPr>
            <w:r w:rsidRPr="005B1004">
              <w:rPr>
                <w:b/>
              </w:rPr>
              <w:t>0</w:t>
            </w:r>
          </w:p>
        </w:tc>
        <w:tc>
          <w:tcPr>
            <w:tcW w:w="1440" w:type="dxa"/>
          </w:tcPr>
          <w:p w:rsidR="004247A3" w:rsidRPr="005B1004" w:rsidRDefault="004247A3" w:rsidP="001B1A87">
            <w:pPr>
              <w:jc w:val="center"/>
              <w:rPr>
                <w:b/>
              </w:rPr>
            </w:pPr>
            <w:r w:rsidRPr="005B1004">
              <w:rPr>
                <w:b/>
              </w:rPr>
              <w:t>0</w:t>
            </w:r>
          </w:p>
        </w:tc>
        <w:tc>
          <w:tcPr>
            <w:tcW w:w="1440" w:type="dxa"/>
          </w:tcPr>
          <w:p w:rsidR="004247A3" w:rsidRPr="005B1004" w:rsidRDefault="004247A3" w:rsidP="001B1A87">
            <w:pPr>
              <w:jc w:val="center"/>
              <w:rPr>
                <w:b/>
              </w:rPr>
            </w:pPr>
            <w:r w:rsidRPr="005B1004">
              <w:rPr>
                <w:b/>
              </w:rPr>
              <w:t>0</w:t>
            </w:r>
          </w:p>
        </w:tc>
      </w:tr>
      <w:tr w:rsidR="004247A3">
        <w:tc>
          <w:tcPr>
            <w:tcW w:w="2268" w:type="dxa"/>
          </w:tcPr>
          <w:p w:rsidR="004247A3" w:rsidRPr="00D9623B" w:rsidRDefault="004247A3" w:rsidP="003E0A3D">
            <w:r w:rsidRPr="00D9623B">
              <w:t>1.1. valsts pamatbudžets, tai skaitā ieņēmumi no maksas pakalpojumiem un citi pašu ieņēmumi</w:t>
            </w:r>
          </w:p>
        </w:tc>
        <w:tc>
          <w:tcPr>
            <w:tcW w:w="1260" w:type="dxa"/>
          </w:tcPr>
          <w:p w:rsidR="004247A3" w:rsidRPr="00D9623B" w:rsidRDefault="004247A3" w:rsidP="00382261">
            <w:pPr>
              <w:jc w:val="center"/>
            </w:pPr>
            <w:r w:rsidRPr="00D9623B">
              <w:t>0</w:t>
            </w:r>
          </w:p>
        </w:tc>
        <w:tc>
          <w:tcPr>
            <w:tcW w:w="1440" w:type="dxa"/>
          </w:tcPr>
          <w:p w:rsidR="004247A3" w:rsidRPr="00D9623B" w:rsidRDefault="004247A3" w:rsidP="00473B24">
            <w:pPr>
              <w:jc w:val="center"/>
            </w:pPr>
            <w:r w:rsidRPr="00D9623B">
              <w:t>0</w:t>
            </w:r>
          </w:p>
        </w:tc>
        <w:tc>
          <w:tcPr>
            <w:tcW w:w="1440" w:type="dxa"/>
          </w:tcPr>
          <w:p w:rsidR="004247A3" w:rsidRPr="00D9623B" w:rsidRDefault="004247A3" w:rsidP="001B1A87">
            <w:pPr>
              <w:jc w:val="center"/>
            </w:pPr>
            <w:r w:rsidRPr="00D9623B">
              <w:t>0</w:t>
            </w:r>
          </w:p>
        </w:tc>
        <w:tc>
          <w:tcPr>
            <w:tcW w:w="1440" w:type="dxa"/>
          </w:tcPr>
          <w:p w:rsidR="004247A3" w:rsidRPr="00D9623B" w:rsidRDefault="004247A3" w:rsidP="001B1A87">
            <w:pPr>
              <w:jc w:val="center"/>
            </w:pPr>
            <w:r w:rsidRPr="00D9623B">
              <w:t>0</w:t>
            </w:r>
          </w:p>
        </w:tc>
        <w:tc>
          <w:tcPr>
            <w:tcW w:w="1440" w:type="dxa"/>
          </w:tcPr>
          <w:p w:rsidR="004247A3" w:rsidRPr="00D9623B" w:rsidRDefault="004247A3" w:rsidP="001B1A87">
            <w:pPr>
              <w:jc w:val="center"/>
            </w:pPr>
            <w:r w:rsidRPr="00D9623B">
              <w:t>0</w:t>
            </w:r>
          </w:p>
        </w:tc>
      </w:tr>
      <w:tr w:rsidR="004247A3">
        <w:tc>
          <w:tcPr>
            <w:tcW w:w="2268" w:type="dxa"/>
          </w:tcPr>
          <w:p w:rsidR="004247A3" w:rsidRPr="00D9623B" w:rsidRDefault="004247A3" w:rsidP="003E0A3D">
            <w:r w:rsidRPr="00D9623B">
              <w:t>1.2. valsts speciālais budžets</w:t>
            </w:r>
          </w:p>
        </w:tc>
        <w:tc>
          <w:tcPr>
            <w:tcW w:w="1260" w:type="dxa"/>
          </w:tcPr>
          <w:p w:rsidR="004247A3" w:rsidRPr="00D9623B" w:rsidRDefault="004247A3" w:rsidP="001B1A87">
            <w:pPr>
              <w:jc w:val="center"/>
            </w:pPr>
            <w:r w:rsidRPr="00D9623B">
              <w:t>0</w:t>
            </w:r>
          </w:p>
        </w:tc>
        <w:tc>
          <w:tcPr>
            <w:tcW w:w="1440" w:type="dxa"/>
          </w:tcPr>
          <w:p w:rsidR="004247A3" w:rsidRPr="00D9623B" w:rsidRDefault="004247A3" w:rsidP="001B1A87">
            <w:pPr>
              <w:jc w:val="center"/>
            </w:pPr>
            <w:r w:rsidRPr="00D9623B">
              <w:t>0</w:t>
            </w:r>
          </w:p>
        </w:tc>
        <w:tc>
          <w:tcPr>
            <w:tcW w:w="1440" w:type="dxa"/>
          </w:tcPr>
          <w:p w:rsidR="004247A3" w:rsidRPr="00D9623B" w:rsidRDefault="004247A3" w:rsidP="001B1A87">
            <w:pPr>
              <w:jc w:val="center"/>
            </w:pPr>
            <w:r w:rsidRPr="00D9623B">
              <w:t>0</w:t>
            </w:r>
          </w:p>
        </w:tc>
        <w:tc>
          <w:tcPr>
            <w:tcW w:w="1440" w:type="dxa"/>
          </w:tcPr>
          <w:p w:rsidR="004247A3" w:rsidRPr="00D9623B" w:rsidRDefault="004247A3" w:rsidP="001B1A87">
            <w:pPr>
              <w:jc w:val="center"/>
            </w:pPr>
            <w:r w:rsidRPr="00D9623B">
              <w:t>0</w:t>
            </w:r>
          </w:p>
        </w:tc>
        <w:tc>
          <w:tcPr>
            <w:tcW w:w="1440" w:type="dxa"/>
          </w:tcPr>
          <w:p w:rsidR="004247A3" w:rsidRPr="00D9623B" w:rsidRDefault="004247A3" w:rsidP="001B1A87">
            <w:pPr>
              <w:jc w:val="center"/>
            </w:pPr>
            <w:r w:rsidRPr="00D9623B">
              <w:t>0</w:t>
            </w:r>
          </w:p>
        </w:tc>
      </w:tr>
      <w:tr w:rsidR="004247A3">
        <w:tc>
          <w:tcPr>
            <w:tcW w:w="2268" w:type="dxa"/>
          </w:tcPr>
          <w:p w:rsidR="004247A3" w:rsidRPr="00D9623B" w:rsidRDefault="004247A3" w:rsidP="003E0A3D">
            <w:r w:rsidRPr="00D9623B">
              <w:t>1.3. pašvaldību budžets</w:t>
            </w:r>
          </w:p>
        </w:tc>
        <w:tc>
          <w:tcPr>
            <w:tcW w:w="1260" w:type="dxa"/>
          </w:tcPr>
          <w:p w:rsidR="004247A3" w:rsidRPr="00D9623B" w:rsidRDefault="004247A3" w:rsidP="001B1A87">
            <w:pPr>
              <w:jc w:val="center"/>
            </w:pPr>
            <w:r w:rsidRPr="00D9623B">
              <w:t>0</w:t>
            </w:r>
          </w:p>
        </w:tc>
        <w:tc>
          <w:tcPr>
            <w:tcW w:w="1440" w:type="dxa"/>
          </w:tcPr>
          <w:p w:rsidR="004247A3" w:rsidRPr="00D9623B" w:rsidRDefault="004247A3" w:rsidP="001B1A87">
            <w:pPr>
              <w:jc w:val="center"/>
            </w:pPr>
            <w:r w:rsidRPr="00D9623B">
              <w:t>0</w:t>
            </w:r>
          </w:p>
        </w:tc>
        <w:tc>
          <w:tcPr>
            <w:tcW w:w="1440" w:type="dxa"/>
          </w:tcPr>
          <w:p w:rsidR="004247A3" w:rsidRPr="00D9623B" w:rsidRDefault="004247A3" w:rsidP="001B1A87">
            <w:pPr>
              <w:jc w:val="center"/>
            </w:pPr>
            <w:r w:rsidRPr="00D9623B">
              <w:t>0</w:t>
            </w:r>
          </w:p>
        </w:tc>
        <w:tc>
          <w:tcPr>
            <w:tcW w:w="1440" w:type="dxa"/>
          </w:tcPr>
          <w:p w:rsidR="004247A3" w:rsidRPr="00D9623B" w:rsidRDefault="004247A3" w:rsidP="001B1A87">
            <w:pPr>
              <w:jc w:val="center"/>
            </w:pPr>
            <w:r w:rsidRPr="00D9623B">
              <w:t>0</w:t>
            </w:r>
          </w:p>
        </w:tc>
        <w:tc>
          <w:tcPr>
            <w:tcW w:w="1440" w:type="dxa"/>
          </w:tcPr>
          <w:p w:rsidR="004247A3" w:rsidRPr="00D9623B" w:rsidRDefault="004247A3" w:rsidP="001B1A87">
            <w:pPr>
              <w:jc w:val="center"/>
            </w:pPr>
            <w:r w:rsidRPr="00D9623B">
              <w:t>0</w:t>
            </w:r>
          </w:p>
        </w:tc>
      </w:tr>
      <w:tr w:rsidR="005B1004">
        <w:tc>
          <w:tcPr>
            <w:tcW w:w="2268" w:type="dxa"/>
          </w:tcPr>
          <w:p w:rsidR="005B1004" w:rsidRPr="00D9623B" w:rsidRDefault="005B1004" w:rsidP="003E0A3D">
            <w:r w:rsidRPr="00D9623B">
              <w:lastRenderedPageBreak/>
              <w:t>2. Budžeta izdevumi:</w:t>
            </w:r>
          </w:p>
        </w:tc>
        <w:tc>
          <w:tcPr>
            <w:tcW w:w="1260" w:type="dxa"/>
          </w:tcPr>
          <w:p w:rsidR="005B1004" w:rsidRPr="00D9623B" w:rsidRDefault="005B1004" w:rsidP="0093766A">
            <w:pPr>
              <w:jc w:val="center"/>
              <w:rPr>
                <w:b/>
                <w:bCs/>
              </w:rPr>
            </w:pPr>
            <w:r w:rsidRPr="00D9623B">
              <w:rPr>
                <w:b/>
                <w:bCs/>
              </w:rPr>
              <w:t>0</w:t>
            </w:r>
          </w:p>
        </w:tc>
        <w:tc>
          <w:tcPr>
            <w:tcW w:w="1440" w:type="dxa"/>
          </w:tcPr>
          <w:p w:rsidR="005B1004" w:rsidRPr="00D9623B" w:rsidRDefault="005B1004" w:rsidP="00BE26C4">
            <w:pPr>
              <w:jc w:val="center"/>
              <w:rPr>
                <w:b/>
                <w:bCs/>
              </w:rPr>
            </w:pPr>
            <w:r w:rsidRPr="00D9623B">
              <w:rPr>
                <w:b/>
                <w:bCs/>
              </w:rPr>
              <w:t>114,3</w:t>
            </w:r>
          </w:p>
        </w:tc>
        <w:tc>
          <w:tcPr>
            <w:tcW w:w="1440" w:type="dxa"/>
          </w:tcPr>
          <w:p w:rsidR="005B1004" w:rsidRPr="00C70025" w:rsidRDefault="005B1004" w:rsidP="001B1A87">
            <w:pPr>
              <w:jc w:val="center"/>
              <w:rPr>
                <w:b/>
              </w:rPr>
            </w:pPr>
            <w:r w:rsidRPr="00C70025">
              <w:rPr>
                <w:b/>
              </w:rPr>
              <w:t>128,4</w:t>
            </w:r>
          </w:p>
        </w:tc>
        <w:tc>
          <w:tcPr>
            <w:tcW w:w="1440" w:type="dxa"/>
          </w:tcPr>
          <w:p w:rsidR="005B1004" w:rsidRPr="00C70025" w:rsidRDefault="005B1004" w:rsidP="00AD6F44">
            <w:pPr>
              <w:jc w:val="center"/>
              <w:rPr>
                <w:b/>
              </w:rPr>
            </w:pPr>
            <w:r w:rsidRPr="00C70025">
              <w:rPr>
                <w:b/>
              </w:rPr>
              <w:t>128,4</w:t>
            </w:r>
          </w:p>
        </w:tc>
        <w:tc>
          <w:tcPr>
            <w:tcW w:w="1440" w:type="dxa"/>
          </w:tcPr>
          <w:p w:rsidR="005B1004" w:rsidRPr="00C70025" w:rsidRDefault="005B1004" w:rsidP="00AD6F44">
            <w:pPr>
              <w:jc w:val="center"/>
              <w:rPr>
                <w:b/>
              </w:rPr>
            </w:pPr>
            <w:r w:rsidRPr="00C70025">
              <w:rPr>
                <w:b/>
              </w:rPr>
              <w:t>128,4</w:t>
            </w:r>
          </w:p>
        </w:tc>
      </w:tr>
      <w:tr w:rsidR="005B1004">
        <w:tc>
          <w:tcPr>
            <w:tcW w:w="2268" w:type="dxa"/>
          </w:tcPr>
          <w:p w:rsidR="005B1004" w:rsidRPr="00D9623B" w:rsidRDefault="005B1004" w:rsidP="003E0A3D">
            <w:r w:rsidRPr="00D9623B">
              <w:t>2.1. valsts pamatbudžets</w:t>
            </w:r>
          </w:p>
        </w:tc>
        <w:tc>
          <w:tcPr>
            <w:tcW w:w="1260" w:type="dxa"/>
          </w:tcPr>
          <w:p w:rsidR="005B1004" w:rsidRPr="00D9623B" w:rsidRDefault="005B1004" w:rsidP="00473B24">
            <w:pPr>
              <w:jc w:val="center"/>
            </w:pPr>
            <w:r w:rsidRPr="00D9623B">
              <w:t>0</w:t>
            </w:r>
          </w:p>
        </w:tc>
        <w:tc>
          <w:tcPr>
            <w:tcW w:w="1440" w:type="dxa"/>
          </w:tcPr>
          <w:p w:rsidR="005B1004" w:rsidRPr="00D9623B" w:rsidRDefault="005B1004" w:rsidP="00473B24">
            <w:pPr>
              <w:jc w:val="center"/>
            </w:pPr>
            <w:r w:rsidRPr="00D9623B">
              <w:t>114,3</w:t>
            </w:r>
          </w:p>
        </w:tc>
        <w:tc>
          <w:tcPr>
            <w:tcW w:w="1440" w:type="dxa"/>
          </w:tcPr>
          <w:p w:rsidR="005B1004" w:rsidRPr="00D9623B" w:rsidRDefault="005B1004" w:rsidP="001B1A87">
            <w:pPr>
              <w:jc w:val="center"/>
            </w:pPr>
            <w:r>
              <w:t>128,4</w:t>
            </w:r>
          </w:p>
        </w:tc>
        <w:tc>
          <w:tcPr>
            <w:tcW w:w="1440" w:type="dxa"/>
          </w:tcPr>
          <w:p w:rsidR="005B1004" w:rsidRPr="00D9623B" w:rsidRDefault="005B1004" w:rsidP="00AD6F44">
            <w:pPr>
              <w:jc w:val="center"/>
            </w:pPr>
            <w:r>
              <w:t>128,4</w:t>
            </w:r>
          </w:p>
        </w:tc>
        <w:tc>
          <w:tcPr>
            <w:tcW w:w="1440" w:type="dxa"/>
          </w:tcPr>
          <w:p w:rsidR="005B1004" w:rsidRPr="00D9623B" w:rsidRDefault="005B1004" w:rsidP="00AD6F44">
            <w:pPr>
              <w:jc w:val="center"/>
            </w:pPr>
            <w:r>
              <w:t>128,4</w:t>
            </w:r>
          </w:p>
        </w:tc>
      </w:tr>
      <w:tr w:rsidR="005B1004">
        <w:tc>
          <w:tcPr>
            <w:tcW w:w="2268" w:type="dxa"/>
          </w:tcPr>
          <w:p w:rsidR="005B1004" w:rsidRPr="00D9623B" w:rsidRDefault="005B1004" w:rsidP="003E0A3D">
            <w:r w:rsidRPr="00D9623B">
              <w:t>2.2. valsts speciālais budžets</w:t>
            </w:r>
          </w:p>
        </w:tc>
        <w:tc>
          <w:tcPr>
            <w:tcW w:w="1260" w:type="dxa"/>
          </w:tcPr>
          <w:p w:rsidR="005B1004" w:rsidRPr="00D9623B" w:rsidRDefault="005B1004" w:rsidP="00473B24">
            <w:pPr>
              <w:jc w:val="center"/>
            </w:pPr>
            <w:r w:rsidRPr="00D9623B">
              <w:t>0</w:t>
            </w:r>
          </w:p>
        </w:tc>
        <w:tc>
          <w:tcPr>
            <w:tcW w:w="1440" w:type="dxa"/>
          </w:tcPr>
          <w:p w:rsidR="005B1004" w:rsidRPr="00D9623B" w:rsidRDefault="005B1004" w:rsidP="00473B24">
            <w:pPr>
              <w:jc w:val="center"/>
            </w:pPr>
            <w:r w:rsidRPr="00D9623B">
              <w:t>0</w:t>
            </w:r>
          </w:p>
        </w:tc>
        <w:tc>
          <w:tcPr>
            <w:tcW w:w="1440" w:type="dxa"/>
          </w:tcPr>
          <w:p w:rsidR="005B1004" w:rsidRPr="00D9623B" w:rsidRDefault="005B1004" w:rsidP="001B1A87">
            <w:pPr>
              <w:jc w:val="center"/>
            </w:pPr>
            <w:r w:rsidRPr="00D9623B">
              <w:t>0</w:t>
            </w:r>
          </w:p>
        </w:tc>
        <w:tc>
          <w:tcPr>
            <w:tcW w:w="1440" w:type="dxa"/>
          </w:tcPr>
          <w:p w:rsidR="005B1004" w:rsidRPr="00D9623B" w:rsidRDefault="005B1004" w:rsidP="00AD6F44">
            <w:pPr>
              <w:jc w:val="center"/>
            </w:pPr>
            <w:r w:rsidRPr="00D9623B">
              <w:t>0</w:t>
            </w:r>
          </w:p>
        </w:tc>
        <w:tc>
          <w:tcPr>
            <w:tcW w:w="1440" w:type="dxa"/>
          </w:tcPr>
          <w:p w:rsidR="005B1004" w:rsidRPr="00D9623B" w:rsidRDefault="005B1004" w:rsidP="00AD6F44">
            <w:pPr>
              <w:jc w:val="center"/>
            </w:pPr>
            <w:r w:rsidRPr="00D9623B">
              <w:t>0</w:t>
            </w:r>
          </w:p>
        </w:tc>
      </w:tr>
      <w:tr w:rsidR="005B1004">
        <w:tc>
          <w:tcPr>
            <w:tcW w:w="2268" w:type="dxa"/>
          </w:tcPr>
          <w:p w:rsidR="005B1004" w:rsidRPr="00D9623B" w:rsidRDefault="005B1004" w:rsidP="003E0A3D">
            <w:r w:rsidRPr="00D9623B">
              <w:t>2.3. pašvaldību budžets</w:t>
            </w:r>
          </w:p>
        </w:tc>
        <w:tc>
          <w:tcPr>
            <w:tcW w:w="1260" w:type="dxa"/>
          </w:tcPr>
          <w:p w:rsidR="005B1004" w:rsidRPr="00D9623B" w:rsidRDefault="005B1004" w:rsidP="00473B24">
            <w:pPr>
              <w:jc w:val="center"/>
            </w:pPr>
            <w:r w:rsidRPr="00D9623B">
              <w:t>0</w:t>
            </w:r>
          </w:p>
        </w:tc>
        <w:tc>
          <w:tcPr>
            <w:tcW w:w="1440" w:type="dxa"/>
          </w:tcPr>
          <w:p w:rsidR="005B1004" w:rsidRPr="00D9623B" w:rsidRDefault="005B1004" w:rsidP="00473B24">
            <w:pPr>
              <w:jc w:val="center"/>
            </w:pPr>
            <w:r w:rsidRPr="00D9623B">
              <w:t>0</w:t>
            </w:r>
          </w:p>
        </w:tc>
        <w:tc>
          <w:tcPr>
            <w:tcW w:w="1440" w:type="dxa"/>
          </w:tcPr>
          <w:p w:rsidR="005B1004" w:rsidRPr="00D9623B" w:rsidRDefault="005B1004" w:rsidP="001B1A87">
            <w:pPr>
              <w:jc w:val="center"/>
            </w:pPr>
            <w:r w:rsidRPr="00D9623B">
              <w:t>0</w:t>
            </w:r>
          </w:p>
        </w:tc>
        <w:tc>
          <w:tcPr>
            <w:tcW w:w="1440" w:type="dxa"/>
          </w:tcPr>
          <w:p w:rsidR="005B1004" w:rsidRPr="00D9623B" w:rsidRDefault="005B1004" w:rsidP="00AD6F44">
            <w:pPr>
              <w:jc w:val="center"/>
            </w:pPr>
            <w:r w:rsidRPr="00D9623B">
              <w:t>0</w:t>
            </w:r>
          </w:p>
        </w:tc>
        <w:tc>
          <w:tcPr>
            <w:tcW w:w="1440" w:type="dxa"/>
          </w:tcPr>
          <w:p w:rsidR="005B1004" w:rsidRPr="00D9623B" w:rsidRDefault="005B1004" w:rsidP="00AD6F44">
            <w:pPr>
              <w:jc w:val="center"/>
            </w:pPr>
            <w:r w:rsidRPr="00D9623B">
              <w:t>0</w:t>
            </w:r>
          </w:p>
        </w:tc>
      </w:tr>
      <w:tr w:rsidR="005B1004">
        <w:tc>
          <w:tcPr>
            <w:tcW w:w="2268" w:type="dxa"/>
          </w:tcPr>
          <w:p w:rsidR="005B1004" w:rsidRPr="00D9623B" w:rsidRDefault="005B1004" w:rsidP="001B1A87">
            <w:pPr>
              <w:jc w:val="both"/>
            </w:pPr>
            <w:r w:rsidRPr="00D9623B">
              <w:t>3.Finansiālā ietekme:</w:t>
            </w:r>
          </w:p>
        </w:tc>
        <w:tc>
          <w:tcPr>
            <w:tcW w:w="1260" w:type="dxa"/>
          </w:tcPr>
          <w:p w:rsidR="005B1004" w:rsidRPr="00D9623B" w:rsidRDefault="005B1004" w:rsidP="00473B24">
            <w:pPr>
              <w:jc w:val="center"/>
              <w:rPr>
                <w:b/>
                <w:bCs/>
              </w:rPr>
            </w:pPr>
            <w:r w:rsidRPr="00D9623B">
              <w:rPr>
                <w:b/>
                <w:bCs/>
              </w:rPr>
              <w:t>0</w:t>
            </w:r>
          </w:p>
        </w:tc>
        <w:tc>
          <w:tcPr>
            <w:tcW w:w="1440" w:type="dxa"/>
          </w:tcPr>
          <w:p w:rsidR="005B1004" w:rsidRPr="00D9623B" w:rsidRDefault="005B1004" w:rsidP="001B374C">
            <w:pPr>
              <w:jc w:val="center"/>
              <w:rPr>
                <w:b/>
                <w:bCs/>
              </w:rPr>
            </w:pPr>
            <w:r w:rsidRPr="00D9623B">
              <w:rPr>
                <w:b/>
                <w:bCs/>
              </w:rPr>
              <w:t>- 114,3</w:t>
            </w:r>
          </w:p>
        </w:tc>
        <w:tc>
          <w:tcPr>
            <w:tcW w:w="1440" w:type="dxa"/>
          </w:tcPr>
          <w:p w:rsidR="005B1004" w:rsidRPr="00C70025" w:rsidRDefault="005B1004" w:rsidP="001B1A87">
            <w:pPr>
              <w:jc w:val="center"/>
              <w:rPr>
                <w:b/>
              </w:rPr>
            </w:pPr>
            <w:r w:rsidRPr="00C70025">
              <w:rPr>
                <w:b/>
              </w:rPr>
              <w:t>-128,4</w:t>
            </w:r>
          </w:p>
        </w:tc>
        <w:tc>
          <w:tcPr>
            <w:tcW w:w="1440" w:type="dxa"/>
          </w:tcPr>
          <w:p w:rsidR="005B1004" w:rsidRPr="00C70025" w:rsidRDefault="005B1004" w:rsidP="00AD6F44">
            <w:pPr>
              <w:jc w:val="center"/>
              <w:rPr>
                <w:b/>
              </w:rPr>
            </w:pPr>
            <w:r w:rsidRPr="00C70025">
              <w:rPr>
                <w:b/>
              </w:rPr>
              <w:t>-128,4</w:t>
            </w:r>
          </w:p>
        </w:tc>
        <w:tc>
          <w:tcPr>
            <w:tcW w:w="1440" w:type="dxa"/>
          </w:tcPr>
          <w:p w:rsidR="005B1004" w:rsidRPr="00C70025" w:rsidRDefault="005B1004" w:rsidP="00AD6F44">
            <w:pPr>
              <w:jc w:val="center"/>
              <w:rPr>
                <w:b/>
              </w:rPr>
            </w:pPr>
            <w:r w:rsidRPr="00C70025">
              <w:rPr>
                <w:b/>
              </w:rPr>
              <w:t>-128,4</w:t>
            </w:r>
          </w:p>
        </w:tc>
      </w:tr>
      <w:tr w:rsidR="005B1004">
        <w:tc>
          <w:tcPr>
            <w:tcW w:w="2268" w:type="dxa"/>
          </w:tcPr>
          <w:p w:rsidR="005B1004" w:rsidRPr="00D9623B" w:rsidRDefault="005B1004" w:rsidP="003E0A3D">
            <w:r w:rsidRPr="00D9623B">
              <w:t>3.1. valsts pamatbudžets</w:t>
            </w:r>
          </w:p>
        </w:tc>
        <w:tc>
          <w:tcPr>
            <w:tcW w:w="1260" w:type="dxa"/>
          </w:tcPr>
          <w:p w:rsidR="005B1004" w:rsidRPr="00D9623B" w:rsidRDefault="005B1004" w:rsidP="00D74CA9">
            <w:pPr>
              <w:jc w:val="center"/>
            </w:pPr>
            <w:r w:rsidRPr="00D9623B">
              <w:t>0</w:t>
            </w:r>
          </w:p>
        </w:tc>
        <w:tc>
          <w:tcPr>
            <w:tcW w:w="1440" w:type="dxa"/>
          </w:tcPr>
          <w:p w:rsidR="005B1004" w:rsidRPr="00D9623B" w:rsidRDefault="005B1004" w:rsidP="001B374C">
            <w:pPr>
              <w:jc w:val="center"/>
            </w:pPr>
            <w:r w:rsidRPr="00D9623B">
              <w:t>- 114,3</w:t>
            </w:r>
          </w:p>
        </w:tc>
        <w:tc>
          <w:tcPr>
            <w:tcW w:w="1440" w:type="dxa"/>
          </w:tcPr>
          <w:p w:rsidR="005B1004" w:rsidRPr="00D9623B" w:rsidRDefault="005B1004" w:rsidP="001B1A87">
            <w:pPr>
              <w:jc w:val="center"/>
            </w:pPr>
            <w:r>
              <w:t>-128,4</w:t>
            </w:r>
          </w:p>
        </w:tc>
        <w:tc>
          <w:tcPr>
            <w:tcW w:w="1440" w:type="dxa"/>
          </w:tcPr>
          <w:p w:rsidR="005B1004" w:rsidRPr="00D9623B" w:rsidRDefault="005B1004" w:rsidP="00AD6F44">
            <w:pPr>
              <w:jc w:val="center"/>
            </w:pPr>
            <w:r>
              <w:t>-128,4</w:t>
            </w:r>
          </w:p>
        </w:tc>
        <w:tc>
          <w:tcPr>
            <w:tcW w:w="1440" w:type="dxa"/>
          </w:tcPr>
          <w:p w:rsidR="005B1004" w:rsidRPr="00D9623B" w:rsidRDefault="005B1004" w:rsidP="00AD6F44">
            <w:pPr>
              <w:jc w:val="center"/>
            </w:pPr>
            <w:r>
              <w:t>-128,4</w:t>
            </w:r>
          </w:p>
        </w:tc>
      </w:tr>
      <w:tr w:rsidR="005B1004">
        <w:tc>
          <w:tcPr>
            <w:tcW w:w="2268" w:type="dxa"/>
          </w:tcPr>
          <w:p w:rsidR="005B1004" w:rsidRPr="00D9623B" w:rsidRDefault="005B1004" w:rsidP="003E0A3D">
            <w:r w:rsidRPr="00D9623B">
              <w:t>3.2. speciālais budžets</w:t>
            </w:r>
          </w:p>
        </w:tc>
        <w:tc>
          <w:tcPr>
            <w:tcW w:w="1260" w:type="dxa"/>
          </w:tcPr>
          <w:p w:rsidR="005B1004" w:rsidRPr="00D9623B" w:rsidRDefault="005B1004" w:rsidP="001B1A87">
            <w:pPr>
              <w:jc w:val="center"/>
            </w:pPr>
            <w:r w:rsidRPr="00D9623B">
              <w:t>0</w:t>
            </w:r>
          </w:p>
        </w:tc>
        <w:tc>
          <w:tcPr>
            <w:tcW w:w="1440" w:type="dxa"/>
          </w:tcPr>
          <w:p w:rsidR="005B1004" w:rsidRPr="00D9623B" w:rsidRDefault="005B1004" w:rsidP="001B1A87">
            <w:pPr>
              <w:jc w:val="center"/>
            </w:pPr>
            <w:r w:rsidRPr="00D9623B">
              <w:t>0</w:t>
            </w:r>
          </w:p>
        </w:tc>
        <w:tc>
          <w:tcPr>
            <w:tcW w:w="1440" w:type="dxa"/>
          </w:tcPr>
          <w:p w:rsidR="005B1004" w:rsidRPr="00D9623B" w:rsidRDefault="005B1004" w:rsidP="001B1A87">
            <w:pPr>
              <w:jc w:val="center"/>
            </w:pPr>
            <w:r w:rsidRPr="00D9623B">
              <w:t>0</w:t>
            </w:r>
          </w:p>
        </w:tc>
        <w:tc>
          <w:tcPr>
            <w:tcW w:w="1440" w:type="dxa"/>
          </w:tcPr>
          <w:p w:rsidR="005B1004" w:rsidRPr="00D9623B" w:rsidRDefault="005B1004" w:rsidP="00AD6F44">
            <w:pPr>
              <w:jc w:val="center"/>
            </w:pPr>
            <w:r w:rsidRPr="00D9623B">
              <w:t>0</w:t>
            </w:r>
          </w:p>
        </w:tc>
        <w:tc>
          <w:tcPr>
            <w:tcW w:w="1440" w:type="dxa"/>
          </w:tcPr>
          <w:p w:rsidR="005B1004" w:rsidRPr="00D9623B" w:rsidRDefault="005B1004" w:rsidP="00AD6F44">
            <w:pPr>
              <w:jc w:val="center"/>
            </w:pPr>
            <w:r w:rsidRPr="00D9623B">
              <w:t>0</w:t>
            </w:r>
          </w:p>
        </w:tc>
      </w:tr>
      <w:tr w:rsidR="005B1004">
        <w:tc>
          <w:tcPr>
            <w:tcW w:w="2268" w:type="dxa"/>
          </w:tcPr>
          <w:p w:rsidR="005B1004" w:rsidRPr="00D9623B" w:rsidRDefault="005B1004" w:rsidP="003E0A3D">
            <w:r w:rsidRPr="00D9623B">
              <w:t>3.3. pašvaldību budžets</w:t>
            </w:r>
          </w:p>
        </w:tc>
        <w:tc>
          <w:tcPr>
            <w:tcW w:w="1260" w:type="dxa"/>
          </w:tcPr>
          <w:p w:rsidR="005B1004" w:rsidRPr="00D9623B" w:rsidRDefault="005B1004" w:rsidP="001B1A87">
            <w:pPr>
              <w:jc w:val="center"/>
            </w:pPr>
            <w:r w:rsidRPr="00D9623B">
              <w:t>0</w:t>
            </w:r>
          </w:p>
        </w:tc>
        <w:tc>
          <w:tcPr>
            <w:tcW w:w="1440" w:type="dxa"/>
          </w:tcPr>
          <w:p w:rsidR="005B1004" w:rsidRPr="00D9623B" w:rsidRDefault="005B1004" w:rsidP="001B1A87">
            <w:pPr>
              <w:jc w:val="center"/>
            </w:pPr>
            <w:r w:rsidRPr="00D9623B">
              <w:t>0</w:t>
            </w:r>
          </w:p>
        </w:tc>
        <w:tc>
          <w:tcPr>
            <w:tcW w:w="1440" w:type="dxa"/>
          </w:tcPr>
          <w:p w:rsidR="005B1004" w:rsidRPr="00D9623B" w:rsidRDefault="005B1004" w:rsidP="001B1A87">
            <w:pPr>
              <w:jc w:val="center"/>
            </w:pPr>
            <w:r w:rsidRPr="00D9623B">
              <w:t>0</w:t>
            </w:r>
          </w:p>
        </w:tc>
        <w:tc>
          <w:tcPr>
            <w:tcW w:w="1440" w:type="dxa"/>
          </w:tcPr>
          <w:p w:rsidR="005B1004" w:rsidRPr="00D9623B" w:rsidRDefault="005B1004" w:rsidP="00AD6F44">
            <w:pPr>
              <w:jc w:val="center"/>
            </w:pPr>
            <w:r w:rsidRPr="00D9623B">
              <w:t>0</w:t>
            </w:r>
          </w:p>
        </w:tc>
        <w:tc>
          <w:tcPr>
            <w:tcW w:w="1440" w:type="dxa"/>
          </w:tcPr>
          <w:p w:rsidR="005B1004" w:rsidRPr="00D9623B" w:rsidRDefault="005B1004" w:rsidP="00AD6F44">
            <w:pPr>
              <w:jc w:val="center"/>
            </w:pPr>
            <w:r w:rsidRPr="00D9623B">
              <w:t>0</w:t>
            </w:r>
          </w:p>
        </w:tc>
      </w:tr>
      <w:tr w:rsidR="005B1004">
        <w:trPr>
          <w:trHeight w:val="1932"/>
        </w:trPr>
        <w:tc>
          <w:tcPr>
            <w:tcW w:w="2268" w:type="dxa"/>
          </w:tcPr>
          <w:p w:rsidR="005B1004" w:rsidRPr="00D9623B" w:rsidRDefault="005B1004" w:rsidP="003E0A3D">
            <w:r w:rsidRPr="00D9623B">
              <w:t>4. Finanšu līdzekļi papildu izde</w:t>
            </w:r>
            <w:r w:rsidRPr="00D9623B">
              <w:softHyphen/>
              <w:t>vumu finansēšanai (kompensējošu izdevumu samazinājumu norāda ar "+" zīmi)</w:t>
            </w:r>
          </w:p>
        </w:tc>
        <w:tc>
          <w:tcPr>
            <w:tcW w:w="1260" w:type="dxa"/>
          </w:tcPr>
          <w:p w:rsidR="005B1004" w:rsidRPr="00D9623B" w:rsidRDefault="005B1004" w:rsidP="001B1A87">
            <w:pPr>
              <w:jc w:val="center"/>
            </w:pPr>
            <w:r w:rsidRPr="00D9623B">
              <w:t>X</w:t>
            </w:r>
          </w:p>
        </w:tc>
        <w:tc>
          <w:tcPr>
            <w:tcW w:w="1440" w:type="dxa"/>
          </w:tcPr>
          <w:p w:rsidR="005B1004" w:rsidRPr="00D9623B" w:rsidRDefault="005B1004" w:rsidP="0036473F">
            <w:pPr>
              <w:jc w:val="center"/>
            </w:pPr>
            <w:r w:rsidRPr="00D9623B">
              <w:t>114,3</w:t>
            </w:r>
          </w:p>
        </w:tc>
        <w:tc>
          <w:tcPr>
            <w:tcW w:w="1440" w:type="dxa"/>
          </w:tcPr>
          <w:p w:rsidR="005B1004" w:rsidRPr="00D9623B" w:rsidRDefault="005B1004" w:rsidP="001B1A87">
            <w:pPr>
              <w:jc w:val="center"/>
            </w:pPr>
            <w:r w:rsidRPr="00D9623B">
              <w:t>0</w:t>
            </w:r>
          </w:p>
          <w:p w:rsidR="005B1004" w:rsidRPr="00D9623B" w:rsidRDefault="005B1004" w:rsidP="001B1A87">
            <w:pPr>
              <w:jc w:val="center"/>
            </w:pPr>
          </w:p>
        </w:tc>
        <w:tc>
          <w:tcPr>
            <w:tcW w:w="1440" w:type="dxa"/>
          </w:tcPr>
          <w:p w:rsidR="005B1004" w:rsidRPr="00D9623B" w:rsidRDefault="005B1004" w:rsidP="00AD6F44">
            <w:pPr>
              <w:jc w:val="center"/>
            </w:pPr>
            <w:r w:rsidRPr="00D9623B">
              <w:t>0</w:t>
            </w:r>
          </w:p>
          <w:p w:rsidR="005B1004" w:rsidRPr="00D9623B" w:rsidRDefault="005B1004" w:rsidP="00AD6F44">
            <w:pPr>
              <w:jc w:val="center"/>
            </w:pPr>
          </w:p>
        </w:tc>
        <w:tc>
          <w:tcPr>
            <w:tcW w:w="1440" w:type="dxa"/>
          </w:tcPr>
          <w:p w:rsidR="005B1004" w:rsidRPr="00D9623B" w:rsidRDefault="005B1004" w:rsidP="00AD6F44">
            <w:pPr>
              <w:jc w:val="center"/>
            </w:pPr>
            <w:r w:rsidRPr="00D9623B">
              <w:t>0</w:t>
            </w:r>
          </w:p>
          <w:p w:rsidR="005B1004" w:rsidRPr="00D9623B" w:rsidRDefault="005B1004" w:rsidP="00AD6F44">
            <w:pPr>
              <w:jc w:val="center"/>
            </w:pPr>
          </w:p>
        </w:tc>
      </w:tr>
      <w:tr w:rsidR="005B1004">
        <w:tc>
          <w:tcPr>
            <w:tcW w:w="2268" w:type="dxa"/>
          </w:tcPr>
          <w:p w:rsidR="005B1004" w:rsidRPr="00D9623B" w:rsidRDefault="005B1004" w:rsidP="003E0A3D">
            <w:r w:rsidRPr="00D9623B">
              <w:t>5. Precizēta finansiālā ietekme:</w:t>
            </w:r>
          </w:p>
        </w:tc>
        <w:tc>
          <w:tcPr>
            <w:tcW w:w="1260" w:type="dxa"/>
            <w:vMerge w:val="restart"/>
          </w:tcPr>
          <w:p w:rsidR="005B1004" w:rsidRPr="00D9623B" w:rsidRDefault="005B1004" w:rsidP="001B1A87">
            <w:pPr>
              <w:jc w:val="center"/>
            </w:pPr>
            <w:r w:rsidRPr="00D9623B">
              <w:t>X</w:t>
            </w:r>
          </w:p>
        </w:tc>
        <w:tc>
          <w:tcPr>
            <w:tcW w:w="1440" w:type="dxa"/>
          </w:tcPr>
          <w:p w:rsidR="005B1004" w:rsidRPr="00D9623B" w:rsidRDefault="005B1004" w:rsidP="0036473F">
            <w:pPr>
              <w:jc w:val="center"/>
              <w:rPr>
                <w:b/>
                <w:bCs/>
              </w:rPr>
            </w:pPr>
            <w:r w:rsidRPr="00D9623B">
              <w:rPr>
                <w:b/>
                <w:bCs/>
              </w:rPr>
              <w:t>0</w:t>
            </w:r>
          </w:p>
        </w:tc>
        <w:tc>
          <w:tcPr>
            <w:tcW w:w="1440" w:type="dxa"/>
          </w:tcPr>
          <w:p w:rsidR="005B1004" w:rsidRPr="00C70025" w:rsidRDefault="00EC3E07" w:rsidP="001B1A87">
            <w:pPr>
              <w:jc w:val="center"/>
              <w:rPr>
                <w:b/>
              </w:rPr>
            </w:pPr>
            <w:r>
              <w:rPr>
                <w:b/>
              </w:rPr>
              <w:t>-</w:t>
            </w:r>
            <w:r w:rsidR="005B1004" w:rsidRPr="00C70025">
              <w:rPr>
                <w:b/>
              </w:rPr>
              <w:t>124,4</w:t>
            </w:r>
          </w:p>
        </w:tc>
        <w:tc>
          <w:tcPr>
            <w:tcW w:w="1440" w:type="dxa"/>
          </w:tcPr>
          <w:p w:rsidR="005B1004" w:rsidRPr="00C70025" w:rsidRDefault="00EC3E07" w:rsidP="00AD6F44">
            <w:pPr>
              <w:jc w:val="center"/>
              <w:rPr>
                <w:b/>
              </w:rPr>
            </w:pPr>
            <w:r>
              <w:rPr>
                <w:b/>
              </w:rPr>
              <w:t>-</w:t>
            </w:r>
            <w:r w:rsidR="005B1004" w:rsidRPr="00C70025">
              <w:rPr>
                <w:b/>
              </w:rPr>
              <w:t>124,4</w:t>
            </w:r>
          </w:p>
        </w:tc>
        <w:tc>
          <w:tcPr>
            <w:tcW w:w="1440" w:type="dxa"/>
          </w:tcPr>
          <w:p w:rsidR="005B1004" w:rsidRPr="00C70025" w:rsidRDefault="00EC3E07" w:rsidP="00AD6F44">
            <w:pPr>
              <w:jc w:val="center"/>
              <w:rPr>
                <w:b/>
              </w:rPr>
            </w:pPr>
            <w:r>
              <w:rPr>
                <w:b/>
              </w:rPr>
              <w:t>-</w:t>
            </w:r>
            <w:r w:rsidR="005B1004" w:rsidRPr="00C70025">
              <w:rPr>
                <w:b/>
              </w:rPr>
              <w:t>124,4</w:t>
            </w:r>
          </w:p>
        </w:tc>
      </w:tr>
      <w:tr w:rsidR="005B1004">
        <w:tc>
          <w:tcPr>
            <w:tcW w:w="2268" w:type="dxa"/>
          </w:tcPr>
          <w:p w:rsidR="005B1004" w:rsidRPr="00D9623B" w:rsidRDefault="005B1004" w:rsidP="003E0A3D">
            <w:r w:rsidRPr="00D9623B">
              <w:t>5.1. valsts pamatbudžets</w:t>
            </w:r>
          </w:p>
        </w:tc>
        <w:tc>
          <w:tcPr>
            <w:tcW w:w="1260" w:type="dxa"/>
            <w:vMerge/>
          </w:tcPr>
          <w:p w:rsidR="005B1004" w:rsidRPr="00D9623B" w:rsidRDefault="005B1004" w:rsidP="001B1A87">
            <w:pPr>
              <w:jc w:val="both"/>
            </w:pPr>
          </w:p>
        </w:tc>
        <w:tc>
          <w:tcPr>
            <w:tcW w:w="1440" w:type="dxa"/>
          </w:tcPr>
          <w:p w:rsidR="005B1004" w:rsidRPr="00D9623B" w:rsidRDefault="005B1004" w:rsidP="00A4798A">
            <w:pPr>
              <w:jc w:val="center"/>
            </w:pPr>
            <w:r w:rsidRPr="00D9623B">
              <w:t>0</w:t>
            </w:r>
          </w:p>
        </w:tc>
        <w:tc>
          <w:tcPr>
            <w:tcW w:w="1440" w:type="dxa"/>
          </w:tcPr>
          <w:p w:rsidR="005B1004" w:rsidRPr="00D9623B" w:rsidRDefault="00EC3E07" w:rsidP="001B1A87">
            <w:pPr>
              <w:jc w:val="center"/>
            </w:pPr>
            <w:r>
              <w:t>-</w:t>
            </w:r>
            <w:r w:rsidR="005B1004">
              <w:t>128,4</w:t>
            </w:r>
          </w:p>
        </w:tc>
        <w:tc>
          <w:tcPr>
            <w:tcW w:w="1440" w:type="dxa"/>
          </w:tcPr>
          <w:p w:rsidR="005B1004" w:rsidRPr="00D9623B" w:rsidRDefault="00EC3E07" w:rsidP="00AD6F44">
            <w:pPr>
              <w:jc w:val="center"/>
            </w:pPr>
            <w:r>
              <w:t>-</w:t>
            </w:r>
            <w:r w:rsidR="005B1004">
              <w:t>128,4</w:t>
            </w:r>
          </w:p>
        </w:tc>
        <w:tc>
          <w:tcPr>
            <w:tcW w:w="1440" w:type="dxa"/>
          </w:tcPr>
          <w:p w:rsidR="005B1004" w:rsidRPr="00D9623B" w:rsidRDefault="00EC3E07" w:rsidP="00AD6F44">
            <w:pPr>
              <w:jc w:val="center"/>
            </w:pPr>
            <w:r>
              <w:t>-</w:t>
            </w:r>
            <w:r w:rsidR="005B1004">
              <w:t>128,4</w:t>
            </w:r>
          </w:p>
        </w:tc>
      </w:tr>
      <w:tr w:rsidR="005B1004">
        <w:tc>
          <w:tcPr>
            <w:tcW w:w="2268" w:type="dxa"/>
          </w:tcPr>
          <w:p w:rsidR="005B1004" w:rsidRPr="00D9623B" w:rsidRDefault="005B1004" w:rsidP="003E0A3D">
            <w:r w:rsidRPr="00D9623B">
              <w:t>5.2. speciālais budžets</w:t>
            </w:r>
          </w:p>
        </w:tc>
        <w:tc>
          <w:tcPr>
            <w:tcW w:w="1260" w:type="dxa"/>
            <w:vMerge/>
          </w:tcPr>
          <w:p w:rsidR="005B1004" w:rsidRPr="00D9623B" w:rsidRDefault="005B1004" w:rsidP="001B1A87">
            <w:pPr>
              <w:jc w:val="both"/>
            </w:pPr>
          </w:p>
        </w:tc>
        <w:tc>
          <w:tcPr>
            <w:tcW w:w="1440" w:type="dxa"/>
          </w:tcPr>
          <w:p w:rsidR="005B1004" w:rsidRPr="00D9623B" w:rsidRDefault="005B1004" w:rsidP="001B1A87">
            <w:pPr>
              <w:jc w:val="center"/>
            </w:pPr>
            <w:r w:rsidRPr="00D9623B">
              <w:t>0</w:t>
            </w:r>
          </w:p>
        </w:tc>
        <w:tc>
          <w:tcPr>
            <w:tcW w:w="1440" w:type="dxa"/>
          </w:tcPr>
          <w:p w:rsidR="005B1004" w:rsidRPr="00D9623B" w:rsidRDefault="005B1004" w:rsidP="001B1A87">
            <w:pPr>
              <w:jc w:val="center"/>
            </w:pPr>
            <w:r w:rsidRPr="00D9623B">
              <w:t>0</w:t>
            </w:r>
          </w:p>
        </w:tc>
        <w:tc>
          <w:tcPr>
            <w:tcW w:w="1440" w:type="dxa"/>
          </w:tcPr>
          <w:p w:rsidR="005B1004" w:rsidRPr="00D9623B" w:rsidRDefault="005B1004" w:rsidP="00AD6F44">
            <w:pPr>
              <w:jc w:val="center"/>
            </w:pPr>
            <w:r w:rsidRPr="00D9623B">
              <w:t>0</w:t>
            </w:r>
          </w:p>
        </w:tc>
        <w:tc>
          <w:tcPr>
            <w:tcW w:w="1440" w:type="dxa"/>
          </w:tcPr>
          <w:p w:rsidR="005B1004" w:rsidRPr="00D9623B" w:rsidRDefault="005B1004" w:rsidP="00AD6F44">
            <w:pPr>
              <w:jc w:val="center"/>
            </w:pPr>
            <w:r w:rsidRPr="00D9623B">
              <w:t>0</w:t>
            </w:r>
          </w:p>
        </w:tc>
      </w:tr>
      <w:tr w:rsidR="005B1004">
        <w:tc>
          <w:tcPr>
            <w:tcW w:w="2268" w:type="dxa"/>
          </w:tcPr>
          <w:p w:rsidR="005B1004" w:rsidRPr="00D9623B" w:rsidRDefault="005B1004" w:rsidP="003E0A3D">
            <w:r w:rsidRPr="00D9623B">
              <w:t> 5.3. pašvaldību budžets</w:t>
            </w:r>
          </w:p>
        </w:tc>
        <w:tc>
          <w:tcPr>
            <w:tcW w:w="1260" w:type="dxa"/>
            <w:vMerge/>
          </w:tcPr>
          <w:p w:rsidR="005B1004" w:rsidRPr="00D9623B" w:rsidRDefault="005B1004" w:rsidP="001B1A87">
            <w:pPr>
              <w:jc w:val="both"/>
            </w:pPr>
          </w:p>
        </w:tc>
        <w:tc>
          <w:tcPr>
            <w:tcW w:w="1440" w:type="dxa"/>
          </w:tcPr>
          <w:p w:rsidR="005B1004" w:rsidRPr="00D9623B" w:rsidRDefault="005B1004" w:rsidP="001B1A87">
            <w:pPr>
              <w:jc w:val="center"/>
            </w:pPr>
            <w:r w:rsidRPr="00D9623B">
              <w:t>0</w:t>
            </w:r>
          </w:p>
        </w:tc>
        <w:tc>
          <w:tcPr>
            <w:tcW w:w="1440" w:type="dxa"/>
          </w:tcPr>
          <w:p w:rsidR="005B1004" w:rsidRPr="00D9623B" w:rsidRDefault="005B1004" w:rsidP="001B1A87">
            <w:pPr>
              <w:jc w:val="center"/>
            </w:pPr>
            <w:r w:rsidRPr="00D9623B">
              <w:t>0</w:t>
            </w:r>
          </w:p>
        </w:tc>
        <w:tc>
          <w:tcPr>
            <w:tcW w:w="1440" w:type="dxa"/>
          </w:tcPr>
          <w:p w:rsidR="005B1004" w:rsidRPr="00D9623B" w:rsidRDefault="005B1004" w:rsidP="00AD6F44">
            <w:pPr>
              <w:jc w:val="center"/>
            </w:pPr>
            <w:r w:rsidRPr="00D9623B">
              <w:t>0</w:t>
            </w:r>
          </w:p>
        </w:tc>
        <w:tc>
          <w:tcPr>
            <w:tcW w:w="1440" w:type="dxa"/>
          </w:tcPr>
          <w:p w:rsidR="005B1004" w:rsidRPr="00D9623B" w:rsidRDefault="005B1004" w:rsidP="00AD6F44">
            <w:pPr>
              <w:jc w:val="center"/>
            </w:pPr>
            <w:r w:rsidRPr="00D9623B">
              <w:t>0</w:t>
            </w:r>
          </w:p>
        </w:tc>
      </w:tr>
      <w:tr w:rsidR="004247A3" w:rsidRPr="00103CBD">
        <w:tc>
          <w:tcPr>
            <w:tcW w:w="2268" w:type="dxa"/>
          </w:tcPr>
          <w:p w:rsidR="004247A3" w:rsidRPr="00103CBD" w:rsidRDefault="004247A3" w:rsidP="003E0A3D">
            <w:r w:rsidRPr="00103CBD">
              <w:t>6. Detalizēts ieņēmumu un izdevu</w:t>
            </w:r>
            <w:r w:rsidRPr="00103CBD">
              <w:softHyphen/>
              <w:t>mu aprēķins (ja nepieciešams, detalizētu ieņēmumu un izdevumu aprēķinu var pievienot anotācijas pielikumā):</w:t>
            </w:r>
          </w:p>
          <w:p w:rsidR="004247A3" w:rsidRPr="00103CBD" w:rsidRDefault="004247A3" w:rsidP="003E0A3D">
            <w:r w:rsidRPr="00103CBD">
              <w:t>6.1. detalizēts ieņēmumu aprēķins</w:t>
            </w:r>
          </w:p>
          <w:p w:rsidR="004247A3" w:rsidRPr="00103CBD" w:rsidRDefault="004247A3" w:rsidP="003E0A3D">
            <w:r w:rsidRPr="00103CBD">
              <w:t>6.2.detalizēts izdevumu aprēķins</w:t>
            </w:r>
          </w:p>
        </w:tc>
        <w:tc>
          <w:tcPr>
            <w:tcW w:w="7020" w:type="dxa"/>
            <w:gridSpan w:val="5"/>
          </w:tcPr>
          <w:p w:rsidR="004247A3" w:rsidRPr="00103CBD" w:rsidRDefault="004247A3" w:rsidP="000B3343">
            <w:pPr>
              <w:pStyle w:val="NormalWeb"/>
              <w:spacing w:before="0" w:beforeAutospacing="0" w:after="0"/>
              <w:ind w:firstLine="426"/>
              <w:jc w:val="both"/>
            </w:pPr>
            <w:r w:rsidRPr="00103CBD">
              <w:t>Rīkojuma projekts paredz  Finanšu ministrijai no valsts budžeta programmas 02.00.00 „Līdzekļi neparedzētiem gadījumiem” piešķirt Veselības ministrijai (Nacionālajam veselības dienestam) 114 276 latus, lai Veselības ministrijas padotības iestāde – Nacionālais veselības dienests, pārskaitītu finansējumu VSIA „Rīgas psihiatrijas un narkoloģijas centrs” un tas nodrošinātu tiesu psihiatrisko ekspertīžu veikšanu</w:t>
            </w:r>
            <w:r w:rsidR="00E341FF" w:rsidRPr="00103CBD">
              <w:t xml:space="preserve"> gan pieaugušajiem, gan bērniem</w:t>
            </w:r>
            <w:r w:rsidRPr="00103CBD">
              <w:t>, kā arī centra TPEPAC ekspertīžu bloka un piespiedu ārstēšanas nodaļas (Laktas ielā 6, Rīgā) papildus 7 gultas vietu izveidei, kā arī, lai nodrošinātu centra TPEPAC drošības sistēmu atjaunošanu-uzlabošanu un, lai salabotu un nomainītu pacientu sabojāto inventāru un ierīces 2013.gada 8 mēnešos.</w:t>
            </w:r>
          </w:p>
          <w:p w:rsidR="00E125EB" w:rsidRPr="00103CBD" w:rsidRDefault="00E125EB" w:rsidP="00E125EB">
            <w:pPr>
              <w:pStyle w:val="NormalWeb"/>
              <w:spacing w:before="0" w:beforeAutospacing="0" w:after="0"/>
              <w:jc w:val="both"/>
            </w:pPr>
          </w:p>
          <w:p w:rsidR="004247A3" w:rsidRPr="00103CBD" w:rsidRDefault="004247A3" w:rsidP="00CA7D43">
            <w:pPr>
              <w:jc w:val="both"/>
              <w:rPr>
                <w:b/>
                <w:bCs/>
                <w:u w:val="single"/>
              </w:rPr>
            </w:pPr>
            <w:r w:rsidRPr="00103CBD">
              <w:rPr>
                <w:b/>
                <w:bCs/>
                <w:sz w:val="22"/>
                <w:szCs w:val="22"/>
                <w:u w:val="single"/>
              </w:rPr>
              <w:t>Nepieciešamais papildu finansējums 2013.gadā 114 276 latu apmērā veidojas:</w:t>
            </w:r>
          </w:p>
          <w:p w:rsidR="004247A3" w:rsidRPr="00103CBD" w:rsidRDefault="004247A3" w:rsidP="003E0A3D">
            <w:pPr>
              <w:jc w:val="both"/>
            </w:pPr>
          </w:p>
          <w:p w:rsidR="004247A3" w:rsidRPr="00103CBD" w:rsidRDefault="004247A3" w:rsidP="00C962E4">
            <w:pPr>
              <w:pStyle w:val="ListParagraph"/>
              <w:numPr>
                <w:ilvl w:val="0"/>
                <w:numId w:val="7"/>
              </w:numPr>
              <w:tabs>
                <w:tab w:val="left" w:pos="284"/>
              </w:tabs>
              <w:spacing w:after="0" w:line="240" w:lineRule="auto"/>
              <w:ind w:left="142" w:hanging="142"/>
              <w:jc w:val="both"/>
              <w:rPr>
                <w:rFonts w:ascii="Times New Roman" w:hAnsi="Times New Roman" w:cs="Times New Roman"/>
                <w:sz w:val="24"/>
                <w:szCs w:val="24"/>
                <w:lang w:val="lv-LV"/>
              </w:rPr>
            </w:pPr>
            <w:r w:rsidRPr="00103CBD">
              <w:rPr>
                <w:rFonts w:ascii="Times New Roman" w:hAnsi="Times New Roman" w:cs="Times New Roman"/>
                <w:sz w:val="24"/>
                <w:szCs w:val="24"/>
                <w:lang w:val="lv-LV"/>
              </w:rPr>
              <w:t xml:space="preserve">Papildus izdevumi </w:t>
            </w:r>
            <w:r w:rsidRPr="00103CBD">
              <w:rPr>
                <w:rFonts w:ascii="Times New Roman" w:hAnsi="Times New Roman" w:cs="Times New Roman"/>
                <w:sz w:val="24"/>
                <w:szCs w:val="24"/>
                <w:u w:val="single"/>
                <w:lang w:val="lv-LV"/>
              </w:rPr>
              <w:t>68 897 latu apmērā</w:t>
            </w:r>
            <w:r w:rsidRPr="00103CBD">
              <w:rPr>
                <w:rFonts w:ascii="Times New Roman" w:hAnsi="Times New Roman" w:cs="Times New Roman"/>
                <w:sz w:val="24"/>
                <w:szCs w:val="24"/>
                <w:lang w:val="lv-LV"/>
              </w:rPr>
              <w:t xml:space="preserve"> (izdevumu kods 3000 „subsīdijas un dotācijas”), lai nodrošinātu centra TPEPAC ekspertīžu bloka un piespiedu ārstēšanas nodaļas (Laktas ielā 6, Rīgā) uzturēšanu 2013.gada 8 mēnešos – papildus septiņu gultas vietu </w:t>
            </w:r>
            <w:r w:rsidRPr="00103CBD">
              <w:rPr>
                <w:rFonts w:ascii="Times New Roman" w:hAnsi="Times New Roman" w:cs="Times New Roman"/>
                <w:sz w:val="24"/>
                <w:szCs w:val="24"/>
                <w:lang w:val="lv-LV"/>
              </w:rPr>
              <w:lastRenderedPageBreak/>
              <w:t>izveidei.</w:t>
            </w:r>
          </w:p>
          <w:p w:rsidR="004247A3" w:rsidRPr="00103CBD" w:rsidRDefault="004247A3" w:rsidP="00590B0E">
            <w:pPr>
              <w:pStyle w:val="tv2131"/>
              <w:tabs>
                <w:tab w:val="left" w:pos="468"/>
              </w:tabs>
              <w:spacing w:before="0" w:line="240" w:lineRule="auto"/>
              <w:ind w:left="45" w:firstLine="284"/>
              <w:rPr>
                <w:rFonts w:ascii="Times New Roman" w:hAnsi="Times New Roman" w:cs="Times New Roman"/>
                <w:sz w:val="24"/>
                <w:szCs w:val="24"/>
              </w:rPr>
            </w:pPr>
            <w:r w:rsidRPr="00103CBD">
              <w:rPr>
                <w:rFonts w:ascii="Times New Roman" w:hAnsi="Times New Roman" w:cs="Times New Roman"/>
                <w:sz w:val="24"/>
                <w:szCs w:val="24"/>
              </w:rPr>
              <w:t xml:space="preserve">TPEPAC darbības nodrošināšanai Centrs saņem tāmes </w:t>
            </w:r>
            <w:r w:rsidRPr="00103CBD">
              <w:rPr>
                <w:rFonts w:ascii="Times New Roman" w:hAnsi="Times New Roman" w:cs="Times New Roman"/>
                <w:sz w:val="24"/>
                <w:szCs w:val="24"/>
                <w:lang w:eastAsia="en-US"/>
              </w:rPr>
              <w:t>finansējumu</w:t>
            </w:r>
            <w:r w:rsidR="00590B0E" w:rsidRPr="00103CBD">
              <w:rPr>
                <w:rFonts w:ascii="Times New Roman" w:hAnsi="Times New Roman" w:cs="Times New Roman"/>
                <w:sz w:val="24"/>
                <w:szCs w:val="24"/>
                <w:lang w:eastAsia="en-US"/>
              </w:rPr>
              <w:t xml:space="preserve"> (ikmēneša fiksētos maksājumus) </w:t>
            </w:r>
            <w:r w:rsidRPr="00103CBD">
              <w:rPr>
                <w:rFonts w:ascii="Times New Roman" w:hAnsi="Times New Roman" w:cs="Times New Roman"/>
                <w:sz w:val="24"/>
                <w:szCs w:val="24"/>
                <w:lang w:eastAsia="en-US"/>
              </w:rPr>
              <w:t>2013.gadā 885 996 latu apmērā:</w:t>
            </w:r>
          </w:p>
          <w:p w:rsidR="004247A3" w:rsidRPr="00103CBD" w:rsidRDefault="004247A3" w:rsidP="006D5EDC">
            <w:pPr>
              <w:tabs>
                <w:tab w:val="left" w:pos="284"/>
              </w:tabs>
              <w:jc w:val="both"/>
            </w:pPr>
            <w:r w:rsidRPr="00103CBD">
              <w:t>EKK 1000 – Ls 634 823</w:t>
            </w:r>
          </w:p>
          <w:p w:rsidR="004247A3" w:rsidRPr="00103CBD" w:rsidRDefault="004247A3" w:rsidP="006D5EDC">
            <w:pPr>
              <w:tabs>
                <w:tab w:val="left" w:pos="284"/>
              </w:tabs>
              <w:jc w:val="both"/>
            </w:pPr>
            <w:r w:rsidRPr="00103CBD">
              <w:t>Tai skaitā EKK 1100 – Ls 512 665</w:t>
            </w:r>
          </w:p>
          <w:p w:rsidR="004247A3" w:rsidRPr="00103CBD" w:rsidRDefault="004247A3" w:rsidP="006D5EDC">
            <w:pPr>
              <w:tabs>
                <w:tab w:val="left" w:pos="284"/>
              </w:tabs>
              <w:jc w:val="both"/>
            </w:pPr>
            <w:r w:rsidRPr="00103CBD">
              <w:t>EKK 2000 – Ls 218 521</w:t>
            </w:r>
          </w:p>
          <w:p w:rsidR="004247A3" w:rsidRPr="00103CBD" w:rsidRDefault="004247A3" w:rsidP="006D5EDC">
            <w:pPr>
              <w:tabs>
                <w:tab w:val="left" w:pos="284"/>
              </w:tabs>
              <w:jc w:val="both"/>
            </w:pPr>
            <w:r w:rsidRPr="00103CBD">
              <w:t>EKK 5000 – Ls 32 652.</w:t>
            </w:r>
          </w:p>
          <w:p w:rsidR="004247A3" w:rsidRPr="00103CBD" w:rsidRDefault="004247A3" w:rsidP="00126749">
            <w:pPr>
              <w:tabs>
                <w:tab w:val="left" w:pos="284"/>
              </w:tabs>
              <w:ind w:firstLine="284"/>
              <w:jc w:val="both"/>
              <w:rPr>
                <w:lang w:eastAsia="en-US"/>
              </w:rPr>
            </w:pPr>
            <w:r w:rsidRPr="00103CBD">
              <w:rPr>
                <w:lang w:eastAsia="en-US"/>
              </w:rPr>
              <w:t xml:space="preserve">Šis finansējums tiek saplānots uz esošajām 60 gultas vietām (45 A blokā un 15 </w:t>
            </w:r>
            <w:r w:rsidR="00713A61" w:rsidRPr="00103CBD">
              <w:rPr>
                <w:lang w:eastAsia="en-US"/>
              </w:rPr>
              <w:t>E</w:t>
            </w:r>
            <w:r w:rsidRPr="00103CBD">
              <w:rPr>
                <w:lang w:eastAsia="en-US"/>
              </w:rPr>
              <w:t xml:space="preserve"> blokā) – Ls 1 230,29 vienas gultas vietas izmaksas precēm un pakalpojumiem gadā).</w:t>
            </w:r>
          </w:p>
          <w:p w:rsidR="004211BC" w:rsidRPr="00103CBD" w:rsidRDefault="004247A3" w:rsidP="00C962E4">
            <w:pPr>
              <w:jc w:val="both"/>
            </w:pPr>
            <w:r w:rsidRPr="00103CBD">
              <w:rPr>
                <w:lang w:eastAsia="en-US"/>
              </w:rPr>
              <w:t>Finansējums nepieciešams papildus līguma ar Nacionālo veselības dienesta tāmei septiņu papildus gultas vietu izveidei 2013.gada 8 mēnešiem</w:t>
            </w:r>
            <w:r w:rsidRPr="00103CBD">
              <w:t xml:space="preserve"> - Ls 1 230,29  x 7 gultas vietas x 8 mēneši = Ls 68 897</w:t>
            </w:r>
            <w:r w:rsidRPr="00103CBD">
              <w:rPr>
                <w:vanish/>
              </w:rPr>
              <w:t xml:space="preserve"> mekspertīžu veikšanu 2010</w:t>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004211BC" w:rsidRPr="00103CBD">
              <w:t xml:space="preserve"> t.sk.,</w:t>
            </w:r>
          </w:p>
          <w:p w:rsidR="004211BC" w:rsidRPr="00103CBD" w:rsidRDefault="004211BC" w:rsidP="004211BC">
            <w:pPr>
              <w:tabs>
                <w:tab w:val="left" w:pos="284"/>
              </w:tabs>
              <w:jc w:val="both"/>
            </w:pPr>
            <w:r w:rsidRPr="00103CBD">
              <w:t>EKK 1000 – Ls 53</w:t>
            </w:r>
            <w:r w:rsidR="00972FD9" w:rsidRPr="00103CBD">
              <w:t> </w:t>
            </w:r>
            <w:r w:rsidRPr="00103CBD">
              <w:t>600</w:t>
            </w:r>
            <w:r w:rsidR="00972FD9" w:rsidRPr="00103CBD">
              <w:t xml:space="preserve"> (TPEPAC papildus 16 štata vietām)</w:t>
            </w:r>
          </w:p>
          <w:p w:rsidR="004211BC" w:rsidRPr="00103CBD" w:rsidRDefault="004211BC" w:rsidP="004211BC">
            <w:pPr>
              <w:tabs>
                <w:tab w:val="left" w:pos="284"/>
              </w:tabs>
              <w:jc w:val="both"/>
            </w:pPr>
            <w:r w:rsidRPr="00103CBD">
              <w:t>Tai skaitā EKK 1100 – Ls 43</w:t>
            </w:r>
            <w:r w:rsidR="00972FD9" w:rsidRPr="00103CBD">
              <w:t> </w:t>
            </w:r>
            <w:r w:rsidRPr="00103CBD">
              <w:t>280</w:t>
            </w:r>
            <w:r w:rsidR="00972FD9" w:rsidRPr="00103CBD">
              <w:t xml:space="preserve"> (TPEPAC papildus 16 štata vietām)</w:t>
            </w:r>
          </w:p>
          <w:p w:rsidR="004211BC" w:rsidRPr="00103CBD" w:rsidRDefault="004211BC" w:rsidP="004211BC">
            <w:pPr>
              <w:tabs>
                <w:tab w:val="left" w:pos="284"/>
              </w:tabs>
              <w:jc w:val="both"/>
            </w:pPr>
            <w:r w:rsidRPr="00103CBD">
              <w:t xml:space="preserve">EKK 2000 – Ls </w:t>
            </w:r>
            <w:r w:rsidR="00972FD9" w:rsidRPr="00103CBD">
              <w:t>15 297.</w:t>
            </w:r>
          </w:p>
          <w:p w:rsidR="004247A3" w:rsidRPr="00103CBD" w:rsidRDefault="004247A3" w:rsidP="003E0A3D">
            <w:pPr>
              <w:jc w:val="both"/>
            </w:pPr>
          </w:p>
          <w:p w:rsidR="004247A3" w:rsidRPr="00103CBD" w:rsidRDefault="004247A3" w:rsidP="00717ED1">
            <w:pPr>
              <w:pStyle w:val="ListParagraph"/>
              <w:numPr>
                <w:ilvl w:val="0"/>
                <w:numId w:val="7"/>
              </w:numPr>
              <w:tabs>
                <w:tab w:val="left" w:pos="284"/>
              </w:tabs>
              <w:spacing w:after="0" w:line="240" w:lineRule="auto"/>
              <w:ind w:left="142" w:hanging="142"/>
              <w:jc w:val="both"/>
              <w:rPr>
                <w:rFonts w:ascii="Times New Roman" w:hAnsi="Times New Roman" w:cs="Times New Roman"/>
                <w:sz w:val="24"/>
                <w:szCs w:val="24"/>
                <w:lang w:val="lv-LV"/>
              </w:rPr>
            </w:pPr>
            <w:r w:rsidRPr="00103CBD">
              <w:rPr>
                <w:rFonts w:ascii="Times New Roman" w:hAnsi="Times New Roman" w:cs="Times New Roman"/>
                <w:sz w:val="24"/>
                <w:szCs w:val="24"/>
                <w:lang w:val="lv-LV"/>
              </w:rPr>
              <w:t xml:space="preserve">Papildus izdevumi </w:t>
            </w:r>
            <w:r w:rsidRPr="00103CBD">
              <w:rPr>
                <w:rFonts w:ascii="Times New Roman" w:hAnsi="Times New Roman" w:cs="Times New Roman"/>
                <w:sz w:val="24"/>
                <w:szCs w:val="24"/>
                <w:u w:val="single"/>
                <w:lang w:val="lv-LV"/>
              </w:rPr>
              <w:t>28 656 latu apmērā</w:t>
            </w:r>
            <w:r w:rsidRPr="00103CBD">
              <w:rPr>
                <w:rFonts w:ascii="Times New Roman" w:hAnsi="Times New Roman" w:cs="Times New Roman"/>
                <w:sz w:val="24"/>
                <w:szCs w:val="24"/>
                <w:lang w:val="lv-LV"/>
              </w:rPr>
              <w:t xml:space="preserve"> (izdevumu kods 3000 „subsīdijas un dotācijas”), lai nodrošinātu centra TPEPAC drošības si</w:t>
            </w:r>
            <w:r w:rsidR="00DC2E80" w:rsidRPr="00103CBD">
              <w:rPr>
                <w:rFonts w:ascii="Times New Roman" w:hAnsi="Times New Roman" w:cs="Times New Roman"/>
                <w:sz w:val="24"/>
                <w:szCs w:val="24"/>
                <w:lang w:val="lv-LV"/>
              </w:rPr>
              <w:t>stēmu atjaunošanu un</w:t>
            </w:r>
            <w:r w:rsidRPr="00103CBD">
              <w:rPr>
                <w:rFonts w:ascii="Times New Roman" w:hAnsi="Times New Roman" w:cs="Times New Roman"/>
                <w:sz w:val="24"/>
                <w:szCs w:val="24"/>
                <w:lang w:val="lv-LV"/>
              </w:rPr>
              <w:t xml:space="preserve"> lai salabotu un nomainītu pacientu sabojāto inventāru un ierīces 2013.gada 8 mēnešos tai skaitā:</w:t>
            </w:r>
          </w:p>
          <w:p w:rsidR="004247A3" w:rsidRPr="00103CBD" w:rsidRDefault="004247A3" w:rsidP="00717ED1">
            <w:pPr>
              <w:pStyle w:val="ListParagraph"/>
              <w:numPr>
                <w:ilvl w:val="1"/>
                <w:numId w:val="7"/>
              </w:numPr>
              <w:spacing w:after="0" w:line="240" w:lineRule="auto"/>
              <w:ind w:left="567" w:hanging="425"/>
              <w:jc w:val="both"/>
              <w:rPr>
                <w:rFonts w:ascii="Times New Roman" w:hAnsi="Times New Roman" w:cs="Times New Roman"/>
                <w:sz w:val="24"/>
                <w:szCs w:val="24"/>
                <w:lang w:val="lv-LV"/>
              </w:rPr>
            </w:pPr>
            <w:r w:rsidRPr="00103CBD">
              <w:rPr>
                <w:rFonts w:ascii="Times New Roman" w:hAnsi="Times New Roman" w:cs="Times New Roman"/>
                <w:sz w:val="24"/>
                <w:szCs w:val="24"/>
                <w:lang w:val="lv-LV"/>
              </w:rPr>
              <w:t>pacientu pastaigu laukuma norobežošana no siltumnīcas un saimniecības daļas ar žogu – Ls 3 000;</w:t>
            </w:r>
          </w:p>
          <w:p w:rsidR="004247A3" w:rsidRPr="00103CBD" w:rsidRDefault="004247A3" w:rsidP="00717ED1">
            <w:pPr>
              <w:pStyle w:val="ListParagraph"/>
              <w:numPr>
                <w:ilvl w:val="1"/>
                <w:numId w:val="7"/>
              </w:numPr>
              <w:spacing w:after="0" w:line="240" w:lineRule="auto"/>
              <w:ind w:left="567" w:hanging="425"/>
              <w:jc w:val="both"/>
              <w:rPr>
                <w:rFonts w:ascii="Times New Roman" w:hAnsi="Times New Roman" w:cs="Times New Roman"/>
                <w:sz w:val="24"/>
                <w:szCs w:val="24"/>
                <w:lang w:val="lv-LV"/>
              </w:rPr>
            </w:pPr>
            <w:r w:rsidRPr="00103CBD">
              <w:rPr>
                <w:rFonts w:ascii="Times New Roman" w:hAnsi="Times New Roman" w:cs="Times New Roman"/>
                <w:sz w:val="24"/>
                <w:szCs w:val="24"/>
                <w:lang w:val="lv-LV"/>
              </w:rPr>
              <w:t>videonovērošanas sistēmas pārbūve – Ls 1 887;</w:t>
            </w:r>
          </w:p>
          <w:p w:rsidR="004247A3" w:rsidRPr="00103CBD" w:rsidRDefault="004247A3" w:rsidP="00717ED1">
            <w:pPr>
              <w:pStyle w:val="ListParagraph"/>
              <w:numPr>
                <w:ilvl w:val="1"/>
                <w:numId w:val="7"/>
              </w:numPr>
              <w:spacing w:after="0" w:line="240" w:lineRule="auto"/>
              <w:ind w:left="567" w:hanging="425"/>
              <w:jc w:val="both"/>
              <w:rPr>
                <w:rFonts w:ascii="Times New Roman" w:hAnsi="Times New Roman" w:cs="Times New Roman"/>
                <w:sz w:val="24"/>
                <w:szCs w:val="24"/>
                <w:lang w:val="lv-LV"/>
              </w:rPr>
            </w:pPr>
            <w:r w:rsidRPr="00103CBD">
              <w:rPr>
                <w:rFonts w:ascii="Times New Roman" w:hAnsi="Times New Roman" w:cs="Times New Roman"/>
                <w:sz w:val="24"/>
                <w:szCs w:val="24"/>
                <w:lang w:val="lv-LV"/>
              </w:rPr>
              <w:t>perimetra drošības sistēmas pārbūve un papildināšana – Ls 7153;</w:t>
            </w:r>
          </w:p>
          <w:p w:rsidR="004247A3" w:rsidRPr="00103CBD" w:rsidRDefault="004247A3" w:rsidP="00717ED1">
            <w:pPr>
              <w:pStyle w:val="ListParagraph"/>
              <w:numPr>
                <w:ilvl w:val="1"/>
                <w:numId w:val="7"/>
              </w:numPr>
              <w:spacing w:after="0" w:line="240" w:lineRule="auto"/>
              <w:ind w:left="567" w:hanging="425"/>
              <w:jc w:val="both"/>
              <w:rPr>
                <w:rFonts w:ascii="Times New Roman" w:hAnsi="Times New Roman" w:cs="Times New Roman"/>
                <w:sz w:val="24"/>
                <w:szCs w:val="24"/>
                <w:lang w:val="lv-LV"/>
              </w:rPr>
            </w:pPr>
            <w:r w:rsidRPr="00103CBD">
              <w:rPr>
                <w:rFonts w:ascii="Times New Roman" w:hAnsi="Times New Roman" w:cs="Times New Roman"/>
                <w:sz w:val="24"/>
                <w:szCs w:val="24"/>
                <w:lang w:val="lv-LV"/>
              </w:rPr>
              <w:t>automašīnu stāvlaukuma TPEPAC teritorijā remonts avārijas situācijas novēršanai un jaunam asfalta segumam – Ls 5 000;</w:t>
            </w:r>
          </w:p>
          <w:p w:rsidR="004247A3" w:rsidRPr="00103CBD" w:rsidRDefault="004247A3" w:rsidP="00717ED1">
            <w:pPr>
              <w:pStyle w:val="ListParagraph"/>
              <w:numPr>
                <w:ilvl w:val="1"/>
                <w:numId w:val="7"/>
              </w:numPr>
              <w:spacing w:after="0" w:line="240" w:lineRule="auto"/>
              <w:ind w:left="567" w:hanging="425"/>
              <w:jc w:val="both"/>
              <w:rPr>
                <w:rFonts w:ascii="Times New Roman" w:hAnsi="Times New Roman" w:cs="Times New Roman"/>
                <w:sz w:val="24"/>
                <w:szCs w:val="24"/>
                <w:lang w:val="lv-LV"/>
              </w:rPr>
            </w:pPr>
            <w:r w:rsidRPr="00103CBD">
              <w:rPr>
                <w:rFonts w:ascii="Times New Roman" w:hAnsi="Times New Roman" w:cs="Times New Roman"/>
                <w:sz w:val="24"/>
                <w:szCs w:val="24"/>
                <w:lang w:val="lv-LV"/>
              </w:rPr>
              <w:t>piekļuves kontroles sistēmas ierīkošana – Ls 5939;</w:t>
            </w:r>
          </w:p>
          <w:p w:rsidR="004247A3" w:rsidRPr="00103CBD" w:rsidRDefault="004247A3" w:rsidP="00717ED1">
            <w:pPr>
              <w:pStyle w:val="ListParagraph"/>
              <w:numPr>
                <w:ilvl w:val="1"/>
                <w:numId w:val="7"/>
              </w:numPr>
              <w:spacing w:after="0" w:line="240" w:lineRule="auto"/>
              <w:ind w:left="567" w:hanging="425"/>
              <w:jc w:val="both"/>
              <w:rPr>
                <w:rFonts w:ascii="Times New Roman" w:hAnsi="Times New Roman" w:cs="Times New Roman"/>
                <w:sz w:val="24"/>
                <w:szCs w:val="24"/>
                <w:lang w:val="lv-LV"/>
              </w:rPr>
            </w:pPr>
            <w:r w:rsidRPr="00103CBD">
              <w:rPr>
                <w:rFonts w:ascii="Times New Roman" w:hAnsi="Times New Roman" w:cs="Times New Roman"/>
                <w:sz w:val="24"/>
                <w:szCs w:val="24"/>
                <w:lang w:val="lv-LV"/>
              </w:rPr>
              <w:t>logu un dušas telpas durvju nomaiņa – Ls 5677.</w:t>
            </w:r>
          </w:p>
          <w:p w:rsidR="00590B0E" w:rsidRPr="00103CBD" w:rsidRDefault="00590B0E" w:rsidP="00590B0E">
            <w:pPr>
              <w:pStyle w:val="ListParagraph"/>
              <w:spacing w:after="0" w:line="240" w:lineRule="auto"/>
              <w:ind w:left="0"/>
              <w:jc w:val="both"/>
              <w:rPr>
                <w:rFonts w:ascii="Times New Roman" w:hAnsi="Times New Roman" w:cs="Times New Roman"/>
                <w:sz w:val="24"/>
                <w:szCs w:val="24"/>
                <w:lang w:val="lv-LV"/>
              </w:rPr>
            </w:pPr>
          </w:p>
          <w:p w:rsidR="00590B0E" w:rsidRPr="00103CBD" w:rsidRDefault="00590B0E" w:rsidP="00590B0E">
            <w:pPr>
              <w:pStyle w:val="ListParagraph"/>
              <w:numPr>
                <w:ilvl w:val="0"/>
                <w:numId w:val="7"/>
              </w:numPr>
              <w:tabs>
                <w:tab w:val="left" w:pos="284"/>
              </w:tabs>
              <w:spacing w:after="0" w:line="240" w:lineRule="auto"/>
              <w:ind w:left="142" w:hanging="142"/>
              <w:jc w:val="both"/>
              <w:rPr>
                <w:rFonts w:ascii="Times New Roman" w:hAnsi="Times New Roman" w:cs="Times New Roman"/>
                <w:sz w:val="24"/>
                <w:szCs w:val="24"/>
                <w:lang w:val="lv-LV"/>
              </w:rPr>
            </w:pPr>
            <w:r w:rsidRPr="00103CBD">
              <w:rPr>
                <w:rFonts w:ascii="Times New Roman" w:hAnsi="Times New Roman" w:cs="Times New Roman"/>
                <w:sz w:val="24"/>
                <w:szCs w:val="24"/>
                <w:lang w:val="lv-LV"/>
              </w:rPr>
              <w:t xml:space="preserve">Papildus izdevumi </w:t>
            </w:r>
            <w:r w:rsidRPr="00103CBD">
              <w:rPr>
                <w:rFonts w:ascii="Times New Roman" w:hAnsi="Times New Roman" w:cs="Times New Roman"/>
                <w:sz w:val="24"/>
                <w:szCs w:val="24"/>
                <w:u w:val="single"/>
                <w:lang w:val="lv-LV"/>
              </w:rPr>
              <w:t>16 723 latu apmērā</w:t>
            </w:r>
            <w:r w:rsidRPr="00103CBD">
              <w:rPr>
                <w:rFonts w:ascii="Times New Roman" w:hAnsi="Times New Roman" w:cs="Times New Roman"/>
                <w:sz w:val="24"/>
                <w:szCs w:val="24"/>
                <w:lang w:val="lv-LV"/>
              </w:rPr>
              <w:t xml:space="preserve"> (izdevumu kods 3000 „subsīdijas un dotācijas”), lai nodrošinātu 168 tiesu psihiatrisko ekspertīžu veikšanu gan bērniem, gan pieaugušajiem 2013.gada 8 mēnešos. </w:t>
            </w:r>
          </w:p>
          <w:p w:rsidR="00590B0E" w:rsidRPr="00103CBD" w:rsidRDefault="00590B0E" w:rsidP="00590B0E">
            <w:pPr>
              <w:jc w:val="both"/>
            </w:pPr>
            <w:r w:rsidRPr="00103CBD">
              <w:t>Vienas ekspertīzes cena Ls 99,54 x 21 ekspertīzes mēnesī x 8 mēneši = Ls 16 723</w:t>
            </w:r>
            <w:r w:rsidRPr="00103CBD">
              <w:rPr>
                <w:vanish/>
              </w:rPr>
              <w:t xml:space="preserve"> mekspertīžu veikšanu 2010</w:t>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t xml:space="preserve">. </w:t>
            </w:r>
          </w:p>
          <w:p w:rsidR="00590B0E" w:rsidRPr="00103CBD" w:rsidRDefault="00590B0E" w:rsidP="00126749">
            <w:pPr>
              <w:jc w:val="both"/>
            </w:pPr>
            <w:r w:rsidRPr="00103CBD">
              <w:t>Vienas psihiatriskās ekspertīzes cena (99,54 lati) ir noteikta 2006.gada 19.decembra Ministru kabineta noteikumos Nr.1046 „Veselības aprūpes organizēšanas un finansēšanas kārtība”.</w:t>
            </w:r>
          </w:p>
          <w:p w:rsidR="00B334B3" w:rsidRPr="00103CBD" w:rsidRDefault="00B334B3" w:rsidP="00126749">
            <w:pPr>
              <w:jc w:val="both"/>
            </w:pPr>
          </w:p>
          <w:p w:rsidR="00B334B3" w:rsidRPr="00103CBD" w:rsidRDefault="00B334B3" w:rsidP="00B334B3">
            <w:pPr>
              <w:jc w:val="both"/>
              <w:rPr>
                <w:b/>
                <w:bCs/>
                <w:u w:val="single"/>
              </w:rPr>
            </w:pPr>
            <w:r w:rsidRPr="00103CBD">
              <w:rPr>
                <w:b/>
                <w:bCs/>
                <w:sz w:val="22"/>
                <w:szCs w:val="22"/>
                <w:u w:val="single"/>
              </w:rPr>
              <w:t xml:space="preserve">Nepieciešamais papildu finansējums 2014.gadā un turpmāk ik gadus </w:t>
            </w:r>
            <w:r w:rsidR="00F84BF8" w:rsidRPr="00103CBD">
              <w:rPr>
                <w:b/>
                <w:bCs/>
                <w:sz w:val="22"/>
                <w:szCs w:val="22"/>
                <w:u w:val="single"/>
              </w:rPr>
              <w:t>128 430</w:t>
            </w:r>
            <w:r w:rsidRPr="00103CBD">
              <w:rPr>
                <w:b/>
                <w:bCs/>
                <w:sz w:val="22"/>
                <w:szCs w:val="22"/>
                <w:u w:val="single"/>
              </w:rPr>
              <w:t xml:space="preserve"> latu apmērā veidojas:</w:t>
            </w:r>
          </w:p>
          <w:p w:rsidR="00B334B3" w:rsidRPr="00103CBD" w:rsidRDefault="00B334B3" w:rsidP="00B334B3">
            <w:pPr>
              <w:jc w:val="both"/>
            </w:pPr>
          </w:p>
          <w:p w:rsidR="00B334B3" w:rsidRPr="00103CBD" w:rsidRDefault="00B334B3" w:rsidP="00811071">
            <w:pPr>
              <w:pStyle w:val="ListParagraph"/>
              <w:numPr>
                <w:ilvl w:val="0"/>
                <w:numId w:val="15"/>
              </w:numPr>
              <w:tabs>
                <w:tab w:val="left" w:pos="142"/>
              </w:tabs>
              <w:spacing w:after="0" w:line="240" w:lineRule="auto"/>
              <w:ind w:left="426" w:hanging="284"/>
              <w:jc w:val="both"/>
              <w:rPr>
                <w:rFonts w:ascii="Times New Roman" w:hAnsi="Times New Roman" w:cs="Times New Roman"/>
                <w:sz w:val="24"/>
                <w:szCs w:val="24"/>
                <w:lang w:val="lv-LV"/>
              </w:rPr>
            </w:pPr>
            <w:r w:rsidRPr="00103CBD">
              <w:rPr>
                <w:rFonts w:ascii="Times New Roman" w:hAnsi="Times New Roman" w:cs="Times New Roman"/>
                <w:sz w:val="24"/>
                <w:szCs w:val="24"/>
                <w:lang w:val="lv-LV"/>
              </w:rPr>
              <w:t xml:space="preserve">Papildus izdevumi </w:t>
            </w:r>
            <w:r w:rsidR="00AF3BC1" w:rsidRPr="00103CBD">
              <w:rPr>
                <w:rFonts w:ascii="Times New Roman" w:hAnsi="Times New Roman" w:cs="Times New Roman"/>
                <w:sz w:val="24"/>
                <w:szCs w:val="24"/>
                <w:u w:val="single"/>
                <w:lang w:val="lv-LV"/>
              </w:rPr>
              <w:t>103 345</w:t>
            </w:r>
            <w:r w:rsidRPr="00103CBD">
              <w:rPr>
                <w:rFonts w:ascii="Times New Roman" w:hAnsi="Times New Roman" w:cs="Times New Roman"/>
                <w:sz w:val="24"/>
                <w:szCs w:val="24"/>
                <w:u w:val="single"/>
                <w:lang w:val="lv-LV"/>
              </w:rPr>
              <w:t xml:space="preserve"> latu apmērā</w:t>
            </w:r>
            <w:r w:rsidRPr="00103CBD">
              <w:rPr>
                <w:rFonts w:ascii="Times New Roman" w:hAnsi="Times New Roman" w:cs="Times New Roman"/>
                <w:sz w:val="24"/>
                <w:szCs w:val="24"/>
                <w:lang w:val="lv-LV"/>
              </w:rPr>
              <w:t xml:space="preserve"> (izdevumu kods 3000 „subsīdijas un dotācijas”), lai nodrošinātu centra TPEPAC ekspertīžu bloka un piespiedu ārstēšanas nodaļas (Laktas ielā 6, Rīgā) uzturēšanu</w:t>
            </w:r>
            <w:r w:rsidR="00094F9E" w:rsidRPr="00103CBD">
              <w:rPr>
                <w:rFonts w:ascii="Times New Roman" w:hAnsi="Times New Roman" w:cs="Times New Roman"/>
                <w:sz w:val="24"/>
                <w:szCs w:val="24"/>
                <w:lang w:val="lv-LV"/>
              </w:rPr>
              <w:t xml:space="preserve"> – papildus septiņu gultas vietas</w:t>
            </w:r>
            <w:r w:rsidRPr="00103CBD">
              <w:rPr>
                <w:rFonts w:ascii="Times New Roman" w:hAnsi="Times New Roman" w:cs="Times New Roman"/>
                <w:sz w:val="24"/>
                <w:szCs w:val="24"/>
                <w:lang w:val="lv-LV"/>
              </w:rPr>
              <w:t>.</w:t>
            </w:r>
          </w:p>
          <w:p w:rsidR="00B334B3" w:rsidRPr="00103CBD" w:rsidRDefault="00B334B3" w:rsidP="00B334B3">
            <w:pPr>
              <w:pStyle w:val="tv2131"/>
              <w:tabs>
                <w:tab w:val="left" w:pos="468"/>
              </w:tabs>
              <w:spacing w:before="0" w:line="240" w:lineRule="auto"/>
              <w:ind w:left="45" w:firstLine="284"/>
              <w:rPr>
                <w:rFonts w:ascii="Times New Roman" w:hAnsi="Times New Roman" w:cs="Times New Roman"/>
                <w:sz w:val="24"/>
                <w:szCs w:val="24"/>
              </w:rPr>
            </w:pPr>
            <w:r w:rsidRPr="00103CBD">
              <w:rPr>
                <w:rFonts w:ascii="Times New Roman" w:hAnsi="Times New Roman" w:cs="Times New Roman"/>
                <w:sz w:val="24"/>
                <w:szCs w:val="24"/>
              </w:rPr>
              <w:lastRenderedPageBreak/>
              <w:t xml:space="preserve">TPEPAC darbības nodrošināšanai Centrs saņem tāmes </w:t>
            </w:r>
            <w:r w:rsidRPr="00103CBD">
              <w:rPr>
                <w:rFonts w:ascii="Times New Roman" w:hAnsi="Times New Roman" w:cs="Times New Roman"/>
                <w:sz w:val="24"/>
                <w:szCs w:val="24"/>
                <w:lang w:eastAsia="en-US"/>
              </w:rPr>
              <w:t>finansējumu (ikmēneša fiksētos maksājumus) 2013.gadā 885 996 latu apmērā:</w:t>
            </w:r>
          </w:p>
          <w:p w:rsidR="00B334B3" w:rsidRPr="00103CBD" w:rsidRDefault="00B334B3" w:rsidP="00B334B3">
            <w:pPr>
              <w:tabs>
                <w:tab w:val="left" w:pos="284"/>
              </w:tabs>
              <w:jc w:val="both"/>
            </w:pPr>
            <w:r w:rsidRPr="00103CBD">
              <w:t>EKK 1000 – Ls 634 823</w:t>
            </w:r>
          </w:p>
          <w:p w:rsidR="00B334B3" w:rsidRPr="00103CBD" w:rsidRDefault="00B334B3" w:rsidP="00B334B3">
            <w:pPr>
              <w:tabs>
                <w:tab w:val="left" w:pos="284"/>
              </w:tabs>
              <w:jc w:val="both"/>
            </w:pPr>
            <w:r w:rsidRPr="00103CBD">
              <w:t>Tai skaitā EKK 1100 – Ls 512 665</w:t>
            </w:r>
          </w:p>
          <w:p w:rsidR="00B334B3" w:rsidRPr="00103CBD" w:rsidRDefault="00B334B3" w:rsidP="00B334B3">
            <w:pPr>
              <w:tabs>
                <w:tab w:val="left" w:pos="284"/>
              </w:tabs>
              <w:jc w:val="both"/>
            </w:pPr>
            <w:r w:rsidRPr="00103CBD">
              <w:t>EKK 2000 – Ls 218 521</w:t>
            </w:r>
          </w:p>
          <w:p w:rsidR="00B334B3" w:rsidRPr="00103CBD" w:rsidRDefault="00B334B3" w:rsidP="00B334B3">
            <w:pPr>
              <w:tabs>
                <w:tab w:val="left" w:pos="284"/>
              </w:tabs>
              <w:jc w:val="both"/>
            </w:pPr>
            <w:r w:rsidRPr="00103CBD">
              <w:t>EKK 5000 – Ls 32 652.</w:t>
            </w:r>
          </w:p>
          <w:p w:rsidR="00B334B3" w:rsidRPr="00103CBD" w:rsidRDefault="00B334B3" w:rsidP="00B334B3">
            <w:pPr>
              <w:tabs>
                <w:tab w:val="left" w:pos="284"/>
              </w:tabs>
              <w:ind w:firstLine="284"/>
              <w:jc w:val="both"/>
              <w:rPr>
                <w:lang w:eastAsia="en-US"/>
              </w:rPr>
            </w:pPr>
            <w:r w:rsidRPr="00103CBD">
              <w:rPr>
                <w:lang w:eastAsia="en-US"/>
              </w:rPr>
              <w:t>Šis finansējums tiek saplānots uz esošajām 60 gultas vietām (45 A blokā un 15 E blokā) – Ls 1 230,29 vienas gultas vietas izmaksas precēm un pakalpojumiem gadā).</w:t>
            </w:r>
          </w:p>
          <w:p w:rsidR="00B334B3" w:rsidRPr="00103CBD" w:rsidRDefault="00B334B3" w:rsidP="00B334B3">
            <w:pPr>
              <w:jc w:val="both"/>
            </w:pPr>
            <w:r w:rsidRPr="00103CBD">
              <w:rPr>
                <w:lang w:eastAsia="en-US"/>
              </w:rPr>
              <w:t xml:space="preserve">Finansējums nepieciešams papildus līguma ar Nacionālo veselības dienesta tāmei septiņu papildus gultas vietu </w:t>
            </w:r>
            <w:r w:rsidR="00094F9E" w:rsidRPr="00103CBD">
              <w:rPr>
                <w:lang w:eastAsia="en-US"/>
              </w:rPr>
              <w:t>uzturēšanai</w:t>
            </w:r>
            <w:r w:rsidRPr="00103CBD">
              <w:rPr>
                <w:lang w:eastAsia="en-US"/>
              </w:rPr>
              <w:t xml:space="preserve"> </w:t>
            </w:r>
            <w:r w:rsidR="00094F9E" w:rsidRPr="00103CBD">
              <w:rPr>
                <w:lang w:eastAsia="en-US"/>
              </w:rPr>
              <w:t>gadam</w:t>
            </w:r>
            <w:r w:rsidRPr="00103CBD">
              <w:t xml:space="preserve"> - Ls 1 230,29  x 7 gultas vietas x </w:t>
            </w:r>
            <w:r w:rsidR="00094F9E" w:rsidRPr="00103CBD">
              <w:t>12</w:t>
            </w:r>
            <w:r w:rsidRPr="00103CBD">
              <w:t xml:space="preserve"> mēneši = Ls </w:t>
            </w:r>
            <w:r w:rsidR="00094F9E" w:rsidRPr="00103CBD">
              <w:t xml:space="preserve">103 345 </w:t>
            </w:r>
            <w:r w:rsidRPr="00103CBD">
              <w:t>t.sk.,</w:t>
            </w:r>
          </w:p>
          <w:p w:rsidR="00B334B3" w:rsidRPr="00103CBD" w:rsidRDefault="00B334B3" w:rsidP="00B334B3">
            <w:pPr>
              <w:tabs>
                <w:tab w:val="left" w:pos="284"/>
              </w:tabs>
              <w:jc w:val="both"/>
            </w:pPr>
            <w:r w:rsidRPr="00103CBD">
              <w:t xml:space="preserve">EKK 1000 – Ls </w:t>
            </w:r>
            <w:r w:rsidR="00094F9E" w:rsidRPr="00103CBD">
              <w:t>80 400</w:t>
            </w:r>
            <w:r w:rsidRPr="00103CBD">
              <w:t xml:space="preserve"> (TPEPAC papildus 16 štata vietām)</w:t>
            </w:r>
          </w:p>
          <w:p w:rsidR="00B334B3" w:rsidRPr="00103CBD" w:rsidRDefault="00B334B3" w:rsidP="00B334B3">
            <w:pPr>
              <w:tabs>
                <w:tab w:val="left" w:pos="284"/>
              </w:tabs>
              <w:jc w:val="both"/>
            </w:pPr>
            <w:r w:rsidRPr="00103CBD">
              <w:t xml:space="preserve">Tai skaitā EKK 1100 – Ls </w:t>
            </w:r>
            <w:r w:rsidR="00094F9E" w:rsidRPr="00103CBD">
              <w:t>64 920</w:t>
            </w:r>
            <w:r w:rsidRPr="00103CBD">
              <w:t xml:space="preserve"> (TPEPAC papildus 16 štata vietām)</w:t>
            </w:r>
          </w:p>
          <w:p w:rsidR="00B334B3" w:rsidRPr="00103CBD" w:rsidRDefault="00B334B3" w:rsidP="00B334B3">
            <w:pPr>
              <w:tabs>
                <w:tab w:val="left" w:pos="284"/>
              </w:tabs>
              <w:jc w:val="both"/>
            </w:pPr>
            <w:r w:rsidRPr="00103CBD">
              <w:t xml:space="preserve">EKK 2000 – Ls </w:t>
            </w:r>
            <w:r w:rsidR="00E5587D" w:rsidRPr="00103CBD">
              <w:t>22 945</w:t>
            </w:r>
            <w:r w:rsidRPr="00103CBD">
              <w:t>.</w:t>
            </w:r>
          </w:p>
          <w:p w:rsidR="00B334B3" w:rsidRPr="00103CBD" w:rsidRDefault="00B334B3" w:rsidP="00B334B3">
            <w:pPr>
              <w:pStyle w:val="ListParagraph"/>
              <w:spacing w:after="0" w:line="240" w:lineRule="auto"/>
              <w:ind w:left="0"/>
              <w:jc w:val="both"/>
              <w:rPr>
                <w:rFonts w:ascii="Times New Roman" w:hAnsi="Times New Roman" w:cs="Times New Roman"/>
                <w:sz w:val="24"/>
                <w:szCs w:val="24"/>
                <w:lang w:val="lv-LV"/>
              </w:rPr>
            </w:pPr>
          </w:p>
          <w:p w:rsidR="00B334B3" w:rsidRPr="00103CBD" w:rsidRDefault="00B334B3" w:rsidP="004C4EC4">
            <w:pPr>
              <w:pStyle w:val="ListParagraph"/>
              <w:numPr>
                <w:ilvl w:val="0"/>
                <w:numId w:val="15"/>
              </w:numPr>
              <w:tabs>
                <w:tab w:val="left" w:pos="284"/>
              </w:tabs>
              <w:spacing w:after="0" w:line="240" w:lineRule="auto"/>
              <w:ind w:left="142" w:hanging="142"/>
              <w:jc w:val="both"/>
              <w:rPr>
                <w:rFonts w:ascii="Times New Roman" w:hAnsi="Times New Roman" w:cs="Times New Roman"/>
                <w:sz w:val="24"/>
                <w:szCs w:val="24"/>
                <w:lang w:val="lv-LV"/>
              </w:rPr>
            </w:pPr>
            <w:r w:rsidRPr="00103CBD">
              <w:rPr>
                <w:rFonts w:ascii="Times New Roman" w:hAnsi="Times New Roman" w:cs="Times New Roman"/>
                <w:sz w:val="24"/>
                <w:szCs w:val="24"/>
                <w:lang w:val="lv-LV"/>
              </w:rPr>
              <w:t xml:space="preserve">Papildus izdevumi </w:t>
            </w:r>
            <w:r w:rsidR="00F84BF8" w:rsidRPr="00103CBD">
              <w:rPr>
                <w:rFonts w:ascii="Times New Roman" w:hAnsi="Times New Roman" w:cs="Times New Roman"/>
                <w:sz w:val="24"/>
                <w:szCs w:val="24"/>
                <w:u w:val="single"/>
                <w:lang w:val="lv-LV"/>
              </w:rPr>
              <w:t>25 085</w:t>
            </w:r>
            <w:r w:rsidRPr="00103CBD">
              <w:rPr>
                <w:rFonts w:ascii="Times New Roman" w:hAnsi="Times New Roman" w:cs="Times New Roman"/>
                <w:sz w:val="24"/>
                <w:szCs w:val="24"/>
                <w:u w:val="single"/>
                <w:lang w:val="lv-LV"/>
              </w:rPr>
              <w:t xml:space="preserve"> latu apmērā</w:t>
            </w:r>
            <w:r w:rsidRPr="00103CBD">
              <w:rPr>
                <w:rFonts w:ascii="Times New Roman" w:hAnsi="Times New Roman" w:cs="Times New Roman"/>
                <w:sz w:val="24"/>
                <w:szCs w:val="24"/>
                <w:lang w:val="lv-LV"/>
              </w:rPr>
              <w:t xml:space="preserve"> (izdevumu kods 3000 „subsīdijas un dotācijas”), lai nodrošinātu </w:t>
            </w:r>
            <w:r w:rsidR="004C4EC4" w:rsidRPr="00103CBD">
              <w:rPr>
                <w:rFonts w:ascii="Times New Roman" w:hAnsi="Times New Roman" w:cs="Times New Roman"/>
                <w:sz w:val="24"/>
                <w:szCs w:val="24"/>
                <w:lang w:val="lv-LV"/>
              </w:rPr>
              <w:t>252</w:t>
            </w:r>
            <w:r w:rsidRPr="00103CBD">
              <w:rPr>
                <w:rFonts w:ascii="Times New Roman" w:hAnsi="Times New Roman" w:cs="Times New Roman"/>
                <w:sz w:val="24"/>
                <w:szCs w:val="24"/>
                <w:lang w:val="lv-LV"/>
              </w:rPr>
              <w:t xml:space="preserve"> tiesu psihiatrisko ekspertīžu veikšanu gan bērniem, gan pieaugušajiem </w:t>
            </w:r>
            <w:r w:rsidR="004C4EC4" w:rsidRPr="00103CBD">
              <w:rPr>
                <w:rFonts w:ascii="Times New Roman" w:hAnsi="Times New Roman" w:cs="Times New Roman"/>
                <w:sz w:val="24"/>
                <w:szCs w:val="24"/>
                <w:lang w:val="lv-LV"/>
              </w:rPr>
              <w:t>gadam</w:t>
            </w:r>
            <w:r w:rsidRPr="00103CBD">
              <w:rPr>
                <w:rFonts w:ascii="Times New Roman" w:hAnsi="Times New Roman" w:cs="Times New Roman"/>
                <w:sz w:val="24"/>
                <w:szCs w:val="24"/>
                <w:lang w:val="lv-LV"/>
              </w:rPr>
              <w:t xml:space="preserve">. </w:t>
            </w:r>
          </w:p>
          <w:p w:rsidR="00B334B3" w:rsidRPr="00103CBD" w:rsidRDefault="00B334B3" w:rsidP="00B334B3">
            <w:pPr>
              <w:jc w:val="both"/>
            </w:pPr>
            <w:r w:rsidRPr="00103CBD">
              <w:t xml:space="preserve">Vienas ekspertīzes cena Ls 99,54 x 21 ekspertīzes mēnesī x </w:t>
            </w:r>
            <w:r w:rsidR="004C4EC4" w:rsidRPr="00103CBD">
              <w:t>12</w:t>
            </w:r>
            <w:r w:rsidRPr="00103CBD">
              <w:t xml:space="preserve"> mēneši = Ls </w:t>
            </w:r>
            <w:r w:rsidR="004C4EC4" w:rsidRPr="00103CBD">
              <w:t>25 085</w:t>
            </w:r>
            <w:r w:rsidRPr="00103CBD">
              <w:rPr>
                <w:vanish/>
              </w:rPr>
              <w:t xml:space="preserve"> mekspertīžu veikšanu 2010</w:t>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rPr>
                <w:vanish/>
              </w:rPr>
              <w:pgNum/>
            </w:r>
            <w:r w:rsidRPr="00103CBD">
              <w:t xml:space="preserve">. </w:t>
            </w:r>
          </w:p>
          <w:p w:rsidR="00F84BF8" w:rsidRPr="00103CBD" w:rsidRDefault="00B334B3" w:rsidP="00B334B3">
            <w:pPr>
              <w:jc w:val="both"/>
            </w:pPr>
            <w:r w:rsidRPr="00103CBD">
              <w:t>Vienas psihiatriskās ekspertīzes cena (99,54 lati) ir noteikta 2006.gada 19.decembra Ministru kabineta noteikumos Nr.1046 „Veselības aprūpes organizēšanas un finansēšanas kārtība”.</w:t>
            </w:r>
          </w:p>
        </w:tc>
      </w:tr>
      <w:tr w:rsidR="004247A3" w:rsidRPr="00103CBD">
        <w:tc>
          <w:tcPr>
            <w:tcW w:w="2268" w:type="dxa"/>
          </w:tcPr>
          <w:p w:rsidR="004247A3" w:rsidRPr="00103CBD" w:rsidRDefault="004247A3" w:rsidP="001B1A87">
            <w:pPr>
              <w:jc w:val="both"/>
            </w:pPr>
            <w:r w:rsidRPr="00103CBD">
              <w:lastRenderedPageBreak/>
              <w:t>7. Cita informācija</w:t>
            </w:r>
          </w:p>
        </w:tc>
        <w:tc>
          <w:tcPr>
            <w:tcW w:w="7020" w:type="dxa"/>
            <w:gridSpan w:val="5"/>
          </w:tcPr>
          <w:p w:rsidR="00CC107D" w:rsidRPr="00103CBD" w:rsidRDefault="00D30DEF" w:rsidP="00BD281C">
            <w:pPr>
              <w:spacing w:before="120" w:after="120"/>
              <w:ind w:firstLine="426"/>
              <w:jc w:val="both"/>
              <w:rPr>
                <w:sz w:val="28"/>
                <w:szCs w:val="28"/>
              </w:rPr>
            </w:pPr>
            <w:r w:rsidRPr="00103CBD">
              <w:rPr>
                <w:lang w:eastAsia="en-US"/>
              </w:rPr>
              <w:t>Jautājumu par papildu valsts budžeta līdzekļu piešķiršanu Veselības ministrijai 2014.gadā un turpmākajos gados 128 430 latu apmērā, lai valsts sabiedrība ar ierobežotu atbildību "Rīgas psihiatrijas un narkoloģijas centrs" nodrošinātu tiesu psihiatriskās ekspertīzes savlaicīgu veikšanu bērniem un pieaugušajiem ambulatorā līguma pakalpojuma programmas  „Tiesu psihiatriskā un psiholoģiskā ekspertīze” ietvaros 25 085 latu apmērā un piespiedu ārstēšanu saistībā ar piespiedu kārtā ārstējamo pacientu skaita pieaugumu 103 345 latu apmērā, izskatīt Ministru kabinetā kopā ar visu ministriju un centrālo valsts iestāžu priekšlikumiem jaunajām politikas iniciatīvām un iesniegtajiem papildus finansējuma pieprasījumiem likumprojekta „Par valsts budžetu 2014.gadam” un likumprojekta „Par vidēja termiņa budžeta ietvaru 2014., 2015. un 2016.gadam” sagatavošanas un izskatīšanas procesā.</w:t>
            </w:r>
          </w:p>
        </w:tc>
      </w:tr>
    </w:tbl>
    <w:p w:rsidR="004247A3" w:rsidRPr="00103CBD" w:rsidRDefault="004247A3" w:rsidP="0063369C">
      <w:pPr>
        <w:pStyle w:val="naisf"/>
        <w:spacing w:before="0" w:after="0"/>
        <w:ind w:firstLine="0"/>
        <w:rPr>
          <w:i/>
          <w:iCs/>
          <w:sz w:val="28"/>
          <w:szCs w:val="28"/>
        </w:rPr>
      </w:pPr>
    </w:p>
    <w:p w:rsidR="004247A3" w:rsidRPr="00103CBD" w:rsidRDefault="004247A3" w:rsidP="0090751B">
      <w:pPr>
        <w:pStyle w:val="naisf"/>
        <w:spacing w:before="0" w:after="0"/>
        <w:jc w:val="center"/>
        <w:rPr>
          <w:i/>
          <w:iCs/>
          <w:sz w:val="28"/>
          <w:szCs w:val="28"/>
        </w:rPr>
      </w:pPr>
    </w:p>
    <w:p w:rsidR="004247A3" w:rsidRPr="00103CBD" w:rsidRDefault="004247A3" w:rsidP="0090751B">
      <w:pPr>
        <w:pStyle w:val="naisf"/>
        <w:spacing w:before="0" w:after="0"/>
        <w:jc w:val="center"/>
        <w:rPr>
          <w:i/>
          <w:iCs/>
          <w:sz w:val="28"/>
          <w:szCs w:val="28"/>
        </w:rPr>
      </w:pPr>
      <w:r w:rsidRPr="00103CBD">
        <w:rPr>
          <w:i/>
          <w:iCs/>
          <w:sz w:val="28"/>
          <w:szCs w:val="28"/>
        </w:rPr>
        <w:t>Anotācijas II, IV, V, VI sadaļa – projekts šīs jomas neskar.</w:t>
      </w:r>
    </w:p>
    <w:p w:rsidR="004247A3" w:rsidRPr="00103CBD" w:rsidRDefault="004247A3" w:rsidP="00390AC0">
      <w:pPr>
        <w:rPr>
          <w:i/>
          <w:iCs/>
          <w:sz w:val="28"/>
          <w:szCs w:val="28"/>
        </w:rPr>
      </w:pPr>
    </w:p>
    <w:tbl>
      <w:tblPr>
        <w:tblW w:w="9377" w:type="dxa"/>
        <w:jc w:val="center"/>
        <w:tblCellSpacing w:w="0"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82"/>
        <w:gridCol w:w="2737"/>
        <w:gridCol w:w="6058"/>
      </w:tblGrid>
      <w:tr w:rsidR="004247A3" w:rsidRPr="00103CBD">
        <w:trPr>
          <w:tblCellSpacing w:w="0" w:type="dxa"/>
          <w:jc w:val="center"/>
        </w:trPr>
        <w:tc>
          <w:tcPr>
            <w:tcW w:w="9377" w:type="dxa"/>
            <w:gridSpan w:val="3"/>
            <w:tcBorders>
              <w:top w:val="outset" w:sz="6" w:space="0" w:color="auto"/>
              <w:bottom w:val="outset" w:sz="6" w:space="0" w:color="auto"/>
            </w:tcBorders>
          </w:tcPr>
          <w:p w:rsidR="004247A3" w:rsidRPr="00103CBD" w:rsidRDefault="004247A3" w:rsidP="00390AC0">
            <w:pPr>
              <w:spacing w:before="75" w:after="75"/>
              <w:jc w:val="center"/>
            </w:pPr>
            <w:r w:rsidRPr="00103CBD">
              <w:rPr>
                <w:b/>
                <w:bCs/>
              </w:rPr>
              <w:t> VII. Tiesību akta projekta izpildes nodrošināšana un tās ietekme uz institūcijām</w:t>
            </w:r>
          </w:p>
        </w:tc>
      </w:tr>
      <w:tr w:rsidR="004247A3" w:rsidRPr="00103CBD">
        <w:trPr>
          <w:trHeight w:val="427"/>
          <w:tblCellSpacing w:w="0" w:type="dxa"/>
          <w:jc w:val="center"/>
        </w:trPr>
        <w:tc>
          <w:tcPr>
            <w:tcW w:w="582" w:type="dxa"/>
            <w:tcBorders>
              <w:top w:val="outset" w:sz="6" w:space="0" w:color="auto"/>
              <w:bottom w:val="outset" w:sz="6" w:space="0" w:color="auto"/>
              <w:right w:val="outset" w:sz="6" w:space="0" w:color="auto"/>
            </w:tcBorders>
          </w:tcPr>
          <w:p w:rsidR="004247A3" w:rsidRPr="00103CBD" w:rsidRDefault="004247A3" w:rsidP="00390AC0">
            <w:pPr>
              <w:spacing w:before="75" w:after="75"/>
            </w:pPr>
            <w:r w:rsidRPr="00103CBD">
              <w:t> 1.</w:t>
            </w:r>
          </w:p>
        </w:tc>
        <w:tc>
          <w:tcPr>
            <w:tcW w:w="2737" w:type="dxa"/>
            <w:tcBorders>
              <w:top w:val="outset" w:sz="6" w:space="0" w:color="auto"/>
              <w:left w:val="outset" w:sz="6" w:space="0" w:color="auto"/>
              <w:bottom w:val="outset" w:sz="6" w:space="0" w:color="auto"/>
              <w:right w:val="outset" w:sz="6" w:space="0" w:color="auto"/>
            </w:tcBorders>
          </w:tcPr>
          <w:p w:rsidR="004247A3" w:rsidRPr="00103CBD" w:rsidRDefault="004247A3" w:rsidP="00390AC0">
            <w:pPr>
              <w:spacing w:before="75" w:after="75"/>
            </w:pPr>
            <w:r w:rsidRPr="00103CBD">
              <w:t> Projekta izpildē iesaistītās institūcijas</w:t>
            </w:r>
          </w:p>
        </w:tc>
        <w:tc>
          <w:tcPr>
            <w:tcW w:w="6058" w:type="dxa"/>
            <w:tcBorders>
              <w:top w:val="outset" w:sz="6" w:space="0" w:color="auto"/>
              <w:left w:val="outset" w:sz="6" w:space="0" w:color="auto"/>
              <w:bottom w:val="outset" w:sz="6" w:space="0" w:color="auto"/>
            </w:tcBorders>
          </w:tcPr>
          <w:p w:rsidR="004247A3" w:rsidRPr="00103CBD" w:rsidRDefault="004247A3" w:rsidP="00332E3C">
            <w:pPr>
              <w:spacing w:before="75" w:after="75"/>
            </w:pPr>
            <w:r w:rsidRPr="00103CBD">
              <w:t> Projekta izpildi nodrošinās Centrs un Nacionālais veselības dienests.</w:t>
            </w:r>
          </w:p>
        </w:tc>
      </w:tr>
      <w:tr w:rsidR="004247A3" w:rsidRPr="00103CBD">
        <w:trPr>
          <w:trHeight w:val="463"/>
          <w:tblCellSpacing w:w="0" w:type="dxa"/>
          <w:jc w:val="center"/>
        </w:trPr>
        <w:tc>
          <w:tcPr>
            <w:tcW w:w="582" w:type="dxa"/>
            <w:tcBorders>
              <w:top w:val="outset" w:sz="6" w:space="0" w:color="auto"/>
              <w:bottom w:val="outset" w:sz="6" w:space="0" w:color="auto"/>
              <w:right w:val="outset" w:sz="6" w:space="0" w:color="auto"/>
            </w:tcBorders>
          </w:tcPr>
          <w:p w:rsidR="004247A3" w:rsidRPr="00103CBD" w:rsidRDefault="004247A3" w:rsidP="00390AC0">
            <w:pPr>
              <w:spacing w:before="75" w:after="75"/>
            </w:pPr>
            <w:r w:rsidRPr="00103CBD">
              <w:lastRenderedPageBreak/>
              <w:t> 2.</w:t>
            </w:r>
          </w:p>
        </w:tc>
        <w:tc>
          <w:tcPr>
            <w:tcW w:w="2737" w:type="dxa"/>
            <w:tcBorders>
              <w:top w:val="outset" w:sz="6" w:space="0" w:color="auto"/>
              <w:left w:val="outset" w:sz="6" w:space="0" w:color="auto"/>
              <w:bottom w:val="outset" w:sz="6" w:space="0" w:color="auto"/>
              <w:right w:val="outset" w:sz="6" w:space="0" w:color="auto"/>
            </w:tcBorders>
          </w:tcPr>
          <w:p w:rsidR="004247A3" w:rsidRPr="00103CBD" w:rsidRDefault="004247A3" w:rsidP="00390AC0">
            <w:pPr>
              <w:spacing w:before="75" w:after="75"/>
            </w:pPr>
            <w:r w:rsidRPr="00103CBD">
              <w:t> Projekta izpildes ietekme uz pārvaldes funkcijām</w:t>
            </w:r>
          </w:p>
        </w:tc>
        <w:tc>
          <w:tcPr>
            <w:tcW w:w="6058" w:type="dxa"/>
            <w:tcBorders>
              <w:top w:val="outset" w:sz="6" w:space="0" w:color="auto"/>
              <w:left w:val="outset" w:sz="6" w:space="0" w:color="auto"/>
              <w:bottom w:val="outset" w:sz="6" w:space="0" w:color="auto"/>
            </w:tcBorders>
          </w:tcPr>
          <w:p w:rsidR="004247A3" w:rsidRPr="00103CBD" w:rsidRDefault="004247A3" w:rsidP="00390AC0">
            <w:pPr>
              <w:spacing w:before="75" w:after="75"/>
            </w:pPr>
            <w:r w:rsidRPr="00103CBD">
              <w:t>Projekts šo jomu neskar.</w:t>
            </w:r>
          </w:p>
        </w:tc>
      </w:tr>
      <w:tr w:rsidR="004247A3" w:rsidRPr="00103CBD">
        <w:trPr>
          <w:trHeight w:val="725"/>
          <w:tblCellSpacing w:w="0" w:type="dxa"/>
          <w:jc w:val="center"/>
        </w:trPr>
        <w:tc>
          <w:tcPr>
            <w:tcW w:w="582" w:type="dxa"/>
            <w:tcBorders>
              <w:top w:val="outset" w:sz="6" w:space="0" w:color="auto"/>
              <w:bottom w:val="outset" w:sz="6" w:space="0" w:color="auto"/>
              <w:right w:val="outset" w:sz="6" w:space="0" w:color="auto"/>
            </w:tcBorders>
          </w:tcPr>
          <w:p w:rsidR="004247A3" w:rsidRPr="00103CBD" w:rsidRDefault="004247A3" w:rsidP="00390AC0">
            <w:pPr>
              <w:spacing w:before="75" w:after="75"/>
            </w:pPr>
            <w:r w:rsidRPr="00103CBD">
              <w:t> 3.</w:t>
            </w:r>
          </w:p>
        </w:tc>
        <w:tc>
          <w:tcPr>
            <w:tcW w:w="2737" w:type="dxa"/>
            <w:tcBorders>
              <w:top w:val="outset" w:sz="6" w:space="0" w:color="auto"/>
              <w:left w:val="outset" w:sz="6" w:space="0" w:color="auto"/>
              <w:bottom w:val="outset" w:sz="6" w:space="0" w:color="auto"/>
              <w:right w:val="outset" w:sz="6" w:space="0" w:color="auto"/>
            </w:tcBorders>
          </w:tcPr>
          <w:p w:rsidR="004247A3" w:rsidRPr="00103CBD" w:rsidRDefault="004247A3" w:rsidP="00390AC0">
            <w:pPr>
              <w:spacing w:before="75" w:after="75"/>
            </w:pPr>
            <w:r w:rsidRPr="00103CBD">
              <w:t> Projekta izpildes ietekme uz pārvaldes institucionālo struktūru.</w:t>
            </w:r>
          </w:p>
          <w:p w:rsidR="004247A3" w:rsidRPr="00103CBD" w:rsidRDefault="004247A3" w:rsidP="00390AC0">
            <w:pPr>
              <w:spacing w:before="75" w:after="75"/>
            </w:pPr>
            <w:r w:rsidRPr="00103CBD">
              <w:t>Jaunu institūciju izveide</w:t>
            </w:r>
          </w:p>
        </w:tc>
        <w:tc>
          <w:tcPr>
            <w:tcW w:w="6058" w:type="dxa"/>
            <w:tcBorders>
              <w:top w:val="outset" w:sz="6" w:space="0" w:color="auto"/>
              <w:left w:val="outset" w:sz="6" w:space="0" w:color="auto"/>
              <w:bottom w:val="outset" w:sz="6" w:space="0" w:color="auto"/>
            </w:tcBorders>
          </w:tcPr>
          <w:p w:rsidR="004247A3" w:rsidRPr="00103CBD" w:rsidRDefault="004247A3" w:rsidP="00390AC0">
            <w:pPr>
              <w:spacing w:before="75" w:after="75"/>
            </w:pPr>
            <w:r w:rsidRPr="00103CBD">
              <w:t> Projekts šo jomu neskar.</w:t>
            </w:r>
          </w:p>
        </w:tc>
      </w:tr>
      <w:tr w:rsidR="004247A3" w:rsidRPr="00C80A77">
        <w:trPr>
          <w:trHeight w:val="780"/>
          <w:tblCellSpacing w:w="0" w:type="dxa"/>
          <w:jc w:val="center"/>
        </w:trPr>
        <w:tc>
          <w:tcPr>
            <w:tcW w:w="582" w:type="dxa"/>
            <w:tcBorders>
              <w:top w:val="outset" w:sz="6" w:space="0" w:color="auto"/>
              <w:bottom w:val="outset" w:sz="6" w:space="0" w:color="auto"/>
              <w:right w:val="outset" w:sz="6" w:space="0" w:color="auto"/>
            </w:tcBorders>
          </w:tcPr>
          <w:p w:rsidR="004247A3" w:rsidRPr="008208B3" w:rsidRDefault="004247A3" w:rsidP="00390AC0">
            <w:pPr>
              <w:spacing w:before="75" w:after="75"/>
            </w:pPr>
            <w:r w:rsidRPr="008208B3">
              <w:t> 4.</w:t>
            </w:r>
          </w:p>
        </w:tc>
        <w:tc>
          <w:tcPr>
            <w:tcW w:w="2737" w:type="dxa"/>
            <w:tcBorders>
              <w:top w:val="outset" w:sz="6" w:space="0" w:color="auto"/>
              <w:left w:val="outset" w:sz="6" w:space="0" w:color="auto"/>
              <w:bottom w:val="outset" w:sz="6" w:space="0" w:color="auto"/>
              <w:right w:val="outset" w:sz="6" w:space="0" w:color="auto"/>
            </w:tcBorders>
          </w:tcPr>
          <w:p w:rsidR="004247A3" w:rsidRPr="00D9623B" w:rsidRDefault="004247A3" w:rsidP="00390AC0">
            <w:pPr>
              <w:spacing w:before="75" w:after="75"/>
            </w:pPr>
            <w:r w:rsidRPr="00D9623B">
              <w:t> Projekta izpildes ietekme uz pārvaldes institucionālo struktūru.</w:t>
            </w:r>
          </w:p>
          <w:p w:rsidR="004247A3" w:rsidRPr="00D9623B" w:rsidRDefault="004247A3" w:rsidP="00390AC0">
            <w:pPr>
              <w:spacing w:before="75" w:after="75"/>
            </w:pPr>
            <w:r w:rsidRPr="00D9623B">
              <w:t>Esošu institūciju likvidācija</w:t>
            </w:r>
          </w:p>
        </w:tc>
        <w:tc>
          <w:tcPr>
            <w:tcW w:w="6058" w:type="dxa"/>
            <w:tcBorders>
              <w:top w:val="outset" w:sz="6" w:space="0" w:color="auto"/>
              <w:left w:val="outset" w:sz="6" w:space="0" w:color="auto"/>
              <w:bottom w:val="outset" w:sz="6" w:space="0" w:color="auto"/>
            </w:tcBorders>
          </w:tcPr>
          <w:p w:rsidR="004247A3" w:rsidRPr="00D9623B" w:rsidRDefault="004247A3" w:rsidP="00390AC0">
            <w:pPr>
              <w:spacing w:before="75" w:after="75"/>
            </w:pPr>
            <w:r w:rsidRPr="00D9623B">
              <w:t> Projekts šo jomu neskar.</w:t>
            </w:r>
          </w:p>
        </w:tc>
      </w:tr>
      <w:tr w:rsidR="004247A3" w:rsidRPr="00C80A77">
        <w:trPr>
          <w:trHeight w:val="703"/>
          <w:tblCellSpacing w:w="0" w:type="dxa"/>
          <w:jc w:val="center"/>
        </w:trPr>
        <w:tc>
          <w:tcPr>
            <w:tcW w:w="582" w:type="dxa"/>
            <w:tcBorders>
              <w:top w:val="outset" w:sz="6" w:space="0" w:color="auto"/>
              <w:bottom w:val="outset" w:sz="6" w:space="0" w:color="auto"/>
              <w:right w:val="outset" w:sz="6" w:space="0" w:color="auto"/>
            </w:tcBorders>
          </w:tcPr>
          <w:p w:rsidR="004247A3" w:rsidRPr="008208B3" w:rsidRDefault="004247A3" w:rsidP="00390AC0">
            <w:pPr>
              <w:spacing w:before="75" w:after="75"/>
            </w:pPr>
            <w:r w:rsidRPr="008208B3">
              <w:t> 5.</w:t>
            </w:r>
          </w:p>
        </w:tc>
        <w:tc>
          <w:tcPr>
            <w:tcW w:w="2737" w:type="dxa"/>
            <w:tcBorders>
              <w:top w:val="outset" w:sz="6" w:space="0" w:color="auto"/>
              <w:left w:val="outset" w:sz="6" w:space="0" w:color="auto"/>
              <w:bottom w:val="outset" w:sz="6" w:space="0" w:color="auto"/>
              <w:right w:val="outset" w:sz="6" w:space="0" w:color="auto"/>
            </w:tcBorders>
          </w:tcPr>
          <w:p w:rsidR="004247A3" w:rsidRPr="00D9623B" w:rsidRDefault="004247A3" w:rsidP="00390AC0">
            <w:pPr>
              <w:spacing w:before="75" w:after="75"/>
            </w:pPr>
            <w:r w:rsidRPr="00D9623B">
              <w:t> Projekta izpildes ietekme uz pārvaldes institucionālo struktūru.</w:t>
            </w:r>
          </w:p>
          <w:p w:rsidR="004247A3" w:rsidRPr="00D9623B" w:rsidRDefault="004247A3" w:rsidP="00390AC0">
            <w:pPr>
              <w:spacing w:before="75" w:after="75"/>
            </w:pPr>
            <w:r w:rsidRPr="00D9623B">
              <w:t>Esošu institūciju reorganizācija</w:t>
            </w:r>
          </w:p>
        </w:tc>
        <w:tc>
          <w:tcPr>
            <w:tcW w:w="6058" w:type="dxa"/>
            <w:tcBorders>
              <w:top w:val="outset" w:sz="6" w:space="0" w:color="auto"/>
              <w:left w:val="outset" w:sz="6" w:space="0" w:color="auto"/>
              <w:bottom w:val="outset" w:sz="6" w:space="0" w:color="auto"/>
            </w:tcBorders>
          </w:tcPr>
          <w:p w:rsidR="004247A3" w:rsidRPr="00D9623B" w:rsidRDefault="004247A3" w:rsidP="00390AC0">
            <w:pPr>
              <w:spacing w:before="75" w:after="75"/>
            </w:pPr>
            <w:r w:rsidRPr="00D9623B">
              <w:t>Projekts šo jomu neskar.</w:t>
            </w:r>
          </w:p>
        </w:tc>
      </w:tr>
      <w:tr w:rsidR="004247A3" w:rsidRPr="00C80A77">
        <w:trPr>
          <w:trHeight w:val="476"/>
          <w:tblCellSpacing w:w="0" w:type="dxa"/>
          <w:jc w:val="center"/>
        </w:trPr>
        <w:tc>
          <w:tcPr>
            <w:tcW w:w="582" w:type="dxa"/>
            <w:tcBorders>
              <w:top w:val="outset" w:sz="6" w:space="0" w:color="auto"/>
              <w:bottom w:val="outset" w:sz="6" w:space="0" w:color="auto"/>
              <w:right w:val="outset" w:sz="6" w:space="0" w:color="auto"/>
            </w:tcBorders>
          </w:tcPr>
          <w:p w:rsidR="004247A3" w:rsidRPr="00F60FB7" w:rsidRDefault="004247A3" w:rsidP="00390AC0">
            <w:pPr>
              <w:spacing w:before="75" w:after="75"/>
            </w:pPr>
            <w:r w:rsidRPr="000226E6">
              <w:rPr>
                <w:sz w:val="22"/>
                <w:szCs w:val="22"/>
              </w:rPr>
              <w:t> 6.</w:t>
            </w:r>
          </w:p>
        </w:tc>
        <w:tc>
          <w:tcPr>
            <w:tcW w:w="2737" w:type="dxa"/>
            <w:tcBorders>
              <w:top w:val="outset" w:sz="6" w:space="0" w:color="auto"/>
              <w:left w:val="outset" w:sz="6" w:space="0" w:color="auto"/>
              <w:bottom w:val="outset" w:sz="6" w:space="0" w:color="auto"/>
              <w:right w:val="outset" w:sz="6" w:space="0" w:color="auto"/>
            </w:tcBorders>
          </w:tcPr>
          <w:p w:rsidR="004247A3" w:rsidRPr="00D9623B" w:rsidRDefault="004247A3" w:rsidP="00390AC0">
            <w:pPr>
              <w:spacing w:before="75" w:after="75"/>
            </w:pPr>
            <w:r w:rsidRPr="00D9623B">
              <w:t> Cita informācija</w:t>
            </w:r>
          </w:p>
        </w:tc>
        <w:tc>
          <w:tcPr>
            <w:tcW w:w="6058" w:type="dxa"/>
            <w:tcBorders>
              <w:top w:val="outset" w:sz="6" w:space="0" w:color="auto"/>
              <w:left w:val="outset" w:sz="6" w:space="0" w:color="auto"/>
              <w:bottom w:val="outset" w:sz="6" w:space="0" w:color="auto"/>
            </w:tcBorders>
          </w:tcPr>
          <w:p w:rsidR="004247A3" w:rsidRPr="00D9623B" w:rsidRDefault="004247A3" w:rsidP="00390AC0">
            <w:pPr>
              <w:spacing w:before="75" w:after="75"/>
            </w:pPr>
            <w:r w:rsidRPr="00D9623B">
              <w:t> Nav</w:t>
            </w:r>
          </w:p>
        </w:tc>
      </w:tr>
    </w:tbl>
    <w:p w:rsidR="004247A3" w:rsidRDefault="004247A3" w:rsidP="00B941EE">
      <w:pPr>
        <w:jc w:val="both"/>
        <w:rPr>
          <w:sz w:val="28"/>
          <w:szCs w:val="28"/>
        </w:rPr>
      </w:pPr>
    </w:p>
    <w:p w:rsidR="004247A3" w:rsidRDefault="004247A3" w:rsidP="005844CE">
      <w:pPr>
        <w:rPr>
          <w:sz w:val="28"/>
          <w:szCs w:val="28"/>
        </w:rPr>
      </w:pPr>
    </w:p>
    <w:p w:rsidR="004247A3" w:rsidRDefault="004247A3" w:rsidP="005752C3">
      <w:pPr>
        <w:jc w:val="center"/>
        <w:rPr>
          <w:sz w:val="28"/>
          <w:szCs w:val="28"/>
        </w:rPr>
      </w:pPr>
      <w:r>
        <w:rPr>
          <w:sz w:val="28"/>
          <w:szCs w:val="28"/>
        </w:rPr>
        <w:t>Veselības ministre</w:t>
      </w:r>
      <w:r w:rsidRPr="00015298">
        <w:rPr>
          <w:sz w:val="28"/>
          <w:szCs w:val="28"/>
        </w:rPr>
        <w:tab/>
      </w:r>
      <w:r w:rsidRPr="00015298">
        <w:rPr>
          <w:sz w:val="28"/>
          <w:szCs w:val="28"/>
        </w:rPr>
        <w:tab/>
      </w:r>
      <w:r w:rsidRPr="00015298">
        <w:rPr>
          <w:sz w:val="28"/>
          <w:szCs w:val="28"/>
        </w:rPr>
        <w:tab/>
      </w:r>
      <w:r w:rsidRPr="00015298">
        <w:rPr>
          <w:sz w:val="28"/>
          <w:szCs w:val="28"/>
        </w:rPr>
        <w:tab/>
      </w:r>
      <w:r w:rsidRPr="00015298">
        <w:rPr>
          <w:sz w:val="28"/>
          <w:szCs w:val="28"/>
        </w:rPr>
        <w:tab/>
      </w:r>
      <w:r w:rsidRPr="00015298">
        <w:rPr>
          <w:sz w:val="28"/>
          <w:szCs w:val="28"/>
        </w:rPr>
        <w:tab/>
      </w:r>
      <w:r w:rsidRPr="00015298">
        <w:rPr>
          <w:sz w:val="28"/>
          <w:szCs w:val="28"/>
        </w:rPr>
        <w:tab/>
      </w:r>
      <w:r>
        <w:rPr>
          <w:sz w:val="28"/>
          <w:szCs w:val="28"/>
        </w:rPr>
        <w:t xml:space="preserve">               I.Circene</w:t>
      </w:r>
    </w:p>
    <w:p w:rsidR="005752C3" w:rsidRPr="005752C3" w:rsidRDefault="005752C3" w:rsidP="005752C3">
      <w:pPr>
        <w:jc w:val="center"/>
        <w:rPr>
          <w:sz w:val="28"/>
          <w:szCs w:val="28"/>
        </w:rPr>
      </w:pPr>
    </w:p>
    <w:p w:rsidR="004247A3" w:rsidRDefault="004247A3" w:rsidP="001800B4">
      <w:pPr>
        <w:pStyle w:val="naisf"/>
        <w:tabs>
          <w:tab w:val="left" w:pos="720"/>
        </w:tabs>
        <w:spacing w:before="0" w:after="0"/>
        <w:ind w:firstLine="0"/>
      </w:pPr>
      <w:r w:rsidRPr="003F2C13">
        <w:tab/>
      </w:r>
    </w:p>
    <w:p w:rsidR="001D021E" w:rsidRDefault="001D021E" w:rsidP="001800B4">
      <w:pPr>
        <w:pStyle w:val="naisf"/>
        <w:tabs>
          <w:tab w:val="left" w:pos="720"/>
        </w:tabs>
        <w:spacing w:before="0" w:after="0"/>
        <w:ind w:firstLine="0"/>
      </w:pPr>
    </w:p>
    <w:p w:rsidR="001D021E" w:rsidRDefault="001D021E" w:rsidP="001800B4">
      <w:pPr>
        <w:pStyle w:val="naisf"/>
        <w:tabs>
          <w:tab w:val="left" w:pos="720"/>
        </w:tabs>
        <w:spacing w:before="0" w:after="0"/>
        <w:ind w:firstLine="0"/>
      </w:pPr>
    </w:p>
    <w:p w:rsidR="004247A3" w:rsidRDefault="00080A93" w:rsidP="000C1759">
      <w:pPr>
        <w:pStyle w:val="naisf"/>
        <w:tabs>
          <w:tab w:val="left" w:pos="720"/>
        </w:tabs>
        <w:spacing w:before="0" w:after="0"/>
        <w:ind w:firstLine="0"/>
      </w:pPr>
      <w:r>
        <w:t>09.04</w:t>
      </w:r>
      <w:r w:rsidR="005752C3">
        <w:t xml:space="preserve">.2013     </w:t>
      </w:r>
      <w:r>
        <w:t>10</w:t>
      </w:r>
      <w:r w:rsidR="005B11BA">
        <w:t>:</w:t>
      </w:r>
      <w:r>
        <w:t>50</w:t>
      </w:r>
    </w:p>
    <w:p w:rsidR="004247A3" w:rsidRPr="00FB61AF" w:rsidRDefault="00080A93" w:rsidP="000C1759">
      <w:pPr>
        <w:pStyle w:val="naisf"/>
        <w:tabs>
          <w:tab w:val="left" w:pos="720"/>
        </w:tabs>
        <w:spacing w:before="0" w:after="0"/>
        <w:ind w:firstLine="0"/>
      </w:pPr>
      <w:r>
        <w:t>2335</w:t>
      </w:r>
    </w:p>
    <w:p w:rsidR="004247A3" w:rsidRPr="00FB61AF" w:rsidRDefault="004247A3" w:rsidP="00745F6C">
      <w:pPr>
        <w:jc w:val="both"/>
      </w:pPr>
      <w:r>
        <w:t>S.Dreimane</w:t>
      </w:r>
    </w:p>
    <w:p w:rsidR="004247A3" w:rsidRPr="00FB61AF" w:rsidRDefault="004247A3" w:rsidP="00745F6C">
      <w:pPr>
        <w:jc w:val="both"/>
      </w:pPr>
      <w:r>
        <w:t>67876147</w:t>
      </w:r>
      <w:r w:rsidRPr="00FB61AF">
        <w:t xml:space="preserve">, </w:t>
      </w:r>
      <w:r>
        <w:t>sandra.dreimane</w:t>
      </w:r>
      <w:r w:rsidRPr="00FB61AF">
        <w:t>@vm.gov.lv</w:t>
      </w:r>
    </w:p>
    <w:p w:rsidR="004247A3" w:rsidRPr="00FB61AF" w:rsidRDefault="004247A3"/>
    <w:sectPr w:rsidR="004247A3" w:rsidRPr="00FB61AF" w:rsidSect="003E5F91">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1BC" w:rsidRDefault="004211BC">
      <w:r>
        <w:separator/>
      </w:r>
    </w:p>
  </w:endnote>
  <w:endnote w:type="continuationSeparator" w:id="0">
    <w:p w:rsidR="004211BC" w:rsidRDefault="00421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BC" w:rsidRPr="0090751B" w:rsidRDefault="004211BC" w:rsidP="00C73D7D">
    <w:pPr>
      <w:pStyle w:val="Footer"/>
      <w:rPr>
        <w:sz w:val="22"/>
        <w:szCs w:val="22"/>
      </w:rPr>
    </w:pPr>
    <w:r>
      <w:rPr>
        <w:sz w:val="22"/>
        <w:szCs w:val="22"/>
      </w:rPr>
      <w:t>VMAnot_</w:t>
    </w:r>
    <w:r w:rsidR="006E20FD">
      <w:rPr>
        <w:sz w:val="22"/>
        <w:szCs w:val="22"/>
      </w:rPr>
      <w:t>0904</w:t>
    </w:r>
    <w:r>
      <w:rPr>
        <w:sz w:val="22"/>
        <w:szCs w:val="22"/>
      </w:rPr>
      <w:t xml:space="preserve">13_TPEPAC; </w:t>
    </w:r>
    <w:r w:rsidRPr="0090751B">
      <w:rPr>
        <w:sz w:val="22"/>
        <w:szCs w:val="22"/>
      </w:rPr>
      <w:t>Minis</w:t>
    </w:r>
    <w:r>
      <w:rPr>
        <w:sz w:val="22"/>
        <w:szCs w:val="22"/>
      </w:rPr>
      <w:t>tru kabineta rīkojuma projekta „</w:t>
    </w:r>
    <w:r w:rsidRPr="0090751B">
      <w:rPr>
        <w:sz w:val="22"/>
        <w:szCs w:val="22"/>
      </w:rPr>
      <w:t xml:space="preserve">Par finanšu līdzekļu piešķiršanu no valsts budžeta programmas „Līdzekļi neparedzētiem gadījumiem”” sākotnējās </w:t>
    </w:r>
    <w:r>
      <w:rPr>
        <w:sz w:val="22"/>
        <w:szCs w:val="22"/>
      </w:rPr>
      <w:t xml:space="preserve">(ex-ante) </w:t>
    </w:r>
    <w:r w:rsidRPr="0090751B">
      <w:rPr>
        <w:sz w:val="22"/>
        <w:szCs w:val="22"/>
      </w:rPr>
      <w:t>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BC" w:rsidRPr="0090751B" w:rsidRDefault="004211BC" w:rsidP="00C73D7D">
    <w:pPr>
      <w:jc w:val="both"/>
      <w:rPr>
        <w:sz w:val="22"/>
        <w:szCs w:val="22"/>
      </w:rPr>
    </w:pPr>
    <w:r>
      <w:rPr>
        <w:sz w:val="22"/>
        <w:szCs w:val="22"/>
      </w:rPr>
      <w:t>VMAnot_</w:t>
    </w:r>
    <w:r w:rsidR="006E20FD">
      <w:rPr>
        <w:sz w:val="22"/>
        <w:szCs w:val="22"/>
      </w:rPr>
      <w:t>0904</w:t>
    </w:r>
    <w:r>
      <w:rPr>
        <w:sz w:val="22"/>
        <w:szCs w:val="22"/>
      </w:rPr>
      <w:t>13_TPEPAC</w:t>
    </w:r>
    <w:r w:rsidRPr="0090751B">
      <w:rPr>
        <w:sz w:val="22"/>
        <w:szCs w:val="22"/>
      </w:rPr>
      <w:t>;</w:t>
    </w:r>
    <w:r>
      <w:rPr>
        <w:sz w:val="22"/>
        <w:szCs w:val="22"/>
      </w:rPr>
      <w:t xml:space="preserve"> </w:t>
    </w:r>
    <w:bookmarkStart w:id="0" w:name="OLE_LINK25"/>
    <w:bookmarkStart w:id="1" w:name="OLE_LINK26"/>
    <w:r w:rsidRPr="0090751B">
      <w:rPr>
        <w:sz w:val="22"/>
        <w:szCs w:val="22"/>
      </w:rPr>
      <w:t>Minis</w:t>
    </w:r>
    <w:r>
      <w:rPr>
        <w:sz w:val="22"/>
        <w:szCs w:val="22"/>
      </w:rPr>
      <w:t>tru kabineta rīkojuma projekta „</w:t>
    </w:r>
    <w:r w:rsidRPr="0090751B">
      <w:rPr>
        <w:sz w:val="22"/>
        <w:szCs w:val="22"/>
      </w:rPr>
      <w:t xml:space="preserve">Par finanšu līdzekļu piešķiršanu no valsts budžeta programmas „Līdzekļi neparedzētiem gadījumiem”” sākotnējās </w:t>
    </w:r>
    <w:r>
      <w:rPr>
        <w:sz w:val="22"/>
        <w:szCs w:val="22"/>
      </w:rPr>
      <w:t xml:space="preserve">(ex-ante) </w:t>
    </w:r>
    <w:r w:rsidRPr="0090751B">
      <w:rPr>
        <w:sz w:val="22"/>
        <w:szCs w:val="22"/>
      </w:rPr>
      <w:t>ietekmes novērtējuma ziņojums (anotācija)</w:t>
    </w:r>
    <w:bookmarkEnd w:id="0"/>
    <w:bookmarkEnd w:id="1"/>
  </w:p>
  <w:p w:rsidR="004211BC" w:rsidRPr="00C73D7D" w:rsidRDefault="004211BC" w:rsidP="00C73D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1BC" w:rsidRDefault="004211BC">
      <w:r>
        <w:separator/>
      </w:r>
    </w:p>
  </w:footnote>
  <w:footnote w:type="continuationSeparator" w:id="0">
    <w:p w:rsidR="004211BC" w:rsidRDefault="004211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BC" w:rsidRDefault="004B1732" w:rsidP="001B1A87">
    <w:pPr>
      <w:pStyle w:val="Header"/>
      <w:jc w:val="center"/>
    </w:pPr>
    <w:r>
      <w:rPr>
        <w:rStyle w:val="PageNumber"/>
      </w:rPr>
      <w:fldChar w:fldCharType="begin"/>
    </w:r>
    <w:r w:rsidR="004211BC">
      <w:rPr>
        <w:rStyle w:val="PageNumber"/>
      </w:rPr>
      <w:instrText xml:space="preserve"> PAGE </w:instrText>
    </w:r>
    <w:r>
      <w:rPr>
        <w:rStyle w:val="PageNumber"/>
      </w:rPr>
      <w:fldChar w:fldCharType="separate"/>
    </w:r>
    <w:r w:rsidR="00080A93">
      <w:rPr>
        <w:rStyle w:val="PageNumber"/>
        <w:noProof/>
      </w:rPr>
      <w:t>9</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FE4"/>
    <w:multiLevelType w:val="hybridMultilevel"/>
    <w:tmpl w:val="589014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B25D71"/>
    <w:multiLevelType w:val="hybridMultilevel"/>
    <w:tmpl w:val="34B8CE46"/>
    <w:lvl w:ilvl="0" w:tplc="5E789F28">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
    <w:nsid w:val="135E4115"/>
    <w:multiLevelType w:val="hybridMultilevel"/>
    <w:tmpl w:val="1490453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999481F"/>
    <w:multiLevelType w:val="hybridMultilevel"/>
    <w:tmpl w:val="E028DD90"/>
    <w:lvl w:ilvl="0" w:tplc="248EE174">
      <w:start w:val="3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FBE6BF2"/>
    <w:multiLevelType w:val="hybridMultilevel"/>
    <w:tmpl w:val="519AD168"/>
    <w:lvl w:ilvl="0" w:tplc="0409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33629AA6">
      <w:start w:val="1"/>
      <w:numFmt w:val="decimal"/>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5">
    <w:nsid w:val="325651D0"/>
    <w:multiLevelType w:val="hybridMultilevel"/>
    <w:tmpl w:val="3588F3EC"/>
    <w:lvl w:ilvl="0" w:tplc="EDC2AD62">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6">
    <w:nsid w:val="37643A31"/>
    <w:multiLevelType w:val="multilevel"/>
    <w:tmpl w:val="DAC8D04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BF308F0"/>
    <w:multiLevelType w:val="hybridMultilevel"/>
    <w:tmpl w:val="43A2F854"/>
    <w:lvl w:ilvl="0" w:tplc="A8CE8A3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3F6B2A47"/>
    <w:multiLevelType w:val="hybridMultilevel"/>
    <w:tmpl w:val="6E5E78C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B617B9"/>
    <w:multiLevelType w:val="hybridMultilevel"/>
    <w:tmpl w:val="9BEAC600"/>
    <w:lvl w:ilvl="0" w:tplc="04260011">
      <w:start w:val="1"/>
      <w:numFmt w:val="decimal"/>
      <w:lvlText w:val="%1)"/>
      <w:lvlJc w:val="left"/>
      <w:pPr>
        <w:ind w:left="720" w:hanging="360"/>
      </w:pPr>
      <w:rPr>
        <w:rFonts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8826933"/>
    <w:multiLevelType w:val="hybridMultilevel"/>
    <w:tmpl w:val="ADF03F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DB6F5B"/>
    <w:multiLevelType w:val="multilevel"/>
    <w:tmpl w:val="5A98D30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79C4CE7"/>
    <w:multiLevelType w:val="hybridMultilevel"/>
    <w:tmpl w:val="12A0C568"/>
    <w:lvl w:ilvl="0" w:tplc="23A25960">
      <w:start w:val="3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6A9242EE"/>
    <w:multiLevelType w:val="hybridMultilevel"/>
    <w:tmpl w:val="480411FA"/>
    <w:lvl w:ilvl="0" w:tplc="ED3845AC">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4">
    <w:nsid w:val="77745E91"/>
    <w:multiLevelType w:val="hybridMultilevel"/>
    <w:tmpl w:val="4FB676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33164C"/>
    <w:multiLevelType w:val="hybridMultilevel"/>
    <w:tmpl w:val="BC2A476A"/>
    <w:lvl w:ilvl="0" w:tplc="EC8E8494">
      <w:start w:val="1"/>
      <w:numFmt w:val="decimal"/>
      <w:lvlText w:val="%1."/>
      <w:lvlJc w:val="left"/>
      <w:pPr>
        <w:ind w:left="545" w:hanging="360"/>
      </w:pPr>
      <w:rPr>
        <w:rFonts w:hint="default"/>
      </w:rPr>
    </w:lvl>
    <w:lvl w:ilvl="1" w:tplc="04090019" w:tentative="1">
      <w:start w:val="1"/>
      <w:numFmt w:val="lowerLetter"/>
      <w:lvlText w:val="%2."/>
      <w:lvlJc w:val="left"/>
      <w:pPr>
        <w:ind w:left="1265" w:hanging="360"/>
      </w:pPr>
    </w:lvl>
    <w:lvl w:ilvl="2" w:tplc="0409001B" w:tentative="1">
      <w:start w:val="1"/>
      <w:numFmt w:val="lowerRoman"/>
      <w:lvlText w:val="%3."/>
      <w:lvlJc w:val="right"/>
      <w:pPr>
        <w:ind w:left="1985" w:hanging="180"/>
      </w:pPr>
    </w:lvl>
    <w:lvl w:ilvl="3" w:tplc="0409000F" w:tentative="1">
      <w:start w:val="1"/>
      <w:numFmt w:val="decimal"/>
      <w:lvlText w:val="%4."/>
      <w:lvlJc w:val="left"/>
      <w:pPr>
        <w:ind w:left="2705" w:hanging="360"/>
      </w:pPr>
    </w:lvl>
    <w:lvl w:ilvl="4" w:tplc="04090019" w:tentative="1">
      <w:start w:val="1"/>
      <w:numFmt w:val="lowerLetter"/>
      <w:lvlText w:val="%5."/>
      <w:lvlJc w:val="left"/>
      <w:pPr>
        <w:ind w:left="3425" w:hanging="360"/>
      </w:pPr>
    </w:lvl>
    <w:lvl w:ilvl="5" w:tplc="0409001B" w:tentative="1">
      <w:start w:val="1"/>
      <w:numFmt w:val="lowerRoman"/>
      <w:lvlText w:val="%6."/>
      <w:lvlJc w:val="right"/>
      <w:pPr>
        <w:ind w:left="4145" w:hanging="180"/>
      </w:pPr>
    </w:lvl>
    <w:lvl w:ilvl="6" w:tplc="0409000F" w:tentative="1">
      <w:start w:val="1"/>
      <w:numFmt w:val="decimal"/>
      <w:lvlText w:val="%7."/>
      <w:lvlJc w:val="left"/>
      <w:pPr>
        <w:ind w:left="4865" w:hanging="360"/>
      </w:pPr>
    </w:lvl>
    <w:lvl w:ilvl="7" w:tplc="04090019" w:tentative="1">
      <w:start w:val="1"/>
      <w:numFmt w:val="lowerLetter"/>
      <w:lvlText w:val="%8."/>
      <w:lvlJc w:val="left"/>
      <w:pPr>
        <w:ind w:left="5585" w:hanging="360"/>
      </w:pPr>
    </w:lvl>
    <w:lvl w:ilvl="8" w:tplc="0409001B" w:tentative="1">
      <w:start w:val="1"/>
      <w:numFmt w:val="lowerRoman"/>
      <w:lvlText w:val="%9."/>
      <w:lvlJc w:val="right"/>
      <w:pPr>
        <w:ind w:left="6305" w:hanging="180"/>
      </w:pPr>
    </w:lvl>
  </w:abstractNum>
  <w:num w:numId="1">
    <w:abstractNumId w:val="7"/>
  </w:num>
  <w:num w:numId="2">
    <w:abstractNumId w:val="4"/>
  </w:num>
  <w:num w:numId="3">
    <w:abstractNumId w:val="2"/>
  </w:num>
  <w:num w:numId="4">
    <w:abstractNumId w:val="6"/>
  </w:num>
  <w:num w:numId="5">
    <w:abstractNumId w:val="3"/>
  </w:num>
  <w:num w:numId="6">
    <w:abstractNumId w:val="12"/>
  </w:num>
  <w:num w:numId="7">
    <w:abstractNumId w:val="11"/>
  </w:num>
  <w:num w:numId="8">
    <w:abstractNumId w:val="9"/>
  </w:num>
  <w:num w:numId="9">
    <w:abstractNumId w:val="0"/>
  </w:num>
  <w:num w:numId="10">
    <w:abstractNumId w:val="5"/>
  </w:num>
  <w:num w:numId="11">
    <w:abstractNumId w:val="13"/>
  </w:num>
  <w:num w:numId="12">
    <w:abstractNumId w:val="1"/>
  </w:num>
  <w:num w:numId="13">
    <w:abstractNumId w:val="15"/>
  </w:num>
  <w:num w:numId="14">
    <w:abstractNumId w:val="14"/>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5F6C"/>
    <w:rsid w:val="00007923"/>
    <w:rsid w:val="000108AC"/>
    <w:rsid w:val="00015298"/>
    <w:rsid w:val="000226E6"/>
    <w:rsid w:val="000277F7"/>
    <w:rsid w:val="0003131D"/>
    <w:rsid w:val="00032980"/>
    <w:rsid w:val="00035F3E"/>
    <w:rsid w:val="000440B7"/>
    <w:rsid w:val="0004534B"/>
    <w:rsid w:val="0005611F"/>
    <w:rsid w:val="000743AA"/>
    <w:rsid w:val="00080A93"/>
    <w:rsid w:val="00090C1B"/>
    <w:rsid w:val="00094F9E"/>
    <w:rsid w:val="00095738"/>
    <w:rsid w:val="000B3343"/>
    <w:rsid w:val="000C1759"/>
    <w:rsid w:val="000C2310"/>
    <w:rsid w:val="000D4FE7"/>
    <w:rsid w:val="000D5E39"/>
    <w:rsid w:val="000D6046"/>
    <w:rsid w:val="000E1158"/>
    <w:rsid w:val="000E71C0"/>
    <w:rsid w:val="000F3A26"/>
    <w:rsid w:val="00101650"/>
    <w:rsid w:val="00101BD9"/>
    <w:rsid w:val="00103CBD"/>
    <w:rsid w:val="00104184"/>
    <w:rsid w:val="001069A6"/>
    <w:rsid w:val="001115CF"/>
    <w:rsid w:val="001128C0"/>
    <w:rsid w:val="00126749"/>
    <w:rsid w:val="00127234"/>
    <w:rsid w:val="00131969"/>
    <w:rsid w:val="0013376D"/>
    <w:rsid w:val="0013462A"/>
    <w:rsid w:val="0015164B"/>
    <w:rsid w:val="00154422"/>
    <w:rsid w:val="00154A46"/>
    <w:rsid w:val="0015783E"/>
    <w:rsid w:val="001668CF"/>
    <w:rsid w:val="001800B4"/>
    <w:rsid w:val="00191CF3"/>
    <w:rsid w:val="001A0176"/>
    <w:rsid w:val="001A0EDE"/>
    <w:rsid w:val="001B1A87"/>
    <w:rsid w:val="001B374C"/>
    <w:rsid w:val="001C42B5"/>
    <w:rsid w:val="001D021E"/>
    <w:rsid w:val="001F1CF2"/>
    <w:rsid w:val="001F647C"/>
    <w:rsid w:val="001F7F9E"/>
    <w:rsid w:val="00201C41"/>
    <w:rsid w:val="00211881"/>
    <w:rsid w:val="0021545C"/>
    <w:rsid w:val="0021795D"/>
    <w:rsid w:val="002248CC"/>
    <w:rsid w:val="00231AAA"/>
    <w:rsid w:val="00236B88"/>
    <w:rsid w:val="00243776"/>
    <w:rsid w:val="00244147"/>
    <w:rsid w:val="00244C5F"/>
    <w:rsid w:val="00251210"/>
    <w:rsid w:val="00251FA3"/>
    <w:rsid w:val="002571E4"/>
    <w:rsid w:val="002672C1"/>
    <w:rsid w:val="0027612A"/>
    <w:rsid w:val="00282230"/>
    <w:rsid w:val="00284720"/>
    <w:rsid w:val="002932DA"/>
    <w:rsid w:val="002C4727"/>
    <w:rsid w:val="002D4460"/>
    <w:rsid w:val="002D6BB4"/>
    <w:rsid w:val="002D701B"/>
    <w:rsid w:val="002E26D6"/>
    <w:rsid w:val="002E4E7A"/>
    <w:rsid w:val="00315931"/>
    <w:rsid w:val="00320DFD"/>
    <w:rsid w:val="00325608"/>
    <w:rsid w:val="00332E3C"/>
    <w:rsid w:val="00333D9D"/>
    <w:rsid w:val="00336F0C"/>
    <w:rsid w:val="00337DCE"/>
    <w:rsid w:val="00343FCF"/>
    <w:rsid w:val="00347910"/>
    <w:rsid w:val="003512C9"/>
    <w:rsid w:val="0036473F"/>
    <w:rsid w:val="0037242A"/>
    <w:rsid w:val="00382261"/>
    <w:rsid w:val="00385495"/>
    <w:rsid w:val="00390AC0"/>
    <w:rsid w:val="003A01B4"/>
    <w:rsid w:val="003A1FCB"/>
    <w:rsid w:val="003A3C77"/>
    <w:rsid w:val="003A52AF"/>
    <w:rsid w:val="003B13BF"/>
    <w:rsid w:val="003B594B"/>
    <w:rsid w:val="003B5F6E"/>
    <w:rsid w:val="003B7F91"/>
    <w:rsid w:val="003D67C8"/>
    <w:rsid w:val="003E0A3D"/>
    <w:rsid w:val="003E346E"/>
    <w:rsid w:val="003E51E7"/>
    <w:rsid w:val="003E550A"/>
    <w:rsid w:val="003E5F91"/>
    <w:rsid w:val="003F2C13"/>
    <w:rsid w:val="003F7CCA"/>
    <w:rsid w:val="003F7ECC"/>
    <w:rsid w:val="00404E0F"/>
    <w:rsid w:val="004211BC"/>
    <w:rsid w:val="00422C89"/>
    <w:rsid w:val="004247A3"/>
    <w:rsid w:val="00436E9B"/>
    <w:rsid w:val="00437653"/>
    <w:rsid w:val="00454202"/>
    <w:rsid w:val="00455C4C"/>
    <w:rsid w:val="00464AB8"/>
    <w:rsid w:val="004662D5"/>
    <w:rsid w:val="00473B24"/>
    <w:rsid w:val="00475230"/>
    <w:rsid w:val="004804F3"/>
    <w:rsid w:val="00484A0B"/>
    <w:rsid w:val="004865D9"/>
    <w:rsid w:val="004B1732"/>
    <w:rsid w:val="004B664C"/>
    <w:rsid w:val="004C4EC4"/>
    <w:rsid w:val="004D7FAC"/>
    <w:rsid w:val="004F0ACC"/>
    <w:rsid w:val="004F5422"/>
    <w:rsid w:val="00501080"/>
    <w:rsid w:val="00514192"/>
    <w:rsid w:val="005160A6"/>
    <w:rsid w:val="00521EA5"/>
    <w:rsid w:val="00526E62"/>
    <w:rsid w:val="00534005"/>
    <w:rsid w:val="00546869"/>
    <w:rsid w:val="005474EE"/>
    <w:rsid w:val="005752C3"/>
    <w:rsid w:val="0057655C"/>
    <w:rsid w:val="00577301"/>
    <w:rsid w:val="00580340"/>
    <w:rsid w:val="005844CE"/>
    <w:rsid w:val="00585EBF"/>
    <w:rsid w:val="005903A7"/>
    <w:rsid w:val="00590B0E"/>
    <w:rsid w:val="00590DBE"/>
    <w:rsid w:val="005A5DDE"/>
    <w:rsid w:val="005B1004"/>
    <w:rsid w:val="005B11BA"/>
    <w:rsid w:val="005B1E54"/>
    <w:rsid w:val="005B5B3D"/>
    <w:rsid w:val="005C2846"/>
    <w:rsid w:val="005C454F"/>
    <w:rsid w:val="005C7BB4"/>
    <w:rsid w:val="005E3BD6"/>
    <w:rsid w:val="005E78F4"/>
    <w:rsid w:val="005F3D3A"/>
    <w:rsid w:val="005F72CF"/>
    <w:rsid w:val="006028EA"/>
    <w:rsid w:val="00615EE2"/>
    <w:rsid w:val="00620348"/>
    <w:rsid w:val="006275D4"/>
    <w:rsid w:val="0063369C"/>
    <w:rsid w:val="006351AD"/>
    <w:rsid w:val="0064449C"/>
    <w:rsid w:val="00644B05"/>
    <w:rsid w:val="00646CEB"/>
    <w:rsid w:val="006528C3"/>
    <w:rsid w:val="006536D2"/>
    <w:rsid w:val="00674F96"/>
    <w:rsid w:val="006770F7"/>
    <w:rsid w:val="00680429"/>
    <w:rsid w:val="006825BC"/>
    <w:rsid w:val="00687A88"/>
    <w:rsid w:val="00692C60"/>
    <w:rsid w:val="00693104"/>
    <w:rsid w:val="006A2258"/>
    <w:rsid w:val="006B2526"/>
    <w:rsid w:val="006B3292"/>
    <w:rsid w:val="006B539A"/>
    <w:rsid w:val="006C07B5"/>
    <w:rsid w:val="006C2605"/>
    <w:rsid w:val="006C2B89"/>
    <w:rsid w:val="006D204C"/>
    <w:rsid w:val="006D5EDC"/>
    <w:rsid w:val="006E20FD"/>
    <w:rsid w:val="006F0A65"/>
    <w:rsid w:val="00704328"/>
    <w:rsid w:val="0071167F"/>
    <w:rsid w:val="00711914"/>
    <w:rsid w:val="00713A61"/>
    <w:rsid w:val="00716F56"/>
    <w:rsid w:val="00717ED1"/>
    <w:rsid w:val="00721A59"/>
    <w:rsid w:val="00732E16"/>
    <w:rsid w:val="007350D1"/>
    <w:rsid w:val="007363A1"/>
    <w:rsid w:val="00745F6C"/>
    <w:rsid w:val="007610A3"/>
    <w:rsid w:val="00762B71"/>
    <w:rsid w:val="007712DF"/>
    <w:rsid w:val="0077275F"/>
    <w:rsid w:val="00797A97"/>
    <w:rsid w:val="007B14D1"/>
    <w:rsid w:val="007C7F14"/>
    <w:rsid w:val="007D5008"/>
    <w:rsid w:val="007E2827"/>
    <w:rsid w:val="007F0475"/>
    <w:rsid w:val="007F49E4"/>
    <w:rsid w:val="008002D7"/>
    <w:rsid w:val="00801B10"/>
    <w:rsid w:val="00807311"/>
    <w:rsid w:val="008106B7"/>
    <w:rsid w:val="00811071"/>
    <w:rsid w:val="00815ECF"/>
    <w:rsid w:val="00817453"/>
    <w:rsid w:val="00820043"/>
    <w:rsid w:val="008208B3"/>
    <w:rsid w:val="008361FA"/>
    <w:rsid w:val="00841B71"/>
    <w:rsid w:val="00843BC3"/>
    <w:rsid w:val="00850F0F"/>
    <w:rsid w:val="008553F5"/>
    <w:rsid w:val="008575E1"/>
    <w:rsid w:val="00867418"/>
    <w:rsid w:val="00875D13"/>
    <w:rsid w:val="0088119B"/>
    <w:rsid w:val="00894AD8"/>
    <w:rsid w:val="00897F76"/>
    <w:rsid w:val="008B280B"/>
    <w:rsid w:val="008B5793"/>
    <w:rsid w:val="008B57BA"/>
    <w:rsid w:val="008C1EAE"/>
    <w:rsid w:val="008C4AF4"/>
    <w:rsid w:val="008E6948"/>
    <w:rsid w:val="008E6AC3"/>
    <w:rsid w:val="008E7005"/>
    <w:rsid w:val="008F0E3C"/>
    <w:rsid w:val="008F1EFF"/>
    <w:rsid w:val="008F447B"/>
    <w:rsid w:val="00902265"/>
    <w:rsid w:val="0090751B"/>
    <w:rsid w:val="0091488D"/>
    <w:rsid w:val="00914F84"/>
    <w:rsid w:val="00915FF3"/>
    <w:rsid w:val="009262C2"/>
    <w:rsid w:val="00927B01"/>
    <w:rsid w:val="00931719"/>
    <w:rsid w:val="0093766A"/>
    <w:rsid w:val="00937F54"/>
    <w:rsid w:val="00942E6F"/>
    <w:rsid w:val="009465D3"/>
    <w:rsid w:val="00971F2C"/>
    <w:rsid w:val="00972FD9"/>
    <w:rsid w:val="00975966"/>
    <w:rsid w:val="00982DEE"/>
    <w:rsid w:val="00983F3A"/>
    <w:rsid w:val="00995848"/>
    <w:rsid w:val="009C01AC"/>
    <w:rsid w:val="009C2649"/>
    <w:rsid w:val="009D0BE6"/>
    <w:rsid w:val="009D4AB6"/>
    <w:rsid w:val="009D7362"/>
    <w:rsid w:val="009E1ADF"/>
    <w:rsid w:val="009E744B"/>
    <w:rsid w:val="00A10897"/>
    <w:rsid w:val="00A10AE2"/>
    <w:rsid w:val="00A10C4B"/>
    <w:rsid w:val="00A15F5D"/>
    <w:rsid w:val="00A16298"/>
    <w:rsid w:val="00A173D7"/>
    <w:rsid w:val="00A20C0B"/>
    <w:rsid w:val="00A227E4"/>
    <w:rsid w:val="00A31D8F"/>
    <w:rsid w:val="00A34823"/>
    <w:rsid w:val="00A4533F"/>
    <w:rsid w:val="00A4798A"/>
    <w:rsid w:val="00A5654A"/>
    <w:rsid w:val="00A65800"/>
    <w:rsid w:val="00A65F88"/>
    <w:rsid w:val="00A803C1"/>
    <w:rsid w:val="00A96FC9"/>
    <w:rsid w:val="00AA26E0"/>
    <w:rsid w:val="00AA5E8F"/>
    <w:rsid w:val="00AC27A2"/>
    <w:rsid w:val="00AC4312"/>
    <w:rsid w:val="00AC566D"/>
    <w:rsid w:val="00AD2522"/>
    <w:rsid w:val="00AD2B16"/>
    <w:rsid w:val="00AD3FC6"/>
    <w:rsid w:val="00AF1FB6"/>
    <w:rsid w:val="00AF3BC1"/>
    <w:rsid w:val="00AF59A9"/>
    <w:rsid w:val="00AF5A82"/>
    <w:rsid w:val="00B00318"/>
    <w:rsid w:val="00B058A3"/>
    <w:rsid w:val="00B07FC6"/>
    <w:rsid w:val="00B14996"/>
    <w:rsid w:val="00B16644"/>
    <w:rsid w:val="00B1714B"/>
    <w:rsid w:val="00B334B3"/>
    <w:rsid w:val="00B400C7"/>
    <w:rsid w:val="00B418A9"/>
    <w:rsid w:val="00B46B32"/>
    <w:rsid w:val="00B47A1C"/>
    <w:rsid w:val="00B54DE3"/>
    <w:rsid w:val="00B55E29"/>
    <w:rsid w:val="00B65F3C"/>
    <w:rsid w:val="00B678EA"/>
    <w:rsid w:val="00B7130E"/>
    <w:rsid w:val="00B8795C"/>
    <w:rsid w:val="00B9145F"/>
    <w:rsid w:val="00B941EE"/>
    <w:rsid w:val="00B95C70"/>
    <w:rsid w:val="00BB1BC9"/>
    <w:rsid w:val="00BB589D"/>
    <w:rsid w:val="00BC015D"/>
    <w:rsid w:val="00BC2904"/>
    <w:rsid w:val="00BD281C"/>
    <w:rsid w:val="00BE13A7"/>
    <w:rsid w:val="00BE26C4"/>
    <w:rsid w:val="00BE3F74"/>
    <w:rsid w:val="00C03467"/>
    <w:rsid w:val="00C04643"/>
    <w:rsid w:val="00C1300B"/>
    <w:rsid w:val="00C23CBF"/>
    <w:rsid w:val="00C2484E"/>
    <w:rsid w:val="00C375CB"/>
    <w:rsid w:val="00C56FAA"/>
    <w:rsid w:val="00C5770C"/>
    <w:rsid w:val="00C5786B"/>
    <w:rsid w:val="00C607C3"/>
    <w:rsid w:val="00C64419"/>
    <w:rsid w:val="00C70025"/>
    <w:rsid w:val="00C73D7D"/>
    <w:rsid w:val="00C75F5B"/>
    <w:rsid w:val="00C77EFB"/>
    <w:rsid w:val="00C80A77"/>
    <w:rsid w:val="00C825D1"/>
    <w:rsid w:val="00C952EC"/>
    <w:rsid w:val="00C962E4"/>
    <w:rsid w:val="00CA4285"/>
    <w:rsid w:val="00CA50C5"/>
    <w:rsid w:val="00CA7D43"/>
    <w:rsid w:val="00CB0F76"/>
    <w:rsid w:val="00CB2F94"/>
    <w:rsid w:val="00CC107D"/>
    <w:rsid w:val="00CC41CE"/>
    <w:rsid w:val="00CD1701"/>
    <w:rsid w:val="00CE64FA"/>
    <w:rsid w:val="00CF4138"/>
    <w:rsid w:val="00CF6953"/>
    <w:rsid w:val="00D0267D"/>
    <w:rsid w:val="00D028A0"/>
    <w:rsid w:val="00D158FF"/>
    <w:rsid w:val="00D16074"/>
    <w:rsid w:val="00D253CD"/>
    <w:rsid w:val="00D2677D"/>
    <w:rsid w:val="00D30DEF"/>
    <w:rsid w:val="00D35555"/>
    <w:rsid w:val="00D41076"/>
    <w:rsid w:val="00D47E67"/>
    <w:rsid w:val="00D503D3"/>
    <w:rsid w:val="00D55FD8"/>
    <w:rsid w:val="00D6703A"/>
    <w:rsid w:val="00D73A24"/>
    <w:rsid w:val="00D74CA9"/>
    <w:rsid w:val="00D7570D"/>
    <w:rsid w:val="00D844C7"/>
    <w:rsid w:val="00D85391"/>
    <w:rsid w:val="00D94EFC"/>
    <w:rsid w:val="00D9623B"/>
    <w:rsid w:val="00DA157E"/>
    <w:rsid w:val="00DA39BD"/>
    <w:rsid w:val="00DA70C5"/>
    <w:rsid w:val="00DA7718"/>
    <w:rsid w:val="00DB7E9B"/>
    <w:rsid w:val="00DC2E80"/>
    <w:rsid w:val="00DC45E9"/>
    <w:rsid w:val="00DC4667"/>
    <w:rsid w:val="00DC7802"/>
    <w:rsid w:val="00DD0DC9"/>
    <w:rsid w:val="00DD50AB"/>
    <w:rsid w:val="00DE340A"/>
    <w:rsid w:val="00DF1422"/>
    <w:rsid w:val="00DF4400"/>
    <w:rsid w:val="00DF62C4"/>
    <w:rsid w:val="00E03159"/>
    <w:rsid w:val="00E125EB"/>
    <w:rsid w:val="00E1261D"/>
    <w:rsid w:val="00E15D0F"/>
    <w:rsid w:val="00E2499F"/>
    <w:rsid w:val="00E31CBD"/>
    <w:rsid w:val="00E341FF"/>
    <w:rsid w:val="00E46E0B"/>
    <w:rsid w:val="00E52812"/>
    <w:rsid w:val="00E5587D"/>
    <w:rsid w:val="00E63728"/>
    <w:rsid w:val="00E76575"/>
    <w:rsid w:val="00E847FC"/>
    <w:rsid w:val="00E912CD"/>
    <w:rsid w:val="00E92DA6"/>
    <w:rsid w:val="00EA5E45"/>
    <w:rsid w:val="00EC3E07"/>
    <w:rsid w:val="00EC48ED"/>
    <w:rsid w:val="00ED745A"/>
    <w:rsid w:val="00EE585F"/>
    <w:rsid w:val="00EE6D01"/>
    <w:rsid w:val="00EF0ADD"/>
    <w:rsid w:val="00EF5AB3"/>
    <w:rsid w:val="00F00BA8"/>
    <w:rsid w:val="00F00EC9"/>
    <w:rsid w:val="00F06B6A"/>
    <w:rsid w:val="00F07EDA"/>
    <w:rsid w:val="00F17D33"/>
    <w:rsid w:val="00F231A4"/>
    <w:rsid w:val="00F265EA"/>
    <w:rsid w:val="00F41F0B"/>
    <w:rsid w:val="00F42E77"/>
    <w:rsid w:val="00F45CFA"/>
    <w:rsid w:val="00F54961"/>
    <w:rsid w:val="00F553DD"/>
    <w:rsid w:val="00F608E6"/>
    <w:rsid w:val="00F60FB7"/>
    <w:rsid w:val="00F62FBD"/>
    <w:rsid w:val="00F67403"/>
    <w:rsid w:val="00F84BF8"/>
    <w:rsid w:val="00FA0926"/>
    <w:rsid w:val="00FB1593"/>
    <w:rsid w:val="00FB283B"/>
    <w:rsid w:val="00FB61AF"/>
    <w:rsid w:val="00FC3F21"/>
    <w:rsid w:val="00FE406B"/>
    <w:rsid w:val="00FF0B7D"/>
    <w:rsid w:val="00FF381E"/>
    <w:rsid w:val="00FF4349"/>
    <w:rsid w:val="00FF76C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F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5F6C"/>
    <w:pPr>
      <w:tabs>
        <w:tab w:val="center" w:pos="4153"/>
        <w:tab w:val="right" w:pos="8306"/>
      </w:tabs>
    </w:pPr>
  </w:style>
  <w:style w:type="character" w:customStyle="1" w:styleId="HeaderChar">
    <w:name w:val="Header Char"/>
    <w:basedOn w:val="DefaultParagraphFont"/>
    <w:link w:val="Header"/>
    <w:uiPriority w:val="99"/>
    <w:semiHidden/>
    <w:rsid w:val="00F231A4"/>
    <w:rPr>
      <w:sz w:val="24"/>
      <w:szCs w:val="24"/>
    </w:rPr>
  </w:style>
  <w:style w:type="paragraph" w:styleId="Footer">
    <w:name w:val="footer"/>
    <w:basedOn w:val="Normal"/>
    <w:link w:val="FooterChar"/>
    <w:uiPriority w:val="99"/>
    <w:rsid w:val="00745F6C"/>
    <w:pPr>
      <w:tabs>
        <w:tab w:val="center" w:pos="4153"/>
        <w:tab w:val="right" w:pos="8306"/>
      </w:tabs>
    </w:pPr>
  </w:style>
  <w:style w:type="character" w:customStyle="1" w:styleId="FooterChar">
    <w:name w:val="Footer Char"/>
    <w:basedOn w:val="DefaultParagraphFont"/>
    <w:link w:val="Footer"/>
    <w:uiPriority w:val="99"/>
    <w:semiHidden/>
    <w:rsid w:val="00F231A4"/>
    <w:rPr>
      <w:sz w:val="24"/>
      <w:szCs w:val="24"/>
    </w:rPr>
  </w:style>
  <w:style w:type="character" w:styleId="PageNumber">
    <w:name w:val="page number"/>
    <w:basedOn w:val="DefaultParagraphFont"/>
    <w:uiPriority w:val="99"/>
    <w:rsid w:val="00745F6C"/>
  </w:style>
  <w:style w:type="paragraph" w:customStyle="1" w:styleId="naisf">
    <w:name w:val="naisf"/>
    <w:basedOn w:val="Normal"/>
    <w:uiPriority w:val="99"/>
    <w:rsid w:val="00745F6C"/>
    <w:pPr>
      <w:spacing w:before="75" w:after="75"/>
      <w:ind w:firstLine="375"/>
      <w:jc w:val="both"/>
    </w:pPr>
  </w:style>
  <w:style w:type="paragraph" w:customStyle="1" w:styleId="naisnod">
    <w:name w:val="naisnod"/>
    <w:basedOn w:val="Normal"/>
    <w:uiPriority w:val="99"/>
    <w:rsid w:val="00875D13"/>
    <w:pPr>
      <w:spacing w:before="150" w:after="150"/>
      <w:jc w:val="center"/>
    </w:pPr>
    <w:rPr>
      <w:b/>
      <w:bCs/>
    </w:rPr>
  </w:style>
  <w:style w:type="paragraph" w:customStyle="1" w:styleId="naiskr">
    <w:name w:val="naiskr"/>
    <w:basedOn w:val="Normal"/>
    <w:uiPriority w:val="99"/>
    <w:rsid w:val="00875D13"/>
    <w:pPr>
      <w:spacing w:before="75" w:after="75"/>
    </w:pPr>
  </w:style>
  <w:style w:type="paragraph" w:styleId="BodyTextIndent2">
    <w:name w:val="Body Text Indent 2"/>
    <w:basedOn w:val="Normal"/>
    <w:link w:val="BodyTextIndent2Char"/>
    <w:uiPriority w:val="99"/>
    <w:rsid w:val="00875D13"/>
    <w:pPr>
      <w:spacing w:after="120" w:line="480" w:lineRule="auto"/>
      <w:ind w:left="283"/>
    </w:pPr>
  </w:style>
  <w:style w:type="character" w:customStyle="1" w:styleId="BodyTextIndent2Char">
    <w:name w:val="Body Text Indent 2 Char"/>
    <w:basedOn w:val="DefaultParagraphFont"/>
    <w:link w:val="BodyTextIndent2"/>
    <w:uiPriority w:val="99"/>
    <w:rsid w:val="00875D13"/>
    <w:rPr>
      <w:rFonts w:eastAsia="Times New Roman"/>
      <w:sz w:val="24"/>
      <w:szCs w:val="24"/>
      <w:lang w:val="lv-LV" w:eastAsia="lv-LV"/>
    </w:rPr>
  </w:style>
  <w:style w:type="paragraph" w:styleId="ListParagraph">
    <w:name w:val="List Paragraph"/>
    <w:basedOn w:val="Normal"/>
    <w:uiPriority w:val="99"/>
    <w:qFormat/>
    <w:rsid w:val="005C454F"/>
    <w:pPr>
      <w:spacing w:after="200" w:line="276" w:lineRule="auto"/>
      <w:ind w:left="720"/>
      <w:contextualSpacing/>
    </w:pPr>
    <w:rPr>
      <w:rFonts w:ascii="Calibri" w:hAnsi="Calibri" w:cs="Calibri"/>
      <w:sz w:val="22"/>
      <w:szCs w:val="22"/>
      <w:lang w:val="en-US" w:eastAsia="en-US"/>
    </w:rPr>
  </w:style>
  <w:style w:type="paragraph" w:styleId="NormalWeb">
    <w:name w:val="Normal (Web)"/>
    <w:basedOn w:val="Normal"/>
    <w:uiPriority w:val="99"/>
    <w:rsid w:val="00CA4285"/>
    <w:pPr>
      <w:spacing w:before="100" w:beforeAutospacing="1" w:after="119"/>
    </w:pPr>
  </w:style>
  <w:style w:type="paragraph" w:styleId="BalloonText">
    <w:name w:val="Balloon Text"/>
    <w:basedOn w:val="Normal"/>
    <w:link w:val="BalloonTextChar"/>
    <w:uiPriority w:val="99"/>
    <w:semiHidden/>
    <w:rsid w:val="006B3292"/>
    <w:rPr>
      <w:rFonts w:ascii="Tahoma" w:hAnsi="Tahoma" w:cs="Tahoma"/>
      <w:sz w:val="16"/>
      <w:szCs w:val="16"/>
    </w:rPr>
  </w:style>
  <w:style w:type="character" w:customStyle="1" w:styleId="BalloonTextChar">
    <w:name w:val="Balloon Text Char"/>
    <w:basedOn w:val="DefaultParagraphFont"/>
    <w:link w:val="BalloonText"/>
    <w:uiPriority w:val="99"/>
    <w:rsid w:val="006B3292"/>
    <w:rPr>
      <w:rFonts w:ascii="Tahoma" w:hAnsi="Tahoma" w:cs="Tahoma"/>
      <w:sz w:val="16"/>
      <w:szCs w:val="16"/>
      <w:lang w:val="lv-LV" w:eastAsia="lv-LV"/>
    </w:rPr>
  </w:style>
  <w:style w:type="paragraph" w:styleId="FootnoteText">
    <w:name w:val="footnote text"/>
    <w:basedOn w:val="Normal"/>
    <w:link w:val="FootnoteTextChar"/>
    <w:uiPriority w:val="99"/>
    <w:semiHidden/>
    <w:rsid w:val="00DA70C5"/>
    <w:rPr>
      <w:sz w:val="20"/>
      <w:szCs w:val="20"/>
    </w:rPr>
  </w:style>
  <w:style w:type="character" w:customStyle="1" w:styleId="FootnoteTextChar">
    <w:name w:val="Footnote Text Char"/>
    <w:basedOn w:val="DefaultParagraphFont"/>
    <w:link w:val="FootnoteText"/>
    <w:uiPriority w:val="99"/>
    <w:rsid w:val="00DA70C5"/>
    <w:rPr>
      <w:lang w:val="lv-LV" w:eastAsia="lv-LV"/>
    </w:rPr>
  </w:style>
  <w:style w:type="paragraph" w:styleId="BodyText2">
    <w:name w:val="Body Text 2"/>
    <w:basedOn w:val="Normal"/>
    <w:link w:val="BodyText2Char"/>
    <w:uiPriority w:val="99"/>
    <w:rsid w:val="00DA70C5"/>
    <w:pPr>
      <w:spacing w:after="120" w:line="480" w:lineRule="auto"/>
    </w:pPr>
  </w:style>
  <w:style w:type="character" w:customStyle="1" w:styleId="BodyText2Char">
    <w:name w:val="Body Text 2 Char"/>
    <w:basedOn w:val="DefaultParagraphFont"/>
    <w:link w:val="BodyText2"/>
    <w:uiPriority w:val="99"/>
    <w:rsid w:val="00DA70C5"/>
    <w:rPr>
      <w:sz w:val="24"/>
      <w:szCs w:val="24"/>
      <w:lang w:val="lv-LV" w:eastAsia="lv-LV"/>
    </w:rPr>
  </w:style>
  <w:style w:type="paragraph" w:customStyle="1" w:styleId="tv2131">
    <w:name w:val="tv2131"/>
    <w:basedOn w:val="Normal"/>
    <w:uiPriority w:val="99"/>
    <w:rsid w:val="002571E4"/>
    <w:pPr>
      <w:shd w:val="clear" w:color="auto" w:fill="FFFFFF"/>
      <w:spacing w:before="240" w:line="360" w:lineRule="auto"/>
      <w:ind w:firstLine="300"/>
      <w:jc w:val="both"/>
    </w:pPr>
    <w:rPr>
      <w:rFonts w:ascii="Verdana" w:hAnsi="Verdana" w:cs="Verdana"/>
      <w:sz w:val="18"/>
      <w:szCs w:val="18"/>
    </w:rPr>
  </w:style>
</w:styles>
</file>

<file path=word/webSettings.xml><?xml version="1.0" encoding="utf-8"?>
<w:webSettings xmlns:r="http://schemas.openxmlformats.org/officeDocument/2006/relationships" xmlns:w="http://schemas.openxmlformats.org/wordprocessingml/2006/main">
  <w:divs>
    <w:div w:id="1932726">
      <w:marLeft w:val="0"/>
      <w:marRight w:val="0"/>
      <w:marTop w:val="0"/>
      <w:marBottom w:val="0"/>
      <w:divBdr>
        <w:top w:val="none" w:sz="0" w:space="0" w:color="auto"/>
        <w:left w:val="none" w:sz="0" w:space="0" w:color="auto"/>
        <w:bottom w:val="none" w:sz="0" w:space="0" w:color="auto"/>
        <w:right w:val="none" w:sz="0" w:space="0" w:color="auto"/>
      </w:divBdr>
    </w:div>
    <w:div w:id="1932727">
      <w:marLeft w:val="0"/>
      <w:marRight w:val="0"/>
      <w:marTop w:val="0"/>
      <w:marBottom w:val="0"/>
      <w:divBdr>
        <w:top w:val="none" w:sz="0" w:space="0" w:color="auto"/>
        <w:left w:val="none" w:sz="0" w:space="0" w:color="auto"/>
        <w:bottom w:val="none" w:sz="0" w:space="0" w:color="auto"/>
        <w:right w:val="none" w:sz="0" w:space="0" w:color="auto"/>
      </w:divBdr>
    </w:div>
    <w:div w:id="1932728">
      <w:marLeft w:val="0"/>
      <w:marRight w:val="0"/>
      <w:marTop w:val="0"/>
      <w:marBottom w:val="0"/>
      <w:divBdr>
        <w:top w:val="none" w:sz="0" w:space="0" w:color="auto"/>
        <w:left w:val="none" w:sz="0" w:space="0" w:color="auto"/>
        <w:bottom w:val="none" w:sz="0" w:space="0" w:color="auto"/>
        <w:right w:val="none" w:sz="0" w:space="0" w:color="auto"/>
      </w:divBdr>
    </w:div>
    <w:div w:id="42141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01FCD-70AD-4B8F-A00F-B5B0B3365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9</Pages>
  <Words>2335</Words>
  <Characters>15736</Characters>
  <Application>Microsoft Office Word</Application>
  <DocSecurity>0</DocSecurity>
  <Lines>131</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(ex-ante) ietekmes novērtējuma ziņojums (anotācija)</vt:lpstr>
      <vt:lpstr>Ministru kabineta rīkojuma projekta "Par finanšu līdzekļu piešķiršanu no valsts budžeta programmas „Līdzekļi neparedzētiem gadījumiem”” sākotnējās (ex-ante) ietekmes novērtējuma ziņojums (anotācija)</vt:lpstr>
    </vt:vector>
  </TitlesOfParts>
  <Company>Veselības ministrija</Company>
  <LinksUpToDate>false</LinksUpToDate>
  <CharactersWithSpaces>18035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(ex-ante) ietekmes novērtējuma ziņojums (anotācija)</dc:title>
  <dc:subject>anotācijas projekts</dc:subject>
  <dc:creator>Sandra Dreimane</dc:creator>
  <cp:keywords/>
  <dc:description>Budžeta un investīciju departamenta Budžeta plānošanas nodaļas vecākā referente Sandra Dreimane, 67876147, sandra.dreimane@vm.gov.lv</dc:description>
  <cp:lastModifiedBy>sdreimane</cp:lastModifiedBy>
  <cp:revision>290</cp:revision>
  <cp:lastPrinted>2013-03-13T07:22:00Z</cp:lastPrinted>
  <dcterms:created xsi:type="dcterms:W3CDTF">2013-03-12T14:38:00Z</dcterms:created>
  <dcterms:modified xsi:type="dcterms:W3CDTF">2013-04-09T07:51:00Z</dcterms:modified>
</cp:coreProperties>
</file>