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E2" w:rsidRDefault="00BE09F3" w:rsidP="00A524BD">
      <w:pPr>
        <w:jc w:val="center"/>
        <w:rPr>
          <w:b/>
          <w:sz w:val="28"/>
          <w:szCs w:val="28"/>
        </w:rPr>
      </w:pPr>
      <w:bookmarkStart w:id="0" w:name="OLE_LINK1"/>
      <w:bookmarkStart w:id="1" w:name="OLE_LINK2"/>
      <w:bookmarkStart w:id="2" w:name="OLE_LINK8"/>
      <w:bookmarkStart w:id="3" w:name="OLE_LINK9"/>
      <w:r w:rsidRPr="000F0B0D">
        <w:rPr>
          <w:b/>
          <w:bCs/>
          <w:sz w:val="28"/>
          <w:szCs w:val="28"/>
        </w:rPr>
        <w:t>Ministru kabineta noteikumu projekta „</w:t>
      </w:r>
      <w:bookmarkStart w:id="4" w:name="OLE_LINK26"/>
      <w:bookmarkStart w:id="5" w:name="OLE_LINK27"/>
      <w:bookmarkStart w:id="6" w:name="OLE_LINK3"/>
      <w:bookmarkStart w:id="7" w:name="OLE_LINK4"/>
      <w:r w:rsidR="00C25272" w:rsidRPr="00F91A44">
        <w:rPr>
          <w:b/>
          <w:bCs/>
          <w:sz w:val="28"/>
          <w:szCs w:val="28"/>
        </w:rPr>
        <w:t xml:space="preserve">Grozījumi Ministru kabineta </w:t>
      </w:r>
      <w:bookmarkEnd w:id="4"/>
      <w:bookmarkEnd w:id="5"/>
      <w:r w:rsidR="00C25272" w:rsidRPr="00F91A44">
        <w:rPr>
          <w:b/>
          <w:bCs/>
          <w:iCs/>
          <w:sz w:val="28"/>
          <w:szCs w:val="28"/>
        </w:rPr>
        <w:t>20</w:t>
      </w:r>
      <w:r w:rsidR="00C25272">
        <w:rPr>
          <w:b/>
          <w:bCs/>
          <w:iCs/>
          <w:sz w:val="28"/>
          <w:szCs w:val="28"/>
        </w:rPr>
        <w:t>08</w:t>
      </w:r>
      <w:r w:rsidR="00C25272" w:rsidRPr="00F91A44">
        <w:rPr>
          <w:b/>
          <w:bCs/>
          <w:iCs/>
          <w:sz w:val="28"/>
          <w:szCs w:val="28"/>
        </w:rPr>
        <w:t xml:space="preserve">.gada </w:t>
      </w:r>
      <w:r w:rsidR="00C25272">
        <w:rPr>
          <w:b/>
          <w:bCs/>
          <w:iCs/>
          <w:sz w:val="28"/>
          <w:szCs w:val="28"/>
        </w:rPr>
        <w:t>1</w:t>
      </w:r>
      <w:r w:rsidR="000A1851">
        <w:rPr>
          <w:b/>
          <w:bCs/>
          <w:iCs/>
          <w:sz w:val="28"/>
          <w:szCs w:val="28"/>
        </w:rPr>
        <w:t>9</w:t>
      </w:r>
      <w:r w:rsidR="00C25272">
        <w:rPr>
          <w:b/>
          <w:bCs/>
          <w:iCs/>
          <w:sz w:val="28"/>
          <w:szCs w:val="28"/>
        </w:rPr>
        <w:t>.maija</w:t>
      </w:r>
      <w:r w:rsidR="00C25272" w:rsidRPr="00F91A44">
        <w:rPr>
          <w:b/>
          <w:bCs/>
          <w:iCs/>
          <w:sz w:val="28"/>
          <w:szCs w:val="28"/>
        </w:rPr>
        <w:t xml:space="preserve"> noteikumos Nr.3</w:t>
      </w:r>
      <w:r w:rsidR="00C25272">
        <w:rPr>
          <w:b/>
          <w:bCs/>
          <w:iCs/>
          <w:sz w:val="28"/>
          <w:szCs w:val="28"/>
        </w:rPr>
        <w:t>5</w:t>
      </w:r>
      <w:r w:rsidR="00C25272" w:rsidRPr="00F91A44">
        <w:rPr>
          <w:b/>
          <w:bCs/>
          <w:iCs/>
          <w:sz w:val="28"/>
          <w:szCs w:val="28"/>
        </w:rPr>
        <w:t>3 „Noteikumi par darbības programmas „</w:t>
      </w:r>
      <w:r w:rsidR="00C25272">
        <w:rPr>
          <w:b/>
          <w:bCs/>
          <w:iCs/>
          <w:sz w:val="28"/>
          <w:szCs w:val="28"/>
        </w:rPr>
        <w:t>Cilvēkresursi un nodarbinātība</w:t>
      </w:r>
      <w:r w:rsidR="00C25272" w:rsidRPr="00F91A44">
        <w:rPr>
          <w:b/>
          <w:bCs/>
          <w:iCs/>
          <w:sz w:val="28"/>
          <w:szCs w:val="28"/>
        </w:rPr>
        <w:t>”</w:t>
      </w:r>
      <w:r w:rsidR="00C25272">
        <w:rPr>
          <w:b/>
          <w:bCs/>
          <w:iCs/>
          <w:sz w:val="28"/>
          <w:szCs w:val="28"/>
        </w:rPr>
        <w:t xml:space="preserve"> papildinājuma </w:t>
      </w:r>
      <w:r w:rsidR="00C25272" w:rsidRPr="00F260BC">
        <w:rPr>
          <w:b/>
          <w:bCs/>
          <w:iCs/>
          <w:sz w:val="28"/>
          <w:szCs w:val="28"/>
        </w:rPr>
        <w:t>1.3.2.3.aktivitāti "Veselības aprūpes un veicināšanas procesā iesaistīto institūciju personāla kompetences, prasmju un iemaņu līmeņa paaugstināšana</w:t>
      </w:r>
      <w:r w:rsidR="00C25272">
        <w:rPr>
          <w:b/>
          <w:bCs/>
          <w:iCs/>
          <w:sz w:val="28"/>
          <w:szCs w:val="28"/>
        </w:rPr>
        <w:t>””</w:t>
      </w:r>
      <w:bookmarkEnd w:id="6"/>
      <w:bookmarkEnd w:id="7"/>
      <w:r w:rsidR="008520C3" w:rsidRPr="00200678">
        <w:rPr>
          <w:b/>
          <w:bCs/>
          <w:iCs/>
          <w:sz w:val="28"/>
          <w:szCs w:val="28"/>
        </w:rPr>
        <w:t>”</w:t>
      </w:r>
      <w:bookmarkEnd w:id="0"/>
      <w:bookmarkEnd w:id="1"/>
      <w:r w:rsidR="00A524BD">
        <w:rPr>
          <w:b/>
          <w:bCs/>
          <w:iCs/>
          <w:sz w:val="28"/>
          <w:szCs w:val="28"/>
        </w:rPr>
        <w:t xml:space="preserve"> </w:t>
      </w:r>
      <w:r w:rsidR="00A524BD">
        <w:rPr>
          <w:b/>
          <w:sz w:val="28"/>
          <w:szCs w:val="28"/>
        </w:rPr>
        <w:t>sākotnējās ietekmes novērtējuma ziņojums (anotācija)</w:t>
      </w:r>
      <w:bookmarkEnd w:id="2"/>
      <w:bookmarkEnd w:id="3"/>
    </w:p>
    <w:p w:rsidR="00A524BD" w:rsidRPr="000F0B0D" w:rsidRDefault="00A524BD" w:rsidP="00A524BD">
      <w:pPr>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918" w:type="dxa"/>
            <w:vAlign w:val="center"/>
          </w:tcPr>
          <w:p w:rsidR="000D1DF2" w:rsidRPr="00B63B8D" w:rsidRDefault="00BE09F3" w:rsidP="00DA0C9F">
            <w:pPr>
              <w:ind w:firstLine="318"/>
              <w:jc w:val="both"/>
              <w:rPr>
                <w:color w:val="2A2A2A"/>
              </w:rPr>
            </w:pPr>
            <w:r w:rsidRPr="00F53AD8">
              <w:rPr>
                <w:color w:val="2A2A2A"/>
              </w:rPr>
              <w:t>Ministru kabineta noteikumu „</w:t>
            </w:r>
            <w:r w:rsidR="00C25272">
              <w:rPr>
                <w:color w:val="2A2A2A"/>
              </w:rPr>
              <w:t xml:space="preserve">Grozījumi </w:t>
            </w:r>
            <w:r w:rsidR="00C25272" w:rsidRPr="00C25272">
              <w:rPr>
                <w:color w:val="2A2A2A"/>
              </w:rPr>
              <w:t>Ministru kabineta 2008.gada 1</w:t>
            </w:r>
            <w:r w:rsidR="000A1851">
              <w:rPr>
                <w:color w:val="2A2A2A"/>
              </w:rPr>
              <w:t>9</w:t>
            </w:r>
            <w:r w:rsidR="00C25272" w:rsidRPr="00C25272">
              <w:rPr>
                <w:color w:val="2A2A2A"/>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F53AD8">
              <w:rPr>
                <w:color w:val="2A2A2A"/>
              </w:rPr>
              <w:t>” projekts</w:t>
            </w:r>
            <w:r w:rsidR="009A7369" w:rsidRPr="00F53AD8">
              <w:rPr>
                <w:color w:val="2A2A2A"/>
              </w:rPr>
              <w:t xml:space="preserve"> (turpmāk – </w:t>
            </w:r>
            <w:r w:rsidR="00BD76C0">
              <w:rPr>
                <w:color w:val="2A2A2A"/>
              </w:rPr>
              <w:t xml:space="preserve">MK </w:t>
            </w:r>
            <w:r w:rsidR="009A7369" w:rsidRPr="00F53AD8">
              <w:rPr>
                <w:color w:val="2A2A2A"/>
              </w:rPr>
              <w:t xml:space="preserve">noteikumu </w:t>
            </w:r>
            <w:r w:rsidR="00BD76C0">
              <w:rPr>
                <w:color w:val="2A2A2A"/>
              </w:rPr>
              <w:t xml:space="preserve">grozījumu </w:t>
            </w:r>
            <w:r w:rsidR="009A7369" w:rsidRPr="00F53AD8">
              <w:rPr>
                <w:color w:val="2A2A2A"/>
              </w:rPr>
              <w:t>projekts)</w:t>
            </w:r>
            <w:r w:rsidRPr="00F53AD8">
              <w:rPr>
                <w:color w:val="2A2A2A"/>
              </w:rPr>
              <w:t xml:space="preserve"> sagatavots pamatojoties uz Eiropas Savienības struktūrfondu un Kohēzijas fonda vad</w:t>
            </w:r>
            <w:r w:rsidR="00DA0C9F">
              <w:rPr>
                <w:color w:val="2A2A2A"/>
              </w:rPr>
              <w:t>ības likuma 18.panta 10.punktu.</w:t>
            </w:r>
          </w:p>
        </w:tc>
      </w:tr>
      <w:tr w:rsidR="00BE09F3" w:rsidRPr="001E3003" w:rsidTr="006D49BD">
        <w:trPr>
          <w:trHeight w:val="273"/>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918" w:type="dxa"/>
            <w:vAlign w:val="center"/>
          </w:tcPr>
          <w:p w:rsidR="00022022" w:rsidRDefault="00AB6B17" w:rsidP="00B63B8D">
            <w:pPr>
              <w:ind w:firstLine="318"/>
              <w:jc w:val="both"/>
            </w:pPr>
            <w:r w:rsidRPr="00817EBE">
              <w:t xml:space="preserve">Ar Ministru kabineta 2010.gada </w:t>
            </w:r>
            <w:r>
              <w:t>8</w:t>
            </w:r>
            <w:r w:rsidRPr="00817EBE">
              <w:t>.</w:t>
            </w:r>
            <w:r>
              <w:t xml:space="preserve">decembra </w:t>
            </w:r>
            <w:r w:rsidRPr="00817EBE">
              <w:t>rīkojumu Nr.</w:t>
            </w:r>
            <w:r>
              <w:t xml:space="preserve">709 </w:t>
            </w:r>
            <w:r w:rsidR="006D49BD">
              <w:t>„P</w:t>
            </w:r>
            <w:r w:rsidRPr="00817EBE">
              <w:t>ar grozījumiem darbības programmas „Cilvēkresursi un nodarbinātība” papildinājumā</w:t>
            </w:r>
            <w:r w:rsidR="006D49BD">
              <w:t>”</w:t>
            </w:r>
            <w:r w:rsidRPr="00817EBE">
              <w:t xml:space="preserve"> aktivitātei ir samazināts </w:t>
            </w:r>
            <w:r w:rsidRPr="00AB6B17">
              <w:rPr>
                <w:lang w:eastAsia="lv-LV"/>
              </w:rPr>
              <w:t>kopējā attiecināmā publiskā finansējuma</w:t>
            </w:r>
            <w:r>
              <w:rPr>
                <w:lang w:eastAsia="lv-LV"/>
              </w:rPr>
              <w:t xml:space="preserve"> ap</w:t>
            </w:r>
            <w:r w:rsidRPr="00817EBE">
              <w:t>mērs</w:t>
            </w:r>
            <w:r w:rsidR="00B63B8D">
              <w:t xml:space="preserve"> līdz 10 098 255 latiem</w:t>
            </w:r>
            <w:r w:rsidR="00CF5435">
              <w:t>,</w:t>
            </w:r>
            <w:r w:rsidR="00B63B8D">
              <w:t xml:space="preserve"> attiecīgi izmainot</w:t>
            </w:r>
            <w:r w:rsidRPr="00817EBE">
              <w:t xml:space="preserve"> Eiropas Sociālā fonda līdzfinansējum</w:t>
            </w:r>
            <w:r w:rsidR="00B63B8D">
              <w:t>a likmi uz</w:t>
            </w:r>
            <w:r w:rsidRPr="00817EBE">
              <w:t xml:space="preserve"> </w:t>
            </w:r>
            <w:r w:rsidRPr="00AB6B17">
              <w:t>86,35</w:t>
            </w:r>
            <w:r w:rsidRPr="00817EBE">
              <w:t>%.</w:t>
            </w:r>
            <w:r w:rsidR="00E7205C">
              <w:t xml:space="preserve"> Ievērojot finansējuma samazināšanu</w:t>
            </w:r>
            <w:r w:rsidR="00F0507A">
              <w:t>,</w:t>
            </w:r>
            <w:r w:rsidR="00E7205C">
              <w:t xml:space="preserve"> aktivitātes atli</w:t>
            </w:r>
            <w:r w:rsidR="00F0507A">
              <w:t>kušo finansējumu paredzēts pārstrukturizēt, nodrošinot apmācību organizēšanu līdz 2013.gadam</w:t>
            </w:r>
            <w:r w:rsidR="0044734E">
              <w:t xml:space="preserve"> atbilstoši projekta ietvaros izstrādātajam cilvēkresursu attīstības plānam</w:t>
            </w:r>
            <w:r w:rsidR="008F08A4">
              <w:t>.</w:t>
            </w:r>
          </w:p>
          <w:p w:rsidR="006D49BD" w:rsidRPr="00A065DA" w:rsidRDefault="006D49BD" w:rsidP="008F08A4">
            <w:pPr>
              <w:ind w:firstLine="318"/>
              <w:jc w:val="both"/>
              <w:rPr>
                <w:color w:val="2A2A2A"/>
              </w:rPr>
            </w:pPr>
            <w:r>
              <w:t xml:space="preserve">Izvērtējot aktivitātes īstenošanu, </w:t>
            </w:r>
            <w:r w:rsidRPr="006D49BD">
              <w:t xml:space="preserve">Eiropas Sociālā fonda 1.3.2.pasākuma "Veselība darbā" uzraudzības komisijas </w:t>
            </w:r>
            <w:r>
              <w:t xml:space="preserve">2010.gada 17.septembra </w:t>
            </w:r>
            <w:r w:rsidRPr="006D49BD">
              <w:t>sanāksm</w:t>
            </w:r>
            <w:r>
              <w:t>ē tika pieņemts lēmums</w:t>
            </w:r>
            <w:r w:rsidRPr="006D49BD">
              <w:t xml:space="preserve"> veikt aktivitātes projektu iesniegumu atlases kārtu apvienošanu gadījumā, ja apguve projekta ietvaros sasniedz 50% no kopējā projektam piešķirtā finansējuma</w:t>
            </w:r>
            <w:r>
              <w:t xml:space="preserve">. 2010.gada ietvaros kumulatīvā projekta apguve sastādīja 5 097 792 latus jeb 53,7 procentus </w:t>
            </w:r>
            <w:r w:rsidRPr="006D49BD">
              <w:t>no kopējā projektam piešķirtā finansējuma</w:t>
            </w:r>
            <w:r>
              <w:t>.</w:t>
            </w:r>
          </w:p>
        </w:tc>
      </w:tr>
      <w:tr w:rsidR="00BE09F3" w:rsidRPr="001E3003" w:rsidTr="001E3003">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3.</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918" w:type="dxa"/>
            <w:vAlign w:val="center"/>
          </w:tcPr>
          <w:p w:rsidR="00BE09F3" w:rsidRPr="00C25272" w:rsidRDefault="000364B4" w:rsidP="006D49BD">
            <w:pPr>
              <w:ind w:firstLine="318"/>
              <w:jc w:val="both"/>
              <w:rPr>
                <w:color w:val="2A2A2A"/>
                <w:highlight w:val="yellow"/>
              </w:rPr>
            </w:pPr>
            <w:r w:rsidRPr="009E55C2">
              <w:rPr>
                <w:iCs/>
                <w:lang w:eastAsia="lv-LV"/>
              </w:rPr>
              <w:t>Projekts šo jomu neskar</w:t>
            </w:r>
            <w:r>
              <w:rPr>
                <w:iCs/>
                <w:lang w:eastAsia="lv-LV"/>
              </w:rPr>
              <w:t>.</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918" w:type="dxa"/>
            <w:vAlign w:val="center"/>
          </w:tcPr>
          <w:p w:rsidR="000F0B4F" w:rsidRPr="006D49BD" w:rsidRDefault="006D49BD" w:rsidP="006D49BD">
            <w:pPr>
              <w:tabs>
                <w:tab w:val="left" w:pos="317"/>
              </w:tabs>
              <w:jc w:val="both"/>
            </w:pPr>
            <w:r>
              <w:tab/>
            </w:r>
            <w:r w:rsidR="00BD76C0" w:rsidRPr="006D49BD">
              <w:t xml:space="preserve">MK noteikumu grozījumu projekta mērķis ir </w:t>
            </w:r>
            <w:r w:rsidR="000F0B4F" w:rsidRPr="006D49BD">
              <w:t>precizēt aktivitātei pieejamo finansējumu atbilstoši plānošanas dokumentos noteiktajam</w:t>
            </w:r>
            <w:r w:rsidR="004142AE" w:rsidRPr="006D49BD">
              <w:t>.</w:t>
            </w:r>
          </w:p>
          <w:p w:rsidR="00DB7231" w:rsidRDefault="00DB7231" w:rsidP="00AB6B17">
            <w:pPr>
              <w:numPr>
                <w:ilvl w:val="0"/>
                <w:numId w:val="13"/>
              </w:numPr>
              <w:ind w:left="33" w:firstLine="284"/>
              <w:jc w:val="both"/>
            </w:pPr>
            <w:r>
              <w:t xml:space="preserve">Saskaņā ar Ministru kabineta 2010.gada </w:t>
            </w:r>
            <w:r w:rsidR="00AB6B17">
              <w:t>8</w:t>
            </w:r>
            <w:r>
              <w:t>.</w:t>
            </w:r>
            <w:r w:rsidR="00AB6B17">
              <w:t xml:space="preserve">decembra </w:t>
            </w:r>
            <w:r>
              <w:t>rīkojumu Nr.</w:t>
            </w:r>
            <w:r w:rsidR="00AB6B17">
              <w:t xml:space="preserve">709 </w:t>
            </w:r>
            <w:r w:rsidR="006D49BD">
              <w:t>„P</w:t>
            </w:r>
            <w:r>
              <w:t>ar grozījumiem darbības programmas „Cilvēkresursi un nodarbinātība” papildinājumā</w:t>
            </w:r>
            <w:r w:rsidR="006D49BD">
              <w:t>”</w:t>
            </w:r>
            <w:r>
              <w:t xml:space="preserve"> ir samazināts </w:t>
            </w:r>
            <w:r w:rsidR="00AB6B17" w:rsidRPr="00AB6B17">
              <w:rPr>
                <w:lang w:eastAsia="lv-LV"/>
              </w:rPr>
              <w:t>kopējā attiecināmā publiskā finansējuma</w:t>
            </w:r>
            <w:r w:rsidR="00AB6B17">
              <w:rPr>
                <w:lang w:eastAsia="lv-LV"/>
              </w:rPr>
              <w:t xml:space="preserve"> ap</w:t>
            </w:r>
            <w:r w:rsidR="00AB6B17" w:rsidRPr="00817EBE">
              <w:t>mērs</w:t>
            </w:r>
            <w:r w:rsidR="006D49BD">
              <w:t xml:space="preserve"> līdz 10 098 255 latiem attiecīgi </w:t>
            </w:r>
            <w:r w:rsidR="006D49BD">
              <w:lastRenderedPageBreak/>
              <w:t>izmainot</w:t>
            </w:r>
            <w:r w:rsidR="006D49BD" w:rsidRPr="00817EBE">
              <w:t xml:space="preserve"> Eiropas Sociālā fonda līdzfinansējum</w:t>
            </w:r>
            <w:r w:rsidR="006D49BD">
              <w:t>a likmi uz</w:t>
            </w:r>
            <w:r w:rsidR="006D49BD" w:rsidRPr="00817EBE">
              <w:t xml:space="preserve"> </w:t>
            </w:r>
            <w:r w:rsidR="006D49BD" w:rsidRPr="00AB6B17">
              <w:t>86,35</w:t>
            </w:r>
            <w:r w:rsidR="006D49BD" w:rsidRPr="00817EBE">
              <w:t>%</w:t>
            </w:r>
            <w:r>
              <w:t>. Attiecīgi ir nepieciešams veikt grozījumus esošajā MK noteikumu redakcijā</w:t>
            </w:r>
            <w:r w:rsidR="00F0507A">
              <w:t>, vienlaicīgi paredzot pieejamā finansējuma apguvi līdz 2013.gadam</w:t>
            </w:r>
            <w:r>
              <w:t>.</w:t>
            </w:r>
          </w:p>
          <w:p w:rsidR="00DA0C9F" w:rsidRDefault="004142AE" w:rsidP="004142AE">
            <w:pPr>
              <w:numPr>
                <w:ilvl w:val="0"/>
                <w:numId w:val="13"/>
              </w:numPr>
              <w:ind w:left="33" w:firstLine="284"/>
              <w:jc w:val="both"/>
            </w:pPr>
            <w:r>
              <w:t>Esošā MK noteikumu redakcija nosaka, ka aktivitātes ietvaros tiek īstenotas divas projektu iesniegumu atlases kārtas, taču ņemot vērā to, ka aktivitātei ir ierobežota projektu iesniegumu atlase un otrajā kārtā plānots uzaicināt jau šobrīd realizācijā esošā aktivitātes projekta īstenotāju, tad</w:t>
            </w:r>
            <w:r w:rsidR="00CF5435">
              <w:t>,</w:t>
            </w:r>
            <w:r>
              <w:t xml:space="preserve"> lai nodrošinātu efektīvāku cilvēkresursu izmantošanu un neapdraudētu aktivitātes ieviešanu, plānots apvienot aktivitātes projektu iesniegumu atlases kārtas un īstenot vienu projektu par visu aktivitātei pieejamo finansējumu.</w:t>
            </w:r>
          </w:p>
          <w:p w:rsidR="00570F7B" w:rsidRDefault="00570F7B" w:rsidP="004142AE">
            <w:pPr>
              <w:numPr>
                <w:ilvl w:val="0"/>
                <w:numId w:val="13"/>
              </w:numPr>
              <w:ind w:left="33" w:firstLine="284"/>
              <w:jc w:val="both"/>
            </w:pPr>
            <w:r>
              <w:t>Lai pilnīgāk nodrošinātu aktivitātei pieejamā finansējuma izmantošanu aktivitātes mērķu sasniegšanai nepieciešams precizēt informācijas un publicitātes pasākumiem plānotās summas apjomu, samazinot to līdz 260 000 latu.</w:t>
            </w:r>
          </w:p>
          <w:p w:rsidR="00FE60A4" w:rsidRPr="00817EBE" w:rsidRDefault="00DA0C9F" w:rsidP="00DA0C9F">
            <w:pPr>
              <w:ind w:left="33" w:firstLine="284"/>
              <w:jc w:val="both"/>
            </w:pPr>
            <w:r>
              <w:t>Ar MK noteikumu grozījumu projektu plānots atrisināt anotācijas 2.punktā minētās problēmas.</w:t>
            </w:r>
            <w:r w:rsidR="004142AE">
              <w:t xml:space="preserve"> </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lastRenderedPageBreak/>
              <w:t> 5.</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918" w:type="dxa"/>
            <w:vAlign w:val="center"/>
          </w:tcPr>
          <w:p w:rsidR="009A7369" w:rsidRPr="007756CD" w:rsidRDefault="00402AEB" w:rsidP="00575A23">
            <w:pPr>
              <w:ind w:right="-1" w:firstLine="318"/>
              <w:jc w:val="both"/>
              <w:rPr>
                <w:iCs/>
                <w:sz w:val="22"/>
                <w:szCs w:val="22"/>
              </w:rPr>
            </w:pPr>
            <w:r w:rsidRPr="007756CD">
              <w:t>Noteikumu projekta izstrādei speciāla darba grupa netika veidota</w:t>
            </w:r>
            <w:r w:rsidR="009A7369" w:rsidRPr="007756CD">
              <w:rPr>
                <w:iCs/>
                <w:sz w:val="22"/>
                <w:szCs w:val="22"/>
              </w:rPr>
              <w:t>.</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918" w:type="dxa"/>
            <w:vAlign w:val="center"/>
          </w:tcPr>
          <w:p w:rsidR="009A7369" w:rsidRPr="007756CD" w:rsidRDefault="00CD26A6" w:rsidP="00023EC3">
            <w:pPr>
              <w:ind w:firstLine="318"/>
              <w:jc w:val="both"/>
            </w:pPr>
            <w:r w:rsidRPr="007756CD">
              <w:t>MK noteikumu grozījumu projekt</w:t>
            </w:r>
            <w:r w:rsidR="007756CD" w:rsidRPr="007756CD">
              <w:t>s</w:t>
            </w:r>
            <w:r w:rsidRPr="007756CD">
              <w:t xml:space="preserve"> paredz </w:t>
            </w:r>
            <w:r w:rsidR="00575A23">
              <w:t>nosacījumu izmaiņas, kas sabiedrību ietekm</w:t>
            </w:r>
            <w:r w:rsidR="00023EC3">
              <w:t>ē</w:t>
            </w:r>
            <w:r w:rsidR="00575A23">
              <w:t xml:space="preserve"> netieši</w:t>
            </w:r>
            <w:r w:rsidR="005F2C42" w:rsidRPr="007756CD">
              <w:t>.</w:t>
            </w:r>
          </w:p>
        </w:tc>
      </w:tr>
      <w:tr w:rsidR="00BE09F3" w:rsidRPr="001E3003" w:rsidTr="001E3003">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BE09F3" w:rsidRPr="007756CD" w:rsidRDefault="0002038C" w:rsidP="009B1E40">
            <w:pPr>
              <w:ind w:firstLine="318"/>
              <w:jc w:val="both"/>
            </w:pPr>
            <w:r>
              <w:rPr>
                <w:bCs/>
                <w:lang w:bidi="lo-LA"/>
              </w:rPr>
              <w:t xml:space="preserve"> </w:t>
            </w:r>
            <w:r w:rsidR="009B1E40">
              <w:rPr>
                <w:bCs/>
                <w:lang w:bidi="lo-LA"/>
              </w:rPr>
              <w:t>Nav.</w:t>
            </w:r>
          </w:p>
        </w:tc>
      </w:tr>
    </w:tbl>
    <w:p w:rsidR="00B9292C" w:rsidRDefault="00B9292C" w:rsidP="00B9292C">
      <w:pPr>
        <w:autoSpaceDE w:val="0"/>
        <w:autoSpaceDN w:val="0"/>
        <w:adjustRightInd w:val="0"/>
        <w:rPr>
          <w:noProof/>
          <w:sz w:val="28"/>
          <w:szCs w:val="28"/>
        </w:rPr>
      </w:pPr>
    </w:p>
    <w:p w:rsidR="00623AE2" w:rsidRDefault="00623AE2" w:rsidP="00B9292C">
      <w:pPr>
        <w:autoSpaceDE w:val="0"/>
        <w:autoSpaceDN w:val="0"/>
        <w:adjustRightInd w:val="0"/>
        <w:rPr>
          <w:noProof/>
          <w:sz w:val="28"/>
          <w:szCs w:val="28"/>
        </w:rPr>
      </w:pPr>
    </w:p>
    <w:p w:rsidR="007756CD" w:rsidRPr="000F0B0D" w:rsidRDefault="007756C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0F0B0D" w:rsidRPr="001E3003" w:rsidTr="001E3003">
        <w:trPr>
          <w:trHeight w:val="503"/>
        </w:trPr>
        <w:tc>
          <w:tcPr>
            <w:tcW w:w="9287" w:type="dxa"/>
            <w:gridSpan w:val="3"/>
            <w:vAlign w:val="center"/>
          </w:tcPr>
          <w:p w:rsidR="000F0B0D" w:rsidRPr="001E3003" w:rsidRDefault="000F0B0D" w:rsidP="001E3003">
            <w:pPr>
              <w:autoSpaceDE w:val="0"/>
              <w:autoSpaceDN w:val="0"/>
              <w:adjustRightInd w:val="0"/>
              <w:rPr>
                <w:b/>
                <w:noProof/>
                <w:sz w:val="28"/>
                <w:szCs w:val="28"/>
              </w:rPr>
            </w:pPr>
            <w:r w:rsidRPr="001E3003">
              <w:rPr>
                <w:b/>
                <w:lang w:eastAsia="lv-LV" w:bidi="lo-LA"/>
              </w:rPr>
              <w:t>II. Tiesību akta projekta ietekme uz sabiedrību</w:t>
            </w:r>
          </w:p>
        </w:tc>
      </w:tr>
      <w:tr w:rsidR="000F0B0D" w:rsidRPr="001E3003" w:rsidTr="001E3003">
        <w:tc>
          <w:tcPr>
            <w:tcW w:w="654" w:type="dxa"/>
          </w:tcPr>
          <w:p w:rsidR="000F0B0D" w:rsidRPr="000F0B0D" w:rsidRDefault="000F0B0D" w:rsidP="001E3003">
            <w:pPr>
              <w:spacing w:before="100" w:beforeAutospacing="1" w:after="100" w:afterAutospacing="1"/>
              <w:rPr>
                <w:lang w:eastAsia="lv-LV" w:bidi="lo-LA"/>
              </w:rPr>
            </w:pPr>
            <w:r w:rsidRPr="000F0B0D">
              <w:rPr>
                <w:lang w:eastAsia="lv-LV" w:bidi="lo-LA"/>
              </w:rPr>
              <w:t> 1.</w:t>
            </w:r>
          </w:p>
        </w:tc>
        <w:tc>
          <w:tcPr>
            <w:tcW w:w="2715" w:type="dxa"/>
          </w:tcPr>
          <w:p w:rsidR="000F0B0D" w:rsidRPr="000F0B0D" w:rsidRDefault="000F0B0D" w:rsidP="001E3003">
            <w:pPr>
              <w:spacing w:before="100" w:beforeAutospacing="1" w:after="100" w:afterAutospacing="1"/>
              <w:rPr>
                <w:lang w:eastAsia="lv-LV" w:bidi="lo-LA"/>
              </w:rPr>
            </w:pPr>
            <w:r w:rsidRPr="000F0B0D">
              <w:rPr>
                <w:lang w:eastAsia="lv-LV" w:bidi="lo-LA"/>
              </w:rPr>
              <w:t xml:space="preserve">Sabiedrības </w:t>
            </w:r>
            <w:proofErr w:type="spellStart"/>
            <w:r w:rsidRPr="000F0B0D">
              <w:rPr>
                <w:lang w:eastAsia="lv-LV" w:bidi="lo-LA"/>
              </w:rPr>
              <w:t>mērķgrupa</w:t>
            </w:r>
            <w:proofErr w:type="spellEnd"/>
          </w:p>
        </w:tc>
        <w:tc>
          <w:tcPr>
            <w:tcW w:w="5918" w:type="dxa"/>
            <w:vAlign w:val="center"/>
          </w:tcPr>
          <w:p w:rsidR="000F0B0D" w:rsidRPr="00C25272" w:rsidRDefault="007756CD" w:rsidP="00575A23">
            <w:pPr>
              <w:ind w:firstLine="318"/>
              <w:jc w:val="both"/>
              <w:rPr>
                <w:highlight w:val="yellow"/>
              </w:rPr>
            </w:pPr>
            <w:r>
              <w:rPr>
                <w:lang w:eastAsia="lv-LV"/>
              </w:rPr>
              <w:t>V</w:t>
            </w:r>
            <w:r w:rsidRPr="00183767">
              <w:rPr>
                <w:lang w:eastAsia="lv-LV"/>
              </w:rPr>
              <w:t>eselības aprūpes un veselības vei</w:t>
            </w:r>
            <w:r w:rsidRPr="00183767">
              <w:rPr>
                <w:lang w:eastAsia="lv-LV"/>
              </w:rPr>
              <w:softHyphen/>
              <w:t>cināšanas procesā iesaistīto institūciju personāl</w:t>
            </w:r>
            <w:r>
              <w:rPr>
                <w:lang w:eastAsia="lv-LV"/>
              </w:rPr>
              <w:t>s, veselības aprūpes un veselības veicināšanas pakalpojumu saņēmēji.</w:t>
            </w:r>
          </w:p>
        </w:tc>
      </w:tr>
      <w:tr w:rsidR="007F2B5D" w:rsidRPr="001E3003" w:rsidTr="001E3003">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2.</w:t>
            </w:r>
          </w:p>
        </w:tc>
        <w:tc>
          <w:tcPr>
            <w:tcW w:w="2715" w:type="dxa"/>
          </w:tcPr>
          <w:p w:rsidR="007F2B5D" w:rsidRPr="000F0B0D" w:rsidRDefault="007F2B5D" w:rsidP="001E3003">
            <w:pPr>
              <w:spacing w:before="100" w:beforeAutospacing="1" w:after="100" w:afterAutospacing="1"/>
              <w:rPr>
                <w:lang w:eastAsia="lv-LV" w:bidi="lo-LA"/>
              </w:rPr>
            </w:pPr>
            <w:r w:rsidRPr="000F0B0D">
              <w:rPr>
                <w:lang w:eastAsia="lv-LV" w:bidi="lo-LA"/>
              </w:rPr>
              <w:t xml:space="preserve">Citas sabiedrības grupas (bez </w:t>
            </w:r>
            <w:proofErr w:type="spellStart"/>
            <w:r w:rsidRPr="000F0B0D">
              <w:rPr>
                <w:lang w:eastAsia="lv-LV" w:bidi="lo-LA"/>
              </w:rPr>
              <w:t>mērķgrupas</w:t>
            </w:r>
            <w:proofErr w:type="spellEnd"/>
            <w:r w:rsidRPr="000F0B0D">
              <w:rPr>
                <w:lang w:eastAsia="lv-LV" w:bidi="lo-LA"/>
              </w:rPr>
              <w:t>), kuras tiesiskais regulējums arī ietekmē vai varētu ietekmēt</w:t>
            </w:r>
          </w:p>
        </w:tc>
        <w:tc>
          <w:tcPr>
            <w:tcW w:w="5918" w:type="dxa"/>
            <w:vAlign w:val="center"/>
          </w:tcPr>
          <w:p w:rsidR="007F2B5D" w:rsidRPr="009E55C2" w:rsidRDefault="009E55C2" w:rsidP="001E3003">
            <w:pPr>
              <w:pStyle w:val="naiskr"/>
              <w:ind w:left="318"/>
              <w:rPr>
                <w:highlight w:val="yellow"/>
              </w:rPr>
            </w:pPr>
            <w:r w:rsidRPr="009E55C2">
              <w:rPr>
                <w:iCs/>
              </w:rPr>
              <w:t>Projekts šo jomu neskar</w:t>
            </w:r>
            <w:r w:rsidR="000364B4">
              <w:rPr>
                <w:iCs/>
              </w:rPr>
              <w:t>.</w:t>
            </w:r>
          </w:p>
        </w:tc>
      </w:tr>
      <w:tr w:rsidR="007F2B5D" w:rsidRPr="001E3003" w:rsidTr="0080035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3.</w:t>
            </w:r>
          </w:p>
        </w:tc>
        <w:tc>
          <w:tcPr>
            <w:tcW w:w="2715" w:type="dxa"/>
          </w:tcPr>
          <w:p w:rsidR="007F2B5D" w:rsidRPr="000F0B0D" w:rsidRDefault="007F2B5D" w:rsidP="001E3003">
            <w:pPr>
              <w:spacing w:before="100" w:beforeAutospacing="1" w:after="100" w:afterAutospacing="1"/>
              <w:rPr>
                <w:lang w:eastAsia="lv-LV" w:bidi="lo-LA"/>
              </w:rPr>
            </w:pPr>
            <w:r w:rsidRPr="000F0B0D">
              <w:rPr>
                <w:lang w:eastAsia="lv-LV" w:bidi="lo-LA"/>
              </w:rPr>
              <w:t>Tiesiskā regulējuma finansiālā ietekme</w:t>
            </w:r>
          </w:p>
        </w:tc>
        <w:tc>
          <w:tcPr>
            <w:tcW w:w="5918" w:type="dxa"/>
            <w:shd w:val="clear" w:color="auto" w:fill="auto"/>
            <w:vAlign w:val="center"/>
          </w:tcPr>
          <w:p w:rsidR="007F2B5D" w:rsidRPr="0080035F" w:rsidRDefault="007F2B5D" w:rsidP="001E3003">
            <w:pPr>
              <w:pStyle w:val="naiskr"/>
              <w:spacing w:before="0" w:beforeAutospacing="0" w:after="0" w:afterAutospacing="0"/>
              <w:ind w:left="318"/>
              <w:jc w:val="both"/>
              <w:rPr>
                <w:b/>
              </w:rPr>
            </w:pPr>
            <w:r w:rsidRPr="0080035F">
              <w:rPr>
                <w:b/>
              </w:rPr>
              <w:t>Tiešās finansiālās izmaksas</w:t>
            </w:r>
          </w:p>
          <w:p w:rsidR="007F2B5D" w:rsidRPr="0080035F" w:rsidRDefault="00B32FF9" w:rsidP="001E3003">
            <w:pPr>
              <w:pStyle w:val="naiskr"/>
              <w:spacing w:before="0" w:beforeAutospacing="0" w:after="0" w:afterAutospacing="0"/>
              <w:jc w:val="both"/>
            </w:pPr>
            <w:r w:rsidRPr="0080035F">
              <w:t>MK noteikumu grozījumu projektam nav ietekmes uz tiešām finansiālām izmaksām.</w:t>
            </w:r>
          </w:p>
          <w:p w:rsidR="007F2B5D" w:rsidRPr="0080035F" w:rsidRDefault="007F2B5D" w:rsidP="001E3003">
            <w:pPr>
              <w:pStyle w:val="naiskr"/>
              <w:spacing w:before="0" w:beforeAutospacing="0" w:after="0" w:afterAutospacing="0"/>
              <w:ind w:left="318"/>
              <w:jc w:val="both"/>
              <w:rPr>
                <w:b/>
              </w:rPr>
            </w:pPr>
            <w:r w:rsidRPr="0080035F">
              <w:rPr>
                <w:b/>
              </w:rPr>
              <w:t>Netiešās finansiālās izmaksas</w:t>
            </w:r>
          </w:p>
          <w:p w:rsidR="007F2B5D" w:rsidRPr="0080035F" w:rsidRDefault="005F2C42" w:rsidP="001E3003">
            <w:pPr>
              <w:pStyle w:val="naiskr"/>
              <w:spacing w:before="0" w:beforeAutospacing="0" w:after="0" w:afterAutospacing="0"/>
              <w:ind w:left="34"/>
              <w:jc w:val="both"/>
            </w:pPr>
            <w:r w:rsidRPr="0080035F">
              <w:t xml:space="preserve">MK noteikumu grozījumu projektam </w:t>
            </w:r>
            <w:r w:rsidR="007F2B5D" w:rsidRPr="0080035F">
              <w:t xml:space="preserve">nav ietekmes uz netiešajām finansiālajām izmaksām. </w:t>
            </w:r>
          </w:p>
          <w:p w:rsidR="007F2B5D" w:rsidRPr="0080035F" w:rsidRDefault="007F2B5D" w:rsidP="001E3003">
            <w:pPr>
              <w:pStyle w:val="naiskr"/>
              <w:spacing w:before="0" w:beforeAutospacing="0" w:after="0" w:afterAutospacing="0"/>
              <w:ind w:left="318"/>
              <w:jc w:val="both"/>
              <w:rPr>
                <w:b/>
              </w:rPr>
            </w:pPr>
            <w:r w:rsidRPr="0080035F">
              <w:rPr>
                <w:b/>
              </w:rPr>
              <w:t>Ietekme uz ienākumiem</w:t>
            </w:r>
          </w:p>
          <w:p w:rsidR="007F2B5D" w:rsidRPr="00C25272" w:rsidRDefault="005F2C42" w:rsidP="001E3003">
            <w:pPr>
              <w:pStyle w:val="naiskr"/>
              <w:spacing w:before="0" w:beforeAutospacing="0" w:after="0" w:afterAutospacing="0"/>
              <w:ind w:left="34"/>
              <w:jc w:val="both"/>
              <w:rPr>
                <w:highlight w:val="yellow"/>
              </w:rPr>
            </w:pPr>
            <w:r w:rsidRPr="0080035F">
              <w:t xml:space="preserve">MK noteikumu grozījumu projektam </w:t>
            </w:r>
            <w:r w:rsidR="007F2B5D" w:rsidRPr="0080035F">
              <w:t>nav ietekmes uz ienākumiem.</w:t>
            </w:r>
          </w:p>
        </w:tc>
      </w:tr>
      <w:tr w:rsidR="007F2B5D" w:rsidRPr="001E3003" w:rsidTr="001E3003">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4.</w:t>
            </w:r>
          </w:p>
        </w:tc>
        <w:tc>
          <w:tcPr>
            <w:tcW w:w="2715" w:type="dxa"/>
          </w:tcPr>
          <w:p w:rsidR="007F2B5D" w:rsidRPr="000F0B0D" w:rsidRDefault="007F2B5D" w:rsidP="001E3003">
            <w:pPr>
              <w:spacing w:before="100" w:beforeAutospacing="1" w:after="100" w:afterAutospacing="1"/>
              <w:rPr>
                <w:lang w:eastAsia="lv-LV" w:bidi="lo-LA"/>
              </w:rPr>
            </w:pPr>
            <w:r w:rsidRPr="000F0B0D">
              <w:rPr>
                <w:lang w:eastAsia="lv-LV" w:bidi="lo-LA"/>
              </w:rPr>
              <w:t xml:space="preserve">Tiesiskā regulējuma </w:t>
            </w:r>
            <w:r w:rsidRPr="000F0B0D">
              <w:rPr>
                <w:lang w:eastAsia="lv-LV" w:bidi="lo-LA"/>
              </w:rPr>
              <w:lastRenderedPageBreak/>
              <w:t>nefinansiālā ietekme</w:t>
            </w:r>
          </w:p>
        </w:tc>
        <w:tc>
          <w:tcPr>
            <w:tcW w:w="5918" w:type="dxa"/>
            <w:vAlign w:val="center"/>
          </w:tcPr>
          <w:p w:rsidR="007F2B5D" w:rsidRPr="007756CD" w:rsidRDefault="009E55C2" w:rsidP="001E3003">
            <w:pPr>
              <w:ind w:firstLine="318"/>
              <w:jc w:val="both"/>
            </w:pPr>
            <w:r w:rsidRPr="009E55C2">
              <w:rPr>
                <w:iCs/>
                <w:lang w:eastAsia="lv-LV"/>
              </w:rPr>
              <w:lastRenderedPageBreak/>
              <w:t>Projekts šo jomu neskar</w:t>
            </w:r>
            <w:r w:rsidR="000364B4">
              <w:rPr>
                <w:iCs/>
                <w:lang w:eastAsia="lv-LV"/>
              </w:rPr>
              <w:t>.</w:t>
            </w:r>
          </w:p>
        </w:tc>
      </w:tr>
      <w:tr w:rsidR="007F2B5D" w:rsidRPr="001E3003" w:rsidTr="001E3003">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lastRenderedPageBreak/>
              <w:t> 5.</w:t>
            </w:r>
          </w:p>
        </w:tc>
        <w:tc>
          <w:tcPr>
            <w:tcW w:w="2715" w:type="dxa"/>
          </w:tcPr>
          <w:p w:rsidR="007F2B5D" w:rsidRPr="000F0B0D" w:rsidRDefault="007F2B5D" w:rsidP="001E3003">
            <w:pPr>
              <w:spacing w:before="100" w:beforeAutospacing="1" w:after="100" w:afterAutospacing="1"/>
              <w:rPr>
                <w:lang w:eastAsia="lv-LV" w:bidi="lo-LA"/>
              </w:rPr>
            </w:pPr>
            <w:r w:rsidRPr="000F0B0D">
              <w:rPr>
                <w:lang w:eastAsia="lv-LV" w:bidi="lo-LA"/>
              </w:rPr>
              <w:t>Administratīvās procedūras raksturojums</w:t>
            </w:r>
          </w:p>
        </w:tc>
        <w:tc>
          <w:tcPr>
            <w:tcW w:w="5918" w:type="dxa"/>
            <w:vAlign w:val="center"/>
          </w:tcPr>
          <w:p w:rsidR="007F2B5D" w:rsidRPr="007756CD" w:rsidRDefault="009E55C2" w:rsidP="001E3003">
            <w:pPr>
              <w:pStyle w:val="naiskr"/>
              <w:ind w:left="318"/>
            </w:pPr>
            <w:r w:rsidRPr="009E55C2">
              <w:rPr>
                <w:iCs/>
              </w:rPr>
              <w:t>Projekts šo jomu neskar</w:t>
            </w:r>
            <w:r w:rsidR="000364B4">
              <w:rPr>
                <w:iCs/>
              </w:rPr>
              <w:t>.</w:t>
            </w:r>
          </w:p>
        </w:tc>
      </w:tr>
      <w:tr w:rsidR="007F2B5D" w:rsidRPr="001E3003" w:rsidTr="001E3003">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6.</w:t>
            </w:r>
          </w:p>
        </w:tc>
        <w:tc>
          <w:tcPr>
            <w:tcW w:w="2715" w:type="dxa"/>
          </w:tcPr>
          <w:p w:rsidR="007F2B5D" w:rsidRPr="000F0B0D" w:rsidRDefault="007F2B5D" w:rsidP="001E3003">
            <w:pPr>
              <w:spacing w:before="100" w:beforeAutospacing="1" w:after="100" w:afterAutospacing="1"/>
              <w:rPr>
                <w:lang w:eastAsia="lv-LV" w:bidi="lo-LA"/>
              </w:rPr>
            </w:pPr>
            <w:r w:rsidRPr="000F0B0D">
              <w:rPr>
                <w:lang w:eastAsia="lv-LV" w:bidi="lo-LA"/>
              </w:rPr>
              <w:t>Administratīvo izmaksu monetārs novērtējums</w:t>
            </w:r>
          </w:p>
        </w:tc>
        <w:tc>
          <w:tcPr>
            <w:tcW w:w="5918" w:type="dxa"/>
            <w:vAlign w:val="center"/>
          </w:tcPr>
          <w:p w:rsidR="007F2B5D" w:rsidRPr="007756CD" w:rsidRDefault="009E55C2" w:rsidP="001E3003">
            <w:pPr>
              <w:pStyle w:val="naiskr"/>
              <w:ind w:left="318"/>
            </w:pPr>
            <w:r w:rsidRPr="009E55C2">
              <w:rPr>
                <w:iCs/>
              </w:rPr>
              <w:t>Projekts šo jomu neskar</w:t>
            </w:r>
            <w:r w:rsidR="000364B4">
              <w:rPr>
                <w:iCs/>
              </w:rPr>
              <w:t>.</w:t>
            </w:r>
          </w:p>
        </w:tc>
      </w:tr>
      <w:tr w:rsidR="007F2B5D" w:rsidRPr="001E3003" w:rsidTr="001E3003">
        <w:trPr>
          <w:trHeight w:val="174"/>
        </w:trPr>
        <w:tc>
          <w:tcPr>
            <w:tcW w:w="654"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t> 7.</w:t>
            </w:r>
          </w:p>
        </w:tc>
        <w:tc>
          <w:tcPr>
            <w:tcW w:w="2715"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7F2B5D" w:rsidRPr="007756CD" w:rsidRDefault="007F2B5D" w:rsidP="001E3003">
            <w:pPr>
              <w:pStyle w:val="naiskr"/>
              <w:ind w:left="318"/>
            </w:pPr>
            <w:r w:rsidRPr="007756CD">
              <w:t>Nav</w:t>
            </w:r>
          </w:p>
        </w:tc>
      </w:tr>
    </w:tbl>
    <w:p w:rsidR="00BE09F3" w:rsidRDefault="00BE09F3" w:rsidP="00B9292C">
      <w:pPr>
        <w:autoSpaceDE w:val="0"/>
        <w:autoSpaceDN w:val="0"/>
        <w:adjustRightInd w:val="0"/>
        <w:rPr>
          <w:noProof/>
          <w:sz w:val="28"/>
          <w:szCs w:val="28"/>
        </w:rPr>
      </w:pPr>
    </w:p>
    <w:p w:rsidR="00623AE2" w:rsidRPr="000F0B0D" w:rsidRDefault="00623AE2" w:rsidP="00B9292C">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623AE2" w:rsidRPr="001E3003" w:rsidTr="001E3003">
        <w:trPr>
          <w:trHeight w:val="551"/>
        </w:trPr>
        <w:tc>
          <w:tcPr>
            <w:tcW w:w="9339" w:type="dxa"/>
            <w:gridSpan w:val="6"/>
            <w:vAlign w:val="center"/>
          </w:tcPr>
          <w:p w:rsidR="00623AE2" w:rsidRPr="001E3003" w:rsidRDefault="00623AE2" w:rsidP="001E3003">
            <w:pPr>
              <w:autoSpaceDE w:val="0"/>
              <w:autoSpaceDN w:val="0"/>
              <w:adjustRightInd w:val="0"/>
              <w:rPr>
                <w:b/>
                <w:noProof/>
                <w:sz w:val="28"/>
                <w:szCs w:val="28"/>
              </w:rPr>
            </w:pPr>
            <w:r w:rsidRPr="001E3003">
              <w:rPr>
                <w:b/>
                <w:lang w:eastAsia="lv-LV" w:bidi="lo-LA"/>
              </w:rPr>
              <w:t>III. Tiesību akta projekta ietekme uz valsts budžetu un pašvaldību budžetiem</w:t>
            </w:r>
          </w:p>
        </w:tc>
      </w:tr>
      <w:tr w:rsidR="00623AE2" w:rsidRPr="001E3003" w:rsidTr="001E3003">
        <w:tc>
          <w:tcPr>
            <w:tcW w:w="3369" w:type="dxa"/>
            <w:vMerge w:val="restart"/>
            <w:vAlign w:val="center"/>
          </w:tcPr>
          <w:p w:rsidR="00623AE2" w:rsidRPr="001E3003" w:rsidRDefault="00623AE2" w:rsidP="001E3003">
            <w:pPr>
              <w:autoSpaceDE w:val="0"/>
              <w:autoSpaceDN w:val="0"/>
              <w:adjustRightInd w:val="0"/>
              <w:jc w:val="center"/>
              <w:rPr>
                <w:noProof/>
                <w:sz w:val="28"/>
                <w:szCs w:val="28"/>
              </w:rPr>
            </w:pPr>
            <w:r w:rsidRPr="001E3003">
              <w:rPr>
                <w:bCs/>
                <w:lang w:eastAsia="lv-LV" w:bidi="lo-LA"/>
              </w:rPr>
              <w:t>Rādītāji</w:t>
            </w:r>
          </w:p>
        </w:tc>
        <w:tc>
          <w:tcPr>
            <w:tcW w:w="2405" w:type="dxa"/>
            <w:gridSpan w:val="2"/>
            <w:vMerge w:val="restart"/>
            <w:vAlign w:val="center"/>
          </w:tcPr>
          <w:p w:rsidR="00623AE2" w:rsidRPr="001E3003" w:rsidRDefault="007F2B5D" w:rsidP="0013657B">
            <w:pPr>
              <w:autoSpaceDE w:val="0"/>
              <w:autoSpaceDN w:val="0"/>
              <w:adjustRightInd w:val="0"/>
              <w:jc w:val="center"/>
              <w:rPr>
                <w:noProof/>
                <w:sz w:val="28"/>
                <w:szCs w:val="28"/>
              </w:rPr>
            </w:pPr>
            <w:r w:rsidRPr="001E3003">
              <w:rPr>
                <w:bCs/>
                <w:lang w:eastAsia="lv-LV" w:bidi="lo-LA"/>
              </w:rPr>
              <w:t>201</w:t>
            </w:r>
            <w:r w:rsidR="0013657B">
              <w:rPr>
                <w:bCs/>
                <w:lang w:eastAsia="lv-LV" w:bidi="lo-LA"/>
              </w:rPr>
              <w:t>1</w:t>
            </w:r>
            <w:r w:rsidRPr="001E3003">
              <w:rPr>
                <w:bCs/>
                <w:lang w:eastAsia="lv-LV" w:bidi="lo-LA"/>
              </w:rPr>
              <w:t>.</w:t>
            </w:r>
          </w:p>
        </w:tc>
        <w:tc>
          <w:tcPr>
            <w:tcW w:w="3565" w:type="dxa"/>
            <w:gridSpan w:val="3"/>
            <w:vAlign w:val="center"/>
          </w:tcPr>
          <w:p w:rsidR="00623AE2" w:rsidRPr="001E3003" w:rsidRDefault="00623AE2" w:rsidP="001E3003">
            <w:pPr>
              <w:autoSpaceDE w:val="0"/>
              <w:autoSpaceDN w:val="0"/>
              <w:adjustRightInd w:val="0"/>
              <w:jc w:val="center"/>
              <w:rPr>
                <w:noProof/>
                <w:sz w:val="28"/>
                <w:szCs w:val="28"/>
              </w:rPr>
            </w:pPr>
            <w:r w:rsidRPr="000F0B0D">
              <w:rPr>
                <w:lang w:eastAsia="lv-LV" w:bidi="lo-LA"/>
              </w:rPr>
              <w:t>Turpmākie trīs gadi (tūkst. latu)</w:t>
            </w:r>
          </w:p>
        </w:tc>
      </w:tr>
      <w:tr w:rsidR="00623AE2" w:rsidRPr="001E3003" w:rsidTr="001E3003">
        <w:tc>
          <w:tcPr>
            <w:tcW w:w="3369" w:type="dxa"/>
            <w:vMerge/>
          </w:tcPr>
          <w:p w:rsidR="00623AE2" w:rsidRPr="001E3003" w:rsidRDefault="00623AE2" w:rsidP="001E3003">
            <w:pPr>
              <w:autoSpaceDE w:val="0"/>
              <w:autoSpaceDN w:val="0"/>
              <w:adjustRightInd w:val="0"/>
              <w:jc w:val="center"/>
              <w:rPr>
                <w:noProof/>
                <w:sz w:val="28"/>
                <w:szCs w:val="28"/>
              </w:rPr>
            </w:pPr>
          </w:p>
        </w:tc>
        <w:tc>
          <w:tcPr>
            <w:tcW w:w="2405" w:type="dxa"/>
            <w:gridSpan w:val="2"/>
            <w:vMerge/>
            <w:vAlign w:val="center"/>
          </w:tcPr>
          <w:p w:rsidR="00623AE2" w:rsidRPr="001E3003" w:rsidRDefault="00623AE2" w:rsidP="001E3003">
            <w:pPr>
              <w:autoSpaceDE w:val="0"/>
              <w:autoSpaceDN w:val="0"/>
              <w:adjustRightInd w:val="0"/>
              <w:jc w:val="center"/>
              <w:rPr>
                <w:noProof/>
                <w:sz w:val="28"/>
                <w:szCs w:val="28"/>
              </w:rPr>
            </w:pPr>
          </w:p>
        </w:tc>
        <w:tc>
          <w:tcPr>
            <w:tcW w:w="1171" w:type="dxa"/>
            <w:vAlign w:val="center"/>
          </w:tcPr>
          <w:p w:rsidR="00623AE2" w:rsidRPr="000F0B0D" w:rsidRDefault="007F2B5D" w:rsidP="0013657B">
            <w:pPr>
              <w:spacing w:before="100" w:beforeAutospacing="1" w:after="100" w:afterAutospacing="1"/>
              <w:jc w:val="center"/>
              <w:rPr>
                <w:lang w:eastAsia="lv-LV" w:bidi="lo-LA"/>
              </w:rPr>
            </w:pPr>
            <w:r>
              <w:rPr>
                <w:lang w:eastAsia="lv-LV" w:bidi="lo-LA"/>
              </w:rPr>
              <w:t>201</w:t>
            </w:r>
            <w:r w:rsidR="0013657B">
              <w:rPr>
                <w:lang w:eastAsia="lv-LV" w:bidi="lo-LA"/>
              </w:rPr>
              <w:t>2</w:t>
            </w:r>
            <w:r>
              <w:rPr>
                <w:lang w:eastAsia="lv-LV" w:bidi="lo-LA"/>
              </w:rPr>
              <w:t>.</w:t>
            </w:r>
          </w:p>
        </w:tc>
        <w:tc>
          <w:tcPr>
            <w:tcW w:w="1218" w:type="dxa"/>
            <w:vAlign w:val="center"/>
          </w:tcPr>
          <w:p w:rsidR="00623AE2" w:rsidRPr="000F0B0D" w:rsidRDefault="0013657B" w:rsidP="001E3003">
            <w:pPr>
              <w:spacing w:before="100" w:beforeAutospacing="1" w:after="100" w:afterAutospacing="1"/>
              <w:jc w:val="center"/>
              <w:rPr>
                <w:lang w:eastAsia="lv-LV" w:bidi="lo-LA"/>
              </w:rPr>
            </w:pPr>
            <w:r>
              <w:rPr>
                <w:lang w:eastAsia="lv-LV" w:bidi="lo-LA"/>
              </w:rPr>
              <w:t>2013</w:t>
            </w:r>
            <w:r w:rsidR="007F2B5D">
              <w:rPr>
                <w:lang w:eastAsia="lv-LV" w:bidi="lo-LA"/>
              </w:rPr>
              <w:t>.</w:t>
            </w:r>
          </w:p>
        </w:tc>
        <w:tc>
          <w:tcPr>
            <w:tcW w:w="1176" w:type="dxa"/>
            <w:vAlign w:val="center"/>
          </w:tcPr>
          <w:p w:rsidR="00623AE2" w:rsidRPr="000F0B0D" w:rsidRDefault="0013657B" w:rsidP="001E3003">
            <w:pPr>
              <w:spacing w:before="100" w:beforeAutospacing="1" w:after="100" w:afterAutospacing="1"/>
              <w:jc w:val="center"/>
              <w:rPr>
                <w:lang w:eastAsia="lv-LV" w:bidi="lo-LA"/>
              </w:rPr>
            </w:pPr>
            <w:r>
              <w:rPr>
                <w:lang w:eastAsia="lv-LV" w:bidi="lo-LA"/>
              </w:rPr>
              <w:t>2014</w:t>
            </w:r>
            <w:r w:rsidR="007F2B5D">
              <w:rPr>
                <w:lang w:eastAsia="lv-LV" w:bidi="lo-LA"/>
              </w:rPr>
              <w:t>.</w:t>
            </w:r>
          </w:p>
        </w:tc>
      </w:tr>
      <w:tr w:rsidR="00623AE2" w:rsidRPr="001E3003" w:rsidTr="001E3003">
        <w:tc>
          <w:tcPr>
            <w:tcW w:w="3369" w:type="dxa"/>
            <w:vMerge/>
          </w:tcPr>
          <w:p w:rsidR="00623AE2" w:rsidRPr="001E3003" w:rsidRDefault="00623AE2" w:rsidP="001E3003">
            <w:pPr>
              <w:autoSpaceDE w:val="0"/>
              <w:autoSpaceDN w:val="0"/>
              <w:adjustRightInd w:val="0"/>
              <w:jc w:val="center"/>
              <w:rPr>
                <w:noProof/>
                <w:sz w:val="28"/>
                <w:szCs w:val="28"/>
              </w:rPr>
            </w:pPr>
          </w:p>
        </w:tc>
        <w:tc>
          <w:tcPr>
            <w:tcW w:w="1176" w:type="dxa"/>
            <w:vAlign w:val="center"/>
          </w:tcPr>
          <w:p w:rsidR="00623AE2" w:rsidRPr="000F0B0D" w:rsidRDefault="00623AE2" w:rsidP="001E3003">
            <w:pPr>
              <w:spacing w:before="100" w:beforeAutospacing="1" w:after="100" w:afterAutospacing="1"/>
              <w:jc w:val="center"/>
              <w:rPr>
                <w:lang w:eastAsia="lv-LV" w:bidi="lo-LA"/>
              </w:rPr>
            </w:pPr>
            <w:r w:rsidRPr="000F0B0D">
              <w:rPr>
                <w:lang w:eastAsia="lv-LV" w:bidi="lo-LA"/>
              </w:rPr>
              <w:t>Saskaņā ar valsts budžetu kārtējam gadam</w:t>
            </w:r>
          </w:p>
        </w:tc>
        <w:tc>
          <w:tcPr>
            <w:tcW w:w="1229" w:type="dxa"/>
            <w:vAlign w:val="center"/>
          </w:tcPr>
          <w:p w:rsidR="00623AE2" w:rsidRPr="000F0B0D" w:rsidRDefault="00623AE2" w:rsidP="001E3003">
            <w:pPr>
              <w:spacing w:before="100" w:beforeAutospacing="1" w:after="100" w:afterAutospacing="1"/>
              <w:jc w:val="center"/>
              <w:rPr>
                <w:lang w:eastAsia="lv-LV" w:bidi="lo-LA"/>
              </w:rPr>
            </w:pPr>
            <w:r w:rsidRPr="000F0B0D">
              <w:rPr>
                <w:lang w:eastAsia="lv-LV" w:bidi="lo-LA"/>
              </w:rPr>
              <w:t>Izmaiņas kārtējā gadā, salīdzinot ar budžetu kārtējam gadam</w:t>
            </w:r>
          </w:p>
        </w:tc>
        <w:tc>
          <w:tcPr>
            <w:tcW w:w="1171" w:type="dxa"/>
            <w:vAlign w:val="center"/>
          </w:tcPr>
          <w:p w:rsidR="00623AE2" w:rsidRPr="000F0B0D" w:rsidRDefault="00623AE2" w:rsidP="00804DD6">
            <w:pPr>
              <w:spacing w:before="100" w:beforeAutospacing="1" w:after="100" w:afterAutospacing="1"/>
              <w:jc w:val="center"/>
              <w:rPr>
                <w:lang w:eastAsia="lv-LV" w:bidi="lo-LA"/>
              </w:rPr>
            </w:pPr>
            <w:r w:rsidRPr="000F0B0D">
              <w:rPr>
                <w:lang w:eastAsia="lv-LV" w:bidi="lo-LA"/>
              </w:rPr>
              <w:t xml:space="preserve">Izmaiņas, salīdzinot ar </w:t>
            </w:r>
            <w:r w:rsidR="007F2B5D">
              <w:rPr>
                <w:lang w:eastAsia="lv-LV" w:bidi="lo-LA"/>
              </w:rPr>
              <w:t>201</w:t>
            </w:r>
            <w:r w:rsidR="00804DD6">
              <w:rPr>
                <w:lang w:eastAsia="lv-LV" w:bidi="lo-LA"/>
              </w:rPr>
              <w:t>1</w:t>
            </w:r>
            <w:r w:rsidR="007F2B5D">
              <w:rPr>
                <w:lang w:eastAsia="lv-LV" w:bidi="lo-LA"/>
              </w:rPr>
              <w:t xml:space="preserve">. </w:t>
            </w:r>
            <w:r w:rsidRPr="000F0B0D">
              <w:rPr>
                <w:lang w:eastAsia="lv-LV" w:bidi="lo-LA"/>
              </w:rPr>
              <w:t>gadu</w:t>
            </w:r>
          </w:p>
        </w:tc>
        <w:tc>
          <w:tcPr>
            <w:tcW w:w="1218" w:type="dxa"/>
            <w:vAlign w:val="center"/>
          </w:tcPr>
          <w:p w:rsidR="00623AE2" w:rsidRPr="000F0B0D" w:rsidRDefault="00623AE2" w:rsidP="00804DD6">
            <w:pPr>
              <w:spacing w:before="100" w:beforeAutospacing="1" w:after="100" w:afterAutospacing="1"/>
              <w:jc w:val="center"/>
              <w:rPr>
                <w:lang w:eastAsia="lv-LV" w:bidi="lo-LA"/>
              </w:rPr>
            </w:pPr>
            <w:r w:rsidRPr="000F0B0D">
              <w:rPr>
                <w:lang w:eastAsia="lv-LV" w:bidi="lo-LA"/>
              </w:rPr>
              <w:t xml:space="preserve">Izmaiņas, salīdzinot ar </w:t>
            </w:r>
            <w:r w:rsidR="007F2B5D">
              <w:rPr>
                <w:lang w:eastAsia="lv-LV" w:bidi="lo-LA"/>
              </w:rPr>
              <w:t>201</w:t>
            </w:r>
            <w:r w:rsidR="00804DD6">
              <w:rPr>
                <w:lang w:eastAsia="lv-LV" w:bidi="lo-LA"/>
              </w:rPr>
              <w:t>1</w:t>
            </w:r>
            <w:r w:rsidR="007F2B5D">
              <w:rPr>
                <w:lang w:eastAsia="lv-LV" w:bidi="lo-LA"/>
              </w:rPr>
              <w:t xml:space="preserve">. </w:t>
            </w:r>
            <w:r w:rsidR="007F2B5D" w:rsidRPr="000F0B0D">
              <w:rPr>
                <w:lang w:eastAsia="lv-LV" w:bidi="lo-LA"/>
              </w:rPr>
              <w:t>gadu</w:t>
            </w:r>
          </w:p>
        </w:tc>
        <w:tc>
          <w:tcPr>
            <w:tcW w:w="1176" w:type="dxa"/>
            <w:vAlign w:val="center"/>
          </w:tcPr>
          <w:p w:rsidR="00623AE2" w:rsidRPr="000F0B0D" w:rsidRDefault="00623AE2" w:rsidP="00804DD6">
            <w:pPr>
              <w:spacing w:before="100" w:beforeAutospacing="1" w:after="100" w:afterAutospacing="1"/>
              <w:jc w:val="center"/>
              <w:rPr>
                <w:lang w:eastAsia="lv-LV" w:bidi="lo-LA"/>
              </w:rPr>
            </w:pPr>
            <w:r w:rsidRPr="000F0B0D">
              <w:rPr>
                <w:lang w:eastAsia="lv-LV" w:bidi="lo-LA"/>
              </w:rPr>
              <w:t xml:space="preserve">Izmaiņas, salīdzinot ar </w:t>
            </w:r>
            <w:r w:rsidR="007F2B5D">
              <w:rPr>
                <w:lang w:eastAsia="lv-LV" w:bidi="lo-LA"/>
              </w:rPr>
              <w:t>201</w:t>
            </w:r>
            <w:r w:rsidR="00804DD6">
              <w:rPr>
                <w:lang w:eastAsia="lv-LV" w:bidi="lo-LA"/>
              </w:rPr>
              <w:t>1</w:t>
            </w:r>
            <w:r w:rsidR="007F2B5D">
              <w:rPr>
                <w:lang w:eastAsia="lv-LV" w:bidi="lo-LA"/>
              </w:rPr>
              <w:t xml:space="preserve">. </w:t>
            </w:r>
            <w:r w:rsidR="007F2B5D" w:rsidRPr="000F0B0D">
              <w:rPr>
                <w:lang w:eastAsia="lv-LV" w:bidi="lo-LA"/>
              </w:rPr>
              <w:t>gadu</w:t>
            </w:r>
          </w:p>
        </w:tc>
      </w:tr>
      <w:tr w:rsidR="009B1E40" w:rsidRPr="0013657B" w:rsidTr="00687D5D">
        <w:tc>
          <w:tcPr>
            <w:tcW w:w="3369" w:type="dxa"/>
          </w:tcPr>
          <w:p w:rsidR="009B1E40" w:rsidRPr="001E3003" w:rsidRDefault="009B1E40" w:rsidP="001E3003">
            <w:pPr>
              <w:spacing w:before="100" w:beforeAutospacing="1" w:after="100" w:afterAutospacing="1"/>
              <w:rPr>
                <w:b/>
                <w:lang w:eastAsia="lv-LV" w:bidi="lo-LA"/>
              </w:rPr>
            </w:pPr>
            <w:r w:rsidRPr="001E3003">
              <w:rPr>
                <w:b/>
                <w:lang w:eastAsia="lv-LV" w:bidi="lo-LA"/>
              </w:rPr>
              <w:t> 1. Budžeta ieņēmumi:</w:t>
            </w:r>
          </w:p>
        </w:tc>
        <w:tc>
          <w:tcPr>
            <w:tcW w:w="1176" w:type="dxa"/>
            <w:vAlign w:val="center"/>
          </w:tcPr>
          <w:p w:rsidR="009B1E40" w:rsidRPr="00FE60A4" w:rsidRDefault="009B1E40" w:rsidP="00FE60A4">
            <w:pPr>
              <w:autoSpaceDE w:val="0"/>
              <w:autoSpaceDN w:val="0"/>
              <w:adjustRightInd w:val="0"/>
              <w:jc w:val="right"/>
              <w:rPr>
                <w:b/>
                <w:noProof/>
                <w:sz w:val="28"/>
                <w:szCs w:val="28"/>
                <w:highlight w:val="yellow"/>
              </w:rPr>
            </w:pPr>
            <w:r w:rsidRPr="00FE60A4">
              <w:rPr>
                <w:b/>
              </w:rPr>
              <w:t>3 667,3</w:t>
            </w:r>
          </w:p>
        </w:tc>
        <w:tc>
          <w:tcPr>
            <w:tcW w:w="1229" w:type="dxa"/>
            <w:vAlign w:val="center"/>
          </w:tcPr>
          <w:p w:rsidR="009B1E40" w:rsidRPr="009B1E40" w:rsidRDefault="008F08A4" w:rsidP="00687D5D">
            <w:pPr>
              <w:autoSpaceDE w:val="0"/>
              <w:autoSpaceDN w:val="0"/>
              <w:adjustRightInd w:val="0"/>
              <w:jc w:val="right"/>
              <w:rPr>
                <w:b/>
              </w:rPr>
            </w:pPr>
            <w:r>
              <w:rPr>
                <w:b/>
              </w:rPr>
              <w:t>-2006,7</w:t>
            </w:r>
          </w:p>
        </w:tc>
        <w:tc>
          <w:tcPr>
            <w:tcW w:w="1171" w:type="dxa"/>
            <w:vAlign w:val="center"/>
          </w:tcPr>
          <w:p w:rsidR="009B1E40" w:rsidRPr="00FE60A4" w:rsidRDefault="008F08A4" w:rsidP="00FE60A4">
            <w:pPr>
              <w:autoSpaceDE w:val="0"/>
              <w:autoSpaceDN w:val="0"/>
              <w:adjustRightInd w:val="0"/>
              <w:jc w:val="right"/>
              <w:rPr>
                <w:b/>
                <w:noProof/>
                <w:sz w:val="28"/>
                <w:szCs w:val="28"/>
                <w:highlight w:val="yellow"/>
              </w:rPr>
            </w:pPr>
            <w:r>
              <w:rPr>
                <w:b/>
              </w:rPr>
              <w:t xml:space="preserve"> -2 006,7</w:t>
            </w:r>
          </w:p>
        </w:tc>
        <w:tc>
          <w:tcPr>
            <w:tcW w:w="1218" w:type="dxa"/>
            <w:vAlign w:val="center"/>
          </w:tcPr>
          <w:p w:rsidR="009B1E40" w:rsidRPr="00FE60A4" w:rsidRDefault="008F08A4" w:rsidP="0013657B">
            <w:pPr>
              <w:autoSpaceDE w:val="0"/>
              <w:autoSpaceDN w:val="0"/>
              <w:adjustRightInd w:val="0"/>
              <w:jc w:val="right"/>
              <w:rPr>
                <w:b/>
                <w:noProof/>
                <w:sz w:val="28"/>
                <w:szCs w:val="28"/>
                <w:highlight w:val="yellow"/>
              </w:rPr>
            </w:pPr>
            <w:r>
              <w:rPr>
                <w:b/>
                <w:noProof/>
              </w:rPr>
              <w:t>-2 514,4</w:t>
            </w:r>
          </w:p>
        </w:tc>
        <w:tc>
          <w:tcPr>
            <w:tcW w:w="1176" w:type="dxa"/>
            <w:vAlign w:val="center"/>
          </w:tcPr>
          <w:p w:rsidR="009B1E40" w:rsidRPr="0013657B" w:rsidRDefault="009B1E40" w:rsidP="00FE60A4">
            <w:pPr>
              <w:autoSpaceDE w:val="0"/>
              <w:autoSpaceDN w:val="0"/>
              <w:adjustRightInd w:val="0"/>
              <w:jc w:val="right"/>
              <w:rPr>
                <w:b/>
                <w:noProof/>
              </w:rPr>
            </w:pPr>
            <w:r w:rsidRPr="0013657B">
              <w:rPr>
                <w:b/>
                <w:noProof/>
              </w:rPr>
              <w:t>-3 667,3</w:t>
            </w:r>
          </w:p>
        </w:tc>
      </w:tr>
      <w:tr w:rsidR="009B1E40" w:rsidRPr="001E3003" w:rsidTr="00687D5D">
        <w:tc>
          <w:tcPr>
            <w:tcW w:w="3369" w:type="dxa"/>
          </w:tcPr>
          <w:p w:rsidR="009B1E40" w:rsidRPr="000F0B0D" w:rsidRDefault="009B1E40" w:rsidP="001E3003">
            <w:pPr>
              <w:spacing w:before="100" w:beforeAutospacing="1" w:after="100" w:afterAutospacing="1"/>
              <w:ind w:left="284"/>
              <w:rPr>
                <w:lang w:eastAsia="lv-LV" w:bidi="lo-LA"/>
              </w:rPr>
            </w:pPr>
            <w:r w:rsidRPr="000F0B0D">
              <w:rPr>
                <w:lang w:eastAsia="lv-LV" w:bidi="lo-LA"/>
              </w:rPr>
              <w:t> 1.1. valsts pamatbudžets, tai skaitā ieņēmumi no maksas pakalpojumiem un citi pašu ieņēmumi</w:t>
            </w:r>
          </w:p>
        </w:tc>
        <w:tc>
          <w:tcPr>
            <w:tcW w:w="1176" w:type="dxa"/>
            <w:vAlign w:val="center"/>
          </w:tcPr>
          <w:p w:rsidR="009B1E40" w:rsidRPr="00FE60A4" w:rsidRDefault="009B1E40" w:rsidP="00FE60A4">
            <w:pPr>
              <w:autoSpaceDE w:val="0"/>
              <w:autoSpaceDN w:val="0"/>
              <w:adjustRightInd w:val="0"/>
              <w:jc w:val="right"/>
              <w:rPr>
                <w:noProof/>
                <w:sz w:val="28"/>
                <w:szCs w:val="28"/>
                <w:highlight w:val="yellow"/>
              </w:rPr>
            </w:pPr>
            <w:r w:rsidRPr="00FE60A4">
              <w:t>3 667,3</w:t>
            </w:r>
            <w:r w:rsidRPr="00FE60A4">
              <w:rPr>
                <w:highlight w:val="yellow"/>
              </w:rPr>
              <w:t xml:space="preserve"> </w:t>
            </w:r>
          </w:p>
        </w:tc>
        <w:tc>
          <w:tcPr>
            <w:tcW w:w="1229" w:type="dxa"/>
            <w:vAlign w:val="center"/>
          </w:tcPr>
          <w:p w:rsidR="009B1E40" w:rsidRPr="009B1E40" w:rsidRDefault="008F08A4" w:rsidP="00687D5D">
            <w:pPr>
              <w:autoSpaceDE w:val="0"/>
              <w:autoSpaceDN w:val="0"/>
              <w:adjustRightInd w:val="0"/>
              <w:jc w:val="right"/>
            </w:pPr>
            <w:r>
              <w:rPr>
                <w:b/>
              </w:rPr>
              <w:t>-2006,7</w:t>
            </w:r>
          </w:p>
        </w:tc>
        <w:tc>
          <w:tcPr>
            <w:tcW w:w="1171" w:type="dxa"/>
            <w:vAlign w:val="center"/>
          </w:tcPr>
          <w:p w:rsidR="009B1E40" w:rsidRPr="00FE60A4" w:rsidRDefault="008F08A4" w:rsidP="00FE60A4">
            <w:pPr>
              <w:autoSpaceDE w:val="0"/>
              <w:autoSpaceDN w:val="0"/>
              <w:adjustRightInd w:val="0"/>
              <w:jc w:val="right"/>
              <w:rPr>
                <w:noProof/>
                <w:sz w:val="28"/>
                <w:szCs w:val="28"/>
                <w:highlight w:val="yellow"/>
              </w:rPr>
            </w:pPr>
            <w:r>
              <w:rPr>
                <w:b/>
              </w:rPr>
              <w:t>-2 006,7</w:t>
            </w:r>
          </w:p>
        </w:tc>
        <w:tc>
          <w:tcPr>
            <w:tcW w:w="1218" w:type="dxa"/>
            <w:vAlign w:val="center"/>
          </w:tcPr>
          <w:p w:rsidR="009B1E40" w:rsidRPr="0013657B" w:rsidRDefault="008F08A4" w:rsidP="00B63B8D">
            <w:pPr>
              <w:autoSpaceDE w:val="0"/>
              <w:autoSpaceDN w:val="0"/>
              <w:adjustRightInd w:val="0"/>
              <w:jc w:val="right"/>
              <w:rPr>
                <w:noProof/>
                <w:sz w:val="28"/>
                <w:szCs w:val="28"/>
                <w:highlight w:val="yellow"/>
              </w:rPr>
            </w:pPr>
            <w:r>
              <w:rPr>
                <w:b/>
                <w:noProof/>
              </w:rPr>
              <w:t>-2 514,4</w:t>
            </w:r>
          </w:p>
        </w:tc>
        <w:tc>
          <w:tcPr>
            <w:tcW w:w="1176" w:type="dxa"/>
            <w:vAlign w:val="center"/>
          </w:tcPr>
          <w:p w:rsidR="009B1E40" w:rsidRPr="0013657B" w:rsidRDefault="009B1E40" w:rsidP="00FE60A4">
            <w:pPr>
              <w:autoSpaceDE w:val="0"/>
              <w:autoSpaceDN w:val="0"/>
              <w:adjustRightInd w:val="0"/>
              <w:jc w:val="right"/>
              <w:rPr>
                <w:noProof/>
                <w:sz w:val="28"/>
                <w:szCs w:val="28"/>
                <w:highlight w:val="yellow"/>
              </w:rPr>
            </w:pPr>
            <w:r w:rsidRPr="0013657B">
              <w:rPr>
                <w:noProof/>
              </w:rPr>
              <w:t>-3 667,3</w:t>
            </w:r>
          </w:p>
        </w:tc>
      </w:tr>
      <w:tr w:rsidR="007F2B5D" w:rsidRPr="001E3003" w:rsidTr="00687D5D">
        <w:tc>
          <w:tcPr>
            <w:tcW w:w="3369" w:type="dxa"/>
          </w:tcPr>
          <w:p w:rsidR="007F2B5D" w:rsidRPr="000F0B0D" w:rsidRDefault="007F2B5D" w:rsidP="001E3003">
            <w:pPr>
              <w:spacing w:before="100" w:beforeAutospacing="1" w:after="100" w:afterAutospacing="1"/>
              <w:ind w:left="284"/>
              <w:rPr>
                <w:lang w:eastAsia="lv-LV" w:bidi="lo-LA"/>
              </w:rPr>
            </w:pPr>
            <w:r w:rsidRPr="000F0B0D">
              <w:rPr>
                <w:lang w:eastAsia="lv-LV" w:bidi="lo-LA"/>
              </w:rPr>
              <w:t> 1.2. valsts speciālais budžets</w:t>
            </w:r>
          </w:p>
        </w:tc>
        <w:tc>
          <w:tcPr>
            <w:tcW w:w="1176" w:type="dxa"/>
            <w:vAlign w:val="center"/>
          </w:tcPr>
          <w:p w:rsidR="007F2B5D" w:rsidRPr="00FE60A4" w:rsidRDefault="007E63FA" w:rsidP="00687D5D">
            <w:pPr>
              <w:jc w:val="right"/>
            </w:pPr>
            <w:r w:rsidRPr="00FE60A4">
              <w:t>0</w:t>
            </w:r>
          </w:p>
        </w:tc>
        <w:tc>
          <w:tcPr>
            <w:tcW w:w="1229" w:type="dxa"/>
            <w:vAlign w:val="center"/>
          </w:tcPr>
          <w:p w:rsidR="007F2B5D" w:rsidRPr="00FE60A4" w:rsidRDefault="007E63FA" w:rsidP="00687D5D">
            <w:pPr>
              <w:jc w:val="right"/>
            </w:pPr>
            <w:r w:rsidRPr="00FE60A4">
              <w:t>0</w:t>
            </w:r>
          </w:p>
        </w:tc>
        <w:tc>
          <w:tcPr>
            <w:tcW w:w="1171" w:type="dxa"/>
            <w:vAlign w:val="center"/>
          </w:tcPr>
          <w:p w:rsidR="007F2B5D" w:rsidRPr="00FE60A4" w:rsidRDefault="007E63FA" w:rsidP="00687D5D">
            <w:pPr>
              <w:jc w:val="right"/>
            </w:pPr>
            <w:r w:rsidRPr="00FE60A4">
              <w:t>0</w:t>
            </w:r>
          </w:p>
        </w:tc>
        <w:tc>
          <w:tcPr>
            <w:tcW w:w="1218" w:type="dxa"/>
            <w:vAlign w:val="center"/>
          </w:tcPr>
          <w:p w:rsidR="007F2B5D" w:rsidRPr="00FE60A4" w:rsidRDefault="007E63FA" w:rsidP="00687D5D">
            <w:pPr>
              <w:jc w:val="right"/>
            </w:pPr>
            <w:r w:rsidRPr="00FE60A4">
              <w:t>0</w:t>
            </w:r>
          </w:p>
        </w:tc>
        <w:tc>
          <w:tcPr>
            <w:tcW w:w="1176" w:type="dxa"/>
            <w:vAlign w:val="center"/>
          </w:tcPr>
          <w:p w:rsidR="007F2B5D" w:rsidRPr="00FE60A4" w:rsidRDefault="007E63FA" w:rsidP="00687D5D">
            <w:pPr>
              <w:jc w:val="right"/>
            </w:pPr>
            <w:r w:rsidRPr="00FE60A4">
              <w:t>0</w:t>
            </w:r>
          </w:p>
        </w:tc>
      </w:tr>
      <w:tr w:rsidR="007E63FA" w:rsidRPr="001E3003" w:rsidTr="00687D5D">
        <w:tc>
          <w:tcPr>
            <w:tcW w:w="3369" w:type="dxa"/>
          </w:tcPr>
          <w:p w:rsidR="007E63FA" w:rsidRPr="000F0B0D" w:rsidRDefault="007E63FA" w:rsidP="001E3003">
            <w:pPr>
              <w:spacing w:before="100" w:beforeAutospacing="1" w:after="100" w:afterAutospacing="1"/>
              <w:ind w:left="284"/>
              <w:rPr>
                <w:lang w:eastAsia="lv-LV" w:bidi="lo-LA"/>
              </w:rPr>
            </w:pPr>
            <w:r w:rsidRPr="000F0B0D">
              <w:rPr>
                <w:lang w:eastAsia="lv-LV" w:bidi="lo-LA"/>
              </w:rPr>
              <w:t> 1.3. pašvaldību budžets</w:t>
            </w:r>
          </w:p>
        </w:tc>
        <w:tc>
          <w:tcPr>
            <w:tcW w:w="1176" w:type="dxa"/>
            <w:vAlign w:val="center"/>
          </w:tcPr>
          <w:p w:rsidR="007E63FA" w:rsidRPr="00FE60A4" w:rsidRDefault="007E63FA" w:rsidP="00687D5D">
            <w:pPr>
              <w:jc w:val="right"/>
            </w:pPr>
            <w:r w:rsidRPr="00FE60A4">
              <w:t>0</w:t>
            </w:r>
          </w:p>
        </w:tc>
        <w:tc>
          <w:tcPr>
            <w:tcW w:w="1229" w:type="dxa"/>
            <w:vAlign w:val="center"/>
          </w:tcPr>
          <w:p w:rsidR="007E63FA" w:rsidRPr="00FE60A4" w:rsidRDefault="007E63FA" w:rsidP="00687D5D">
            <w:pPr>
              <w:jc w:val="right"/>
            </w:pPr>
            <w:r w:rsidRPr="00FE60A4">
              <w:t>0</w:t>
            </w:r>
          </w:p>
        </w:tc>
        <w:tc>
          <w:tcPr>
            <w:tcW w:w="1171" w:type="dxa"/>
            <w:vAlign w:val="center"/>
          </w:tcPr>
          <w:p w:rsidR="007E63FA" w:rsidRPr="00FE60A4" w:rsidRDefault="007E63FA" w:rsidP="00687D5D">
            <w:pPr>
              <w:jc w:val="right"/>
            </w:pPr>
            <w:r w:rsidRPr="00FE60A4">
              <w:t>0</w:t>
            </w:r>
          </w:p>
        </w:tc>
        <w:tc>
          <w:tcPr>
            <w:tcW w:w="1218" w:type="dxa"/>
            <w:vAlign w:val="center"/>
          </w:tcPr>
          <w:p w:rsidR="007E63FA" w:rsidRPr="00FE60A4" w:rsidRDefault="007E63FA" w:rsidP="00687D5D">
            <w:pPr>
              <w:jc w:val="right"/>
            </w:pPr>
            <w:r w:rsidRPr="00FE60A4">
              <w:t>0</w:t>
            </w:r>
          </w:p>
        </w:tc>
        <w:tc>
          <w:tcPr>
            <w:tcW w:w="1176" w:type="dxa"/>
            <w:vAlign w:val="center"/>
          </w:tcPr>
          <w:p w:rsidR="007E63FA" w:rsidRPr="00FE60A4" w:rsidRDefault="007E63FA" w:rsidP="00687D5D">
            <w:pPr>
              <w:jc w:val="right"/>
            </w:pPr>
            <w:r w:rsidRPr="00FE60A4">
              <w:t>0</w:t>
            </w:r>
          </w:p>
        </w:tc>
      </w:tr>
      <w:tr w:rsidR="009B1E40" w:rsidRPr="001E3003" w:rsidTr="00687D5D">
        <w:tc>
          <w:tcPr>
            <w:tcW w:w="3369" w:type="dxa"/>
          </w:tcPr>
          <w:p w:rsidR="009B1E40" w:rsidRPr="001E3003" w:rsidRDefault="009B1E40" w:rsidP="001E3003">
            <w:pPr>
              <w:spacing w:before="100" w:beforeAutospacing="1" w:after="100" w:afterAutospacing="1"/>
              <w:rPr>
                <w:b/>
                <w:lang w:eastAsia="lv-LV" w:bidi="lo-LA"/>
              </w:rPr>
            </w:pPr>
            <w:r w:rsidRPr="001E3003">
              <w:rPr>
                <w:b/>
                <w:lang w:eastAsia="lv-LV" w:bidi="lo-LA"/>
              </w:rPr>
              <w:t> 2. Budžeta izdevumi:</w:t>
            </w:r>
          </w:p>
        </w:tc>
        <w:tc>
          <w:tcPr>
            <w:tcW w:w="1176" w:type="dxa"/>
            <w:vAlign w:val="center"/>
          </w:tcPr>
          <w:p w:rsidR="009B1E40" w:rsidRPr="0013657B" w:rsidRDefault="009B1E40" w:rsidP="0013657B">
            <w:pPr>
              <w:jc w:val="right"/>
              <w:rPr>
                <w:b/>
              </w:rPr>
            </w:pPr>
            <w:r w:rsidRPr="0013657B">
              <w:rPr>
                <w:b/>
              </w:rPr>
              <w:t>4 314,5</w:t>
            </w:r>
          </w:p>
        </w:tc>
        <w:tc>
          <w:tcPr>
            <w:tcW w:w="1229" w:type="dxa"/>
            <w:vAlign w:val="center"/>
          </w:tcPr>
          <w:p w:rsidR="009B1E40" w:rsidRPr="0013657B" w:rsidRDefault="0054334B" w:rsidP="00687D5D">
            <w:pPr>
              <w:jc w:val="right"/>
              <w:rPr>
                <w:b/>
              </w:rPr>
            </w:pPr>
            <w:r>
              <w:rPr>
                <w:b/>
              </w:rPr>
              <w:t>-2 414,</w:t>
            </w:r>
            <w:r w:rsidR="009B1E40" w:rsidRPr="009B1E40">
              <w:rPr>
                <w:b/>
              </w:rPr>
              <w:t>5</w:t>
            </w:r>
          </w:p>
        </w:tc>
        <w:tc>
          <w:tcPr>
            <w:tcW w:w="1171" w:type="dxa"/>
            <w:vAlign w:val="center"/>
          </w:tcPr>
          <w:p w:rsidR="009B1E40" w:rsidRPr="0013657B" w:rsidRDefault="009B1E40" w:rsidP="0013657B">
            <w:pPr>
              <w:jc w:val="right"/>
              <w:rPr>
                <w:b/>
              </w:rPr>
            </w:pPr>
            <w:r w:rsidRPr="0013657B">
              <w:rPr>
                <w:b/>
              </w:rPr>
              <w:t>-2 414,5</w:t>
            </w:r>
          </w:p>
        </w:tc>
        <w:tc>
          <w:tcPr>
            <w:tcW w:w="1218" w:type="dxa"/>
            <w:vAlign w:val="center"/>
          </w:tcPr>
          <w:p w:rsidR="009B1E40" w:rsidRPr="0013657B" w:rsidRDefault="008F08A4" w:rsidP="0013657B">
            <w:pPr>
              <w:jc w:val="right"/>
              <w:rPr>
                <w:b/>
              </w:rPr>
            </w:pPr>
            <w:r>
              <w:rPr>
                <w:b/>
              </w:rPr>
              <w:t>-3 114,0</w:t>
            </w:r>
          </w:p>
        </w:tc>
        <w:tc>
          <w:tcPr>
            <w:tcW w:w="1176" w:type="dxa"/>
            <w:vAlign w:val="center"/>
          </w:tcPr>
          <w:p w:rsidR="009B1E40" w:rsidRPr="0013657B" w:rsidRDefault="009B1E40" w:rsidP="0013657B">
            <w:pPr>
              <w:jc w:val="right"/>
              <w:rPr>
                <w:b/>
              </w:rPr>
            </w:pPr>
            <w:r w:rsidRPr="0013657B">
              <w:rPr>
                <w:b/>
              </w:rPr>
              <w:t>-</w:t>
            </w:r>
            <w:r>
              <w:rPr>
                <w:b/>
              </w:rPr>
              <w:t>4 314,5</w:t>
            </w:r>
          </w:p>
        </w:tc>
      </w:tr>
      <w:tr w:rsidR="009B1E40" w:rsidRPr="001E3003" w:rsidTr="00687D5D">
        <w:tc>
          <w:tcPr>
            <w:tcW w:w="3369" w:type="dxa"/>
          </w:tcPr>
          <w:p w:rsidR="009B1E40" w:rsidRPr="000F0B0D" w:rsidRDefault="009B1E40" w:rsidP="001E3003">
            <w:pPr>
              <w:spacing w:before="100" w:beforeAutospacing="1" w:after="100" w:afterAutospacing="1"/>
              <w:ind w:left="284"/>
              <w:rPr>
                <w:lang w:eastAsia="lv-LV" w:bidi="lo-LA"/>
              </w:rPr>
            </w:pPr>
            <w:r w:rsidRPr="000F0B0D">
              <w:rPr>
                <w:lang w:eastAsia="lv-LV" w:bidi="lo-LA"/>
              </w:rPr>
              <w:t> 2.1. valsts pamatbudžets</w:t>
            </w:r>
          </w:p>
        </w:tc>
        <w:tc>
          <w:tcPr>
            <w:tcW w:w="1176" w:type="dxa"/>
            <w:vAlign w:val="center"/>
          </w:tcPr>
          <w:p w:rsidR="009B1E40" w:rsidRPr="0013657B" w:rsidRDefault="009B1E40" w:rsidP="0013657B">
            <w:pPr>
              <w:jc w:val="right"/>
            </w:pPr>
            <w:r w:rsidRPr="0013657B">
              <w:t>4 314,5</w:t>
            </w:r>
          </w:p>
        </w:tc>
        <w:tc>
          <w:tcPr>
            <w:tcW w:w="1229" w:type="dxa"/>
            <w:vAlign w:val="center"/>
          </w:tcPr>
          <w:p w:rsidR="009B1E40" w:rsidRPr="009B1E40" w:rsidRDefault="009B1E40" w:rsidP="0054334B">
            <w:pPr>
              <w:jc w:val="right"/>
            </w:pPr>
            <w:r w:rsidRPr="009B1E40">
              <w:t>-2</w:t>
            </w:r>
            <w:r w:rsidR="0054334B">
              <w:t> </w:t>
            </w:r>
            <w:r w:rsidRPr="009B1E40">
              <w:t>414</w:t>
            </w:r>
            <w:r w:rsidR="0054334B">
              <w:t>,</w:t>
            </w:r>
            <w:r w:rsidRPr="009B1E40">
              <w:t>5</w:t>
            </w:r>
          </w:p>
        </w:tc>
        <w:tc>
          <w:tcPr>
            <w:tcW w:w="1171" w:type="dxa"/>
            <w:vAlign w:val="center"/>
          </w:tcPr>
          <w:p w:rsidR="009B1E40" w:rsidRPr="0013657B" w:rsidRDefault="009B1E40" w:rsidP="0013657B">
            <w:pPr>
              <w:jc w:val="right"/>
            </w:pPr>
            <w:r w:rsidRPr="0013657B">
              <w:t>-2 414,5</w:t>
            </w:r>
          </w:p>
        </w:tc>
        <w:tc>
          <w:tcPr>
            <w:tcW w:w="1218" w:type="dxa"/>
            <w:vAlign w:val="center"/>
          </w:tcPr>
          <w:p w:rsidR="009B1E40" w:rsidRPr="0013657B" w:rsidRDefault="008F08A4" w:rsidP="00B63B8D">
            <w:pPr>
              <w:jc w:val="right"/>
            </w:pPr>
            <w:r>
              <w:rPr>
                <w:b/>
              </w:rPr>
              <w:t>-3 114,0</w:t>
            </w:r>
          </w:p>
        </w:tc>
        <w:tc>
          <w:tcPr>
            <w:tcW w:w="1176" w:type="dxa"/>
            <w:vAlign w:val="center"/>
          </w:tcPr>
          <w:p w:rsidR="009B1E40" w:rsidRPr="0013657B" w:rsidRDefault="009B1E40" w:rsidP="0013657B">
            <w:pPr>
              <w:ind w:left="1"/>
              <w:jc w:val="right"/>
            </w:pPr>
            <w:r w:rsidRPr="0013657B">
              <w:t>-</w:t>
            </w:r>
            <w:r>
              <w:t>4 314,5</w:t>
            </w:r>
          </w:p>
        </w:tc>
      </w:tr>
      <w:tr w:rsidR="0013657B" w:rsidRPr="001E3003" w:rsidTr="00687D5D">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2.2. valsts speciālais budžets</w:t>
            </w:r>
          </w:p>
        </w:tc>
        <w:tc>
          <w:tcPr>
            <w:tcW w:w="1176" w:type="dxa"/>
            <w:vAlign w:val="center"/>
          </w:tcPr>
          <w:p w:rsidR="0013657B" w:rsidRPr="0013657B" w:rsidRDefault="0013657B" w:rsidP="00687D5D">
            <w:pPr>
              <w:jc w:val="right"/>
            </w:pPr>
            <w:r w:rsidRPr="0013657B">
              <w:t>0</w:t>
            </w:r>
          </w:p>
        </w:tc>
        <w:tc>
          <w:tcPr>
            <w:tcW w:w="1229" w:type="dxa"/>
            <w:vAlign w:val="center"/>
          </w:tcPr>
          <w:p w:rsidR="0013657B" w:rsidRPr="0013657B" w:rsidRDefault="0013657B" w:rsidP="00687D5D">
            <w:pPr>
              <w:jc w:val="right"/>
            </w:pPr>
            <w:r w:rsidRPr="0013657B">
              <w:t>0</w:t>
            </w:r>
          </w:p>
        </w:tc>
        <w:tc>
          <w:tcPr>
            <w:tcW w:w="1171" w:type="dxa"/>
            <w:vAlign w:val="center"/>
          </w:tcPr>
          <w:p w:rsidR="0013657B" w:rsidRPr="0013657B" w:rsidRDefault="0013657B" w:rsidP="00687D5D">
            <w:pPr>
              <w:jc w:val="right"/>
            </w:pPr>
            <w:r w:rsidRPr="0013657B">
              <w:t>0</w:t>
            </w:r>
          </w:p>
        </w:tc>
        <w:tc>
          <w:tcPr>
            <w:tcW w:w="1218" w:type="dxa"/>
            <w:vAlign w:val="center"/>
          </w:tcPr>
          <w:p w:rsidR="0013657B" w:rsidRPr="0013657B" w:rsidRDefault="0013657B" w:rsidP="00687D5D">
            <w:pPr>
              <w:jc w:val="right"/>
            </w:pPr>
            <w:r w:rsidRPr="0013657B">
              <w:t>0</w:t>
            </w:r>
          </w:p>
        </w:tc>
        <w:tc>
          <w:tcPr>
            <w:tcW w:w="1176" w:type="dxa"/>
            <w:vAlign w:val="center"/>
          </w:tcPr>
          <w:p w:rsidR="0013657B" w:rsidRPr="0013657B" w:rsidRDefault="0013657B" w:rsidP="00687D5D">
            <w:pPr>
              <w:jc w:val="right"/>
            </w:pPr>
            <w:r w:rsidRPr="0013657B">
              <w:t>0</w:t>
            </w:r>
          </w:p>
        </w:tc>
      </w:tr>
      <w:tr w:rsidR="0013657B" w:rsidRPr="001E3003" w:rsidTr="00687D5D">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2.3. pašvaldību budžets</w:t>
            </w:r>
          </w:p>
        </w:tc>
        <w:tc>
          <w:tcPr>
            <w:tcW w:w="1176" w:type="dxa"/>
            <w:vAlign w:val="center"/>
          </w:tcPr>
          <w:p w:rsidR="0013657B" w:rsidRPr="0013657B" w:rsidRDefault="0013657B" w:rsidP="00687D5D">
            <w:pPr>
              <w:jc w:val="right"/>
            </w:pPr>
            <w:r w:rsidRPr="0013657B">
              <w:t>0</w:t>
            </w:r>
          </w:p>
        </w:tc>
        <w:tc>
          <w:tcPr>
            <w:tcW w:w="1229" w:type="dxa"/>
            <w:vAlign w:val="center"/>
          </w:tcPr>
          <w:p w:rsidR="0013657B" w:rsidRPr="0013657B" w:rsidRDefault="0013657B" w:rsidP="00687D5D">
            <w:pPr>
              <w:jc w:val="right"/>
            </w:pPr>
            <w:r w:rsidRPr="0013657B">
              <w:t>0</w:t>
            </w:r>
          </w:p>
        </w:tc>
        <w:tc>
          <w:tcPr>
            <w:tcW w:w="1171" w:type="dxa"/>
            <w:vAlign w:val="center"/>
          </w:tcPr>
          <w:p w:rsidR="0013657B" w:rsidRPr="0013657B" w:rsidRDefault="0013657B" w:rsidP="00687D5D">
            <w:pPr>
              <w:jc w:val="right"/>
            </w:pPr>
            <w:r w:rsidRPr="0013657B">
              <w:t>0</w:t>
            </w:r>
          </w:p>
        </w:tc>
        <w:tc>
          <w:tcPr>
            <w:tcW w:w="1218" w:type="dxa"/>
            <w:vAlign w:val="center"/>
          </w:tcPr>
          <w:p w:rsidR="0013657B" w:rsidRPr="0013657B" w:rsidRDefault="0013657B" w:rsidP="00687D5D">
            <w:pPr>
              <w:jc w:val="right"/>
            </w:pPr>
            <w:r w:rsidRPr="0013657B">
              <w:t>0</w:t>
            </w:r>
          </w:p>
        </w:tc>
        <w:tc>
          <w:tcPr>
            <w:tcW w:w="1176" w:type="dxa"/>
            <w:vAlign w:val="center"/>
          </w:tcPr>
          <w:p w:rsidR="0013657B" w:rsidRPr="0013657B" w:rsidRDefault="0013657B" w:rsidP="00687D5D">
            <w:pPr>
              <w:jc w:val="right"/>
            </w:pPr>
            <w:r w:rsidRPr="0013657B">
              <w:t>0</w:t>
            </w:r>
          </w:p>
        </w:tc>
      </w:tr>
      <w:tr w:rsidR="00E7205C" w:rsidRPr="001E3003" w:rsidTr="00687D5D">
        <w:tc>
          <w:tcPr>
            <w:tcW w:w="3369" w:type="dxa"/>
          </w:tcPr>
          <w:p w:rsidR="00E7205C" w:rsidRPr="001E3003" w:rsidRDefault="00E7205C" w:rsidP="001E3003">
            <w:pPr>
              <w:spacing w:before="100" w:beforeAutospacing="1" w:after="100" w:afterAutospacing="1"/>
              <w:rPr>
                <w:b/>
                <w:lang w:eastAsia="lv-LV" w:bidi="lo-LA"/>
              </w:rPr>
            </w:pPr>
            <w:r w:rsidRPr="001E3003">
              <w:rPr>
                <w:b/>
                <w:lang w:eastAsia="lv-LV" w:bidi="lo-LA"/>
              </w:rPr>
              <w:t> 3. Finansiālā ietekme:</w:t>
            </w:r>
          </w:p>
        </w:tc>
        <w:tc>
          <w:tcPr>
            <w:tcW w:w="1176" w:type="dxa"/>
            <w:vAlign w:val="center"/>
          </w:tcPr>
          <w:p w:rsidR="00E7205C" w:rsidRPr="0013657B" w:rsidRDefault="00E7205C" w:rsidP="0013657B">
            <w:pPr>
              <w:jc w:val="right"/>
              <w:rPr>
                <w:b/>
              </w:rPr>
            </w:pPr>
            <w:r w:rsidRPr="0013657B">
              <w:rPr>
                <w:b/>
              </w:rPr>
              <w:t>-647,2</w:t>
            </w:r>
          </w:p>
        </w:tc>
        <w:tc>
          <w:tcPr>
            <w:tcW w:w="1229" w:type="dxa"/>
            <w:vAlign w:val="center"/>
          </w:tcPr>
          <w:p w:rsidR="00E7205C" w:rsidRPr="0054334B" w:rsidRDefault="008F08A4" w:rsidP="0054334B">
            <w:pPr>
              <w:jc w:val="right"/>
              <w:rPr>
                <w:b/>
              </w:rPr>
            </w:pPr>
            <w:r w:rsidRPr="0054334B">
              <w:rPr>
                <w:b/>
              </w:rPr>
              <w:t xml:space="preserve"> 407,8</w:t>
            </w:r>
          </w:p>
        </w:tc>
        <w:tc>
          <w:tcPr>
            <w:tcW w:w="1171" w:type="dxa"/>
            <w:vAlign w:val="center"/>
          </w:tcPr>
          <w:p w:rsidR="00E7205C" w:rsidRPr="0054334B" w:rsidRDefault="008F08A4" w:rsidP="0054334B">
            <w:pPr>
              <w:jc w:val="right"/>
              <w:rPr>
                <w:b/>
              </w:rPr>
            </w:pPr>
            <w:r w:rsidRPr="0054334B">
              <w:rPr>
                <w:b/>
              </w:rPr>
              <w:t>407,8</w:t>
            </w:r>
          </w:p>
        </w:tc>
        <w:tc>
          <w:tcPr>
            <w:tcW w:w="1218" w:type="dxa"/>
            <w:vAlign w:val="center"/>
          </w:tcPr>
          <w:p w:rsidR="00E7205C" w:rsidRPr="0054334B" w:rsidRDefault="008F08A4" w:rsidP="0054334B">
            <w:pPr>
              <w:jc w:val="right"/>
              <w:rPr>
                <w:b/>
              </w:rPr>
            </w:pPr>
            <w:r w:rsidRPr="0054334B">
              <w:rPr>
                <w:b/>
              </w:rPr>
              <w:t>599,6</w:t>
            </w:r>
          </w:p>
        </w:tc>
        <w:tc>
          <w:tcPr>
            <w:tcW w:w="1176" w:type="dxa"/>
            <w:vAlign w:val="center"/>
          </w:tcPr>
          <w:p w:rsidR="00E7205C" w:rsidRPr="0013657B" w:rsidRDefault="00E7205C" w:rsidP="0013657B">
            <w:pPr>
              <w:jc w:val="right"/>
              <w:rPr>
                <w:b/>
              </w:rPr>
            </w:pPr>
            <w:r w:rsidRPr="0013657B">
              <w:rPr>
                <w:b/>
              </w:rPr>
              <w:t>647,2</w:t>
            </w:r>
          </w:p>
        </w:tc>
      </w:tr>
      <w:tr w:rsidR="00E7205C" w:rsidRPr="001E3003" w:rsidTr="0054334B">
        <w:tc>
          <w:tcPr>
            <w:tcW w:w="3369" w:type="dxa"/>
          </w:tcPr>
          <w:p w:rsidR="00E7205C" w:rsidRPr="000F0B0D" w:rsidRDefault="00E7205C" w:rsidP="001E3003">
            <w:pPr>
              <w:spacing w:before="100" w:beforeAutospacing="1" w:after="100" w:afterAutospacing="1"/>
              <w:ind w:left="284"/>
              <w:rPr>
                <w:lang w:eastAsia="lv-LV" w:bidi="lo-LA"/>
              </w:rPr>
            </w:pPr>
            <w:r w:rsidRPr="000F0B0D">
              <w:rPr>
                <w:lang w:eastAsia="lv-LV" w:bidi="lo-LA"/>
              </w:rPr>
              <w:t> 3.1. valsts pamatbudžets</w:t>
            </w:r>
          </w:p>
        </w:tc>
        <w:tc>
          <w:tcPr>
            <w:tcW w:w="1176" w:type="dxa"/>
            <w:vAlign w:val="center"/>
          </w:tcPr>
          <w:p w:rsidR="00E7205C" w:rsidRPr="0013657B" w:rsidRDefault="00E7205C" w:rsidP="0013657B">
            <w:pPr>
              <w:jc w:val="right"/>
            </w:pPr>
            <w:r w:rsidRPr="0013657B">
              <w:t>-647,2</w:t>
            </w:r>
          </w:p>
        </w:tc>
        <w:tc>
          <w:tcPr>
            <w:tcW w:w="1229" w:type="dxa"/>
            <w:vAlign w:val="center"/>
          </w:tcPr>
          <w:p w:rsidR="00E7205C" w:rsidRPr="0054334B" w:rsidRDefault="008F08A4" w:rsidP="0054334B">
            <w:pPr>
              <w:jc w:val="right"/>
            </w:pPr>
            <w:r w:rsidRPr="0054334B">
              <w:t>407,8</w:t>
            </w:r>
          </w:p>
        </w:tc>
        <w:tc>
          <w:tcPr>
            <w:tcW w:w="1171" w:type="dxa"/>
            <w:vAlign w:val="center"/>
          </w:tcPr>
          <w:p w:rsidR="00E7205C" w:rsidRPr="0054334B" w:rsidRDefault="008F08A4" w:rsidP="0054334B">
            <w:pPr>
              <w:jc w:val="right"/>
            </w:pPr>
            <w:r w:rsidRPr="0054334B">
              <w:t>407,8</w:t>
            </w:r>
          </w:p>
        </w:tc>
        <w:tc>
          <w:tcPr>
            <w:tcW w:w="1218" w:type="dxa"/>
            <w:vAlign w:val="center"/>
          </w:tcPr>
          <w:p w:rsidR="00E7205C" w:rsidRPr="0054334B" w:rsidRDefault="008F08A4" w:rsidP="0054334B">
            <w:pPr>
              <w:jc w:val="right"/>
            </w:pPr>
            <w:r w:rsidRPr="0054334B">
              <w:t>599,6</w:t>
            </w:r>
          </w:p>
        </w:tc>
        <w:tc>
          <w:tcPr>
            <w:tcW w:w="1176" w:type="dxa"/>
            <w:vAlign w:val="center"/>
          </w:tcPr>
          <w:p w:rsidR="00E7205C" w:rsidRPr="0013657B" w:rsidRDefault="00E7205C" w:rsidP="00687D5D">
            <w:pPr>
              <w:jc w:val="right"/>
            </w:pPr>
            <w:r w:rsidRPr="0013657B">
              <w:t>647,2</w:t>
            </w:r>
          </w:p>
        </w:tc>
      </w:tr>
      <w:tr w:rsidR="0013657B" w:rsidRPr="001E3003" w:rsidTr="00687D5D">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3.2. speciālais budžets</w:t>
            </w:r>
          </w:p>
        </w:tc>
        <w:tc>
          <w:tcPr>
            <w:tcW w:w="1176" w:type="dxa"/>
            <w:vAlign w:val="center"/>
          </w:tcPr>
          <w:p w:rsidR="0013657B" w:rsidRPr="0013657B" w:rsidRDefault="0013657B" w:rsidP="00687D5D">
            <w:pPr>
              <w:jc w:val="right"/>
            </w:pPr>
            <w:r w:rsidRPr="0013657B">
              <w:t>0</w:t>
            </w:r>
          </w:p>
        </w:tc>
        <w:tc>
          <w:tcPr>
            <w:tcW w:w="1229" w:type="dxa"/>
            <w:vAlign w:val="center"/>
          </w:tcPr>
          <w:p w:rsidR="0013657B" w:rsidRPr="0013657B" w:rsidRDefault="0013657B" w:rsidP="00687D5D">
            <w:pPr>
              <w:jc w:val="right"/>
            </w:pPr>
            <w:r w:rsidRPr="0013657B">
              <w:t>0</w:t>
            </w:r>
          </w:p>
        </w:tc>
        <w:tc>
          <w:tcPr>
            <w:tcW w:w="1171" w:type="dxa"/>
            <w:vAlign w:val="center"/>
          </w:tcPr>
          <w:p w:rsidR="0013657B" w:rsidRPr="0013657B" w:rsidRDefault="0013657B" w:rsidP="00687D5D">
            <w:pPr>
              <w:jc w:val="right"/>
            </w:pPr>
            <w:r w:rsidRPr="0013657B">
              <w:t>0</w:t>
            </w:r>
          </w:p>
        </w:tc>
        <w:tc>
          <w:tcPr>
            <w:tcW w:w="1218" w:type="dxa"/>
            <w:vAlign w:val="center"/>
          </w:tcPr>
          <w:p w:rsidR="0013657B" w:rsidRPr="0013657B" w:rsidRDefault="0013657B" w:rsidP="00687D5D">
            <w:pPr>
              <w:jc w:val="right"/>
            </w:pPr>
            <w:r w:rsidRPr="0013657B">
              <w:t>0</w:t>
            </w:r>
          </w:p>
        </w:tc>
        <w:tc>
          <w:tcPr>
            <w:tcW w:w="1176" w:type="dxa"/>
            <w:vAlign w:val="center"/>
          </w:tcPr>
          <w:p w:rsidR="0013657B" w:rsidRPr="0013657B" w:rsidRDefault="0013657B" w:rsidP="00687D5D">
            <w:pPr>
              <w:jc w:val="right"/>
            </w:pPr>
            <w:r w:rsidRPr="0013657B">
              <w:t>0</w:t>
            </w:r>
          </w:p>
        </w:tc>
      </w:tr>
      <w:tr w:rsidR="0013657B" w:rsidRPr="001E3003" w:rsidTr="00687D5D">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3.3. pašvaldību budžets</w:t>
            </w:r>
          </w:p>
        </w:tc>
        <w:tc>
          <w:tcPr>
            <w:tcW w:w="1176" w:type="dxa"/>
            <w:vAlign w:val="center"/>
          </w:tcPr>
          <w:p w:rsidR="0013657B" w:rsidRDefault="0013657B" w:rsidP="00687D5D">
            <w:pPr>
              <w:jc w:val="right"/>
            </w:pPr>
            <w:r>
              <w:t>0</w:t>
            </w:r>
          </w:p>
        </w:tc>
        <w:tc>
          <w:tcPr>
            <w:tcW w:w="1229" w:type="dxa"/>
            <w:vAlign w:val="center"/>
          </w:tcPr>
          <w:p w:rsidR="0013657B" w:rsidRDefault="0013657B" w:rsidP="00687D5D">
            <w:pPr>
              <w:jc w:val="right"/>
            </w:pPr>
            <w:r>
              <w:t>0</w:t>
            </w:r>
          </w:p>
        </w:tc>
        <w:tc>
          <w:tcPr>
            <w:tcW w:w="1171" w:type="dxa"/>
            <w:vAlign w:val="center"/>
          </w:tcPr>
          <w:p w:rsidR="0013657B" w:rsidRDefault="0013657B" w:rsidP="00687D5D">
            <w:pPr>
              <w:jc w:val="right"/>
            </w:pPr>
            <w:r>
              <w:t>0</w:t>
            </w:r>
          </w:p>
        </w:tc>
        <w:tc>
          <w:tcPr>
            <w:tcW w:w="1218" w:type="dxa"/>
            <w:vAlign w:val="center"/>
          </w:tcPr>
          <w:p w:rsidR="0013657B" w:rsidRDefault="0013657B" w:rsidP="00687D5D">
            <w:pPr>
              <w:jc w:val="right"/>
            </w:pPr>
            <w:r>
              <w:t>0</w:t>
            </w:r>
          </w:p>
        </w:tc>
        <w:tc>
          <w:tcPr>
            <w:tcW w:w="1176" w:type="dxa"/>
            <w:vAlign w:val="center"/>
          </w:tcPr>
          <w:p w:rsidR="0013657B" w:rsidRDefault="0013657B" w:rsidP="00687D5D">
            <w:pPr>
              <w:jc w:val="right"/>
            </w:pPr>
            <w:r>
              <w:t>0</w:t>
            </w:r>
          </w:p>
        </w:tc>
      </w:tr>
      <w:tr w:rsidR="0013657B" w:rsidRPr="001E3003" w:rsidTr="00687D5D">
        <w:trPr>
          <w:trHeight w:val="454"/>
        </w:trPr>
        <w:tc>
          <w:tcPr>
            <w:tcW w:w="3369" w:type="dxa"/>
            <w:vMerge w:val="restart"/>
          </w:tcPr>
          <w:p w:rsidR="0013657B" w:rsidRPr="000F0B0D" w:rsidRDefault="0013657B" w:rsidP="001E3003">
            <w:pPr>
              <w:spacing w:before="100" w:beforeAutospacing="1" w:after="100" w:afterAutospacing="1"/>
              <w:rPr>
                <w:lang w:eastAsia="lv-LV" w:bidi="lo-LA"/>
              </w:rPr>
            </w:pPr>
            <w:r w:rsidRPr="000F0B0D">
              <w:rPr>
                <w:lang w:eastAsia="lv-LV" w:bidi="lo-LA"/>
              </w:rPr>
              <w:t> 4. Finanšu līdzekļi papildu izde</w:t>
            </w:r>
            <w:r w:rsidRPr="000F0B0D">
              <w:rPr>
                <w:lang w:eastAsia="lv-LV" w:bidi="lo-LA"/>
              </w:rPr>
              <w:softHyphen/>
              <w:t>vumu finansēšanai (kompensējošu izdevumu samazinājumu norāda ar "+" zīmi)</w:t>
            </w:r>
          </w:p>
        </w:tc>
        <w:tc>
          <w:tcPr>
            <w:tcW w:w="1176" w:type="dxa"/>
            <w:vMerge w:val="restart"/>
            <w:vAlign w:val="center"/>
          </w:tcPr>
          <w:p w:rsidR="0013657B" w:rsidRPr="001E3003" w:rsidRDefault="0013657B" w:rsidP="001E3003">
            <w:pPr>
              <w:autoSpaceDE w:val="0"/>
              <w:autoSpaceDN w:val="0"/>
              <w:adjustRightInd w:val="0"/>
              <w:jc w:val="center"/>
              <w:rPr>
                <w:noProof/>
                <w:sz w:val="28"/>
                <w:szCs w:val="28"/>
              </w:rPr>
            </w:pPr>
            <w:r w:rsidRPr="001E3003">
              <w:rPr>
                <w:noProof/>
                <w:sz w:val="28"/>
                <w:szCs w:val="28"/>
              </w:rPr>
              <w:t>X</w:t>
            </w:r>
          </w:p>
        </w:tc>
        <w:tc>
          <w:tcPr>
            <w:tcW w:w="1229" w:type="dxa"/>
            <w:vAlign w:val="center"/>
          </w:tcPr>
          <w:p w:rsidR="0013657B" w:rsidRDefault="0013657B" w:rsidP="00687D5D">
            <w:pPr>
              <w:jc w:val="right"/>
            </w:pPr>
            <w:r>
              <w:t>0</w:t>
            </w:r>
          </w:p>
        </w:tc>
        <w:tc>
          <w:tcPr>
            <w:tcW w:w="1171" w:type="dxa"/>
            <w:vAlign w:val="center"/>
          </w:tcPr>
          <w:p w:rsidR="0013657B" w:rsidRDefault="0013657B" w:rsidP="00687D5D">
            <w:pPr>
              <w:jc w:val="right"/>
            </w:pPr>
            <w:r>
              <w:t>0</w:t>
            </w:r>
          </w:p>
        </w:tc>
        <w:tc>
          <w:tcPr>
            <w:tcW w:w="1218" w:type="dxa"/>
            <w:vAlign w:val="center"/>
          </w:tcPr>
          <w:p w:rsidR="0013657B" w:rsidRDefault="0013657B" w:rsidP="00687D5D">
            <w:pPr>
              <w:jc w:val="right"/>
            </w:pPr>
            <w:r>
              <w:t>0</w:t>
            </w:r>
          </w:p>
        </w:tc>
        <w:tc>
          <w:tcPr>
            <w:tcW w:w="1176" w:type="dxa"/>
            <w:vAlign w:val="center"/>
          </w:tcPr>
          <w:p w:rsidR="0013657B" w:rsidRDefault="0013657B" w:rsidP="00687D5D">
            <w:pPr>
              <w:jc w:val="right"/>
            </w:pPr>
            <w:r>
              <w:t>0</w:t>
            </w:r>
          </w:p>
        </w:tc>
      </w:tr>
      <w:tr w:rsidR="0013657B" w:rsidRPr="001E3003" w:rsidTr="00687D5D">
        <w:trPr>
          <w:trHeight w:val="454"/>
        </w:trPr>
        <w:tc>
          <w:tcPr>
            <w:tcW w:w="3369" w:type="dxa"/>
            <w:vMerge/>
            <w:vAlign w:val="center"/>
          </w:tcPr>
          <w:p w:rsidR="0013657B" w:rsidRPr="000F0B0D" w:rsidRDefault="0013657B" w:rsidP="00623AE2">
            <w:pPr>
              <w:rPr>
                <w:lang w:eastAsia="lv-LV" w:bidi="lo-LA"/>
              </w:rPr>
            </w:pPr>
          </w:p>
        </w:tc>
        <w:tc>
          <w:tcPr>
            <w:tcW w:w="1176" w:type="dxa"/>
            <w:vMerge/>
            <w:vAlign w:val="center"/>
          </w:tcPr>
          <w:p w:rsidR="0013657B" w:rsidRPr="001E3003" w:rsidRDefault="0013657B" w:rsidP="001E3003">
            <w:pPr>
              <w:autoSpaceDE w:val="0"/>
              <w:autoSpaceDN w:val="0"/>
              <w:adjustRightInd w:val="0"/>
              <w:jc w:val="center"/>
              <w:rPr>
                <w:noProof/>
                <w:sz w:val="28"/>
                <w:szCs w:val="28"/>
              </w:rPr>
            </w:pPr>
          </w:p>
        </w:tc>
        <w:tc>
          <w:tcPr>
            <w:tcW w:w="1229" w:type="dxa"/>
            <w:vAlign w:val="center"/>
          </w:tcPr>
          <w:p w:rsidR="0013657B" w:rsidRDefault="0013657B" w:rsidP="00687D5D">
            <w:pPr>
              <w:jc w:val="right"/>
            </w:pPr>
            <w:r>
              <w:t>0</w:t>
            </w:r>
          </w:p>
        </w:tc>
        <w:tc>
          <w:tcPr>
            <w:tcW w:w="1171" w:type="dxa"/>
            <w:vAlign w:val="center"/>
          </w:tcPr>
          <w:p w:rsidR="0013657B" w:rsidRDefault="0013657B" w:rsidP="00687D5D">
            <w:pPr>
              <w:jc w:val="right"/>
            </w:pPr>
            <w:r>
              <w:t>0</w:t>
            </w:r>
          </w:p>
        </w:tc>
        <w:tc>
          <w:tcPr>
            <w:tcW w:w="1218" w:type="dxa"/>
            <w:vAlign w:val="center"/>
          </w:tcPr>
          <w:p w:rsidR="0013657B" w:rsidRDefault="0013657B" w:rsidP="00687D5D">
            <w:pPr>
              <w:jc w:val="right"/>
            </w:pPr>
            <w:r>
              <w:t>0</w:t>
            </w:r>
          </w:p>
        </w:tc>
        <w:tc>
          <w:tcPr>
            <w:tcW w:w="1176" w:type="dxa"/>
            <w:vAlign w:val="center"/>
          </w:tcPr>
          <w:p w:rsidR="0013657B" w:rsidRDefault="0013657B" w:rsidP="00687D5D">
            <w:pPr>
              <w:jc w:val="right"/>
            </w:pPr>
            <w:r>
              <w:t>0</w:t>
            </w:r>
          </w:p>
        </w:tc>
      </w:tr>
      <w:tr w:rsidR="0013657B" w:rsidRPr="001E3003" w:rsidTr="00687D5D">
        <w:trPr>
          <w:trHeight w:val="454"/>
        </w:trPr>
        <w:tc>
          <w:tcPr>
            <w:tcW w:w="3369" w:type="dxa"/>
            <w:vMerge/>
            <w:vAlign w:val="center"/>
          </w:tcPr>
          <w:p w:rsidR="0013657B" w:rsidRPr="000F0B0D" w:rsidRDefault="0013657B" w:rsidP="00623AE2">
            <w:pPr>
              <w:rPr>
                <w:lang w:eastAsia="lv-LV" w:bidi="lo-LA"/>
              </w:rPr>
            </w:pPr>
          </w:p>
        </w:tc>
        <w:tc>
          <w:tcPr>
            <w:tcW w:w="1176" w:type="dxa"/>
            <w:vMerge/>
            <w:vAlign w:val="center"/>
          </w:tcPr>
          <w:p w:rsidR="0013657B" w:rsidRPr="001E3003" w:rsidRDefault="0013657B" w:rsidP="001E3003">
            <w:pPr>
              <w:autoSpaceDE w:val="0"/>
              <w:autoSpaceDN w:val="0"/>
              <w:adjustRightInd w:val="0"/>
              <w:jc w:val="center"/>
              <w:rPr>
                <w:noProof/>
                <w:sz w:val="28"/>
                <w:szCs w:val="28"/>
              </w:rPr>
            </w:pPr>
          </w:p>
        </w:tc>
        <w:tc>
          <w:tcPr>
            <w:tcW w:w="1229" w:type="dxa"/>
            <w:vAlign w:val="center"/>
          </w:tcPr>
          <w:p w:rsidR="0013657B" w:rsidRDefault="0013657B" w:rsidP="00687D5D">
            <w:pPr>
              <w:jc w:val="right"/>
            </w:pPr>
            <w:r>
              <w:t>0</w:t>
            </w:r>
          </w:p>
        </w:tc>
        <w:tc>
          <w:tcPr>
            <w:tcW w:w="1171" w:type="dxa"/>
            <w:vAlign w:val="center"/>
          </w:tcPr>
          <w:p w:rsidR="0013657B" w:rsidRDefault="0013657B" w:rsidP="00687D5D">
            <w:pPr>
              <w:jc w:val="right"/>
            </w:pPr>
            <w:r>
              <w:t>0</w:t>
            </w:r>
          </w:p>
        </w:tc>
        <w:tc>
          <w:tcPr>
            <w:tcW w:w="1218" w:type="dxa"/>
            <w:vAlign w:val="center"/>
          </w:tcPr>
          <w:p w:rsidR="0013657B" w:rsidRDefault="0013657B" w:rsidP="00687D5D">
            <w:pPr>
              <w:jc w:val="right"/>
            </w:pPr>
            <w:r>
              <w:t>0</w:t>
            </w:r>
          </w:p>
        </w:tc>
        <w:tc>
          <w:tcPr>
            <w:tcW w:w="1176" w:type="dxa"/>
            <w:vAlign w:val="center"/>
          </w:tcPr>
          <w:p w:rsidR="0013657B" w:rsidRDefault="0013657B" w:rsidP="00687D5D">
            <w:pPr>
              <w:jc w:val="right"/>
            </w:pPr>
            <w:r>
              <w:t>0</w:t>
            </w:r>
          </w:p>
        </w:tc>
      </w:tr>
      <w:tr w:rsidR="0013657B" w:rsidRPr="001E3003" w:rsidTr="00687D5D">
        <w:tc>
          <w:tcPr>
            <w:tcW w:w="3369" w:type="dxa"/>
          </w:tcPr>
          <w:p w:rsidR="0013657B" w:rsidRPr="000F0B0D" w:rsidRDefault="0013657B" w:rsidP="001E3003">
            <w:pPr>
              <w:spacing w:before="100" w:beforeAutospacing="1" w:after="100" w:afterAutospacing="1"/>
              <w:rPr>
                <w:lang w:eastAsia="lv-LV" w:bidi="lo-LA"/>
              </w:rPr>
            </w:pPr>
            <w:r w:rsidRPr="000F0B0D">
              <w:rPr>
                <w:lang w:eastAsia="lv-LV" w:bidi="lo-LA"/>
              </w:rPr>
              <w:t> 5. Precizēta finansiālā ietekme:</w:t>
            </w:r>
          </w:p>
        </w:tc>
        <w:tc>
          <w:tcPr>
            <w:tcW w:w="1176" w:type="dxa"/>
            <w:vMerge w:val="restart"/>
            <w:vAlign w:val="center"/>
          </w:tcPr>
          <w:p w:rsidR="0013657B" w:rsidRPr="001E3003" w:rsidRDefault="0013657B" w:rsidP="001E3003">
            <w:pPr>
              <w:autoSpaceDE w:val="0"/>
              <w:autoSpaceDN w:val="0"/>
              <w:adjustRightInd w:val="0"/>
              <w:jc w:val="center"/>
              <w:rPr>
                <w:noProof/>
                <w:sz w:val="28"/>
                <w:szCs w:val="28"/>
              </w:rPr>
            </w:pPr>
            <w:r w:rsidRPr="001E3003">
              <w:rPr>
                <w:noProof/>
                <w:sz w:val="28"/>
                <w:szCs w:val="28"/>
              </w:rPr>
              <w:t>X</w:t>
            </w:r>
          </w:p>
        </w:tc>
        <w:tc>
          <w:tcPr>
            <w:tcW w:w="1229" w:type="dxa"/>
            <w:vAlign w:val="center"/>
          </w:tcPr>
          <w:p w:rsidR="0013657B" w:rsidRDefault="0013657B" w:rsidP="00687D5D">
            <w:pPr>
              <w:jc w:val="right"/>
            </w:pPr>
            <w:r>
              <w:t>0</w:t>
            </w:r>
          </w:p>
        </w:tc>
        <w:tc>
          <w:tcPr>
            <w:tcW w:w="1171" w:type="dxa"/>
            <w:vAlign w:val="center"/>
          </w:tcPr>
          <w:p w:rsidR="0013657B" w:rsidRDefault="0013657B" w:rsidP="00687D5D">
            <w:pPr>
              <w:jc w:val="right"/>
            </w:pPr>
            <w:r>
              <w:t>0</w:t>
            </w:r>
          </w:p>
        </w:tc>
        <w:tc>
          <w:tcPr>
            <w:tcW w:w="1218" w:type="dxa"/>
            <w:vAlign w:val="center"/>
          </w:tcPr>
          <w:p w:rsidR="0013657B" w:rsidRDefault="0013657B" w:rsidP="00687D5D">
            <w:pPr>
              <w:jc w:val="right"/>
            </w:pPr>
            <w:r>
              <w:t>0</w:t>
            </w:r>
          </w:p>
        </w:tc>
        <w:tc>
          <w:tcPr>
            <w:tcW w:w="1176" w:type="dxa"/>
            <w:vAlign w:val="center"/>
          </w:tcPr>
          <w:p w:rsidR="0013657B" w:rsidRDefault="0013657B" w:rsidP="00687D5D">
            <w:pPr>
              <w:jc w:val="right"/>
            </w:pPr>
            <w:r>
              <w:t>0</w:t>
            </w:r>
          </w:p>
        </w:tc>
      </w:tr>
      <w:tr w:rsidR="0013657B" w:rsidRPr="001E3003" w:rsidTr="001E3003">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5.1. valsts pamatbudžets</w:t>
            </w:r>
          </w:p>
        </w:tc>
        <w:tc>
          <w:tcPr>
            <w:tcW w:w="1176" w:type="dxa"/>
            <w:vMerge/>
          </w:tcPr>
          <w:p w:rsidR="0013657B" w:rsidRPr="001E3003" w:rsidRDefault="0013657B" w:rsidP="001E3003">
            <w:pPr>
              <w:autoSpaceDE w:val="0"/>
              <w:autoSpaceDN w:val="0"/>
              <w:adjustRightInd w:val="0"/>
              <w:rPr>
                <w:noProof/>
                <w:sz w:val="28"/>
                <w:szCs w:val="28"/>
              </w:rPr>
            </w:pPr>
          </w:p>
        </w:tc>
        <w:tc>
          <w:tcPr>
            <w:tcW w:w="1229" w:type="dxa"/>
          </w:tcPr>
          <w:p w:rsidR="0013657B" w:rsidRDefault="0013657B" w:rsidP="001E3003">
            <w:pPr>
              <w:jc w:val="right"/>
            </w:pPr>
            <w:r>
              <w:t>0</w:t>
            </w:r>
          </w:p>
        </w:tc>
        <w:tc>
          <w:tcPr>
            <w:tcW w:w="1171" w:type="dxa"/>
          </w:tcPr>
          <w:p w:rsidR="0013657B" w:rsidRDefault="0013657B" w:rsidP="001E3003">
            <w:pPr>
              <w:jc w:val="right"/>
            </w:pPr>
            <w:r>
              <w:t>0</w:t>
            </w:r>
          </w:p>
        </w:tc>
        <w:tc>
          <w:tcPr>
            <w:tcW w:w="1218" w:type="dxa"/>
          </w:tcPr>
          <w:p w:rsidR="0013657B" w:rsidRDefault="0013657B" w:rsidP="001E3003">
            <w:pPr>
              <w:jc w:val="right"/>
            </w:pPr>
            <w:r>
              <w:t>0</w:t>
            </w:r>
          </w:p>
        </w:tc>
        <w:tc>
          <w:tcPr>
            <w:tcW w:w="1176" w:type="dxa"/>
          </w:tcPr>
          <w:p w:rsidR="0013657B" w:rsidRDefault="0013657B" w:rsidP="001E3003">
            <w:pPr>
              <w:jc w:val="right"/>
            </w:pPr>
            <w:r>
              <w:t>0</w:t>
            </w:r>
          </w:p>
        </w:tc>
      </w:tr>
      <w:tr w:rsidR="0013657B" w:rsidRPr="001E3003" w:rsidTr="001E3003">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5.2. speciālais budžets</w:t>
            </w:r>
          </w:p>
        </w:tc>
        <w:tc>
          <w:tcPr>
            <w:tcW w:w="1176" w:type="dxa"/>
            <w:vMerge/>
          </w:tcPr>
          <w:p w:rsidR="0013657B" w:rsidRPr="001E3003" w:rsidRDefault="0013657B" w:rsidP="001E3003">
            <w:pPr>
              <w:autoSpaceDE w:val="0"/>
              <w:autoSpaceDN w:val="0"/>
              <w:adjustRightInd w:val="0"/>
              <w:rPr>
                <w:noProof/>
                <w:sz w:val="28"/>
                <w:szCs w:val="28"/>
              </w:rPr>
            </w:pPr>
          </w:p>
        </w:tc>
        <w:tc>
          <w:tcPr>
            <w:tcW w:w="1229" w:type="dxa"/>
          </w:tcPr>
          <w:p w:rsidR="0013657B" w:rsidRDefault="0013657B" w:rsidP="001E3003">
            <w:pPr>
              <w:jc w:val="right"/>
            </w:pPr>
            <w:r>
              <w:t>0</w:t>
            </w:r>
          </w:p>
        </w:tc>
        <w:tc>
          <w:tcPr>
            <w:tcW w:w="1171" w:type="dxa"/>
          </w:tcPr>
          <w:p w:rsidR="0013657B" w:rsidRDefault="0013657B" w:rsidP="001E3003">
            <w:pPr>
              <w:jc w:val="right"/>
            </w:pPr>
            <w:r>
              <w:t>0</w:t>
            </w:r>
          </w:p>
        </w:tc>
        <w:tc>
          <w:tcPr>
            <w:tcW w:w="1218" w:type="dxa"/>
          </w:tcPr>
          <w:p w:rsidR="0013657B" w:rsidRDefault="0013657B" w:rsidP="001E3003">
            <w:pPr>
              <w:jc w:val="right"/>
            </w:pPr>
            <w:r>
              <w:t>0</w:t>
            </w:r>
          </w:p>
        </w:tc>
        <w:tc>
          <w:tcPr>
            <w:tcW w:w="1176" w:type="dxa"/>
          </w:tcPr>
          <w:p w:rsidR="0013657B" w:rsidRDefault="0013657B" w:rsidP="001E3003">
            <w:pPr>
              <w:jc w:val="right"/>
            </w:pPr>
            <w:r>
              <w:t>0</w:t>
            </w:r>
          </w:p>
        </w:tc>
      </w:tr>
      <w:tr w:rsidR="0013657B" w:rsidRPr="001E3003" w:rsidTr="001E3003">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5.3. pašvaldību budžets</w:t>
            </w:r>
          </w:p>
        </w:tc>
        <w:tc>
          <w:tcPr>
            <w:tcW w:w="1176" w:type="dxa"/>
            <w:vMerge/>
          </w:tcPr>
          <w:p w:rsidR="0013657B" w:rsidRPr="001E3003" w:rsidRDefault="0013657B" w:rsidP="001E3003">
            <w:pPr>
              <w:autoSpaceDE w:val="0"/>
              <w:autoSpaceDN w:val="0"/>
              <w:adjustRightInd w:val="0"/>
              <w:rPr>
                <w:noProof/>
                <w:sz w:val="28"/>
                <w:szCs w:val="28"/>
              </w:rPr>
            </w:pPr>
          </w:p>
        </w:tc>
        <w:tc>
          <w:tcPr>
            <w:tcW w:w="1229" w:type="dxa"/>
          </w:tcPr>
          <w:p w:rsidR="0013657B" w:rsidRDefault="0013657B" w:rsidP="001E3003">
            <w:pPr>
              <w:jc w:val="right"/>
            </w:pPr>
            <w:r>
              <w:t>0</w:t>
            </w:r>
          </w:p>
        </w:tc>
        <w:tc>
          <w:tcPr>
            <w:tcW w:w="1171" w:type="dxa"/>
          </w:tcPr>
          <w:p w:rsidR="0013657B" w:rsidRDefault="0013657B" w:rsidP="001E3003">
            <w:pPr>
              <w:jc w:val="right"/>
            </w:pPr>
            <w:r>
              <w:t>0</w:t>
            </w:r>
          </w:p>
        </w:tc>
        <w:tc>
          <w:tcPr>
            <w:tcW w:w="1218" w:type="dxa"/>
          </w:tcPr>
          <w:p w:rsidR="0013657B" w:rsidRDefault="0013657B" w:rsidP="001E3003">
            <w:pPr>
              <w:jc w:val="right"/>
            </w:pPr>
            <w:r>
              <w:t>0</w:t>
            </w:r>
          </w:p>
        </w:tc>
        <w:tc>
          <w:tcPr>
            <w:tcW w:w="1176" w:type="dxa"/>
          </w:tcPr>
          <w:p w:rsidR="0013657B" w:rsidRDefault="0013657B" w:rsidP="001E3003">
            <w:pPr>
              <w:jc w:val="right"/>
            </w:pPr>
            <w:r>
              <w:t>0</w:t>
            </w:r>
          </w:p>
        </w:tc>
      </w:tr>
      <w:tr w:rsidR="0013657B" w:rsidRPr="001E3003" w:rsidTr="001E3003">
        <w:tc>
          <w:tcPr>
            <w:tcW w:w="3369" w:type="dxa"/>
          </w:tcPr>
          <w:p w:rsidR="0013657B" w:rsidRPr="000F0B0D" w:rsidRDefault="0013657B" w:rsidP="001E3003">
            <w:pPr>
              <w:spacing w:before="100" w:beforeAutospacing="1" w:after="100" w:afterAutospacing="1"/>
              <w:rPr>
                <w:lang w:eastAsia="lv-LV" w:bidi="lo-LA"/>
              </w:rPr>
            </w:pPr>
            <w:r w:rsidRPr="000F0B0D">
              <w:rPr>
                <w:lang w:eastAsia="lv-LV" w:bidi="lo-LA"/>
              </w:rPr>
              <w:t> 6. Detalizēts ieņēmumu un izdevu</w:t>
            </w:r>
            <w:r w:rsidRPr="000F0B0D">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13657B" w:rsidRPr="001E3003" w:rsidRDefault="009E55C2" w:rsidP="001E3003">
            <w:pPr>
              <w:autoSpaceDE w:val="0"/>
              <w:autoSpaceDN w:val="0"/>
              <w:adjustRightInd w:val="0"/>
              <w:ind w:left="253"/>
              <w:rPr>
                <w:noProof/>
                <w:sz w:val="28"/>
                <w:szCs w:val="28"/>
              </w:rPr>
            </w:pPr>
            <w:r w:rsidRPr="009E55C2">
              <w:rPr>
                <w:iCs/>
                <w:lang w:eastAsia="lv-LV"/>
              </w:rPr>
              <w:t>Projekts šo jomu neskar</w:t>
            </w:r>
          </w:p>
        </w:tc>
      </w:tr>
      <w:tr w:rsidR="0013657B" w:rsidRPr="001E3003" w:rsidTr="001E3003">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lastRenderedPageBreak/>
              <w:t> 6.1. detalizēts ieņēmumu aprēķins</w:t>
            </w:r>
          </w:p>
        </w:tc>
        <w:tc>
          <w:tcPr>
            <w:tcW w:w="5970" w:type="dxa"/>
            <w:gridSpan w:val="5"/>
            <w:vMerge/>
          </w:tcPr>
          <w:p w:rsidR="0013657B" w:rsidRPr="001E3003" w:rsidRDefault="0013657B" w:rsidP="001E3003">
            <w:pPr>
              <w:autoSpaceDE w:val="0"/>
              <w:autoSpaceDN w:val="0"/>
              <w:adjustRightInd w:val="0"/>
              <w:rPr>
                <w:noProof/>
                <w:sz w:val="28"/>
                <w:szCs w:val="28"/>
              </w:rPr>
            </w:pPr>
          </w:p>
        </w:tc>
      </w:tr>
      <w:tr w:rsidR="0013657B" w:rsidRPr="001E3003" w:rsidTr="001E3003">
        <w:tc>
          <w:tcPr>
            <w:tcW w:w="3369" w:type="dxa"/>
          </w:tcPr>
          <w:p w:rsidR="0013657B" w:rsidRPr="000F0B0D" w:rsidRDefault="0013657B" w:rsidP="001E3003">
            <w:pPr>
              <w:spacing w:before="100" w:beforeAutospacing="1" w:after="100" w:afterAutospacing="1"/>
              <w:ind w:left="284"/>
              <w:rPr>
                <w:lang w:eastAsia="lv-LV" w:bidi="lo-LA"/>
              </w:rPr>
            </w:pPr>
            <w:r w:rsidRPr="000F0B0D">
              <w:rPr>
                <w:lang w:eastAsia="lv-LV" w:bidi="lo-LA"/>
              </w:rPr>
              <w:t> 6.2. detalizēts izdevumu aprēķins</w:t>
            </w:r>
          </w:p>
        </w:tc>
        <w:tc>
          <w:tcPr>
            <w:tcW w:w="5970" w:type="dxa"/>
            <w:gridSpan w:val="5"/>
            <w:vMerge/>
          </w:tcPr>
          <w:p w:rsidR="0013657B" w:rsidRPr="001E3003" w:rsidRDefault="0013657B" w:rsidP="001E3003">
            <w:pPr>
              <w:autoSpaceDE w:val="0"/>
              <w:autoSpaceDN w:val="0"/>
              <w:adjustRightInd w:val="0"/>
              <w:rPr>
                <w:noProof/>
                <w:sz w:val="28"/>
                <w:szCs w:val="28"/>
              </w:rPr>
            </w:pPr>
          </w:p>
        </w:tc>
      </w:tr>
      <w:tr w:rsidR="0013657B" w:rsidRPr="001E3003" w:rsidTr="001E3003">
        <w:tc>
          <w:tcPr>
            <w:tcW w:w="3369" w:type="dxa"/>
          </w:tcPr>
          <w:p w:rsidR="0013657B" w:rsidRPr="000F0B0D" w:rsidRDefault="0013657B" w:rsidP="001E3003">
            <w:pPr>
              <w:spacing w:before="100" w:beforeAutospacing="1" w:after="100" w:afterAutospacing="1"/>
              <w:rPr>
                <w:lang w:eastAsia="lv-LV" w:bidi="lo-LA"/>
              </w:rPr>
            </w:pPr>
            <w:r w:rsidRPr="000F0B0D">
              <w:rPr>
                <w:lang w:eastAsia="lv-LV" w:bidi="lo-LA"/>
              </w:rPr>
              <w:t> 7. Cita informācija</w:t>
            </w:r>
          </w:p>
        </w:tc>
        <w:tc>
          <w:tcPr>
            <w:tcW w:w="5970" w:type="dxa"/>
            <w:gridSpan w:val="5"/>
          </w:tcPr>
          <w:p w:rsidR="0013657B" w:rsidRPr="00817EBE" w:rsidRDefault="0013657B" w:rsidP="00575A23">
            <w:pPr>
              <w:pStyle w:val="naisf"/>
              <w:tabs>
                <w:tab w:val="num" w:pos="1391"/>
              </w:tabs>
              <w:spacing w:before="0" w:beforeAutospacing="0" w:after="0" w:afterAutospacing="0"/>
              <w:ind w:firstLine="243"/>
              <w:rPr>
                <w:bCs/>
                <w:lang w:val="lv-LV"/>
              </w:rPr>
            </w:pPr>
            <w:r w:rsidRPr="00817EBE">
              <w:rPr>
                <w:bCs/>
                <w:lang w:val="lv-LV"/>
              </w:rPr>
              <w:t xml:space="preserve">Budžeta ieņēmumi ir Eiropas Sociālā fonda daļa un budžeta izdevumi ir kopējie nepieciešamie līdzekļi attiecīgajā gadā. Aktivitātei pieejamais kopējais attiecināmais finansējums ir </w:t>
            </w:r>
            <w:r w:rsidRPr="0013657B">
              <w:rPr>
                <w:bCs/>
                <w:lang w:val="lv-LV"/>
              </w:rPr>
              <w:t>10 098</w:t>
            </w:r>
            <w:r w:rsidR="00E7205C">
              <w:rPr>
                <w:bCs/>
                <w:lang w:val="lv-LV"/>
              </w:rPr>
              <w:t> </w:t>
            </w:r>
            <w:r w:rsidRPr="0013657B">
              <w:rPr>
                <w:bCs/>
                <w:lang w:val="lv-LV"/>
              </w:rPr>
              <w:t>255</w:t>
            </w:r>
            <w:r w:rsidRPr="00817EBE">
              <w:rPr>
                <w:bCs/>
                <w:lang w:val="lv-LV"/>
              </w:rPr>
              <w:t xml:space="preserve">lati. Eiropas Sociālā fonda finansējuma apmērs ir </w:t>
            </w:r>
            <w:r w:rsidR="001A0D98" w:rsidRPr="001A0D98">
              <w:rPr>
                <w:bCs/>
                <w:lang w:val="lv-LV"/>
              </w:rPr>
              <w:t>86,35</w:t>
            </w:r>
            <w:r w:rsidR="001A0D98">
              <w:rPr>
                <w:bCs/>
                <w:lang w:val="lv-LV"/>
              </w:rPr>
              <w:t xml:space="preserve"> </w:t>
            </w:r>
            <w:r w:rsidRPr="001A0D98">
              <w:rPr>
                <w:bCs/>
                <w:lang w:val="lv-LV"/>
              </w:rPr>
              <w:t xml:space="preserve">% </w:t>
            </w:r>
            <w:r w:rsidRPr="0013657B">
              <w:rPr>
                <w:bCs/>
                <w:lang w:val="lv-LV"/>
              </w:rPr>
              <w:t>jeb 8 720</w:t>
            </w:r>
            <w:r w:rsidR="00E7205C">
              <w:rPr>
                <w:bCs/>
                <w:lang w:val="lv-LV"/>
              </w:rPr>
              <w:t> </w:t>
            </w:r>
            <w:r w:rsidRPr="0013657B">
              <w:rPr>
                <w:bCs/>
                <w:lang w:val="lv-LV"/>
              </w:rPr>
              <w:t>34</w:t>
            </w:r>
            <w:r>
              <w:rPr>
                <w:bCs/>
                <w:lang w:val="lv-LV"/>
              </w:rPr>
              <w:t>5</w:t>
            </w:r>
            <w:r w:rsidRPr="0013657B">
              <w:rPr>
                <w:bCs/>
                <w:lang w:val="lv-LV"/>
              </w:rPr>
              <w:t>lati un valsts budžets</w:t>
            </w:r>
            <w:r w:rsidR="001A0D98">
              <w:rPr>
                <w:bCs/>
                <w:lang w:val="lv-LV"/>
              </w:rPr>
              <w:t xml:space="preserve"> </w:t>
            </w:r>
            <w:r w:rsidR="001A0D98" w:rsidRPr="001A0D98">
              <w:rPr>
                <w:bCs/>
                <w:lang w:val="lv-LV"/>
              </w:rPr>
              <w:t>13</w:t>
            </w:r>
            <w:r w:rsidRPr="001A0D98">
              <w:rPr>
                <w:bCs/>
                <w:lang w:val="lv-LV"/>
              </w:rPr>
              <w:t>.</w:t>
            </w:r>
            <w:r w:rsidR="001A0D98" w:rsidRPr="001A0D98">
              <w:rPr>
                <w:bCs/>
                <w:lang w:val="lv-LV"/>
              </w:rPr>
              <w:t>65</w:t>
            </w:r>
            <w:r w:rsidRPr="001A0D98">
              <w:rPr>
                <w:bCs/>
                <w:lang w:val="lv-LV"/>
              </w:rPr>
              <w:t xml:space="preserve"> % jeb 1 377 </w:t>
            </w:r>
            <w:r w:rsidR="00E7205C">
              <w:rPr>
                <w:bCs/>
                <w:lang w:val="lv-LV"/>
              </w:rPr>
              <w:t> </w:t>
            </w:r>
            <w:r w:rsidR="00E7205C" w:rsidRPr="001A0D98">
              <w:rPr>
                <w:bCs/>
                <w:lang w:val="lv-LV"/>
              </w:rPr>
              <w:t>9</w:t>
            </w:r>
            <w:r w:rsidR="00E7205C">
              <w:rPr>
                <w:bCs/>
                <w:lang w:val="lv-LV"/>
              </w:rPr>
              <w:t>09</w:t>
            </w:r>
            <w:r w:rsidRPr="001A0D98">
              <w:rPr>
                <w:bCs/>
                <w:lang w:val="lv-LV"/>
              </w:rPr>
              <w:t>lati</w:t>
            </w:r>
            <w:r w:rsidRPr="0013657B">
              <w:rPr>
                <w:bCs/>
                <w:lang w:val="lv-LV"/>
              </w:rPr>
              <w:t>.</w:t>
            </w:r>
          </w:p>
          <w:p w:rsidR="00E7205C" w:rsidRPr="00E55148" w:rsidRDefault="0013657B" w:rsidP="00E7205C">
            <w:pPr>
              <w:pStyle w:val="naisf"/>
              <w:tabs>
                <w:tab w:val="num" w:pos="1391"/>
              </w:tabs>
              <w:spacing w:before="0" w:beforeAutospacing="0" w:after="0" w:afterAutospacing="0"/>
              <w:ind w:firstLine="257"/>
              <w:rPr>
                <w:bCs/>
                <w:lang w:val="lv-LV"/>
              </w:rPr>
            </w:pPr>
            <w:r w:rsidRPr="00E55148">
              <w:rPr>
                <w:bCs/>
                <w:lang w:val="lv-LV"/>
              </w:rPr>
              <w:t>Aktivitātes ieviešana tika uzsākta 2008.gadā un tās projekt</w:t>
            </w:r>
            <w:r>
              <w:rPr>
                <w:bCs/>
                <w:lang w:val="lv-LV"/>
              </w:rPr>
              <w:t>a</w:t>
            </w:r>
            <w:r w:rsidRPr="00E55148">
              <w:rPr>
                <w:bCs/>
                <w:lang w:val="lv-LV"/>
              </w:rPr>
              <w:t xml:space="preserve"> īstenošanai finansējuma piesaiste valsts budžeta programmas 63.06.00 „Eiropas Sociālā fonda (ESF) projektu īstenošana” ietvaros</w:t>
            </w:r>
            <w:r>
              <w:rPr>
                <w:bCs/>
                <w:lang w:val="lv-LV"/>
              </w:rPr>
              <w:t xml:space="preserve"> un 07.03.00. „Eiropas Sociālā fonda (ESF) projektu īstenošana (2007-2013)”</w:t>
            </w:r>
            <w:r w:rsidRPr="00E55148">
              <w:rPr>
                <w:bCs/>
                <w:lang w:val="lv-LV"/>
              </w:rPr>
              <w:t xml:space="preserve"> šādos apmēros:</w:t>
            </w:r>
          </w:p>
          <w:p w:rsidR="0013657B" w:rsidRPr="00E55148" w:rsidRDefault="0013657B" w:rsidP="009275C9">
            <w:pPr>
              <w:numPr>
                <w:ilvl w:val="0"/>
                <w:numId w:val="11"/>
              </w:numPr>
              <w:jc w:val="both"/>
              <w:rPr>
                <w:bCs/>
              </w:rPr>
            </w:pPr>
            <w:r w:rsidRPr="00E55148">
              <w:rPr>
                <w:bCs/>
              </w:rPr>
              <w:t xml:space="preserve">Projekta īstenošanai 2008.gadā tika piesaistīts Eiropas Sociālā fonda </w:t>
            </w:r>
            <w:r>
              <w:rPr>
                <w:bCs/>
              </w:rPr>
              <w:t xml:space="preserve">finansējums </w:t>
            </w:r>
            <w:r w:rsidRPr="00E55148">
              <w:rPr>
                <w:bCs/>
              </w:rPr>
              <w:t xml:space="preserve">199 316 latu apmērā un valsts budžeta finansējums </w:t>
            </w:r>
            <w:r>
              <w:rPr>
                <w:bCs/>
              </w:rPr>
              <w:t xml:space="preserve">57 634 </w:t>
            </w:r>
            <w:r w:rsidRPr="00E55148">
              <w:rPr>
                <w:bCs/>
              </w:rPr>
              <w:t>latu apmērā.</w:t>
            </w:r>
          </w:p>
          <w:p w:rsidR="0013657B" w:rsidRPr="00E55148" w:rsidRDefault="0013657B" w:rsidP="00E55148">
            <w:pPr>
              <w:numPr>
                <w:ilvl w:val="0"/>
                <w:numId w:val="11"/>
              </w:numPr>
              <w:jc w:val="both"/>
              <w:rPr>
                <w:bCs/>
              </w:rPr>
            </w:pPr>
            <w:r w:rsidRPr="00E55148">
              <w:rPr>
                <w:bCs/>
              </w:rPr>
              <w:t xml:space="preserve">Projekta īstenošanai 2009.gadā tika piesaistīts Eiropas Sociālā fonda </w:t>
            </w:r>
            <w:r>
              <w:rPr>
                <w:bCs/>
              </w:rPr>
              <w:t>finansējums</w:t>
            </w:r>
            <w:r w:rsidRPr="00E55148">
              <w:rPr>
                <w:bCs/>
              </w:rPr>
              <w:t xml:space="preserve"> 1 729 719 latu apmērā un valsts budžeta finansējums </w:t>
            </w:r>
            <w:r>
              <w:rPr>
                <w:bCs/>
              </w:rPr>
              <w:t>385 040</w:t>
            </w:r>
            <w:r w:rsidRPr="00E55148">
              <w:rPr>
                <w:bCs/>
              </w:rPr>
              <w:t xml:space="preserve"> latu apmērā.</w:t>
            </w:r>
          </w:p>
          <w:p w:rsidR="0013657B" w:rsidRPr="00DA75DA" w:rsidRDefault="0013657B" w:rsidP="009275C9">
            <w:pPr>
              <w:numPr>
                <w:ilvl w:val="0"/>
                <w:numId w:val="11"/>
              </w:numPr>
              <w:jc w:val="both"/>
              <w:rPr>
                <w:bCs/>
              </w:rPr>
            </w:pPr>
            <w:r w:rsidRPr="00DA75DA">
              <w:rPr>
                <w:bCs/>
              </w:rPr>
              <w:t xml:space="preserve">Projekta īstenošanai 2010.gadā </w:t>
            </w:r>
            <w:r w:rsidR="001A0D98">
              <w:rPr>
                <w:bCs/>
              </w:rPr>
              <w:t xml:space="preserve">tika </w:t>
            </w:r>
            <w:r w:rsidRPr="00DA75DA">
              <w:rPr>
                <w:bCs/>
              </w:rPr>
              <w:t>piesaistīt</w:t>
            </w:r>
            <w:r w:rsidR="001A0D98">
              <w:rPr>
                <w:bCs/>
              </w:rPr>
              <w:t>s</w:t>
            </w:r>
            <w:r w:rsidRPr="00DA75DA">
              <w:rPr>
                <w:bCs/>
              </w:rPr>
              <w:t xml:space="preserve"> Eiropas Sociālā fonda </w:t>
            </w:r>
            <w:r w:rsidR="001A0D98">
              <w:rPr>
                <w:bCs/>
              </w:rPr>
              <w:t>finansējums</w:t>
            </w:r>
            <w:r w:rsidRPr="00DA75DA">
              <w:t xml:space="preserve"> </w:t>
            </w:r>
            <w:r>
              <w:t>2</w:t>
            </w:r>
            <w:r w:rsidR="001A0D98">
              <w:t> </w:t>
            </w:r>
            <w:r>
              <w:t>3</w:t>
            </w:r>
            <w:r w:rsidR="001A0D98">
              <w:t xml:space="preserve">17 </w:t>
            </w:r>
            <w:r w:rsidR="00E7205C">
              <w:t>171</w:t>
            </w:r>
            <w:r w:rsidR="00E7205C" w:rsidRPr="00DA75DA">
              <w:rPr>
                <w:bCs/>
              </w:rPr>
              <w:t xml:space="preserve"> </w:t>
            </w:r>
            <w:r w:rsidRPr="00DA75DA">
              <w:rPr>
                <w:bCs/>
              </w:rPr>
              <w:t xml:space="preserve">latu apmērā un valsts budžeta </w:t>
            </w:r>
            <w:r w:rsidR="001A0D98">
              <w:rPr>
                <w:bCs/>
              </w:rPr>
              <w:t>finansējums</w:t>
            </w:r>
            <w:r w:rsidRPr="00DA75DA">
              <w:rPr>
                <w:bCs/>
              </w:rPr>
              <w:t xml:space="preserve"> </w:t>
            </w:r>
            <w:r>
              <w:t>4</w:t>
            </w:r>
            <w:r w:rsidR="001A0D98">
              <w:t>08 </w:t>
            </w:r>
            <w:r w:rsidR="00E7205C">
              <w:t xml:space="preserve">913 </w:t>
            </w:r>
            <w:r w:rsidRPr="00DA75DA">
              <w:rPr>
                <w:bCs/>
              </w:rPr>
              <w:t>latu apmērā.</w:t>
            </w:r>
          </w:p>
          <w:p w:rsidR="00F0507A" w:rsidRPr="00F0507A" w:rsidRDefault="0013657B" w:rsidP="00F0507A">
            <w:pPr>
              <w:numPr>
                <w:ilvl w:val="0"/>
                <w:numId w:val="11"/>
              </w:numPr>
              <w:jc w:val="both"/>
              <w:rPr>
                <w:bCs/>
              </w:rPr>
            </w:pPr>
            <w:r w:rsidRPr="00DA75DA">
              <w:rPr>
                <w:bCs/>
              </w:rPr>
              <w:t xml:space="preserve">Projektu īstenošanai 2011.gadā plānots piesaistīt Eiropas Sociālā fonda </w:t>
            </w:r>
            <w:r>
              <w:rPr>
                <w:bCs/>
              </w:rPr>
              <w:t>finansējumu</w:t>
            </w:r>
            <w:r w:rsidRPr="00DA75DA">
              <w:t xml:space="preserve"> </w:t>
            </w:r>
            <w:r w:rsidR="00F0507A">
              <w:rPr>
                <w:bCs/>
              </w:rPr>
              <w:t>1 660 627</w:t>
            </w:r>
            <w:r w:rsidR="001A0D98">
              <w:rPr>
                <w:bCs/>
              </w:rPr>
              <w:t xml:space="preserve"> </w:t>
            </w:r>
            <w:r w:rsidRPr="00DA75DA">
              <w:rPr>
                <w:bCs/>
              </w:rPr>
              <w:t xml:space="preserve">latu apmērā un valsts budžeta </w:t>
            </w:r>
            <w:r>
              <w:rPr>
                <w:bCs/>
              </w:rPr>
              <w:t>finansējumu</w:t>
            </w:r>
            <w:r w:rsidRPr="00DA75DA">
              <w:rPr>
                <w:bCs/>
              </w:rPr>
              <w:t xml:space="preserve"> </w:t>
            </w:r>
            <w:r w:rsidR="00F0507A">
              <w:t>239 373</w:t>
            </w:r>
            <w:r w:rsidR="001A0D98">
              <w:t xml:space="preserve"> </w:t>
            </w:r>
            <w:r w:rsidRPr="00DA75DA">
              <w:rPr>
                <w:bCs/>
              </w:rPr>
              <w:t>latu apmērā</w:t>
            </w:r>
            <w:r w:rsidR="00E7205C">
              <w:rPr>
                <w:bCs/>
              </w:rPr>
              <w:t>, tai skaitā:</w:t>
            </w:r>
          </w:p>
          <w:p w:rsidR="00E7205C" w:rsidRDefault="00E7205C" w:rsidP="00E7205C">
            <w:pPr>
              <w:numPr>
                <w:ilvl w:val="1"/>
                <w:numId w:val="11"/>
              </w:numPr>
              <w:jc w:val="both"/>
              <w:rPr>
                <w:bCs/>
              </w:rPr>
            </w:pPr>
            <w:r w:rsidRPr="00611275">
              <w:rPr>
                <w:bCs/>
              </w:rPr>
              <w:t>Likumā „Par valsts budžetu 2011.gadam”</w:t>
            </w:r>
            <w:r w:rsidRPr="00DA75DA">
              <w:rPr>
                <w:bCs/>
              </w:rPr>
              <w:t xml:space="preserve"> </w:t>
            </w:r>
            <w:r>
              <w:rPr>
                <w:bCs/>
              </w:rPr>
              <w:t>ieplānots</w:t>
            </w:r>
            <w:r w:rsidRPr="00DA75DA">
              <w:rPr>
                <w:bCs/>
              </w:rPr>
              <w:t xml:space="preserve"> Eiropas Sociālā fonda </w:t>
            </w:r>
            <w:r>
              <w:rPr>
                <w:bCs/>
              </w:rPr>
              <w:t>finansējuma</w:t>
            </w:r>
            <w:r w:rsidRPr="00DA75DA">
              <w:t xml:space="preserve"> </w:t>
            </w:r>
            <w:r>
              <w:rPr>
                <w:bCs/>
              </w:rPr>
              <w:t xml:space="preserve">3 667 330 </w:t>
            </w:r>
            <w:r w:rsidRPr="00DA75DA">
              <w:rPr>
                <w:bCs/>
              </w:rPr>
              <w:t xml:space="preserve">latu apmērā un valsts budžeta </w:t>
            </w:r>
            <w:r>
              <w:rPr>
                <w:bCs/>
              </w:rPr>
              <w:t>finansējuma</w:t>
            </w:r>
            <w:r w:rsidRPr="00DA75DA">
              <w:rPr>
                <w:bCs/>
              </w:rPr>
              <w:t xml:space="preserve"> </w:t>
            </w:r>
            <w:r>
              <w:t xml:space="preserve">647 176 </w:t>
            </w:r>
            <w:r w:rsidRPr="00DA75DA">
              <w:rPr>
                <w:bCs/>
              </w:rPr>
              <w:t>latu apmērā</w:t>
            </w:r>
            <w:r>
              <w:rPr>
                <w:bCs/>
              </w:rPr>
              <w:t>;</w:t>
            </w:r>
          </w:p>
          <w:p w:rsidR="0013657B" w:rsidRPr="00DA75DA" w:rsidRDefault="00E7205C" w:rsidP="00E7205C">
            <w:pPr>
              <w:numPr>
                <w:ilvl w:val="1"/>
                <w:numId w:val="11"/>
              </w:numPr>
              <w:jc w:val="both"/>
              <w:rPr>
                <w:bCs/>
              </w:rPr>
            </w:pPr>
            <w:r w:rsidRPr="00DA75DA">
              <w:rPr>
                <w:bCs/>
              </w:rPr>
              <w:t xml:space="preserve">Eiropas Sociālā fonda </w:t>
            </w:r>
            <w:r>
              <w:rPr>
                <w:bCs/>
              </w:rPr>
              <w:t>finansējumu</w:t>
            </w:r>
            <w:r w:rsidRPr="00DA75DA">
              <w:t xml:space="preserve"> </w:t>
            </w:r>
            <w:r w:rsidR="00F0507A">
              <w:rPr>
                <w:bCs/>
              </w:rPr>
              <w:t>2 006 703</w:t>
            </w:r>
            <w:r>
              <w:rPr>
                <w:bCs/>
              </w:rPr>
              <w:t xml:space="preserve"> </w:t>
            </w:r>
            <w:r w:rsidRPr="00DA75DA">
              <w:rPr>
                <w:bCs/>
              </w:rPr>
              <w:t xml:space="preserve">latu apmērā un valsts budžeta </w:t>
            </w:r>
            <w:r>
              <w:rPr>
                <w:bCs/>
              </w:rPr>
              <w:t>finansējumu</w:t>
            </w:r>
            <w:r w:rsidRPr="00DA75DA">
              <w:rPr>
                <w:bCs/>
              </w:rPr>
              <w:t xml:space="preserve"> </w:t>
            </w:r>
            <w:r w:rsidR="00F0507A">
              <w:t>407 803</w:t>
            </w:r>
            <w:r>
              <w:t xml:space="preserve"> </w:t>
            </w:r>
            <w:r w:rsidRPr="00DA75DA">
              <w:rPr>
                <w:bCs/>
              </w:rPr>
              <w:t>latu apmērā</w:t>
            </w:r>
            <w:r w:rsidR="00F0507A">
              <w:rPr>
                <w:bCs/>
              </w:rPr>
              <w:t xml:space="preserve"> plānots pārdalīt</w:t>
            </w:r>
            <w:r w:rsidR="00686DC1">
              <w:rPr>
                <w:bCs/>
              </w:rPr>
              <w:t xml:space="preserve"> </w:t>
            </w:r>
            <w:r w:rsidR="00F0507A">
              <w:rPr>
                <w:bCs/>
              </w:rPr>
              <w:t>Veselības ministrijas</w:t>
            </w:r>
            <w:r w:rsidR="00686DC1">
              <w:rPr>
                <w:bCs/>
              </w:rPr>
              <w:t xml:space="preserve"> </w:t>
            </w:r>
            <w:proofErr w:type="spellStart"/>
            <w:r w:rsidR="00686DC1">
              <w:rPr>
                <w:bCs/>
              </w:rPr>
              <w:t>pārziņā</w:t>
            </w:r>
            <w:proofErr w:type="spellEnd"/>
            <w:r w:rsidR="00686DC1">
              <w:rPr>
                <w:bCs/>
              </w:rPr>
              <w:t xml:space="preserve"> esošās 3.1.5.3.1.apakšaktivitātes „</w:t>
            </w:r>
            <w:r w:rsidR="00686DC1" w:rsidRPr="00686DC1">
              <w:t>Stacionārās veselības aprūpes attīstība</w:t>
            </w:r>
            <w:r w:rsidR="00686DC1">
              <w:rPr>
                <w:bCs/>
              </w:rPr>
              <w:t>” ieviešanai.</w:t>
            </w:r>
          </w:p>
          <w:p w:rsidR="0013657B" w:rsidRPr="00DA75DA" w:rsidRDefault="0013657B" w:rsidP="00783E28">
            <w:pPr>
              <w:numPr>
                <w:ilvl w:val="0"/>
                <w:numId w:val="11"/>
              </w:numPr>
              <w:jc w:val="both"/>
              <w:rPr>
                <w:bCs/>
              </w:rPr>
            </w:pPr>
            <w:r w:rsidRPr="00DA75DA">
              <w:rPr>
                <w:bCs/>
              </w:rPr>
              <w:t xml:space="preserve">Projektu īstenošanai 2012.gadā plānots piesaistīt Eiropas Sociālā fonda </w:t>
            </w:r>
            <w:r>
              <w:rPr>
                <w:bCs/>
              </w:rPr>
              <w:t>finansējumu</w:t>
            </w:r>
            <w:r w:rsidRPr="00DA75DA">
              <w:t xml:space="preserve"> </w:t>
            </w:r>
            <w:r w:rsidR="00F0507A">
              <w:rPr>
                <w:bCs/>
              </w:rPr>
              <w:t>1 660 627  </w:t>
            </w:r>
            <w:r w:rsidRPr="00DA75DA">
              <w:rPr>
                <w:bCs/>
              </w:rPr>
              <w:t>latu apmērā</w:t>
            </w:r>
            <w:r>
              <w:rPr>
                <w:bCs/>
              </w:rPr>
              <w:t xml:space="preserve"> </w:t>
            </w:r>
            <w:r w:rsidRPr="00DA75DA">
              <w:rPr>
                <w:bCs/>
              </w:rPr>
              <w:t xml:space="preserve">un valsts budžeta </w:t>
            </w:r>
            <w:r>
              <w:rPr>
                <w:bCs/>
              </w:rPr>
              <w:t>finansējumu</w:t>
            </w:r>
            <w:r w:rsidRPr="00DA75DA">
              <w:rPr>
                <w:bCs/>
              </w:rPr>
              <w:t xml:space="preserve"> </w:t>
            </w:r>
            <w:r w:rsidR="00F0507A">
              <w:t>239</w:t>
            </w:r>
            <w:r w:rsidR="00804DD6">
              <w:t> </w:t>
            </w:r>
            <w:r w:rsidR="00F0507A">
              <w:t>373</w:t>
            </w:r>
            <w:r w:rsidR="00804DD6">
              <w:t xml:space="preserve"> </w:t>
            </w:r>
            <w:r w:rsidRPr="00DA75DA">
              <w:rPr>
                <w:bCs/>
              </w:rPr>
              <w:t>latu apmērā.</w:t>
            </w:r>
          </w:p>
          <w:p w:rsidR="00F0507A" w:rsidRPr="00F0507A" w:rsidRDefault="0013657B" w:rsidP="00F0507A">
            <w:pPr>
              <w:numPr>
                <w:ilvl w:val="0"/>
                <w:numId w:val="11"/>
              </w:numPr>
              <w:jc w:val="both"/>
              <w:rPr>
                <w:bCs/>
              </w:rPr>
            </w:pPr>
            <w:r w:rsidRPr="00DA75DA">
              <w:rPr>
                <w:bCs/>
              </w:rPr>
              <w:t>Projektu īstenošanai 2013.gadā plānots piesaistīt Eiropas Sociālā fonda finansējumu</w:t>
            </w:r>
            <w:r w:rsidRPr="00F0507A">
              <w:rPr>
                <w:bCs/>
              </w:rPr>
              <w:t xml:space="preserve"> </w:t>
            </w:r>
            <w:r w:rsidR="00F0507A" w:rsidRPr="00F0507A">
              <w:rPr>
                <w:bCs/>
              </w:rPr>
              <w:t>1 152 885 </w:t>
            </w:r>
            <w:r w:rsidRPr="00DA75DA">
              <w:rPr>
                <w:bCs/>
              </w:rPr>
              <w:t>latu apmērā</w:t>
            </w:r>
            <w:r>
              <w:rPr>
                <w:bCs/>
              </w:rPr>
              <w:t xml:space="preserve"> </w:t>
            </w:r>
            <w:r w:rsidRPr="00DA75DA">
              <w:rPr>
                <w:bCs/>
              </w:rPr>
              <w:t xml:space="preserve">un valsts budžeta </w:t>
            </w:r>
            <w:r>
              <w:rPr>
                <w:bCs/>
              </w:rPr>
              <w:t>finansējumu</w:t>
            </w:r>
            <w:r w:rsidRPr="00DA75DA">
              <w:rPr>
                <w:bCs/>
              </w:rPr>
              <w:t xml:space="preserve"> </w:t>
            </w:r>
            <w:r w:rsidR="00F0507A" w:rsidRPr="00F0507A">
              <w:rPr>
                <w:bCs/>
              </w:rPr>
              <w:t>47</w:t>
            </w:r>
            <w:r w:rsidR="00804DD6">
              <w:rPr>
                <w:bCs/>
              </w:rPr>
              <w:t> </w:t>
            </w:r>
            <w:r w:rsidR="00F0507A" w:rsidRPr="00F0507A">
              <w:rPr>
                <w:bCs/>
              </w:rPr>
              <w:t>578</w:t>
            </w:r>
            <w:r w:rsidR="00804DD6">
              <w:rPr>
                <w:bCs/>
              </w:rPr>
              <w:t xml:space="preserve"> </w:t>
            </w:r>
            <w:r w:rsidRPr="00DA75DA">
              <w:rPr>
                <w:bCs/>
              </w:rPr>
              <w:t>latu apmērā.</w:t>
            </w:r>
          </w:p>
          <w:p w:rsidR="0013657B" w:rsidRPr="008817B7" w:rsidRDefault="0013657B" w:rsidP="00F0507A">
            <w:pPr>
              <w:autoSpaceDE w:val="0"/>
              <w:autoSpaceDN w:val="0"/>
              <w:adjustRightInd w:val="0"/>
              <w:ind w:firstLine="253"/>
              <w:jc w:val="both"/>
              <w:rPr>
                <w:bCs/>
              </w:rPr>
            </w:pPr>
            <w:r w:rsidRPr="00611275">
              <w:rPr>
                <w:bCs/>
              </w:rPr>
              <w:t>Likumā „Par valsts budžetu 201</w:t>
            </w:r>
            <w:r w:rsidR="00611275" w:rsidRPr="00611275">
              <w:rPr>
                <w:bCs/>
              </w:rPr>
              <w:t>1</w:t>
            </w:r>
            <w:r w:rsidRPr="00611275">
              <w:rPr>
                <w:bCs/>
              </w:rPr>
              <w:t xml:space="preserve">.gadam” aktivitātes projekta īstenošanai valsts budžeta programmas 63.06.00 „Eiropas Sociālā fonda (ESF) projektu īstenošana (2007-2013)” ietvaros plānoti </w:t>
            </w:r>
            <w:r w:rsidR="00611275" w:rsidRPr="00611275">
              <w:rPr>
                <w:bCs/>
              </w:rPr>
              <w:t>4 314 506</w:t>
            </w:r>
            <w:r w:rsidRPr="00611275">
              <w:rPr>
                <w:bCs/>
              </w:rPr>
              <w:t xml:space="preserve"> lati, t.sk. Eiropas Sociālā </w:t>
            </w:r>
            <w:r w:rsidRPr="00611275">
              <w:rPr>
                <w:bCs/>
              </w:rPr>
              <w:lastRenderedPageBreak/>
              <w:t xml:space="preserve">fonda finansējums </w:t>
            </w:r>
            <w:r w:rsidR="00611275" w:rsidRPr="00611275">
              <w:rPr>
                <w:bCs/>
              </w:rPr>
              <w:t xml:space="preserve">3 667 330 </w:t>
            </w:r>
            <w:r w:rsidRPr="00611275">
              <w:rPr>
                <w:bCs/>
              </w:rPr>
              <w:t xml:space="preserve">lati un valsts budžeta finansējums </w:t>
            </w:r>
            <w:r w:rsidR="00611275">
              <w:rPr>
                <w:bCs/>
              </w:rPr>
              <w:t>647</w:t>
            </w:r>
            <w:r w:rsidRPr="00611275">
              <w:rPr>
                <w:bCs/>
              </w:rPr>
              <w:t xml:space="preserve"> </w:t>
            </w:r>
            <w:r w:rsidR="00611275">
              <w:rPr>
                <w:bCs/>
              </w:rPr>
              <w:t>176</w:t>
            </w:r>
            <w:r w:rsidRPr="00611275">
              <w:rPr>
                <w:bCs/>
              </w:rPr>
              <w:t xml:space="preserve"> lati.</w:t>
            </w:r>
          </w:p>
        </w:tc>
      </w:tr>
    </w:tbl>
    <w:p w:rsidR="00575A23" w:rsidRPr="00436B22" w:rsidRDefault="00575A23" w:rsidP="00F05A22">
      <w:pPr>
        <w:rPr>
          <w:lang w:eastAsia="lv-LV" w:bidi="lo-LA"/>
        </w:rPr>
      </w:pPr>
    </w:p>
    <w:p w:rsidR="00575A23" w:rsidRPr="00436B22" w:rsidRDefault="00575A23" w:rsidP="00F05A22">
      <w:pPr>
        <w:rPr>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107"/>
        <w:gridCol w:w="5525"/>
      </w:tblGrid>
      <w:tr w:rsidR="00F05A22" w:rsidRPr="00436B22" w:rsidTr="001E3003">
        <w:trPr>
          <w:trHeight w:val="527"/>
        </w:trPr>
        <w:tc>
          <w:tcPr>
            <w:tcW w:w="9853" w:type="dxa"/>
            <w:gridSpan w:val="3"/>
            <w:vAlign w:val="center"/>
          </w:tcPr>
          <w:p w:rsidR="00F05A22" w:rsidRPr="00436B22" w:rsidRDefault="00F05A22" w:rsidP="00F05A22">
            <w:pPr>
              <w:rPr>
                <w:lang w:eastAsia="lv-LV" w:bidi="lo-LA"/>
              </w:rPr>
            </w:pPr>
            <w:r w:rsidRPr="00436B22">
              <w:rPr>
                <w:b/>
                <w:bCs/>
                <w:lang w:eastAsia="lv-LV" w:bidi="lo-LA"/>
              </w:rPr>
              <w:t>VII. Tiesību akta projekta izpildes nodrošināšana un tās ietekme uz institūcijām</w:t>
            </w:r>
          </w:p>
        </w:tc>
      </w:tr>
      <w:tr w:rsidR="00F05A22" w:rsidRPr="00436B22" w:rsidTr="001E3003">
        <w:tc>
          <w:tcPr>
            <w:tcW w:w="675" w:type="dxa"/>
          </w:tcPr>
          <w:p w:rsidR="00F05A22" w:rsidRPr="00436B22" w:rsidRDefault="00F05A22" w:rsidP="001E3003">
            <w:pPr>
              <w:spacing w:before="100" w:beforeAutospacing="1" w:after="100" w:afterAutospacing="1"/>
              <w:rPr>
                <w:lang w:eastAsia="lv-LV" w:bidi="lo-LA"/>
              </w:rPr>
            </w:pPr>
            <w:r w:rsidRPr="00436B22">
              <w:rPr>
                <w:lang w:eastAsia="lv-LV" w:bidi="lo-LA"/>
              </w:rPr>
              <w:t> 1.</w:t>
            </w:r>
          </w:p>
        </w:tc>
        <w:tc>
          <w:tcPr>
            <w:tcW w:w="3261" w:type="dxa"/>
          </w:tcPr>
          <w:p w:rsidR="00F05A22" w:rsidRPr="00436B22" w:rsidRDefault="00F05A22" w:rsidP="00C37452">
            <w:pPr>
              <w:rPr>
                <w:lang w:eastAsia="lv-LV" w:bidi="lo-LA"/>
              </w:rPr>
            </w:pPr>
            <w:r w:rsidRPr="00436B22">
              <w:rPr>
                <w:lang w:eastAsia="lv-LV" w:bidi="lo-LA"/>
              </w:rPr>
              <w:t>Projekta izpildē iesaistītās institūcijas</w:t>
            </w:r>
          </w:p>
        </w:tc>
        <w:tc>
          <w:tcPr>
            <w:tcW w:w="5917" w:type="dxa"/>
          </w:tcPr>
          <w:p w:rsidR="00C37452" w:rsidRPr="00436B22" w:rsidRDefault="00C37452" w:rsidP="00F0507A">
            <w:pPr>
              <w:rPr>
                <w:lang w:eastAsia="lv-LV" w:bidi="lo-LA"/>
              </w:rPr>
            </w:pPr>
            <w:r w:rsidRPr="00436B22">
              <w:rPr>
                <w:lang w:eastAsia="lv-LV" w:bidi="lo-LA"/>
              </w:rPr>
              <w:t>Veselības ministrija</w:t>
            </w:r>
            <w:r w:rsidR="00F0507A">
              <w:rPr>
                <w:lang w:eastAsia="lv-LV" w:bidi="lo-LA"/>
              </w:rPr>
              <w:t>.</w:t>
            </w:r>
          </w:p>
        </w:tc>
      </w:tr>
      <w:tr w:rsidR="00C37452" w:rsidRPr="00436B22" w:rsidTr="001E3003">
        <w:tc>
          <w:tcPr>
            <w:tcW w:w="675" w:type="dxa"/>
          </w:tcPr>
          <w:p w:rsidR="00C37452" w:rsidRPr="00436B22" w:rsidRDefault="00C37452" w:rsidP="001E3003">
            <w:pPr>
              <w:spacing w:before="100" w:beforeAutospacing="1" w:after="100" w:afterAutospacing="1"/>
              <w:rPr>
                <w:lang w:eastAsia="lv-LV" w:bidi="lo-LA"/>
              </w:rPr>
            </w:pPr>
            <w:r w:rsidRPr="00436B22">
              <w:rPr>
                <w:lang w:eastAsia="lv-LV" w:bidi="lo-LA"/>
              </w:rPr>
              <w:t> 2.</w:t>
            </w:r>
          </w:p>
        </w:tc>
        <w:tc>
          <w:tcPr>
            <w:tcW w:w="3261" w:type="dxa"/>
          </w:tcPr>
          <w:p w:rsidR="00C37452" w:rsidRPr="00436B22" w:rsidRDefault="00C37452" w:rsidP="00C37452">
            <w:pPr>
              <w:rPr>
                <w:lang w:eastAsia="lv-LV" w:bidi="lo-LA"/>
              </w:rPr>
            </w:pPr>
            <w:r w:rsidRPr="00436B22">
              <w:rPr>
                <w:lang w:eastAsia="lv-LV" w:bidi="lo-LA"/>
              </w:rPr>
              <w:t>Projekta izpildes ietekme uz pārvaldes funkcijām</w:t>
            </w:r>
          </w:p>
        </w:tc>
        <w:tc>
          <w:tcPr>
            <w:tcW w:w="5917" w:type="dxa"/>
            <w:vAlign w:val="center"/>
          </w:tcPr>
          <w:p w:rsidR="002B5E1D" w:rsidRPr="00436B22" w:rsidRDefault="002B5E1D" w:rsidP="00F876C1">
            <w:pPr>
              <w:rPr>
                <w:lang w:eastAsia="lv-LV" w:bidi="lo-LA"/>
              </w:rPr>
            </w:pPr>
            <w:r w:rsidRPr="00436B22">
              <w:rPr>
                <w:lang w:eastAsia="lv-LV" w:bidi="lo-LA"/>
              </w:rPr>
              <w:t>Projekts neparedz funkciju paplašināšanu.</w:t>
            </w:r>
          </w:p>
          <w:p w:rsidR="00C37452" w:rsidRPr="00436B22" w:rsidRDefault="00C37452" w:rsidP="00F876C1">
            <w:pPr>
              <w:rPr>
                <w:lang w:eastAsia="lv-LV" w:bidi="lo-LA"/>
              </w:rPr>
            </w:pPr>
          </w:p>
        </w:tc>
      </w:tr>
      <w:tr w:rsidR="00C37452" w:rsidRPr="00436B22" w:rsidTr="00F876C1">
        <w:tc>
          <w:tcPr>
            <w:tcW w:w="675" w:type="dxa"/>
          </w:tcPr>
          <w:p w:rsidR="00C37452" w:rsidRPr="00436B22" w:rsidRDefault="00C37452" w:rsidP="001E3003">
            <w:pPr>
              <w:spacing w:before="100" w:beforeAutospacing="1" w:after="100" w:afterAutospacing="1"/>
              <w:rPr>
                <w:lang w:eastAsia="lv-LV" w:bidi="lo-LA"/>
              </w:rPr>
            </w:pPr>
            <w:r w:rsidRPr="00436B22">
              <w:rPr>
                <w:lang w:eastAsia="lv-LV" w:bidi="lo-LA"/>
              </w:rPr>
              <w:t> 3.</w:t>
            </w:r>
          </w:p>
        </w:tc>
        <w:tc>
          <w:tcPr>
            <w:tcW w:w="3261" w:type="dxa"/>
          </w:tcPr>
          <w:p w:rsidR="00C37452" w:rsidRPr="00436B22" w:rsidRDefault="00C37452" w:rsidP="00C37452">
            <w:pPr>
              <w:rPr>
                <w:lang w:eastAsia="lv-LV" w:bidi="lo-LA"/>
              </w:rPr>
            </w:pPr>
            <w:r w:rsidRPr="00436B22">
              <w:rPr>
                <w:lang w:eastAsia="lv-LV" w:bidi="lo-LA"/>
              </w:rPr>
              <w:t>Projekta izpildes ietekme uz pārvaldes institucionālo struktūru.</w:t>
            </w:r>
          </w:p>
          <w:p w:rsidR="00C37452" w:rsidRPr="00436B22" w:rsidRDefault="00C37452" w:rsidP="00C37452">
            <w:pPr>
              <w:rPr>
                <w:lang w:eastAsia="lv-LV" w:bidi="lo-LA"/>
              </w:rPr>
            </w:pPr>
            <w:r w:rsidRPr="00436B22">
              <w:rPr>
                <w:lang w:eastAsia="lv-LV" w:bidi="lo-LA"/>
              </w:rPr>
              <w:t>Jaunu institūciju izveide</w:t>
            </w:r>
          </w:p>
        </w:tc>
        <w:tc>
          <w:tcPr>
            <w:tcW w:w="5917" w:type="dxa"/>
          </w:tcPr>
          <w:p w:rsidR="00C37452" w:rsidRPr="00436B22" w:rsidRDefault="002B5E1D" w:rsidP="00F876C1">
            <w:pPr>
              <w:rPr>
                <w:lang w:eastAsia="lv-LV" w:bidi="lo-LA"/>
              </w:rPr>
            </w:pPr>
            <w:r w:rsidRPr="00436B22">
              <w:rPr>
                <w:lang w:eastAsia="lv-LV" w:bidi="lo-LA"/>
              </w:rPr>
              <w:t>Projekts neparedz veidot jaunas valsts institūcijas.</w:t>
            </w:r>
          </w:p>
        </w:tc>
      </w:tr>
      <w:tr w:rsidR="00C37452" w:rsidTr="001E3003">
        <w:tc>
          <w:tcPr>
            <w:tcW w:w="675" w:type="dxa"/>
          </w:tcPr>
          <w:p w:rsidR="00C37452" w:rsidRPr="000F0B0D" w:rsidRDefault="00C37452" w:rsidP="001E3003">
            <w:pPr>
              <w:spacing w:before="100" w:beforeAutospacing="1" w:after="100" w:afterAutospacing="1"/>
              <w:rPr>
                <w:lang w:eastAsia="lv-LV" w:bidi="lo-LA"/>
              </w:rPr>
            </w:pPr>
            <w:r w:rsidRPr="000F0B0D">
              <w:rPr>
                <w:lang w:eastAsia="lv-LV" w:bidi="lo-LA"/>
              </w:rPr>
              <w:t> 4.</w:t>
            </w:r>
          </w:p>
        </w:tc>
        <w:tc>
          <w:tcPr>
            <w:tcW w:w="3261" w:type="dxa"/>
          </w:tcPr>
          <w:p w:rsidR="00C37452" w:rsidRPr="000F0B0D" w:rsidRDefault="00C37452" w:rsidP="00C37452">
            <w:pPr>
              <w:rPr>
                <w:lang w:eastAsia="lv-LV" w:bidi="lo-LA"/>
              </w:rPr>
            </w:pPr>
            <w:r w:rsidRPr="000F0B0D">
              <w:rPr>
                <w:lang w:eastAsia="lv-LV" w:bidi="lo-LA"/>
              </w:rPr>
              <w:t>Projekta izpildes ietekme uz pārvaldes institucionālo struktūru.</w:t>
            </w:r>
          </w:p>
          <w:p w:rsidR="00C37452" w:rsidRPr="000F0B0D" w:rsidRDefault="00C37452" w:rsidP="00C37452">
            <w:pPr>
              <w:rPr>
                <w:lang w:eastAsia="lv-LV" w:bidi="lo-LA"/>
              </w:rPr>
            </w:pPr>
            <w:r w:rsidRPr="000F0B0D">
              <w:rPr>
                <w:lang w:eastAsia="lv-LV" w:bidi="lo-LA"/>
              </w:rPr>
              <w:t>Esošu institūciju likvidācija</w:t>
            </w:r>
          </w:p>
        </w:tc>
        <w:tc>
          <w:tcPr>
            <w:tcW w:w="5917" w:type="dxa"/>
            <w:vAlign w:val="center"/>
          </w:tcPr>
          <w:p w:rsidR="00C37452" w:rsidRPr="0080035F" w:rsidRDefault="009E55C2" w:rsidP="001E3003">
            <w:pPr>
              <w:autoSpaceDE w:val="0"/>
              <w:autoSpaceDN w:val="0"/>
              <w:adjustRightInd w:val="0"/>
              <w:rPr>
                <w:noProof/>
                <w:sz w:val="28"/>
                <w:szCs w:val="28"/>
              </w:rPr>
            </w:pPr>
            <w:r w:rsidRPr="009E55C2">
              <w:rPr>
                <w:iCs/>
                <w:lang w:eastAsia="lv-LV"/>
              </w:rPr>
              <w:t>Projekts šo jomu neskar</w:t>
            </w:r>
          </w:p>
        </w:tc>
      </w:tr>
      <w:tr w:rsidR="00C37452" w:rsidTr="001E3003">
        <w:tc>
          <w:tcPr>
            <w:tcW w:w="675" w:type="dxa"/>
          </w:tcPr>
          <w:p w:rsidR="00C37452" w:rsidRPr="000F0B0D" w:rsidRDefault="00C37452" w:rsidP="001E3003">
            <w:pPr>
              <w:spacing w:before="100" w:beforeAutospacing="1" w:after="100" w:afterAutospacing="1"/>
              <w:rPr>
                <w:lang w:eastAsia="lv-LV" w:bidi="lo-LA"/>
              </w:rPr>
            </w:pPr>
            <w:r w:rsidRPr="000F0B0D">
              <w:rPr>
                <w:lang w:eastAsia="lv-LV" w:bidi="lo-LA"/>
              </w:rPr>
              <w:t> 5.</w:t>
            </w:r>
          </w:p>
        </w:tc>
        <w:tc>
          <w:tcPr>
            <w:tcW w:w="3261" w:type="dxa"/>
          </w:tcPr>
          <w:p w:rsidR="00C37452" w:rsidRPr="000F0B0D" w:rsidRDefault="00C37452" w:rsidP="00C37452">
            <w:pPr>
              <w:rPr>
                <w:lang w:eastAsia="lv-LV" w:bidi="lo-LA"/>
              </w:rPr>
            </w:pPr>
            <w:r w:rsidRPr="000F0B0D">
              <w:rPr>
                <w:lang w:eastAsia="lv-LV" w:bidi="lo-LA"/>
              </w:rPr>
              <w:t>Projekta izpildes ietekme uz pārvaldes institucionālo struktūru.</w:t>
            </w:r>
          </w:p>
          <w:p w:rsidR="00C37452" w:rsidRPr="000F0B0D" w:rsidRDefault="00C37452" w:rsidP="00C37452">
            <w:pPr>
              <w:rPr>
                <w:lang w:eastAsia="lv-LV" w:bidi="lo-LA"/>
              </w:rPr>
            </w:pPr>
            <w:r w:rsidRPr="000F0B0D">
              <w:rPr>
                <w:lang w:eastAsia="lv-LV" w:bidi="lo-LA"/>
              </w:rPr>
              <w:t>Esošu institūciju reorganizācija</w:t>
            </w:r>
          </w:p>
        </w:tc>
        <w:tc>
          <w:tcPr>
            <w:tcW w:w="5917" w:type="dxa"/>
            <w:vAlign w:val="center"/>
          </w:tcPr>
          <w:p w:rsidR="00C37452" w:rsidRPr="0080035F" w:rsidRDefault="009E55C2" w:rsidP="001E3003">
            <w:pPr>
              <w:autoSpaceDE w:val="0"/>
              <w:autoSpaceDN w:val="0"/>
              <w:adjustRightInd w:val="0"/>
              <w:rPr>
                <w:noProof/>
                <w:sz w:val="28"/>
                <w:szCs w:val="28"/>
              </w:rPr>
            </w:pPr>
            <w:r w:rsidRPr="009E55C2">
              <w:rPr>
                <w:iCs/>
                <w:lang w:eastAsia="lv-LV"/>
              </w:rPr>
              <w:t>Projekts šo jomu neskar</w:t>
            </w:r>
          </w:p>
        </w:tc>
      </w:tr>
      <w:tr w:rsidR="00C37452" w:rsidTr="001E3003">
        <w:tc>
          <w:tcPr>
            <w:tcW w:w="675" w:type="dxa"/>
          </w:tcPr>
          <w:p w:rsidR="00C37452" w:rsidRPr="000F0B0D" w:rsidRDefault="00C37452" w:rsidP="001E3003">
            <w:pPr>
              <w:spacing w:before="100" w:beforeAutospacing="1" w:after="100" w:afterAutospacing="1"/>
              <w:rPr>
                <w:lang w:eastAsia="lv-LV" w:bidi="lo-LA"/>
              </w:rPr>
            </w:pPr>
            <w:r w:rsidRPr="000F0B0D">
              <w:rPr>
                <w:lang w:eastAsia="lv-LV" w:bidi="lo-LA"/>
              </w:rPr>
              <w:t> 6.</w:t>
            </w:r>
          </w:p>
        </w:tc>
        <w:tc>
          <w:tcPr>
            <w:tcW w:w="3261" w:type="dxa"/>
          </w:tcPr>
          <w:p w:rsidR="00C37452" w:rsidRPr="000F0B0D" w:rsidRDefault="00C37452" w:rsidP="00C37452">
            <w:pPr>
              <w:rPr>
                <w:lang w:eastAsia="lv-LV" w:bidi="lo-LA"/>
              </w:rPr>
            </w:pPr>
            <w:r w:rsidRPr="000F0B0D">
              <w:rPr>
                <w:lang w:eastAsia="lv-LV" w:bidi="lo-LA"/>
              </w:rPr>
              <w:t>Cita informācija</w:t>
            </w:r>
          </w:p>
        </w:tc>
        <w:tc>
          <w:tcPr>
            <w:tcW w:w="5917" w:type="dxa"/>
          </w:tcPr>
          <w:p w:rsidR="00C37452" w:rsidRPr="0080035F" w:rsidRDefault="00C37452" w:rsidP="00F05A22">
            <w:pPr>
              <w:rPr>
                <w:lang w:eastAsia="lv-LV" w:bidi="lo-LA"/>
              </w:rPr>
            </w:pPr>
            <w:r w:rsidRPr="0080035F">
              <w:rPr>
                <w:lang w:eastAsia="lv-LV" w:bidi="lo-LA"/>
              </w:rPr>
              <w:t>Nav</w:t>
            </w:r>
          </w:p>
        </w:tc>
      </w:tr>
    </w:tbl>
    <w:p w:rsidR="00612FE3" w:rsidRDefault="00612FE3" w:rsidP="00F05A22">
      <w:pPr>
        <w:rPr>
          <w:lang w:eastAsia="lv-LV" w:bidi="lo-LA"/>
        </w:rPr>
      </w:pPr>
    </w:p>
    <w:p w:rsidR="0080035F" w:rsidRDefault="0080035F" w:rsidP="006D6609">
      <w:pPr>
        <w:jc w:val="both"/>
        <w:rPr>
          <w:sz w:val="28"/>
          <w:szCs w:val="28"/>
        </w:rPr>
      </w:pPr>
    </w:p>
    <w:p w:rsidR="003B3788" w:rsidRPr="00515648" w:rsidRDefault="003B3788" w:rsidP="003B3788">
      <w:pPr>
        <w:jc w:val="both"/>
        <w:rPr>
          <w:lang w:eastAsia="lv-LV" w:bidi="lo-LA"/>
        </w:rPr>
      </w:pPr>
      <w:r w:rsidRPr="00515648">
        <w:rPr>
          <w:lang w:eastAsia="lv-LV" w:bidi="lo-LA"/>
        </w:rPr>
        <w:t xml:space="preserve">Anotācijas </w:t>
      </w:r>
      <w:proofErr w:type="spellStart"/>
      <w:r w:rsidRPr="00515648">
        <w:rPr>
          <w:lang w:eastAsia="lv-LV" w:bidi="lo-LA"/>
        </w:rPr>
        <w:t>IV.sadaļa</w:t>
      </w:r>
      <w:proofErr w:type="spellEnd"/>
      <w:r w:rsidRPr="00515648">
        <w:rPr>
          <w:lang w:eastAsia="lv-LV" w:bidi="lo-LA"/>
        </w:rPr>
        <w:t xml:space="preserve">, </w:t>
      </w:r>
      <w:proofErr w:type="spellStart"/>
      <w:r w:rsidRPr="00515648">
        <w:rPr>
          <w:lang w:eastAsia="lv-LV" w:bidi="lo-LA"/>
        </w:rPr>
        <w:t>V.sadaļa</w:t>
      </w:r>
      <w:proofErr w:type="spellEnd"/>
      <w:r w:rsidRPr="00515648">
        <w:rPr>
          <w:lang w:eastAsia="lv-LV" w:bidi="lo-LA"/>
        </w:rPr>
        <w:t xml:space="preserve">,  </w:t>
      </w:r>
      <w:proofErr w:type="spellStart"/>
      <w:r w:rsidRPr="00515648">
        <w:rPr>
          <w:bCs/>
          <w:lang w:eastAsia="lv-LV" w:bidi="lo-LA"/>
        </w:rPr>
        <w:t>VI.sadaļa</w:t>
      </w:r>
      <w:proofErr w:type="spellEnd"/>
      <w:r w:rsidRPr="00515648">
        <w:rPr>
          <w:bCs/>
          <w:lang w:eastAsia="lv-LV" w:bidi="lo-LA"/>
        </w:rPr>
        <w:t xml:space="preserve"> </w:t>
      </w:r>
      <w:r w:rsidRPr="009E55C2">
        <w:rPr>
          <w:bCs/>
          <w:lang w:eastAsia="lv-LV" w:bidi="lo-LA"/>
        </w:rPr>
        <w:t xml:space="preserve">– </w:t>
      </w:r>
      <w:r w:rsidR="009E55C2" w:rsidRPr="009E55C2">
        <w:rPr>
          <w:iCs/>
          <w:lang w:eastAsia="lv-LV"/>
        </w:rPr>
        <w:t xml:space="preserve"> projekts šīs jomas neskar</w:t>
      </w:r>
      <w:r w:rsidRPr="009E55C2">
        <w:rPr>
          <w:bCs/>
          <w:lang w:eastAsia="lv-LV" w:bidi="lo-LA"/>
        </w:rPr>
        <w:t xml:space="preserve">. </w:t>
      </w:r>
    </w:p>
    <w:p w:rsidR="003B3788" w:rsidRDefault="003B3788" w:rsidP="006D6609">
      <w:pPr>
        <w:jc w:val="both"/>
        <w:rPr>
          <w:sz w:val="28"/>
          <w:szCs w:val="28"/>
        </w:rPr>
      </w:pPr>
    </w:p>
    <w:p w:rsidR="003B3788" w:rsidRDefault="003B3788" w:rsidP="006D6609">
      <w:pPr>
        <w:jc w:val="both"/>
        <w:rPr>
          <w:sz w:val="28"/>
          <w:szCs w:val="28"/>
        </w:rPr>
      </w:pPr>
    </w:p>
    <w:p w:rsidR="003B3788" w:rsidRDefault="003B3788" w:rsidP="006D6609">
      <w:pPr>
        <w:jc w:val="both"/>
        <w:rPr>
          <w:sz w:val="28"/>
          <w:szCs w:val="28"/>
        </w:rPr>
      </w:pPr>
    </w:p>
    <w:tbl>
      <w:tblPr>
        <w:tblW w:w="0" w:type="auto"/>
        <w:tblLook w:val="04A0"/>
      </w:tblPr>
      <w:tblGrid>
        <w:gridCol w:w="4643"/>
        <w:gridCol w:w="4644"/>
      </w:tblGrid>
      <w:tr w:rsidR="00B85A0C" w:rsidRPr="00513070" w:rsidTr="0075368F">
        <w:tc>
          <w:tcPr>
            <w:tcW w:w="4643" w:type="dxa"/>
          </w:tcPr>
          <w:p w:rsidR="00B85A0C" w:rsidRPr="00513070" w:rsidRDefault="00B85A0C" w:rsidP="0075368F">
            <w:pPr>
              <w:jc w:val="both"/>
              <w:rPr>
                <w:sz w:val="28"/>
                <w:szCs w:val="28"/>
              </w:rPr>
            </w:pPr>
            <w:r>
              <w:rPr>
                <w:sz w:val="28"/>
                <w:szCs w:val="28"/>
              </w:rPr>
              <w:t>V</w:t>
            </w:r>
            <w:r w:rsidRPr="00513070">
              <w:rPr>
                <w:sz w:val="28"/>
                <w:szCs w:val="28"/>
              </w:rPr>
              <w:t>eselības ministr</w:t>
            </w:r>
            <w:r>
              <w:rPr>
                <w:sz w:val="28"/>
                <w:szCs w:val="28"/>
              </w:rPr>
              <w:t>s</w:t>
            </w:r>
          </w:p>
        </w:tc>
        <w:tc>
          <w:tcPr>
            <w:tcW w:w="4644" w:type="dxa"/>
          </w:tcPr>
          <w:p w:rsidR="00B85A0C" w:rsidRPr="00513070" w:rsidRDefault="00F91779" w:rsidP="00F91779">
            <w:pPr>
              <w:jc w:val="right"/>
              <w:rPr>
                <w:sz w:val="28"/>
                <w:szCs w:val="28"/>
              </w:rPr>
            </w:pPr>
            <w:proofErr w:type="spellStart"/>
            <w:r>
              <w:rPr>
                <w:sz w:val="28"/>
                <w:szCs w:val="28"/>
              </w:rPr>
              <w:t>J.Bārzdiņš</w:t>
            </w:r>
            <w:proofErr w:type="spellEnd"/>
          </w:p>
        </w:tc>
      </w:tr>
    </w:tbl>
    <w:p w:rsidR="003B3788" w:rsidRDefault="003B3788" w:rsidP="00B85A0C">
      <w:pPr>
        <w:rPr>
          <w:sz w:val="20"/>
          <w:szCs w:val="20"/>
        </w:rPr>
      </w:pPr>
    </w:p>
    <w:p w:rsidR="003B3788" w:rsidRDefault="003B3788" w:rsidP="00B85A0C">
      <w:pPr>
        <w:rPr>
          <w:sz w:val="20"/>
          <w:szCs w:val="20"/>
        </w:rPr>
      </w:pPr>
    </w:p>
    <w:p w:rsidR="003B3788" w:rsidRDefault="003B3788" w:rsidP="00B85A0C">
      <w:pPr>
        <w:rPr>
          <w:sz w:val="20"/>
          <w:szCs w:val="20"/>
        </w:rPr>
      </w:pPr>
    </w:p>
    <w:p w:rsidR="00575A23" w:rsidRDefault="00575A23" w:rsidP="00B85A0C">
      <w:pPr>
        <w:rPr>
          <w:sz w:val="20"/>
          <w:szCs w:val="20"/>
        </w:rPr>
      </w:pPr>
    </w:p>
    <w:p w:rsidR="00C9142F" w:rsidRDefault="002E5090" w:rsidP="00B85A0C">
      <w:pPr>
        <w:rPr>
          <w:sz w:val="20"/>
          <w:szCs w:val="20"/>
        </w:rPr>
      </w:pPr>
      <w:r>
        <w:rPr>
          <w:sz w:val="20"/>
          <w:szCs w:val="20"/>
        </w:rPr>
        <w:t>11</w:t>
      </w:r>
      <w:r w:rsidR="00C9142F">
        <w:rPr>
          <w:sz w:val="20"/>
          <w:szCs w:val="20"/>
        </w:rPr>
        <w:t>.0</w:t>
      </w:r>
      <w:r w:rsidR="009512D2">
        <w:rPr>
          <w:sz w:val="20"/>
          <w:szCs w:val="20"/>
        </w:rPr>
        <w:t>2</w:t>
      </w:r>
      <w:r w:rsidR="00C9142F">
        <w:rPr>
          <w:sz w:val="20"/>
          <w:szCs w:val="20"/>
        </w:rPr>
        <w:t>.201</w:t>
      </w:r>
      <w:r w:rsidR="00F91779">
        <w:rPr>
          <w:sz w:val="20"/>
          <w:szCs w:val="20"/>
        </w:rPr>
        <w:t>1</w:t>
      </w:r>
      <w:r w:rsidR="00C9142F">
        <w:rPr>
          <w:sz w:val="20"/>
          <w:szCs w:val="20"/>
        </w:rPr>
        <w:t xml:space="preserve"> </w:t>
      </w:r>
      <w:r w:rsidR="009512D2">
        <w:rPr>
          <w:sz w:val="20"/>
          <w:szCs w:val="20"/>
        </w:rPr>
        <w:t>1</w:t>
      </w:r>
      <w:r>
        <w:rPr>
          <w:sz w:val="20"/>
          <w:szCs w:val="20"/>
        </w:rPr>
        <w:t>1</w:t>
      </w:r>
      <w:r w:rsidR="00C9142F">
        <w:rPr>
          <w:sz w:val="20"/>
          <w:szCs w:val="20"/>
        </w:rPr>
        <w:t>:</w:t>
      </w:r>
      <w:r w:rsidR="009512D2">
        <w:rPr>
          <w:sz w:val="20"/>
          <w:szCs w:val="20"/>
        </w:rPr>
        <w:t>3</w:t>
      </w:r>
      <w:r>
        <w:rPr>
          <w:sz w:val="20"/>
          <w:szCs w:val="20"/>
        </w:rPr>
        <w:t>0</w:t>
      </w:r>
    </w:p>
    <w:p w:rsidR="00515648" w:rsidRDefault="00964137" w:rsidP="00515648">
      <w:pPr>
        <w:ind w:right="4818"/>
        <w:rPr>
          <w:sz w:val="20"/>
          <w:szCs w:val="20"/>
        </w:rPr>
      </w:pPr>
      <w:fldSimple w:instr=" NUMWORDS   \* MERGEFORMAT ">
        <w:r w:rsidR="002E5090" w:rsidRPr="002E5090">
          <w:rPr>
            <w:noProof/>
            <w:sz w:val="20"/>
            <w:szCs w:val="20"/>
          </w:rPr>
          <w:t>1229</w:t>
        </w:r>
      </w:fldSimple>
    </w:p>
    <w:p w:rsidR="00515648" w:rsidRPr="00DF5FAA" w:rsidRDefault="00F91779" w:rsidP="00515648">
      <w:pPr>
        <w:ind w:right="4818"/>
        <w:rPr>
          <w:sz w:val="20"/>
          <w:szCs w:val="20"/>
        </w:rPr>
      </w:pPr>
      <w:r>
        <w:rPr>
          <w:sz w:val="20"/>
          <w:szCs w:val="20"/>
        </w:rPr>
        <w:t>D.Ozoliņa</w:t>
      </w:r>
      <w:r w:rsidR="00515648" w:rsidRPr="00DF5FAA">
        <w:rPr>
          <w:sz w:val="20"/>
          <w:szCs w:val="20"/>
        </w:rPr>
        <w:t>, 67 876 0</w:t>
      </w:r>
      <w:r>
        <w:rPr>
          <w:sz w:val="20"/>
          <w:szCs w:val="20"/>
        </w:rPr>
        <w:t>85</w:t>
      </w:r>
    </w:p>
    <w:p w:rsidR="00C9142F" w:rsidRPr="000F0B0D" w:rsidRDefault="00F91779" w:rsidP="00515648">
      <w:pPr>
        <w:ind w:right="4818"/>
        <w:rPr>
          <w:sz w:val="20"/>
          <w:szCs w:val="20"/>
        </w:rPr>
      </w:pPr>
      <w:r>
        <w:rPr>
          <w:sz w:val="20"/>
          <w:szCs w:val="20"/>
        </w:rPr>
        <w:t>Dace.Ozolina</w:t>
      </w:r>
      <w:r w:rsidR="00515648" w:rsidRPr="00DF5FAA">
        <w:rPr>
          <w:sz w:val="20"/>
          <w:szCs w:val="20"/>
        </w:rPr>
        <w:t>@vm.gov.lv</w:t>
      </w:r>
    </w:p>
    <w:sectPr w:rsidR="00C9142F" w:rsidRPr="000F0B0D" w:rsidSect="00612FE3">
      <w:headerReference w:type="even" r:id="rId8"/>
      <w:headerReference w:type="default" r:id="rId9"/>
      <w:footerReference w:type="default" r:id="rId10"/>
      <w:footerReference w:type="first" r:id="rId11"/>
      <w:pgSz w:w="11906" w:h="16838" w:code="9"/>
      <w:pgMar w:top="1134" w:right="113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4E" w:rsidRDefault="0044734E">
      <w:r>
        <w:separator/>
      </w:r>
    </w:p>
  </w:endnote>
  <w:endnote w:type="continuationSeparator" w:id="0">
    <w:p w:rsidR="0044734E" w:rsidRDefault="00447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E" w:rsidRPr="00912DE3" w:rsidRDefault="0044734E" w:rsidP="00912DE3">
    <w:pPr>
      <w:jc w:val="both"/>
      <w:rPr>
        <w:noProof/>
      </w:rPr>
    </w:pPr>
    <w:r w:rsidRPr="000559BB">
      <w:rPr>
        <w:noProof/>
        <w:sz w:val="20"/>
        <w:szCs w:val="20"/>
      </w:rPr>
      <w:t>VMAnot_</w:t>
    </w:r>
    <w:r w:rsidR="002E5090">
      <w:rPr>
        <w:noProof/>
        <w:sz w:val="20"/>
        <w:szCs w:val="20"/>
      </w:rPr>
      <w:t>11</w:t>
    </w:r>
    <w:r w:rsidR="009512D2">
      <w:rPr>
        <w:noProof/>
        <w:sz w:val="20"/>
        <w:szCs w:val="20"/>
      </w:rPr>
      <w:t>02</w:t>
    </w:r>
    <w:r>
      <w:rPr>
        <w:noProof/>
        <w:sz w:val="20"/>
        <w:szCs w:val="20"/>
      </w:rPr>
      <w:t>11</w:t>
    </w:r>
    <w:r w:rsidRPr="000559BB">
      <w:rPr>
        <w:noProof/>
        <w:sz w:val="20"/>
        <w:szCs w:val="20"/>
      </w:rPr>
      <w:t>_MK3</w:t>
    </w:r>
    <w:r>
      <w:rPr>
        <w:noProof/>
        <w:sz w:val="20"/>
        <w:szCs w:val="20"/>
      </w:rPr>
      <w:t>5</w:t>
    </w:r>
    <w:r w:rsidRPr="000559BB">
      <w:rPr>
        <w:noProof/>
        <w:sz w:val="20"/>
        <w:szCs w:val="20"/>
      </w:rPr>
      <w:t>3</w:t>
    </w:r>
    <w:r>
      <w:rPr>
        <w:noProof/>
      </w:rPr>
      <w:t>_</w:t>
    </w:r>
    <w:r w:rsidRPr="0097574B">
      <w:rPr>
        <w:noProof/>
        <w:sz w:val="20"/>
        <w:szCs w:val="20"/>
      </w:rPr>
      <w:t>groz</w:t>
    </w:r>
    <w:r w:rsidRPr="00D473C0">
      <w:rPr>
        <w:noProof/>
        <w:sz w:val="20"/>
        <w:szCs w:val="20"/>
      </w:rPr>
      <w:t xml:space="preserve">; </w:t>
    </w:r>
    <w:r w:rsidRPr="00912DE3">
      <w:rPr>
        <w:sz w:val="20"/>
        <w:szCs w:val="20"/>
      </w:rPr>
      <w:t>Ministru kabineta noteikumu projekta „</w:t>
    </w:r>
    <w:bookmarkStart w:id="8" w:name="OLE_LINK5"/>
    <w:bookmarkStart w:id="9" w:name="OLE_LINK6"/>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bookmarkEnd w:id="8"/>
    <w:bookmarkEnd w:id="9"/>
    <w:r w:rsidRPr="00912DE3">
      <w:rPr>
        <w:iCs/>
        <w:sz w:val="20"/>
        <w:szCs w:val="20"/>
      </w:rPr>
      <w:t>”</w:t>
    </w:r>
    <w:r>
      <w:rPr>
        <w:iCs/>
        <w:sz w:val="20"/>
        <w:szCs w:val="20"/>
      </w:rPr>
      <w:t xml:space="preserve"> sākotnējās ietekmes novērtējuma ziņojums</w:t>
    </w:r>
    <w:r w:rsidRPr="00912DE3">
      <w:rPr>
        <w:sz w:val="20"/>
        <w:szCs w:val="20"/>
      </w:rPr>
      <w:t xml:space="preserve"> </w:t>
    </w:r>
    <w:r>
      <w:rPr>
        <w:sz w:val="20"/>
        <w:szCs w:val="20"/>
      </w:rPr>
      <w:t>(</w:t>
    </w:r>
    <w:r w:rsidRPr="00912DE3">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E" w:rsidRPr="00912DE3" w:rsidRDefault="0044734E" w:rsidP="0080035F">
    <w:pPr>
      <w:jc w:val="both"/>
      <w:rPr>
        <w:noProof/>
      </w:rPr>
    </w:pPr>
    <w:r w:rsidRPr="000559BB">
      <w:rPr>
        <w:noProof/>
        <w:sz w:val="20"/>
        <w:szCs w:val="20"/>
      </w:rPr>
      <w:t>VMAnot_</w:t>
    </w:r>
    <w:r w:rsidR="002E5090">
      <w:rPr>
        <w:noProof/>
        <w:sz w:val="20"/>
        <w:szCs w:val="20"/>
      </w:rPr>
      <w:t>11</w:t>
    </w:r>
    <w:r w:rsidR="009512D2">
      <w:rPr>
        <w:noProof/>
        <w:sz w:val="20"/>
        <w:szCs w:val="20"/>
      </w:rPr>
      <w:t>02</w:t>
    </w:r>
    <w:r>
      <w:rPr>
        <w:noProof/>
        <w:sz w:val="20"/>
        <w:szCs w:val="20"/>
      </w:rPr>
      <w:t>11</w:t>
    </w:r>
    <w:r w:rsidRPr="000559BB">
      <w:rPr>
        <w:noProof/>
        <w:sz w:val="20"/>
        <w:szCs w:val="20"/>
      </w:rPr>
      <w:t>_MK3</w:t>
    </w:r>
    <w:r>
      <w:rPr>
        <w:noProof/>
        <w:sz w:val="20"/>
        <w:szCs w:val="20"/>
      </w:rPr>
      <w:t>5</w:t>
    </w:r>
    <w:r w:rsidRPr="000559BB">
      <w:rPr>
        <w:noProof/>
        <w:sz w:val="20"/>
        <w:szCs w:val="20"/>
      </w:rPr>
      <w:t>3</w:t>
    </w:r>
    <w:r>
      <w:rPr>
        <w:noProof/>
      </w:rPr>
      <w:t>_</w:t>
    </w:r>
    <w:r w:rsidRPr="005807AF">
      <w:rPr>
        <w:noProof/>
        <w:sz w:val="20"/>
        <w:szCs w:val="20"/>
      </w:rPr>
      <w:t>groz</w:t>
    </w:r>
    <w:r w:rsidRPr="00D473C0">
      <w:rPr>
        <w:noProof/>
        <w:sz w:val="20"/>
        <w:szCs w:val="20"/>
      </w:rPr>
      <w:t xml:space="preserve">; </w:t>
    </w:r>
    <w:r w:rsidRPr="00912DE3">
      <w:rPr>
        <w:sz w:val="20"/>
        <w:szCs w:val="20"/>
      </w:rPr>
      <w:t>Ministru kabineta noteikumu projekta „</w:t>
    </w:r>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912DE3">
      <w:rPr>
        <w:iCs/>
        <w:sz w:val="20"/>
        <w:szCs w:val="20"/>
      </w:rPr>
      <w:t>”</w:t>
    </w:r>
    <w:r>
      <w:rPr>
        <w:iCs/>
        <w:sz w:val="20"/>
        <w:szCs w:val="20"/>
      </w:rPr>
      <w:t xml:space="preserve"> sākotnējās ietekmes novērtējuma ziņojums (</w:t>
    </w:r>
    <w:r w:rsidRPr="00912DE3">
      <w:rPr>
        <w:sz w:val="20"/>
        <w:szCs w:val="20"/>
      </w:rPr>
      <w:t>anotācija</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4E" w:rsidRDefault="0044734E">
      <w:r>
        <w:separator/>
      </w:r>
    </w:p>
  </w:footnote>
  <w:footnote w:type="continuationSeparator" w:id="0">
    <w:p w:rsidR="0044734E" w:rsidRDefault="00447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E" w:rsidRDefault="00964137">
    <w:pPr>
      <w:pStyle w:val="Header"/>
      <w:framePr w:wrap="around" w:vAnchor="text" w:hAnchor="margin" w:xAlign="center" w:y="1"/>
      <w:rPr>
        <w:rStyle w:val="PageNumber"/>
      </w:rPr>
    </w:pPr>
    <w:r>
      <w:rPr>
        <w:rStyle w:val="PageNumber"/>
      </w:rPr>
      <w:fldChar w:fldCharType="begin"/>
    </w:r>
    <w:r w:rsidR="0044734E">
      <w:rPr>
        <w:rStyle w:val="PageNumber"/>
      </w:rPr>
      <w:instrText xml:space="preserve">PAGE  </w:instrText>
    </w:r>
    <w:r>
      <w:rPr>
        <w:rStyle w:val="PageNumber"/>
      </w:rPr>
      <w:fldChar w:fldCharType="end"/>
    </w:r>
  </w:p>
  <w:p w:rsidR="0044734E" w:rsidRDefault="00447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E" w:rsidRDefault="00964137">
    <w:pPr>
      <w:pStyle w:val="Header"/>
      <w:framePr w:wrap="around" w:vAnchor="text" w:hAnchor="margin" w:xAlign="center" w:y="1"/>
      <w:rPr>
        <w:rStyle w:val="PageNumber"/>
      </w:rPr>
    </w:pPr>
    <w:r>
      <w:rPr>
        <w:rStyle w:val="PageNumber"/>
      </w:rPr>
      <w:fldChar w:fldCharType="begin"/>
    </w:r>
    <w:r w:rsidR="0044734E">
      <w:rPr>
        <w:rStyle w:val="PageNumber"/>
      </w:rPr>
      <w:instrText xml:space="preserve">PAGE  </w:instrText>
    </w:r>
    <w:r>
      <w:rPr>
        <w:rStyle w:val="PageNumber"/>
      </w:rPr>
      <w:fldChar w:fldCharType="separate"/>
    </w:r>
    <w:r w:rsidR="002E5090">
      <w:rPr>
        <w:rStyle w:val="PageNumber"/>
        <w:noProof/>
      </w:rPr>
      <w:t>5</w:t>
    </w:r>
    <w:r>
      <w:rPr>
        <w:rStyle w:val="PageNumber"/>
      </w:rPr>
      <w:fldChar w:fldCharType="end"/>
    </w:r>
  </w:p>
  <w:p w:rsidR="0044734E" w:rsidRDefault="004473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E452A7"/>
    <w:multiLevelType w:val="hybridMultilevel"/>
    <w:tmpl w:val="4680EB36"/>
    <w:lvl w:ilvl="0" w:tplc="FB9AF7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C775AC"/>
    <w:multiLevelType w:val="hybridMultilevel"/>
    <w:tmpl w:val="65749344"/>
    <w:lvl w:ilvl="0" w:tplc="26F4DE72">
      <w:start w:val="1"/>
      <w:numFmt w:val="decimal"/>
      <w:lvlText w:val="%1."/>
      <w:lvlJc w:val="left"/>
      <w:pPr>
        <w:ind w:left="585" w:hanging="585"/>
      </w:pPr>
      <w:rPr>
        <w:rFonts w:hint="default"/>
        <w:color w:val="2A2A2A"/>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3664953"/>
    <w:multiLevelType w:val="hybridMultilevel"/>
    <w:tmpl w:val="181C2C2A"/>
    <w:lvl w:ilvl="0" w:tplc="3DC4F59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3">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F27C4C"/>
    <w:multiLevelType w:val="hybridMultilevel"/>
    <w:tmpl w:val="9BA48F2C"/>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
  </w:num>
  <w:num w:numId="2">
    <w:abstractNumId w:val="11"/>
  </w:num>
  <w:num w:numId="3">
    <w:abstractNumId w:val="10"/>
  </w:num>
  <w:num w:numId="4">
    <w:abstractNumId w:val="1"/>
  </w:num>
  <w:num w:numId="5">
    <w:abstractNumId w:val="0"/>
  </w:num>
  <w:num w:numId="6">
    <w:abstractNumId w:val="3"/>
  </w:num>
  <w:num w:numId="7">
    <w:abstractNumId w:val="12"/>
  </w:num>
  <w:num w:numId="8">
    <w:abstractNumId w:val="9"/>
  </w:num>
  <w:num w:numId="9">
    <w:abstractNumId w:val="7"/>
  </w:num>
  <w:num w:numId="10">
    <w:abstractNumId w:val="8"/>
  </w:num>
  <w:num w:numId="11">
    <w:abstractNumId w:val="13"/>
  </w:num>
  <w:num w:numId="12">
    <w:abstractNumId w:val="6"/>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rsids>
    <w:rsidRoot w:val="00051A1C"/>
    <w:rsid w:val="000006CF"/>
    <w:rsid w:val="00010573"/>
    <w:rsid w:val="0001496E"/>
    <w:rsid w:val="00016BD9"/>
    <w:rsid w:val="0001778D"/>
    <w:rsid w:val="00017DF7"/>
    <w:rsid w:val="0002038C"/>
    <w:rsid w:val="00020DC5"/>
    <w:rsid w:val="00022022"/>
    <w:rsid w:val="00022523"/>
    <w:rsid w:val="00023A89"/>
    <w:rsid w:val="00023BA6"/>
    <w:rsid w:val="00023EAD"/>
    <w:rsid w:val="00023EC3"/>
    <w:rsid w:val="0002403F"/>
    <w:rsid w:val="0002480A"/>
    <w:rsid w:val="00031B47"/>
    <w:rsid w:val="00032A9F"/>
    <w:rsid w:val="000331F5"/>
    <w:rsid w:val="000350F7"/>
    <w:rsid w:val="000364B4"/>
    <w:rsid w:val="000401EE"/>
    <w:rsid w:val="00040261"/>
    <w:rsid w:val="00040280"/>
    <w:rsid w:val="0004188B"/>
    <w:rsid w:val="000419AE"/>
    <w:rsid w:val="0004341C"/>
    <w:rsid w:val="00044751"/>
    <w:rsid w:val="00044811"/>
    <w:rsid w:val="0004526E"/>
    <w:rsid w:val="000461A6"/>
    <w:rsid w:val="00046C46"/>
    <w:rsid w:val="000518C5"/>
    <w:rsid w:val="00051A1C"/>
    <w:rsid w:val="00053B7A"/>
    <w:rsid w:val="0005514A"/>
    <w:rsid w:val="000559BB"/>
    <w:rsid w:val="0005631C"/>
    <w:rsid w:val="0005680A"/>
    <w:rsid w:val="00060FDE"/>
    <w:rsid w:val="00062879"/>
    <w:rsid w:val="00062E81"/>
    <w:rsid w:val="00065D21"/>
    <w:rsid w:val="000700EC"/>
    <w:rsid w:val="000703FA"/>
    <w:rsid w:val="00074C50"/>
    <w:rsid w:val="000751CD"/>
    <w:rsid w:val="00075C90"/>
    <w:rsid w:val="00075D28"/>
    <w:rsid w:val="00075FE6"/>
    <w:rsid w:val="0007617E"/>
    <w:rsid w:val="0008105E"/>
    <w:rsid w:val="0008118C"/>
    <w:rsid w:val="00081E56"/>
    <w:rsid w:val="00082220"/>
    <w:rsid w:val="0008397F"/>
    <w:rsid w:val="00086F78"/>
    <w:rsid w:val="000876AA"/>
    <w:rsid w:val="00087787"/>
    <w:rsid w:val="00087912"/>
    <w:rsid w:val="000879A1"/>
    <w:rsid w:val="00092C08"/>
    <w:rsid w:val="00092C69"/>
    <w:rsid w:val="00093955"/>
    <w:rsid w:val="00093E32"/>
    <w:rsid w:val="00094A86"/>
    <w:rsid w:val="00094D29"/>
    <w:rsid w:val="00094F8F"/>
    <w:rsid w:val="0009711C"/>
    <w:rsid w:val="000A0B0B"/>
    <w:rsid w:val="000A1230"/>
    <w:rsid w:val="000A1851"/>
    <w:rsid w:val="000A2285"/>
    <w:rsid w:val="000A249F"/>
    <w:rsid w:val="000A3D7C"/>
    <w:rsid w:val="000A632A"/>
    <w:rsid w:val="000A6B35"/>
    <w:rsid w:val="000A7B2A"/>
    <w:rsid w:val="000B0A3D"/>
    <w:rsid w:val="000B18FD"/>
    <w:rsid w:val="000C0894"/>
    <w:rsid w:val="000C11F7"/>
    <w:rsid w:val="000C1806"/>
    <w:rsid w:val="000C326C"/>
    <w:rsid w:val="000C328B"/>
    <w:rsid w:val="000C62B6"/>
    <w:rsid w:val="000C69A8"/>
    <w:rsid w:val="000C7F03"/>
    <w:rsid w:val="000D10A0"/>
    <w:rsid w:val="000D1DF2"/>
    <w:rsid w:val="000D3507"/>
    <w:rsid w:val="000D40AC"/>
    <w:rsid w:val="000D5A1E"/>
    <w:rsid w:val="000D689C"/>
    <w:rsid w:val="000E2002"/>
    <w:rsid w:val="000E6D22"/>
    <w:rsid w:val="000E7156"/>
    <w:rsid w:val="000F079B"/>
    <w:rsid w:val="000F099A"/>
    <w:rsid w:val="000F0B0D"/>
    <w:rsid w:val="000F0B4F"/>
    <w:rsid w:val="000F42B4"/>
    <w:rsid w:val="00101A00"/>
    <w:rsid w:val="00101C4C"/>
    <w:rsid w:val="001022F4"/>
    <w:rsid w:val="00102B64"/>
    <w:rsid w:val="00104722"/>
    <w:rsid w:val="00106FF3"/>
    <w:rsid w:val="001108E9"/>
    <w:rsid w:val="00111190"/>
    <w:rsid w:val="0011122E"/>
    <w:rsid w:val="0011132A"/>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353D"/>
    <w:rsid w:val="001342F6"/>
    <w:rsid w:val="001343E2"/>
    <w:rsid w:val="0013473F"/>
    <w:rsid w:val="0013657B"/>
    <w:rsid w:val="001420EE"/>
    <w:rsid w:val="0014373C"/>
    <w:rsid w:val="001437C1"/>
    <w:rsid w:val="001445AA"/>
    <w:rsid w:val="00151E3F"/>
    <w:rsid w:val="001526CD"/>
    <w:rsid w:val="00152866"/>
    <w:rsid w:val="001535B3"/>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686C"/>
    <w:rsid w:val="00187BCA"/>
    <w:rsid w:val="00190E51"/>
    <w:rsid w:val="00191D21"/>
    <w:rsid w:val="00193692"/>
    <w:rsid w:val="001942EB"/>
    <w:rsid w:val="001950BA"/>
    <w:rsid w:val="00195FE5"/>
    <w:rsid w:val="00197678"/>
    <w:rsid w:val="001A033A"/>
    <w:rsid w:val="001A034B"/>
    <w:rsid w:val="001A0D98"/>
    <w:rsid w:val="001A22CB"/>
    <w:rsid w:val="001A28C3"/>
    <w:rsid w:val="001A3B62"/>
    <w:rsid w:val="001A4EE7"/>
    <w:rsid w:val="001A5F95"/>
    <w:rsid w:val="001A788A"/>
    <w:rsid w:val="001B02E4"/>
    <w:rsid w:val="001B0FB3"/>
    <w:rsid w:val="001B1DEC"/>
    <w:rsid w:val="001B7153"/>
    <w:rsid w:val="001C02F2"/>
    <w:rsid w:val="001C07E0"/>
    <w:rsid w:val="001C11EA"/>
    <w:rsid w:val="001C457A"/>
    <w:rsid w:val="001C493F"/>
    <w:rsid w:val="001C5F71"/>
    <w:rsid w:val="001C68E9"/>
    <w:rsid w:val="001C75D8"/>
    <w:rsid w:val="001D0025"/>
    <w:rsid w:val="001D2D91"/>
    <w:rsid w:val="001D2F3C"/>
    <w:rsid w:val="001D3051"/>
    <w:rsid w:val="001D3987"/>
    <w:rsid w:val="001D49E8"/>
    <w:rsid w:val="001D6102"/>
    <w:rsid w:val="001D6DB1"/>
    <w:rsid w:val="001E0AB6"/>
    <w:rsid w:val="001E1180"/>
    <w:rsid w:val="001E155F"/>
    <w:rsid w:val="001E20B3"/>
    <w:rsid w:val="001E3003"/>
    <w:rsid w:val="001E32B2"/>
    <w:rsid w:val="001E4130"/>
    <w:rsid w:val="001E4513"/>
    <w:rsid w:val="001E6859"/>
    <w:rsid w:val="001E6BA1"/>
    <w:rsid w:val="001E6CEC"/>
    <w:rsid w:val="001E7771"/>
    <w:rsid w:val="001F1DDC"/>
    <w:rsid w:val="001F1DDE"/>
    <w:rsid w:val="001F2F1B"/>
    <w:rsid w:val="001F31EB"/>
    <w:rsid w:val="001F39B6"/>
    <w:rsid w:val="001F4934"/>
    <w:rsid w:val="001F6BC5"/>
    <w:rsid w:val="001F76D3"/>
    <w:rsid w:val="0020206A"/>
    <w:rsid w:val="00202099"/>
    <w:rsid w:val="00205006"/>
    <w:rsid w:val="002070E9"/>
    <w:rsid w:val="002105B1"/>
    <w:rsid w:val="00210B37"/>
    <w:rsid w:val="0021148A"/>
    <w:rsid w:val="00211906"/>
    <w:rsid w:val="00216724"/>
    <w:rsid w:val="00217705"/>
    <w:rsid w:val="002209CB"/>
    <w:rsid w:val="00221576"/>
    <w:rsid w:val="0022195A"/>
    <w:rsid w:val="00226A91"/>
    <w:rsid w:val="00231B6A"/>
    <w:rsid w:val="00232CEC"/>
    <w:rsid w:val="00233132"/>
    <w:rsid w:val="00234B35"/>
    <w:rsid w:val="002352C7"/>
    <w:rsid w:val="00235360"/>
    <w:rsid w:val="0023643A"/>
    <w:rsid w:val="00236630"/>
    <w:rsid w:val="00236F7C"/>
    <w:rsid w:val="00241EAF"/>
    <w:rsid w:val="00243493"/>
    <w:rsid w:val="0024551A"/>
    <w:rsid w:val="00245E4D"/>
    <w:rsid w:val="0024688C"/>
    <w:rsid w:val="00250E14"/>
    <w:rsid w:val="00251191"/>
    <w:rsid w:val="00252F83"/>
    <w:rsid w:val="00253E28"/>
    <w:rsid w:val="00260F8B"/>
    <w:rsid w:val="00262B6A"/>
    <w:rsid w:val="0026440F"/>
    <w:rsid w:val="00266AD1"/>
    <w:rsid w:val="00271D97"/>
    <w:rsid w:val="00272653"/>
    <w:rsid w:val="00272DE6"/>
    <w:rsid w:val="00273157"/>
    <w:rsid w:val="002742A1"/>
    <w:rsid w:val="00275599"/>
    <w:rsid w:val="00282642"/>
    <w:rsid w:val="002845C6"/>
    <w:rsid w:val="0028551C"/>
    <w:rsid w:val="002857CA"/>
    <w:rsid w:val="0028615F"/>
    <w:rsid w:val="00290C29"/>
    <w:rsid w:val="0029194F"/>
    <w:rsid w:val="00291DAD"/>
    <w:rsid w:val="00291E72"/>
    <w:rsid w:val="0029403B"/>
    <w:rsid w:val="00295754"/>
    <w:rsid w:val="00297DDD"/>
    <w:rsid w:val="002A0184"/>
    <w:rsid w:val="002A1432"/>
    <w:rsid w:val="002A1939"/>
    <w:rsid w:val="002A46CA"/>
    <w:rsid w:val="002A49D0"/>
    <w:rsid w:val="002A725C"/>
    <w:rsid w:val="002B0032"/>
    <w:rsid w:val="002B1284"/>
    <w:rsid w:val="002B2135"/>
    <w:rsid w:val="002B2650"/>
    <w:rsid w:val="002B29C1"/>
    <w:rsid w:val="002B3DFA"/>
    <w:rsid w:val="002B5A80"/>
    <w:rsid w:val="002B5D9A"/>
    <w:rsid w:val="002B5E1D"/>
    <w:rsid w:val="002B6C72"/>
    <w:rsid w:val="002C13CF"/>
    <w:rsid w:val="002C2306"/>
    <w:rsid w:val="002C2D27"/>
    <w:rsid w:val="002C3028"/>
    <w:rsid w:val="002C3857"/>
    <w:rsid w:val="002C3F14"/>
    <w:rsid w:val="002C5D12"/>
    <w:rsid w:val="002C605B"/>
    <w:rsid w:val="002C6AD5"/>
    <w:rsid w:val="002D0DEF"/>
    <w:rsid w:val="002D2859"/>
    <w:rsid w:val="002D33E0"/>
    <w:rsid w:val="002D3F36"/>
    <w:rsid w:val="002D48B0"/>
    <w:rsid w:val="002D599A"/>
    <w:rsid w:val="002E1C0E"/>
    <w:rsid w:val="002E4977"/>
    <w:rsid w:val="002E5090"/>
    <w:rsid w:val="002E64EC"/>
    <w:rsid w:val="002E6680"/>
    <w:rsid w:val="002E70B4"/>
    <w:rsid w:val="002E70C1"/>
    <w:rsid w:val="002F1089"/>
    <w:rsid w:val="002F1C53"/>
    <w:rsid w:val="002F25D5"/>
    <w:rsid w:val="002F2C30"/>
    <w:rsid w:val="002F35E2"/>
    <w:rsid w:val="002F3C9C"/>
    <w:rsid w:val="002F3DAD"/>
    <w:rsid w:val="002F4AA1"/>
    <w:rsid w:val="002F55B9"/>
    <w:rsid w:val="002F5C8A"/>
    <w:rsid w:val="002F6DDC"/>
    <w:rsid w:val="0030041C"/>
    <w:rsid w:val="00303ECC"/>
    <w:rsid w:val="00304FB3"/>
    <w:rsid w:val="003053E2"/>
    <w:rsid w:val="00312F4F"/>
    <w:rsid w:val="00320DFD"/>
    <w:rsid w:val="00321733"/>
    <w:rsid w:val="0032178A"/>
    <w:rsid w:val="003225AA"/>
    <w:rsid w:val="003233AF"/>
    <w:rsid w:val="00323DD9"/>
    <w:rsid w:val="00323E40"/>
    <w:rsid w:val="00327F2F"/>
    <w:rsid w:val="003312B4"/>
    <w:rsid w:val="00332010"/>
    <w:rsid w:val="00332500"/>
    <w:rsid w:val="0033566F"/>
    <w:rsid w:val="00336364"/>
    <w:rsid w:val="0033694D"/>
    <w:rsid w:val="00340B9C"/>
    <w:rsid w:val="003431F6"/>
    <w:rsid w:val="0034346D"/>
    <w:rsid w:val="0034660F"/>
    <w:rsid w:val="00350BD6"/>
    <w:rsid w:val="003536D5"/>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6E5C"/>
    <w:rsid w:val="00391A0D"/>
    <w:rsid w:val="00392AD8"/>
    <w:rsid w:val="00394632"/>
    <w:rsid w:val="00394AC9"/>
    <w:rsid w:val="00395167"/>
    <w:rsid w:val="00397A86"/>
    <w:rsid w:val="003A33E3"/>
    <w:rsid w:val="003A4FD6"/>
    <w:rsid w:val="003A5810"/>
    <w:rsid w:val="003A58AA"/>
    <w:rsid w:val="003A68AD"/>
    <w:rsid w:val="003A71D9"/>
    <w:rsid w:val="003A743D"/>
    <w:rsid w:val="003B18AC"/>
    <w:rsid w:val="003B27A7"/>
    <w:rsid w:val="003B3788"/>
    <w:rsid w:val="003B5988"/>
    <w:rsid w:val="003C1A61"/>
    <w:rsid w:val="003C1A7F"/>
    <w:rsid w:val="003C341E"/>
    <w:rsid w:val="003C71C8"/>
    <w:rsid w:val="003D19D5"/>
    <w:rsid w:val="003D2D26"/>
    <w:rsid w:val="003D55EC"/>
    <w:rsid w:val="003D6FF6"/>
    <w:rsid w:val="003E093F"/>
    <w:rsid w:val="003E1C44"/>
    <w:rsid w:val="003E5FE9"/>
    <w:rsid w:val="003E6BA0"/>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2639"/>
    <w:rsid w:val="00413FE9"/>
    <w:rsid w:val="004142AE"/>
    <w:rsid w:val="00415285"/>
    <w:rsid w:val="00422021"/>
    <w:rsid w:val="00425F1A"/>
    <w:rsid w:val="00425FA9"/>
    <w:rsid w:val="00427E7B"/>
    <w:rsid w:val="00435509"/>
    <w:rsid w:val="00436B22"/>
    <w:rsid w:val="00437540"/>
    <w:rsid w:val="0043756A"/>
    <w:rsid w:val="00443CA4"/>
    <w:rsid w:val="00444DC2"/>
    <w:rsid w:val="00445515"/>
    <w:rsid w:val="00445E18"/>
    <w:rsid w:val="0044734E"/>
    <w:rsid w:val="00451DF3"/>
    <w:rsid w:val="00452170"/>
    <w:rsid w:val="00452DC4"/>
    <w:rsid w:val="0045306C"/>
    <w:rsid w:val="004543CC"/>
    <w:rsid w:val="0045495E"/>
    <w:rsid w:val="0045670D"/>
    <w:rsid w:val="004612BD"/>
    <w:rsid w:val="004614BE"/>
    <w:rsid w:val="00461752"/>
    <w:rsid w:val="0046222A"/>
    <w:rsid w:val="00463E49"/>
    <w:rsid w:val="0047035C"/>
    <w:rsid w:val="0047129B"/>
    <w:rsid w:val="0047285A"/>
    <w:rsid w:val="00472AC0"/>
    <w:rsid w:val="004733BB"/>
    <w:rsid w:val="00476A6E"/>
    <w:rsid w:val="00480AFD"/>
    <w:rsid w:val="004832CE"/>
    <w:rsid w:val="004837AB"/>
    <w:rsid w:val="0048532F"/>
    <w:rsid w:val="004853DD"/>
    <w:rsid w:val="00487AEB"/>
    <w:rsid w:val="004943E5"/>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2B40"/>
    <w:rsid w:val="004C6D39"/>
    <w:rsid w:val="004D014F"/>
    <w:rsid w:val="004D49BE"/>
    <w:rsid w:val="004D5B1B"/>
    <w:rsid w:val="004D60D4"/>
    <w:rsid w:val="004D6704"/>
    <w:rsid w:val="004D6813"/>
    <w:rsid w:val="004D7897"/>
    <w:rsid w:val="004E0E1B"/>
    <w:rsid w:val="004E1B75"/>
    <w:rsid w:val="004E3019"/>
    <w:rsid w:val="004E37E9"/>
    <w:rsid w:val="004F3397"/>
    <w:rsid w:val="004F3D53"/>
    <w:rsid w:val="004F3F9F"/>
    <w:rsid w:val="004F68A9"/>
    <w:rsid w:val="00502C2B"/>
    <w:rsid w:val="00503B34"/>
    <w:rsid w:val="00504667"/>
    <w:rsid w:val="00505E68"/>
    <w:rsid w:val="00506220"/>
    <w:rsid w:val="00507B6B"/>
    <w:rsid w:val="00511CEB"/>
    <w:rsid w:val="0051270C"/>
    <w:rsid w:val="00515648"/>
    <w:rsid w:val="00515706"/>
    <w:rsid w:val="005212B1"/>
    <w:rsid w:val="00523695"/>
    <w:rsid w:val="00524751"/>
    <w:rsid w:val="0052523D"/>
    <w:rsid w:val="00525855"/>
    <w:rsid w:val="00526F21"/>
    <w:rsid w:val="00527A13"/>
    <w:rsid w:val="00530D0A"/>
    <w:rsid w:val="00531C98"/>
    <w:rsid w:val="00531E74"/>
    <w:rsid w:val="00533845"/>
    <w:rsid w:val="00534EF5"/>
    <w:rsid w:val="00536F46"/>
    <w:rsid w:val="0054229B"/>
    <w:rsid w:val="0054254F"/>
    <w:rsid w:val="0054334B"/>
    <w:rsid w:val="0054383D"/>
    <w:rsid w:val="005456A4"/>
    <w:rsid w:val="00545862"/>
    <w:rsid w:val="005473E7"/>
    <w:rsid w:val="00550437"/>
    <w:rsid w:val="00553314"/>
    <w:rsid w:val="0055342C"/>
    <w:rsid w:val="005540B9"/>
    <w:rsid w:val="005548BD"/>
    <w:rsid w:val="005557A1"/>
    <w:rsid w:val="00556A19"/>
    <w:rsid w:val="00557784"/>
    <w:rsid w:val="0056168A"/>
    <w:rsid w:val="00562116"/>
    <w:rsid w:val="0056303D"/>
    <w:rsid w:val="00564B00"/>
    <w:rsid w:val="00565F33"/>
    <w:rsid w:val="00566694"/>
    <w:rsid w:val="00570845"/>
    <w:rsid w:val="00570F7B"/>
    <w:rsid w:val="00570F82"/>
    <w:rsid w:val="005715E6"/>
    <w:rsid w:val="00572022"/>
    <w:rsid w:val="005727D4"/>
    <w:rsid w:val="00572B38"/>
    <w:rsid w:val="005749A7"/>
    <w:rsid w:val="00574FA8"/>
    <w:rsid w:val="0057502B"/>
    <w:rsid w:val="005759D8"/>
    <w:rsid w:val="00575A23"/>
    <w:rsid w:val="00580558"/>
    <w:rsid w:val="005807AF"/>
    <w:rsid w:val="00581270"/>
    <w:rsid w:val="00581E42"/>
    <w:rsid w:val="00582808"/>
    <w:rsid w:val="005842AC"/>
    <w:rsid w:val="00584D91"/>
    <w:rsid w:val="00585F96"/>
    <w:rsid w:val="00586D5D"/>
    <w:rsid w:val="00592472"/>
    <w:rsid w:val="0059541B"/>
    <w:rsid w:val="00595DFB"/>
    <w:rsid w:val="005968B7"/>
    <w:rsid w:val="005A0203"/>
    <w:rsid w:val="005A0358"/>
    <w:rsid w:val="005A1572"/>
    <w:rsid w:val="005A5899"/>
    <w:rsid w:val="005A5968"/>
    <w:rsid w:val="005A64CD"/>
    <w:rsid w:val="005A6E26"/>
    <w:rsid w:val="005B073D"/>
    <w:rsid w:val="005B143B"/>
    <w:rsid w:val="005B2CE0"/>
    <w:rsid w:val="005B4AA4"/>
    <w:rsid w:val="005C0F88"/>
    <w:rsid w:val="005C48CC"/>
    <w:rsid w:val="005C5317"/>
    <w:rsid w:val="005D106F"/>
    <w:rsid w:val="005D2A92"/>
    <w:rsid w:val="005D2CAC"/>
    <w:rsid w:val="005D3DEE"/>
    <w:rsid w:val="005D4452"/>
    <w:rsid w:val="005D4D8A"/>
    <w:rsid w:val="005E1132"/>
    <w:rsid w:val="005E627E"/>
    <w:rsid w:val="005E6A79"/>
    <w:rsid w:val="005F2C42"/>
    <w:rsid w:val="005F5711"/>
    <w:rsid w:val="006007D6"/>
    <w:rsid w:val="006017BB"/>
    <w:rsid w:val="00603A61"/>
    <w:rsid w:val="00603B17"/>
    <w:rsid w:val="00611275"/>
    <w:rsid w:val="00611B0E"/>
    <w:rsid w:val="00612FE3"/>
    <w:rsid w:val="00617EAE"/>
    <w:rsid w:val="00621CE5"/>
    <w:rsid w:val="00623154"/>
    <w:rsid w:val="00623AE2"/>
    <w:rsid w:val="00624CE3"/>
    <w:rsid w:val="00626EFE"/>
    <w:rsid w:val="006303F8"/>
    <w:rsid w:val="0063122B"/>
    <w:rsid w:val="00633A90"/>
    <w:rsid w:val="00634A76"/>
    <w:rsid w:val="00635F13"/>
    <w:rsid w:val="00636F5B"/>
    <w:rsid w:val="00640263"/>
    <w:rsid w:val="00641487"/>
    <w:rsid w:val="00641585"/>
    <w:rsid w:val="006419FF"/>
    <w:rsid w:val="0064310B"/>
    <w:rsid w:val="00643D50"/>
    <w:rsid w:val="00643EA4"/>
    <w:rsid w:val="006446A6"/>
    <w:rsid w:val="006450C2"/>
    <w:rsid w:val="00645213"/>
    <w:rsid w:val="00645C03"/>
    <w:rsid w:val="00646424"/>
    <w:rsid w:val="006526A1"/>
    <w:rsid w:val="00653354"/>
    <w:rsid w:val="00653419"/>
    <w:rsid w:val="006559AC"/>
    <w:rsid w:val="00656B85"/>
    <w:rsid w:val="00656CBC"/>
    <w:rsid w:val="00656EA7"/>
    <w:rsid w:val="0065733C"/>
    <w:rsid w:val="00657610"/>
    <w:rsid w:val="006605C7"/>
    <w:rsid w:val="0066117F"/>
    <w:rsid w:val="00662DF2"/>
    <w:rsid w:val="0066675E"/>
    <w:rsid w:val="00666E06"/>
    <w:rsid w:val="00670776"/>
    <w:rsid w:val="00670D7F"/>
    <w:rsid w:val="00672058"/>
    <w:rsid w:val="006721D7"/>
    <w:rsid w:val="006726FB"/>
    <w:rsid w:val="0067290E"/>
    <w:rsid w:val="00673220"/>
    <w:rsid w:val="00674E83"/>
    <w:rsid w:val="0067660E"/>
    <w:rsid w:val="006771FC"/>
    <w:rsid w:val="00681332"/>
    <w:rsid w:val="0068626A"/>
    <w:rsid w:val="00686DC1"/>
    <w:rsid w:val="0068746E"/>
    <w:rsid w:val="00687949"/>
    <w:rsid w:val="00687D5D"/>
    <w:rsid w:val="00687FC1"/>
    <w:rsid w:val="00692632"/>
    <w:rsid w:val="00694C8F"/>
    <w:rsid w:val="0069680F"/>
    <w:rsid w:val="00696EFF"/>
    <w:rsid w:val="006A35B8"/>
    <w:rsid w:val="006A5E10"/>
    <w:rsid w:val="006A60F3"/>
    <w:rsid w:val="006A64E5"/>
    <w:rsid w:val="006B1174"/>
    <w:rsid w:val="006B1587"/>
    <w:rsid w:val="006B2120"/>
    <w:rsid w:val="006B2CDB"/>
    <w:rsid w:val="006B2FB5"/>
    <w:rsid w:val="006B3FEE"/>
    <w:rsid w:val="006B669A"/>
    <w:rsid w:val="006B7013"/>
    <w:rsid w:val="006C21D2"/>
    <w:rsid w:val="006C74FF"/>
    <w:rsid w:val="006C7DDE"/>
    <w:rsid w:val="006D0547"/>
    <w:rsid w:val="006D3EC5"/>
    <w:rsid w:val="006D45E1"/>
    <w:rsid w:val="006D4755"/>
    <w:rsid w:val="006D49BD"/>
    <w:rsid w:val="006D6609"/>
    <w:rsid w:val="006D7A15"/>
    <w:rsid w:val="006E0234"/>
    <w:rsid w:val="006E0F0C"/>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3DE8"/>
    <w:rsid w:val="00713FE4"/>
    <w:rsid w:val="00715B84"/>
    <w:rsid w:val="007175BD"/>
    <w:rsid w:val="00717D11"/>
    <w:rsid w:val="00722800"/>
    <w:rsid w:val="00723AD0"/>
    <w:rsid w:val="00727B39"/>
    <w:rsid w:val="0073363A"/>
    <w:rsid w:val="00735911"/>
    <w:rsid w:val="00735F67"/>
    <w:rsid w:val="00740F76"/>
    <w:rsid w:val="00744650"/>
    <w:rsid w:val="00752565"/>
    <w:rsid w:val="00752662"/>
    <w:rsid w:val="0075368F"/>
    <w:rsid w:val="007545DD"/>
    <w:rsid w:val="007560F0"/>
    <w:rsid w:val="007565E0"/>
    <w:rsid w:val="00757C4D"/>
    <w:rsid w:val="00760F9F"/>
    <w:rsid w:val="00763141"/>
    <w:rsid w:val="007652CA"/>
    <w:rsid w:val="007667EC"/>
    <w:rsid w:val="00770756"/>
    <w:rsid w:val="00771460"/>
    <w:rsid w:val="00771DF1"/>
    <w:rsid w:val="007756CD"/>
    <w:rsid w:val="007812D1"/>
    <w:rsid w:val="00781671"/>
    <w:rsid w:val="00783E28"/>
    <w:rsid w:val="0078572B"/>
    <w:rsid w:val="00787D01"/>
    <w:rsid w:val="00790A31"/>
    <w:rsid w:val="0079215A"/>
    <w:rsid w:val="00792C43"/>
    <w:rsid w:val="007952DD"/>
    <w:rsid w:val="00797404"/>
    <w:rsid w:val="007A0784"/>
    <w:rsid w:val="007A122F"/>
    <w:rsid w:val="007A1919"/>
    <w:rsid w:val="007A5FB2"/>
    <w:rsid w:val="007A6598"/>
    <w:rsid w:val="007A7C8B"/>
    <w:rsid w:val="007B2107"/>
    <w:rsid w:val="007B5209"/>
    <w:rsid w:val="007B5C03"/>
    <w:rsid w:val="007C0858"/>
    <w:rsid w:val="007C4095"/>
    <w:rsid w:val="007C4099"/>
    <w:rsid w:val="007C4A52"/>
    <w:rsid w:val="007C57CD"/>
    <w:rsid w:val="007C782F"/>
    <w:rsid w:val="007D021B"/>
    <w:rsid w:val="007D132E"/>
    <w:rsid w:val="007D28CF"/>
    <w:rsid w:val="007D3BCC"/>
    <w:rsid w:val="007D45B5"/>
    <w:rsid w:val="007D4B95"/>
    <w:rsid w:val="007D4C79"/>
    <w:rsid w:val="007D5722"/>
    <w:rsid w:val="007D703B"/>
    <w:rsid w:val="007D7B79"/>
    <w:rsid w:val="007E0B71"/>
    <w:rsid w:val="007E21EC"/>
    <w:rsid w:val="007E2BDE"/>
    <w:rsid w:val="007E5047"/>
    <w:rsid w:val="007E63FA"/>
    <w:rsid w:val="007F1156"/>
    <w:rsid w:val="007F2A84"/>
    <w:rsid w:val="007F2B5D"/>
    <w:rsid w:val="007F3390"/>
    <w:rsid w:val="007F3581"/>
    <w:rsid w:val="007F72A8"/>
    <w:rsid w:val="007F7C4B"/>
    <w:rsid w:val="0080035F"/>
    <w:rsid w:val="00804DD6"/>
    <w:rsid w:val="00804E4E"/>
    <w:rsid w:val="00805AF2"/>
    <w:rsid w:val="008061A5"/>
    <w:rsid w:val="0081067C"/>
    <w:rsid w:val="00810E47"/>
    <w:rsid w:val="008134E4"/>
    <w:rsid w:val="0081374A"/>
    <w:rsid w:val="00815001"/>
    <w:rsid w:val="008164E0"/>
    <w:rsid w:val="00817EBE"/>
    <w:rsid w:val="00817F1B"/>
    <w:rsid w:val="00820CDF"/>
    <w:rsid w:val="0082170C"/>
    <w:rsid w:val="00822D82"/>
    <w:rsid w:val="00825EF0"/>
    <w:rsid w:val="00826192"/>
    <w:rsid w:val="00831928"/>
    <w:rsid w:val="008321E8"/>
    <w:rsid w:val="00832F8E"/>
    <w:rsid w:val="00833D31"/>
    <w:rsid w:val="008361C3"/>
    <w:rsid w:val="00837E60"/>
    <w:rsid w:val="00841D0C"/>
    <w:rsid w:val="00841E0F"/>
    <w:rsid w:val="00842F1F"/>
    <w:rsid w:val="00844751"/>
    <w:rsid w:val="008447F2"/>
    <w:rsid w:val="0084592A"/>
    <w:rsid w:val="00846BCF"/>
    <w:rsid w:val="00847124"/>
    <w:rsid w:val="00850D9A"/>
    <w:rsid w:val="008520C3"/>
    <w:rsid w:val="008530B9"/>
    <w:rsid w:val="00854D50"/>
    <w:rsid w:val="00860888"/>
    <w:rsid w:val="0086170A"/>
    <w:rsid w:val="00864C89"/>
    <w:rsid w:val="0087453A"/>
    <w:rsid w:val="00874B9F"/>
    <w:rsid w:val="00874EED"/>
    <w:rsid w:val="008751D7"/>
    <w:rsid w:val="00875DE7"/>
    <w:rsid w:val="008817B7"/>
    <w:rsid w:val="0088309F"/>
    <w:rsid w:val="008832C4"/>
    <w:rsid w:val="00883458"/>
    <w:rsid w:val="00884187"/>
    <w:rsid w:val="00885691"/>
    <w:rsid w:val="00890451"/>
    <w:rsid w:val="00890A41"/>
    <w:rsid w:val="00890FF5"/>
    <w:rsid w:val="00895AAA"/>
    <w:rsid w:val="00896E66"/>
    <w:rsid w:val="008974D5"/>
    <w:rsid w:val="00897FD3"/>
    <w:rsid w:val="008A1044"/>
    <w:rsid w:val="008A3670"/>
    <w:rsid w:val="008A4E49"/>
    <w:rsid w:val="008A4E9F"/>
    <w:rsid w:val="008A5924"/>
    <w:rsid w:val="008A652A"/>
    <w:rsid w:val="008A6BF2"/>
    <w:rsid w:val="008A7545"/>
    <w:rsid w:val="008B2B87"/>
    <w:rsid w:val="008B2F47"/>
    <w:rsid w:val="008B3998"/>
    <w:rsid w:val="008B468D"/>
    <w:rsid w:val="008B5A5A"/>
    <w:rsid w:val="008B7445"/>
    <w:rsid w:val="008B75DB"/>
    <w:rsid w:val="008C10FA"/>
    <w:rsid w:val="008C2C5E"/>
    <w:rsid w:val="008C3050"/>
    <w:rsid w:val="008C432F"/>
    <w:rsid w:val="008C5A12"/>
    <w:rsid w:val="008C5DA9"/>
    <w:rsid w:val="008D35AB"/>
    <w:rsid w:val="008D69E8"/>
    <w:rsid w:val="008E007A"/>
    <w:rsid w:val="008E1612"/>
    <w:rsid w:val="008E2128"/>
    <w:rsid w:val="008E2D79"/>
    <w:rsid w:val="008E43E1"/>
    <w:rsid w:val="008E4ED4"/>
    <w:rsid w:val="008E593B"/>
    <w:rsid w:val="008E60A1"/>
    <w:rsid w:val="008E6C07"/>
    <w:rsid w:val="008E7E47"/>
    <w:rsid w:val="008F08A4"/>
    <w:rsid w:val="008F1146"/>
    <w:rsid w:val="008F32EF"/>
    <w:rsid w:val="008F3F39"/>
    <w:rsid w:val="008F4E95"/>
    <w:rsid w:val="008F738A"/>
    <w:rsid w:val="008F7EE4"/>
    <w:rsid w:val="00903AF4"/>
    <w:rsid w:val="009048CA"/>
    <w:rsid w:val="009057AE"/>
    <w:rsid w:val="00906472"/>
    <w:rsid w:val="009072E8"/>
    <w:rsid w:val="00907682"/>
    <w:rsid w:val="00907FDA"/>
    <w:rsid w:val="0091213A"/>
    <w:rsid w:val="009125C8"/>
    <w:rsid w:val="00912CDC"/>
    <w:rsid w:val="00912DE3"/>
    <w:rsid w:val="00914B80"/>
    <w:rsid w:val="00916CCF"/>
    <w:rsid w:val="00916CEF"/>
    <w:rsid w:val="00921A8D"/>
    <w:rsid w:val="00922347"/>
    <w:rsid w:val="009239C5"/>
    <w:rsid w:val="009257DB"/>
    <w:rsid w:val="009275C9"/>
    <w:rsid w:val="0092787E"/>
    <w:rsid w:val="00927B54"/>
    <w:rsid w:val="00934387"/>
    <w:rsid w:val="00934CE1"/>
    <w:rsid w:val="00937B91"/>
    <w:rsid w:val="00942202"/>
    <w:rsid w:val="009422B9"/>
    <w:rsid w:val="009466AE"/>
    <w:rsid w:val="00947C31"/>
    <w:rsid w:val="009512D2"/>
    <w:rsid w:val="00952C19"/>
    <w:rsid w:val="0095449B"/>
    <w:rsid w:val="00954E9D"/>
    <w:rsid w:val="00955292"/>
    <w:rsid w:val="009561E1"/>
    <w:rsid w:val="009566DF"/>
    <w:rsid w:val="00956BE0"/>
    <w:rsid w:val="00964137"/>
    <w:rsid w:val="009669AC"/>
    <w:rsid w:val="00971CF8"/>
    <w:rsid w:val="0097543B"/>
    <w:rsid w:val="0097574B"/>
    <w:rsid w:val="00977C9D"/>
    <w:rsid w:val="00982293"/>
    <w:rsid w:val="009848F8"/>
    <w:rsid w:val="0098570E"/>
    <w:rsid w:val="00987B37"/>
    <w:rsid w:val="00991D8E"/>
    <w:rsid w:val="009A07F7"/>
    <w:rsid w:val="009A1AD8"/>
    <w:rsid w:val="009A3B53"/>
    <w:rsid w:val="009A3F95"/>
    <w:rsid w:val="009A4137"/>
    <w:rsid w:val="009A690C"/>
    <w:rsid w:val="009A7369"/>
    <w:rsid w:val="009B0A7B"/>
    <w:rsid w:val="009B1E40"/>
    <w:rsid w:val="009B2734"/>
    <w:rsid w:val="009B3E22"/>
    <w:rsid w:val="009B4456"/>
    <w:rsid w:val="009B4D86"/>
    <w:rsid w:val="009B5142"/>
    <w:rsid w:val="009B5305"/>
    <w:rsid w:val="009B6DF7"/>
    <w:rsid w:val="009B7177"/>
    <w:rsid w:val="009B7188"/>
    <w:rsid w:val="009B78CA"/>
    <w:rsid w:val="009C2018"/>
    <w:rsid w:val="009C3139"/>
    <w:rsid w:val="009C449D"/>
    <w:rsid w:val="009C4F84"/>
    <w:rsid w:val="009C70D7"/>
    <w:rsid w:val="009C7705"/>
    <w:rsid w:val="009C7DED"/>
    <w:rsid w:val="009C7F06"/>
    <w:rsid w:val="009D02B6"/>
    <w:rsid w:val="009D0F62"/>
    <w:rsid w:val="009D4640"/>
    <w:rsid w:val="009D6D8F"/>
    <w:rsid w:val="009E053A"/>
    <w:rsid w:val="009E3028"/>
    <w:rsid w:val="009E4020"/>
    <w:rsid w:val="009E55C2"/>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C48"/>
    <w:rsid w:val="00A06121"/>
    <w:rsid w:val="00A065DA"/>
    <w:rsid w:val="00A0723C"/>
    <w:rsid w:val="00A0772D"/>
    <w:rsid w:val="00A07B3B"/>
    <w:rsid w:val="00A10AE8"/>
    <w:rsid w:val="00A11B1F"/>
    <w:rsid w:val="00A11DF0"/>
    <w:rsid w:val="00A12CFF"/>
    <w:rsid w:val="00A1405D"/>
    <w:rsid w:val="00A15840"/>
    <w:rsid w:val="00A2076A"/>
    <w:rsid w:val="00A20B68"/>
    <w:rsid w:val="00A25691"/>
    <w:rsid w:val="00A259C5"/>
    <w:rsid w:val="00A260D9"/>
    <w:rsid w:val="00A31701"/>
    <w:rsid w:val="00A3480D"/>
    <w:rsid w:val="00A34B7C"/>
    <w:rsid w:val="00A35D22"/>
    <w:rsid w:val="00A374FB"/>
    <w:rsid w:val="00A45172"/>
    <w:rsid w:val="00A456AA"/>
    <w:rsid w:val="00A478CF"/>
    <w:rsid w:val="00A47ABD"/>
    <w:rsid w:val="00A524BD"/>
    <w:rsid w:val="00A53466"/>
    <w:rsid w:val="00A53705"/>
    <w:rsid w:val="00A53E1A"/>
    <w:rsid w:val="00A56161"/>
    <w:rsid w:val="00A573C2"/>
    <w:rsid w:val="00A5789D"/>
    <w:rsid w:val="00A61668"/>
    <w:rsid w:val="00A666EA"/>
    <w:rsid w:val="00A678BC"/>
    <w:rsid w:val="00A67BC9"/>
    <w:rsid w:val="00A70BBA"/>
    <w:rsid w:val="00A723F7"/>
    <w:rsid w:val="00A745BF"/>
    <w:rsid w:val="00A7474F"/>
    <w:rsid w:val="00A74F92"/>
    <w:rsid w:val="00A7585E"/>
    <w:rsid w:val="00A75DBC"/>
    <w:rsid w:val="00A75FE0"/>
    <w:rsid w:val="00A76668"/>
    <w:rsid w:val="00A82B3C"/>
    <w:rsid w:val="00A86DA7"/>
    <w:rsid w:val="00A86F66"/>
    <w:rsid w:val="00A90FB8"/>
    <w:rsid w:val="00A95059"/>
    <w:rsid w:val="00A95CF7"/>
    <w:rsid w:val="00A9791B"/>
    <w:rsid w:val="00AA2652"/>
    <w:rsid w:val="00AA7901"/>
    <w:rsid w:val="00AB2A1F"/>
    <w:rsid w:val="00AB380B"/>
    <w:rsid w:val="00AB433B"/>
    <w:rsid w:val="00AB4BCB"/>
    <w:rsid w:val="00AB5265"/>
    <w:rsid w:val="00AB551F"/>
    <w:rsid w:val="00AB6B17"/>
    <w:rsid w:val="00AB7CE1"/>
    <w:rsid w:val="00AC0B8D"/>
    <w:rsid w:val="00AC1EA1"/>
    <w:rsid w:val="00AC51C4"/>
    <w:rsid w:val="00AD07E9"/>
    <w:rsid w:val="00AD4A55"/>
    <w:rsid w:val="00AD4AEA"/>
    <w:rsid w:val="00AD528C"/>
    <w:rsid w:val="00AD63DB"/>
    <w:rsid w:val="00AE0DCA"/>
    <w:rsid w:val="00AE298A"/>
    <w:rsid w:val="00AE2E33"/>
    <w:rsid w:val="00AE619C"/>
    <w:rsid w:val="00AE7341"/>
    <w:rsid w:val="00AF1DE6"/>
    <w:rsid w:val="00AF3793"/>
    <w:rsid w:val="00AF44AF"/>
    <w:rsid w:val="00AF53F0"/>
    <w:rsid w:val="00B0017C"/>
    <w:rsid w:val="00B03693"/>
    <w:rsid w:val="00B04B2A"/>
    <w:rsid w:val="00B06149"/>
    <w:rsid w:val="00B115B5"/>
    <w:rsid w:val="00B115D0"/>
    <w:rsid w:val="00B13C3A"/>
    <w:rsid w:val="00B15208"/>
    <w:rsid w:val="00B15B83"/>
    <w:rsid w:val="00B16A64"/>
    <w:rsid w:val="00B202CB"/>
    <w:rsid w:val="00B223EB"/>
    <w:rsid w:val="00B23B86"/>
    <w:rsid w:val="00B250C5"/>
    <w:rsid w:val="00B25A49"/>
    <w:rsid w:val="00B31260"/>
    <w:rsid w:val="00B3195A"/>
    <w:rsid w:val="00B31994"/>
    <w:rsid w:val="00B319F8"/>
    <w:rsid w:val="00B32FF9"/>
    <w:rsid w:val="00B33C07"/>
    <w:rsid w:val="00B3546D"/>
    <w:rsid w:val="00B3622E"/>
    <w:rsid w:val="00B403D6"/>
    <w:rsid w:val="00B40722"/>
    <w:rsid w:val="00B43465"/>
    <w:rsid w:val="00B43976"/>
    <w:rsid w:val="00B43D3B"/>
    <w:rsid w:val="00B509FB"/>
    <w:rsid w:val="00B50FF5"/>
    <w:rsid w:val="00B516DB"/>
    <w:rsid w:val="00B52A17"/>
    <w:rsid w:val="00B52F1B"/>
    <w:rsid w:val="00B5458B"/>
    <w:rsid w:val="00B55987"/>
    <w:rsid w:val="00B56A68"/>
    <w:rsid w:val="00B56FBC"/>
    <w:rsid w:val="00B57EE4"/>
    <w:rsid w:val="00B62302"/>
    <w:rsid w:val="00B632A3"/>
    <w:rsid w:val="00B63B8D"/>
    <w:rsid w:val="00B6722B"/>
    <w:rsid w:val="00B709B6"/>
    <w:rsid w:val="00B70FC8"/>
    <w:rsid w:val="00B712D0"/>
    <w:rsid w:val="00B71713"/>
    <w:rsid w:val="00B722C7"/>
    <w:rsid w:val="00B75FAB"/>
    <w:rsid w:val="00B76575"/>
    <w:rsid w:val="00B76F4B"/>
    <w:rsid w:val="00B81520"/>
    <w:rsid w:val="00B8184B"/>
    <w:rsid w:val="00B818EB"/>
    <w:rsid w:val="00B83D39"/>
    <w:rsid w:val="00B84473"/>
    <w:rsid w:val="00B8465B"/>
    <w:rsid w:val="00B84FF5"/>
    <w:rsid w:val="00B8503D"/>
    <w:rsid w:val="00B85A0C"/>
    <w:rsid w:val="00B900A5"/>
    <w:rsid w:val="00B923BE"/>
    <w:rsid w:val="00B9292C"/>
    <w:rsid w:val="00B95B41"/>
    <w:rsid w:val="00B96CE1"/>
    <w:rsid w:val="00BA0CE5"/>
    <w:rsid w:val="00BA2CD0"/>
    <w:rsid w:val="00BA3412"/>
    <w:rsid w:val="00BA6835"/>
    <w:rsid w:val="00BA6A47"/>
    <w:rsid w:val="00BB0B79"/>
    <w:rsid w:val="00BB3A3A"/>
    <w:rsid w:val="00BB61CF"/>
    <w:rsid w:val="00BB68CD"/>
    <w:rsid w:val="00BB7397"/>
    <w:rsid w:val="00BB788F"/>
    <w:rsid w:val="00BC3F5B"/>
    <w:rsid w:val="00BC4231"/>
    <w:rsid w:val="00BC528F"/>
    <w:rsid w:val="00BC5649"/>
    <w:rsid w:val="00BC7204"/>
    <w:rsid w:val="00BD54C8"/>
    <w:rsid w:val="00BD76C0"/>
    <w:rsid w:val="00BE05D8"/>
    <w:rsid w:val="00BE09F3"/>
    <w:rsid w:val="00BE0C68"/>
    <w:rsid w:val="00BE320E"/>
    <w:rsid w:val="00BE3636"/>
    <w:rsid w:val="00BE44FA"/>
    <w:rsid w:val="00BE4BE4"/>
    <w:rsid w:val="00BF1C44"/>
    <w:rsid w:val="00BF309E"/>
    <w:rsid w:val="00BF3978"/>
    <w:rsid w:val="00BF3BC6"/>
    <w:rsid w:val="00BF41FA"/>
    <w:rsid w:val="00BF5CC3"/>
    <w:rsid w:val="00BF74B8"/>
    <w:rsid w:val="00C01058"/>
    <w:rsid w:val="00C01D30"/>
    <w:rsid w:val="00C02558"/>
    <w:rsid w:val="00C04C2C"/>
    <w:rsid w:val="00C06827"/>
    <w:rsid w:val="00C14CE1"/>
    <w:rsid w:val="00C1604E"/>
    <w:rsid w:val="00C17B13"/>
    <w:rsid w:val="00C21D87"/>
    <w:rsid w:val="00C23677"/>
    <w:rsid w:val="00C23D9A"/>
    <w:rsid w:val="00C24972"/>
    <w:rsid w:val="00C24B96"/>
    <w:rsid w:val="00C25272"/>
    <w:rsid w:val="00C26649"/>
    <w:rsid w:val="00C267DD"/>
    <w:rsid w:val="00C30246"/>
    <w:rsid w:val="00C3055C"/>
    <w:rsid w:val="00C3125C"/>
    <w:rsid w:val="00C31A86"/>
    <w:rsid w:val="00C3226E"/>
    <w:rsid w:val="00C33018"/>
    <w:rsid w:val="00C3434D"/>
    <w:rsid w:val="00C36450"/>
    <w:rsid w:val="00C37452"/>
    <w:rsid w:val="00C37760"/>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3A40"/>
    <w:rsid w:val="00C65542"/>
    <w:rsid w:val="00C6663F"/>
    <w:rsid w:val="00C67598"/>
    <w:rsid w:val="00C71E4B"/>
    <w:rsid w:val="00C722E4"/>
    <w:rsid w:val="00C74370"/>
    <w:rsid w:val="00C772C8"/>
    <w:rsid w:val="00C77E43"/>
    <w:rsid w:val="00C826AF"/>
    <w:rsid w:val="00C83002"/>
    <w:rsid w:val="00C85131"/>
    <w:rsid w:val="00C861C1"/>
    <w:rsid w:val="00C9142F"/>
    <w:rsid w:val="00C922F6"/>
    <w:rsid w:val="00C92B01"/>
    <w:rsid w:val="00C94C21"/>
    <w:rsid w:val="00C95269"/>
    <w:rsid w:val="00C9538A"/>
    <w:rsid w:val="00C97483"/>
    <w:rsid w:val="00CA0795"/>
    <w:rsid w:val="00CA13C3"/>
    <w:rsid w:val="00CA19D7"/>
    <w:rsid w:val="00CA2C99"/>
    <w:rsid w:val="00CA2CE9"/>
    <w:rsid w:val="00CA2FE9"/>
    <w:rsid w:val="00CA3654"/>
    <w:rsid w:val="00CA5E4A"/>
    <w:rsid w:val="00CA6069"/>
    <w:rsid w:val="00CB0270"/>
    <w:rsid w:val="00CB2F2B"/>
    <w:rsid w:val="00CB4A5A"/>
    <w:rsid w:val="00CB4C19"/>
    <w:rsid w:val="00CB6196"/>
    <w:rsid w:val="00CB6BCB"/>
    <w:rsid w:val="00CB7251"/>
    <w:rsid w:val="00CC14E4"/>
    <w:rsid w:val="00CC1B2C"/>
    <w:rsid w:val="00CC20BB"/>
    <w:rsid w:val="00CC353E"/>
    <w:rsid w:val="00CC3C46"/>
    <w:rsid w:val="00CC4507"/>
    <w:rsid w:val="00CC6303"/>
    <w:rsid w:val="00CC74E5"/>
    <w:rsid w:val="00CD1E1F"/>
    <w:rsid w:val="00CD26A6"/>
    <w:rsid w:val="00CD31C3"/>
    <w:rsid w:val="00CD424F"/>
    <w:rsid w:val="00CD48F4"/>
    <w:rsid w:val="00CD7164"/>
    <w:rsid w:val="00CD740C"/>
    <w:rsid w:val="00CE00A3"/>
    <w:rsid w:val="00CE0325"/>
    <w:rsid w:val="00CE0D9D"/>
    <w:rsid w:val="00CE14D4"/>
    <w:rsid w:val="00CE2B42"/>
    <w:rsid w:val="00CE3CF6"/>
    <w:rsid w:val="00CE6C22"/>
    <w:rsid w:val="00CE7987"/>
    <w:rsid w:val="00CF2B86"/>
    <w:rsid w:val="00CF40A7"/>
    <w:rsid w:val="00CF47F3"/>
    <w:rsid w:val="00CF5435"/>
    <w:rsid w:val="00CF7299"/>
    <w:rsid w:val="00CF7434"/>
    <w:rsid w:val="00D01272"/>
    <w:rsid w:val="00D0263B"/>
    <w:rsid w:val="00D0309B"/>
    <w:rsid w:val="00D0369B"/>
    <w:rsid w:val="00D041AD"/>
    <w:rsid w:val="00D042B6"/>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306F3"/>
    <w:rsid w:val="00D32B01"/>
    <w:rsid w:val="00D33BEB"/>
    <w:rsid w:val="00D359FC"/>
    <w:rsid w:val="00D41AA3"/>
    <w:rsid w:val="00D4246D"/>
    <w:rsid w:val="00D4399A"/>
    <w:rsid w:val="00D473C0"/>
    <w:rsid w:val="00D47F5D"/>
    <w:rsid w:val="00D47FAE"/>
    <w:rsid w:val="00D50E4C"/>
    <w:rsid w:val="00D50E74"/>
    <w:rsid w:val="00D548BF"/>
    <w:rsid w:val="00D55B8D"/>
    <w:rsid w:val="00D606F0"/>
    <w:rsid w:val="00D60B19"/>
    <w:rsid w:val="00D65492"/>
    <w:rsid w:val="00D704F7"/>
    <w:rsid w:val="00D70E1B"/>
    <w:rsid w:val="00D75260"/>
    <w:rsid w:val="00D75358"/>
    <w:rsid w:val="00D75A18"/>
    <w:rsid w:val="00D7651B"/>
    <w:rsid w:val="00D80C2E"/>
    <w:rsid w:val="00D8102D"/>
    <w:rsid w:val="00D81390"/>
    <w:rsid w:val="00D81B46"/>
    <w:rsid w:val="00D82E71"/>
    <w:rsid w:val="00D83E2F"/>
    <w:rsid w:val="00D87BBB"/>
    <w:rsid w:val="00D912B1"/>
    <w:rsid w:val="00D92195"/>
    <w:rsid w:val="00DA0C9F"/>
    <w:rsid w:val="00DA2F3A"/>
    <w:rsid w:val="00DA5DF8"/>
    <w:rsid w:val="00DA62C6"/>
    <w:rsid w:val="00DA75DA"/>
    <w:rsid w:val="00DB01CE"/>
    <w:rsid w:val="00DB155C"/>
    <w:rsid w:val="00DB1AAD"/>
    <w:rsid w:val="00DB2ABA"/>
    <w:rsid w:val="00DB36CD"/>
    <w:rsid w:val="00DB44B0"/>
    <w:rsid w:val="00DB4848"/>
    <w:rsid w:val="00DB4E32"/>
    <w:rsid w:val="00DB574B"/>
    <w:rsid w:val="00DB63B9"/>
    <w:rsid w:val="00DB7231"/>
    <w:rsid w:val="00DB7BC2"/>
    <w:rsid w:val="00DC14D7"/>
    <w:rsid w:val="00DC2C8A"/>
    <w:rsid w:val="00DD2256"/>
    <w:rsid w:val="00DD2393"/>
    <w:rsid w:val="00DD449D"/>
    <w:rsid w:val="00DD60E5"/>
    <w:rsid w:val="00DD7CDF"/>
    <w:rsid w:val="00DE3623"/>
    <w:rsid w:val="00DE42A2"/>
    <w:rsid w:val="00DE4791"/>
    <w:rsid w:val="00DE4960"/>
    <w:rsid w:val="00DE6093"/>
    <w:rsid w:val="00DF0395"/>
    <w:rsid w:val="00DF2479"/>
    <w:rsid w:val="00DF4002"/>
    <w:rsid w:val="00DF5418"/>
    <w:rsid w:val="00DF5B54"/>
    <w:rsid w:val="00DF6C15"/>
    <w:rsid w:val="00DF6F18"/>
    <w:rsid w:val="00E04AF5"/>
    <w:rsid w:val="00E05863"/>
    <w:rsid w:val="00E0672A"/>
    <w:rsid w:val="00E1053D"/>
    <w:rsid w:val="00E10794"/>
    <w:rsid w:val="00E12271"/>
    <w:rsid w:val="00E129A6"/>
    <w:rsid w:val="00E13AE0"/>
    <w:rsid w:val="00E13BBE"/>
    <w:rsid w:val="00E15B9B"/>
    <w:rsid w:val="00E165C9"/>
    <w:rsid w:val="00E177DE"/>
    <w:rsid w:val="00E207AF"/>
    <w:rsid w:val="00E20DCC"/>
    <w:rsid w:val="00E2369A"/>
    <w:rsid w:val="00E24823"/>
    <w:rsid w:val="00E27A85"/>
    <w:rsid w:val="00E32DB2"/>
    <w:rsid w:val="00E3474A"/>
    <w:rsid w:val="00E4510B"/>
    <w:rsid w:val="00E45CBF"/>
    <w:rsid w:val="00E46C46"/>
    <w:rsid w:val="00E472C5"/>
    <w:rsid w:val="00E5049F"/>
    <w:rsid w:val="00E532A2"/>
    <w:rsid w:val="00E535EE"/>
    <w:rsid w:val="00E55148"/>
    <w:rsid w:val="00E553AD"/>
    <w:rsid w:val="00E556F6"/>
    <w:rsid w:val="00E564A1"/>
    <w:rsid w:val="00E57F0C"/>
    <w:rsid w:val="00E60C9D"/>
    <w:rsid w:val="00E60DB9"/>
    <w:rsid w:val="00E63CC0"/>
    <w:rsid w:val="00E66A0C"/>
    <w:rsid w:val="00E675BE"/>
    <w:rsid w:val="00E7042B"/>
    <w:rsid w:val="00E7158B"/>
    <w:rsid w:val="00E71719"/>
    <w:rsid w:val="00E7205C"/>
    <w:rsid w:val="00E72F02"/>
    <w:rsid w:val="00E738C0"/>
    <w:rsid w:val="00E76692"/>
    <w:rsid w:val="00E77306"/>
    <w:rsid w:val="00E80B62"/>
    <w:rsid w:val="00E80E9B"/>
    <w:rsid w:val="00E81442"/>
    <w:rsid w:val="00E84508"/>
    <w:rsid w:val="00E86CDC"/>
    <w:rsid w:val="00E87D80"/>
    <w:rsid w:val="00E931DC"/>
    <w:rsid w:val="00E9398C"/>
    <w:rsid w:val="00EA0248"/>
    <w:rsid w:val="00EA12B1"/>
    <w:rsid w:val="00EA2165"/>
    <w:rsid w:val="00EA3AAA"/>
    <w:rsid w:val="00EA4808"/>
    <w:rsid w:val="00EA5CB8"/>
    <w:rsid w:val="00EB1AC1"/>
    <w:rsid w:val="00EB24F5"/>
    <w:rsid w:val="00EB4803"/>
    <w:rsid w:val="00EB5D54"/>
    <w:rsid w:val="00EC19AA"/>
    <w:rsid w:val="00EC21C0"/>
    <w:rsid w:val="00EC3C23"/>
    <w:rsid w:val="00EC3D25"/>
    <w:rsid w:val="00EC3F34"/>
    <w:rsid w:val="00EC466F"/>
    <w:rsid w:val="00EC5193"/>
    <w:rsid w:val="00EC6394"/>
    <w:rsid w:val="00EC6D23"/>
    <w:rsid w:val="00EC7219"/>
    <w:rsid w:val="00ED1F3B"/>
    <w:rsid w:val="00ED5237"/>
    <w:rsid w:val="00ED6914"/>
    <w:rsid w:val="00ED7219"/>
    <w:rsid w:val="00ED7266"/>
    <w:rsid w:val="00EE4281"/>
    <w:rsid w:val="00EE43E2"/>
    <w:rsid w:val="00EE4DD8"/>
    <w:rsid w:val="00EE662E"/>
    <w:rsid w:val="00EF05FC"/>
    <w:rsid w:val="00EF2BB1"/>
    <w:rsid w:val="00EF3E07"/>
    <w:rsid w:val="00EF47E5"/>
    <w:rsid w:val="00F000FB"/>
    <w:rsid w:val="00F00A1E"/>
    <w:rsid w:val="00F039AA"/>
    <w:rsid w:val="00F0507A"/>
    <w:rsid w:val="00F05A22"/>
    <w:rsid w:val="00F05C68"/>
    <w:rsid w:val="00F0696F"/>
    <w:rsid w:val="00F07CC9"/>
    <w:rsid w:val="00F11797"/>
    <w:rsid w:val="00F11FD8"/>
    <w:rsid w:val="00F120F0"/>
    <w:rsid w:val="00F12899"/>
    <w:rsid w:val="00F13E3B"/>
    <w:rsid w:val="00F15BA1"/>
    <w:rsid w:val="00F16864"/>
    <w:rsid w:val="00F17C34"/>
    <w:rsid w:val="00F21799"/>
    <w:rsid w:val="00F21EB4"/>
    <w:rsid w:val="00F25F18"/>
    <w:rsid w:val="00F26FA6"/>
    <w:rsid w:val="00F31326"/>
    <w:rsid w:val="00F33D25"/>
    <w:rsid w:val="00F362C5"/>
    <w:rsid w:val="00F36C7D"/>
    <w:rsid w:val="00F40558"/>
    <w:rsid w:val="00F459FA"/>
    <w:rsid w:val="00F46706"/>
    <w:rsid w:val="00F50B42"/>
    <w:rsid w:val="00F53AD8"/>
    <w:rsid w:val="00F563E0"/>
    <w:rsid w:val="00F60BD9"/>
    <w:rsid w:val="00F62B10"/>
    <w:rsid w:val="00F62D9F"/>
    <w:rsid w:val="00F6306B"/>
    <w:rsid w:val="00F639C8"/>
    <w:rsid w:val="00F65AD8"/>
    <w:rsid w:val="00F666AF"/>
    <w:rsid w:val="00F70B7F"/>
    <w:rsid w:val="00F72C4D"/>
    <w:rsid w:val="00F738E9"/>
    <w:rsid w:val="00F7428B"/>
    <w:rsid w:val="00F758FB"/>
    <w:rsid w:val="00F766CD"/>
    <w:rsid w:val="00F77604"/>
    <w:rsid w:val="00F82EF7"/>
    <w:rsid w:val="00F83C8A"/>
    <w:rsid w:val="00F8579C"/>
    <w:rsid w:val="00F85C3A"/>
    <w:rsid w:val="00F85EFE"/>
    <w:rsid w:val="00F876C1"/>
    <w:rsid w:val="00F87A21"/>
    <w:rsid w:val="00F87BFB"/>
    <w:rsid w:val="00F9044E"/>
    <w:rsid w:val="00F90A99"/>
    <w:rsid w:val="00F91779"/>
    <w:rsid w:val="00F924F5"/>
    <w:rsid w:val="00F92599"/>
    <w:rsid w:val="00F92D1C"/>
    <w:rsid w:val="00F93ADD"/>
    <w:rsid w:val="00F96301"/>
    <w:rsid w:val="00F96978"/>
    <w:rsid w:val="00F96D0A"/>
    <w:rsid w:val="00F9787F"/>
    <w:rsid w:val="00FA07D5"/>
    <w:rsid w:val="00FA15E0"/>
    <w:rsid w:val="00FA23E0"/>
    <w:rsid w:val="00FA3EB8"/>
    <w:rsid w:val="00FA52EA"/>
    <w:rsid w:val="00FA6EF1"/>
    <w:rsid w:val="00FB0C41"/>
    <w:rsid w:val="00FB14D0"/>
    <w:rsid w:val="00FB61D2"/>
    <w:rsid w:val="00FB6BE5"/>
    <w:rsid w:val="00FB7AC6"/>
    <w:rsid w:val="00FC23EB"/>
    <w:rsid w:val="00FC430C"/>
    <w:rsid w:val="00FD036F"/>
    <w:rsid w:val="00FD056E"/>
    <w:rsid w:val="00FD080B"/>
    <w:rsid w:val="00FD1D90"/>
    <w:rsid w:val="00FD208F"/>
    <w:rsid w:val="00FD243E"/>
    <w:rsid w:val="00FD40D7"/>
    <w:rsid w:val="00FD495A"/>
    <w:rsid w:val="00FD5F2B"/>
    <w:rsid w:val="00FE0FCD"/>
    <w:rsid w:val="00FE3954"/>
    <w:rsid w:val="00FE60A4"/>
    <w:rsid w:val="00FF1C31"/>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87D5D"/>
    <w:rPr>
      <w:sz w:val="24"/>
      <w:szCs w:val="24"/>
      <w:lang w:eastAsia="en-US"/>
    </w:rPr>
  </w:style>
  <w:style w:type="paragraph" w:styleId="ListParagraph">
    <w:name w:val="List Paragraph"/>
    <w:basedOn w:val="Normal"/>
    <w:uiPriority w:val="34"/>
    <w:qFormat/>
    <w:rsid w:val="00B63B8D"/>
    <w:pPr>
      <w:ind w:left="720"/>
      <w:contextualSpacing/>
    </w:pPr>
  </w:style>
</w:styles>
</file>

<file path=word/webSettings.xml><?xml version="1.0" encoding="utf-8"?>
<w:webSettings xmlns:r="http://schemas.openxmlformats.org/officeDocument/2006/relationships" xmlns:w="http://schemas.openxmlformats.org/wordprocessingml/2006/main">
  <w:divs>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51992841">
      <w:bodyDiv w:val="1"/>
      <w:marLeft w:val="0"/>
      <w:marRight w:val="0"/>
      <w:marTop w:val="0"/>
      <w:marBottom w:val="0"/>
      <w:divBdr>
        <w:top w:val="none" w:sz="0" w:space="0" w:color="auto"/>
        <w:left w:val="none" w:sz="0" w:space="0" w:color="auto"/>
        <w:bottom w:val="none" w:sz="0" w:space="0" w:color="auto"/>
        <w:right w:val="none" w:sz="0" w:space="0" w:color="auto"/>
      </w:divBdr>
    </w:div>
    <w:div w:id="233589059">
      <w:bodyDiv w:val="1"/>
      <w:marLeft w:val="0"/>
      <w:marRight w:val="0"/>
      <w:marTop w:val="0"/>
      <w:marBottom w:val="0"/>
      <w:divBdr>
        <w:top w:val="none" w:sz="0" w:space="0" w:color="auto"/>
        <w:left w:val="none" w:sz="0" w:space="0" w:color="auto"/>
        <w:bottom w:val="none" w:sz="0" w:space="0" w:color="auto"/>
        <w:right w:val="none" w:sz="0" w:space="0" w:color="auto"/>
      </w:divBdr>
    </w:div>
    <w:div w:id="352265464">
      <w:bodyDiv w:val="1"/>
      <w:marLeft w:val="0"/>
      <w:marRight w:val="0"/>
      <w:marTop w:val="0"/>
      <w:marBottom w:val="0"/>
      <w:divBdr>
        <w:top w:val="none" w:sz="0" w:space="0" w:color="auto"/>
        <w:left w:val="none" w:sz="0" w:space="0" w:color="auto"/>
        <w:bottom w:val="none" w:sz="0" w:space="0" w:color="auto"/>
        <w:right w:val="none" w:sz="0" w:space="0" w:color="auto"/>
      </w:divBdr>
    </w:div>
    <w:div w:id="55050567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82668615">
      <w:bodyDiv w:val="1"/>
      <w:marLeft w:val="0"/>
      <w:marRight w:val="0"/>
      <w:marTop w:val="0"/>
      <w:marBottom w:val="0"/>
      <w:divBdr>
        <w:top w:val="none" w:sz="0" w:space="0" w:color="auto"/>
        <w:left w:val="none" w:sz="0" w:space="0" w:color="auto"/>
        <w:bottom w:val="none" w:sz="0" w:space="0" w:color="auto"/>
        <w:right w:val="none" w:sz="0" w:space="0" w:color="auto"/>
      </w:divBdr>
    </w:div>
    <w:div w:id="100532918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42848005">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19822525">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325088812">
      <w:bodyDiv w:val="1"/>
      <w:marLeft w:val="0"/>
      <w:marRight w:val="0"/>
      <w:marTop w:val="0"/>
      <w:marBottom w:val="0"/>
      <w:divBdr>
        <w:top w:val="none" w:sz="0" w:space="0" w:color="auto"/>
        <w:left w:val="none" w:sz="0" w:space="0" w:color="auto"/>
        <w:bottom w:val="none" w:sz="0" w:space="0" w:color="auto"/>
        <w:right w:val="none" w:sz="0" w:space="0" w:color="auto"/>
      </w:divBdr>
    </w:div>
    <w:div w:id="1381057553">
      <w:bodyDiv w:val="1"/>
      <w:marLeft w:val="0"/>
      <w:marRight w:val="0"/>
      <w:marTop w:val="0"/>
      <w:marBottom w:val="0"/>
      <w:divBdr>
        <w:top w:val="none" w:sz="0" w:space="0" w:color="auto"/>
        <w:left w:val="none" w:sz="0" w:space="0" w:color="auto"/>
        <w:bottom w:val="none" w:sz="0" w:space="0" w:color="auto"/>
        <w:right w:val="none" w:sz="0" w:space="0" w:color="auto"/>
      </w:divBdr>
    </w:div>
    <w:div w:id="1457988348">
      <w:bodyDiv w:val="1"/>
      <w:marLeft w:val="0"/>
      <w:marRight w:val="0"/>
      <w:marTop w:val="0"/>
      <w:marBottom w:val="0"/>
      <w:divBdr>
        <w:top w:val="none" w:sz="0" w:space="0" w:color="auto"/>
        <w:left w:val="none" w:sz="0" w:space="0" w:color="auto"/>
        <w:bottom w:val="none" w:sz="0" w:space="0" w:color="auto"/>
        <w:right w:val="none" w:sz="0" w:space="0" w:color="auto"/>
      </w:divBdr>
    </w:div>
    <w:div w:id="1497648235">
      <w:bodyDiv w:val="1"/>
      <w:marLeft w:val="0"/>
      <w:marRight w:val="0"/>
      <w:marTop w:val="0"/>
      <w:marBottom w:val="0"/>
      <w:divBdr>
        <w:top w:val="none" w:sz="0" w:space="0" w:color="auto"/>
        <w:left w:val="none" w:sz="0" w:space="0" w:color="auto"/>
        <w:bottom w:val="none" w:sz="0" w:space="0" w:color="auto"/>
        <w:right w:val="none" w:sz="0" w:space="0" w:color="auto"/>
      </w:divBdr>
    </w:div>
    <w:div w:id="1542865022">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56730306">
      <w:bodyDiv w:val="1"/>
      <w:marLeft w:val="0"/>
      <w:marRight w:val="0"/>
      <w:marTop w:val="0"/>
      <w:marBottom w:val="0"/>
      <w:divBdr>
        <w:top w:val="none" w:sz="0" w:space="0" w:color="auto"/>
        <w:left w:val="none" w:sz="0" w:space="0" w:color="auto"/>
        <w:bottom w:val="none" w:sz="0" w:space="0" w:color="auto"/>
        <w:right w:val="none" w:sz="0" w:space="0" w:color="auto"/>
      </w:divBdr>
    </w:div>
    <w:div w:id="21434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4624-21D4-4481-A874-AD807EC5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1229</Words>
  <Characters>8263</Characters>
  <Application>Microsoft Office Word</Application>
  <DocSecurity>0</DocSecurity>
  <Lines>413</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19.maija noteikumos Nr.353 „Noteikumi par darbības programmas „Cilvēkresursi un nodarbinātība” papildinājuma 1.3.2.3.aktivitāti "Veselības aprūpes un veicināšanas procesā iesaistī</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19.maija noteikumos Nr.353 „Noteikumi par darbības programmas „Cilvēkresursi un nodarbinātība” papildinājuma 1.3.2.3.aktivitāti "Veselības aprūpes un veicināšanas procesā iesaistīto institūciju personāla kompetences, prasmju un iemaņu līmeņa paaugstināšana””” sākotnējās ietekmes novērtējuma ziņojums (anotācija)</dc:title>
  <dc:subject>Anotācija</dc:subject>
  <dc:creator>Dace Ozoliņa</dc:creator>
  <dc:description>Dace Ozoliņa
Tālr. 67876085
Dace.Ozolina@vm.gov.lv</dc:description>
  <cp:lastModifiedBy>VM</cp:lastModifiedBy>
  <cp:revision>48</cp:revision>
  <cp:lastPrinted>2010-03-22T07:03:00Z</cp:lastPrinted>
  <dcterms:created xsi:type="dcterms:W3CDTF">2010-07-16T07:26:00Z</dcterms:created>
  <dcterms:modified xsi:type="dcterms:W3CDTF">2011-02-11T09:30:00Z</dcterms:modified>
</cp:coreProperties>
</file>