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C4" w:rsidRDefault="00745F6C" w:rsidP="00C73D7D">
      <w:pPr>
        <w:jc w:val="center"/>
        <w:rPr>
          <w:b/>
          <w:sz w:val="28"/>
          <w:szCs w:val="28"/>
        </w:rPr>
      </w:pPr>
      <w:r w:rsidRPr="00C73D7D">
        <w:rPr>
          <w:sz w:val="28"/>
          <w:szCs w:val="28"/>
        </w:rPr>
        <w:t>Ministru kabineta rīkojuma projekta</w:t>
      </w:r>
    </w:p>
    <w:p w:rsidR="001115CF" w:rsidRDefault="00C73D7D" w:rsidP="00C73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”Par finanšu līdzekļu piešķirša</w:t>
      </w:r>
      <w:r w:rsidR="001115CF">
        <w:rPr>
          <w:b/>
          <w:sz w:val="28"/>
          <w:szCs w:val="28"/>
        </w:rPr>
        <w:t>nu no valsts budžeta programmas</w:t>
      </w:r>
    </w:p>
    <w:p w:rsidR="00745F6C" w:rsidRPr="00C73D7D" w:rsidRDefault="00C73D7D" w:rsidP="00C73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„Līdzekļi neparedzētiem gadījumiem””</w:t>
      </w:r>
    </w:p>
    <w:p w:rsidR="0036473F" w:rsidRDefault="00745F6C" w:rsidP="001115CF">
      <w:pPr>
        <w:jc w:val="center"/>
        <w:rPr>
          <w:b/>
          <w:bCs/>
          <w:sz w:val="28"/>
          <w:szCs w:val="28"/>
        </w:rPr>
      </w:pPr>
      <w:r w:rsidRPr="00C73D7D">
        <w:rPr>
          <w:bCs/>
          <w:sz w:val="28"/>
          <w:szCs w:val="28"/>
        </w:rPr>
        <w:t xml:space="preserve">sākotnējās </w:t>
      </w:r>
      <w:r w:rsidR="001115CF">
        <w:rPr>
          <w:bCs/>
          <w:sz w:val="28"/>
          <w:szCs w:val="28"/>
        </w:rPr>
        <w:t>(</w:t>
      </w:r>
      <w:proofErr w:type="spellStart"/>
      <w:r w:rsidR="001115CF">
        <w:rPr>
          <w:bCs/>
          <w:sz w:val="28"/>
          <w:szCs w:val="28"/>
        </w:rPr>
        <w:t>ex-ante</w:t>
      </w:r>
      <w:proofErr w:type="spellEnd"/>
      <w:r w:rsidR="001115CF">
        <w:rPr>
          <w:bCs/>
          <w:sz w:val="28"/>
          <w:szCs w:val="28"/>
        </w:rPr>
        <w:t xml:space="preserve">) </w:t>
      </w:r>
      <w:r w:rsidRPr="00C73D7D">
        <w:rPr>
          <w:bCs/>
          <w:sz w:val="28"/>
          <w:szCs w:val="28"/>
        </w:rPr>
        <w:t>ietekmes novērtējuma ziņojums</w:t>
      </w:r>
    </w:p>
    <w:p w:rsidR="001800B4" w:rsidRPr="001115CF" w:rsidRDefault="00745F6C" w:rsidP="001115CF">
      <w:pPr>
        <w:jc w:val="center"/>
        <w:rPr>
          <w:b/>
          <w:bCs/>
          <w:sz w:val="28"/>
          <w:szCs w:val="28"/>
        </w:rPr>
      </w:pPr>
      <w:r w:rsidRPr="00FB61AF">
        <w:rPr>
          <w:b/>
          <w:bCs/>
          <w:i/>
          <w:sz w:val="28"/>
          <w:szCs w:val="28"/>
        </w:rPr>
        <w:t>(anotācija)</w:t>
      </w:r>
    </w:p>
    <w:p w:rsidR="00DF62C4" w:rsidRPr="00DF62C4" w:rsidRDefault="00DF62C4" w:rsidP="00DF62C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5219"/>
      </w:tblGrid>
      <w:tr w:rsidR="00745F6C" w:rsidTr="00DF62C4">
        <w:trPr>
          <w:jc w:val="center"/>
        </w:trPr>
        <w:tc>
          <w:tcPr>
            <w:tcW w:w="9287" w:type="dxa"/>
            <w:gridSpan w:val="3"/>
          </w:tcPr>
          <w:p w:rsidR="00745F6C" w:rsidRDefault="00745F6C" w:rsidP="001B1A87">
            <w:pPr>
              <w:jc w:val="center"/>
            </w:pPr>
            <w:r w:rsidRPr="009E744B">
              <w:rPr>
                <w:b/>
                <w:bCs/>
              </w:rPr>
              <w:t>I. Tiesību akta projekta izstrādes nepieciešamība</w:t>
            </w:r>
          </w:p>
        </w:tc>
      </w:tr>
      <w:tr w:rsidR="00745F6C" w:rsidTr="00DF62C4">
        <w:trPr>
          <w:jc w:val="center"/>
        </w:trPr>
        <w:tc>
          <w:tcPr>
            <w:tcW w:w="648" w:type="dxa"/>
          </w:tcPr>
          <w:p w:rsidR="00745F6C" w:rsidRDefault="00745F6C" w:rsidP="001B1A87">
            <w:pPr>
              <w:jc w:val="both"/>
            </w:pPr>
            <w:r>
              <w:t>1.</w:t>
            </w:r>
          </w:p>
        </w:tc>
        <w:tc>
          <w:tcPr>
            <w:tcW w:w="3420" w:type="dxa"/>
          </w:tcPr>
          <w:p w:rsidR="00745F6C" w:rsidRDefault="00745F6C" w:rsidP="001B1A87">
            <w:pPr>
              <w:jc w:val="both"/>
            </w:pPr>
            <w:r>
              <w:t> Pamatojums</w:t>
            </w:r>
          </w:p>
        </w:tc>
        <w:tc>
          <w:tcPr>
            <w:tcW w:w="5219" w:type="dxa"/>
          </w:tcPr>
          <w:p w:rsidR="00DF62C4" w:rsidRDefault="00095738" w:rsidP="00DF62C4">
            <w:pPr>
              <w:jc w:val="both"/>
            </w:pPr>
            <w:r>
              <w:t>Veselības</w:t>
            </w:r>
            <w:r w:rsidR="000C2310" w:rsidRPr="005474EE">
              <w:t xml:space="preserve"> ministrija</w:t>
            </w:r>
            <w:r w:rsidR="000C2310">
              <w:t>, pamatojoties uz M</w:t>
            </w:r>
            <w:r w:rsidR="000C2310" w:rsidRPr="00F00BA8">
              <w:t>inistru kabineta 2009.gada 22.decembra noteikumu Nr. 1644 ”Kārtība, kādā pieprasa un izlieto budžeta programmas „Līdzekļi neparedzētiem</w:t>
            </w:r>
            <w:r w:rsidR="000C2310">
              <w:t xml:space="preserve"> gadījumiem” līdzekļus” </w:t>
            </w:r>
            <w:r>
              <w:t>2</w:t>
            </w:r>
            <w:r w:rsidR="000C2310">
              <w:t>.punktu</w:t>
            </w:r>
            <w:r>
              <w:t xml:space="preserve">, </w:t>
            </w:r>
            <w:r w:rsidR="000C2310" w:rsidRPr="005474EE">
              <w:t>ir izstrādājusi Ministru kabineta rīkojuma projektu „Par finanšu līdzekļu piešķiršanu no valsts budžeta programmas „Līdzekļi neparedzētiem gadījumiem</w:t>
            </w:r>
            <w:r>
              <w:t>”” (turpmāk – Rīkojuma projekts)</w:t>
            </w:r>
            <w:r w:rsidR="000C2310">
              <w:t>.</w:t>
            </w:r>
          </w:p>
          <w:p w:rsidR="00FB61AF" w:rsidRDefault="00DF62C4" w:rsidP="00DF62C4">
            <w:pPr>
              <w:jc w:val="both"/>
              <w:rPr>
                <w:color w:val="2A2A2A"/>
              </w:rPr>
            </w:pPr>
            <w:r w:rsidRPr="00DF62C4">
              <w:t>Ministru kabineta 2011.gada 8.novembra protokola Nr.66 28.§ „</w:t>
            </w:r>
            <w:r w:rsidRPr="00DF62C4">
              <w:rPr>
                <w:color w:val="2A2A2A"/>
              </w:rPr>
              <w:t>Par ministriju un citu centrālo valsts iestāžu maksimāli pieļaujamo valsts budžeta izdevumu kopapjomu 2012. – 2014.gadam”</w:t>
            </w:r>
            <w:r w:rsidRPr="00DF62C4">
              <w:t xml:space="preserve"> 9.punkts</w:t>
            </w:r>
            <w:r>
              <w:t xml:space="preserve">, kas nosaka, ka </w:t>
            </w:r>
            <w:r w:rsidRPr="00DF62C4">
              <w:rPr>
                <w:color w:val="2A2A2A"/>
              </w:rPr>
              <w:t>ministrijām, iesniedzot priekšlikumus likumprojektam „Pa</w:t>
            </w:r>
            <w:r>
              <w:rPr>
                <w:color w:val="2A2A2A"/>
              </w:rPr>
              <w:t>r valsts budžetu 2012.gadam”, jānodrošina</w:t>
            </w:r>
            <w:r w:rsidRPr="00DF62C4">
              <w:rPr>
                <w:color w:val="2A2A2A"/>
              </w:rPr>
              <w:t>, ka ministrijā un tās padotībā esošajās iestādēs netiek veidoti parādi un uzņemtās saistības tiek pildītas noteiktajos termiņos.</w:t>
            </w:r>
          </w:p>
          <w:p w:rsidR="001115CF" w:rsidRPr="001115CF" w:rsidRDefault="001115CF" w:rsidP="00DF62C4">
            <w:pPr>
              <w:jc w:val="both"/>
              <w:rPr>
                <w:color w:val="2A2A2A"/>
              </w:rPr>
            </w:pPr>
          </w:p>
        </w:tc>
      </w:tr>
      <w:tr w:rsidR="00745F6C" w:rsidTr="00DF62C4">
        <w:trPr>
          <w:jc w:val="center"/>
        </w:trPr>
        <w:tc>
          <w:tcPr>
            <w:tcW w:w="648" w:type="dxa"/>
          </w:tcPr>
          <w:p w:rsidR="00745F6C" w:rsidRDefault="00745F6C" w:rsidP="001B1A87">
            <w:pPr>
              <w:jc w:val="both"/>
            </w:pPr>
            <w:r>
              <w:t>2.</w:t>
            </w:r>
          </w:p>
        </w:tc>
        <w:tc>
          <w:tcPr>
            <w:tcW w:w="3420" w:type="dxa"/>
          </w:tcPr>
          <w:p w:rsidR="00745F6C" w:rsidRDefault="00745F6C" w:rsidP="001B1A87">
            <w:pPr>
              <w:jc w:val="both"/>
            </w:pPr>
            <w:r>
              <w:t>Pašreizējā situācija un problēmas</w:t>
            </w:r>
          </w:p>
        </w:tc>
        <w:tc>
          <w:tcPr>
            <w:tcW w:w="5219" w:type="dxa"/>
          </w:tcPr>
          <w:p w:rsidR="00DF62C4" w:rsidRPr="00CA50C5" w:rsidRDefault="00A4798A" w:rsidP="00CA50C5">
            <w:pPr>
              <w:pStyle w:val="NormalWeb"/>
              <w:spacing w:before="0" w:beforeAutospacing="0" w:after="0"/>
              <w:jc w:val="both"/>
            </w:pPr>
            <w:r>
              <w:t>S</w:t>
            </w:r>
            <w:r w:rsidR="00437653">
              <w:t xml:space="preserve">askaņā ar </w:t>
            </w:r>
            <w:r w:rsidR="00437653" w:rsidRPr="00437653">
              <w:t>Ministru kabineta 2011.gada 8.novembra protokola Nr.66 28.§ „</w:t>
            </w:r>
            <w:r w:rsidR="00437653" w:rsidRPr="00437653">
              <w:rPr>
                <w:color w:val="2A2A2A"/>
              </w:rPr>
              <w:t>Par ministriju un citu centrālo valsts iestāžu maksimāli pieļaujamo valsts budžeta izdevumu kopapjomu 2012. – 2014.gadam”</w:t>
            </w:r>
            <w:r w:rsidR="00437653" w:rsidRPr="00437653">
              <w:t xml:space="preserve"> </w:t>
            </w:r>
            <w:r w:rsidR="00437653">
              <w:t xml:space="preserve">9.punktu </w:t>
            </w:r>
            <w:r w:rsidR="00437653" w:rsidRPr="00437653">
              <w:rPr>
                <w:color w:val="2A2A2A"/>
              </w:rPr>
              <w:t>ministrijām, iesniedzot priekšlikumus likumprojektam „Pa</w:t>
            </w:r>
            <w:r w:rsidR="00437653">
              <w:rPr>
                <w:color w:val="2A2A2A"/>
              </w:rPr>
              <w:t>r valsts budžetu 2012.gadam”, jādrošina</w:t>
            </w:r>
            <w:r w:rsidR="00437653" w:rsidRPr="00437653">
              <w:rPr>
                <w:color w:val="2A2A2A"/>
              </w:rPr>
              <w:t>, ka ministrijā un tās padotībā esošajās iestādēs netiek veidoti parādi un uzņemtās saistības tiek pildītas noteiktajos termiņos.</w:t>
            </w:r>
            <w:r w:rsidR="0036473F">
              <w:t xml:space="preserve"> </w:t>
            </w:r>
            <w:r w:rsidR="00437653">
              <w:t xml:space="preserve">Ņemot vērā iepriekš minēto, </w:t>
            </w:r>
            <w:r w:rsidR="00CA50C5">
              <w:t xml:space="preserve">Veselības ministrijai ir nepieciešams papildus finansējums 446 905 latu apmērā, </w:t>
            </w:r>
            <w:r w:rsidR="008575E1" w:rsidRPr="008575E1">
              <w:t xml:space="preserve">lai Neatliekamās medicīniskās palīdzības dienests nodrošinātu samaksu par </w:t>
            </w:r>
            <w:r w:rsidR="008575E1" w:rsidRPr="008575E1">
              <w:rPr>
                <w:bCs/>
                <w:color w:val="000000"/>
              </w:rPr>
              <w:t xml:space="preserve">transportlīdzekļu ar specializēto aprīkojumu nomu un autovadītāju pakalpojumiem </w:t>
            </w:r>
            <w:r w:rsidR="008575E1" w:rsidRPr="008575E1">
              <w:t>2011.gada novembrī.</w:t>
            </w:r>
          </w:p>
        </w:tc>
      </w:tr>
      <w:tr w:rsidR="00745F6C" w:rsidTr="00DF62C4">
        <w:trPr>
          <w:jc w:val="center"/>
        </w:trPr>
        <w:tc>
          <w:tcPr>
            <w:tcW w:w="648" w:type="dxa"/>
          </w:tcPr>
          <w:p w:rsidR="00745F6C" w:rsidRDefault="00745F6C" w:rsidP="001B1A87">
            <w:pPr>
              <w:jc w:val="both"/>
            </w:pPr>
            <w:r>
              <w:t>3.</w:t>
            </w:r>
          </w:p>
        </w:tc>
        <w:tc>
          <w:tcPr>
            <w:tcW w:w="3420" w:type="dxa"/>
          </w:tcPr>
          <w:p w:rsidR="00745F6C" w:rsidRDefault="00745F6C" w:rsidP="001B1A87">
            <w:pPr>
              <w:jc w:val="both"/>
            </w:pPr>
            <w:r>
              <w:t>Saistītie politikas ietekmes novērtējumi un pētījumi</w:t>
            </w:r>
          </w:p>
        </w:tc>
        <w:tc>
          <w:tcPr>
            <w:tcW w:w="5219" w:type="dxa"/>
          </w:tcPr>
          <w:p w:rsidR="00745F6C" w:rsidRDefault="00E15D0F" w:rsidP="001B1A87">
            <w:pPr>
              <w:jc w:val="both"/>
            </w:pPr>
            <w:r w:rsidRPr="00E31CBD">
              <w:t>Projekts šo jomu neskar</w:t>
            </w:r>
            <w:r w:rsidR="00745F6C">
              <w:t>.</w:t>
            </w:r>
          </w:p>
        </w:tc>
      </w:tr>
      <w:tr w:rsidR="00745F6C" w:rsidTr="00DF62C4">
        <w:trPr>
          <w:jc w:val="center"/>
        </w:trPr>
        <w:tc>
          <w:tcPr>
            <w:tcW w:w="648" w:type="dxa"/>
          </w:tcPr>
          <w:p w:rsidR="00745F6C" w:rsidRDefault="00745F6C" w:rsidP="001B1A87">
            <w:pPr>
              <w:jc w:val="both"/>
            </w:pPr>
            <w:r>
              <w:t>4.</w:t>
            </w:r>
          </w:p>
        </w:tc>
        <w:tc>
          <w:tcPr>
            <w:tcW w:w="3420" w:type="dxa"/>
          </w:tcPr>
          <w:p w:rsidR="00745F6C" w:rsidRDefault="00745F6C" w:rsidP="001B1A87">
            <w:pPr>
              <w:jc w:val="both"/>
            </w:pPr>
            <w:r>
              <w:t>Tiesiskā regulējuma mērķis un būtība</w:t>
            </w:r>
          </w:p>
        </w:tc>
        <w:tc>
          <w:tcPr>
            <w:tcW w:w="5219" w:type="dxa"/>
          </w:tcPr>
          <w:p w:rsidR="008575E1" w:rsidRPr="008575E1" w:rsidRDefault="00CA4285" w:rsidP="00CA50C5">
            <w:pPr>
              <w:pStyle w:val="NormalWeb"/>
              <w:spacing w:before="0" w:beforeAutospacing="0" w:after="0"/>
              <w:jc w:val="both"/>
              <w:rPr>
                <w:bCs/>
                <w:color w:val="000000"/>
              </w:rPr>
            </w:pPr>
            <w:r w:rsidRPr="00CA4285">
              <w:t>Rīkojuma projekts paredz Fin</w:t>
            </w:r>
            <w:r w:rsidR="00101650">
              <w:t>anšu ministrijai no valsts budžeta programmas 02.00</w:t>
            </w:r>
            <w:r w:rsidRPr="00CA4285">
              <w:t xml:space="preserve">.00 "Līdzekļi neparedzētiem gadījumiem" piešķirt Veselības </w:t>
            </w:r>
            <w:r w:rsidRPr="00CA4285">
              <w:lastRenderedPageBreak/>
              <w:t xml:space="preserve">ministrijai </w:t>
            </w:r>
            <w:r w:rsidR="00CA50C5" w:rsidRPr="00CA50C5">
              <w:t>(Neatliekamās medicīniskās palīdzības dienestam)</w:t>
            </w:r>
            <w:r w:rsidR="00CA50C5">
              <w:rPr>
                <w:sz w:val="28"/>
                <w:szCs w:val="28"/>
              </w:rPr>
              <w:t xml:space="preserve"> </w:t>
            </w:r>
            <w:r w:rsidR="00942E6F">
              <w:t xml:space="preserve">papildus </w:t>
            </w:r>
            <w:r w:rsidR="0036473F" w:rsidRPr="00CA50C5">
              <w:rPr>
                <w:u w:val="single"/>
              </w:rPr>
              <w:t>446 905</w:t>
            </w:r>
            <w:r w:rsidRPr="00CA50C5">
              <w:rPr>
                <w:u w:val="single"/>
              </w:rPr>
              <w:t xml:space="preserve"> latus</w:t>
            </w:r>
            <w:r w:rsidR="006C2605" w:rsidRPr="008575E1">
              <w:t>,</w:t>
            </w:r>
            <w:r w:rsidRPr="008575E1">
              <w:t xml:space="preserve"> </w:t>
            </w:r>
            <w:r w:rsidR="008575E1" w:rsidRPr="008575E1">
              <w:t xml:space="preserve">lai Neatliekamās medicīniskās palīdzības dienests nodrošinātu samaksu par </w:t>
            </w:r>
            <w:r w:rsidR="008575E1" w:rsidRPr="008575E1">
              <w:rPr>
                <w:bCs/>
                <w:color w:val="000000"/>
              </w:rPr>
              <w:t xml:space="preserve">transportlīdzekļu ar specializēto aprīkojumu nomu un autovadītāju pakalpojumiem </w:t>
            </w:r>
            <w:r w:rsidR="008575E1" w:rsidRPr="008575E1">
              <w:t>2011.gada novembrī.</w:t>
            </w:r>
          </w:p>
          <w:p w:rsidR="00680429" w:rsidRPr="00211881" w:rsidRDefault="00680429" w:rsidP="00DF62C4">
            <w:pPr>
              <w:pStyle w:val="NormalWeb"/>
              <w:spacing w:before="0" w:beforeAutospacing="0" w:after="0"/>
              <w:jc w:val="both"/>
            </w:pPr>
            <w:r w:rsidRPr="00E31CBD">
              <w:t>Noteikumu projekts pilnībā atrisinās anotācijas I sadaļas 2.punktā minētās problēmas.</w:t>
            </w:r>
          </w:p>
        </w:tc>
      </w:tr>
      <w:tr w:rsidR="00745F6C" w:rsidTr="00DF62C4">
        <w:trPr>
          <w:jc w:val="center"/>
        </w:trPr>
        <w:tc>
          <w:tcPr>
            <w:tcW w:w="648" w:type="dxa"/>
          </w:tcPr>
          <w:p w:rsidR="00745F6C" w:rsidRDefault="00745F6C" w:rsidP="001B1A87">
            <w:pPr>
              <w:jc w:val="both"/>
            </w:pPr>
            <w:r>
              <w:lastRenderedPageBreak/>
              <w:t>5.</w:t>
            </w:r>
          </w:p>
        </w:tc>
        <w:tc>
          <w:tcPr>
            <w:tcW w:w="3420" w:type="dxa"/>
          </w:tcPr>
          <w:p w:rsidR="00745F6C" w:rsidRDefault="00745F6C" w:rsidP="001B1A87">
            <w:pPr>
              <w:jc w:val="both"/>
            </w:pPr>
            <w:r>
              <w:t>Projekta izstrādē iesaistītās institūcijas</w:t>
            </w:r>
          </w:p>
        </w:tc>
        <w:tc>
          <w:tcPr>
            <w:tcW w:w="5219" w:type="dxa"/>
          </w:tcPr>
          <w:p w:rsidR="00FB61AF" w:rsidRPr="001800B4" w:rsidRDefault="00745F6C" w:rsidP="0036473F">
            <w:pPr>
              <w:jc w:val="both"/>
            </w:pPr>
            <w:r>
              <w:t> </w:t>
            </w:r>
            <w:r w:rsidR="00A5654A">
              <w:t>Rīkojuma projekta izstrādē tika iesaistīts Neatliekamās medicīniskās palīdzības dienests.</w:t>
            </w:r>
          </w:p>
        </w:tc>
      </w:tr>
      <w:tr w:rsidR="00745F6C" w:rsidTr="00DF62C4">
        <w:trPr>
          <w:jc w:val="center"/>
        </w:trPr>
        <w:tc>
          <w:tcPr>
            <w:tcW w:w="648" w:type="dxa"/>
          </w:tcPr>
          <w:p w:rsidR="00745F6C" w:rsidRDefault="00745F6C" w:rsidP="001B1A87">
            <w:pPr>
              <w:jc w:val="both"/>
            </w:pPr>
            <w:r>
              <w:t>6.</w:t>
            </w:r>
          </w:p>
        </w:tc>
        <w:tc>
          <w:tcPr>
            <w:tcW w:w="3420" w:type="dxa"/>
          </w:tcPr>
          <w:p w:rsidR="00745F6C" w:rsidRDefault="00745F6C" w:rsidP="001B1A87">
            <w:pPr>
              <w:jc w:val="both"/>
            </w:pPr>
            <w:r>
              <w:t>Iemesli, kādēļ netika nodrošināta sabiedrības līdzdalība</w:t>
            </w:r>
          </w:p>
        </w:tc>
        <w:tc>
          <w:tcPr>
            <w:tcW w:w="5219" w:type="dxa"/>
          </w:tcPr>
          <w:p w:rsidR="00FB61AF" w:rsidRPr="006C2B89" w:rsidRDefault="007610A3" w:rsidP="0036473F">
            <w:pPr>
              <w:tabs>
                <w:tab w:val="right" w:pos="2127"/>
                <w:tab w:val="left" w:pos="2410"/>
                <w:tab w:val="right" w:leader="underscore" w:pos="4820"/>
              </w:tabs>
              <w:jc w:val="both"/>
              <w:rPr>
                <w:bCs/>
              </w:rPr>
            </w:pPr>
            <w:r>
              <w:t> </w:t>
            </w:r>
            <w:r w:rsidR="001115CF">
              <w:rPr>
                <w:bCs/>
              </w:rPr>
              <w:t>R</w:t>
            </w:r>
            <w:r w:rsidR="006C2B89" w:rsidRPr="006C2B89">
              <w:rPr>
                <w:bCs/>
              </w:rPr>
              <w:t>īkojuma</w:t>
            </w:r>
            <w:r w:rsidR="00A5654A" w:rsidRPr="006C2B89">
              <w:rPr>
                <w:bCs/>
              </w:rPr>
              <w:t xml:space="preserve"> projekts neparedz </w:t>
            </w:r>
            <w:r w:rsidR="0036473F">
              <w:rPr>
                <w:bCs/>
              </w:rPr>
              <w:t xml:space="preserve">negatīvu ietekmi uz sabiedrību, </w:t>
            </w:r>
            <w:r w:rsidR="006C2B89" w:rsidRPr="006C2B89">
              <w:rPr>
                <w:bCs/>
              </w:rPr>
              <w:t xml:space="preserve">pacientiem valsts </w:t>
            </w:r>
            <w:r w:rsidR="0036473F">
              <w:rPr>
                <w:bCs/>
              </w:rPr>
              <w:t xml:space="preserve">garantētajā apjomā </w:t>
            </w:r>
            <w:r w:rsidR="006C2B89" w:rsidRPr="006C2B89">
              <w:rPr>
                <w:bCs/>
              </w:rPr>
              <w:t>nodrošināta ne</w:t>
            </w:r>
            <w:r w:rsidR="0036473F">
              <w:rPr>
                <w:bCs/>
              </w:rPr>
              <w:t>atliekamā medicīniskā palīdzība.</w:t>
            </w:r>
            <w:r w:rsidR="006C2B89" w:rsidRPr="006C2B89">
              <w:rPr>
                <w:bCs/>
              </w:rPr>
              <w:t xml:space="preserve"> </w:t>
            </w:r>
          </w:p>
        </w:tc>
      </w:tr>
      <w:tr w:rsidR="00745F6C" w:rsidTr="00DF62C4">
        <w:trPr>
          <w:jc w:val="center"/>
        </w:trPr>
        <w:tc>
          <w:tcPr>
            <w:tcW w:w="648" w:type="dxa"/>
          </w:tcPr>
          <w:p w:rsidR="00745F6C" w:rsidRDefault="00745F6C" w:rsidP="001B1A87">
            <w:pPr>
              <w:jc w:val="both"/>
            </w:pPr>
            <w:r>
              <w:t>7.</w:t>
            </w:r>
          </w:p>
        </w:tc>
        <w:tc>
          <w:tcPr>
            <w:tcW w:w="3420" w:type="dxa"/>
          </w:tcPr>
          <w:p w:rsidR="00745F6C" w:rsidRDefault="00745F6C" w:rsidP="001B1A87">
            <w:pPr>
              <w:jc w:val="both"/>
            </w:pPr>
            <w:r>
              <w:t>Cita informācija</w:t>
            </w:r>
          </w:p>
        </w:tc>
        <w:tc>
          <w:tcPr>
            <w:tcW w:w="5219" w:type="dxa"/>
          </w:tcPr>
          <w:p w:rsidR="00745F6C" w:rsidRDefault="00745F6C" w:rsidP="001B1A87">
            <w:pPr>
              <w:jc w:val="both"/>
            </w:pPr>
            <w:r>
              <w:t>Nav</w:t>
            </w:r>
          </w:p>
          <w:p w:rsidR="00FB61AF" w:rsidRDefault="00FB61AF" w:rsidP="001B1A87">
            <w:pPr>
              <w:jc w:val="both"/>
            </w:pPr>
          </w:p>
        </w:tc>
      </w:tr>
    </w:tbl>
    <w:p w:rsidR="00FB61AF" w:rsidRDefault="00745F6C" w:rsidP="00745F6C">
      <w:pPr>
        <w:jc w:val="both"/>
      </w:pPr>
      <w:r>
        <w:t> 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440"/>
        <w:gridCol w:w="1440"/>
        <w:gridCol w:w="1440"/>
        <w:gridCol w:w="1440"/>
      </w:tblGrid>
      <w:tr w:rsidR="00745F6C" w:rsidTr="001B1A87">
        <w:tc>
          <w:tcPr>
            <w:tcW w:w="9288" w:type="dxa"/>
            <w:gridSpan w:val="6"/>
          </w:tcPr>
          <w:p w:rsidR="00745F6C" w:rsidRDefault="00745F6C" w:rsidP="001B1A87">
            <w:pPr>
              <w:jc w:val="center"/>
            </w:pPr>
            <w:r w:rsidRPr="009E744B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745F6C" w:rsidTr="001B1A87">
        <w:tc>
          <w:tcPr>
            <w:tcW w:w="2268" w:type="dxa"/>
            <w:vMerge w:val="restart"/>
          </w:tcPr>
          <w:p w:rsidR="00745F6C" w:rsidRDefault="00745F6C" w:rsidP="001B1A87">
            <w:pPr>
              <w:jc w:val="center"/>
            </w:pPr>
            <w:r w:rsidRPr="009E744B">
              <w:rPr>
                <w:b/>
                <w:bCs/>
              </w:rPr>
              <w:t>Rādītāji</w:t>
            </w:r>
          </w:p>
        </w:tc>
        <w:tc>
          <w:tcPr>
            <w:tcW w:w="2700" w:type="dxa"/>
            <w:gridSpan w:val="2"/>
            <w:vMerge w:val="restart"/>
          </w:tcPr>
          <w:p w:rsidR="00745F6C" w:rsidRDefault="00E15D0F" w:rsidP="001B1A87">
            <w:pPr>
              <w:jc w:val="center"/>
            </w:pPr>
            <w:r>
              <w:rPr>
                <w:b/>
                <w:bCs/>
              </w:rPr>
              <w:t>2011</w:t>
            </w:r>
            <w:r w:rsidR="00745F6C" w:rsidRPr="009E744B">
              <w:rPr>
                <w:b/>
                <w:bCs/>
              </w:rPr>
              <w:t>.gads</w:t>
            </w:r>
          </w:p>
        </w:tc>
        <w:tc>
          <w:tcPr>
            <w:tcW w:w="4320" w:type="dxa"/>
            <w:gridSpan w:val="3"/>
          </w:tcPr>
          <w:p w:rsidR="00745F6C" w:rsidRPr="009E744B" w:rsidRDefault="00745F6C" w:rsidP="001B1A87">
            <w:pPr>
              <w:tabs>
                <w:tab w:val="left" w:pos="3480"/>
              </w:tabs>
              <w:jc w:val="center"/>
              <w:rPr>
                <w:b/>
              </w:rPr>
            </w:pPr>
            <w:r w:rsidRPr="009E744B">
              <w:rPr>
                <w:b/>
              </w:rPr>
              <w:t>Turpmākie trīs gadi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9E744B">
                <w:rPr>
                  <w:b/>
                </w:rPr>
                <w:t>. latu</w:t>
              </w:r>
            </w:smartTag>
            <w:r w:rsidRPr="009E744B">
              <w:rPr>
                <w:b/>
              </w:rPr>
              <w:t>)</w:t>
            </w:r>
          </w:p>
        </w:tc>
      </w:tr>
      <w:tr w:rsidR="00745F6C" w:rsidTr="001B1A87">
        <w:tc>
          <w:tcPr>
            <w:tcW w:w="2268" w:type="dxa"/>
            <w:vMerge/>
          </w:tcPr>
          <w:p w:rsidR="00745F6C" w:rsidRDefault="00745F6C" w:rsidP="001B1A87">
            <w:pPr>
              <w:jc w:val="both"/>
            </w:pPr>
          </w:p>
        </w:tc>
        <w:tc>
          <w:tcPr>
            <w:tcW w:w="2700" w:type="dxa"/>
            <w:gridSpan w:val="2"/>
            <w:vMerge/>
          </w:tcPr>
          <w:p w:rsidR="00745F6C" w:rsidRDefault="00745F6C" w:rsidP="001B1A87">
            <w:pPr>
              <w:jc w:val="both"/>
            </w:pPr>
          </w:p>
        </w:tc>
        <w:tc>
          <w:tcPr>
            <w:tcW w:w="1440" w:type="dxa"/>
          </w:tcPr>
          <w:p w:rsidR="00745F6C" w:rsidRDefault="00745F6C" w:rsidP="00E15D0F">
            <w:r w:rsidRPr="009E744B">
              <w:rPr>
                <w:b/>
                <w:bCs/>
              </w:rPr>
              <w:t>(201</w:t>
            </w:r>
            <w:r w:rsidR="00E15D0F">
              <w:rPr>
                <w:b/>
                <w:bCs/>
              </w:rPr>
              <w:t>2</w:t>
            </w:r>
            <w:r w:rsidRPr="009E744B">
              <w:rPr>
                <w:b/>
                <w:bCs/>
              </w:rPr>
              <w:t>.gads)</w:t>
            </w:r>
          </w:p>
        </w:tc>
        <w:tc>
          <w:tcPr>
            <w:tcW w:w="1440" w:type="dxa"/>
          </w:tcPr>
          <w:p w:rsidR="00745F6C" w:rsidRDefault="00745F6C" w:rsidP="00E15D0F">
            <w:pPr>
              <w:jc w:val="center"/>
            </w:pPr>
            <w:r w:rsidRPr="009E744B">
              <w:rPr>
                <w:b/>
                <w:bCs/>
              </w:rPr>
              <w:t>(201</w:t>
            </w:r>
            <w:r w:rsidR="00E15D0F">
              <w:rPr>
                <w:b/>
                <w:bCs/>
              </w:rPr>
              <w:t>3</w:t>
            </w:r>
            <w:r w:rsidRPr="009E744B">
              <w:rPr>
                <w:b/>
                <w:bCs/>
              </w:rPr>
              <w:t>.gads)</w:t>
            </w:r>
          </w:p>
        </w:tc>
        <w:tc>
          <w:tcPr>
            <w:tcW w:w="1440" w:type="dxa"/>
          </w:tcPr>
          <w:p w:rsidR="00745F6C" w:rsidRDefault="00745F6C" w:rsidP="00E15D0F">
            <w:pPr>
              <w:ind w:right="4"/>
              <w:jc w:val="center"/>
            </w:pPr>
            <w:r w:rsidRPr="009E744B">
              <w:rPr>
                <w:b/>
                <w:bCs/>
              </w:rPr>
              <w:t>(201</w:t>
            </w:r>
            <w:r w:rsidR="00E15D0F">
              <w:rPr>
                <w:b/>
                <w:bCs/>
              </w:rPr>
              <w:t>4</w:t>
            </w:r>
            <w:r w:rsidRPr="009E744B">
              <w:rPr>
                <w:b/>
                <w:bCs/>
              </w:rPr>
              <w:t>.gads)</w:t>
            </w:r>
          </w:p>
        </w:tc>
      </w:tr>
      <w:tr w:rsidR="00745F6C" w:rsidTr="001B1A87">
        <w:tc>
          <w:tcPr>
            <w:tcW w:w="2268" w:type="dxa"/>
            <w:vMerge/>
          </w:tcPr>
          <w:p w:rsidR="00745F6C" w:rsidRDefault="00745F6C" w:rsidP="001B1A87">
            <w:pPr>
              <w:jc w:val="both"/>
            </w:pPr>
          </w:p>
        </w:tc>
        <w:tc>
          <w:tcPr>
            <w:tcW w:w="1260" w:type="dxa"/>
          </w:tcPr>
          <w:p w:rsidR="00745F6C" w:rsidRDefault="00745F6C" w:rsidP="001B1A87">
            <w:pPr>
              <w:jc w:val="both"/>
            </w:pPr>
            <w:r>
              <w:t> Saskaņā ar valsts budžetu kārtējam gadam</w:t>
            </w:r>
          </w:p>
        </w:tc>
        <w:tc>
          <w:tcPr>
            <w:tcW w:w="1440" w:type="dxa"/>
          </w:tcPr>
          <w:p w:rsidR="00745F6C" w:rsidRDefault="00745F6C" w:rsidP="001B1A87">
            <w:pPr>
              <w:ind w:left="-61"/>
              <w:jc w:val="both"/>
            </w:pPr>
            <w:r>
              <w:t> I</w:t>
            </w:r>
            <w:smartTag w:uri="urn:schemas-microsoft-com:office:smarttags" w:element="PersonName">
              <w:r>
                <w:t>zm</w:t>
              </w:r>
            </w:smartTag>
            <w:r>
              <w:t>aiņas kārtējā gadā, salīdzinot ar budžetu kārtējam gadam</w:t>
            </w:r>
          </w:p>
        </w:tc>
        <w:tc>
          <w:tcPr>
            <w:tcW w:w="1440" w:type="dxa"/>
          </w:tcPr>
          <w:p w:rsidR="00745F6C" w:rsidRDefault="00745F6C" w:rsidP="001B1A87">
            <w:pPr>
              <w:ind w:left="-108"/>
              <w:jc w:val="both"/>
            </w:pPr>
            <w:r>
              <w:t>I</w:t>
            </w:r>
            <w:smartTag w:uri="urn:schemas-microsoft-com:office:smarttags" w:element="PersonName">
              <w:r>
                <w:t>zm</w:t>
              </w:r>
            </w:smartTag>
            <w:r>
              <w:t>aiņas, salīdzinot ar kārtējo (n) gadu</w:t>
            </w:r>
          </w:p>
        </w:tc>
        <w:tc>
          <w:tcPr>
            <w:tcW w:w="1440" w:type="dxa"/>
          </w:tcPr>
          <w:p w:rsidR="00745F6C" w:rsidRDefault="00745F6C" w:rsidP="001B1A87">
            <w:pPr>
              <w:tabs>
                <w:tab w:val="left" w:pos="0"/>
              </w:tabs>
              <w:ind w:right="-108"/>
              <w:jc w:val="both"/>
            </w:pPr>
            <w:r>
              <w:t>I</w:t>
            </w:r>
            <w:smartTag w:uri="urn:schemas-microsoft-com:office:smarttags" w:element="PersonName">
              <w:r>
                <w:t>zm</w:t>
              </w:r>
            </w:smartTag>
            <w:r>
              <w:t>aiņas, salīdzinot ar kārtējo (n) gadu</w:t>
            </w:r>
          </w:p>
        </w:tc>
        <w:tc>
          <w:tcPr>
            <w:tcW w:w="1440" w:type="dxa"/>
          </w:tcPr>
          <w:p w:rsidR="00745F6C" w:rsidRDefault="00745F6C" w:rsidP="001B1A87">
            <w:pPr>
              <w:jc w:val="both"/>
            </w:pPr>
            <w:r>
              <w:t> I</w:t>
            </w:r>
            <w:smartTag w:uri="urn:schemas-microsoft-com:office:smarttags" w:element="PersonName">
              <w:r>
                <w:t>zm</w:t>
              </w:r>
            </w:smartTag>
            <w:r>
              <w:t>aiņas, salīdzinot ar kārtējo (n) gadu</w:t>
            </w:r>
          </w:p>
        </w:tc>
      </w:tr>
      <w:tr w:rsidR="00745F6C" w:rsidTr="001B1A87">
        <w:tc>
          <w:tcPr>
            <w:tcW w:w="2268" w:type="dxa"/>
          </w:tcPr>
          <w:p w:rsidR="00745F6C" w:rsidRDefault="00745F6C" w:rsidP="001B1A87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45F6C" w:rsidRDefault="00745F6C" w:rsidP="001B1A87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45F6C" w:rsidRDefault="00745F6C" w:rsidP="001B1A8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745F6C" w:rsidRDefault="00745F6C" w:rsidP="001B1A87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745F6C" w:rsidRDefault="00745F6C" w:rsidP="001B1A87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745F6C" w:rsidRDefault="00745F6C" w:rsidP="001B1A87">
            <w:pPr>
              <w:jc w:val="center"/>
            </w:pPr>
            <w:r>
              <w:t>6</w:t>
            </w:r>
          </w:p>
        </w:tc>
      </w:tr>
      <w:tr w:rsidR="00473B24" w:rsidTr="001B1A87">
        <w:tc>
          <w:tcPr>
            <w:tcW w:w="2268" w:type="dxa"/>
          </w:tcPr>
          <w:p w:rsidR="00473B24" w:rsidRDefault="00BE26C4" w:rsidP="001B1A87">
            <w:pPr>
              <w:jc w:val="both"/>
            </w:pPr>
            <w:r>
              <w:t>1.</w:t>
            </w:r>
            <w:r w:rsidR="00473B24">
              <w:t>Budžeta ieņēmumi:</w:t>
            </w:r>
          </w:p>
        </w:tc>
        <w:tc>
          <w:tcPr>
            <w:tcW w:w="1260" w:type="dxa"/>
          </w:tcPr>
          <w:p w:rsidR="00473B24" w:rsidRPr="00D74CA9" w:rsidRDefault="00D74CA9" w:rsidP="008002D7">
            <w:pPr>
              <w:jc w:val="center"/>
              <w:rPr>
                <w:b/>
              </w:rPr>
            </w:pPr>
            <w:r w:rsidRPr="00D74CA9">
              <w:rPr>
                <w:b/>
                <w:color w:val="000000"/>
              </w:rPr>
              <w:t>29 681,9</w:t>
            </w:r>
          </w:p>
        </w:tc>
        <w:tc>
          <w:tcPr>
            <w:tcW w:w="1440" w:type="dxa"/>
          </w:tcPr>
          <w:p w:rsidR="00473B24" w:rsidRPr="00FF4349" w:rsidRDefault="00473B24" w:rsidP="00473B24">
            <w:pPr>
              <w:jc w:val="center"/>
              <w:rPr>
                <w:b/>
              </w:rPr>
            </w:pPr>
            <w:r w:rsidRPr="00FF4349">
              <w:rPr>
                <w:b/>
              </w:rPr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</w:tr>
      <w:tr w:rsidR="00473B24" w:rsidTr="001B1A87">
        <w:tc>
          <w:tcPr>
            <w:tcW w:w="2268" w:type="dxa"/>
          </w:tcPr>
          <w:p w:rsidR="00473B24" w:rsidRDefault="00473B24" w:rsidP="001B1A87">
            <w:pPr>
              <w:jc w:val="both"/>
            </w:pPr>
            <w:r>
              <w:t>1.1. valsts pamatbudžets, tai skaitā ieņēmumi no maksas pakalpo-</w:t>
            </w:r>
            <w:proofErr w:type="spellStart"/>
            <w:r>
              <w:t>jumiem</w:t>
            </w:r>
            <w:proofErr w:type="spellEnd"/>
            <w:r>
              <w:t xml:space="preserve"> un citi pašu ieņēmumi</w:t>
            </w:r>
          </w:p>
        </w:tc>
        <w:tc>
          <w:tcPr>
            <w:tcW w:w="1260" w:type="dxa"/>
          </w:tcPr>
          <w:p w:rsidR="006C2605" w:rsidRPr="00FF4349" w:rsidRDefault="00D74CA9" w:rsidP="001B1A87">
            <w:pPr>
              <w:jc w:val="center"/>
            </w:pPr>
            <w:r w:rsidRPr="002C599F">
              <w:t>2</w:t>
            </w:r>
            <w:r>
              <w:t>9 291,2</w:t>
            </w:r>
          </w:p>
          <w:p w:rsidR="006C2605" w:rsidRPr="00FF4349" w:rsidRDefault="006C2605" w:rsidP="001B1A87">
            <w:pPr>
              <w:jc w:val="center"/>
            </w:pPr>
          </w:p>
          <w:p w:rsidR="006C2605" w:rsidRPr="00FB61AF" w:rsidRDefault="00D74CA9" w:rsidP="00382261">
            <w:pPr>
              <w:jc w:val="center"/>
            </w:pPr>
            <w:r>
              <w:t>390,7</w:t>
            </w:r>
          </w:p>
        </w:tc>
        <w:tc>
          <w:tcPr>
            <w:tcW w:w="1440" w:type="dxa"/>
          </w:tcPr>
          <w:p w:rsidR="00473B24" w:rsidRPr="00FF4349" w:rsidRDefault="00473B24" w:rsidP="00473B24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</w:tr>
      <w:tr w:rsidR="00745F6C" w:rsidTr="001B1A87">
        <w:tc>
          <w:tcPr>
            <w:tcW w:w="2268" w:type="dxa"/>
          </w:tcPr>
          <w:p w:rsidR="00745F6C" w:rsidRDefault="00745F6C" w:rsidP="001B1A87">
            <w:pPr>
              <w:jc w:val="both"/>
            </w:pPr>
            <w:r>
              <w:t>1.2. valsts speciālais budžets</w:t>
            </w:r>
          </w:p>
        </w:tc>
        <w:tc>
          <w:tcPr>
            <w:tcW w:w="126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</w:tr>
      <w:tr w:rsidR="00745F6C" w:rsidTr="001B1A87">
        <w:tc>
          <w:tcPr>
            <w:tcW w:w="2268" w:type="dxa"/>
          </w:tcPr>
          <w:p w:rsidR="00745F6C" w:rsidRDefault="00745F6C" w:rsidP="001B1A87">
            <w:pPr>
              <w:jc w:val="both"/>
            </w:pPr>
            <w:r>
              <w:t>1.3. pašvaldību budžets</w:t>
            </w:r>
          </w:p>
        </w:tc>
        <w:tc>
          <w:tcPr>
            <w:tcW w:w="126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</w:tr>
      <w:tr w:rsidR="00473B24" w:rsidTr="001B1A87">
        <w:tc>
          <w:tcPr>
            <w:tcW w:w="2268" w:type="dxa"/>
          </w:tcPr>
          <w:p w:rsidR="00473B24" w:rsidRDefault="00473B24" w:rsidP="001B1A87">
            <w:pPr>
              <w:jc w:val="both"/>
            </w:pPr>
            <w:r>
              <w:t>2. Budžeta izdevumi:</w:t>
            </w:r>
          </w:p>
        </w:tc>
        <w:tc>
          <w:tcPr>
            <w:tcW w:w="1260" w:type="dxa"/>
          </w:tcPr>
          <w:p w:rsidR="00473B24" w:rsidRPr="00D74CA9" w:rsidRDefault="00D74CA9" w:rsidP="0093766A">
            <w:pPr>
              <w:jc w:val="center"/>
              <w:rPr>
                <w:b/>
              </w:rPr>
            </w:pPr>
            <w:r w:rsidRPr="00D74CA9">
              <w:rPr>
                <w:b/>
              </w:rPr>
              <w:t>29 929,5</w:t>
            </w:r>
          </w:p>
        </w:tc>
        <w:tc>
          <w:tcPr>
            <w:tcW w:w="1440" w:type="dxa"/>
          </w:tcPr>
          <w:p w:rsidR="00473B24" w:rsidRPr="00CA7D43" w:rsidRDefault="00CA7D43" w:rsidP="00BE26C4">
            <w:pPr>
              <w:jc w:val="center"/>
              <w:rPr>
                <w:b/>
              </w:rPr>
            </w:pPr>
            <w:r w:rsidRPr="00CA7D43">
              <w:rPr>
                <w:b/>
              </w:rPr>
              <w:t>446,9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</w:tr>
      <w:tr w:rsidR="00473B24" w:rsidTr="001B1A87">
        <w:tc>
          <w:tcPr>
            <w:tcW w:w="2268" w:type="dxa"/>
          </w:tcPr>
          <w:p w:rsidR="00473B24" w:rsidRDefault="00473B24" w:rsidP="001B1A87">
            <w:pPr>
              <w:jc w:val="both"/>
            </w:pPr>
            <w:r>
              <w:t>2.1. valsts pamatbudžets</w:t>
            </w:r>
          </w:p>
        </w:tc>
        <w:tc>
          <w:tcPr>
            <w:tcW w:w="1260" w:type="dxa"/>
          </w:tcPr>
          <w:p w:rsidR="00473B24" w:rsidRPr="00FF4349" w:rsidRDefault="00D74CA9" w:rsidP="00473B24">
            <w:pPr>
              <w:jc w:val="center"/>
            </w:pPr>
            <w:r>
              <w:t>29 929,5</w:t>
            </w:r>
          </w:p>
        </w:tc>
        <w:tc>
          <w:tcPr>
            <w:tcW w:w="1440" w:type="dxa"/>
          </w:tcPr>
          <w:p w:rsidR="00473B24" w:rsidRPr="00CA7D43" w:rsidRDefault="00CA7D43" w:rsidP="00473B24">
            <w:pPr>
              <w:jc w:val="center"/>
            </w:pPr>
            <w:r w:rsidRPr="00CA7D43">
              <w:t>446,9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</w:tr>
      <w:tr w:rsidR="00473B24" w:rsidTr="001B1A87">
        <w:tc>
          <w:tcPr>
            <w:tcW w:w="2268" w:type="dxa"/>
          </w:tcPr>
          <w:p w:rsidR="00473B24" w:rsidRDefault="00473B24" w:rsidP="001B1A87">
            <w:pPr>
              <w:jc w:val="both"/>
            </w:pPr>
            <w:r>
              <w:t>2.2. valsts speciālais budžets</w:t>
            </w:r>
          </w:p>
        </w:tc>
        <w:tc>
          <w:tcPr>
            <w:tcW w:w="1260" w:type="dxa"/>
          </w:tcPr>
          <w:p w:rsidR="00473B24" w:rsidRPr="00FF4349" w:rsidRDefault="00473B24" w:rsidP="00473B24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473B24" w:rsidRPr="00CA7D43" w:rsidRDefault="00473B24" w:rsidP="00473B24">
            <w:pPr>
              <w:jc w:val="center"/>
            </w:pPr>
            <w:r w:rsidRPr="00CA7D43"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</w:tr>
      <w:tr w:rsidR="00473B24" w:rsidTr="001B1A87">
        <w:tc>
          <w:tcPr>
            <w:tcW w:w="2268" w:type="dxa"/>
          </w:tcPr>
          <w:p w:rsidR="00473B24" w:rsidRDefault="00473B24" w:rsidP="001B1A87">
            <w:pPr>
              <w:jc w:val="both"/>
            </w:pPr>
            <w:r>
              <w:t>2.3. pašvaldību budžets</w:t>
            </w:r>
          </w:p>
        </w:tc>
        <w:tc>
          <w:tcPr>
            <w:tcW w:w="1260" w:type="dxa"/>
          </w:tcPr>
          <w:p w:rsidR="00473B24" w:rsidRPr="00FF4349" w:rsidRDefault="00473B24" w:rsidP="00473B24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473B24" w:rsidRPr="00CA7D43" w:rsidRDefault="00473B24" w:rsidP="00473B24">
            <w:pPr>
              <w:jc w:val="center"/>
            </w:pPr>
            <w:r w:rsidRPr="00CA7D43"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473B24" w:rsidRPr="00FF4349" w:rsidRDefault="00473B24" w:rsidP="001B1A87">
            <w:pPr>
              <w:jc w:val="center"/>
            </w:pPr>
            <w:r w:rsidRPr="00FF4349">
              <w:t>0</w:t>
            </w:r>
          </w:p>
        </w:tc>
      </w:tr>
      <w:tr w:rsidR="00CA7D43" w:rsidTr="001B1A87">
        <w:tc>
          <w:tcPr>
            <w:tcW w:w="2268" w:type="dxa"/>
          </w:tcPr>
          <w:p w:rsidR="00CA7D43" w:rsidRDefault="00CA7D43" w:rsidP="001B1A87">
            <w:pPr>
              <w:jc w:val="both"/>
            </w:pPr>
            <w:r>
              <w:t>3. Finansiālā ietekme:</w:t>
            </w:r>
          </w:p>
        </w:tc>
        <w:tc>
          <w:tcPr>
            <w:tcW w:w="1260" w:type="dxa"/>
          </w:tcPr>
          <w:p w:rsidR="00CA7D43" w:rsidRPr="00FF4349" w:rsidRDefault="00CA7D43" w:rsidP="00473B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74CA9">
              <w:rPr>
                <w:b/>
              </w:rPr>
              <w:t>247,6</w:t>
            </w:r>
          </w:p>
        </w:tc>
        <w:tc>
          <w:tcPr>
            <w:tcW w:w="1440" w:type="dxa"/>
          </w:tcPr>
          <w:p w:rsidR="00CA7D43" w:rsidRPr="00CA7D43" w:rsidRDefault="00CA7D43" w:rsidP="0036473F">
            <w:pPr>
              <w:jc w:val="center"/>
              <w:rPr>
                <w:b/>
              </w:rPr>
            </w:pPr>
            <w:r w:rsidRPr="00CA7D43">
              <w:rPr>
                <w:b/>
              </w:rPr>
              <w:t>- 446,9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</w:tr>
      <w:tr w:rsidR="00CA7D43" w:rsidTr="001B1A87">
        <w:tc>
          <w:tcPr>
            <w:tcW w:w="2268" w:type="dxa"/>
          </w:tcPr>
          <w:p w:rsidR="00CA7D43" w:rsidRDefault="00CA7D43" w:rsidP="001B1A87">
            <w:pPr>
              <w:jc w:val="both"/>
            </w:pPr>
            <w:r>
              <w:t>3.1. valsts pamatbudžets</w:t>
            </w:r>
          </w:p>
        </w:tc>
        <w:tc>
          <w:tcPr>
            <w:tcW w:w="1260" w:type="dxa"/>
          </w:tcPr>
          <w:p w:rsidR="00CA7D43" w:rsidRPr="00FF4349" w:rsidRDefault="00CA7D43" w:rsidP="00D74CA9">
            <w:pPr>
              <w:jc w:val="center"/>
            </w:pPr>
            <w:r w:rsidRPr="00FF4349">
              <w:t xml:space="preserve">- </w:t>
            </w:r>
            <w:r w:rsidR="00D74CA9">
              <w:t>247,6</w:t>
            </w:r>
          </w:p>
        </w:tc>
        <w:tc>
          <w:tcPr>
            <w:tcW w:w="1440" w:type="dxa"/>
          </w:tcPr>
          <w:p w:rsidR="00CA7D43" w:rsidRPr="00CA7D43" w:rsidRDefault="00CA7D43" w:rsidP="0036473F">
            <w:pPr>
              <w:jc w:val="center"/>
            </w:pPr>
            <w:r w:rsidRPr="00CA7D43">
              <w:t>- 446,9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</w:tr>
      <w:tr w:rsidR="00745F6C" w:rsidTr="001B1A87">
        <w:tc>
          <w:tcPr>
            <w:tcW w:w="2268" w:type="dxa"/>
          </w:tcPr>
          <w:p w:rsidR="00745F6C" w:rsidRDefault="00745F6C" w:rsidP="001B1A87">
            <w:pPr>
              <w:jc w:val="both"/>
            </w:pPr>
            <w:r>
              <w:lastRenderedPageBreak/>
              <w:t>3.2. speciālais budžets</w:t>
            </w:r>
          </w:p>
        </w:tc>
        <w:tc>
          <w:tcPr>
            <w:tcW w:w="126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745F6C" w:rsidRPr="00CA7D43" w:rsidRDefault="00721A59" w:rsidP="001B1A87">
            <w:pPr>
              <w:jc w:val="center"/>
            </w:pPr>
            <w:r w:rsidRPr="00CA7D43">
              <w:t>0</w:t>
            </w:r>
          </w:p>
        </w:tc>
        <w:tc>
          <w:tcPr>
            <w:tcW w:w="144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</w:tr>
      <w:tr w:rsidR="00745F6C" w:rsidTr="001B1A87">
        <w:tc>
          <w:tcPr>
            <w:tcW w:w="2268" w:type="dxa"/>
          </w:tcPr>
          <w:p w:rsidR="00745F6C" w:rsidRDefault="00745F6C" w:rsidP="001B1A87">
            <w:pPr>
              <w:jc w:val="both"/>
            </w:pPr>
            <w:r>
              <w:t>3.3. pašvaldību budžets</w:t>
            </w:r>
          </w:p>
        </w:tc>
        <w:tc>
          <w:tcPr>
            <w:tcW w:w="126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745F6C" w:rsidRPr="00CA7D43" w:rsidRDefault="00721A59" w:rsidP="001B1A87">
            <w:pPr>
              <w:jc w:val="center"/>
            </w:pPr>
            <w:r w:rsidRPr="00CA7D43">
              <w:t>0</w:t>
            </w:r>
          </w:p>
        </w:tc>
        <w:tc>
          <w:tcPr>
            <w:tcW w:w="144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745F6C" w:rsidRPr="00FF4349" w:rsidRDefault="00721A59" w:rsidP="001B1A87">
            <w:pPr>
              <w:jc w:val="center"/>
            </w:pPr>
            <w:r w:rsidRPr="00FF4349">
              <w:t>0</w:t>
            </w:r>
          </w:p>
        </w:tc>
      </w:tr>
      <w:tr w:rsidR="00CA7D43" w:rsidTr="006B3292">
        <w:trPr>
          <w:trHeight w:val="1932"/>
        </w:trPr>
        <w:tc>
          <w:tcPr>
            <w:tcW w:w="2268" w:type="dxa"/>
          </w:tcPr>
          <w:p w:rsidR="00CA7D43" w:rsidRDefault="00CA7D43" w:rsidP="001B1A87">
            <w:pPr>
              <w:jc w:val="both"/>
            </w:pPr>
            <w:r>
              <w:t>4. Finanšu līdzekļi papildu izde</w:t>
            </w:r>
            <w:r>
              <w:softHyphen/>
              <w:t>vumu finansēšanai (kompensējošu izdevumu samazinājumu norāda ar "+" zīmi)</w:t>
            </w:r>
          </w:p>
        </w:tc>
        <w:tc>
          <w:tcPr>
            <w:tcW w:w="1260" w:type="dxa"/>
          </w:tcPr>
          <w:p w:rsidR="00CA7D43" w:rsidRPr="00FF4349" w:rsidRDefault="00CA7D43" w:rsidP="001B1A87">
            <w:pPr>
              <w:jc w:val="center"/>
            </w:pPr>
            <w:r w:rsidRPr="00FF4349">
              <w:t>X</w:t>
            </w:r>
          </w:p>
        </w:tc>
        <w:tc>
          <w:tcPr>
            <w:tcW w:w="1440" w:type="dxa"/>
          </w:tcPr>
          <w:p w:rsidR="00CA7D43" w:rsidRPr="00CA50C5" w:rsidRDefault="00CA7D43" w:rsidP="0036473F">
            <w:pPr>
              <w:jc w:val="center"/>
            </w:pPr>
            <w:r w:rsidRPr="00CA50C5">
              <w:t>446,9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  <w:p w:rsidR="00CA7D43" w:rsidRPr="00FF4349" w:rsidRDefault="00CA7D43" w:rsidP="001B1A87">
            <w:pPr>
              <w:jc w:val="center"/>
            </w:pP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  <w:p w:rsidR="00CA7D43" w:rsidRPr="00FF4349" w:rsidRDefault="00CA7D43" w:rsidP="001B1A87">
            <w:pPr>
              <w:jc w:val="center"/>
            </w:pP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  <w:p w:rsidR="00CA7D43" w:rsidRPr="00FF4349" w:rsidRDefault="00CA7D43" w:rsidP="001B1A87">
            <w:pPr>
              <w:jc w:val="center"/>
            </w:pPr>
          </w:p>
        </w:tc>
      </w:tr>
      <w:tr w:rsidR="00CA7D43" w:rsidTr="001B1A87">
        <w:tc>
          <w:tcPr>
            <w:tcW w:w="2268" w:type="dxa"/>
          </w:tcPr>
          <w:p w:rsidR="00CA7D43" w:rsidRDefault="00CA7D43" w:rsidP="001B1A87">
            <w:pPr>
              <w:jc w:val="both"/>
            </w:pPr>
            <w:r>
              <w:t>5. Precizēta finansiālā ietekme:</w:t>
            </w:r>
          </w:p>
        </w:tc>
        <w:tc>
          <w:tcPr>
            <w:tcW w:w="1260" w:type="dxa"/>
            <w:vMerge w:val="restart"/>
          </w:tcPr>
          <w:p w:rsidR="00CA7D43" w:rsidRPr="00FF4349" w:rsidRDefault="00CA7D43" w:rsidP="001B1A87">
            <w:pPr>
              <w:jc w:val="center"/>
            </w:pPr>
            <w:r w:rsidRPr="00FF4349">
              <w:t>X</w:t>
            </w:r>
          </w:p>
        </w:tc>
        <w:tc>
          <w:tcPr>
            <w:tcW w:w="1440" w:type="dxa"/>
          </w:tcPr>
          <w:p w:rsidR="00CA7D43" w:rsidRPr="00CA50C5" w:rsidRDefault="00CA7D43" w:rsidP="0036473F">
            <w:pPr>
              <w:jc w:val="center"/>
              <w:rPr>
                <w:b/>
              </w:rPr>
            </w:pPr>
            <w:r w:rsidRPr="00CA50C5">
              <w:rPr>
                <w:b/>
              </w:rPr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</w:tr>
      <w:tr w:rsidR="00CA7D43" w:rsidTr="001B1A87">
        <w:tc>
          <w:tcPr>
            <w:tcW w:w="2268" w:type="dxa"/>
          </w:tcPr>
          <w:p w:rsidR="00CA7D43" w:rsidRDefault="00CA7D43" w:rsidP="001B1A87">
            <w:pPr>
              <w:jc w:val="both"/>
            </w:pPr>
            <w:r>
              <w:t>5.1. valsts pamatbudžets</w:t>
            </w:r>
          </w:p>
        </w:tc>
        <w:tc>
          <w:tcPr>
            <w:tcW w:w="1260" w:type="dxa"/>
            <w:vMerge/>
          </w:tcPr>
          <w:p w:rsidR="00CA7D43" w:rsidRPr="00FF4349" w:rsidRDefault="00CA7D43" w:rsidP="001B1A87">
            <w:pPr>
              <w:jc w:val="both"/>
            </w:pPr>
          </w:p>
        </w:tc>
        <w:tc>
          <w:tcPr>
            <w:tcW w:w="1440" w:type="dxa"/>
          </w:tcPr>
          <w:p w:rsidR="00CA7D43" w:rsidRPr="00FB61AF" w:rsidRDefault="00CA7D43" w:rsidP="00A4798A">
            <w:pPr>
              <w:jc w:val="center"/>
            </w:pPr>
            <w:r w:rsidRPr="00FB61AF"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</w:tr>
      <w:tr w:rsidR="00CA7D43" w:rsidTr="001B1A87">
        <w:tc>
          <w:tcPr>
            <w:tcW w:w="2268" w:type="dxa"/>
          </w:tcPr>
          <w:p w:rsidR="00CA7D43" w:rsidRDefault="00CA7D43" w:rsidP="001B1A87">
            <w:pPr>
              <w:jc w:val="both"/>
            </w:pPr>
            <w:r>
              <w:t>5.2. speciālais budžets</w:t>
            </w:r>
          </w:p>
        </w:tc>
        <w:tc>
          <w:tcPr>
            <w:tcW w:w="1260" w:type="dxa"/>
            <w:vMerge/>
          </w:tcPr>
          <w:p w:rsidR="00CA7D43" w:rsidRPr="00FF4349" w:rsidRDefault="00CA7D43" w:rsidP="001B1A87">
            <w:pPr>
              <w:jc w:val="both"/>
            </w:pPr>
          </w:p>
        </w:tc>
        <w:tc>
          <w:tcPr>
            <w:tcW w:w="1440" w:type="dxa"/>
          </w:tcPr>
          <w:p w:rsidR="00CA7D43" w:rsidRPr="00FB61AF" w:rsidRDefault="00CA7D43" w:rsidP="001B1A87">
            <w:pPr>
              <w:jc w:val="center"/>
            </w:pPr>
            <w:r w:rsidRPr="00FB61AF"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</w:tr>
      <w:tr w:rsidR="00CA7D43" w:rsidTr="001B1A87">
        <w:tc>
          <w:tcPr>
            <w:tcW w:w="2268" w:type="dxa"/>
          </w:tcPr>
          <w:p w:rsidR="00CA7D43" w:rsidRDefault="00CA7D43" w:rsidP="001B1A87">
            <w:pPr>
              <w:jc w:val="both"/>
            </w:pPr>
            <w:r>
              <w:t> 5.3. pašvaldību budžets</w:t>
            </w:r>
          </w:p>
        </w:tc>
        <w:tc>
          <w:tcPr>
            <w:tcW w:w="1260" w:type="dxa"/>
            <w:vMerge/>
          </w:tcPr>
          <w:p w:rsidR="00CA7D43" w:rsidRPr="00FF4349" w:rsidRDefault="00CA7D43" w:rsidP="001B1A87">
            <w:pPr>
              <w:jc w:val="both"/>
            </w:pP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  <w:tc>
          <w:tcPr>
            <w:tcW w:w="1440" w:type="dxa"/>
          </w:tcPr>
          <w:p w:rsidR="00CA7D43" w:rsidRPr="00FF4349" w:rsidRDefault="00CA7D43" w:rsidP="001B1A87">
            <w:pPr>
              <w:jc w:val="center"/>
            </w:pPr>
            <w:r w:rsidRPr="00FF4349">
              <w:t>0</w:t>
            </w:r>
          </w:p>
        </w:tc>
      </w:tr>
      <w:tr w:rsidR="00CA7D43" w:rsidTr="001B1A87">
        <w:tc>
          <w:tcPr>
            <w:tcW w:w="2268" w:type="dxa"/>
          </w:tcPr>
          <w:p w:rsidR="00CA7D43" w:rsidRDefault="00CA7D43" w:rsidP="001B1A87">
            <w:pPr>
              <w:jc w:val="both"/>
            </w:pPr>
            <w:r>
              <w:t>6. Detalizēts ieņēmumu un izdevu</w:t>
            </w:r>
            <w:r>
              <w:softHyphen/>
              <w:t>mu aprēķins (ja nepieciešams, detalizētu ieņēmumu un izdevumu aprēķinu var pievienot anotācijas pielikumā):</w:t>
            </w:r>
          </w:p>
          <w:p w:rsidR="00CA7D43" w:rsidRPr="0005611F" w:rsidRDefault="00CA7D43" w:rsidP="001B1A87">
            <w:pPr>
              <w:jc w:val="both"/>
              <w:rPr>
                <w:sz w:val="22"/>
                <w:szCs w:val="22"/>
              </w:rPr>
            </w:pPr>
            <w:r w:rsidRPr="0005611F">
              <w:rPr>
                <w:sz w:val="22"/>
                <w:szCs w:val="22"/>
              </w:rPr>
              <w:t>6.1. detalizēts ieņēmumu aprēķins</w:t>
            </w:r>
          </w:p>
          <w:p w:rsidR="00CA7D43" w:rsidRDefault="00CA7D43" w:rsidP="001B1A87">
            <w:pPr>
              <w:jc w:val="both"/>
            </w:pPr>
            <w:r w:rsidRPr="0005611F">
              <w:rPr>
                <w:sz w:val="22"/>
                <w:szCs w:val="22"/>
              </w:rPr>
              <w:t>6.2. detalizēts izdevumu aprēķins</w:t>
            </w:r>
          </w:p>
        </w:tc>
        <w:tc>
          <w:tcPr>
            <w:tcW w:w="7020" w:type="dxa"/>
            <w:gridSpan w:val="5"/>
          </w:tcPr>
          <w:p w:rsidR="00CA7D43" w:rsidRPr="00D74CA9" w:rsidRDefault="00CA7D43" w:rsidP="00284720">
            <w:pPr>
              <w:jc w:val="both"/>
              <w:rPr>
                <w:color w:val="000000"/>
              </w:rPr>
            </w:pPr>
            <w:r w:rsidRPr="002C599F">
              <w:t>Atbilstoši likumam „Par valsts budžetu 2011.gadam” ar 2011.gada 29.aprīlī izsludinātajiem grozījumiem</w:t>
            </w:r>
            <w:r>
              <w:t xml:space="preserve"> un Finanšu ministrijas rīkojumiem līdz 2011.gada 7.decembrim </w:t>
            </w:r>
            <w:r w:rsidRPr="002C599F">
              <w:t xml:space="preserve">valsts budžeta programmas </w:t>
            </w:r>
            <w:r w:rsidR="00D74CA9">
              <w:rPr>
                <w:color w:val="000000"/>
              </w:rPr>
              <w:t>p</w:t>
            </w:r>
            <w:r w:rsidRPr="00CF3180">
              <w:rPr>
                <w:color w:val="000000"/>
              </w:rPr>
              <w:t>iešķirtais finansējums</w:t>
            </w:r>
            <w:r>
              <w:rPr>
                <w:color w:val="000000"/>
              </w:rPr>
              <w:t xml:space="preserve"> valsts budžeta programmas 39</w:t>
            </w:r>
            <w:r w:rsidRPr="00CF3180">
              <w:rPr>
                <w:color w:val="000000"/>
              </w:rPr>
              <w:t>.00.00 „</w:t>
            </w:r>
            <w:r w:rsidRPr="00284720">
              <w:rPr>
                <w:color w:val="000000"/>
              </w:rPr>
              <w:t>Specializētās veselības aprūpes nodrošināšana</w:t>
            </w:r>
            <w:r>
              <w:rPr>
                <w:color w:val="000000"/>
              </w:rPr>
              <w:t>” apakšprogrammā 39.04</w:t>
            </w:r>
            <w:r w:rsidRPr="00CF3180">
              <w:rPr>
                <w:color w:val="000000"/>
              </w:rPr>
              <w:t>.00 „</w:t>
            </w:r>
            <w:r w:rsidRPr="00284720">
              <w:rPr>
                <w:color w:val="000000"/>
              </w:rPr>
              <w:t>Neatliekamā medicīniskā palīdzība</w:t>
            </w:r>
            <w:r>
              <w:rPr>
                <w:color w:val="000000"/>
              </w:rPr>
              <w:t xml:space="preserve">” 2011.gadā 29 681 905 lati, </w:t>
            </w:r>
            <w:r w:rsidRPr="002C599F">
              <w:t>tai skaitā, dotācija no vispārējiem ieņēmumiem 2</w:t>
            </w:r>
            <w:r>
              <w:t xml:space="preserve">9 291 185 </w:t>
            </w:r>
            <w:r w:rsidRPr="002C599F">
              <w:t xml:space="preserve">lati un ieņēmumi no maksas pakalpojumiem un citi pašu ieņēmumi </w:t>
            </w:r>
            <w:r>
              <w:t xml:space="preserve">390 720 lati, savukārt, izdevumi 29 929 480 lati, </w:t>
            </w:r>
            <w:r w:rsidRPr="002C599F">
              <w:t xml:space="preserve">ņemot vērā maksas pakalpojumu un citu pašu ieņēmumu naudas līdzekļu atlikumu </w:t>
            </w:r>
            <w:r>
              <w:t>247 575</w:t>
            </w:r>
            <w:r w:rsidRPr="002C599F">
              <w:t xml:space="preserve"> latu apmērā. </w:t>
            </w:r>
          </w:p>
          <w:p w:rsidR="008575E1" w:rsidRPr="008575E1" w:rsidRDefault="00CA7D43" w:rsidP="008575E1">
            <w:pPr>
              <w:pStyle w:val="NormalWeb"/>
              <w:spacing w:before="0" w:beforeAutospacing="0" w:after="0"/>
              <w:jc w:val="both"/>
              <w:rPr>
                <w:bCs/>
                <w:color w:val="000000"/>
              </w:rPr>
            </w:pPr>
            <w:r w:rsidRPr="008575E1">
              <w:t xml:space="preserve">Rīkojuma projekts paredz  Finanšu ministrijai no valsts budžeta programmas 02.00.00 "Līdzekļi neparedzētiem gadījumiem" </w:t>
            </w:r>
            <w:r w:rsidR="008575E1" w:rsidRPr="008575E1">
              <w:t xml:space="preserve">piešķirt Veselības ministrijai (Neatliekamās medicīniskās palīdzības dienestam) </w:t>
            </w:r>
            <w:r w:rsidR="008575E1" w:rsidRPr="00CA50C5">
              <w:rPr>
                <w:i/>
                <w:u w:val="single"/>
              </w:rPr>
              <w:t>446 905 latus</w:t>
            </w:r>
            <w:r w:rsidR="008575E1" w:rsidRPr="008575E1">
              <w:t xml:space="preserve">, lai Neatliekamās medicīniskās palīdzības dienests nodrošinātu samaksu par </w:t>
            </w:r>
            <w:r w:rsidR="008575E1" w:rsidRPr="008575E1">
              <w:rPr>
                <w:bCs/>
                <w:color w:val="000000"/>
              </w:rPr>
              <w:t xml:space="preserve">transportlīdzekļu ar specializēto aprīkojumu nomu un autovadītāju pakalpojumiem </w:t>
            </w:r>
            <w:r w:rsidR="008575E1" w:rsidRPr="008575E1">
              <w:t>2011.gada novembrī.</w:t>
            </w:r>
          </w:p>
          <w:p w:rsidR="00CA7D43" w:rsidRDefault="00D74CA9" w:rsidP="00CA7D43">
            <w:pPr>
              <w:jc w:val="both"/>
            </w:pPr>
            <w:r>
              <w:t>N</w:t>
            </w:r>
            <w:r w:rsidR="00C77EFB">
              <w:t>epieciešamais 2011.gadā papildu finansējums</w:t>
            </w:r>
            <w:r w:rsidR="00C77EFB">
              <w:rPr>
                <w:color w:val="FF0000"/>
              </w:rPr>
              <w:t xml:space="preserve"> </w:t>
            </w:r>
            <w:r w:rsidR="00CA7D43">
              <w:t>446 905</w:t>
            </w:r>
            <w:r w:rsidR="008575E1">
              <w:t xml:space="preserve"> latu apmērā</w:t>
            </w:r>
            <w:r w:rsidR="00CA7D43">
              <w:rPr>
                <w:lang w:val="de-DE"/>
              </w:rPr>
              <w:t xml:space="preserve"> </w:t>
            </w:r>
            <w:r w:rsidR="00CA7D43" w:rsidRPr="00CA7D43">
              <w:t xml:space="preserve">valsts budžeta programmas 39.00.00 „Specializētās veselības aprūpes nodrošināšana” apakšprogrammā 39.04.00 „Neatliekamā medicīniskā palīdzība” </w:t>
            </w:r>
            <w:r w:rsidR="00CA7D43">
              <w:t>2000 izdevu</w:t>
            </w:r>
            <w:r w:rsidR="008575E1">
              <w:t xml:space="preserve">mu kodā (preces un pakalpojumi) </w:t>
            </w:r>
            <w:r w:rsidR="00A65800">
              <w:t>veidojas</w:t>
            </w:r>
            <w:r w:rsidR="008575E1">
              <w:t>:</w:t>
            </w:r>
          </w:p>
          <w:p w:rsidR="008575E1" w:rsidRDefault="008575E1" w:rsidP="00CA7D43">
            <w:pPr>
              <w:jc w:val="both"/>
            </w:pPr>
          </w:p>
          <w:p w:rsidR="008575E1" w:rsidRPr="008575E1" w:rsidRDefault="008575E1" w:rsidP="008575E1">
            <w:pPr>
              <w:jc w:val="center"/>
            </w:pPr>
            <w:r w:rsidRPr="008575E1">
              <w:t>Līdzekļu deficīts transportlīdzekļu ar specializēto aprīkojumu un autovadītāju pakalpojumu nodrošināšana</w:t>
            </w:r>
            <w:r w:rsidR="00C77EFB">
              <w:t>i</w:t>
            </w:r>
            <w:r w:rsidRPr="008575E1">
              <w:t xml:space="preserve"> 2011.gada novembrī</w:t>
            </w:r>
          </w:p>
          <w:p w:rsidR="008575E1" w:rsidRDefault="008575E1" w:rsidP="00CA7D43">
            <w:pPr>
              <w:jc w:val="both"/>
            </w:pPr>
          </w:p>
          <w:tbl>
            <w:tblPr>
              <w:tblW w:w="6340" w:type="dxa"/>
              <w:jc w:val="center"/>
              <w:tblLayout w:type="fixed"/>
              <w:tblLook w:val="04A0"/>
            </w:tblPr>
            <w:tblGrid>
              <w:gridCol w:w="3067"/>
              <w:gridCol w:w="1031"/>
              <w:gridCol w:w="1171"/>
              <w:gridCol w:w="1071"/>
            </w:tblGrid>
            <w:tr w:rsidR="008575E1" w:rsidRPr="008575E1" w:rsidTr="008575E1">
              <w:trPr>
                <w:trHeight w:val="1200"/>
                <w:jc w:val="center"/>
              </w:trPr>
              <w:tc>
                <w:tcPr>
                  <w:tcW w:w="30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5E1" w:rsidRPr="008575E1" w:rsidRDefault="008575E1" w:rsidP="008575E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Transportlīdzekļi</w:t>
                  </w:r>
                  <w:r w:rsidRPr="008575E1"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ar specializēto aprīkojumu</w:t>
                  </w:r>
                </w:p>
              </w:tc>
              <w:tc>
                <w:tcPr>
                  <w:tcW w:w="103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75E1" w:rsidRPr="008575E1" w:rsidRDefault="008575E1" w:rsidP="008575E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Vidēji mēnesī km/h</w:t>
                  </w:r>
                </w:p>
              </w:tc>
              <w:tc>
                <w:tcPr>
                  <w:tcW w:w="117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75E1" w:rsidRPr="008575E1" w:rsidRDefault="008575E1" w:rsidP="008575E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Līgumcenas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(Ls)</w:t>
                  </w:r>
                  <w:r w:rsidRPr="008575E1"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75E1" w:rsidRPr="008575E1" w:rsidRDefault="008575E1" w:rsidP="008575E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Izmaksas vidēji mēnesī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(Ls)</w:t>
                  </w:r>
                </w:p>
              </w:tc>
            </w:tr>
            <w:tr w:rsidR="008575E1" w:rsidRPr="008575E1" w:rsidTr="00CA50C5">
              <w:trPr>
                <w:trHeight w:val="207"/>
                <w:jc w:val="center"/>
              </w:trPr>
              <w:tc>
                <w:tcPr>
                  <w:tcW w:w="30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75E1" w:rsidRPr="008575E1" w:rsidRDefault="008575E1" w:rsidP="008575E1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575E1" w:rsidRPr="008575E1" w:rsidRDefault="008575E1" w:rsidP="008575E1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7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575E1" w:rsidRPr="008575E1" w:rsidRDefault="008575E1" w:rsidP="008575E1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575E1" w:rsidRPr="008575E1" w:rsidRDefault="008575E1" w:rsidP="008575E1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575E1" w:rsidRPr="008575E1" w:rsidTr="008575E1">
              <w:trPr>
                <w:trHeight w:val="300"/>
                <w:jc w:val="center"/>
              </w:trPr>
              <w:tc>
                <w:tcPr>
                  <w:tcW w:w="30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  <w:t>Ar divu riteņu piedziņu (4x2) - stunda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43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860.70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6.87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301 323.01</w:t>
                  </w:r>
                </w:p>
              </w:tc>
            </w:tr>
            <w:tr w:rsidR="008575E1" w:rsidRPr="008575E1" w:rsidTr="008575E1">
              <w:trPr>
                <w:trHeight w:val="300"/>
                <w:jc w:val="center"/>
              </w:trPr>
              <w:tc>
                <w:tcPr>
                  <w:tcW w:w="30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  <w:t>Ar divu riteņu piedziņu (4x2) - kilometrs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462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087.79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0.295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136 315.90</w:t>
                  </w:r>
                </w:p>
              </w:tc>
            </w:tr>
            <w:tr w:rsidR="008575E1" w:rsidRPr="008575E1" w:rsidTr="008575E1">
              <w:trPr>
                <w:trHeight w:val="300"/>
                <w:jc w:val="center"/>
              </w:trPr>
              <w:tc>
                <w:tcPr>
                  <w:tcW w:w="30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  <w:t>Ar četru riteņu piedziņu (4x4) - stunda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745.75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7.18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19 714.49</w:t>
                  </w:r>
                </w:p>
              </w:tc>
            </w:tr>
            <w:tr w:rsidR="008575E1" w:rsidRPr="008575E1" w:rsidTr="008575E1">
              <w:trPr>
                <w:trHeight w:val="300"/>
                <w:jc w:val="center"/>
              </w:trPr>
              <w:tc>
                <w:tcPr>
                  <w:tcW w:w="30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  <w:t>Ar četru riteņu piedziņu (4x4) - kilometrs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34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453.67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0.32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11 025.17</w:t>
                  </w:r>
                </w:p>
              </w:tc>
            </w:tr>
            <w:tr w:rsidR="008575E1" w:rsidRPr="008575E1" w:rsidTr="008575E1">
              <w:trPr>
                <w:trHeight w:val="300"/>
                <w:jc w:val="center"/>
              </w:trPr>
              <w:tc>
                <w:tcPr>
                  <w:tcW w:w="30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  <w:t>Saimnieciskie - stunda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512.93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3.90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2 000.43</w:t>
                  </w:r>
                </w:p>
              </w:tc>
            </w:tr>
            <w:tr w:rsidR="008575E1" w:rsidRPr="008575E1" w:rsidTr="008575E1">
              <w:trPr>
                <w:trHeight w:val="300"/>
                <w:jc w:val="center"/>
              </w:trPr>
              <w:tc>
                <w:tcPr>
                  <w:tcW w:w="30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  <w:t>Saimnieciskie - kilometrs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375.52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0.24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1 290.12</w:t>
                  </w:r>
                </w:p>
              </w:tc>
            </w:tr>
            <w:tr w:rsidR="008575E1" w:rsidRPr="008575E1" w:rsidTr="008575E1">
              <w:trPr>
                <w:trHeight w:val="300"/>
                <w:jc w:val="center"/>
              </w:trPr>
              <w:tc>
                <w:tcPr>
                  <w:tcW w:w="30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  <w:t>Operatīvai - stunda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712.92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4.01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2 858.81</w:t>
                  </w:r>
                </w:p>
              </w:tc>
            </w:tr>
            <w:tr w:rsidR="008575E1" w:rsidRPr="008575E1" w:rsidTr="008575E1">
              <w:trPr>
                <w:trHeight w:val="300"/>
                <w:jc w:val="center"/>
              </w:trPr>
              <w:tc>
                <w:tcPr>
                  <w:tcW w:w="30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  <w:t>Operatīvai - kilometri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177.17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0.29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631.38</w:t>
                  </w:r>
                </w:p>
              </w:tc>
            </w:tr>
            <w:tr w:rsidR="008575E1" w:rsidRPr="008575E1" w:rsidTr="008575E1">
              <w:trPr>
                <w:trHeight w:val="300"/>
                <w:jc w:val="center"/>
              </w:trPr>
              <w:tc>
                <w:tcPr>
                  <w:tcW w:w="30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  <w:t>Nestuves gab.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8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685.50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0.81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7 035.26</w:t>
                  </w:r>
                </w:p>
              </w:tc>
            </w:tr>
            <w:tr w:rsidR="008575E1" w:rsidRPr="008575E1" w:rsidTr="008575E1">
              <w:trPr>
                <w:trHeight w:val="315"/>
                <w:jc w:val="center"/>
              </w:trPr>
              <w:tc>
                <w:tcPr>
                  <w:tcW w:w="3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  <w:t>Sanitāra piemaksa st</w:t>
                  </w:r>
                  <w:r>
                    <w:rPr>
                      <w:iCs/>
                      <w:color w:val="000000"/>
                      <w:sz w:val="18"/>
                      <w:szCs w:val="18"/>
                      <w:lang w:eastAsia="en-US"/>
                    </w:rPr>
                    <w:t>undā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47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076.82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0.155</w:t>
                  </w:r>
                  <w:r w:rsidR="00CA50C5">
                    <w:rPr>
                      <w:color w:val="00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jc w:val="righ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575E1">
                    <w:rPr>
                      <w:color w:val="000000"/>
                      <w:sz w:val="18"/>
                      <w:szCs w:val="18"/>
                      <w:lang w:eastAsia="en-US"/>
                    </w:rPr>
                    <w:t>7 301.61</w:t>
                  </w:r>
                </w:p>
              </w:tc>
            </w:tr>
            <w:tr w:rsidR="008575E1" w:rsidRPr="008575E1" w:rsidTr="008575E1">
              <w:trPr>
                <w:trHeight w:val="315"/>
                <w:jc w:val="center"/>
              </w:trPr>
              <w:tc>
                <w:tcPr>
                  <w:tcW w:w="3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8575E1" w:rsidRDefault="008575E1" w:rsidP="008575E1">
                  <w:pPr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A65800" w:rsidRDefault="008575E1" w:rsidP="008575E1">
                  <w:pPr>
                    <w:rPr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A65800">
                    <w:rPr>
                      <w:bCs/>
                      <w:color w:val="000000"/>
                      <w:sz w:val="18"/>
                      <w:szCs w:val="18"/>
                      <w:lang w:eastAsia="en-US"/>
                    </w:rPr>
                    <w:t>Kopā</w:t>
                  </w:r>
                </w:p>
              </w:tc>
              <w:tc>
                <w:tcPr>
                  <w:tcW w:w="1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75E1" w:rsidRPr="00A65800" w:rsidRDefault="008575E1" w:rsidP="008575E1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A65800">
                    <w:rPr>
                      <w:bCs/>
                      <w:color w:val="000000"/>
                      <w:sz w:val="18"/>
                      <w:szCs w:val="18"/>
                      <w:lang w:eastAsia="en-US"/>
                    </w:rPr>
                    <w:t>489 496.18</w:t>
                  </w:r>
                </w:p>
              </w:tc>
            </w:tr>
          </w:tbl>
          <w:p w:rsidR="008575E1" w:rsidRDefault="008575E1" w:rsidP="00CA7D43">
            <w:pPr>
              <w:jc w:val="both"/>
            </w:pPr>
          </w:p>
          <w:p w:rsidR="008575E1" w:rsidRPr="00D74CA9" w:rsidRDefault="008575E1" w:rsidP="00CA7D43">
            <w:pPr>
              <w:jc w:val="both"/>
            </w:pPr>
            <w:r>
              <w:t>Plānotās izmaksas 2011.gadā 5 873 952 lati</w:t>
            </w:r>
            <w:r w:rsidR="00CA50C5">
              <w:t xml:space="preserve"> (mēnesī vidējās izmaksas 489 496 lati</w:t>
            </w:r>
            <w:r w:rsidR="00A65800">
              <w:t xml:space="preserve"> x 12 mēneši)</w:t>
            </w:r>
            <w:r>
              <w:t>,</w:t>
            </w:r>
            <w:r w:rsidR="00A227E4">
              <w:t xml:space="preserve"> b</w:t>
            </w:r>
            <w:r>
              <w:t xml:space="preserve">udžetā piešķirtie finanšu līdzekļi </w:t>
            </w:r>
            <w:r w:rsidR="00A227E4">
              <w:t>5 427 047 lati</w:t>
            </w:r>
            <w:r w:rsidR="00A65800">
              <w:t xml:space="preserve"> (mēnesī vidējās izmaksas 452</w:t>
            </w:r>
            <w:r w:rsidR="00C77EFB">
              <w:t> 253,92</w:t>
            </w:r>
            <w:r w:rsidR="00A65800">
              <w:t xml:space="preserve"> lati x 12 mēneši)</w:t>
            </w:r>
            <w:r w:rsidR="00A227E4">
              <w:t xml:space="preserve">, tātad papildu nepieciešamais finansējums </w:t>
            </w:r>
            <w:r w:rsidR="00A227E4" w:rsidRPr="00C77EFB">
              <w:rPr>
                <w:b/>
                <w:u w:val="single"/>
              </w:rPr>
              <w:t>446 905 lati</w:t>
            </w:r>
            <w:r w:rsidR="00A227E4">
              <w:t xml:space="preserve"> = (5 873 952 lati - </w:t>
            </w:r>
            <w:r>
              <w:t xml:space="preserve"> </w:t>
            </w:r>
            <w:r w:rsidR="00A227E4">
              <w:t>5 427 047 lati).</w:t>
            </w:r>
          </w:p>
        </w:tc>
      </w:tr>
      <w:tr w:rsidR="00CA7D43" w:rsidRPr="009E1ADF" w:rsidTr="001B1A87">
        <w:tc>
          <w:tcPr>
            <w:tcW w:w="2268" w:type="dxa"/>
          </w:tcPr>
          <w:p w:rsidR="00CA7D43" w:rsidRPr="009E1ADF" w:rsidRDefault="00CA7D43" w:rsidP="001B1A87">
            <w:pPr>
              <w:jc w:val="both"/>
            </w:pPr>
            <w:r w:rsidRPr="009E1ADF">
              <w:lastRenderedPageBreak/>
              <w:t>7. Cita informācija</w:t>
            </w:r>
          </w:p>
        </w:tc>
        <w:tc>
          <w:tcPr>
            <w:tcW w:w="7020" w:type="dxa"/>
            <w:gridSpan w:val="5"/>
          </w:tcPr>
          <w:p w:rsidR="00CA7D43" w:rsidRPr="009E1ADF" w:rsidRDefault="00CA7D43" w:rsidP="00F06B6A">
            <w:pPr>
              <w:jc w:val="both"/>
            </w:pPr>
            <w:r>
              <w:t>Nav</w:t>
            </w:r>
          </w:p>
        </w:tc>
      </w:tr>
    </w:tbl>
    <w:p w:rsidR="00FB61AF" w:rsidRDefault="00FB61AF" w:rsidP="0063369C">
      <w:pPr>
        <w:pStyle w:val="naisf"/>
        <w:spacing w:before="0" w:after="0"/>
        <w:ind w:firstLine="0"/>
        <w:rPr>
          <w:i/>
          <w:sz w:val="28"/>
          <w:szCs w:val="28"/>
        </w:rPr>
      </w:pPr>
    </w:p>
    <w:p w:rsidR="00CA50C5" w:rsidRDefault="00CA50C5" w:rsidP="0090751B">
      <w:pPr>
        <w:pStyle w:val="naisf"/>
        <w:spacing w:before="0" w:after="0"/>
        <w:jc w:val="center"/>
        <w:rPr>
          <w:i/>
          <w:sz w:val="28"/>
          <w:szCs w:val="28"/>
        </w:rPr>
      </w:pPr>
    </w:p>
    <w:p w:rsidR="00390AC0" w:rsidRPr="0005611F" w:rsidRDefault="00390AC0" w:rsidP="0090751B">
      <w:pPr>
        <w:pStyle w:val="naisf"/>
        <w:spacing w:before="0"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Anotācijas </w:t>
      </w:r>
      <w:r w:rsidR="00D74CA9">
        <w:rPr>
          <w:i/>
          <w:sz w:val="28"/>
          <w:szCs w:val="28"/>
        </w:rPr>
        <w:t xml:space="preserve">II, </w:t>
      </w:r>
      <w:r>
        <w:rPr>
          <w:i/>
          <w:sz w:val="28"/>
          <w:szCs w:val="28"/>
        </w:rPr>
        <w:t>IV, V, VI</w:t>
      </w:r>
      <w:r w:rsidRPr="0005611F">
        <w:rPr>
          <w:i/>
          <w:sz w:val="28"/>
          <w:szCs w:val="28"/>
        </w:rPr>
        <w:t xml:space="preserve"> sadaļa – </w:t>
      </w:r>
      <w:r w:rsidR="0090751B" w:rsidRPr="008E6948">
        <w:rPr>
          <w:i/>
          <w:sz w:val="28"/>
          <w:szCs w:val="28"/>
        </w:rPr>
        <w:t>projekts šīs jomas neskar.</w:t>
      </w:r>
    </w:p>
    <w:p w:rsidR="00390AC0" w:rsidRDefault="00390AC0" w:rsidP="00390AC0">
      <w:pPr>
        <w:rPr>
          <w:i/>
          <w:sz w:val="28"/>
          <w:szCs w:val="28"/>
        </w:rPr>
      </w:pPr>
    </w:p>
    <w:p w:rsidR="00CA50C5" w:rsidRDefault="00CA50C5" w:rsidP="00390AC0">
      <w:pPr>
        <w:rPr>
          <w:i/>
          <w:sz w:val="28"/>
          <w:szCs w:val="28"/>
        </w:rPr>
      </w:pPr>
    </w:p>
    <w:tbl>
      <w:tblPr>
        <w:tblW w:w="9377" w:type="dxa"/>
        <w:jc w:val="center"/>
        <w:tblCellSpacing w:w="0" w:type="dxa"/>
        <w:tblInd w:w="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2737"/>
        <w:gridCol w:w="6058"/>
      </w:tblGrid>
      <w:tr w:rsidR="00390AC0" w:rsidRPr="00E03159" w:rsidTr="00390AC0">
        <w:trPr>
          <w:tblCellSpacing w:w="0" w:type="dxa"/>
          <w:jc w:val="center"/>
        </w:trPr>
        <w:tc>
          <w:tcPr>
            <w:tcW w:w="9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  <w:jc w:val="center"/>
            </w:pPr>
            <w:r w:rsidRPr="00C80A77">
              <w:rPr>
                <w:b/>
                <w:bCs/>
              </w:rPr>
              <w:t> VII. Tiesību akta projekta izpildes nodrošināšana un tās ietekme uz institūcijām</w:t>
            </w:r>
          </w:p>
        </w:tc>
      </w:tr>
      <w:tr w:rsidR="00390AC0" w:rsidRPr="00C80A77" w:rsidTr="00390AC0">
        <w:trPr>
          <w:trHeight w:val="427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 1.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 Projekta izpildē iesaistītās institūcijas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521EA5">
            <w:pPr>
              <w:spacing w:before="75" w:after="75"/>
              <w:jc w:val="both"/>
            </w:pPr>
            <w:r w:rsidRPr="00C80A77">
              <w:t> </w:t>
            </w:r>
            <w:r w:rsidR="00DF62C4">
              <w:t>Rīkojuma projekta</w:t>
            </w:r>
            <w:r w:rsidRPr="00C80A77">
              <w:t xml:space="preserve"> i</w:t>
            </w:r>
            <w:r w:rsidR="00521EA5">
              <w:t xml:space="preserve">zpildi nodrošinās </w:t>
            </w:r>
            <w:r w:rsidR="00DF62C4">
              <w:t xml:space="preserve">Neatliekamās medicīniskās palīdzības dienests.  </w:t>
            </w:r>
          </w:p>
        </w:tc>
      </w:tr>
      <w:tr w:rsidR="00390AC0" w:rsidRPr="00C80A77" w:rsidTr="00390AC0">
        <w:trPr>
          <w:trHeight w:val="463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 2.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 Projekta izpildes ietekme uz pārvaldes funkcijām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Projekts šo jomu neskar.</w:t>
            </w:r>
          </w:p>
        </w:tc>
      </w:tr>
      <w:tr w:rsidR="00390AC0" w:rsidRPr="00C80A77" w:rsidTr="00390AC0">
        <w:trPr>
          <w:trHeight w:val="725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 3.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 Projekta izpildes ietekme uz pārvaldes institucionālo struktūru.</w:t>
            </w:r>
          </w:p>
          <w:p w:rsidR="00390AC0" w:rsidRPr="00C80A77" w:rsidRDefault="00390AC0" w:rsidP="00390AC0">
            <w:pPr>
              <w:spacing w:before="75" w:after="75"/>
            </w:pPr>
            <w:r w:rsidRPr="00C80A77">
              <w:t>Jaunu institūciju izveide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 Projekts šo jomu neskar.</w:t>
            </w:r>
          </w:p>
        </w:tc>
      </w:tr>
      <w:tr w:rsidR="00390AC0" w:rsidRPr="00C80A77" w:rsidTr="00390AC0">
        <w:trPr>
          <w:trHeight w:val="780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 4.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 Projekta izpildes ietekme uz pārvaldes institucionālo struktūru.</w:t>
            </w:r>
          </w:p>
          <w:p w:rsidR="00390AC0" w:rsidRPr="00C80A77" w:rsidRDefault="00390AC0" w:rsidP="00390AC0">
            <w:pPr>
              <w:spacing w:before="75" w:after="75"/>
            </w:pPr>
            <w:r w:rsidRPr="00C80A77">
              <w:t>Esošu institūciju likvidācija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 Projekts šo jomu neskar.</w:t>
            </w:r>
          </w:p>
        </w:tc>
      </w:tr>
      <w:tr w:rsidR="00390AC0" w:rsidRPr="00C80A77" w:rsidTr="00390AC0">
        <w:trPr>
          <w:trHeight w:val="703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 5.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 Projekta izpildes ietekme uz pārvaldes institucionālo struktūru.</w:t>
            </w:r>
          </w:p>
          <w:p w:rsidR="00390AC0" w:rsidRPr="00C80A77" w:rsidRDefault="00390AC0" w:rsidP="00390AC0">
            <w:pPr>
              <w:spacing w:before="75" w:after="75"/>
            </w:pPr>
            <w:r w:rsidRPr="00C80A77">
              <w:t>Esošu institūciju reorganizācija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Projekts šo jomu neskar.</w:t>
            </w:r>
          </w:p>
        </w:tc>
      </w:tr>
      <w:tr w:rsidR="00390AC0" w:rsidRPr="00C80A77" w:rsidTr="00390AC0">
        <w:trPr>
          <w:trHeight w:val="476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lastRenderedPageBreak/>
              <w:t> 6.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 Cita informācija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C0" w:rsidRPr="00C80A77" w:rsidRDefault="00390AC0" w:rsidP="00390AC0">
            <w:pPr>
              <w:spacing w:before="75" w:after="75"/>
            </w:pPr>
            <w:r w:rsidRPr="00C80A77">
              <w:t> Nav</w:t>
            </w:r>
          </w:p>
        </w:tc>
      </w:tr>
    </w:tbl>
    <w:p w:rsidR="00F06B6A" w:rsidRDefault="00F06B6A" w:rsidP="00B941EE">
      <w:pPr>
        <w:jc w:val="both"/>
        <w:rPr>
          <w:sz w:val="28"/>
          <w:szCs w:val="28"/>
        </w:rPr>
      </w:pPr>
    </w:p>
    <w:p w:rsidR="0036473F" w:rsidRDefault="0036473F" w:rsidP="00390AC0">
      <w:pPr>
        <w:jc w:val="center"/>
        <w:rPr>
          <w:sz w:val="28"/>
          <w:szCs w:val="28"/>
        </w:rPr>
      </w:pPr>
    </w:p>
    <w:p w:rsidR="00D74CA9" w:rsidRDefault="00D74CA9" w:rsidP="00390AC0">
      <w:pPr>
        <w:jc w:val="center"/>
        <w:rPr>
          <w:sz w:val="28"/>
          <w:szCs w:val="28"/>
        </w:rPr>
      </w:pPr>
    </w:p>
    <w:p w:rsidR="00745F6C" w:rsidRDefault="00875D13" w:rsidP="00390AC0">
      <w:pPr>
        <w:jc w:val="center"/>
        <w:rPr>
          <w:sz w:val="28"/>
          <w:szCs w:val="28"/>
        </w:rPr>
      </w:pPr>
      <w:r>
        <w:rPr>
          <w:sz w:val="28"/>
          <w:szCs w:val="28"/>
        </w:rPr>
        <w:t>Veselības</w:t>
      </w:r>
      <w:r w:rsidR="00390AC0">
        <w:rPr>
          <w:sz w:val="28"/>
          <w:szCs w:val="28"/>
        </w:rPr>
        <w:t xml:space="preserve"> ministre</w:t>
      </w:r>
      <w:r w:rsidR="00745F6C" w:rsidRPr="00015298">
        <w:rPr>
          <w:sz w:val="28"/>
          <w:szCs w:val="28"/>
        </w:rPr>
        <w:tab/>
      </w:r>
      <w:r w:rsidR="00745F6C" w:rsidRPr="00015298">
        <w:rPr>
          <w:sz w:val="28"/>
          <w:szCs w:val="28"/>
        </w:rPr>
        <w:tab/>
      </w:r>
      <w:r w:rsidR="00745F6C" w:rsidRPr="00015298">
        <w:rPr>
          <w:sz w:val="28"/>
          <w:szCs w:val="28"/>
        </w:rPr>
        <w:tab/>
      </w:r>
      <w:r w:rsidR="00745F6C" w:rsidRPr="00015298">
        <w:rPr>
          <w:sz w:val="28"/>
          <w:szCs w:val="28"/>
        </w:rPr>
        <w:tab/>
      </w:r>
      <w:r w:rsidR="00745F6C" w:rsidRPr="00015298">
        <w:rPr>
          <w:sz w:val="28"/>
          <w:szCs w:val="28"/>
        </w:rPr>
        <w:tab/>
      </w:r>
      <w:r w:rsidR="00745F6C" w:rsidRPr="00015298">
        <w:rPr>
          <w:sz w:val="28"/>
          <w:szCs w:val="28"/>
        </w:rPr>
        <w:tab/>
      </w:r>
      <w:r w:rsidR="00745F6C" w:rsidRPr="00015298">
        <w:rPr>
          <w:sz w:val="28"/>
          <w:szCs w:val="28"/>
        </w:rPr>
        <w:tab/>
      </w:r>
      <w:r w:rsidR="00390AC0">
        <w:rPr>
          <w:sz w:val="28"/>
          <w:szCs w:val="28"/>
        </w:rPr>
        <w:t xml:space="preserve">               </w:t>
      </w:r>
      <w:proofErr w:type="spellStart"/>
      <w:r w:rsidR="00390AC0">
        <w:rPr>
          <w:sz w:val="28"/>
          <w:szCs w:val="28"/>
        </w:rPr>
        <w:t>I.Circene</w:t>
      </w:r>
      <w:proofErr w:type="spellEnd"/>
    </w:p>
    <w:p w:rsidR="00B941EE" w:rsidRDefault="00B941EE" w:rsidP="001800B4">
      <w:pPr>
        <w:pStyle w:val="naisf"/>
        <w:tabs>
          <w:tab w:val="left" w:pos="720"/>
        </w:tabs>
        <w:spacing w:before="0" w:after="0"/>
        <w:ind w:firstLine="0"/>
      </w:pPr>
    </w:p>
    <w:p w:rsidR="00E15D0F" w:rsidRDefault="00745F6C" w:rsidP="001800B4">
      <w:pPr>
        <w:pStyle w:val="naisf"/>
        <w:tabs>
          <w:tab w:val="left" w:pos="720"/>
        </w:tabs>
        <w:spacing w:before="0" w:after="0"/>
        <w:ind w:firstLine="0"/>
      </w:pPr>
      <w:r w:rsidRPr="003F2C13">
        <w:tab/>
      </w:r>
    </w:p>
    <w:p w:rsidR="00D74CA9" w:rsidRDefault="00D74CA9" w:rsidP="001800B4">
      <w:pPr>
        <w:pStyle w:val="naisf"/>
        <w:tabs>
          <w:tab w:val="left" w:pos="720"/>
        </w:tabs>
        <w:spacing w:before="0" w:after="0"/>
        <w:ind w:firstLine="0"/>
      </w:pPr>
    </w:p>
    <w:p w:rsidR="00D74CA9" w:rsidRDefault="00D74CA9" w:rsidP="001800B4">
      <w:pPr>
        <w:pStyle w:val="naisf"/>
        <w:tabs>
          <w:tab w:val="left" w:pos="720"/>
        </w:tabs>
        <w:spacing w:before="0" w:after="0"/>
        <w:ind w:firstLine="0"/>
      </w:pPr>
    </w:p>
    <w:p w:rsidR="0036473F" w:rsidRDefault="0036473F" w:rsidP="000C1759">
      <w:pPr>
        <w:pStyle w:val="naisf"/>
        <w:tabs>
          <w:tab w:val="left" w:pos="720"/>
        </w:tabs>
        <w:spacing w:before="0" w:after="0"/>
        <w:ind w:firstLine="0"/>
      </w:pPr>
      <w:r>
        <w:t>15.12.2011</w:t>
      </w:r>
      <w:r w:rsidR="00D74CA9">
        <w:t xml:space="preserve">   </w:t>
      </w:r>
      <w:r w:rsidR="00CA50C5">
        <w:t xml:space="preserve">  </w:t>
      </w:r>
      <w:r w:rsidR="00732E16">
        <w:t>11:21</w:t>
      </w:r>
    </w:p>
    <w:p w:rsidR="0005611F" w:rsidRPr="00FB61AF" w:rsidRDefault="00732E16" w:rsidP="000C1759">
      <w:pPr>
        <w:pStyle w:val="naisf"/>
        <w:tabs>
          <w:tab w:val="left" w:pos="720"/>
        </w:tabs>
        <w:spacing w:before="0" w:after="0"/>
        <w:ind w:firstLine="0"/>
      </w:pPr>
      <w:r>
        <w:t>998</w:t>
      </w:r>
    </w:p>
    <w:p w:rsidR="00745F6C" w:rsidRPr="00FB61AF" w:rsidRDefault="00C73D7D" w:rsidP="00745F6C">
      <w:pPr>
        <w:jc w:val="both"/>
      </w:pPr>
      <w:r w:rsidRPr="00FB61AF">
        <w:t>Ž.Zvaigzne</w:t>
      </w:r>
    </w:p>
    <w:p w:rsidR="00745F6C" w:rsidRPr="00FB61AF" w:rsidRDefault="00C73D7D" w:rsidP="00745F6C">
      <w:pPr>
        <w:jc w:val="both"/>
      </w:pPr>
      <w:r w:rsidRPr="00FB61AF">
        <w:t>67876041</w:t>
      </w:r>
      <w:r w:rsidR="00745F6C" w:rsidRPr="00FB61AF">
        <w:t xml:space="preserve">, </w:t>
      </w:r>
      <w:r w:rsidRPr="00FB61AF">
        <w:t>Zanete.Zvaigzne@v</w:t>
      </w:r>
      <w:r w:rsidR="00745F6C" w:rsidRPr="00FB61AF">
        <w:t>m.gov.lv</w:t>
      </w:r>
    </w:p>
    <w:p w:rsidR="00B46B32" w:rsidRPr="00FB61AF" w:rsidRDefault="00B46B32"/>
    <w:sectPr w:rsidR="00B46B32" w:rsidRPr="00FB61AF" w:rsidSect="003E5F9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E1" w:rsidRDefault="008575E1">
      <w:r>
        <w:separator/>
      </w:r>
    </w:p>
  </w:endnote>
  <w:endnote w:type="continuationSeparator" w:id="0">
    <w:p w:rsidR="008575E1" w:rsidRDefault="0085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E1" w:rsidRPr="0090751B" w:rsidRDefault="008575E1" w:rsidP="00C73D7D">
    <w:pPr>
      <w:pStyle w:val="Footer"/>
      <w:rPr>
        <w:sz w:val="22"/>
        <w:szCs w:val="22"/>
      </w:rPr>
    </w:pPr>
    <w:r>
      <w:rPr>
        <w:sz w:val="22"/>
        <w:szCs w:val="22"/>
      </w:rPr>
      <w:t>VMAnot_151211_flp</w:t>
    </w:r>
    <w:r w:rsidRPr="0090751B">
      <w:rPr>
        <w:sz w:val="22"/>
        <w:szCs w:val="22"/>
      </w:rPr>
      <w:t>;</w:t>
    </w:r>
    <w:r>
      <w:rPr>
        <w:sz w:val="22"/>
        <w:szCs w:val="22"/>
      </w:rPr>
      <w:t xml:space="preserve"> </w:t>
    </w:r>
    <w:r w:rsidRPr="0090751B">
      <w:rPr>
        <w:sz w:val="22"/>
        <w:szCs w:val="22"/>
      </w:rPr>
      <w:t xml:space="preserve">Ministru kabineta rīkojuma projekta ”Par finanšu līdzekļu piešķiršanu no valsts budžeta programmas „Līdzekļi neparedzētiem gadījumiem”” sākotnējās </w:t>
    </w:r>
    <w:r>
      <w:rPr>
        <w:sz w:val="22"/>
        <w:szCs w:val="22"/>
      </w:rPr>
      <w:t>(</w:t>
    </w:r>
    <w:proofErr w:type="spellStart"/>
    <w:r>
      <w:rPr>
        <w:sz w:val="22"/>
        <w:szCs w:val="22"/>
      </w:rPr>
      <w:t>ex-ante</w:t>
    </w:r>
    <w:proofErr w:type="spellEnd"/>
    <w:r>
      <w:rPr>
        <w:sz w:val="22"/>
        <w:szCs w:val="22"/>
      </w:rPr>
      <w:t xml:space="preserve">) </w:t>
    </w:r>
    <w:r w:rsidRPr="0090751B">
      <w:rPr>
        <w:sz w:val="22"/>
        <w:szCs w:val="22"/>
      </w:rPr>
      <w:t>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E1" w:rsidRPr="0090751B" w:rsidRDefault="008575E1" w:rsidP="00C73D7D">
    <w:pPr>
      <w:jc w:val="both"/>
      <w:rPr>
        <w:sz w:val="22"/>
        <w:szCs w:val="22"/>
      </w:rPr>
    </w:pPr>
    <w:r>
      <w:rPr>
        <w:sz w:val="22"/>
        <w:szCs w:val="22"/>
      </w:rPr>
      <w:t>VMAnot_151211_flp</w:t>
    </w:r>
    <w:r w:rsidRPr="0090751B">
      <w:rPr>
        <w:sz w:val="22"/>
        <w:szCs w:val="22"/>
      </w:rPr>
      <w:t>;</w:t>
    </w:r>
    <w:r>
      <w:rPr>
        <w:sz w:val="22"/>
        <w:szCs w:val="22"/>
      </w:rPr>
      <w:t xml:space="preserve"> </w:t>
    </w:r>
    <w:bookmarkStart w:id="0" w:name="OLE_LINK25"/>
    <w:bookmarkStart w:id="1" w:name="OLE_LINK26"/>
    <w:r w:rsidRPr="0090751B">
      <w:rPr>
        <w:sz w:val="22"/>
        <w:szCs w:val="22"/>
      </w:rPr>
      <w:t xml:space="preserve">Ministru kabineta rīkojuma projekta ”Par finanšu līdzekļu piešķiršanu no valsts budžeta programmas „Līdzekļi neparedzētiem gadījumiem”” sākotnējās </w:t>
    </w:r>
    <w:r>
      <w:rPr>
        <w:sz w:val="22"/>
        <w:szCs w:val="22"/>
      </w:rPr>
      <w:t>(</w:t>
    </w:r>
    <w:proofErr w:type="spellStart"/>
    <w:r>
      <w:rPr>
        <w:sz w:val="22"/>
        <w:szCs w:val="22"/>
      </w:rPr>
      <w:t>ex-ante</w:t>
    </w:r>
    <w:proofErr w:type="spellEnd"/>
    <w:r>
      <w:rPr>
        <w:sz w:val="22"/>
        <w:szCs w:val="22"/>
      </w:rPr>
      <w:t xml:space="preserve">) </w:t>
    </w:r>
    <w:r w:rsidRPr="0090751B">
      <w:rPr>
        <w:sz w:val="22"/>
        <w:szCs w:val="22"/>
      </w:rPr>
      <w:t>ietekmes novērtējuma ziņojums (anotācija)</w:t>
    </w:r>
    <w:bookmarkEnd w:id="0"/>
    <w:bookmarkEnd w:id="1"/>
  </w:p>
  <w:p w:rsidR="008575E1" w:rsidRPr="00C73D7D" w:rsidRDefault="008575E1" w:rsidP="00C73D7D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E1" w:rsidRDefault="008575E1">
      <w:r>
        <w:separator/>
      </w:r>
    </w:p>
  </w:footnote>
  <w:footnote w:type="continuationSeparator" w:id="0">
    <w:p w:rsidR="008575E1" w:rsidRDefault="00857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E1" w:rsidRDefault="003A52AF" w:rsidP="001B1A87">
    <w:pPr>
      <w:pStyle w:val="Header"/>
      <w:jc w:val="center"/>
    </w:pPr>
    <w:r>
      <w:rPr>
        <w:rStyle w:val="PageNumber"/>
      </w:rPr>
      <w:fldChar w:fldCharType="begin"/>
    </w:r>
    <w:r w:rsidR="008575E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2E16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4115"/>
    <w:multiLevelType w:val="hybridMultilevel"/>
    <w:tmpl w:val="1490453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9481F"/>
    <w:multiLevelType w:val="hybridMultilevel"/>
    <w:tmpl w:val="E028DD90"/>
    <w:lvl w:ilvl="0" w:tplc="248EE174">
      <w:start w:val="3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6BF2"/>
    <w:multiLevelType w:val="hybridMultilevel"/>
    <w:tmpl w:val="519A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29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43A31"/>
    <w:multiLevelType w:val="multilevel"/>
    <w:tmpl w:val="DAC8D0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F308F0"/>
    <w:multiLevelType w:val="hybridMultilevel"/>
    <w:tmpl w:val="43A2F854"/>
    <w:lvl w:ilvl="0" w:tplc="A8CE8A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C4CE7"/>
    <w:multiLevelType w:val="hybridMultilevel"/>
    <w:tmpl w:val="12A0C568"/>
    <w:lvl w:ilvl="0" w:tplc="23A25960">
      <w:start w:val="3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F6C"/>
    <w:rsid w:val="00007923"/>
    <w:rsid w:val="000440B7"/>
    <w:rsid w:val="0005611F"/>
    <w:rsid w:val="000743AA"/>
    <w:rsid w:val="00095738"/>
    <w:rsid w:val="000C1759"/>
    <w:rsid w:val="000C2310"/>
    <w:rsid w:val="000D4FE7"/>
    <w:rsid w:val="00101650"/>
    <w:rsid w:val="00101BD9"/>
    <w:rsid w:val="001115CF"/>
    <w:rsid w:val="00127234"/>
    <w:rsid w:val="00131969"/>
    <w:rsid w:val="0013462A"/>
    <w:rsid w:val="0015164B"/>
    <w:rsid w:val="00154422"/>
    <w:rsid w:val="0015783E"/>
    <w:rsid w:val="001668CF"/>
    <w:rsid w:val="001800B4"/>
    <w:rsid w:val="001A0176"/>
    <w:rsid w:val="001B1A87"/>
    <w:rsid w:val="001F1CF2"/>
    <w:rsid w:val="00201C41"/>
    <w:rsid w:val="00211881"/>
    <w:rsid w:val="00251FA3"/>
    <w:rsid w:val="00284720"/>
    <w:rsid w:val="002C4727"/>
    <w:rsid w:val="002D6BB4"/>
    <w:rsid w:val="00315931"/>
    <w:rsid w:val="00325608"/>
    <w:rsid w:val="0036473F"/>
    <w:rsid w:val="00382261"/>
    <w:rsid w:val="00390AC0"/>
    <w:rsid w:val="003A52AF"/>
    <w:rsid w:val="003B13BF"/>
    <w:rsid w:val="003B594B"/>
    <w:rsid w:val="003E346E"/>
    <w:rsid w:val="003E550A"/>
    <w:rsid w:val="003E5F91"/>
    <w:rsid w:val="00437653"/>
    <w:rsid w:val="00454202"/>
    <w:rsid w:val="00464AB8"/>
    <w:rsid w:val="00473B24"/>
    <w:rsid w:val="00475230"/>
    <w:rsid w:val="00484A0B"/>
    <w:rsid w:val="004865D9"/>
    <w:rsid w:val="004B664C"/>
    <w:rsid w:val="00501080"/>
    <w:rsid w:val="00514192"/>
    <w:rsid w:val="00521EA5"/>
    <w:rsid w:val="00526E62"/>
    <w:rsid w:val="00534005"/>
    <w:rsid w:val="0057655C"/>
    <w:rsid w:val="00577301"/>
    <w:rsid w:val="005A5DDE"/>
    <w:rsid w:val="005C454F"/>
    <w:rsid w:val="005C7BB4"/>
    <w:rsid w:val="005F72CF"/>
    <w:rsid w:val="0063369C"/>
    <w:rsid w:val="00680429"/>
    <w:rsid w:val="00693104"/>
    <w:rsid w:val="006B2526"/>
    <w:rsid w:val="006B3292"/>
    <w:rsid w:val="006C2605"/>
    <w:rsid w:val="006C2B89"/>
    <w:rsid w:val="0071167F"/>
    <w:rsid w:val="00716F56"/>
    <w:rsid w:val="00721A59"/>
    <w:rsid w:val="00732E16"/>
    <w:rsid w:val="007350D1"/>
    <w:rsid w:val="00745F6C"/>
    <w:rsid w:val="007610A3"/>
    <w:rsid w:val="007F0475"/>
    <w:rsid w:val="008002D7"/>
    <w:rsid w:val="00817453"/>
    <w:rsid w:val="00843BC3"/>
    <w:rsid w:val="008575E1"/>
    <w:rsid w:val="00867418"/>
    <w:rsid w:val="00875D13"/>
    <w:rsid w:val="00897F76"/>
    <w:rsid w:val="008C4AF4"/>
    <w:rsid w:val="008E6AC3"/>
    <w:rsid w:val="00902265"/>
    <w:rsid w:val="0090751B"/>
    <w:rsid w:val="00915FF3"/>
    <w:rsid w:val="0093766A"/>
    <w:rsid w:val="00942E6F"/>
    <w:rsid w:val="009465D3"/>
    <w:rsid w:val="00971F2C"/>
    <w:rsid w:val="009E1ADF"/>
    <w:rsid w:val="00A15F5D"/>
    <w:rsid w:val="00A173D7"/>
    <w:rsid w:val="00A227E4"/>
    <w:rsid w:val="00A31D8F"/>
    <w:rsid w:val="00A34823"/>
    <w:rsid w:val="00A4798A"/>
    <w:rsid w:val="00A5654A"/>
    <w:rsid w:val="00A65800"/>
    <w:rsid w:val="00AC27A2"/>
    <w:rsid w:val="00B14996"/>
    <w:rsid w:val="00B16644"/>
    <w:rsid w:val="00B1714B"/>
    <w:rsid w:val="00B46B32"/>
    <w:rsid w:val="00B54DE3"/>
    <w:rsid w:val="00B941EE"/>
    <w:rsid w:val="00BB1BC9"/>
    <w:rsid w:val="00BC2904"/>
    <w:rsid w:val="00BE26C4"/>
    <w:rsid w:val="00C03467"/>
    <w:rsid w:val="00C23CBF"/>
    <w:rsid w:val="00C5786B"/>
    <w:rsid w:val="00C73D7D"/>
    <w:rsid w:val="00C77EFB"/>
    <w:rsid w:val="00CA4285"/>
    <w:rsid w:val="00CA50C5"/>
    <w:rsid w:val="00CA7D43"/>
    <w:rsid w:val="00CB0F76"/>
    <w:rsid w:val="00D16074"/>
    <w:rsid w:val="00D253CD"/>
    <w:rsid w:val="00D2677D"/>
    <w:rsid w:val="00D41076"/>
    <w:rsid w:val="00D503D3"/>
    <w:rsid w:val="00D6703A"/>
    <w:rsid w:val="00D73A24"/>
    <w:rsid w:val="00D74CA9"/>
    <w:rsid w:val="00DA157E"/>
    <w:rsid w:val="00DC4667"/>
    <w:rsid w:val="00DF4400"/>
    <w:rsid w:val="00DF62C4"/>
    <w:rsid w:val="00E15D0F"/>
    <w:rsid w:val="00E2499F"/>
    <w:rsid w:val="00E46E0B"/>
    <w:rsid w:val="00E912CD"/>
    <w:rsid w:val="00EC48ED"/>
    <w:rsid w:val="00F06B6A"/>
    <w:rsid w:val="00F41F0B"/>
    <w:rsid w:val="00F553DD"/>
    <w:rsid w:val="00F608E6"/>
    <w:rsid w:val="00FB61AF"/>
    <w:rsid w:val="00FF4349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F6C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F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5F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F6C"/>
  </w:style>
  <w:style w:type="paragraph" w:customStyle="1" w:styleId="naisf">
    <w:name w:val="naisf"/>
    <w:basedOn w:val="Normal"/>
    <w:rsid w:val="00745F6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75D13"/>
    <w:pPr>
      <w:spacing w:before="150" w:after="150"/>
      <w:jc w:val="center"/>
    </w:pPr>
    <w:rPr>
      <w:rFonts w:eastAsia="Calibri"/>
      <w:b/>
      <w:bCs/>
    </w:rPr>
  </w:style>
  <w:style w:type="paragraph" w:customStyle="1" w:styleId="naiskr">
    <w:name w:val="naiskr"/>
    <w:basedOn w:val="Normal"/>
    <w:rsid w:val="00875D13"/>
    <w:pPr>
      <w:spacing w:before="75" w:after="75"/>
    </w:pPr>
    <w:rPr>
      <w:rFonts w:eastAsia="Calibri"/>
    </w:rPr>
  </w:style>
  <w:style w:type="paragraph" w:styleId="BodyTextIndent2">
    <w:name w:val="Body Text Indent 2"/>
    <w:basedOn w:val="Normal"/>
    <w:link w:val="BodyTextIndent2Char"/>
    <w:rsid w:val="00875D13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rsid w:val="00875D13"/>
    <w:rPr>
      <w:rFonts w:eastAsia="Calibri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5C45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CA4285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rsid w:val="006B3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292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998</Words>
  <Characters>6608</Characters>
  <Application>Microsoft Office Word</Application>
  <DocSecurity>0</DocSecurity>
  <Lines>440</Lines>
  <Paragraphs>271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”Par finanšu līdzekļu piešķiršanu no valsts budžeta programmas „Līdzekļi neparedzētiem gadījumiem”” sākotnējās (ex-ante) ietekmes novērtējuma ziņojums (anotācija)</vt:lpstr>
      <vt:lpstr>Par finanšu līdzekļu piešķiršanu no valsts budžeta programmas Līdzekļi neparedzētiem gadījumiem</vt:lpstr>
    </vt:vector>
  </TitlesOfParts>
  <Manager/>
  <Company>Veselības ministrija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”Par finanšu līdzekļu piešķiršanu no valsts budžeta programmas „Līdzekļi neparedzētiem gadījumiem”” sākotnējās (ex-ante) ietekmes novērtējuma ziņojums (anotācija)</dc:title>
  <dc:subject>anotācijas projekts</dc:subject>
  <dc:creator>Žanete Zvaigzne</dc:creator>
  <cp:keywords/>
  <dc:description>Zanete.Zvaigzne@vm.gov.lv; 67876041, Budžeta un investīciju departamenta Budžeta plānošanas nodaļa</dc:description>
  <cp:lastModifiedBy>zzvaigzne</cp:lastModifiedBy>
  <cp:revision>22</cp:revision>
  <cp:lastPrinted>2011-12-15T06:37:00Z</cp:lastPrinted>
  <dcterms:created xsi:type="dcterms:W3CDTF">2011-11-21T06:34:00Z</dcterms:created>
  <dcterms:modified xsi:type="dcterms:W3CDTF">2011-12-15T09:21:00Z</dcterms:modified>
</cp:coreProperties>
</file>