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9" w:rsidRPr="007803FC" w:rsidRDefault="00A43A49" w:rsidP="00A43A49">
      <w:pPr>
        <w:pStyle w:val="naisc"/>
        <w:spacing w:before="0" w:beforeAutospacing="0" w:after="120" w:afterAutospacing="0"/>
        <w:jc w:val="center"/>
        <w:rPr>
          <w:b/>
        </w:rPr>
      </w:pPr>
      <w:r w:rsidRPr="007803FC">
        <w:rPr>
          <w:b/>
          <w:bCs/>
        </w:rPr>
        <w:t>Ministru kabineta noteikumu projekta</w:t>
      </w:r>
    </w:p>
    <w:p w:rsidR="00E14FD1" w:rsidRPr="007803FC" w:rsidRDefault="00E14FD1" w:rsidP="00E14FD1">
      <w:pPr>
        <w:pStyle w:val="NormalWeb"/>
        <w:jc w:val="center"/>
        <w:rPr>
          <w:b/>
        </w:rPr>
      </w:pPr>
      <w:bookmarkStart w:id="0" w:name="OLE_LINK1"/>
      <w:bookmarkStart w:id="1" w:name="OLE_LINK2"/>
      <w:r w:rsidRPr="007803FC">
        <w:rPr>
          <w:b/>
          <w:bCs/>
        </w:rPr>
        <w:t>„Zāļu reklamēšanas kārtība un kārtība, kādā zāļu ražotājs ir tiesīgs nodot ārstiem bezmaksas zāļu paraugus</w:t>
      </w:r>
      <w:r w:rsidRPr="007803FC">
        <w:rPr>
          <w:b/>
        </w:rPr>
        <w:t>’’</w:t>
      </w:r>
    </w:p>
    <w:bookmarkEnd w:id="0"/>
    <w:bookmarkEnd w:id="1"/>
    <w:p w:rsidR="00A43A49" w:rsidRPr="007803FC" w:rsidRDefault="00234DEC" w:rsidP="00234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A49" w:rsidRPr="007803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A43A49" w:rsidRPr="007803FC" w:rsidRDefault="00A43A49" w:rsidP="00A43A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03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150"/>
        <w:gridCol w:w="4865"/>
      </w:tblGrid>
      <w:tr w:rsidR="00A43A49" w:rsidRPr="007803FC" w:rsidTr="008121FA">
        <w:trPr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49" w:rsidRPr="007803FC" w:rsidRDefault="00A43A49" w:rsidP="0002108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I. Tiesību akta projekta izstrādes nepieciešamība</w:t>
            </w:r>
          </w:p>
        </w:tc>
      </w:tr>
      <w:tr w:rsidR="00A43A49" w:rsidRPr="007803FC" w:rsidTr="008121FA">
        <w:trPr>
          <w:trHeight w:val="6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A43A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FB2B63" w:rsidP="00FC7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C">
              <w:rPr>
                <w:rFonts w:ascii="Times New Roman" w:hAnsi="Times New Roman" w:cs="Times New Roman"/>
                <w:sz w:val="24"/>
                <w:szCs w:val="24"/>
              </w:rPr>
              <w:t>2010.gada 1.janvārī ir stājies spēkā likums ”Grozījumi Farmācijas likumā”, kas paredz</w:t>
            </w:r>
            <w:r w:rsidR="00FC7818" w:rsidRPr="007803FC">
              <w:rPr>
                <w:rFonts w:ascii="Times New Roman" w:hAnsi="Times New Roman" w:cs="Times New Roman"/>
                <w:sz w:val="24"/>
                <w:szCs w:val="24"/>
              </w:rPr>
              <w:t>ēja atcelt prasību par zāļu reklāmas materiālu iepriekšēju saskaņošanu ar Zāļu valsts aģentūru.</w:t>
            </w:r>
          </w:p>
          <w:p w:rsidR="00FC7818" w:rsidRPr="007803FC" w:rsidRDefault="00FC7818" w:rsidP="001F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="009D6BA6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Farmācijas likumā noteikto, ir jāizdara grozījumi </w:t>
            </w:r>
            <w:r w:rsidR="009D6BA6" w:rsidRPr="007803FC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2007.gada 6.marta noteikumos Nr.167 „Zāļu reklamēšanas kārtība un kārtība, kādā zāļu ražotājs ir tiesīgs nodot ārstiem bezmaksas zāļu paraugus</w:t>
            </w:r>
            <w:r w:rsidR="009D6BA6" w:rsidRPr="007803FC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4C4EE6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4C4EE6" w:rsidRPr="007803FC">
              <w:rPr>
                <w:sz w:val="24"/>
                <w:szCs w:val="24"/>
              </w:rPr>
              <w:t>–</w:t>
            </w:r>
            <w:r w:rsidR="004C4EE6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 Noteikumi</w:t>
            </w:r>
            <w:r w:rsidR="008E095B">
              <w:rPr>
                <w:rFonts w:ascii="Times New Roman" w:hAnsi="Times New Roman" w:cs="Times New Roman"/>
                <w:sz w:val="24"/>
                <w:szCs w:val="24"/>
              </w:rPr>
              <w:t xml:space="preserve"> Nr.167</w:t>
            </w:r>
            <w:r w:rsidR="004C4EE6" w:rsidRPr="00780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6BA6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91B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9D6BA6" w:rsidRPr="007803FC">
              <w:rPr>
                <w:rFonts w:ascii="Times New Roman" w:hAnsi="Times New Roman" w:cs="Times New Roman"/>
                <w:sz w:val="24"/>
                <w:szCs w:val="24"/>
              </w:rPr>
              <w:t>saskaņo</w:t>
            </w:r>
            <w:r w:rsidR="0068591B" w:rsidRPr="007803FC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9D6BA6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 tiesību aktu normas.</w:t>
            </w:r>
            <w:r w:rsidR="001F58B9">
              <w:rPr>
                <w:rFonts w:ascii="Times New Roman" w:hAnsi="Times New Roman" w:cs="Times New Roman"/>
                <w:sz w:val="24"/>
                <w:szCs w:val="24"/>
              </w:rPr>
              <w:t xml:space="preserve"> Saskaņā ar Valsts kancelejas juriskonsulta 2010.gada 7.decembra atzinumu, ņemot vērā, ka normu apjoms pārsniedz pusi no spēkā esošo noteikumu normu apjoma, sagatavots jauns noteikumu projekts. </w:t>
            </w:r>
          </w:p>
        </w:tc>
      </w:tr>
      <w:tr w:rsidR="00A43A49" w:rsidRPr="007803FC" w:rsidTr="008121FA">
        <w:trPr>
          <w:trHeight w:val="47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8117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C94" w:rsidRPr="007803FC" w:rsidRDefault="00F6297D" w:rsidP="00234DEC">
            <w:pPr>
              <w:pStyle w:val="naiskr"/>
              <w:spacing w:before="0" w:beforeAutospacing="0" w:after="120" w:afterAutospacing="0"/>
              <w:jc w:val="both"/>
            </w:pPr>
            <w:r w:rsidRPr="007803FC">
              <w:t xml:space="preserve">Zāļu bezmaksas paraugus ārstiem </w:t>
            </w:r>
            <w:r w:rsidR="00194B04" w:rsidRPr="007803FC">
              <w:t xml:space="preserve">šobrīd </w:t>
            </w:r>
            <w:r w:rsidRPr="007803FC">
              <w:t xml:space="preserve">var </w:t>
            </w:r>
            <w:r w:rsidR="000A174F" w:rsidRPr="007803FC">
              <w:t>izplatīt</w:t>
            </w:r>
            <w:r w:rsidRPr="007803FC">
              <w:t xml:space="preserve"> personas, kuriem ir speciāla atļauja (licence) zāļu izplatīšanai, tas ir </w:t>
            </w:r>
            <w:r w:rsidR="00F326F6" w:rsidRPr="007803FC">
              <w:t xml:space="preserve">zāļu ražotājam vai </w:t>
            </w:r>
            <w:r w:rsidRPr="007803FC">
              <w:t xml:space="preserve">zāļu reģistrācijas apliecības turētājam (īpašniekam) vai zāļu lieltirgotavai, ar kuru zāļu reģistrācijas turētājs (īpašnieks) ir noslēdzis </w:t>
            </w:r>
            <w:r w:rsidR="0043662B" w:rsidRPr="007803FC">
              <w:t>līgumu par zāļu bezmaksas paraugu izplatīšanu.</w:t>
            </w:r>
            <w:r w:rsidR="00193E4E" w:rsidRPr="007803FC">
              <w:t xml:space="preserve"> </w:t>
            </w:r>
            <w:r w:rsidR="00A93FE0" w:rsidRPr="007803FC">
              <w:t>T</w:t>
            </w:r>
            <w:r w:rsidR="00193E4E" w:rsidRPr="007803FC">
              <w:t xml:space="preserve">ā kā zāļu reģistrācijas apliecības turētāji (īpašnieki) ne vienmēr atrodas Latvijā, </w:t>
            </w:r>
            <w:r w:rsidR="007803FC" w:rsidRPr="007803FC">
              <w:t>ir jādo</w:t>
            </w:r>
            <w:r w:rsidR="00077B71">
              <w:t>d</w:t>
            </w:r>
            <w:r w:rsidR="007803FC" w:rsidRPr="007803FC">
              <w:t xml:space="preserve"> tiesības veikt </w:t>
            </w:r>
            <w:r w:rsidR="00431C8D" w:rsidRPr="007803FC">
              <w:t>speciālistiem paredzēto zāļu reklāmu</w:t>
            </w:r>
            <w:r w:rsidR="007803FC" w:rsidRPr="007803FC">
              <w:t>, kā arī</w:t>
            </w:r>
            <w:r w:rsidR="00431C8D" w:rsidRPr="007803FC">
              <w:t xml:space="preserve"> </w:t>
            </w:r>
            <w:r w:rsidR="007803FC" w:rsidRPr="007803FC">
              <w:rPr>
                <w:bCs/>
              </w:rPr>
              <w:t xml:space="preserve">tiesības </w:t>
            </w:r>
            <w:r w:rsidR="007803FC" w:rsidRPr="007803FC">
              <w:t>nodot ā</w:t>
            </w:r>
            <w:r w:rsidR="009A7A1C">
              <w:t>rstiem zāļu bezmaksas paraugus,</w:t>
            </w:r>
            <w:r w:rsidR="007803FC">
              <w:t xml:space="preserve"> </w:t>
            </w:r>
            <w:r w:rsidR="00431C8D" w:rsidRPr="007803FC">
              <w:rPr>
                <w:bCs/>
              </w:rPr>
              <w:t>zāļu reģistrācijas apliecības turētāja (īpašnieka) pilnvarot</w:t>
            </w:r>
            <w:r w:rsidR="007803FC" w:rsidRPr="007803FC">
              <w:rPr>
                <w:bCs/>
              </w:rPr>
              <w:t>ajiem</w:t>
            </w:r>
            <w:r w:rsidR="00431C8D" w:rsidRPr="007803FC">
              <w:rPr>
                <w:bCs/>
              </w:rPr>
              <w:t xml:space="preserve"> pārstāvji</w:t>
            </w:r>
            <w:r w:rsidR="007803FC" w:rsidRPr="007803FC">
              <w:rPr>
                <w:bCs/>
              </w:rPr>
              <w:t>em</w:t>
            </w:r>
            <w:r w:rsidR="007803FC">
              <w:rPr>
                <w:bCs/>
              </w:rPr>
              <w:t xml:space="preserve"> Latvijā.</w:t>
            </w:r>
            <w:r w:rsidR="00431C8D" w:rsidRPr="007803FC">
              <w:rPr>
                <w:bCs/>
              </w:rPr>
              <w:t xml:space="preserve"> </w:t>
            </w:r>
          </w:p>
          <w:p w:rsidR="00F81F21" w:rsidRDefault="00A93FE0" w:rsidP="00077B71">
            <w:pPr>
              <w:pStyle w:val="naiskr"/>
              <w:spacing w:before="0" w:beforeAutospacing="0" w:after="120" w:afterAutospacing="0"/>
              <w:jc w:val="both"/>
            </w:pPr>
            <w:r w:rsidRPr="007803FC">
              <w:t xml:space="preserve">Saskaņā ar Farmācijas likuma 14.panta 10.punktā noteikto zāļu reklāmas uzraudzību veic </w:t>
            </w:r>
            <w:r w:rsidR="00FC7818" w:rsidRPr="007803FC">
              <w:t>Veselības inspekcijas amatpersonas</w:t>
            </w:r>
            <w:r w:rsidRPr="007803FC">
              <w:t>.</w:t>
            </w:r>
            <w:r w:rsidR="00FC7818" w:rsidRPr="007803FC">
              <w:t xml:space="preserve"> </w:t>
            </w:r>
            <w:r w:rsidRPr="007803FC">
              <w:t xml:space="preserve">Tā kā ir atcelta zāļu reklāmas materiālu iepriekšēja saskaņošana Zāļu valsts aģentūrā, un atbildība par reklāmas materiālu atbilstību normatīvo aktu prasībām </w:t>
            </w:r>
            <w:r w:rsidRPr="007803FC">
              <w:lastRenderedPageBreak/>
              <w:t>gulstas tik</w:t>
            </w:r>
            <w:r w:rsidR="008F552C">
              <w:t xml:space="preserve">ai uz reklāmas devēju, </w:t>
            </w:r>
            <w:r w:rsidRPr="007803FC">
              <w:t xml:space="preserve">nepieciešams pastiprināt reklāmas uzraudzību </w:t>
            </w:r>
            <w:r w:rsidR="00E409C1">
              <w:t>attiecībā uz vakcīnu reklāmu</w:t>
            </w:r>
            <w:r w:rsidR="001616B8">
              <w:t>.</w:t>
            </w:r>
            <w:r w:rsidR="00E409C1">
              <w:t xml:space="preserve"> (</w:t>
            </w:r>
            <w:r w:rsidR="001616B8">
              <w:t>Vakcīnas ir</w:t>
            </w:r>
            <w:r w:rsidR="00E409C1">
              <w:t xml:space="preserve"> recepšu zāles, kuras atļauts rekla</w:t>
            </w:r>
            <w:r w:rsidR="001616B8">
              <w:t>mēt vakcinācijas kampaņas laikā)</w:t>
            </w:r>
            <w:r w:rsidR="00E409C1">
              <w:t>.</w:t>
            </w:r>
          </w:p>
          <w:p w:rsidR="00AA58F1" w:rsidRDefault="00072AC0" w:rsidP="00077B71">
            <w:pPr>
              <w:pStyle w:val="naiskr"/>
              <w:spacing w:before="0" w:beforeAutospacing="0" w:after="120" w:afterAutospacing="0"/>
              <w:jc w:val="both"/>
            </w:pPr>
            <w:r w:rsidRPr="007803FC">
              <w:t xml:space="preserve">Sabiedrībai paredzētajā zāļu reklāmā ir aizliegts iekļaut informāciju, kas rosina iegādāties zāles, pamatojot zāļu iegādes nepieciešamību ar zāļu cenu. Tāpat ir aizliegta zāļu reklāma, kurā zāles tiek </w:t>
            </w:r>
            <w:r w:rsidR="00323136" w:rsidRPr="007803FC">
              <w:t>p</w:t>
            </w:r>
            <w:r w:rsidRPr="007803FC">
              <w:t>iedāvātas kā dāvana vai kompensācija par kādas preces iegādi</w:t>
            </w:r>
            <w:r w:rsidR="005D1144">
              <w:t>.</w:t>
            </w:r>
            <w:r w:rsidRPr="007803FC">
              <w:t xml:space="preserve"> Bieži vien šī</w:t>
            </w:r>
            <w:r w:rsidR="00323136" w:rsidRPr="007803FC">
              <w:t>s</w:t>
            </w:r>
            <w:r w:rsidRPr="007803FC">
              <w:t xml:space="preserve"> norma</w:t>
            </w:r>
            <w:r w:rsidR="00323136" w:rsidRPr="007803FC">
              <w:t>s</w:t>
            </w:r>
            <w:r w:rsidRPr="007803FC">
              <w:t xml:space="preserve"> tiek pārprasta</w:t>
            </w:r>
            <w:r w:rsidR="00323136" w:rsidRPr="007803FC">
              <w:t>s</w:t>
            </w:r>
            <w:r w:rsidRPr="007803FC">
              <w:t xml:space="preserve"> un netiek ievērota</w:t>
            </w:r>
            <w:r w:rsidR="00323136" w:rsidRPr="007803FC">
              <w:t>s</w:t>
            </w:r>
            <w:r w:rsidRPr="007803FC">
              <w:t>,</w:t>
            </w:r>
            <w:r w:rsidR="00120229" w:rsidRPr="007803FC">
              <w:t xml:space="preserve"> kā arī rada risku slēptai maldinošai reklāmai,</w:t>
            </w:r>
            <w:r w:rsidR="00162AC9" w:rsidRPr="007803FC">
              <w:t xml:space="preserve"> jo atlaižu </w:t>
            </w:r>
            <w:r w:rsidRPr="007803FC">
              <w:t>rezultātā</w:t>
            </w:r>
            <w:r w:rsidR="00162AC9" w:rsidRPr="007803FC">
              <w:t xml:space="preserve"> zāļu cena bieži vien ir maksimāli atļautā aptiekas cena vai par dažiem santīmiem zemāka</w:t>
            </w:r>
            <w:r w:rsidR="00A13D19">
              <w:t>, kas maldina patērētāju</w:t>
            </w:r>
            <w:r w:rsidR="00F81F21">
              <w:t>, tāpēc nepieciešams konkretizēt kādu informāciju nevar iekļaut sabiedrībai paredzētajā zāļu reklāmā un kādu informāciju par zāļu cen</w:t>
            </w:r>
            <w:r w:rsidR="009F7C8C">
              <w:t>u</w:t>
            </w:r>
            <w:r w:rsidR="00AA58F1">
              <w:t xml:space="preserve"> samazinājumu var sniegt aptiekas.</w:t>
            </w:r>
            <w:r w:rsidR="00F81F21">
              <w:t xml:space="preserve"> </w:t>
            </w:r>
          </w:p>
          <w:p w:rsidR="00AA58F1" w:rsidRDefault="00F81F21" w:rsidP="00077B71">
            <w:pPr>
              <w:pStyle w:val="naiskr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t>Tā kā ir aizliegts reklamēt zāles, kuru iegādes izmaksas daļēji vai pilnībā tiek segt</w:t>
            </w:r>
            <w:r w:rsidR="00DD78DD">
              <w:t xml:space="preserve">as no valsts budžeta līdzekļiem, bet </w:t>
            </w:r>
            <w:r w:rsidR="00431832">
              <w:t>dažādu marketinga programmu ietvaros ti</w:t>
            </w:r>
            <w:r w:rsidR="00DD78DD">
              <w:t>ka</w:t>
            </w:r>
            <w:r w:rsidR="00431832">
              <w:t xml:space="preserve"> </w:t>
            </w:r>
            <w:r w:rsidR="001079A8">
              <w:t>p</w:t>
            </w:r>
            <w:r w:rsidR="00431832">
              <w:t xml:space="preserve">iedāvātas atlaides pacientu </w:t>
            </w:r>
            <w:proofErr w:type="spellStart"/>
            <w:r w:rsidR="00431832">
              <w:t>līdzmaksājumam</w:t>
            </w:r>
            <w:proofErr w:type="spellEnd"/>
            <w:r w:rsidR="00431832">
              <w:t xml:space="preserve"> kompensējamām zālēm, tādejādi kropļojot zāļu kompensācijas sistēmu</w:t>
            </w:r>
            <w:r w:rsidR="001079A8">
              <w:t>,</w:t>
            </w:r>
            <w:r w:rsidR="00431832">
              <w:t xml:space="preserve"> </w:t>
            </w:r>
            <w:r w:rsidR="00DD78DD">
              <w:t>nepieciešams iekļaut normu, kas aizliedz piemērot papildus atlaides šīm zālēm,</w:t>
            </w:r>
            <w:r w:rsidR="00DD78DD">
              <w:rPr>
                <w:color w:val="000000"/>
              </w:rPr>
              <w:t xml:space="preserve"> </w:t>
            </w:r>
          </w:p>
          <w:p w:rsidR="00072AC0" w:rsidRDefault="00323136" w:rsidP="00077B71">
            <w:pPr>
              <w:pStyle w:val="naiskr"/>
              <w:spacing w:before="0" w:beforeAutospacing="0" w:after="120" w:afterAutospacing="0"/>
              <w:jc w:val="both"/>
            </w:pPr>
            <w:r w:rsidRPr="007803FC">
              <w:t>Ņemot vērā minēto, ir nepieciešams konkretizēt attiecīgo Noteikumu punktu redakcijas</w:t>
            </w:r>
            <w:r w:rsidR="00072AC0" w:rsidRPr="007803FC">
              <w:t xml:space="preserve">. </w:t>
            </w:r>
          </w:p>
          <w:p w:rsidR="009933CB" w:rsidRPr="0027227C" w:rsidRDefault="009933CB" w:rsidP="00077B71">
            <w:pPr>
              <w:pStyle w:val="naiskr"/>
              <w:spacing w:before="0" w:beforeAutospacing="0" w:after="120" w:afterAutospacing="0"/>
              <w:jc w:val="both"/>
              <w:rPr>
                <w:color w:val="000000"/>
              </w:rPr>
            </w:pPr>
          </w:p>
        </w:tc>
      </w:tr>
      <w:tr w:rsidR="00A43A49" w:rsidRPr="007803FC" w:rsidTr="008121FA">
        <w:trPr>
          <w:trHeight w:val="6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3.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2C1B53" w:rsidP="002C1B5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2D1C94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attiecināms</w:t>
            </w:r>
          </w:p>
        </w:tc>
      </w:tr>
      <w:tr w:rsidR="00A43A49" w:rsidRPr="007803FC" w:rsidTr="008121FA">
        <w:trPr>
          <w:trHeight w:val="38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39E" w:rsidRPr="007803FC" w:rsidRDefault="009D6BA6" w:rsidP="00037B68">
            <w:pPr>
              <w:pStyle w:val="NormalWeb"/>
              <w:jc w:val="both"/>
            </w:pPr>
            <w:r w:rsidRPr="007803FC">
              <w:t>Noteikumu projekts</w:t>
            </w:r>
            <w:r w:rsidR="00037B68" w:rsidRPr="007803FC">
              <w:t xml:space="preserve"> </w:t>
            </w:r>
            <w:r w:rsidR="00037B68" w:rsidRPr="007803FC">
              <w:rPr>
                <w:bCs/>
              </w:rPr>
              <w:t>„Zāļu reklamēšanas kārtība un kārtība, kādā zāļu ražotājs ir tiesīgs nodot ārstiem bezmaksas zāļu paraugus</w:t>
            </w:r>
            <w:r w:rsidR="00037B68" w:rsidRPr="007803FC">
              <w:t xml:space="preserve">’’ (turpmāk – Noteikumu projekts) </w:t>
            </w:r>
            <w:r w:rsidRPr="007803FC">
              <w:t xml:space="preserve">ir izstrādāts, lai </w:t>
            </w:r>
            <w:r w:rsidR="00B2521D" w:rsidRPr="007803FC">
              <w:t>pilnībā saskaņotu</w:t>
            </w:r>
            <w:r w:rsidRPr="007803FC">
              <w:t xml:space="preserve"> </w:t>
            </w:r>
            <w:r w:rsidR="00077B71">
              <w:rPr>
                <w:bCs/>
              </w:rPr>
              <w:t>N</w:t>
            </w:r>
            <w:r w:rsidR="0036039E" w:rsidRPr="007803FC">
              <w:rPr>
                <w:bCs/>
              </w:rPr>
              <w:t xml:space="preserve">oteikumu </w:t>
            </w:r>
            <w:r w:rsidR="00762F5C" w:rsidRPr="007803FC">
              <w:t xml:space="preserve">normas </w:t>
            </w:r>
            <w:r w:rsidRPr="007803FC">
              <w:t>ar Farmācijas likuma prasībām</w:t>
            </w:r>
            <w:r w:rsidR="00077B71">
              <w:t>,</w:t>
            </w:r>
            <w:r w:rsidR="00B2521D" w:rsidRPr="007803FC">
              <w:t xml:space="preserve"> attiecībā uz reklāmas materiālu iepriekšējas</w:t>
            </w:r>
            <w:r w:rsidR="00194B04" w:rsidRPr="007803FC">
              <w:t xml:space="preserve"> saskaņošanas atcelšanu,</w:t>
            </w:r>
            <w:r w:rsidR="00B2521D" w:rsidRPr="007803FC">
              <w:t xml:space="preserve"> </w:t>
            </w:r>
            <w:r w:rsidR="002C60C7" w:rsidRPr="007803FC">
              <w:t>kā arī lai precizētu</w:t>
            </w:r>
            <w:r w:rsidR="0068591B" w:rsidRPr="007803FC">
              <w:t xml:space="preserve"> zāļu reklamēšanas kārtību,</w:t>
            </w:r>
            <w:r w:rsidR="002C60C7" w:rsidRPr="007803FC">
              <w:t xml:space="preserve"> zāļu </w:t>
            </w:r>
            <w:r w:rsidR="002C60C7" w:rsidRPr="007803FC">
              <w:lastRenderedPageBreak/>
              <w:t>bezmaksas paraugu izplatīšanas kārtību</w:t>
            </w:r>
            <w:r w:rsidR="0068591B" w:rsidRPr="007803FC">
              <w:t xml:space="preserve"> un zāļu reklamēšanas uzraudzību.</w:t>
            </w:r>
          </w:p>
          <w:p w:rsidR="00061398" w:rsidRPr="007803FC" w:rsidRDefault="0036039E" w:rsidP="00037B68">
            <w:pPr>
              <w:pStyle w:val="naiskr"/>
              <w:spacing w:before="0" w:beforeAutospacing="0" w:after="0" w:afterAutospacing="0"/>
              <w:jc w:val="both"/>
            </w:pPr>
            <w:r w:rsidRPr="007803FC">
              <w:t xml:space="preserve"> </w:t>
            </w:r>
            <w:r w:rsidR="002C60C7" w:rsidRPr="007803FC">
              <w:t>Noteikumu projekt</w:t>
            </w:r>
            <w:r w:rsidR="00193E4E" w:rsidRPr="007803FC">
              <w:t>ā</w:t>
            </w:r>
            <w:r w:rsidR="008E095B">
              <w:t>, salīdzinot ar Noteikumiem Nr.167</w:t>
            </w:r>
            <w:r w:rsidR="002C60C7" w:rsidRPr="007803FC">
              <w:t>:</w:t>
            </w:r>
          </w:p>
          <w:p w:rsidR="00437BD7" w:rsidRDefault="002C60C7" w:rsidP="00037B68">
            <w:pPr>
              <w:pStyle w:val="naiskr"/>
              <w:spacing w:before="0" w:beforeAutospacing="0" w:after="0" w:afterAutospacing="0"/>
              <w:jc w:val="both"/>
            </w:pPr>
            <w:r w:rsidRPr="007803FC">
              <w:t>1)</w:t>
            </w:r>
            <w:r w:rsidR="00193E4E" w:rsidRPr="007803FC">
              <w:t xml:space="preserve">paredzēts </w:t>
            </w:r>
            <w:r w:rsidRPr="007803FC">
              <w:t>administratīvā sloga samazinājum</w:t>
            </w:r>
            <w:r w:rsidR="00193E4E" w:rsidRPr="007803FC">
              <w:t>s</w:t>
            </w:r>
            <w:r w:rsidRPr="007803FC">
              <w:t xml:space="preserve"> </w:t>
            </w:r>
            <w:r w:rsidR="0068591B" w:rsidRPr="007803FC">
              <w:t>komersantiem, kuri ir reklāmas devēji,</w:t>
            </w:r>
            <w:r w:rsidRPr="007803FC">
              <w:t xml:space="preserve"> atceļot iepriekš paredzēto prasību zāļu reklāmas saskaņošanai</w:t>
            </w:r>
            <w:r w:rsidR="00437BD7">
              <w:t xml:space="preserve"> Zāļu valsts aģentūrā</w:t>
            </w:r>
            <w:r w:rsidRPr="007803FC">
              <w:t xml:space="preserve"> pirms reklāmas izplatīšanas uzsākšanas</w:t>
            </w:r>
            <w:r w:rsidR="00521575">
              <w:t>;</w:t>
            </w:r>
            <w:r w:rsidR="00E61592">
              <w:t xml:space="preserve"> </w:t>
            </w:r>
          </w:p>
          <w:p w:rsidR="008121FA" w:rsidRPr="007803FC" w:rsidRDefault="008121FA" w:rsidP="00037B68">
            <w:pPr>
              <w:pStyle w:val="naiskr"/>
              <w:spacing w:before="0" w:beforeAutospacing="0" w:after="0" w:afterAutospacing="0"/>
              <w:jc w:val="both"/>
            </w:pPr>
          </w:p>
          <w:p w:rsidR="00DD78DD" w:rsidRDefault="002C60C7" w:rsidP="00F817E8">
            <w:pPr>
              <w:pStyle w:val="naiskr"/>
              <w:spacing w:before="0" w:beforeAutospacing="0" w:after="120" w:afterAutospacing="0"/>
              <w:jc w:val="both"/>
            </w:pPr>
            <w:r w:rsidRPr="007803FC">
              <w:t>2</w:t>
            </w:r>
            <w:r w:rsidR="004D7CFB">
              <w:t>)</w:t>
            </w:r>
            <w:r w:rsidR="008E095B" w:rsidRPr="007803FC">
              <w:t xml:space="preserve"> iekļauti redakcionāli precizējumi Noteikumu </w:t>
            </w:r>
            <w:r w:rsidR="008E095B">
              <w:t xml:space="preserve">projekta </w:t>
            </w:r>
            <w:r w:rsidR="008E095B" w:rsidRPr="007803FC">
              <w:t>2. un 3.punktā, kas nosaka, uz ko attiecas vai neattiecas zāļu reklamēšanas kārtība</w:t>
            </w:r>
            <w:r w:rsidR="008E095B">
              <w:t>;</w:t>
            </w:r>
          </w:p>
          <w:p w:rsidR="00F817E8" w:rsidRDefault="00F817E8" w:rsidP="00F817E8">
            <w:pPr>
              <w:pStyle w:val="naiskr"/>
              <w:spacing w:before="0" w:beforeAutospacing="0" w:after="120" w:afterAutospacing="0"/>
              <w:jc w:val="both"/>
            </w:pPr>
            <w:r>
              <w:t>3)</w:t>
            </w:r>
            <w:r w:rsidR="008E095B">
              <w:t xml:space="preserve">papildināta informācija, uz ko neattiecas </w:t>
            </w:r>
            <w:r w:rsidR="008121FA">
              <w:t>zāļu reklamēšanas kārtība (Noteikumu projekta 3.6.apakspunkts);</w:t>
            </w:r>
          </w:p>
          <w:p w:rsidR="00F817E8" w:rsidRDefault="00F817E8" w:rsidP="00F817E8">
            <w:pPr>
              <w:pStyle w:val="naiskr"/>
              <w:spacing w:before="240" w:beforeAutospacing="0" w:after="0" w:afterAutospacing="0"/>
              <w:jc w:val="both"/>
            </w:pPr>
            <w:r>
              <w:t xml:space="preserve">4) iekļauta norma, kas nosaka, ka kompensējamās zāles nedrīkst piedāvāt un izplatīt aptiekās ar papildus atlaidi </w:t>
            </w:r>
            <w:r w:rsidR="003638CC">
              <w:t xml:space="preserve">kompensācijas sistēmā noteiktajai cenai </w:t>
            </w:r>
            <w:r>
              <w:t>(Noteikumu projekta</w:t>
            </w:r>
            <w:r w:rsidR="003638CC">
              <w:t xml:space="preserve"> </w:t>
            </w:r>
            <w:r w:rsidR="00521575">
              <w:t>6.punkts);</w:t>
            </w:r>
          </w:p>
          <w:p w:rsidR="00F817E8" w:rsidRDefault="00F817E8" w:rsidP="00F817E8">
            <w:pPr>
              <w:pStyle w:val="naiskr"/>
              <w:spacing w:before="240" w:beforeAutospacing="0" w:after="0" w:afterAutospacing="0"/>
              <w:jc w:val="both"/>
            </w:pPr>
            <w:r>
              <w:t>5)</w:t>
            </w:r>
            <w:r w:rsidRPr="007803FC">
              <w:t xml:space="preserve"> precizētas</w:t>
            </w:r>
            <w:r>
              <w:t xml:space="preserve"> </w:t>
            </w:r>
            <w:r w:rsidRPr="007803FC">
              <w:t>Noteikumu</w:t>
            </w:r>
            <w:r>
              <w:t xml:space="preserve"> projekta</w:t>
            </w:r>
            <w:r w:rsidRPr="007803FC">
              <w:t xml:space="preserve"> </w:t>
            </w:r>
            <w:r>
              <w:t>7</w:t>
            </w:r>
            <w:r w:rsidRPr="007803FC">
              <w:t>.punktā noteiktās vispārīgās zāļu reklāmas prasības</w:t>
            </w:r>
            <w:r>
              <w:t xml:space="preserve"> par racionālas zāļu lietošanas veicināšanu un</w:t>
            </w:r>
            <w:r w:rsidRPr="007803FC">
              <w:t xml:space="preserve"> attiecībā uz salīdzinošo reklāmu</w:t>
            </w:r>
            <w:r w:rsidR="00521575">
              <w:t>;</w:t>
            </w:r>
            <w:r w:rsidRPr="007803FC">
              <w:t xml:space="preserve"> </w:t>
            </w:r>
          </w:p>
          <w:p w:rsidR="008121FA" w:rsidRDefault="003638CC" w:rsidP="008121FA">
            <w:pPr>
              <w:pStyle w:val="naiskr"/>
              <w:spacing w:before="240" w:beforeAutospacing="0" w:after="0" w:afterAutospacing="0"/>
              <w:jc w:val="both"/>
            </w:pPr>
            <w:r>
              <w:t>6) konkretizēts, kādas zāles ir aizliegts reklamēt sabiedrībai</w:t>
            </w:r>
            <w:r w:rsidR="00AA58F1">
              <w:t xml:space="preserve"> (Noteikumu projekta 11</w:t>
            </w:r>
            <w:r w:rsidR="00521575">
              <w:t>.punkts);</w:t>
            </w:r>
          </w:p>
          <w:p w:rsidR="0040687E" w:rsidRDefault="0040687E" w:rsidP="008121FA">
            <w:pPr>
              <w:pStyle w:val="naiskr"/>
              <w:spacing w:before="240" w:beforeAutospacing="0" w:after="0" w:afterAutospacing="0"/>
              <w:jc w:val="both"/>
            </w:pPr>
            <w:r>
              <w:t xml:space="preserve">7) tā kā </w:t>
            </w:r>
            <w:r w:rsidR="00371624">
              <w:t>ir atļauta</w:t>
            </w:r>
            <w:r>
              <w:t xml:space="preserve"> vakcīnu, kas ir recepšu zāles, reklāmas izplatīšan</w:t>
            </w:r>
            <w:r w:rsidR="00371624">
              <w:t>a</w:t>
            </w:r>
            <w:r>
              <w:t xml:space="preserve"> vakcinācijas kampaņas laikā, kā arī ņemot vērā, ka</w:t>
            </w:r>
            <w:r w:rsidRPr="007803FC">
              <w:t xml:space="preserve"> ir atcelta zāļu reklāmas materiālu iepriekšēja saskaņošana pirms reklāmas izplatīšanas sabiedrībai,</w:t>
            </w:r>
            <w:r>
              <w:t xml:space="preserve"> ir noteikta institūcija – valsts aģentūra „Latvijas Infektoloģijas centrs”, kura pamatojoties uz epidemioloģisko datu analīzi apstiprina vakcinācijas kampaņas nepieciešamību (</w:t>
            </w:r>
            <w:r w:rsidRPr="007803FC">
              <w:t xml:space="preserve">Noteikumu projekta </w:t>
            </w:r>
            <w:r w:rsidR="00521575">
              <w:t>1</w:t>
            </w:r>
            <w:r w:rsidR="00AA58F1">
              <w:t>2</w:t>
            </w:r>
            <w:r w:rsidR="00521575">
              <w:t>.punkts);</w:t>
            </w:r>
            <w:r>
              <w:t xml:space="preserve"> </w:t>
            </w:r>
          </w:p>
          <w:p w:rsidR="0003590F" w:rsidRPr="007803FC" w:rsidRDefault="0003590F" w:rsidP="0003590F">
            <w:pPr>
              <w:pStyle w:val="naiskr"/>
              <w:spacing w:before="240" w:beforeAutospacing="0" w:after="0" w:afterAutospacing="0"/>
              <w:jc w:val="both"/>
            </w:pPr>
            <w:r>
              <w:t>8) papildināta informācija, kuru atļauts norādīt sabiedrībai un speciālistiem paredzētās atgādinājuma reklāmas gadījumā (Notei</w:t>
            </w:r>
            <w:r w:rsidR="00521575">
              <w:t>kumu projekta 1</w:t>
            </w:r>
            <w:r w:rsidR="00AA58F1">
              <w:t>7</w:t>
            </w:r>
            <w:r w:rsidR="00521575">
              <w:t>. un 2</w:t>
            </w:r>
            <w:r w:rsidR="00AA58F1">
              <w:t>0</w:t>
            </w:r>
            <w:r w:rsidR="00521575">
              <w:t>.punkts);</w:t>
            </w:r>
          </w:p>
          <w:p w:rsidR="00F817E8" w:rsidRPr="007803FC" w:rsidRDefault="0003590F" w:rsidP="00A022C5">
            <w:pPr>
              <w:pStyle w:val="naiskr"/>
              <w:spacing w:before="240" w:beforeAutospacing="0" w:after="0" w:afterAutospacing="0"/>
              <w:jc w:val="both"/>
            </w:pPr>
            <w:r>
              <w:lastRenderedPageBreak/>
              <w:t>9</w:t>
            </w:r>
            <w:r w:rsidR="0040687E">
              <w:t xml:space="preserve">) </w:t>
            </w:r>
            <w:r w:rsidR="003638CC" w:rsidRPr="007803FC">
              <w:t>precizē</w:t>
            </w:r>
            <w:r w:rsidR="0040687E">
              <w:t>ta</w:t>
            </w:r>
            <w:r w:rsidR="003638CC" w:rsidRPr="007803FC">
              <w:t xml:space="preserve"> informācij</w:t>
            </w:r>
            <w:r w:rsidR="0040687E">
              <w:t>a</w:t>
            </w:r>
            <w:r w:rsidR="003638CC" w:rsidRPr="007803FC">
              <w:t>, kuru aizliegts iekļaut sabiedrībai paredzētajā zāļu reklāmā, (Noteikumu projekta</w:t>
            </w:r>
            <w:r w:rsidR="0040687E">
              <w:t xml:space="preserve"> 1</w:t>
            </w:r>
            <w:r w:rsidR="00AA58F1">
              <w:t>8</w:t>
            </w:r>
            <w:r w:rsidR="0040687E">
              <w:t>.1. un 1</w:t>
            </w:r>
            <w:r w:rsidR="00AA58F1">
              <w:t>8</w:t>
            </w:r>
            <w:r w:rsidR="0040687E">
              <w:t>.</w:t>
            </w:r>
            <w:r w:rsidR="008121FA">
              <w:t>1</w:t>
            </w:r>
            <w:r w:rsidR="0040687E">
              <w:t>2.</w:t>
            </w:r>
            <w:r w:rsidR="00521575">
              <w:t>apakšpunkts);</w:t>
            </w:r>
          </w:p>
          <w:p w:rsidR="00A022C5" w:rsidRDefault="0003590F" w:rsidP="00A022C5">
            <w:pPr>
              <w:pStyle w:val="naiskr"/>
              <w:spacing w:before="240" w:beforeAutospacing="0" w:after="0" w:afterAutospacing="0"/>
              <w:jc w:val="both"/>
            </w:pPr>
            <w:r>
              <w:t>10</w:t>
            </w:r>
            <w:r w:rsidR="00A022C5">
              <w:t>) iekļauta norma attiecībā uz speciālistu informēšanu par zālēm</w:t>
            </w:r>
            <w:r w:rsidR="00A022C5" w:rsidRPr="007803FC">
              <w:t xml:space="preserve">, kas </w:t>
            </w:r>
            <w:r w:rsidR="00A022C5">
              <w:t xml:space="preserve">to </w:t>
            </w:r>
            <w:r w:rsidR="00A022C5">
              <w:rPr>
                <w:bCs/>
              </w:rPr>
              <w:t>atļauj tikai ārpus pacientu pieņemšanas laika,</w:t>
            </w:r>
            <w:r w:rsidR="00A022C5" w:rsidRPr="007803FC">
              <w:rPr>
                <w:bCs/>
              </w:rPr>
              <w:t xml:space="preserve"> lai netraucētu ārstniecības personai veikt kvalitatīvu veselības aprūpi (Noteikumu projekta </w:t>
            </w:r>
            <w:r w:rsidR="00AA58F1">
              <w:rPr>
                <w:bCs/>
              </w:rPr>
              <w:t>26</w:t>
            </w:r>
            <w:r w:rsidR="00A022C5">
              <w:rPr>
                <w:bCs/>
              </w:rPr>
              <w:t>.</w:t>
            </w:r>
            <w:r w:rsidR="00A022C5" w:rsidRPr="007803FC">
              <w:rPr>
                <w:bCs/>
              </w:rPr>
              <w:t>punkts)</w:t>
            </w:r>
            <w:r w:rsidR="00A022C5">
              <w:rPr>
                <w:bCs/>
              </w:rPr>
              <w:t>;</w:t>
            </w:r>
          </w:p>
          <w:p w:rsidR="00AB1B92" w:rsidRPr="007803FC" w:rsidRDefault="0003590F" w:rsidP="00A022C5">
            <w:pPr>
              <w:pStyle w:val="naiskr"/>
              <w:spacing w:before="240" w:beforeAutospacing="0" w:after="0" w:afterAutospacing="0"/>
              <w:jc w:val="both"/>
            </w:pPr>
            <w:r>
              <w:t>11</w:t>
            </w:r>
            <w:r w:rsidR="00A022C5">
              <w:t xml:space="preserve">) </w:t>
            </w:r>
            <w:r w:rsidR="000A174F" w:rsidRPr="007803FC">
              <w:t>precizēts, ka zāļu bezmaksas paraugus var izplatīt arī</w:t>
            </w:r>
            <w:r w:rsidR="000A174F" w:rsidRPr="007803FC">
              <w:rPr>
                <w:bCs/>
              </w:rPr>
              <w:t xml:space="preserve"> zāļu reģistrācijas apliecības turētāj</w:t>
            </w:r>
            <w:r w:rsidR="00324858" w:rsidRPr="007803FC">
              <w:rPr>
                <w:bCs/>
              </w:rPr>
              <w:t>a</w:t>
            </w:r>
            <w:r w:rsidR="000A174F" w:rsidRPr="007803FC">
              <w:rPr>
                <w:bCs/>
              </w:rPr>
              <w:t xml:space="preserve"> (īpašniek</w:t>
            </w:r>
            <w:r w:rsidR="007B1616" w:rsidRPr="007803FC">
              <w:rPr>
                <w:bCs/>
              </w:rPr>
              <w:t>a</w:t>
            </w:r>
            <w:r w:rsidR="000A174F" w:rsidRPr="007803FC">
              <w:rPr>
                <w:bCs/>
              </w:rPr>
              <w:t>) pilnvarot</w:t>
            </w:r>
            <w:r w:rsidR="00324858" w:rsidRPr="007803FC">
              <w:rPr>
                <w:bCs/>
              </w:rPr>
              <w:t>ais</w:t>
            </w:r>
            <w:r w:rsidR="000A174F" w:rsidRPr="007803FC">
              <w:rPr>
                <w:bCs/>
              </w:rPr>
              <w:t xml:space="preserve"> pārstāv</w:t>
            </w:r>
            <w:r w:rsidR="00324858" w:rsidRPr="007803FC">
              <w:rPr>
                <w:bCs/>
              </w:rPr>
              <w:t>is</w:t>
            </w:r>
            <w:r w:rsidR="00193E4E" w:rsidRPr="007803FC">
              <w:rPr>
                <w:bCs/>
              </w:rPr>
              <w:t xml:space="preserve"> </w:t>
            </w:r>
            <w:r w:rsidR="0043662B" w:rsidRPr="007803FC">
              <w:t>(</w:t>
            </w:r>
            <w:r w:rsidR="001216A5" w:rsidRPr="007803FC">
              <w:t xml:space="preserve">Noteikumu projekta </w:t>
            </w:r>
            <w:r w:rsidR="00EB0450">
              <w:t>2</w:t>
            </w:r>
            <w:r w:rsidR="00AA58F1">
              <w:t>7</w:t>
            </w:r>
            <w:r w:rsidR="00EB0450">
              <w:t>.punkts</w:t>
            </w:r>
            <w:r w:rsidR="001216A5" w:rsidRPr="007803FC">
              <w:t>);</w:t>
            </w:r>
          </w:p>
          <w:p w:rsidR="004414E2" w:rsidRPr="00672617" w:rsidRDefault="0003590F" w:rsidP="004C4EE6">
            <w:pPr>
              <w:pStyle w:val="naiskr"/>
              <w:spacing w:before="240" w:beforeAutospacing="0" w:after="0" w:afterAutospacing="0"/>
              <w:jc w:val="both"/>
            </w:pPr>
            <w:r>
              <w:t>12</w:t>
            </w:r>
            <w:r w:rsidR="002217E5" w:rsidRPr="007803FC">
              <w:t>)</w:t>
            </w:r>
            <w:r w:rsidR="001216A5" w:rsidRPr="007803FC">
              <w:t xml:space="preserve"> </w:t>
            </w:r>
            <w:r w:rsidR="002E255B" w:rsidRPr="00672617">
              <w:t xml:space="preserve">precizēti </w:t>
            </w:r>
            <w:r w:rsidR="002217E5" w:rsidRPr="00672617">
              <w:t>zāļu bezmaksas paraugu izplatīšanas nosacījum</w:t>
            </w:r>
            <w:r w:rsidR="00193E4E" w:rsidRPr="00672617">
              <w:t>i</w:t>
            </w:r>
            <w:r w:rsidR="00672617" w:rsidRPr="00672617">
              <w:t xml:space="preserve">, </w:t>
            </w:r>
            <w:r w:rsidR="004C4EE6" w:rsidRPr="00672617">
              <w:t>(</w:t>
            </w:r>
            <w:r w:rsidR="001216A5" w:rsidRPr="00672617">
              <w:t xml:space="preserve">Noteikumu </w:t>
            </w:r>
            <w:r w:rsidR="004C4EE6" w:rsidRPr="00672617">
              <w:t xml:space="preserve">projekta </w:t>
            </w:r>
            <w:r w:rsidR="00EB0450">
              <w:t>2</w:t>
            </w:r>
            <w:r w:rsidR="00AA58F1">
              <w:t>7</w:t>
            </w:r>
            <w:r w:rsidR="00371624">
              <w:t>.4</w:t>
            </w:r>
            <w:r w:rsidR="00EB0450">
              <w:t>.</w:t>
            </w:r>
            <w:r w:rsidR="00371624">
              <w:t xml:space="preserve"> un 27.8.apakš</w:t>
            </w:r>
            <w:r w:rsidR="004C4EE6" w:rsidRPr="00672617">
              <w:t xml:space="preserve">punkts). </w:t>
            </w:r>
          </w:p>
          <w:p w:rsidR="00521575" w:rsidRDefault="00521575" w:rsidP="00521575">
            <w:pPr>
              <w:pStyle w:val="naiskr"/>
              <w:spacing w:before="0" w:beforeAutospacing="0" w:after="0" w:afterAutospacing="0"/>
              <w:jc w:val="both"/>
            </w:pPr>
          </w:p>
          <w:p w:rsidR="00521575" w:rsidRDefault="007A1C83" w:rsidP="00521575">
            <w:pPr>
              <w:pStyle w:val="naiskr"/>
              <w:spacing w:before="0" w:beforeAutospacing="0" w:after="0" w:afterAutospacing="0"/>
              <w:jc w:val="both"/>
            </w:pPr>
            <w:r>
              <w:t>13)</w:t>
            </w:r>
            <w:r w:rsidR="00521575">
              <w:t xml:space="preserve"> noteikts, kāda informācija reklāmas uzraudzības nolūkos reklāmas devējam ir jāsniedz Veselības inspekcijai pirms vakcinācijas kampaņas uzsākšanas (Noteikumu projekta 3</w:t>
            </w:r>
            <w:r w:rsidR="00AA58F1">
              <w:t>3</w:t>
            </w:r>
            <w:r w:rsidR="00521575">
              <w:t xml:space="preserve">.punkts). </w:t>
            </w:r>
          </w:p>
          <w:p w:rsidR="00773CFA" w:rsidRPr="007803FC" w:rsidRDefault="007A1C83" w:rsidP="004C4EE6">
            <w:pPr>
              <w:pStyle w:val="naiskr"/>
              <w:spacing w:before="240" w:beforeAutospacing="0" w:after="0" w:afterAutospacing="0"/>
              <w:jc w:val="both"/>
            </w:pPr>
            <w:r>
              <w:t>14</w:t>
            </w:r>
            <w:r w:rsidR="00200D93" w:rsidRPr="007803FC">
              <w:t>)</w:t>
            </w:r>
            <w:r w:rsidR="001216A5" w:rsidRPr="007803FC">
              <w:t xml:space="preserve"> </w:t>
            </w:r>
            <w:r w:rsidR="003E5E5F">
              <w:t>tā kā ir atcelta zāļu reklamēšanas materiāl</w:t>
            </w:r>
            <w:r w:rsidR="0003590F">
              <w:t>a</w:t>
            </w:r>
            <w:r w:rsidR="003E5E5F">
              <w:t xml:space="preserve"> iepriekšēja saskaņošan</w:t>
            </w:r>
            <w:r w:rsidR="00077B71">
              <w:t>a</w:t>
            </w:r>
            <w:r w:rsidR="001216A5" w:rsidRPr="007803FC">
              <w:t xml:space="preserve"> </w:t>
            </w:r>
            <w:r w:rsidR="003E5E5F">
              <w:t xml:space="preserve">Zāļu valsts aģentūrā, </w:t>
            </w:r>
            <w:r w:rsidR="002038E8">
              <w:t xml:space="preserve">speciālistiem paredzētajā reklāmā ir jānorāda </w:t>
            </w:r>
            <w:r w:rsidR="00773CFA" w:rsidRPr="007803FC">
              <w:t>datum</w:t>
            </w:r>
            <w:r w:rsidR="002038E8">
              <w:t>s</w:t>
            </w:r>
            <w:r w:rsidR="00773CFA" w:rsidRPr="007803FC">
              <w:t>, kad reklāma izstrādāta vai pēdējo reizi pārskatīta</w:t>
            </w:r>
            <w:r w:rsidR="003E5E5F">
              <w:t xml:space="preserve">. </w:t>
            </w:r>
            <w:r w:rsidR="004D0D35">
              <w:t xml:space="preserve">Reklāmas devējam ir nepieciešams pārejas periods šīs normas ieviešanai, tāpēc </w:t>
            </w:r>
            <w:r w:rsidR="003E5E5F">
              <w:t xml:space="preserve">ir iekļauts pārejas periods </w:t>
            </w:r>
            <w:r w:rsidR="00F41CF2">
              <w:t xml:space="preserve">līdz 2011.gada 1.jūlijam, </w:t>
            </w:r>
            <w:r w:rsidR="003E5E5F">
              <w:t xml:space="preserve">attiecībā uz tām reklāmām, kurām izplatīšana uzsākta līdz </w:t>
            </w:r>
            <w:r w:rsidR="00A172FB">
              <w:t>šo noteikumu</w:t>
            </w:r>
            <w:r w:rsidR="005E607E">
              <w:t xml:space="preserve"> spēkā stāšanās brīdim.</w:t>
            </w:r>
            <w:r w:rsidR="003E5E5F">
              <w:t xml:space="preserve"> </w:t>
            </w:r>
          </w:p>
          <w:p w:rsidR="00371624" w:rsidRDefault="00371624" w:rsidP="002038E8">
            <w:pPr>
              <w:pStyle w:val="naiskr"/>
              <w:spacing w:before="240" w:beforeAutospacing="0" w:after="0" w:afterAutospacing="0"/>
              <w:jc w:val="both"/>
            </w:pPr>
            <w:r>
              <w:t>Noteikumu projekts pilnībā atrisinās anotācijas 1.2.punktā iekļautās problēmas.</w:t>
            </w:r>
          </w:p>
          <w:p w:rsidR="007C629E" w:rsidRDefault="007B5C70" w:rsidP="002038E8">
            <w:pPr>
              <w:pStyle w:val="naiskr"/>
              <w:spacing w:before="240" w:beforeAutospacing="0" w:after="0" w:afterAutospacing="0"/>
              <w:jc w:val="both"/>
            </w:pPr>
            <w:r>
              <w:t>Paredzēts, ka šie noteikumi s</w:t>
            </w:r>
            <w:r w:rsidR="00A52CF6">
              <w:t xml:space="preserve">tājas spēkā </w:t>
            </w:r>
            <w:r w:rsidR="005E607E">
              <w:t>parastajā kārtībā.</w:t>
            </w:r>
          </w:p>
          <w:p w:rsidR="00194B04" w:rsidRPr="007803FC" w:rsidRDefault="00194B04" w:rsidP="007B2923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A43A49" w:rsidRPr="007803FC" w:rsidTr="008121FA">
        <w:trPr>
          <w:trHeight w:val="47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5.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Default="00A43A49" w:rsidP="005A047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D1C94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inspekcija</w:t>
            </w:r>
            <w:r w:rsidR="00E463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3491E" w:rsidRPr="007803FC" w:rsidRDefault="00A12601" w:rsidP="004348C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="00F41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4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41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.punkta</w:t>
            </w:r>
            <w:r w:rsidR="00E463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49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redakcija saskaņota ar </w:t>
            </w:r>
            <w:r w:rsidR="00413C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E349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alsts aģentūru „Latvijas </w:t>
            </w:r>
            <w:r w:rsidR="00E349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Infektoloģijas centrs”</w:t>
            </w:r>
            <w:r w:rsidR="00E463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43A49" w:rsidRPr="007803FC" w:rsidTr="008121FA">
        <w:trPr>
          <w:trHeight w:val="85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6.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A43A49" w:rsidRPr="007803FC" w:rsidTr="008121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97662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D1C94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A43A49" w:rsidRPr="007803FC" w:rsidRDefault="00A43A49" w:rsidP="00A43A49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03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162"/>
        <w:gridCol w:w="4695"/>
      </w:tblGrid>
      <w:tr w:rsidR="00A43A49" w:rsidRPr="007803FC" w:rsidTr="000C4B9F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49" w:rsidRPr="007803FC" w:rsidRDefault="00A43A49" w:rsidP="000210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II. Tiesību akta projekta ietekme uz sabiedrību</w:t>
            </w:r>
          </w:p>
        </w:tc>
      </w:tr>
      <w:tr w:rsidR="00A43A49" w:rsidRPr="007803FC" w:rsidTr="000C4B9F">
        <w:trPr>
          <w:trHeight w:val="46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Sabiedrības </w:t>
            </w:r>
            <w:proofErr w:type="spellStart"/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18" w:rsidRPr="001F03FC" w:rsidRDefault="001F03FC" w:rsidP="001F03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1)</w:t>
            </w:r>
            <w:r w:rsidR="003A6A0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B6C62">
              <w:rPr>
                <w:rFonts w:ascii="Times New Roman" w:hAnsi="Times New Roman"/>
                <w:sz w:val="24"/>
                <w:szCs w:val="24"/>
                <w:lang w:eastAsia="lv-LV"/>
              </w:rPr>
              <w:t>Zāļu</w:t>
            </w:r>
            <w:r w:rsidR="000467EA" w:rsidRPr="001F03F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reklāma tieši vai netieši var </w:t>
            </w:r>
            <w:r w:rsidR="009F3518" w:rsidRPr="001F03FC">
              <w:rPr>
                <w:rFonts w:ascii="Times New Roman" w:hAnsi="Times New Roman"/>
                <w:sz w:val="24"/>
                <w:szCs w:val="24"/>
                <w:lang w:eastAsia="lv-LV"/>
              </w:rPr>
              <w:t>ietekmēt jebkuru</w:t>
            </w:r>
            <w:r w:rsidR="004B5BFE" w:rsidRPr="001F03F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F3518" w:rsidRPr="001F03FC">
              <w:rPr>
                <w:rFonts w:ascii="Times New Roman" w:hAnsi="Times New Roman"/>
                <w:sz w:val="24"/>
                <w:szCs w:val="24"/>
                <w:lang w:eastAsia="lv-LV"/>
              </w:rPr>
              <w:t>sabiedrības indivīdu.</w:t>
            </w:r>
          </w:p>
          <w:p w:rsidR="009F3518" w:rsidRPr="007803FC" w:rsidRDefault="001F03FC" w:rsidP="009F351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</w:t>
            </w:r>
            <w:r w:rsidR="00FF2F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Visas ā</w:t>
            </w:r>
            <w:r w:rsidR="004B5BFE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rstniecības personas, </w:t>
            </w:r>
            <w:r w:rsidR="009F35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kurām tiek sniegta informācija par zālēm un kuras zāļu reklamēšanas nolūkā apmeklē medicīniskie pārstāvji.</w:t>
            </w:r>
          </w:p>
          <w:p w:rsidR="00091773" w:rsidRDefault="001F03FC" w:rsidP="002A23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</w:t>
            </w:r>
            <w:r w:rsidR="00FF2F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k</w:t>
            </w:r>
            <w:r w:rsidR="004B5BFE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omersanti, kas ieinteresēti </w:t>
            </w:r>
            <w:r w:rsidR="002A23CF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savu saražoto zāļu reklamēšanā un tirdzniecības veicināšanā</w:t>
            </w:r>
            <w:r w:rsidR="00241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B6C62" w:rsidRPr="00EB6C62" w:rsidRDefault="00EB6C62" w:rsidP="002A23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43A49" w:rsidRPr="007803FC" w:rsidTr="000C4B9F">
        <w:trPr>
          <w:trHeight w:val="523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Citas sabiedrības grupas (bez </w:t>
            </w:r>
            <w:proofErr w:type="spellStart"/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A43A49" w:rsidRPr="007803FC" w:rsidTr="000C4B9F">
        <w:trPr>
          <w:trHeight w:val="51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Tiesiskā regulējuma finansiālā ietekme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EF" w:rsidRDefault="00090F9D" w:rsidP="002410E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administratīvais slogs</w:t>
            </w:r>
            <w:r w:rsidR="00241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komersantiem, kas</w:t>
            </w:r>
            <w:r w:rsidR="002410EF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ieinteresēti savu zāļu reklamēšanā un tirdzniecības veicināšanā</w:t>
            </w:r>
            <w:r w:rsidR="00241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A43A49" w:rsidRPr="007803FC" w:rsidRDefault="002410EF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jāsedz izdevumi par reklāmas materiāla saskaņošanu.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43A49" w:rsidRPr="007803FC" w:rsidTr="000C4B9F">
        <w:trPr>
          <w:trHeight w:val="51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Tiesiskā regulējuma nefinansiālā ietekme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Default="00C97760" w:rsidP="00F3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Mazināta negatīvā i</w:t>
            </w:r>
            <w:r w:rsidR="007744EF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 uz sabiedrību</w:t>
            </w:r>
            <w:r w:rsidR="004B5BFE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varētu rasties </w:t>
            </w:r>
            <w:r w:rsidR="001216A5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reklāmas iespaidā, 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neracionāli lietojot 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bezrecepšu zāles</w:t>
            </w:r>
            <w:r w:rsidR="007465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4657F" w:rsidRPr="007803FC" w:rsidRDefault="0074657F" w:rsidP="00F3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Medicīnisko pā</w:t>
            </w:r>
            <w:r w:rsidR="003716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rstāvju vizīšu pie speciālista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aizliegums pacientu pieņemamā laikā uzlabos pacientu aprūpes kvalitāti</w:t>
            </w:r>
            <w:r w:rsidR="000467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91773" w:rsidRPr="00090F9D" w:rsidRDefault="002410EF" w:rsidP="002410E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Komersanti,</w:t>
            </w:r>
            <w:r w:rsidR="00090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kas ir reklāmas devēji, paši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</w:t>
            </w:r>
            <w:r w:rsidR="00090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atbildīgi par reklāmas materiālu atbilstību reklamēšanas prasībām,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novērsti birokrātiskie šķēršļi,</w:t>
            </w:r>
            <w:r w:rsidRPr="00090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90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zlabosies uzņēmējdarbības vide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43A49" w:rsidRPr="007803FC" w:rsidTr="000C4B9F">
        <w:trPr>
          <w:trHeight w:val="531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Administratīvās procedūras raksturojums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Default="000202B4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administratīvais slogs komersantiem, kas ir reklāmas devēji, jo atcelta reklāmas materiālu iepriekšēja saskaņošana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Zāļu valsts aģentūrā pirms reklāmas izplatīšanas, nav izdevumu par pakalpojumu saistībā ar reklāmas materiāla saskaņošanu.</w:t>
            </w:r>
          </w:p>
          <w:p w:rsidR="00413C42" w:rsidRPr="007803FC" w:rsidRDefault="00413C42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Zāļu valsts aģentūrai samazinās funkciju apjoms.</w:t>
            </w:r>
          </w:p>
        </w:tc>
      </w:tr>
      <w:tr w:rsidR="00A43A49" w:rsidRPr="007803FC" w:rsidTr="000C4B9F">
        <w:trPr>
          <w:trHeight w:val="3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6.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Administratīvo izmaksu monetārs novērtējums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A43A49" w:rsidRPr="007803FC" w:rsidTr="000C4B9F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3C78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C787E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43A49" w:rsidRPr="007803FC" w:rsidRDefault="00A43A49" w:rsidP="002B306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03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91004" w:rsidRDefault="00391004" w:rsidP="003910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1A42" w:rsidRDefault="00271A42" w:rsidP="003910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803FC">
        <w:rPr>
          <w:rFonts w:ascii="Times New Roman" w:hAnsi="Times New Roman"/>
          <w:b/>
          <w:sz w:val="24"/>
          <w:szCs w:val="24"/>
        </w:rPr>
        <w:t>Anotācijas III, IV</w:t>
      </w:r>
      <w:r w:rsidR="00391004">
        <w:rPr>
          <w:rFonts w:ascii="Times New Roman" w:hAnsi="Times New Roman"/>
          <w:b/>
          <w:sz w:val="24"/>
          <w:szCs w:val="24"/>
        </w:rPr>
        <w:t>-</w:t>
      </w:r>
      <w:r w:rsidRPr="007803FC">
        <w:rPr>
          <w:rFonts w:ascii="Times New Roman" w:hAnsi="Times New Roman"/>
          <w:b/>
          <w:sz w:val="24"/>
          <w:szCs w:val="24"/>
        </w:rPr>
        <w:t xml:space="preserve"> </w:t>
      </w:r>
      <w:r w:rsidR="00266B48">
        <w:rPr>
          <w:rFonts w:ascii="Times New Roman" w:hAnsi="Times New Roman"/>
          <w:i/>
          <w:sz w:val="24"/>
          <w:szCs w:val="24"/>
        </w:rPr>
        <w:t>projekts šīs jomas neskar.</w:t>
      </w:r>
    </w:p>
    <w:p w:rsidR="00391004" w:rsidRDefault="00391004" w:rsidP="003910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391004" w:rsidRDefault="00391004" w:rsidP="003910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391004" w:rsidRDefault="00391004" w:rsidP="003910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3485"/>
        <w:gridCol w:w="5369"/>
      </w:tblGrid>
      <w:tr w:rsidR="00391004" w:rsidRPr="00391004" w:rsidTr="003910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004" w:rsidRPr="00391004" w:rsidRDefault="00391004" w:rsidP="003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Tiesību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akta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atbilstība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Latvijas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Republikas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starptautiskajām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saistībām</w:t>
            </w:r>
            <w:proofErr w:type="spellEnd"/>
          </w:p>
        </w:tc>
      </w:tr>
      <w:tr w:rsidR="00391004" w:rsidRPr="00391004" w:rsidTr="0039100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Saistības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Eiropas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Savienību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A178E0" w:rsidRDefault="00391004" w:rsidP="005E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E0">
              <w:rPr>
                <w:rFonts w:ascii="Times New Roman" w:hAnsi="Times New Roman" w:cs="Times New Roman"/>
                <w:sz w:val="24"/>
                <w:szCs w:val="24"/>
              </w:rPr>
              <w:t>Ar 2007.gada 6.martā pieņemtajiem Ministru kabineta noteikumiem Nr.167 „</w:t>
            </w:r>
            <w:r w:rsidRPr="00A178E0">
              <w:rPr>
                <w:rFonts w:ascii="Times New Roman" w:hAnsi="Times New Roman" w:cs="Times New Roman"/>
                <w:bCs/>
                <w:sz w:val="24"/>
                <w:szCs w:val="24"/>
              </w:rPr>
              <w:t>Zāļu reklamēšanas kārtība un kārtība, kādā zāļu ražotājs ir tiesīgs nodot ārstiem bezmaksas zāļu paraugus</w:t>
            </w:r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” (turpmāk – noteikumi) </w:t>
            </w:r>
            <w:r w:rsidRPr="00391004">
              <w:rPr>
                <w:rFonts w:ascii="Times New Roman" w:hAnsi="Times New Roman" w:cs="Times New Roman"/>
                <w:b/>
                <w:sz w:val="24"/>
                <w:szCs w:val="24"/>
              </w:rPr>
              <w:t>ir ieviestas</w:t>
            </w:r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 Eiropas Parlamenta un Padomes 2001.gada 6.novembra Direktīvas </w:t>
            </w:r>
            <w:hyperlink r:id="rId8" w:tgtFrame="_blank" w:tooltip="DIREKTĪVA" w:history="1">
              <w:r w:rsidRPr="00A17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2001/83/EK</w:t>
              </w:r>
            </w:hyperlink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 par Kopienas kodeksu, kas attiecas uz cilvēkiem paredzētām zālēm, Eiropas Parlamenta un Padomes 2004.gada 31.marta Direktīvas 2004/27, ar ko groza Direktīvu </w:t>
            </w:r>
            <w:hyperlink r:id="rId9" w:tgtFrame="_blank" w:tooltip="DIREKTĪVA" w:history="1">
              <w:r w:rsidRPr="00A17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2001/83/EK</w:t>
              </w:r>
            </w:hyperlink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 par Kopienas kodeksu, kas attiecas uz cilvēkiem paredzētām zālēm un Eiropas Parlamenta un Padomes 2004.gada 31.marta Direktīvas </w:t>
            </w:r>
            <w:hyperlink r:id="rId10" w:tgtFrame="_blank" w:tooltip="DIREKTĪVA" w:history="1">
              <w:r w:rsidRPr="00A17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2004/24/EK</w:t>
              </w:r>
            </w:hyperlink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, ar ko groza Direktīvu </w:t>
            </w:r>
            <w:hyperlink r:id="rId11" w:tgtFrame="_blank" w:tooltip="DIREKTĪVA" w:history="1">
              <w:r w:rsidRPr="00A17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2001/83/EK</w:t>
              </w:r>
            </w:hyperlink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 par Kopienas kodeksu, kas attiecas uz cilvēkiem paredzētām zālēm, </w:t>
            </w:r>
            <w:r w:rsidRPr="00391004">
              <w:rPr>
                <w:rFonts w:ascii="Times New Roman" w:hAnsi="Times New Roman" w:cs="Times New Roman"/>
                <w:b/>
                <w:sz w:val="24"/>
                <w:szCs w:val="24"/>
              </w:rPr>
              <w:t>prasības.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8E0">
              <w:rPr>
                <w:rFonts w:ascii="Times New Roman" w:hAnsi="Times New Roman" w:cs="Times New Roman"/>
                <w:sz w:val="24"/>
                <w:szCs w:val="24"/>
              </w:rPr>
              <w:t xml:space="preserve">Noteikumi ir izdoti jaunā redakcijā un saglabā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minēto </w:t>
            </w:r>
            <w:r w:rsidRPr="00A178E0">
              <w:rPr>
                <w:rFonts w:ascii="Times New Roman" w:hAnsi="Times New Roman" w:cs="Times New Roman"/>
                <w:sz w:val="24"/>
                <w:szCs w:val="24"/>
              </w:rPr>
              <w:t>direktīvu prasības.</w:t>
            </w:r>
          </w:p>
        </w:tc>
      </w:tr>
      <w:tr w:rsidR="00391004" w:rsidRPr="00391004" w:rsidTr="0039100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starptautiskās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saistības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976625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391004" w:rsidRPr="00391004" w:rsidTr="0039100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</w:t>
            </w:r>
            <w:proofErr w:type="spellEnd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04" w:rsidRPr="00391004" w:rsidRDefault="00391004" w:rsidP="003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</w:p>
        </w:tc>
      </w:tr>
    </w:tbl>
    <w:p w:rsidR="00A43A49" w:rsidRPr="00A178E0" w:rsidRDefault="00A43A49" w:rsidP="0039100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78E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4032"/>
        <w:gridCol w:w="4843"/>
      </w:tblGrid>
      <w:tr w:rsidR="00A43A49" w:rsidRPr="007803FC" w:rsidTr="00021083">
        <w:trPr>
          <w:tblCellSpacing w:w="0" w:type="dxa"/>
        </w:trPr>
        <w:tc>
          <w:tcPr>
            <w:tcW w:w="10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VI. Sabiedrības līdzdalība un šīs līdzdalības rezultāti</w:t>
            </w:r>
          </w:p>
        </w:tc>
      </w:tr>
      <w:tr w:rsidR="00A43A49" w:rsidRPr="007803FC" w:rsidTr="00021083">
        <w:trPr>
          <w:trHeight w:val="55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Sabiedrības informēšana par projekta izstrādes uzsākšanu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037B68" w:rsidP="000B5D8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hAnsi="Times New Roman" w:cs="Times New Roman"/>
                <w:sz w:val="24"/>
                <w:szCs w:val="24"/>
              </w:rPr>
              <w:t>Par Noteikumu projektu 2010.gada 13.aprīlī</w:t>
            </w:r>
            <w:r w:rsidR="000B5D8F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informēta </w:t>
            </w:r>
            <w:r w:rsidR="000B5D8F" w:rsidRPr="007803FC">
              <w:rPr>
                <w:rFonts w:ascii="Times New Roman" w:hAnsi="Times New Roman" w:cs="Times New Roman"/>
                <w:sz w:val="24"/>
                <w:szCs w:val="24"/>
              </w:rPr>
              <w:t xml:space="preserve">Farmācijas jomas konsultatīvā padome, kuras sastāvā darbojas farmācijas jomas sabiedrisko organizācijas un pacientu </w:t>
            </w:r>
            <w:r w:rsidR="000B5D8F" w:rsidRPr="0078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organizāciju pārstāvji.</w:t>
            </w:r>
          </w:p>
        </w:tc>
      </w:tr>
      <w:tr w:rsidR="00A43A49" w:rsidRPr="007803FC" w:rsidTr="00021083">
        <w:trPr>
          <w:trHeight w:val="339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Sabiedrības līdzdalība projekta izstrādē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44B" w:rsidRDefault="0010544B" w:rsidP="0041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Rakstiski p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riekšlikumi 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(28.04.2010., 25.05.2010)</w:t>
            </w:r>
            <w:r w:rsidR="00611A41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saņemti 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Farmācijas jomas konsultatīvās padomes locekļiem </w:t>
            </w:r>
            <w:r w:rsidR="00EB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SIFFA</w:t>
            </w:r>
            <w:r w:rsidR="002F48D8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Patentbrīvo</w:t>
            </w:r>
            <w:proofErr w:type="spellEnd"/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medikamentu asociācijas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LPMA), kā arī</w:t>
            </w:r>
            <w:r w:rsidR="001F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1A41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(26.04.2010.</w:t>
            </w:r>
            <w:r w:rsidR="00EB0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15.09.2010.</w:t>
            </w:r>
            <w:r w:rsidR="00611A41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F326F6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Zāļu lieltirgotāju asoci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ācijas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LZLA).</w:t>
            </w:r>
            <w:r w:rsidR="002F48D8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Notikusi tikšanās ar SIFFA pārstāvi </w:t>
            </w:r>
            <w:r w:rsidR="002F48D8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(14.05.2010.) </w:t>
            </w: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sniegto priekšlikumu </w:t>
            </w:r>
            <w:r w:rsidR="002F48D8"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iekļaušanu noteikumu projektā.</w:t>
            </w:r>
          </w:p>
          <w:p w:rsidR="00413C42" w:rsidRPr="00413C42" w:rsidRDefault="00413C42" w:rsidP="000B3AB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Notikusi sanāksme (12.01.2011.) ar Latvijas Darba devēju konfederācijas pārstāvjiem, saskaņā ar </w:t>
            </w:r>
            <w:r w:rsidRPr="00413C42">
              <w:rPr>
                <w:rFonts w:ascii="Times New Roman" w:hAnsi="Times New Roman" w:cs="Times New Roman"/>
                <w:sz w:val="24"/>
                <w:szCs w:val="24"/>
              </w:rPr>
              <w:t>2010.gada 16.decembra Valsts sekretāru sanāksm</w:t>
            </w:r>
            <w:r w:rsidR="000B3AB2">
              <w:rPr>
                <w:rFonts w:ascii="Times New Roman" w:hAnsi="Times New Roman" w:cs="Times New Roman"/>
                <w:sz w:val="24"/>
                <w:szCs w:val="24"/>
              </w:rPr>
              <w:t>ē nolemto</w:t>
            </w:r>
            <w:r w:rsidRPr="0041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A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3C42">
              <w:rPr>
                <w:rFonts w:ascii="Times New Roman" w:hAnsi="Times New Roman" w:cs="Times New Roman"/>
                <w:sz w:val="24"/>
                <w:szCs w:val="24"/>
              </w:rPr>
              <w:t xml:space="preserve">protokols Nr.47 29.§ </w:t>
            </w:r>
            <w:r w:rsidR="000B3AB2" w:rsidRPr="00413C42">
              <w:rPr>
                <w:rFonts w:ascii="Times New Roman" w:hAnsi="Times New Roman" w:cs="Times New Roman"/>
                <w:sz w:val="24"/>
                <w:szCs w:val="24"/>
              </w:rPr>
              <w:t>TA-3017</w:t>
            </w:r>
            <w:r w:rsidR="000B3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A49" w:rsidRPr="007803FC" w:rsidTr="00021083">
        <w:trPr>
          <w:trHeight w:val="37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Sabiedrības līdzdalības rezultāti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2EF" w:rsidRDefault="000B3AB2" w:rsidP="0018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jomas nevalstiskās organizācijas, tajā skaitā</w:t>
            </w:r>
            <w:r w:rsidR="00434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LFB,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23CF" w:rsidRP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6C62" w:rsidRP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IFFA</w:t>
            </w:r>
            <w:r w:rsidR="001F2F3F" w:rsidRP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LPMA</w:t>
            </w:r>
            <w:r w:rsidR="001F2F3F" w:rsidRP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12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3412EF" w:rsidRPr="00611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LZLA </w:t>
            </w:r>
            <w:r w:rsidR="00566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atbalstīja noteikumu projektu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40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2F48D8" w:rsidRPr="00611A41" w:rsidRDefault="002F48D8" w:rsidP="006B295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43A49" w:rsidRPr="007803FC" w:rsidTr="00021083">
        <w:trPr>
          <w:trHeight w:val="39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Saeimas un ekspertu līdzdalība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271A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A43A49" w:rsidRPr="007803FC" w:rsidTr="002B306C">
        <w:trPr>
          <w:trHeight w:val="59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42" w:rsidRPr="007803FC" w:rsidRDefault="00271A42" w:rsidP="00271A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43A49" w:rsidRPr="007803FC" w:rsidRDefault="00A43A49" w:rsidP="00A43A49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03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4032"/>
        <w:gridCol w:w="4845"/>
      </w:tblGrid>
      <w:tr w:rsidR="00A43A49" w:rsidRPr="007803FC" w:rsidTr="00021083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VII. Tiesību akta projekta izpildes nodrošināšana un tās ietekme uz institūcijām</w:t>
            </w:r>
          </w:p>
        </w:tc>
      </w:tr>
      <w:tr w:rsidR="007D1939" w:rsidRPr="007803FC" w:rsidTr="00021083">
        <w:trPr>
          <w:trHeight w:val="42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91E" w:rsidRPr="007803FC" w:rsidRDefault="00A24389" w:rsidP="008A04E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inspekcija</w:t>
            </w:r>
            <w:r w:rsidR="00EB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E349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aģentūra „Latvijas infektoloģijas centrs”</w:t>
            </w:r>
            <w:r w:rsidR="00E463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A1171" w:rsidRPr="007803FC" w:rsidRDefault="00FA1171" w:rsidP="00A243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D1939" w:rsidRPr="007803FC" w:rsidTr="00021083">
        <w:trPr>
          <w:trHeight w:val="46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izpildes ietekme uz pārvaldes funkcijām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Default="00A43A49" w:rsidP="00E46324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</w:rPr>
            </w:pPr>
            <w:r w:rsidRPr="00915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151AA" w:rsidRPr="009151AA">
              <w:rPr>
                <w:rFonts w:ascii="Times New Roman" w:hAnsi="Times New Roman" w:cs="Times New Roman"/>
              </w:rPr>
              <w:t xml:space="preserve">Saskaņā ar Farmācijas likuma 14.panta 10.punktā noteikto zāļu reklāmas uzraudzību veic Veselības inspekcijas amatpersonas. </w:t>
            </w:r>
            <w:r w:rsidR="00E46324">
              <w:rPr>
                <w:rFonts w:ascii="Times New Roman" w:hAnsi="Times New Roman" w:cs="Times New Roman"/>
              </w:rPr>
              <w:t>Noteikumu projekta</w:t>
            </w:r>
            <w:r w:rsidR="007D1939">
              <w:rPr>
                <w:rFonts w:ascii="Times New Roman" w:hAnsi="Times New Roman" w:cs="Times New Roman"/>
              </w:rPr>
              <w:t xml:space="preserve"> </w:t>
            </w:r>
            <w:r w:rsidR="0076095D">
              <w:rPr>
                <w:rFonts w:ascii="Times New Roman" w:hAnsi="Times New Roman" w:cs="Times New Roman"/>
              </w:rPr>
              <w:t>izpilde</w:t>
            </w:r>
            <w:r w:rsidR="00E46324">
              <w:rPr>
                <w:rFonts w:ascii="Times New Roman" w:hAnsi="Times New Roman" w:cs="Times New Roman"/>
              </w:rPr>
              <w:t xml:space="preserve"> </w:t>
            </w:r>
            <w:r w:rsidR="007D1939">
              <w:rPr>
                <w:rFonts w:ascii="Times New Roman" w:hAnsi="Times New Roman" w:cs="Times New Roman"/>
              </w:rPr>
              <w:t xml:space="preserve">Veselības inspekcijai atvieglos zāļu reklāmas uzraudzību. </w:t>
            </w:r>
          </w:p>
          <w:p w:rsidR="0076095D" w:rsidRDefault="0076095D" w:rsidP="0076095D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Zāļu valsts aģentūrai nav jāsaskaņo zāļu reklāmas materiāli pirms reklāmas izplatīšanas uzsākšanas.</w:t>
            </w:r>
          </w:p>
          <w:p w:rsidR="0076095D" w:rsidRPr="00EC3E0B" w:rsidRDefault="0076095D" w:rsidP="00FA2105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aģentūra „Latvijas Infektoloģijas centrs”</w:t>
            </w:r>
            <w:r w:rsidR="00AB1936">
              <w:rPr>
                <w:rFonts w:ascii="Times New Roman" w:hAnsi="Times New Roman" w:cs="Times New Roman"/>
              </w:rPr>
              <w:t xml:space="preserve"> saskaņā ar Epidemioloģiskās drošības likumu plāno un koordinē infekciju slimību profilakses un apkarošanas pasākumus, vāc, uzkrāj un analizē epidemioloģiskos datus, nodrošina epidemioloģisko </w:t>
            </w:r>
            <w:r w:rsidR="00AB1936">
              <w:rPr>
                <w:rFonts w:ascii="Times New Roman" w:hAnsi="Times New Roman" w:cs="Times New Roman"/>
              </w:rPr>
              <w:lastRenderedPageBreak/>
              <w:t>uzraudzību</w:t>
            </w:r>
            <w:r w:rsidR="00FA2105">
              <w:rPr>
                <w:rFonts w:ascii="Times New Roman" w:hAnsi="Times New Roman" w:cs="Times New Roman"/>
              </w:rPr>
              <w:t>, tādejādi Noteikumu</w:t>
            </w:r>
            <w:r w:rsidR="00AB1936" w:rsidRPr="00BD0954">
              <w:rPr>
                <w:rFonts w:ascii="Times New Roman" w:hAnsi="Times New Roman" w:cs="Times New Roman"/>
              </w:rPr>
              <w:t xml:space="preserve"> </w:t>
            </w:r>
            <w:r w:rsidR="00FA2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D0954" w:rsidRPr="00BD0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rojektā paredzēto regulējumu nodrošinās savu funkciju ietvaros</w:t>
            </w:r>
            <w:r w:rsidR="00495174">
              <w:rPr>
                <w:rFonts w:ascii="Times New Roman" w:hAnsi="Times New Roman" w:cs="Times New Roman"/>
              </w:rPr>
              <w:t>.</w:t>
            </w:r>
            <w:r w:rsidR="00AB1936" w:rsidRPr="00BD09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939" w:rsidRPr="007803FC" w:rsidTr="00021083">
        <w:trPr>
          <w:trHeight w:val="7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FA1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D1939" w:rsidRPr="007803FC" w:rsidTr="00021083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D1939" w:rsidRPr="007803FC" w:rsidTr="00021083">
        <w:trPr>
          <w:trHeight w:val="70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976625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D1939" w:rsidRPr="007803FC" w:rsidTr="00021083">
        <w:trPr>
          <w:trHeight w:val="4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43A4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A49" w:rsidRPr="007803FC" w:rsidRDefault="00A24389" w:rsidP="000210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43A49" w:rsidRPr="007803FC" w:rsidRDefault="00A43A49" w:rsidP="00D77AB4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03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7B3EDF" w:rsidRPr="007803FC" w:rsidRDefault="007B3EDF" w:rsidP="00D77AB4">
      <w:pPr>
        <w:spacing w:before="75" w:after="75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2D1C94" w:rsidRPr="007803FC" w:rsidRDefault="0095781A" w:rsidP="002D1C94">
      <w:pPr>
        <w:spacing w:before="75" w:after="75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V</w:t>
      </w:r>
      <w:r w:rsidR="002D1C94" w:rsidRPr="007803FC">
        <w:rPr>
          <w:rFonts w:ascii="Times New Roman" w:hAnsi="Times New Roman" w:cs="Times New Roman"/>
          <w:sz w:val="24"/>
          <w:szCs w:val="24"/>
        </w:rPr>
        <w:t>eselības ministr</w:t>
      </w:r>
      <w:r w:rsidRPr="007803FC">
        <w:rPr>
          <w:rFonts w:ascii="Times New Roman" w:hAnsi="Times New Roman" w:cs="Times New Roman"/>
          <w:sz w:val="24"/>
          <w:szCs w:val="24"/>
        </w:rPr>
        <w:t>s</w:t>
      </w:r>
      <w:r w:rsidR="002D1C94" w:rsidRPr="007803FC">
        <w:rPr>
          <w:rFonts w:ascii="Times New Roman" w:hAnsi="Times New Roman" w:cs="Times New Roman"/>
          <w:sz w:val="24"/>
          <w:szCs w:val="24"/>
        </w:rPr>
        <w:tab/>
      </w:r>
      <w:r w:rsidR="002D1C94" w:rsidRPr="007803FC">
        <w:rPr>
          <w:rFonts w:ascii="Times New Roman" w:hAnsi="Times New Roman" w:cs="Times New Roman"/>
          <w:sz w:val="24"/>
          <w:szCs w:val="24"/>
        </w:rPr>
        <w:tab/>
      </w:r>
      <w:r w:rsidR="002D1C94" w:rsidRPr="007803FC"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263E">
        <w:rPr>
          <w:rFonts w:ascii="Times New Roman" w:hAnsi="Times New Roman" w:cs="Times New Roman"/>
          <w:sz w:val="24"/>
          <w:szCs w:val="24"/>
        </w:rPr>
        <w:t>J.Bārzdiņš</w:t>
      </w:r>
      <w:proofErr w:type="spellEnd"/>
    </w:p>
    <w:p w:rsidR="00D77AB4" w:rsidRPr="007803FC" w:rsidRDefault="00D77AB4" w:rsidP="00D77AB4">
      <w:pPr>
        <w:spacing w:before="75" w:after="75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D77AB4" w:rsidRPr="007803FC" w:rsidRDefault="00D77AB4" w:rsidP="00D77AB4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2D1C94" w:rsidRPr="007803FC" w:rsidRDefault="002D1C94" w:rsidP="00D77AB4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2D1C94" w:rsidRPr="007803FC" w:rsidRDefault="002D1C94" w:rsidP="009A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B4" w:rsidRPr="007803FC" w:rsidRDefault="00976625" w:rsidP="00D7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55E6">
        <w:rPr>
          <w:rFonts w:ascii="Times New Roman" w:hAnsi="Times New Roman" w:cs="Times New Roman"/>
          <w:sz w:val="24"/>
          <w:szCs w:val="24"/>
        </w:rPr>
        <w:t>6</w:t>
      </w:r>
      <w:r w:rsidR="000B3AB2">
        <w:rPr>
          <w:rFonts w:ascii="Times New Roman" w:hAnsi="Times New Roman" w:cs="Times New Roman"/>
          <w:sz w:val="24"/>
          <w:szCs w:val="24"/>
        </w:rPr>
        <w:t>.03</w:t>
      </w:r>
      <w:r w:rsidR="00D77AB4" w:rsidRPr="007803FC">
        <w:rPr>
          <w:rFonts w:ascii="Times New Roman" w:hAnsi="Times New Roman" w:cs="Times New Roman"/>
          <w:sz w:val="24"/>
          <w:szCs w:val="24"/>
        </w:rPr>
        <w:t>.201</w:t>
      </w:r>
      <w:r w:rsidR="001F58B9">
        <w:rPr>
          <w:rFonts w:ascii="Times New Roman" w:hAnsi="Times New Roman" w:cs="Times New Roman"/>
          <w:sz w:val="24"/>
          <w:szCs w:val="24"/>
        </w:rPr>
        <w:t>1</w:t>
      </w:r>
      <w:r w:rsidR="00D77AB4" w:rsidRPr="007803FC">
        <w:rPr>
          <w:rFonts w:ascii="Times New Roman" w:hAnsi="Times New Roman" w:cs="Times New Roman"/>
          <w:sz w:val="24"/>
          <w:szCs w:val="24"/>
        </w:rPr>
        <w:t xml:space="preserve">. </w:t>
      </w:r>
      <w:r w:rsidR="003055E6">
        <w:rPr>
          <w:rFonts w:ascii="Times New Roman" w:hAnsi="Times New Roman" w:cs="Times New Roman"/>
          <w:sz w:val="24"/>
          <w:szCs w:val="24"/>
        </w:rPr>
        <w:t>18:3</w:t>
      </w:r>
      <w:r w:rsidR="00893A19">
        <w:rPr>
          <w:rFonts w:ascii="Times New Roman" w:hAnsi="Times New Roman" w:cs="Times New Roman"/>
          <w:sz w:val="24"/>
          <w:szCs w:val="24"/>
        </w:rPr>
        <w:t>7</w:t>
      </w:r>
    </w:p>
    <w:p w:rsidR="00D77AB4" w:rsidRPr="007803FC" w:rsidRDefault="000B3AB2" w:rsidP="00D7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6625">
        <w:rPr>
          <w:rFonts w:ascii="Times New Roman" w:hAnsi="Times New Roman" w:cs="Times New Roman"/>
          <w:sz w:val="24"/>
          <w:szCs w:val="24"/>
        </w:rPr>
        <w:t>81</w:t>
      </w:r>
    </w:p>
    <w:p w:rsidR="00D77AB4" w:rsidRPr="007803FC" w:rsidRDefault="00D77AB4" w:rsidP="00D7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S.Riekstiņa</w:t>
      </w:r>
    </w:p>
    <w:p w:rsidR="00D77AB4" w:rsidRPr="007803FC" w:rsidRDefault="00D77AB4" w:rsidP="00D7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67876115, Silvija.Riekstina@vm.gov.lv</w:t>
      </w:r>
    </w:p>
    <w:p w:rsidR="00B11552" w:rsidRPr="007803FC" w:rsidRDefault="00B11552">
      <w:pPr>
        <w:rPr>
          <w:rFonts w:ascii="Times New Roman" w:hAnsi="Times New Roman" w:cs="Times New Roman"/>
          <w:sz w:val="24"/>
          <w:szCs w:val="24"/>
        </w:rPr>
      </w:pPr>
    </w:p>
    <w:sectPr w:rsidR="00B11552" w:rsidRPr="007803FC" w:rsidSect="00BE0E2C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D9" w:rsidRDefault="005D00D9" w:rsidP="00021083">
      <w:pPr>
        <w:spacing w:after="0" w:line="240" w:lineRule="auto"/>
      </w:pPr>
      <w:r>
        <w:separator/>
      </w:r>
    </w:p>
  </w:endnote>
  <w:endnote w:type="continuationSeparator" w:id="0">
    <w:p w:rsidR="005D00D9" w:rsidRDefault="005D00D9" w:rsidP="000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D9" w:rsidRPr="005A047F" w:rsidRDefault="005D00D9" w:rsidP="005A047F">
    <w:pPr>
      <w:pStyle w:val="NormalWeb"/>
      <w:rPr>
        <w:sz w:val="22"/>
        <w:szCs w:val="22"/>
      </w:rPr>
    </w:pPr>
    <w:r w:rsidRPr="005A047F">
      <w:rPr>
        <w:sz w:val="22"/>
        <w:szCs w:val="22"/>
      </w:rPr>
      <w:t>VMAnot_</w:t>
    </w:r>
    <w:r w:rsidR="003055E6">
      <w:rPr>
        <w:sz w:val="22"/>
        <w:szCs w:val="22"/>
      </w:rPr>
      <w:t>16</w:t>
    </w:r>
    <w:r>
      <w:rPr>
        <w:sz w:val="22"/>
        <w:szCs w:val="22"/>
      </w:rPr>
      <w:t>0311</w:t>
    </w:r>
    <w:r w:rsidRPr="005A047F">
      <w:rPr>
        <w:sz w:val="22"/>
        <w:szCs w:val="22"/>
      </w:rPr>
      <w:t>_</w:t>
    </w:r>
    <w:r>
      <w:rPr>
        <w:sz w:val="22"/>
        <w:szCs w:val="22"/>
      </w:rPr>
      <w:t>reklama</w:t>
    </w:r>
    <w:r w:rsidRPr="005A047F">
      <w:rPr>
        <w:sz w:val="22"/>
        <w:szCs w:val="22"/>
      </w:rPr>
      <w:t xml:space="preserve">; </w:t>
    </w:r>
    <w:bookmarkStart w:id="2" w:name="OLE_LINK3"/>
    <w:bookmarkStart w:id="3" w:name="OLE_LINK4"/>
    <w:r>
      <w:rPr>
        <w:sz w:val="22"/>
        <w:szCs w:val="22"/>
      </w:rPr>
      <w:t xml:space="preserve">Anotācija par </w:t>
    </w:r>
    <w:r w:rsidRPr="005A047F">
      <w:rPr>
        <w:sz w:val="22"/>
        <w:szCs w:val="22"/>
      </w:rPr>
      <w:t>Ministru kabineta noteikumu</w:t>
    </w:r>
    <w:r w:rsidRPr="005A047F">
      <w:rPr>
        <w:bCs/>
        <w:sz w:val="22"/>
        <w:szCs w:val="22"/>
      </w:rPr>
      <w:t xml:space="preserve"> „Zāļu reklamēšanas kārtība un kārtība, kādā zāļu ražotājs ir tiesīgs nodot ārstiem bezmaksas zāļu paraugus</w:t>
    </w:r>
    <w:r w:rsidRPr="005A047F">
      <w:rPr>
        <w:sz w:val="22"/>
        <w:szCs w:val="22"/>
      </w:rPr>
      <w:t>’’</w:t>
    </w:r>
    <w:r w:rsidR="008F552C">
      <w:rPr>
        <w:sz w:val="22"/>
        <w:szCs w:val="22"/>
      </w:rPr>
      <w:t xml:space="preserve"> projektu VSS-588 (TA-3017)</w:t>
    </w:r>
  </w:p>
  <w:bookmarkEnd w:id="2"/>
  <w:bookmarkEnd w:id="3"/>
  <w:p w:rsidR="005D00D9" w:rsidRPr="005A047F" w:rsidRDefault="005D00D9" w:rsidP="005A0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D9" w:rsidRPr="005A047F" w:rsidRDefault="005D00D9" w:rsidP="005A047F">
    <w:pPr>
      <w:pStyle w:val="NormalWeb"/>
      <w:rPr>
        <w:sz w:val="22"/>
        <w:szCs w:val="22"/>
      </w:rPr>
    </w:pPr>
    <w:r w:rsidRPr="005A047F">
      <w:rPr>
        <w:sz w:val="22"/>
        <w:szCs w:val="22"/>
      </w:rPr>
      <w:t>VMAnot_</w:t>
    </w:r>
    <w:r w:rsidR="00976625">
      <w:rPr>
        <w:sz w:val="22"/>
        <w:szCs w:val="22"/>
      </w:rPr>
      <w:t>1</w:t>
    </w:r>
    <w:r w:rsidR="003055E6">
      <w:rPr>
        <w:sz w:val="22"/>
        <w:szCs w:val="22"/>
      </w:rPr>
      <w:t>6</w:t>
    </w:r>
    <w:r>
      <w:rPr>
        <w:sz w:val="22"/>
        <w:szCs w:val="22"/>
      </w:rPr>
      <w:t>0311</w:t>
    </w:r>
    <w:r w:rsidRPr="005A047F">
      <w:rPr>
        <w:sz w:val="22"/>
        <w:szCs w:val="22"/>
      </w:rPr>
      <w:t>_</w:t>
    </w:r>
    <w:r>
      <w:rPr>
        <w:sz w:val="22"/>
        <w:szCs w:val="22"/>
      </w:rPr>
      <w:t>reklama</w:t>
    </w:r>
    <w:r w:rsidRPr="005A047F">
      <w:rPr>
        <w:sz w:val="22"/>
        <w:szCs w:val="22"/>
      </w:rPr>
      <w:t xml:space="preserve">; </w:t>
    </w:r>
    <w:r>
      <w:rPr>
        <w:sz w:val="22"/>
        <w:szCs w:val="22"/>
      </w:rPr>
      <w:t xml:space="preserve">Anotācija par </w:t>
    </w:r>
    <w:r w:rsidRPr="005A047F">
      <w:rPr>
        <w:sz w:val="22"/>
        <w:szCs w:val="22"/>
      </w:rPr>
      <w:t>Ministru</w:t>
    </w:r>
    <w:r>
      <w:rPr>
        <w:sz w:val="22"/>
        <w:szCs w:val="22"/>
      </w:rPr>
      <w:t xml:space="preserve"> kabineta noteikumu „</w:t>
    </w:r>
    <w:r w:rsidRPr="005A047F">
      <w:rPr>
        <w:bCs/>
        <w:sz w:val="22"/>
        <w:szCs w:val="22"/>
      </w:rPr>
      <w:t>Zāļu reklamēšanas kārtība un kārtība, kādā zāļu ražotājs ir tiesīgs nodot ārstiem bezmaksas zāļu paraugus</w:t>
    </w:r>
    <w:r w:rsidRPr="005A047F">
      <w:rPr>
        <w:sz w:val="22"/>
        <w:szCs w:val="22"/>
      </w:rPr>
      <w:t>’’</w:t>
    </w:r>
    <w:r w:rsidR="008F552C">
      <w:rPr>
        <w:sz w:val="22"/>
        <w:szCs w:val="22"/>
      </w:rPr>
      <w:t xml:space="preserve"> projektu VSS-588 (TA-3017)</w:t>
    </w:r>
  </w:p>
  <w:p w:rsidR="005D00D9" w:rsidRPr="009914FF" w:rsidRDefault="005D00D9" w:rsidP="005A047F">
    <w:pPr>
      <w:pStyle w:val="Footer"/>
      <w:rPr>
        <w:rFonts w:ascii="Times New Roman" w:hAnsi="Times New Roman" w:cs="Times New Roman"/>
      </w:rPr>
    </w:pPr>
  </w:p>
  <w:p w:rsidR="005D00D9" w:rsidRPr="009914FF" w:rsidRDefault="005D0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D9" w:rsidRDefault="005D00D9" w:rsidP="00021083">
      <w:pPr>
        <w:spacing w:after="0" w:line="240" w:lineRule="auto"/>
      </w:pPr>
      <w:r>
        <w:separator/>
      </w:r>
    </w:p>
  </w:footnote>
  <w:footnote w:type="continuationSeparator" w:id="0">
    <w:p w:rsidR="005D00D9" w:rsidRDefault="005D00D9" w:rsidP="0002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672"/>
      <w:docPartObj>
        <w:docPartGallery w:val="Page Numbers (Top of Page)"/>
        <w:docPartUnique/>
      </w:docPartObj>
    </w:sdtPr>
    <w:sdtContent>
      <w:p w:rsidR="005D00D9" w:rsidRDefault="002928E8">
        <w:pPr>
          <w:pStyle w:val="Header"/>
          <w:jc w:val="center"/>
        </w:pPr>
        <w:fldSimple w:instr=" PAGE   \* MERGEFORMAT ">
          <w:r w:rsidR="00893A19">
            <w:rPr>
              <w:noProof/>
            </w:rPr>
            <w:t>8</w:t>
          </w:r>
        </w:fldSimple>
      </w:p>
    </w:sdtContent>
  </w:sdt>
  <w:p w:rsidR="005D00D9" w:rsidRDefault="005D0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58C"/>
    <w:multiLevelType w:val="hybridMultilevel"/>
    <w:tmpl w:val="588C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A43A49"/>
    <w:rsid w:val="00000798"/>
    <w:rsid w:val="0000263E"/>
    <w:rsid w:val="0000337D"/>
    <w:rsid w:val="000202B4"/>
    <w:rsid w:val="00021083"/>
    <w:rsid w:val="000349E6"/>
    <w:rsid w:val="0003590F"/>
    <w:rsid w:val="00037B68"/>
    <w:rsid w:val="000467EA"/>
    <w:rsid w:val="00051F8C"/>
    <w:rsid w:val="00052837"/>
    <w:rsid w:val="00061398"/>
    <w:rsid w:val="0007101D"/>
    <w:rsid w:val="00072AC0"/>
    <w:rsid w:val="00077B71"/>
    <w:rsid w:val="00090F9D"/>
    <w:rsid w:val="00091773"/>
    <w:rsid w:val="000A174F"/>
    <w:rsid w:val="000A1F5B"/>
    <w:rsid w:val="000A5497"/>
    <w:rsid w:val="000A6A60"/>
    <w:rsid w:val="000B3AB2"/>
    <w:rsid w:val="000B4410"/>
    <w:rsid w:val="000B47EE"/>
    <w:rsid w:val="000B5D8F"/>
    <w:rsid w:val="000C4B9F"/>
    <w:rsid w:val="000E716F"/>
    <w:rsid w:val="00100A41"/>
    <w:rsid w:val="0010544B"/>
    <w:rsid w:val="001079A8"/>
    <w:rsid w:val="00110D5F"/>
    <w:rsid w:val="00112FD2"/>
    <w:rsid w:val="0011598D"/>
    <w:rsid w:val="00120229"/>
    <w:rsid w:val="001216A5"/>
    <w:rsid w:val="00132B59"/>
    <w:rsid w:val="001616B8"/>
    <w:rsid w:val="00162AC9"/>
    <w:rsid w:val="00163B06"/>
    <w:rsid w:val="0017102D"/>
    <w:rsid w:val="00180721"/>
    <w:rsid w:val="00191807"/>
    <w:rsid w:val="00193E4E"/>
    <w:rsid w:val="00194B04"/>
    <w:rsid w:val="001A1547"/>
    <w:rsid w:val="001A21B9"/>
    <w:rsid w:val="001B6595"/>
    <w:rsid w:val="001B664A"/>
    <w:rsid w:val="001B7593"/>
    <w:rsid w:val="001C1137"/>
    <w:rsid w:val="001E6E1F"/>
    <w:rsid w:val="001F03FC"/>
    <w:rsid w:val="001F2F3F"/>
    <w:rsid w:val="001F58B9"/>
    <w:rsid w:val="00200D93"/>
    <w:rsid w:val="002038E8"/>
    <w:rsid w:val="002217E5"/>
    <w:rsid w:val="00226D6C"/>
    <w:rsid w:val="00234DEC"/>
    <w:rsid w:val="002410EF"/>
    <w:rsid w:val="002608BD"/>
    <w:rsid w:val="00263632"/>
    <w:rsid w:val="00266B48"/>
    <w:rsid w:val="00267F21"/>
    <w:rsid w:val="00271A42"/>
    <w:rsid w:val="0027227C"/>
    <w:rsid w:val="002928E8"/>
    <w:rsid w:val="002A23CF"/>
    <w:rsid w:val="002A6B47"/>
    <w:rsid w:val="002B306C"/>
    <w:rsid w:val="002C1B53"/>
    <w:rsid w:val="002C47F2"/>
    <w:rsid w:val="002C60C7"/>
    <w:rsid w:val="002D1C94"/>
    <w:rsid w:val="002E2120"/>
    <w:rsid w:val="002E255B"/>
    <w:rsid w:val="002F48D8"/>
    <w:rsid w:val="002F7416"/>
    <w:rsid w:val="003055E6"/>
    <w:rsid w:val="00323136"/>
    <w:rsid w:val="00324858"/>
    <w:rsid w:val="00326160"/>
    <w:rsid w:val="003412EF"/>
    <w:rsid w:val="0036039E"/>
    <w:rsid w:val="00360FE2"/>
    <w:rsid w:val="003638CC"/>
    <w:rsid w:val="00371624"/>
    <w:rsid w:val="0037537C"/>
    <w:rsid w:val="0037601C"/>
    <w:rsid w:val="003760B3"/>
    <w:rsid w:val="00380F73"/>
    <w:rsid w:val="00384E01"/>
    <w:rsid w:val="00386D34"/>
    <w:rsid w:val="0039004D"/>
    <w:rsid w:val="003906D7"/>
    <w:rsid w:val="00391004"/>
    <w:rsid w:val="00394CD8"/>
    <w:rsid w:val="003A6A00"/>
    <w:rsid w:val="003C787E"/>
    <w:rsid w:val="003E5E5F"/>
    <w:rsid w:val="003E624B"/>
    <w:rsid w:val="003E7E1D"/>
    <w:rsid w:val="003F4C69"/>
    <w:rsid w:val="0040687E"/>
    <w:rsid w:val="00413C42"/>
    <w:rsid w:val="004165B3"/>
    <w:rsid w:val="00431832"/>
    <w:rsid w:val="00431C8D"/>
    <w:rsid w:val="004348C9"/>
    <w:rsid w:val="0043662B"/>
    <w:rsid w:val="00436B02"/>
    <w:rsid w:val="00437BD7"/>
    <w:rsid w:val="004414E2"/>
    <w:rsid w:val="00444D98"/>
    <w:rsid w:val="0045585C"/>
    <w:rsid w:val="00464003"/>
    <w:rsid w:val="004714AC"/>
    <w:rsid w:val="00495174"/>
    <w:rsid w:val="004B3C9F"/>
    <w:rsid w:val="004B5BFE"/>
    <w:rsid w:val="004C4EE6"/>
    <w:rsid w:val="004D0D35"/>
    <w:rsid w:val="004D7CFB"/>
    <w:rsid w:val="004E4263"/>
    <w:rsid w:val="004F32CB"/>
    <w:rsid w:val="00521575"/>
    <w:rsid w:val="00522B21"/>
    <w:rsid w:val="005362A7"/>
    <w:rsid w:val="005649CC"/>
    <w:rsid w:val="00566555"/>
    <w:rsid w:val="00577A53"/>
    <w:rsid w:val="005821D9"/>
    <w:rsid w:val="005970BF"/>
    <w:rsid w:val="005A047F"/>
    <w:rsid w:val="005A285C"/>
    <w:rsid w:val="005A2EEA"/>
    <w:rsid w:val="005A477F"/>
    <w:rsid w:val="005D00D9"/>
    <w:rsid w:val="005D1144"/>
    <w:rsid w:val="005E607E"/>
    <w:rsid w:val="00605633"/>
    <w:rsid w:val="00611A41"/>
    <w:rsid w:val="00652236"/>
    <w:rsid w:val="006612BF"/>
    <w:rsid w:val="006619D1"/>
    <w:rsid w:val="006633DF"/>
    <w:rsid w:val="00667653"/>
    <w:rsid w:val="00672617"/>
    <w:rsid w:val="006758D2"/>
    <w:rsid w:val="0068591B"/>
    <w:rsid w:val="0069319E"/>
    <w:rsid w:val="006B2952"/>
    <w:rsid w:val="006C42B0"/>
    <w:rsid w:val="0074657F"/>
    <w:rsid w:val="0076095D"/>
    <w:rsid w:val="00762F5C"/>
    <w:rsid w:val="00767844"/>
    <w:rsid w:val="007719C3"/>
    <w:rsid w:val="00773CFA"/>
    <w:rsid w:val="007744EF"/>
    <w:rsid w:val="00775D1E"/>
    <w:rsid w:val="007803FC"/>
    <w:rsid w:val="00796456"/>
    <w:rsid w:val="007A1830"/>
    <w:rsid w:val="007A1C83"/>
    <w:rsid w:val="007B1616"/>
    <w:rsid w:val="007B2923"/>
    <w:rsid w:val="007B3EDF"/>
    <w:rsid w:val="007B5C70"/>
    <w:rsid w:val="007B6163"/>
    <w:rsid w:val="007C629E"/>
    <w:rsid w:val="007C7317"/>
    <w:rsid w:val="007D1939"/>
    <w:rsid w:val="007D2DC6"/>
    <w:rsid w:val="007D5361"/>
    <w:rsid w:val="007F2465"/>
    <w:rsid w:val="0080276E"/>
    <w:rsid w:val="00803DB4"/>
    <w:rsid w:val="00811756"/>
    <w:rsid w:val="008121FA"/>
    <w:rsid w:val="00812C2F"/>
    <w:rsid w:val="00821121"/>
    <w:rsid w:val="00840CCC"/>
    <w:rsid w:val="00845F27"/>
    <w:rsid w:val="008638F1"/>
    <w:rsid w:val="00874925"/>
    <w:rsid w:val="00893A19"/>
    <w:rsid w:val="008A04E7"/>
    <w:rsid w:val="008A48FE"/>
    <w:rsid w:val="008B11C9"/>
    <w:rsid w:val="008E095B"/>
    <w:rsid w:val="008F2C7F"/>
    <w:rsid w:val="008F552C"/>
    <w:rsid w:val="00904C94"/>
    <w:rsid w:val="009151AA"/>
    <w:rsid w:val="00932B77"/>
    <w:rsid w:val="009514AA"/>
    <w:rsid w:val="0095781A"/>
    <w:rsid w:val="00961B65"/>
    <w:rsid w:val="009656D9"/>
    <w:rsid w:val="00965C5E"/>
    <w:rsid w:val="009669A5"/>
    <w:rsid w:val="00976625"/>
    <w:rsid w:val="009914FF"/>
    <w:rsid w:val="009933CB"/>
    <w:rsid w:val="009A26FA"/>
    <w:rsid w:val="009A28D1"/>
    <w:rsid w:val="009A4976"/>
    <w:rsid w:val="009A51AF"/>
    <w:rsid w:val="009A7A1C"/>
    <w:rsid w:val="009B277C"/>
    <w:rsid w:val="009C0379"/>
    <w:rsid w:val="009D524E"/>
    <w:rsid w:val="009D6BA6"/>
    <w:rsid w:val="009E6636"/>
    <w:rsid w:val="009F3518"/>
    <w:rsid w:val="009F7C8C"/>
    <w:rsid w:val="00A022C5"/>
    <w:rsid w:val="00A03E1A"/>
    <w:rsid w:val="00A12601"/>
    <w:rsid w:val="00A13D19"/>
    <w:rsid w:val="00A172FB"/>
    <w:rsid w:val="00A178E0"/>
    <w:rsid w:val="00A24389"/>
    <w:rsid w:val="00A25DAE"/>
    <w:rsid w:val="00A43A49"/>
    <w:rsid w:val="00A500BD"/>
    <w:rsid w:val="00A52CF6"/>
    <w:rsid w:val="00A755A8"/>
    <w:rsid w:val="00A83C14"/>
    <w:rsid w:val="00A93FE0"/>
    <w:rsid w:val="00AA58F1"/>
    <w:rsid w:val="00AB0F7A"/>
    <w:rsid w:val="00AB1936"/>
    <w:rsid w:val="00AB1B92"/>
    <w:rsid w:val="00AB2840"/>
    <w:rsid w:val="00AB5177"/>
    <w:rsid w:val="00AB7C20"/>
    <w:rsid w:val="00AC32C8"/>
    <w:rsid w:val="00AC7587"/>
    <w:rsid w:val="00B033B3"/>
    <w:rsid w:val="00B07810"/>
    <w:rsid w:val="00B11552"/>
    <w:rsid w:val="00B121A7"/>
    <w:rsid w:val="00B2521D"/>
    <w:rsid w:val="00B335E3"/>
    <w:rsid w:val="00B62C1D"/>
    <w:rsid w:val="00B72B8C"/>
    <w:rsid w:val="00B77740"/>
    <w:rsid w:val="00B8187C"/>
    <w:rsid w:val="00B83456"/>
    <w:rsid w:val="00B84525"/>
    <w:rsid w:val="00B91902"/>
    <w:rsid w:val="00B94E1B"/>
    <w:rsid w:val="00BA0609"/>
    <w:rsid w:val="00BC2C24"/>
    <w:rsid w:val="00BD0954"/>
    <w:rsid w:val="00BE0E2C"/>
    <w:rsid w:val="00BF1CCF"/>
    <w:rsid w:val="00C125C8"/>
    <w:rsid w:val="00C1792E"/>
    <w:rsid w:val="00C273B0"/>
    <w:rsid w:val="00C430CE"/>
    <w:rsid w:val="00C50542"/>
    <w:rsid w:val="00C954E3"/>
    <w:rsid w:val="00C97760"/>
    <w:rsid w:val="00CB2829"/>
    <w:rsid w:val="00CC020D"/>
    <w:rsid w:val="00CE5622"/>
    <w:rsid w:val="00D60263"/>
    <w:rsid w:val="00D65452"/>
    <w:rsid w:val="00D654F8"/>
    <w:rsid w:val="00D7512A"/>
    <w:rsid w:val="00D77AB4"/>
    <w:rsid w:val="00D8451A"/>
    <w:rsid w:val="00D86A14"/>
    <w:rsid w:val="00D90BBB"/>
    <w:rsid w:val="00D92451"/>
    <w:rsid w:val="00DA7D57"/>
    <w:rsid w:val="00DB7EC3"/>
    <w:rsid w:val="00DD3BE0"/>
    <w:rsid w:val="00DD78DD"/>
    <w:rsid w:val="00DE2B02"/>
    <w:rsid w:val="00DF6A94"/>
    <w:rsid w:val="00E11523"/>
    <w:rsid w:val="00E14FD1"/>
    <w:rsid w:val="00E3491E"/>
    <w:rsid w:val="00E409C1"/>
    <w:rsid w:val="00E444E1"/>
    <w:rsid w:val="00E46324"/>
    <w:rsid w:val="00E52AF1"/>
    <w:rsid w:val="00E61592"/>
    <w:rsid w:val="00E66380"/>
    <w:rsid w:val="00EB0450"/>
    <w:rsid w:val="00EB0AE9"/>
    <w:rsid w:val="00EB6C62"/>
    <w:rsid w:val="00EC0B65"/>
    <w:rsid w:val="00EC1FC9"/>
    <w:rsid w:val="00EC3E0B"/>
    <w:rsid w:val="00ED1EA7"/>
    <w:rsid w:val="00ED4A57"/>
    <w:rsid w:val="00EE365E"/>
    <w:rsid w:val="00EE4C6C"/>
    <w:rsid w:val="00EF2659"/>
    <w:rsid w:val="00F17A64"/>
    <w:rsid w:val="00F326F6"/>
    <w:rsid w:val="00F41CF2"/>
    <w:rsid w:val="00F503EF"/>
    <w:rsid w:val="00F6297D"/>
    <w:rsid w:val="00F64F0D"/>
    <w:rsid w:val="00F732CE"/>
    <w:rsid w:val="00F73D32"/>
    <w:rsid w:val="00F817E8"/>
    <w:rsid w:val="00F81F21"/>
    <w:rsid w:val="00F82A8B"/>
    <w:rsid w:val="00FA1171"/>
    <w:rsid w:val="00FA2105"/>
    <w:rsid w:val="00FB2B63"/>
    <w:rsid w:val="00FC7818"/>
    <w:rsid w:val="00FD01E0"/>
    <w:rsid w:val="00FD34E0"/>
    <w:rsid w:val="00FD4950"/>
    <w:rsid w:val="00FE5F08"/>
    <w:rsid w:val="00FF23E9"/>
    <w:rsid w:val="00FF2FD4"/>
    <w:rsid w:val="00FF362C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A4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3"/>
  </w:style>
  <w:style w:type="paragraph" w:styleId="Footer">
    <w:name w:val="footer"/>
    <w:basedOn w:val="Normal"/>
    <w:link w:val="FooterChar"/>
    <w:uiPriority w:val="99"/>
    <w:semiHidden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83"/>
  </w:style>
  <w:style w:type="paragraph" w:customStyle="1" w:styleId="naiskr">
    <w:name w:val="naiskr"/>
    <w:basedOn w:val="Normal"/>
    <w:rsid w:val="003C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271A42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14F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F64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F64F0D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rsid w:val="003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1L008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nais.lv/naiser/esdoc.cfm?esid=32001L00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.nais.lv/naiser/esdoc.cfm?esid=32004L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lv/naiser/esdoc.cfm?esid=32001L00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D5F0-D7A5-433A-AA70-211526C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par Ministru kabineta noteikumu „Zāļu reklamēšanas kārtība un kārtība, kādā zāļu ražotājs ir tiesīgs nodot ārstiem bezmaksas zāļu paraugus’’ projektu VSS-588 (TA-3017)</vt:lpstr>
    </vt:vector>
  </TitlesOfParts>
  <Company>Veselības ministrija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par Ministru kabineta noteikumu „Zāļu reklamēšanas kārtība un kārtība, kādā zāļu ražotājs ir tiesīgs nodot ārstiem bezmaksas zāļu paraugus’’ projektu VSS-588 (TA-3017)</dc:title>
  <dc:subject>Anotācija</dc:subject>
  <dc:creator>Silvija Riekstiņa</dc:creator>
  <cp:keywords/>
  <dc:description>Silvija.Riekstina@vm.gov.lv; tālr.: 67876115 fakss: 67876071</dc:description>
  <cp:lastModifiedBy>sriekstina</cp:lastModifiedBy>
  <cp:revision>24</cp:revision>
  <cp:lastPrinted>2011-03-02T16:29:00Z</cp:lastPrinted>
  <dcterms:created xsi:type="dcterms:W3CDTF">2010-12-29T09:53:00Z</dcterms:created>
  <dcterms:modified xsi:type="dcterms:W3CDTF">2011-03-16T16:37:00Z</dcterms:modified>
</cp:coreProperties>
</file>