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7C9" w:rsidRDefault="000657C9" w:rsidP="0000190A">
      <w:pPr>
        <w:spacing w:after="0" w:line="240" w:lineRule="auto"/>
        <w:jc w:val="center"/>
        <w:rPr>
          <w:rFonts w:ascii="Times New Roman" w:hAnsi="Times New Roman"/>
          <w:sz w:val="28"/>
          <w:szCs w:val="28"/>
          <w:lang w:val="lv-LV"/>
        </w:rPr>
      </w:pPr>
    </w:p>
    <w:p w:rsidR="00A55F63" w:rsidRPr="00817171" w:rsidRDefault="00A55F63" w:rsidP="0000190A">
      <w:pPr>
        <w:spacing w:after="0" w:line="240" w:lineRule="auto"/>
        <w:jc w:val="center"/>
        <w:rPr>
          <w:rFonts w:ascii="Times New Roman" w:hAnsi="Times New Roman"/>
          <w:sz w:val="28"/>
          <w:szCs w:val="28"/>
          <w:lang w:val="lv-LV"/>
        </w:rPr>
      </w:pPr>
      <w:r w:rsidRPr="00817171">
        <w:rPr>
          <w:rFonts w:ascii="Times New Roman" w:hAnsi="Times New Roman"/>
          <w:sz w:val="28"/>
          <w:szCs w:val="28"/>
          <w:lang w:val="lv-LV"/>
        </w:rPr>
        <w:t xml:space="preserve">  </w:t>
      </w:r>
      <w:bookmarkStart w:id="0" w:name="OLE_LINK1"/>
      <w:bookmarkStart w:id="1" w:name="OLE_LINK2"/>
      <w:r w:rsidRPr="00817171">
        <w:rPr>
          <w:rFonts w:ascii="Times New Roman" w:hAnsi="Times New Roman"/>
          <w:sz w:val="28"/>
          <w:szCs w:val="28"/>
          <w:lang w:val="lv-LV"/>
        </w:rPr>
        <w:t>Ministru kabineta noteikumu</w:t>
      </w:r>
    </w:p>
    <w:p w:rsidR="0000190A" w:rsidRPr="00817171" w:rsidRDefault="00A55F63" w:rsidP="0000190A">
      <w:pPr>
        <w:spacing w:after="0" w:line="240" w:lineRule="auto"/>
        <w:jc w:val="center"/>
        <w:rPr>
          <w:rFonts w:ascii="Times New Roman" w:hAnsi="Times New Roman"/>
          <w:b/>
          <w:sz w:val="28"/>
          <w:szCs w:val="28"/>
          <w:lang w:val="lv-LV"/>
        </w:rPr>
      </w:pPr>
      <w:r w:rsidRPr="00817171">
        <w:rPr>
          <w:rFonts w:ascii="Times New Roman" w:hAnsi="Times New Roman"/>
          <w:b/>
          <w:bCs/>
          <w:sz w:val="28"/>
          <w:szCs w:val="28"/>
          <w:lang w:val="lv-LV"/>
        </w:rPr>
        <w:t>„</w:t>
      </w:r>
      <w:bookmarkEnd w:id="0"/>
      <w:bookmarkEnd w:id="1"/>
      <w:r w:rsidR="0000190A" w:rsidRPr="00817171">
        <w:rPr>
          <w:rFonts w:ascii="Times New Roman" w:hAnsi="Times New Roman"/>
          <w:b/>
          <w:sz w:val="28"/>
          <w:szCs w:val="28"/>
          <w:lang w:val="lv-LV"/>
        </w:rPr>
        <w:t>Grozījumi Ministru kabineta 2006.gada 31.oktobra noteikumos Nr.899 „Ambulatorajai ārstēšanai paredzēto zāļu un medicīnisko ierīču iegādes izdevumu kompensācijas kārtība”</w:t>
      </w:r>
      <w:r w:rsidR="00DB402B" w:rsidRPr="00817171">
        <w:rPr>
          <w:rFonts w:ascii="Times New Roman" w:hAnsi="Times New Roman"/>
          <w:b/>
          <w:sz w:val="28"/>
          <w:szCs w:val="28"/>
          <w:lang w:val="lv-LV"/>
        </w:rPr>
        <w:t>”</w:t>
      </w:r>
    </w:p>
    <w:p w:rsidR="00A55F63" w:rsidRPr="00817171" w:rsidRDefault="00A55F63" w:rsidP="0000190A">
      <w:pPr>
        <w:spacing w:after="0" w:line="240" w:lineRule="auto"/>
        <w:jc w:val="center"/>
        <w:rPr>
          <w:rFonts w:ascii="Times New Roman" w:hAnsi="Times New Roman"/>
          <w:b/>
          <w:sz w:val="28"/>
          <w:szCs w:val="28"/>
          <w:lang w:val="lv-LV"/>
        </w:rPr>
      </w:pPr>
      <w:r w:rsidRPr="00817171">
        <w:rPr>
          <w:rFonts w:ascii="Times New Roman" w:hAnsi="Times New Roman"/>
          <w:sz w:val="28"/>
          <w:szCs w:val="28"/>
          <w:lang w:val="lv-LV"/>
        </w:rPr>
        <w:t>Projekta sākotnējās (</w:t>
      </w:r>
      <w:proofErr w:type="spellStart"/>
      <w:r w:rsidRPr="00817171">
        <w:rPr>
          <w:rFonts w:ascii="Times New Roman" w:hAnsi="Times New Roman"/>
          <w:sz w:val="28"/>
          <w:szCs w:val="28"/>
          <w:lang w:val="lv-LV"/>
        </w:rPr>
        <w:t>ex-ante</w:t>
      </w:r>
      <w:proofErr w:type="spellEnd"/>
      <w:r w:rsidRPr="00817171">
        <w:rPr>
          <w:rFonts w:ascii="Times New Roman" w:hAnsi="Times New Roman"/>
          <w:sz w:val="28"/>
          <w:szCs w:val="28"/>
          <w:lang w:val="lv-LV"/>
        </w:rPr>
        <w:t xml:space="preserve">) ietekmes novērtējuma </w:t>
      </w:r>
      <w:smartTag w:uri="schemas-tilde-lv/tildestengine" w:element="veidnes">
        <w:smartTagPr>
          <w:attr w:name="id" w:val="-1"/>
          <w:attr w:name="baseform" w:val="ziņojums"/>
          <w:attr w:name="text" w:val="ziņojums"/>
        </w:smartTagPr>
        <w:r w:rsidRPr="00817171">
          <w:rPr>
            <w:rFonts w:ascii="Times New Roman" w:hAnsi="Times New Roman"/>
            <w:sz w:val="28"/>
            <w:szCs w:val="28"/>
            <w:lang w:val="lv-LV"/>
          </w:rPr>
          <w:t>ziņojums</w:t>
        </w:r>
      </w:smartTag>
    </w:p>
    <w:p w:rsidR="00A55F63" w:rsidRPr="00817171" w:rsidRDefault="00A55F63" w:rsidP="0000190A">
      <w:pPr>
        <w:spacing w:after="0" w:line="240" w:lineRule="auto"/>
        <w:jc w:val="center"/>
        <w:rPr>
          <w:rFonts w:ascii="Times New Roman" w:hAnsi="Times New Roman"/>
          <w:sz w:val="28"/>
          <w:szCs w:val="28"/>
          <w:lang w:val="lv-LV"/>
        </w:rPr>
      </w:pPr>
      <w:r w:rsidRPr="00817171">
        <w:rPr>
          <w:rFonts w:ascii="Times New Roman" w:hAnsi="Times New Roman"/>
          <w:i/>
          <w:sz w:val="28"/>
          <w:szCs w:val="28"/>
          <w:lang w:val="lv-LV"/>
        </w:rPr>
        <w:t xml:space="preserve">(anotācija) </w:t>
      </w:r>
    </w:p>
    <w:p w:rsidR="00A55F63" w:rsidRPr="00B934A7" w:rsidRDefault="00A55F63" w:rsidP="000752B8">
      <w:pPr>
        <w:spacing w:after="0" w:line="240" w:lineRule="auto"/>
        <w:jc w:val="center"/>
        <w:rPr>
          <w:rFonts w:ascii="Times New Roman" w:hAnsi="Times New Roman"/>
          <w:sz w:val="28"/>
          <w:szCs w:val="28"/>
          <w:lang w:val="lv-LV"/>
        </w:rPr>
      </w:pPr>
    </w:p>
    <w:tbl>
      <w:tblPr>
        <w:tblW w:w="993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39"/>
        <w:gridCol w:w="4153"/>
        <w:gridCol w:w="5246"/>
      </w:tblGrid>
      <w:tr w:rsidR="00A55F63" w:rsidRPr="00B934A7" w:rsidTr="00CB29AE">
        <w:trPr>
          <w:tblCellSpacing w:w="0" w:type="dxa"/>
          <w:jc w:val="center"/>
        </w:trPr>
        <w:tc>
          <w:tcPr>
            <w:tcW w:w="9938" w:type="dxa"/>
            <w:gridSpan w:val="3"/>
            <w:tcBorders>
              <w:top w:val="outset" w:sz="6" w:space="0" w:color="auto"/>
              <w:bottom w:val="outset" w:sz="6" w:space="0" w:color="auto"/>
            </w:tcBorders>
            <w:vAlign w:val="center"/>
          </w:tcPr>
          <w:p w:rsidR="00A55F63" w:rsidRPr="00B934A7" w:rsidRDefault="00A55F63" w:rsidP="00CB29AE">
            <w:pPr>
              <w:spacing w:before="75" w:after="75" w:line="240" w:lineRule="auto"/>
              <w:jc w:val="center"/>
              <w:rPr>
                <w:rFonts w:ascii="Times New Roman" w:hAnsi="Times New Roman"/>
                <w:sz w:val="24"/>
                <w:szCs w:val="24"/>
                <w:lang w:val="lv-LV" w:eastAsia="lv-LV"/>
              </w:rPr>
            </w:pPr>
            <w:r w:rsidRPr="00B934A7">
              <w:rPr>
                <w:rFonts w:ascii="Times New Roman" w:hAnsi="Times New Roman"/>
                <w:b/>
                <w:bCs/>
                <w:sz w:val="24"/>
                <w:szCs w:val="24"/>
                <w:lang w:val="lv-LV" w:eastAsia="lv-LV"/>
              </w:rPr>
              <w:t> I. Tiesību akta projekta izstrādes nepieciešamība</w:t>
            </w:r>
          </w:p>
        </w:tc>
      </w:tr>
      <w:tr w:rsidR="00A55F63" w:rsidRPr="00B934A7" w:rsidTr="00CB29AE">
        <w:trPr>
          <w:trHeight w:val="454"/>
          <w:tblCellSpacing w:w="0" w:type="dxa"/>
          <w:jc w:val="center"/>
        </w:trPr>
        <w:tc>
          <w:tcPr>
            <w:tcW w:w="539" w:type="dxa"/>
            <w:tcBorders>
              <w:top w:val="outset" w:sz="6" w:space="0" w:color="auto"/>
              <w:bottom w:val="outset" w:sz="6" w:space="0" w:color="auto"/>
              <w:right w:val="outset" w:sz="6" w:space="0" w:color="auto"/>
            </w:tcBorders>
          </w:tcPr>
          <w:p w:rsidR="00A55F63" w:rsidRPr="00B934A7" w:rsidRDefault="00A55F63" w:rsidP="00CB29AE">
            <w:pPr>
              <w:spacing w:before="75" w:after="75" w:line="240" w:lineRule="auto"/>
              <w:rPr>
                <w:rFonts w:ascii="Times New Roman" w:hAnsi="Times New Roman"/>
                <w:sz w:val="24"/>
                <w:szCs w:val="24"/>
                <w:lang w:val="lv-LV" w:eastAsia="lv-LV"/>
              </w:rPr>
            </w:pPr>
            <w:r w:rsidRPr="00B934A7">
              <w:rPr>
                <w:rFonts w:ascii="Times New Roman" w:hAnsi="Times New Roman"/>
                <w:sz w:val="24"/>
                <w:szCs w:val="24"/>
                <w:lang w:val="lv-LV" w:eastAsia="lv-LV"/>
              </w:rPr>
              <w:t> 1.</w:t>
            </w:r>
          </w:p>
        </w:tc>
        <w:tc>
          <w:tcPr>
            <w:tcW w:w="4153" w:type="dxa"/>
            <w:tcBorders>
              <w:top w:val="outset" w:sz="6" w:space="0" w:color="auto"/>
              <w:left w:val="outset" w:sz="6" w:space="0" w:color="auto"/>
              <w:bottom w:val="outset" w:sz="6" w:space="0" w:color="auto"/>
              <w:right w:val="outset" w:sz="6" w:space="0" w:color="auto"/>
            </w:tcBorders>
          </w:tcPr>
          <w:p w:rsidR="00A55F63" w:rsidRPr="00B934A7" w:rsidRDefault="00A55F63" w:rsidP="00CB29AE">
            <w:pPr>
              <w:spacing w:before="75" w:after="75" w:line="240" w:lineRule="auto"/>
              <w:rPr>
                <w:rFonts w:ascii="Times New Roman" w:hAnsi="Times New Roman"/>
                <w:sz w:val="24"/>
                <w:szCs w:val="24"/>
                <w:lang w:val="lv-LV" w:eastAsia="lv-LV"/>
              </w:rPr>
            </w:pPr>
            <w:r w:rsidRPr="00B934A7">
              <w:rPr>
                <w:rFonts w:ascii="Times New Roman" w:hAnsi="Times New Roman"/>
                <w:sz w:val="24"/>
                <w:szCs w:val="24"/>
                <w:lang w:val="lv-LV" w:eastAsia="lv-LV"/>
              </w:rPr>
              <w:t> Pamatojums</w:t>
            </w:r>
          </w:p>
        </w:tc>
        <w:tc>
          <w:tcPr>
            <w:tcW w:w="5246" w:type="dxa"/>
            <w:tcBorders>
              <w:top w:val="outset" w:sz="6" w:space="0" w:color="auto"/>
              <w:left w:val="outset" w:sz="6" w:space="0" w:color="auto"/>
              <w:bottom w:val="outset" w:sz="6" w:space="0" w:color="auto"/>
            </w:tcBorders>
          </w:tcPr>
          <w:p w:rsidR="00492C07" w:rsidRPr="00B934A7" w:rsidRDefault="00A55F63" w:rsidP="00CB29AE">
            <w:pPr>
              <w:spacing w:after="0" w:line="240" w:lineRule="auto"/>
              <w:jc w:val="both"/>
              <w:rPr>
                <w:rFonts w:ascii="Times New Roman" w:hAnsi="Times New Roman"/>
                <w:sz w:val="24"/>
                <w:szCs w:val="24"/>
                <w:lang w:val="lv-LV"/>
              </w:rPr>
            </w:pPr>
            <w:r w:rsidRPr="00B934A7">
              <w:rPr>
                <w:rFonts w:ascii="Times New Roman" w:hAnsi="Times New Roman"/>
                <w:i/>
                <w:sz w:val="24"/>
                <w:szCs w:val="24"/>
                <w:lang w:val="lv-LV"/>
              </w:rPr>
              <w:t xml:space="preserve">   </w:t>
            </w:r>
            <w:proofErr w:type="spellStart"/>
            <w:r w:rsidR="007F6C93" w:rsidRPr="00B934A7">
              <w:rPr>
                <w:rFonts w:ascii="Times New Roman" w:hAnsi="Times New Roman"/>
                <w:i/>
                <w:sz w:val="24"/>
                <w:szCs w:val="24"/>
                <w:lang w:val="lv-LV"/>
              </w:rPr>
              <w:t>Euro</w:t>
            </w:r>
            <w:proofErr w:type="spellEnd"/>
            <w:r w:rsidR="007F6C93" w:rsidRPr="00B934A7">
              <w:rPr>
                <w:rFonts w:ascii="Times New Roman" w:hAnsi="Times New Roman"/>
                <w:sz w:val="24"/>
                <w:szCs w:val="24"/>
                <w:lang w:val="lv-LV"/>
              </w:rPr>
              <w:t xml:space="preserve"> ieviešanas kārtības likuma 30.panta pirmā un ceturtā daļa. Ministru kabineta 2012.gada 27.jūnija rīkojuma Nr.282 „Par „Koncepciju par normatīvo aktu sakārtošanu saistībā ar eiro ieviešanu Latvijā”” 7.1.apakšpunkt</w:t>
            </w:r>
            <w:r w:rsidR="00492C07" w:rsidRPr="00B934A7">
              <w:rPr>
                <w:rFonts w:ascii="Times New Roman" w:hAnsi="Times New Roman"/>
                <w:sz w:val="24"/>
                <w:szCs w:val="24"/>
                <w:lang w:val="lv-LV"/>
              </w:rPr>
              <w:t>s</w:t>
            </w:r>
            <w:r w:rsidR="007F6C93" w:rsidRPr="00B934A7">
              <w:rPr>
                <w:rFonts w:ascii="Times New Roman" w:hAnsi="Times New Roman"/>
                <w:sz w:val="24"/>
                <w:szCs w:val="24"/>
                <w:lang w:val="lv-LV"/>
              </w:rPr>
              <w:t xml:space="preserve"> un Latvijas Nacionālā</w:t>
            </w:r>
            <w:r w:rsidR="007F6C93" w:rsidRPr="00B934A7">
              <w:rPr>
                <w:rFonts w:ascii="Times New Roman" w:hAnsi="Times New Roman"/>
                <w:i/>
                <w:sz w:val="24"/>
                <w:szCs w:val="24"/>
                <w:lang w:val="lv-LV"/>
              </w:rPr>
              <w:t xml:space="preserve"> </w:t>
            </w:r>
            <w:proofErr w:type="spellStart"/>
            <w:r w:rsidR="007F6C93" w:rsidRPr="00B934A7">
              <w:rPr>
                <w:rFonts w:ascii="Times New Roman" w:hAnsi="Times New Roman"/>
                <w:i/>
                <w:sz w:val="24"/>
                <w:szCs w:val="24"/>
                <w:lang w:val="lv-LV"/>
              </w:rPr>
              <w:t>euro</w:t>
            </w:r>
            <w:proofErr w:type="spellEnd"/>
            <w:r w:rsidR="007F6C93" w:rsidRPr="00B934A7">
              <w:rPr>
                <w:rFonts w:ascii="Times New Roman" w:hAnsi="Times New Roman"/>
                <w:sz w:val="24"/>
                <w:szCs w:val="24"/>
                <w:lang w:val="lv-LV"/>
              </w:rPr>
              <w:t xml:space="preserve"> ieviešanas plāna (apstiprināts ar Ministru kabineta 2013.gada 4.aprīļa rīkojumu Nr.136) 1.pielikuma J2.2.2 apakšpunkt</w:t>
            </w:r>
            <w:r w:rsidR="00492C07" w:rsidRPr="00B934A7">
              <w:rPr>
                <w:rFonts w:ascii="Times New Roman" w:hAnsi="Times New Roman"/>
                <w:sz w:val="24"/>
                <w:szCs w:val="24"/>
                <w:lang w:val="lv-LV"/>
              </w:rPr>
              <w:t>s</w:t>
            </w:r>
            <w:r w:rsidR="007F6C93" w:rsidRPr="00B934A7">
              <w:rPr>
                <w:rFonts w:ascii="Times New Roman" w:hAnsi="Times New Roman"/>
                <w:sz w:val="24"/>
                <w:szCs w:val="24"/>
                <w:lang w:val="lv-LV"/>
              </w:rPr>
              <w:t xml:space="preserve">.  </w:t>
            </w:r>
            <w:r w:rsidR="005C35BA" w:rsidRPr="00B934A7">
              <w:rPr>
                <w:rFonts w:ascii="Times New Roman" w:hAnsi="Times New Roman"/>
                <w:sz w:val="24"/>
                <w:szCs w:val="24"/>
                <w:lang w:val="lv-LV"/>
              </w:rPr>
              <w:t xml:space="preserve">Ministru kabineta 2013.gada 29.maija rīkojums Nr.212 „Par tiesību aktu grozījumu virzību saistībā ar </w:t>
            </w:r>
            <w:proofErr w:type="spellStart"/>
            <w:r w:rsidR="005C35BA" w:rsidRPr="00B934A7">
              <w:rPr>
                <w:rFonts w:ascii="Times New Roman" w:hAnsi="Times New Roman"/>
                <w:i/>
                <w:sz w:val="24"/>
                <w:szCs w:val="24"/>
                <w:lang w:val="lv-LV"/>
              </w:rPr>
              <w:t>euro</w:t>
            </w:r>
            <w:proofErr w:type="spellEnd"/>
            <w:r w:rsidR="005C35BA" w:rsidRPr="00B934A7">
              <w:rPr>
                <w:rFonts w:ascii="Times New Roman" w:hAnsi="Times New Roman"/>
                <w:sz w:val="24"/>
                <w:szCs w:val="24"/>
                <w:lang w:val="lv-LV"/>
              </w:rPr>
              <w:t xml:space="preserve"> ieviešanu </w:t>
            </w:r>
            <w:proofErr w:type="spellStart"/>
            <w:r w:rsidR="005C35BA" w:rsidRPr="00B934A7">
              <w:rPr>
                <w:rFonts w:ascii="Times New Roman" w:hAnsi="Times New Roman"/>
                <w:sz w:val="24"/>
                <w:szCs w:val="24"/>
                <w:lang w:val="lv-LV"/>
              </w:rPr>
              <w:t>Lavijā</w:t>
            </w:r>
            <w:proofErr w:type="spellEnd"/>
            <w:r w:rsidR="005C35BA" w:rsidRPr="00B934A7">
              <w:rPr>
                <w:rFonts w:ascii="Times New Roman" w:hAnsi="Times New Roman"/>
                <w:sz w:val="24"/>
                <w:szCs w:val="24"/>
                <w:lang w:val="lv-LV"/>
              </w:rPr>
              <w:t>”.</w:t>
            </w:r>
          </w:p>
        </w:tc>
      </w:tr>
      <w:tr w:rsidR="00A55F63" w:rsidRPr="000657C9" w:rsidTr="00CB29AE">
        <w:trPr>
          <w:trHeight w:val="472"/>
          <w:tblCellSpacing w:w="0" w:type="dxa"/>
          <w:jc w:val="center"/>
        </w:trPr>
        <w:tc>
          <w:tcPr>
            <w:tcW w:w="539" w:type="dxa"/>
            <w:tcBorders>
              <w:top w:val="outset" w:sz="6" w:space="0" w:color="auto"/>
              <w:bottom w:val="outset" w:sz="6" w:space="0" w:color="auto"/>
              <w:right w:val="outset" w:sz="6" w:space="0" w:color="auto"/>
            </w:tcBorders>
          </w:tcPr>
          <w:p w:rsidR="00A55F63" w:rsidRPr="000657C9" w:rsidRDefault="00A55F63" w:rsidP="00CB29AE">
            <w:pPr>
              <w:spacing w:before="75" w:after="75" w:line="240" w:lineRule="auto"/>
              <w:rPr>
                <w:rFonts w:ascii="Times New Roman" w:hAnsi="Times New Roman"/>
                <w:sz w:val="24"/>
                <w:szCs w:val="24"/>
                <w:lang w:val="lv-LV" w:eastAsia="lv-LV"/>
              </w:rPr>
            </w:pPr>
            <w:r w:rsidRPr="000657C9">
              <w:rPr>
                <w:rFonts w:ascii="Times New Roman" w:hAnsi="Times New Roman"/>
                <w:sz w:val="24"/>
                <w:szCs w:val="24"/>
                <w:lang w:val="lv-LV" w:eastAsia="lv-LV"/>
              </w:rPr>
              <w:t> 2.</w:t>
            </w:r>
          </w:p>
        </w:tc>
        <w:tc>
          <w:tcPr>
            <w:tcW w:w="4153" w:type="dxa"/>
            <w:tcBorders>
              <w:top w:val="outset" w:sz="6" w:space="0" w:color="auto"/>
              <w:left w:val="outset" w:sz="6" w:space="0" w:color="auto"/>
              <w:bottom w:val="outset" w:sz="6" w:space="0" w:color="auto"/>
              <w:right w:val="outset" w:sz="6" w:space="0" w:color="auto"/>
            </w:tcBorders>
          </w:tcPr>
          <w:p w:rsidR="00A55F63" w:rsidRPr="000657C9" w:rsidRDefault="00A55F63" w:rsidP="00CB29AE">
            <w:pPr>
              <w:spacing w:before="75" w:after="75" w:line="240" w:lineRule="auto"/>
              <w:rPr>
                <w:rFonts w:ascii="Times New Roman" w:hAnsi="Times New Roman"/>
                <w:sz w:val="24"/>
                <w:szCs w:val="24"/>
                <w:lang w:val="lv-LV" w:eastAsia="lv-LV"/>
              </w:rPr>
            </w:pPr>
            <w:r w:rsidRPr="000657C9">
              <w:rPr>
                <w:rFonts w:ascii="Times New Roman" w:hAnsi="Times New Roman"/>
                <w:sz w:val="24"/>
                <w:szCs w:val="24"/>
                <w:lang w:val="lv-LV" w:eastAsia="lv-LV"/>
              </w:rPr>
              <w:t> Pašreizējā situācija un problēmas</w:t>
            </w:r>
          </w:p>
        </w:tc>
        <w:tc>
          <w:tcPr>
            <w:tcW w:w="5246" w:type="dxa"/>
            <w:tcBorders>
              <w:top w:val="outset" w:sz="6" w:space="0" w:color="auto"/>
              <w:left w:val="outset" w:sz="6" w:space="0" w:color="auto"/>
              <w:bottom w:val="outset" w:sz="6" w:space="0" w:color="auto"/>
            </w:tcBorders>
          </w:tcPr>
          <w:p w:rsidR="003B6C42" w:rsidRPr="000657C9" w:rsidRDefault="00A55F63" w:rsidP="00C92BFD">
            <w:pPr>
              <w:pStyle w:val="Footer"/>
              <w:ind w:firstLine="567"/>
              <w:jc w:val="both"/>
            </w:pPr>
            <w:r w:rsidRPr="000657C9">
              <w:rPr>
                <w:rFonts w:ascii="Times New Roman" w:hAnsi="Times New Roman"/>
                <w:sz w:val="24"/>
                <w:szCs w:val="24"/>
                <w:lang w:val="lv-LV" w:eastAsia="lv-LV"/>
              </w:rPr>
              <w:t xml:space="preserve">   </w:t>
            </w:r>
            <w:r w:rsidR="007F6C93" w:rsidRPr="000657C9">
              <w:rPr>
                <w:rFonts w:ascii="Times New Roman" w:eastAsia="Times New Roman" w:hAnsi="Times New Roman"/>
                <w:sz w:val="24"/>
                <w:szCs w:val="24"/>
                <w:lang w:val="lv-LV" w:eastAsia="lv-LV"/>
              </w:rPr>
              <w:t xml:space="preserve">Ņemot vērā, ka ar 2014.gada 1.janvāri Latvijā plānots ieviest </w:t>
            </w:r>
            <w:proofErr w:type="spellStart"/>
            <w:r w:rsidR="007F6C93" w:rsidRPr="000657C9">
              <w:rPr>
                <w:rFonts w:ascii="Times New Roman" w:eastAsia="Times New Roman" w:hAnsi="Times New Roman"/>
                <w:i/>
                <w:sz w:val="24"/>
                <w:szCs w:val="24"/>
                <w:lang w:val="lv-LV" w:eastAsia="lv-LV"/>
              </w:rPr>
              <w:t>euro</w:t>
            </w:r>
            <w:proofErr w:type="spellEnd"/>
            <w:r w:rsidR="007F6C93" w:rsidRPr="000657C9">
              <w:rPr>
                <w:rFonts w:ascii="Times New Roman" w:eastAsia="Times New Roman" w:hAnsi="Times New Roman"/>
                <w:sz w:val="24"/>
                <w:szCs w:val="24"/>
                <w:lang w:val="lv-LV" w:eastAsia="lv-LV"/>
              </w:rPr>
              <w:t xml:space="preserve">, ir nepieciešams izstrādāt </w:t>
            </w:r>
            <w:bookmarkStart w:id="2" w:name="OLE_LINK10"/>
            <w:bookmarkStart w:id="3" w:name="OLE_LINK11"/>
            <w:r w:rsidR="007F6C93" w:rsidRPr="000657C9">
              <w:rPr>
                <w:rFonts w:ascii="Times New Roman" w:eastAsia="Times New Roman" w:hAnsi="Times New Roman"/>
                <w:sz w:val="24"/>
                <w:szCs w:val="24"/>
                <w:lang w:val="lv-LV" w:eastAsia="lv-LV"/>
              </w:rPr>
              <w:t>Ministru kabineta noteikumu „</w:t>
            </w:r>
            <w:r w:rsidR="0000190A" w:rsidRPr="000657C9">
              <w:rPr>
                <w:rFonts w:ascii="Times New Roman" w:eastAsia="Times New Roman" w:hAnsi="Times New Roman"/>
                <w:sz w:val="24"/>
                <w:szCs w:val="24"/>
                <w:lang w:val="lv-LV" w:eastAsia="lv-LV"/>
              </w:rPr>
              <w:t>Grozījumi Ministru kabineta 2006.gada 31.oktobra noteikumos Nr.899 „Ambulatorajai ārstēšanai paredzēto zāļu un medicīnisko ierīču iegādes izdevumu kompensācijas kārtība”</w:t>
            </w:r>
            <w:r w:rsidR="007F6C93" w:rsidRPr="000657C9">
              <w:rPr>
                <w:rFonts w:ascii="Times New Roman" w:eastAsia="Times New Roman" w:hAnsi="Times New Roman"/>
                <w:sz w:val="24"/>
                <w:szCs w:val="24"/>
                <w:lang w:val="lv-LV" w:eastAsia="lv-LV"/>
              </w:rPr>
              <w:t>” projektu</w:t>
            </w:r>
            <w:bookmarkEnd w:id="2"/>
            <w:bookmarkEnd w:id="3"/>
            <w:r w:rsidR="007F6C93" w:rsidRPr="000657C9">
              <w:rPr>
                <w:rFonts w:ascii="Times New Roman" w:eastAsia="Times New Roman" w:hAnsi="Times New Roman"/>
                <w:sz w:val="24"/>
                <w:szCs w:val="24"/>
                <w:lang w:val="lv-LV" w:eastAsia="lv-LV"/>
              </w:rPr>
              <w:t xml:space="preserve">. Nepieciešams nodrošināt tiesību akta pielāgošanu  </w:t>
            </w:r>
            <w:proofErr w:type="spellStart"/>
            <w:r w:rsidR="007F6C93" w:rsidRPr="000657C9">
              <w:rPr>
                <w:rFonts w:ascii="Times New Roman" w:eastAsia="Times New Roman" w:hAnsi="Times New Roman"/>
                <w:i/>
                <w:sz w:val="24"/>
                <w:szCs w:val="24"/>
                <w:lang w:val="lv-LV" w:eastAsia="lv-LV"/>
              </w:rPr>
              <w:t>euro</w:t>
            </w:r>
            <w:proofErr w:type="spellEnd"/>
            <w:r w:rsidR="007F6C93" w:rsidRPr="000657C9">
              <w:rPr>
                <w:rFonts w:ascii="Times New Roman" w:eastAsia="Times New Roman" w:hAnsi="Times New Roman"/>
                <w:sz w:val="24"/>
                <w:szCs w:val="24"/>
                <w:lang w:val="lv-LV" w:eastAsia="lv-LV"/>
              </w:rPr>
              <w:t xml:space="preserve"> ieviešanai</w:t>
            </w:r>
            <w:r w:rsidR="00C92BFD" w:rsidRPr="000657C9">
              <w:rPr>
                <w:rFonts w:ascii="Times New Roman" w:eastAsia="Times New Roman" w:hAnsi="Times New Roman"/>
                <w:sz w:val="24"/>
                <w:szCs w:val="24"/>
                <w:lang w:val="lv-LV" w:eastAsia="lv-LV"/>
              </w:rPr>
              <w:t>, aizstājot visā noteikumu tekstā vārdu „lats” (attiecīgā locījumā) ar vārdu „</w:t>
            </w:r>
            <w:proofErr w:type="spellStart"/>
            <w:r w:rsidR="00C92BFD" w:rsidRPr="000657C9">
              <w:rPr>
                <w:rFonts w:ascii="Times New Roman" w:eastAsia="Times New Roman" w:hAnsi="Times New Roman"/>
                <w:i/>
                <w:sz w:val="24"/>
                <w:szCs w:val="24"/>
                <w:lang w:val="lv-LV" w:eastAsia="lv-LV"/>
              </w:rPr>
              <w:t>euro</w:t>
            </w:r>
            <w:proofErr w:type="spellEnd"/>
            <w:r w:rsidR="00C92BFD" w:rsidRPr="000657C9">
              <w:rPr>
                <w:rFonts w:ascii="Times New Roman" w:eastAsia="Times New Roman" w:hAnsi="Times New Roman"/>
                <w:sz w:val="24"/>
                <w:szCs w:val="24"/>
                <w:lang w:val="lv-LV" w:eastAsia="lv-LV"/>
              </w:rPr>
              <w:t>”,</w:t>
            </w:r>
            <w:r w:rsidR="00C92BFD" w:rsidRPr="000657C9">
              <w:rPr>
                <w:sz w:val="28"/>
                <w:szCs w:val="28"/>
              </w:rPr>
              <w:t xml:space="preserve"> </w:t>
            </w:r>
            <w:r w:rsidR="00C92BFD" w:rsidRPr="000657C9">
              <w:rPr>
                <w:rFonts w:ascii="Times New Roman" w:eastAsia="Times New Roman" w:hAnsi="Times New Roman"/>
                <w:sz w:val="24"/>
                <w:szCs w:val="24"/>
                <w:lang w:val="lv-LV" w:eastAsia="lv-LV"/>
              </w:rPr>
              <w:t xml:space="preserve">konvertējot norādītās summas latos uz </w:t>
            </w:r>
            <w:proofErr w:type="spellStart"/>
            <w:r w:rsidR="00C92BFD" w:rsidRPr="000657C9">
              <w:rPr>
                <w:rFonts w:ascii="Times New Roman" w:eastAsia="Times New Roman" w:hAnsi="Times New Roman"/>
                <w:i/>
                <w:sz w:val="24"/>
                <w:szCs w:val="24"/>
                <w:lang w:val="lv-LV" w:eastAsia="lv-LV"/>
              </w:rPr>
              <w:t>euro</w:t>
            </w:r>
            <w:proofErr w:type="spellEnd"/>
            <w:r w:rsidR="00C92BFD" w:rsidRPr="000657C9">
              <w:rPr>
                <w:rFonts w:ascii="Times New Roman" w:eastAsia="Times New Roman" w:hAnsi="Times New Roman"/>
                <w:i/>
                <w:sz w:val="24"/>
                <w:szCs w:val="24"/>
                <w:lang w:val="lv-LV" w:eastAsia="lv-LV"/>
              </w:rPr>
              <w:t xml:space="preserve"> </w:t>
            </w:r>
            <w:r w:rsidR="00C92BFD" w:rsidRPr="000657C9">
              <w:rPr>
                <w:rFonts w:ascii="Times New Roman" w:eastAsia="Times New Roman" w:hAnsi="Times New Roman"/>
                <w:sz w:val="24"/>
                <w:szCs w:val="24"/>
                <w:lang w:val="lv-LV" w:eastAsia="lv-LV"/>
              </w:rPr>
              <w:t>un grozot tiesību normas, kurās pieminēts Latvijas Bankas noteiktais valūtas kurss.</w:t>
            </w:r>
          </w:p>
        </w:tc>
      </w:tr>
      <w:tr w:rsidR="00A55F63" w:rsidRPr="000657C9" w:rsidTr="00CB29AE">
        <w:trPr>
          <w:trHeight w:val="685"/>
          <w:tblCellSpacing w:w="0" w:type="dxa"/>
          <w:jc w:val="center"/>
        </w:trPr>
        <w:tc>
          <w:tcPr>
            <w:tcW w:w="539" w:type="dxa"/>
            <w:tcBorders>
              <w:top w:val="outset" w:sz="6" w:space="0" w:color="auto"/>
              <w:bottom w:val="outset" w:sz="6" w:space="0" w:color="auto"/>
              <w:right w:val="outset" w:sz="6" w:space="0" w:color="auto"/>
            </w:tcBorders>
          </w:tcPr>
          <w:p w:rsidR="00A55F63" w:rsidRPr="000657C9" w:rsidRDefault="00A55F63" w:rsidP="00CB29AE">
            <w:pPr>
              <w:spacing w:before="75" w:after="75" w:line="240" w:lineRule="auto"/>
              <w:rPr>
                <w:rFonts w:ascii="Times New Roman" w:hAnsi="Times New Roman"/>
                <w:sz w:val="24"/>
                <w:szCs w:val="24"/>
                <w:lang w:val="lv-LV" w:eastAsia="lv-LV"/>
              </w:rPr>
            </w:pPr>
            <w:r w:rsidRPr="000657C9">
              <w:rPr>
                <w:rFonts w:ascii="Times New Roman" w:hAnsi="Times New Roman"/>
                <w:sz w:val="24"/>
                <w:szCs w:val="24"/>
                <w:lang w:val="lv-LV" w:eastAsia="lv-LV"/>
              </w:rPr>
              <w:t> 3.</w:t>
            </w:r>
          </w:p>
        </w:tc>
        <w:tc>
          <w:tcPr>
            <w:tcW w:w="4153" w:type="dxa"/>
            <w:tcBorders>
              <w:top w:val="outset" w:sz="6" w:space="0" w:color="auto"/>
              <w:left w:val="outset" w:sz="6" w:space="0" w:color="auto"/>
              <w:bottom w:val="outset" w:sz="6" w:space="0" w:color="auto"/>
              <w:right w:val="outset" w:sz="6" w:space="0" w:color="auto"/>
            </w:tcBorders>
          </w:tcPr>
          <w:p w:rsidR="00A55F63" w:rsidRPr="000657C9" w:rsidRDefault="00A55F63" w:rsidP="00CB29AE">
            <w:pPr>
              <w:spacing w:before="75" w:after="75" w:line="240" w:lineRule="auto"/>
              <w:rPr>
                <w:rFonts w:ascii="Times New Roman" w:hAnsi="Times New Roman"/>
                <w:sz w:val="24"/>
                <w:szCs w:val="24"/>
                <w:lang w:val="lv-LV" w:eastAsia="lv-LV"/>
              </w:rPr>
            </w:pPr>
            <w:r w:rsidRPr="000657C9">
              <w:rPr>
                <w:rFonts w:ascii="Times New Roman" w:hAnsi="Times New Roman"/>
                <w:sz w:val="24"/>
                <w:szCs w:val="24"/>
                <w:lang w:val="lv-LV" w:eastAsia="lv-LV"/>
              </w:rPr>
              <w:t> Saistītie politikas ietekmes novērtējumi un pētījumi</w:t>
            </w:r>
          </w:p>
        </w:tc>
        <w:tc>
          <w:tcPr>
            <w:tcW w:w="5246" w:type="dxa"/>
            <w:tcBorders>
              <w:top w:val="outset" w:sz="6" w:space="0" w:color="auto"/>
              <w:left w:val="outset" w:sz="6" w:space="0" w:color="auto"/>
              <w:bottom w:val="outset" w:sz="6" w:space="0" w:color="auto"/>
            </w:tcBorders>
          </w:tcPr>
          <w:p w:rsidR="00A55F63" w:rsidRPr="000657C9" w:rsidRDefault="00A55F63" w:rsidP="00CB29AE">
            <w:pPr>
              <w:spacing w:before="75" w:after="75" w:line="240" w:lineRule="auto"/>
              <w:rPr>
                <w:rFonts w:ascii="Times New Roman" w:hAnsi="Times New Roman"/>
                <w:sz w:val="24"/>
                <w:szCs w:val="24"/>
                <w:lang w:val="lv-LV" w:eastAsia="lv-LV"/>
              </w:rPr>
            </w:pPr>
            <w:r w:rsidRPr="000657C9">
              <w:rPr>
                <w:rFonts w:ascii="Times New Roman" w:hAnsi="Times New Roman"/>
                <w:sz w:val="24"/>
                <w:szCs w:val="24"/>
                <w:lang w:val="lv-LV"/>
              </w:rPr>
              <w:t>Projekts šo jomu neskar.</w:t>
            </w:r>
          </w:p>
        </w:tc>
      </w:tr>
      <w:tr w:rsidR="00A55F63" w:rsidRPr="000657C9" w:rsidTr="003F4ACC">
        <w:trPr>
          <w:trHeight w:val="688"/>
          <w:tblCellSpacing w:w="0" w:type="dxa"/>
          <w:jc w:val="center"/>
        </w:trPr>
        <w:tc>
          <w:tcPr>
            <w:tcW w:w="539" w:type="dxa"/>
            <w:tcBorders>
              <w:top w:val="outset" w:sz="6" w:space="0" w:color="auto"/>
              <w:bottom w:val="outset" w:sz="6" w:space="0" w:color="auto"/>
              <w:right w:val="outset" w:sz="6" w:space="0" w:color="auto"/>
            </w:tcBorders>
          </w:tcPr>
          <w:p w:rsidR="00A55F63" w:rsidRPr="000657C9" w:rsidRDefault="00A55F63" w:rsidP="00CB29AE">
            <w:pPr>
              <w:spacing w:before="75" w:after="75" w:line="240" w:lineRule="auto"/>
              <w:rPr>
                <w:rFonts w:ascii="Times New Roman" w:hAnsi="Times New Roman"/>
                <w:sz w:val="24"/>
                <w:szCs w:val="24"/>
                <w:lang w:val="lv-LV" w:eastAsia="lv-LV"/>
              </w:rPr>
            </w:pPr>
            <w:r w:rsidRPr="000657C9">
              <w:rPr>
                <w:rFonts w:ascii="Times New Roman" w:hAnsi="Times New Roman"/>
                <w:sz w:val="24"/>
                <w:szCs w:val="24"/>
                <w:lang w:val="lv-LV" w:eastAsia="lv-LV"/>
              </w:rPr>
              <w:t> 4.</w:t>
            </w:r>
          </w:p>
        </w:tc>
        <w:tc>
          <w:tcPr>
            <w:tcW w:w="4153" w:type="dxa"/>
            <w:tcBorders>
              <w:top w:val="outset" w:sz="6" w:space="0" w:color="auto"/>
              <w:left w:val="outset" w:sz="6" w:space="0" w:color="auto"/>
              <w:bottom w:val="outset" w:sz="6" w:space="0" w:color="auto"/>
              <w:right w:val="outset" w:sz="6" w:space="0" w:color="auto"/>
            </w:tcBorders>
          </w:tcPr>
          <w:p w:rsidR="00A55F63" w:rsidRPr="000657C9" w:rsidRDefault="00A55F63" w:rsidP="00CB29AE">
            <w:pPr>
              <w:spacing w:before="75" w:after="75" w:line="240" w:lineRule="auto"/>
              <w:rPr>
                <w:rFonts w:ascii="Times New Roman" w:hAnsi="Times New Roman"/>
                <w:sz w:val="24"/>
                <w:szCs w:val="24"/>
                <w:lang w:val="lv-LV" w:eastAsia="lv-LV"/>
              </w:rPr>
            </w:pPr>
            <w:r w:rsidRPr="000657C9">
              <w:rPr>
                <w:rFonts w:ascii="Times New Roman" w:hAnsi="Times New Roman"/>
                <w:sz w:val="24"/>
                <w:szCs w:val="24"/>
                <w:lang w:val="lv-LV" w:eastAsia="lv-LV"/>
              </w:rPr>
              <w:t> Tiesiskā regulējuma mērķis un būtība</w:t>
            </w:r>
          </w:p>
        </w:tc>
        <w:tc>
          <w:tcPr>
            <w:tcW w:w="5246" w:type="dxa"/>
            <w:tcBorders>
              <w:top w:val="outset" w:sz="6" w:space="0" w:color="auto"/>
              <w:left w:val="outset" w:sz="6" w:space="0" w:color="auto"/>
              <w:bottom w:val="outset" w:sz="6" w:space="0" w:color="auto"/>
            </w:tcBorders>
          </w:tcPr>
          <w:p w:rsidR="009732E2" w:rsidRPr="000657C9" w:rsidRDefault="00A55F63" w:rsidP="00A14C10">
            <w:pPr>
              <w:jc w:val="both"/>
              <w:rPr>
                <w:rFonts w:ascii="Times New Roman" w:eastAsia="Times New Roman" w:hAnsi="Times New Roman"/>
                <w:sz w:val="24"/>
                <w:szCs w:val="24"/>
                <w:lang w:val="lv-LV" w:eastAsia="lv-LV"/>
              </w:rPr>
            </w:pPr>
            <w:r w:rsidRPr="000657C9">
              <w:rPr>
                <w:rFonts w:ascii="Times New Roman" w:hAnsi="Times New Roman"/>
                <w:sz w:val="24"/>
                <w:szCs w:val="24"/>
                <w:lang w:val="lv-LV" w:eastAsia="lv-LV"/>
              </w:rPr>
              <w:t xml:space="preserve">   </w:t>
            </w:r>
            <w:r w:rsidR="007F6C93" w:rsidRPr="000657C9">
              <w:rPr>
                <w:rFonts w:ascii="Times New Roman" w:eastAsia="Times New Roman" w:hAnsi="Times New Roman"/>
                <w:sz w:val="24"/>
                <w:szCs w:val="24"/>
                <w:lang w:val="lv-LV" w:eastAsia="lv-LV"/>
              </w:rPr>
              <w:t>Šā projekta mērķis ir</w:t>
            </w:r>
            <w:r w:rsidR="00A4199F" w:rsidRPr="000657C9">
              <w:rPr>
                <w:rFonts w:ascii="Times New Roman" w:eastAsia="Times New Roman" w:hAnsi="Times New Roman"/>
                <w:sz w:val="24"/>
                <w:szCs w:val="24"/>
                <w:lang w:val="lv-LV" w:eastAsia="lv-LV"/>
              </w:rPr>
              <w:t xml:space="preserve"> pielāgot Ministru kabineta 2006</w:t>
            </w:r>
            <w:r w:rsidR="007F6C93" w:rsidRPr="000657C9">
              <w:rPr>
                <w:rFonts w:ascii="Times New Roman" w:eastAsia="Times New Roman" w:hAnsi="Times New Roman"/>
                <w:sz w:val="24"/>
                <w:szCs w:val="24"/>
                <w:lang w:val="lv-LV" w:eastAsia="lv-LV"/>
              </w:rPr>
              <w:t xml:space="preserve">.gada </w:t>
            </w:r>
            <w:r w:rsidR="00A4199F" w:rsidRPr="000657C9">
              <w:rPr>
                <w:rFonts w:ascii="Times New Roman" w:eastAsia="Times New Roman" w:hAnsi="Times New Roman"/>
                <w:sz w:val="24"/>
                <w:szCs w:val="24"/>
                <w:lang w:val="lv-LV" w:eastAsia="lv-LV"/>
              </w:rPr>
              <w:t>31</w:t>
            </w:r>
            <w:r w:rsidR="007F6C93" w:rsidRPr="000657C9">
              <w:rPr>
                <w:rFonts w:ascii="Times New Roman" w:eastAsia="Times New Roman" w:hAnsi="Times New Roman"/>
                <w:sz w:val="24"/>
                <w:szCs w:val="24"/>
                <w:lang w:val="lv-LV" w:eastAsia="lv-LV"/>
              </w:rPr>
              <w:t>.</w:t>
            </w:r>
            <w:r w:rsidR="00A4199F" w:rsidRPr="000657C9">
              <w:rPr>
                <w:rFonts w:ascii="Times New Roman" w:eastAsia="Times New Roman" w:hAnsi="Times New Roman"/>
                <w:sz w:val="24"/>
                <w:szCs w:val="24"/>
                <w:lang w:val="lv-LV" w:eastAsia="lv-LV"/>
              </w:rPr>
              <w:t>oktobra</w:t>
            </w:r>
            <w:r w:rsidR="007F6C93" w:rsidRPr="000657C9">
              <w:rPr>
                <w:rFonts w:ascii="Times New Roman" w:eastAsia="Times New Roman" w:hAnsi="Times New Roman"/>
                <w:sz w:val="24"/>
                <w:szCs w:val="24"/>
                <w:lang w:val="lv-LV" w:eastAsia="lv-LV"/>
              </w:rPr>
              <w:t xml:space="preserve"> noteikumus Nr.</w:t>
            </w:r>
            <w:r w:rsidR="00A4199F" w:rsidRPr="000657C9">
              <w:rPr>
                <w:rFonts w:ascii="Times New Roman" w:eastAsia="Times New Roman" w:hAnsi="Times New Roman"/>
                <w:sz w:val="24"/>
                <w:szCs w:val="24"/>
                <w:lang w:val="lv-LV" w:eastAsia="lv-LV"/>
              </w:rPr>
              <w:t>899</w:t>
            </w:r>
            <w:r w:rsidR="007F6C93" w:rsidRPr="000657C9">
              <w:rPr>
                <w:rFonts w:ascii="Times New Roman" w:eastAsia="Times New Roman" w:hAnsi="Times New Roman"/>
                <w:sz w:val="24"/>
                <w:szCs w:val="24"/>
                <w:lang w:val="lv-LV" w:eastAsia="lv-LV"/>
              </w:rPr>
              <w:t xml:space="preserve"> „</w:t>
            </w:r>
            <w:r w:rsidR="00A4199F" w:rsidRPr="000657C9">
              <w:rPr>
                <w:rFonts w:ascii="Times New Roman" w:eastAsia="Times New Roman" w:hAnsi="Times New Roman"/>
                <w:sz w:val="24"/>
                <w:szCs w:val="24"/>
                <w:lang w:val="lv-LV" w:eastAsia="lv-LV"/>
              </w:rPr>
              <w:t>Ambulatorajai ārstēšanai paredzēto zāļu un medicīnisko ierīču iegādes izdevumu kompensācijas kārtība</w:t>
            </w:r>
            <w:r w:rsidR="007F6C93" w:rsidRPr="000657C9">
              <w:rPr>
                <w:rFonts w:ascii="Times New Roman" w:eastAsia="Times New Roman" w:hAnsi="Times New Roman"/>
                <w:sz w:val="24"/>
                <w:szCs w:val="24"/>
                <w:lang w:val="lv-LV" w:eastAsia="lv-LV"/>
              </w:rPr>
              <w:t xml:space="preserve">” </w:t>
            </w:r>
            <w:proofErr w:type="spellStart"/>
            <w:r w:rsidR="007F6C93" w:rsidRPr="000657C9">
              <w:rPr>
                <w:rFonts w:ascii="Times New Roman" w:eastAsia="Times New Roman" w:hAnsi="Times New Roman"/>
                <w:i/>
                <w:sz w:val="24"/>
                <w:szCs w:val="24"/>
                <w:lang w:val="lv-LV" w:eastAsia="lv-LV"/>
              </w:rPr>
              <w:t>euro</w:t>
            </w:r>
            <w:proofErr w:type="spellEnd"/>
            <w:r w:rsidR="00A4199F" w:rsidRPr="000657C9">
              <w:rPr>
                <w:rFonts w:ascii="Times New Roman" w:eastAsia="Times New Roman" w:hAnsi="Times New Roman"/>
                <w:sz w:val="24"/>
                <w:szCs w:val="24"/>
                <w:lang w:val="lv-LV" w:eastAsia="lv-LV"/>
              </w:rPr>
              <w:t xml:space="preserve"> ieviešanai</w:t>
            </w:r>
            <w:r w:rsidR="007F6C93" w:rsidRPr="000657C9">
              <w:rPr>
                <w:rFonts w:ascii="Times New Roman" w:eastAsia="Times New Roman" w:hAnsi="Times New Roman"/>
                <w:sz w:val="24"/>
                <w:szCs w:val="24"/>
                <w:lang w:val="lv-LV" w:eastAsia="lv-LV"/>
              </w:rPr>
              <w:t xml:space="preserve"> t.i., konvertēt </w:t>
            </w:r>
            <w:r w:rsidR="00A4199F" w:rsidRPr="000657C9">
              <w:rPr>
                <w:rFonts w:ascii="Times New Roman" w:hAnsi="Times New Roman"/>
                <w:bCs/>
                <w:sz w:val="24"/>
                <w:szCs w:val="24"/>
                <w:lang w:val="lv-LV"/>
              </w:rPr>
              <w:t>noteikumos norādītās</w:t>
            </w:r>
            <w:r w:rsidR="00A4199F" w:rsidRPr="000657C9">
              <w:rPr>
                <w:rFonts w:ascii="Times New Roman" w:hAnsi="Times New Roman"/>
                <w:sz w:val="24"/>
                <w:szCs w:val="24"/>
                <w:lang w:val="lv-LV" w:eastAsia="lv-LV"/>
              </w:rPr>
              <w:t xml:space="preserve"> </w:t>
            </w:r>
            <w:r w:rsidR="001D1BC9" w:rsidRPr="000657C9">
              <w:rPr>
                <w:rFonts w:ascii="Times New Roman" w:hAnsi="Times New Roman"/>
                <w:sz w:val="24"/>
                <w:szCs w:val="24"/>
                <w:lang w:val="lv-LV" w:eastAsia="lv-LV"/>
              </w:rPr>
              <w:t>summas</w:t>
            </w:r>
            <w:r w:rsidR="007F6C93" w:rsidRPr="000657C9">
              <w:rPr>
                <w:rFonts w:ascii="Times New Roman" w:eastAsia="Times New Roman" w:hAnsi="Times New Roman"/>
                <w:sz w:val="24"/>
                <w:szCs w:val="24"/>
                <w:lang w:val="lv-LV" w:eastAsia="lv-LV"/>
              </w:rPr>
              <w:t xml:space="preserve"> lat</w:t>
            </w:r>
            <w:r w:rsidR="001D1BC9" w:rsidRPr="000657C9">
              <w:rPr>
                <w:rFonts w:ascii="Times New Roman" w:eastAsia="Times New Roman" w:hAnsi="Times New Roman"/>
                <w:sz w:val="24"/>
                <w:szCs w:val="24"/>
                <w:lang w:val="lv-LV" w:eastAsia="lv-LV"/>
              </w:rPr>
              <w:t>os</w:t>
            </w:r>
            <w:r w:rsidR="007F6C93" w:rsidRPr="000657C9">
              <w:rPr>
                <w:rFonts w:ascii="Times New Roman" w:eastAsia="Times New Roman" w:hAnsi="Times New Roman"/>
                <w:sz w:val="24"/>
                <w:szCs w:val="24"/>
                <w:lang w:val="lv-LV" w:eastAsia="lv-LV"/>
              </w:rPr>
              <w:t xml:space="preserve"> uz </w:t>
            </w:r>
            <w:proofErr w:type="spellStart"/>
            <w:r w:rsidR="007F6C93" w:rsidRPr="000657C9">
              <w:rPr>
                <w:rFonts w:ascii="Times New Roman" w:eastAsia="Times New Roman" w:hAnsi="Times New Roman"/>
                <w:i/>
                <w:sz w:val="24"/>
                <w:szCs w:val="24"/>
                <w:lang w:val="lv-LV" w:eastAsia="lv-LV"/>
              </w:rPr>
              <w:t>euro</w:t>
            </w:r>
            <w:proofErr w:type="spellEnd"/>
            <w:r w:rsidR="007F6C93" w:rsidRPr="000657C9">
              <w:rPr>
                <w:rFonts w:ascii="Times New Roman" w:eastAsia="Times New Roman" w:hAnsi="Times New Roman"/>
                <w:sz w:val="24"/>
                <w:szCs w:val="24"/>
                <w:lang w:val="lv-LV" w:eastAsia="lv-LV"/>
              </w:rPr>
              <w:t xml:space="preserve"> atbilstoši </w:t>
            </w:r>
            <w:proofErr w:type="spellStart"/>
            <w:r w:rsidR="007F6C93" w:rsidRPr="000657C9">
              <w:rPr>
                <w:rFonts w:ascii="Times New Roman" w:hAnsi="Times New Roman"/>
                <w:i/>
                <w:sz w:val="24"/>
                <w:szCs w:val="24"/>
                <w:lang w:val="lv-LV"/>
              </w:rPr>
              <w:t>Euro</w:t>
            </w:r>
            <w:proofErr w:type="spellEnd"/>
            <w:r w:rsidR="007F6C93" w:rsidRPr="000657C9">
              <w:rPr>
                <w:rFonts w:ascii="Times New Roman" w:eastAsia="Times New Roman" w:hAnsi="Times New Roman"/>
                <w:sz w:val="24"/>
                <w:szCs w:val="24"/>
                <w:lang w:val="lv-LV" w:eastAsia="lv-LV"/>
              </w:rPr>
              <w:t xml:space="preserve"> </w:t>
            </w:r>
            <w:r w:rsidR="007F6C93" w:rsidRPr="000657C9">
              <w:rPr>
                <w:rFonts w:ascii="Times New Roman" w:eastAsia="Times New Roman" w:hAnsi="Times New Roman"/>
                <w:sz w:val="24"/>
                <w:szCs w:val="24"/>
                <w:lang w:val="lv-LV" w:eastAsia="lv-LV"/>
              </w:rPr>
              <w:lastRenderedPageBreak/>
              <w:t>ieviešanas kārtības likuma</w:t>
            </w:r>
            <w:r w:rsidR="00B96D69" w:rsidRPr="000657C9">
              <w:rPr>
                <w:rFonts w:ascii="Times New Roman" w:eastAsia="Times New Roman" w:hAnsi="Times New Roman"/>
                <w:sz w:val="24"/>
                <w:szCs w:val="24"/>
                <w:lang w:val="lv-LV" w:eastAsia="lv-LV"/>
              </w:rPr>
              <w:t xml:space="preserve"> </w:t>
            </w:r>
            <w:r w:rsidR="007F6C93" w:rsidRPr="000657C9">
              <w:rPr>
                <w:rFonts w:ascii="Times New Roman" w:eastAsia="Times New Roman" w:hAnsi="Times New Roman"/>
                <w:sz w:val="24"/>
                <w:szCs w:val="24"/>
                <w:lang w:val="lv-LV" w:eastAsia="lv-LV"/>
              </w:rPr>
              <w:t>6.pantā atrunātajam principam, kas balstīts uz Eiropas Savienības Padomes noteikto valūtas maiņas kursu un matemātiskās noapaļošanas principiem</w:t>
            </w:r>
            <w:r w:rsidR="00863A9C" w:rsidRPr="000657C9">
              <w:rPr>
                <w:rFonts w:ascii="Times New Roman" w:eastAsia="Times New Roman" w:hAnsi="Times New Roman"/>
                <w:sz w:val="24"/>
                <w:szCs w:val="24"/>
                <w:lang w:val="lv-LV" w:eastAsia="lv-LV"/>
              </w:rPr>
              <w:t>.</w:t>
            </w:r>
            <w:r w:rsidR="007F6C93" w:rsidRPr="000657C9">
              <w:rPr>
                <w:rFonts w:ascii="Times New Roman" w:eastAsia="Times New Roman" w:hAnsi="Times New Roman"/>
                <w:sz w:val="24"/>
                <w:szCs w:val="24"/>
                <w:lang w:val="lv-LV" w:eastAsia="lv-LV"/>
              </w:rPr>
              <w:t xml:space="preserve"> </w:t>
            </w:r>
          </w:p>
          <w:p w:rsidR="00C6476F" w:rsidRPr="000657C9" w:rsidRDefault="008D7A1B" w:rsidP="00C6476F">
            <w:pPr>
              <w:autoSpaceDE w:val="0"/>
              <w:autoSpaceDN w:val="0"/>
              <w:adjustRightInd w:val="0"/>
              <w:spacing w:after="0" w:line="240" w:lineRule="auto"/>
              <w:ind w:firstLine="238"/>
              <w:jc w:val="both"/>
              <w:rPr>
                <w:rFonts w:ascii="Times New Roman" w:hAnsi="Times New Roman"/>
                <w:sz w:val="24"/>
                <w:szCs w:val="24"/>
                <w:lang w:val="lv-LV" w:eastAsia="lv-LV"/>
              </w:rPr>
            </w:pPr>
            <w:r w:rsidRPr="000657C9">
              <w:rPr>
                <w:rFonts w:ascii="Times New Roman" w:eastAsia="Times New Roman" w:hAnsi="Times New Roman"/>
                <w:sz w:val="24"/>
                <w:szCs w:val="24"/>
                <w:lang w:val="lv-LV" w:eastAsia="lv-LV"/>
              </w:rPr>
              <w:t xml:space="preserve">Ar šiem noteikumiem Ministru kabineta 2006.gada 31.oktobra noteikumu Nr.899 „Ambulatorajai ārstēšanai paredzēto zāļu un medicīnisko ierīču iegādes izdevumu kompensācijas kārtība” </w:t>
            </w:r>
            <w:r w:rsidR="001D1BC9" w:rsidRPr="000657C9">
              <w:rPr>
                <w:rFonts w:ascii="Times New Roman" w:eastAsia="Times New Roman" w:hAnsi="Times New Roman"/>
                <w:sz w:val="24"/>
                <w:szCs w:val="24"/>
                <w:lang w:val="lv-LV" w:eastAsia="lv-LV"/>
              </w:rPr>
              <w:t>107.punkts, kas nosaka, ka kompensējamo zāļu sarakstā iekļautās zāles, kuru izmaksas pārsniedz 3000 latu un par kuru iegādes izdevumu kompensāciju Veselības norēķinu centrs noslēdzis līgumu ar iesniedzēju, ar 2007.gada 1.janvāri bez papildu iesnieguma tiek iekļautas C sarakstā</w:t>
            </w:r>
            <w:r w:rsidR="002D275A" w:rsidRPr="000657C9">
              <w:rPr>
                <w:rFonts w:ascii="Times New Roman" w:eastAsia="Times New Roman" w:hAnsi="Times New Roman"/>
                <w:sz w:val="24"/>
                <w:szCs w:val="24"/>
                <w:lang w:val="lv-LV" w:eastAsia="lv-LV"/>
              </w:rPr>
              <w:t xml:space="preserve">, </w:t>
            </w:r>
            <w:r w:rsidRPr="000657C9">
              <w:rPr>
                <w:rFonts w:ascii="Times New Roman" w:eastAsia="Times New Roman" w:hAnsi="Times New Roman"/>
                <w:sz w:val="24"/>
                <w:szCs w:val="24"/>
                <w:lang w:val="lv-LV" w:eastAsia="lv-LV"/>
              </w:rPr>
              <w:t>109.</w:t>
            </w:r>
            <w:r w:rsidR="0022732F" w:rsidRPr="000657C9">
              <w:rPr>
                <w:rFonts w:ascii="Times New Roman" w:eastAsia="Times New Roman" w:hAnsi="Times New Roman"/>
                <w:sz w:val="24"/>
                <w:szCs w:val="24"/>
                <w:lang w:val="lv-LV" w:eastAsia="lv-LV"/>
              </w:rPr>
              <w:t>punkts, kas nosaka, ka</w:t>
            </w:r>
            <w:r w:rsidR="00DB191E" w:rsidRPr="000657C9">
              <w:rPr>
                <w:rFonts w:ascii="Times New Roman" w:eastAsia="Times New Roman" w:hAnsi="Times New Roman"/>
                <w:sz w:val="24"/>
                <w:szCs w:val="24"/>
                <w:lang w:val="lv-LV" w:eastAsia="lv-LV"/>
              </w:rPr>
              <w:t xml:space="preserve"> </w:t>
            </w:r>
            <w:r w:rsidR="0022732F" w:rsidRPr="000657C9">
              <w:rPr>
                <w:rFonts w:ascii="Times New Roman" w:eastAsia="Times New Roman" w:hAnsi="Times New Roman"/>
                <w:sz w:val="24"/>
                <w:szCs w:val="24"/>
                <w:lang w:val="lv-LV" w:eastAsia="lv-LV"/>
              </w:rPr>
              <w:t>no</w:t>
            </w:r>
            <w:r w:rsidR="00DB191E" w:rsidRPr="000657C9">
              <w:rPr>
                <w:rFonts w:ascii="Times New Roman" w:eastAsia="Times New Roman" w:hAnsi="Times New Roman"/>
                <w:sz w:val="24"/>
                <w:szCs w:val="24"/>
                <w:lang w:val="lv-LV" w:eastAsia="lv-LV"/>
              </w:rPr>
              <w:t xml:space="preserve"> līdzekļiem, kas paredzēti Sociālās drošības tīkla stratēģijas īstenošanai 2009.gadā, zāļu un medicīnisko ierīču iegādes izdevumus sedz pilnā apmērā pacientam, kas normatīvajos aktos noteiktajā kārtībā atzīts par trūcīgu un kuram saskaņā ar šiem noteikumiem pienākas zāļu vai medicīnisko ierīču iegādes izdevumu kompensācija, ja šīs personas izdevumi par zāļu vai medicīnisko ierīču iegādi kompensācijas kārtības ietvaros laikposmā no 2009.gada 1.oktobra līdz 2009.gada 31.dece</w:t>
            </w:r>
            <w:r w:rsidR="0022732F" w:rsidRPr="000657C9">
              <w:rPr>
                <w:rFonts w:ascii="Times New Roman" w:eastAsia="Times New Roman" w:hAnsi="Times New Roman"/>
                <w:sz w:val="24"/>
                <w:szCs w:val="24"/>
                <w:lang w:val="lv-LV" w:eastAsia="lv-LV"/>
              </w:rPr>
              <w:t>mbrim ir pārsnieguši 12,5 latus,</w:t>
            </w:r>
            <w:r w:rsidRPr="000657C9">
              <w:rPr>
                <w:rFonts w:ascii="Times New Roman" w:eastAsia="Times New Roman" w:hAnsi="Times New Roman"/>
                <w:sz w:val="24"/>
                <w:szCs w:val="24"/>
                <w:lang w:val="lv-LV" w:eastAsia="lv-LV"/>
              </w:rPr>
              <w:t xml:space="preserve"> un 11</w:t>
            </w:r>
            <w:r w:rsidR="00DB191E" w:rsidRPr="000657C9">
              <w:rPr>
                <w:rFonts w:ascii="Times New Roman" w:eastAsia="Times New Roman" w:hAnsi="Times New Roman"/>
                <w:sz w:val="24"/>
                <w:szCs w:val="24"/>
                <w:lang w:val="lv-LV" w:eastAsia="lv-LV"/>
              </w:rPr>
              <w:t>1</w:t>
            </w:r>
            <w:r w:rsidRPr="000657C9">
              <w:rPr>
                <w:rFonts w:ascii="Times New Roman" w:eastAsia="Times New Roman" w:hAnsi="Times New Roman"/>
                <w:sz w:val="24"/>
                <w:szCs w:val="24"/>
                <w:lang w:val="lv-LV" w:eastAsia="lv-LV"/>
              </w:rPr>
              <w:t>.punkts</w:t>
            </w:r>
            <w:r w:rsidR="0022732F" w:rsidRPr="000657C9">
              <w:rPr>
                <w:rFonts w:ascii="Times New Roman" w:eastAsia="Times New Roman" w:hAnsi="Times New Roman"/>
                <w:sz w:val="24"/>
                <w:szCs w:val="24"/>
                <w:lang w:val="lv-LV" w:eastAsia="lv-LV"/>
              </w:rPr>
              <w:t>, kas nosaka, ka</w:t>
            </w:r>
            <w:r w:rsidRPr="000657C9">
              <w:rPr>
                <w:rFonts w:ascii="Times New Roman" w:eastAsia="Times New Roman" w:hAnsi="Times New Roman"/>
                <w:sz w:val="24"/>
                <w:szCs w:val="24"/>
                <w:lang w:val="lv-LV" w:eastAsia="lv-LV"/>
              </w:rPr>
              <w:t xml:space="preserve"> </w:t>
            </w:r>
            <w:r w:rsidR="0022732F" w:rsidRPr="000657C9">
              <w:rPr>
                <w:rFonts w:ascii="Times New Roman" w:eastAsia="Times New Roman" w:hAnsi="Times New Roman"/>
                <w:sz w:val="24"/>
                <w:szCs w:val="24"/>
                <w:lang w:val="lv-LV" w:eastAsia="lv-LV"/>
              </w:rPr>
              <w:t>p</w:t>
            </w:r>
            <w:r w:rsidR="00DB191E" w:rsidRPr="000657C9">
              <w:rPr>
                <w:rFonts w:ascii="Times New Roman" w:eastAsia="Times New Roman" w:hAnsi="Times New Roman"/>
                <w:sz w:val="24"/>
                <w:szCs w:val="24"/>
                <w:lang w:val="lv-LV" w:eastAsia="lv-LV"/>
              </w:rPr>
              <w:t>ašvaldības sociālā dienesta izziņas par to, ka pacienta ienākumi uz katru tā ģimenes locekli pēdējo triju mēnešu laikā nepārsniedz 120 latu mēnesī, kas ir izsniegtas līdz 2010.gada 31.maijam, ir derīgas trīs mēnešus no izsniegšanas dienas darbspējīgām personām un sešus mēnešus no izsniegšanas</w:t>
            </w:r>
            <w:r w:rsidR="0022732F" w:rsidRPr="000657C9">
              <w:rPr>
                <w:rFonts w:ascii="Times New Roman" w:eastAsia="Times New Roman" w:hAnsi="Times New Roman"/>
                <w:sz w:val="24"/>
                <w:szCs w:val="24"/>
                <w:lang w:val="lv-LV" w:eastAsia="lv-LV"/>
              </w:rPr>
              <w:t xml:space="preserve"> dienas darbnespējīgām personām,</w:t>
            </w:r>
            <w:r w:rsidR="00DB191E" w:rsidRPr="000657C9">
              <w:rPr>
                <w:rFonts w:ascii="Times New Roman" w:eastAsia="Times New Roman" w:hAnsi="Times New Roman"/>
                <w:sz w:val="24"/>
                <w:szCs w:val="24"/>
                <w:lang w:val="lv-LV" w:eastAsia="lv-LV"/>
              </w:rPr>
              <w:t xml:space="preserve"> </w:t>
            </w:r>
            <w:r w:rsidRPr="000657C9">
              <w:rPr>
                <w:rFonts w:ascii="Times New Roman" w:eastAsia="Times New Roman" w:hAnsi="Times New Roman"/>
                <w:sz w:val="24"/>
                <w:szCs w:val="24"/>
                <w:lang w:val="lv-LV" w:eastAsia="lv-LV"/>
              </w:rPr>
              <w:t>netiek izteikts jaunā</w:t>
            </w:r>
            <w:r w:rsidR="00DB191E" w:rsidRPr="000657C9">
              <w:rPr>
                <w:rFonts w:ascii="Times New Roman" w:eastAsia="Times New Roman" w:hAnsi="Times New Roman"/>
                <w:sz w:val="24"/>
                <w:szCs w:val="24"/>
                <w:lang w:val="lv-LV" w:eastAsia="lv-LV"/>
              </w:rPr>
              <w:t xml:space="preserve"> redakcijā t.i.</w:t>
            </w:r>
            <w:r w:rsidRPr="000657C9">
              <w:rPr>
                <w:rFonts w:ascii="Times New Roman" w:eastAsia="Times New Roman" w:hAnsi="Times New Roman"/>
                <w:sz w:val="24"/>
                <w:szCs w:val="24"/>
                <w:lang w:val="lv-LV" w:eastAsia="lv-LV"/>
              </w:rPr>
              <w:t xml:space="preserve"> netiek pielāgots </w:t>
            </w:r>
            <w:proofErr w:type="spellStart"/>
            <w:r w:rsidRPr="000657C9">
              <w:rPr>
                <w:rFonts w:ascii="Times New Roman" w:eastAsia="Times New Roman" w:hAnsi="Times New Roman"/>
                <w:i/>
                <w:sz w:val="24"/>
                <w:szCs w:val="24"/>
                <w:lang w:val="lv-LV" w:eastAsia="lv-LV"/>
              </w:rPr>
              <w:t>euro</w:t>
            </w:r>
            <w:proofErr w:type="spellEnd"/>
            <w:r w:rsidRPr="000657C9">
              <w:rPr>
                <w:rFonts w:ascii="Times New Roman" w:eastAsia="Times New Roman" w:hAnsi="Times New Roman"/>
                <w:sz w:val="24"/>
                <w:szCs w:val="24"/>
                <w:lang w:val="lv-LV" w:eastAsia="lv-LV"/>
              </w:rPr>
              <w:t xml:space="preserve">, jo </w:t>
            </w:r>
            <w:r w:rsidRPr="000657C9">
              <w:rPr>
                <w:rFonts w:ascii="Times New Roman" w:hAnsi="Times New Roman"/>
                <w:sz w:val="24"/>
                <w:szCs w:val="24"/>
                <w:lang w:val="lv-LV" w:eastAsia="lv-LV"/>
              </w:rPr>
              <w:t>attiecas uz iepriekšējo laika periodu</w:t>
            </w:r>
            <w:r w:rsidR="002D275A" w:rsidRPr="000657C9">
              <w:rPr>
                <w:rFonts w:ascii="Times New Roman" w:hAnsi="Times New Roman"/>
                <w:sz w:val="24"/>
                <w:szCs w:val="24"/>
                <w:lang w:val="lv-LV" w:eastAsia="lv-LV"/>
              </w:rPr>
              <w:t>.</w:t>
            </w:r>
          </w:p>
          <w:p w:rsidR="00C6476F" w:rsidRPr="000657C9" w:rsidRDefault="00C6476F" w:rsidP="008C556D">
            <w:pPr>
              <w:autoSpaceDE w:val="0"/>
              <w:autoSpaceDN w:val="0"/>
              <w:adjustRightInd w:val="0"/>
              <w:spacing w:after="0" w:line="240" w:lineRule="auto"/>
              <w:jc w:val="both"/>
              <w:rPr>
                <w:rFonts w:ascii="Times New Roman" w:eastAsia="Times New Roman" w:hAnsi="Times New Roman"/>
                <w:sz w:val="24"/>
                <w:szCs w:val="24"/>
                <w:lang w:val="lv-LV" w:eastAsia="lv-LV"/>
              </w:rPr>
            </w:pPr>
          </w:p>
          <w:p w:rsidR="009732E2" w:rsidRPr="000657C9" w:rsidRDefault="00C92BFD" w:rsidP="00C6476F">
            <w:pPr>
              <w:autoSpaceDE w:val="0"/>
              <w:autoSpaceDN w:val="0"/>
              <w:adjustRightInd w:val="0"/>
              <w:spacing w:after="0" w:line="240" w:lineRule="auto"/>
              <w:ind w:firstLine="238"/>
              <w:jc w:val="both"/>
              <w:rPr>
                <w:rFonts w:ascii="Times New Roman" w:hAnsi="Times New Roman"/>
                <w:sz w:val="24"/>
                <w:szCs w:val="24"/>
                <w:lang w:val="lv-LV" w:eastAsia="lv-LV"/>
              </w:rPr>
            </w:pPr>
            <w:r w:rsidRPr="000657C9">
              <w:rPr>
                <w:rFonts w:ascii="Times New Roman" w:eastAsia="Times New Roman" w:hAnsi="Times New Roman"/>
                <w:sz w:val="24"/>
                <w:szCs w:val="24"/>
                <w:lang w:val="lv-LV" w:eastAsia="lv-LV"/>
              </w:rPr>
              <w:t>Noteikumos tiek grozītas tiesību normas, kurās pieminēts Latvijas Bankas noteiktais valūtas kurss, aizstājot vārdus „</w:t>
            </w:r>
            <w:r w:rsidRPr="000657C9">
              <w:rPr>
                <w:rFonts w:ascii="Times New Roman" w:hAnsi="Times New Roman"/>
                <w:sz w:val="24"/>
                <w:szCs w:val="24"/>
                <w:lang w:val="lv-LV"/>
              </w:rPr>
              <w:t>l</w:t>
            </w:r>
            <w:r w:rsidR="00C6476F" w:rsidRPr="000657C9">
              <w:rPr>
                <w:rFonts w:ascii="Times New Roman" w:hAnsi="Times New Roman"/>
                <w:sz w:val="24"/>
                <w:szCs w:val="24"/>
                <w:lang w:val="lv-LV"/>
              </w:rPr>
              <w:t xml:space="preserve">atos atbilstoši Latvijas Bankas </w:t>
            </w:r>
            <w:r w:rsidRPr="000657C9">
              <w:rPr>
                <w:rFonts w:ascii="Times New Roman" w:hAnsi="Times New Roman"/>
                <w:sz w:val="24"/>
                <w:szCs w:val="24"/>
                <w:lang w:val="lv-LV"/>
              </w:rPr>
              <w:t>noteiktajam”</w:t>
            </w:r>
            <w:r w:rsidR="00C6476F" w:rsidRPr="000657C9">
              <w:rPr>
                <w:rFonts w:ascii="Times New Roman" w:eastAsia="Times New Roman" w:hAnsi="Times New Roman"/>
                <w:sz w:val="24"/>
                <w:szCs w:val="24"/>
                <w:lang w:val="lv-LV" w:eastAsia="lv-LV"/>
              </w:rPr>
              <w:t xml:space="preserve"> ar </w:t>
            </w:r>
            <w:r w:rsidRPr="000657C9">
              <w:rPr>
                <w:rFonts w:ascii="Times New Roman" w:eastAsia="Times New Roman" w:hAnsi="Times New Roman"/>
                <w:sz w:val="24"/>
                <w:szCs w:val="24"/>
                <w:lang w:val="lv-LV" w:eastAsia="lv-LV"/>
              </w:rPr>
              <w:t>vārdiem „</w:t>
            </w:r>
            <w:proofErr w:type="spellStart"/>
            <w:r w:rsidRPr="000657C9">
              <w:rPr>
                <w:rFonts w:ascii="Times New Roman" w:hAnsi="Times New Roman"/>
                <w:i/>
                <w:sz w:val="24"/>
                <w:szCs w:val="24"/>
                <w:lang w:val="lv-LV"/>
              </w:rPr>
              <w:t>euro</w:t>
            </w:r>
            <w:proofErr w:type="spellEnd"/>
            <w:r w:rsidRPr="000657C9">
              <w:rPr>
                <w:rFonts w:ascii="Times New Roman" w:hAnsi="Times New Roman"/>
                <w:i/>
                <w:sz w:val="24"/>
                <w:szCs w:val="24"/>
                <w:lang w:val="lv-LV"/>
              </w:rPr>
              <w:t xml:space="preserve"> </w:t>
            </w:r>
            <w:r w:rsidR="00C6476F" w:rsidRPr="000657C9">
              <w:rPr>
                <w:rFonts w:ascii="Times New Roman" w:hAnsi="Times New Roman"/>
                <w:sz w:val="24"/>
                <w:szCs w:val="24"/>
                <w:lang w:val="lv-LV"/>
              </w:rPr>
              <w:t xml:space="preserve">atbilstoši </w:t>
            </w:r>
            <w:r w:rsidRPr="000657C9">
              <w:rPr>
                <w:rFonts w:ascii="Times New Roman" w:hAnsi="Times New Roman"/>
                <w:sz w:val="24"/>
                <w:szCs w:val="24"/>
                <w:lang w:val="lv-LV"/>
              </w:rPr>
              <w:t>grāmatvedībā izmantojamam ārvalstu</w:t>
            </w:r>
            <w:r w:rsidRPr="000657C9">
              <w:rPr>
                <w:rFonts w:ascii="Times New Roman" w:eastAsia="Times New Roman" w:hAnsi="Times New Roman"/>
                <w:sz w:val="24"/>
                <w:szCs w:val="24"/>
                <w:lang w:val="lv-LV" w:eastAsia="lv-LV"/>
              </w:rPr>
              <w:t>”.</w:t>
            </w:r>
          </w:p>
          <w:p w:rsidR="00C92BFD" w:rsidRPr="000657C9" w:rsidRDefault="00C92BFD" w:rsidP="00863A9C">
            <w:pPr>
              <w:autoSpaceDE w:val="0"/>
              <w:autoSpaceDN w:val="0"/>
              <w:adjustRightInd w:val="0"/>
              <w:spacing w:after="0" w:line="240" w:lineRule="auto"/>
              <w:ind w:firstLine="238"/>
              <w:jc w:val="both"/>
              <w:rPr>
                <w:rFonts w:ascii="Times New Roman" w:hAnsi="Times New Roman"/>
                <w:sz w:val="24"/>
                <w:szCs w:val="24"/>
                <w:lang w:val="lv-LV" w:eastAsia="lv-LV"/>
              </w:rPr>
            </w:pPr>
          </w:p>
          <w:p w:rsidR="008C556D" w:rsidRPr="000657C9" w:rsidRDefault="007E3CC2" w:rsidP="008C556D">
            <w:pPr>
              <w:autoSpaceDE w:val="0"/>
              <w:autoSpaceDN w:val="0"/>
              <w:adjustRightInd w:val="0"/>
              <w:spacing w:after="0" w:line="240" w:lineRule="auto"/>
              <w:ind w:firstLine="238"/>
              <w:jc w:val="both"/>
              <w:rPr>
                <w:rFonts w:ascii="Times New Roman" w:hAnsi="Times New Roman"/>
                <w:sz w:val="24"/>
                <w:szCs w:val="24"/>
                <w:lang w:val="lv-LV" w:eastAsia="lv-LV"/>
              </w:rPr>
            </w:pPr>
            <w:r w:rsidRPr="000657C9">
              <w:rPr>
                <w:rFonts w:ascii="Times New Roman" w:hAnsi="Times New Roman"/>
                <w:sz w:val="24"/>
                <w:szCs w:val="24"/>
                <w:lang w:val="lv-LV" w:eastAsia="lv-LV"/>
              </w:rPr>
              <w:t xml:space="preserve">Grozītās tiesiskās normas nav nelabvēlīgākas </w:t>
            </w:r>
            <w:r w:rsidRPr="000657C9">
              <w:rPr>
                <w:rFonts w:ascii="Times New Roman" w:hAnsi="Times New Roman"/>
                <w:sz w:val="24"/>
                <w:szCs w:val="24"/>
                <w:lang w:val="lv-LV" w:eastAsia="lv-LV"/>
              </w:rPr>
              <w:lastRenderedPageBreak/>
              <w:t xml:space="preserve">personai, kā sākotnējās tiesiskās normas, kas bija izteiktas latos. Noteikumu projektā paredzētajām normām nav vērā ņemamas negatīvas ietekmes uz valsts budžetu. </w:t>
            </w:r>
          </w:p>
          <w:p w:rsidR="008C556D" w:rsidRPr="000657C9" w:rsidRDefault="008C556D" w:rsidP="008C556D">
            <w:pPr>
              <w:autoSpaceDE w:val="0"/>
              <w:autoSpaceDN w:val="0"/>
              <w:adjustRightInd w:val="0"/>
              <w:spacing w:after="0" w:line="240" w:lineRule="auto"/>
              <w:ind w:firstLine="238"/>
              <w:jc w:val="both"/>
              <w:rPr>
                <w:rFonts w:ascii="Times New Roman" w:hAnsi="Times New Roman"/>
                <w:sz w:val="24"/>
                <w:szCs w:val="24"/>
                <w:lang w:val="lv-LV" w:eastAsia="lv-LV"/>
              </w:rPr>
            </w:pPr>
          </w:p>
          <w:p w:rsidR="00451FF3" w:rsidRPr="000657C9" w:rsidRDefault="009F663C" w:rsidP="008C556D">
            <w:pPr>
              <w:autoSpaceDE w:val="0"/>
              <w:autoSpaceDN w:val="0"/>
              <w:adjustRightInd w:val="0"/>
              <w:spacing w:after="0" w:line="240" w:lineRule="auto"/>
              <w:ind w:firstLine="238"/>
              <w:jc w:val="both"/>
              <w:rPr>
                <w:rFonts w:ascii="Times New Roman" w:eastAsia="Times New Roman" w:hAnsi="Times New Roman"/>
                <w:sz w:val="24"/>
                <w:szCs w:val="24"/>
                <w:lang w:val="lv-LV" w:eastAsia="lv-LV"/>
              </w:rPr>
            </w:pPr>
            <w:r w:rsidRPr="000657C9">
              <w:rPr>
                <w:rFonts w:ascii="Times New Roman" w:eastAsia="Times New Roman" w:hAnsi="Times New Roman"/>
                <w:sz w:val="24"/>
                <w:szCs w:val="24"/>
                <w:lang w:val="lv-LV" w:eastAsia="lv-LV"/>
              </w:rPr>
              <w:t xml:space="preserve">Noteikumi stājas spēkā </w:t>
            </w:r>
            <w:proofErr w:type="spellStart"/>
            <w:r w:rsidRPr="000657C9">
              <w:rPr>
                <w:rFonts w:ascii="Times New Roman" w:eastAsia="Times New Roman" w:hAnsi="Times New Roman"/>
                <w:i/>
                <w:sz w:val="24"/>
                <w:szCs w:val="24"/>
                <w:lang w:val="lv-LV" w:eastAsia="lv-LV"/>
              </w:rPr>
              <w:t>euro</w:t>
            </w:r>
            <w:proofErr w:type="spellEnd"/>
            <w:r w:rsidRPr="000657C9">
              <w:rPr>
                <w:rFonts w:ascii="Times New Roman" w:eastAsia="Times New Roman" w:hAnsi="Times New Roman"/>
                <w:sz w:val="24"/>
                <w:szCs w:val="24"/>
                <w:lang w:val="lv-LV" w:eastAsia="lv-LV"/>
              </w:rPr>
              <w:t xml:space="preserve"> ieviešanas dienā.</w:t>
            </w:r>
          </w:p>
          <w:p w:rsidR="00451FF3" w:rsidRPr="000657C9" w:rsidRDefault="00451FF3" w:rsidP="008C556D">
            <w:pPr>
              <w:autoSpaceDE w:val="0"/>
              <w:autoSpaceDN w:val="0"/>
              <w:adjustRightInd w:val="0"/>
              <w:spacing w:after="0" w:line="240" w:lineRule="auto"/>
              <w:ind w:firstLine="238"/>
              <w:jc w:val="both"/>
              <w:rPr>
                <w:rFonts w:ascii="Times New Roman" w:eastAsia="Times New Roman" w:hAnsi="Times New Roman"/>
                <w:sz w:val="24"/>
                <w:szCs w:val="24"/>
                <w:lang w:val="lv-LV" w:eastAsia="lv-LV"/>
              </w:rPr>
            </w:pPr>
          </w:p>
          <w:p w:rsidR="008C556D" w:rsidRPr="000657C9" w:rsidRDefault="009F663C" w:rsidP="008C556D">
            <w:pPr>
              <w:autoSpaceDE w:val="0"/>
              <w:autoSpaceDN w:val="0"/>
              <w:adjustRightInd w:val="0"/>
              <w:spacing w:after="0" w:line="240" w:lineRule="auto"/>
              <w:ind w:firstLine="238"/>
              <w:jc w:val="both"/>
              <w:rPr>
                <w:rFonts w:ascii="Times New Roman" w:hAnsi="Times New Roman"/>
                <w:sz w:val="24"/>
                <w:szCs w:val="24"/>
                <w:lang w:val="lv-LV" w:eastAsia="lv-LV"/>
              </w:rPr>
            </w:pPr>
            <w:r w:rsidRPr="000657C9">
              <w:rPr>
                <w:rFonts w:ascii="Times New Roman" w:eastAsia="Times New Roman" w:hAnsi="Times New Roman"/>
                <w:sz w:val="24"/>
                <w:szCs w:val="24"/>
                <w:lang w:val="lv-LV" w:eastAsia="lv-LV"/>
              </w:rPr>
              <w:t xml:space="preserve"> Skaidras naudas maksājumiem, kuri vienlaicīgas apgrozības periodā </w:t>
            </w:r>
            <w:r w:rsidR="00366FA1" w:rsidRPr="000657C9">
              <w:rPr>
                <w:rFonts w:ascii="Times New Roman" w:eastAsia="Times New Roman" w:hAnsi="Times New Roman"/>
                <w:sz w:val="24"/>
                <w:szCs w:val="24"/>
                <w:lang w:val="lv-LV" w:eastAsia="lv-LV"/>
              </w:rPr>
              <w:t xml:space="preserve">atbilstoši </w:t>
            </w:r>
            <w:proofErr w:type="spellStart"/>
            <w:r w:rsidR="00366FA1" w:rsidRPr="000657C9">
              <w:rPr>
                <w:rFonts w:ascii="Times New Roman" w:eastAsia="Times New Roman" w:hAnsi="Times New Roman"/>
                <w:i/>
                <w:sz w:val="24"/>
                <w:szCs w:val="24"/>
                <w:lang w:val="lv-LV" w:eastAsia="lv-LV"/>
              </w:rPr>
              <w:t>Euro</w:t>
            </w:r>
            <w:proofErr w:type="spellEnd"/>
            <w:r w:rsidR="00366FA1" w:rsidRPr="000657C9">
              <w:rPr>
                <w:rFonts w:ascii="Times New Roman" w:eastAsia="Times New Roman" w:hAnsi="Times New Roman"/>
                <w:sz w:val="24"/>
                <w:szCs w:val="24"/>
                <w:lang w:val="lv-LV" w:eastAsia="lv-LV"/>
              </w:rPr>
              <w:t xml:space="preserve"> ieviešanas kārtības likuma noteiktajā kārtībā </w:t>
            </w:r>
            <w:r w:rsidRPr="000657C9">
              <w:rPr>
                <w:rFonts w:ascii="Times New Roman" w:eastAsia="Times New Roman" w:hAnsi="Times New Roman"/>
                <w:sz w:val="24"/>
                <w:szCs w:val="24"/>
                <w:lang w:val="lv-LV" w:eastAsia="lv-LV"/>
              </w:rPr>
              <w:t xml:space="preserve">veikti latos, piemēro Ministru kabineta 2006.gada 31.oktobra noteikumu Nr.899 „Ambulatorajai ārstēšanai paredzēto zāļu un medicīnisko ierīču iegādes izdevumu kompensācijas kārtība” redakciju, kas bija spēkā </w:t>
            </w:r>
            <w:r w:rsidR="008F2581" w:rsidRPr="000657C9">
              <w:rPr>
                <w:rFonts w:ascii="Times New Roman" w:eastAsia="Times New Roman" w:hAnsi="Times New Roman"/>
                <w:sz w:val="24"/>
                <w:szCs w:val="24"/>
                <w:lang w:val="lv-LV" w:eastAsia="lv-LV"/>
              </w:rPr>
              <w:t xml:space="preserve">līdz </w:t>
            </w:r>
            <w:r w:rsidR="008C556D" w:rsidRPr="000657C9">
              <w:rPr>
                <w:rFonts w:ascii="Times New Roman" w:eastAsia="Times New Roman" w:hAnsi="Times New Roman"/>
                <w:sz w:val="24"/>
                <w:szCs w:val="24"/>
                <w:lang w:val="lv-LV" w:eastAsia="lv-LV"/>
              </w:rPr>
              <w:t>2013.gada 31.decembrim.</w:t>
            </w:r>
          </w:p>
          <w:p w:rsidR="008C556D" w:rsidRPr="000657C9" w:rsidRDefault="008C556D" w:rsidP="008C556D">
            <w:pPr>
              <w:autoSpaceDE w:val="0"/>
              <w:autoSpaceDN w:val="0"/>
              <w:adjustRightInd w:val="0"/>
              <w:spacing w:after="0" w:line="240" w:lineRule="auto"/>
              <w:ind w:firstLine="238"/>
              <w:jc w:val="both"/>
              <w:rPr>
                <w:rFonts w:ascii="Times New Roman" w:hAnsi="Times New Roman"/>
                <w:sz w:val="24"/>
                <w:szCs w:val="24"/>
                <w:lang w:val="lv-LV" w:eastAsia="lv-LV"/>
              </w:rPr>
            </w:pPr>
          </w:p>
          <w:p w:rsidR="00A14C10" w:rsidRPr="000657C9" w:rsidRDefault="00DB191E" w:rsidP="008C556D">
            <w:pPr>
              <w:autoSpaceDE w:val="0"/>
              <w:autoSpaceDN w:val="0"/>
              <w:adjustRightInd w:val="0"/>
              <w:spacing w:after="0" w:line="240" w:lineRule="auto"/>
              <w:ind w:firstLine="238"/>
              <w:jc w:val="both"/>
              <w:rPr>
                <w:rFonts w:ascii="Times New Roman" w:hAnsi="Times New Roman"/>
                <w:sz w:val="24"/>
                <w:szCs w:val="24"/>
                <w:lang w:val="lv-LV" w:eastAsia="lv-LV"/>
              </w:rPr>
            </w:pPr>
            <w:r w:rsidRPr="000657C9">
              <w:rPr>
                <w:rFonts w:ascii="Times New Roman" w:hAnsi="Times New Roman"/>
                <w:sz w:val="24"/>
                <w:szCs w:val="24"/>
                <w:lang w:val="lv-LV" w:eastAsia="lv-LV"/>
              </w:rPr>
              <w:t>Ar noteikumu projekta pieņemšanu pilnībā tiks atrisināta anotācijas I sadaļas 2.punktā minētā problēma.</w:t>
            </w:r>
          </w:p>
        </w:tc>
      </w:tr>
      <w:tr w:rsidR="00A55F63" w:rsidRPr="000657C9" w:rsidTr="00CB29AE">
        <w:trPr>
          <w:trHeight w:val="476"/>
          <w:tblCellSpacing w:w="0" w:type="dxa"/>
          <w:jc w:val="center"/>
        </w:trPr>
        <w:tc>
          <w:tcPr>
            <w:tcW w:w="539" w:type="dxa"/>
            <w:tcBorders>
              <w:top w:val="outset" w:sz="6" w:space="0" w:color="auto"/>
              <w:bottom w:val="outset" w:sz="6" w:space="0" w:color="auto"/>
              <w:right w:val="outset" w:sz="6" w:space="0" w:color="auto"/>
            </w:tcBorders>
          </w:tcPr>
          <w:p w:rsidR="00A55F63" w:rsidRPr="000657C9" w:rsidRDefault="00A55F63" w:rsidP="00CB29AE">
            <w:pPr>
              <w:spacing w:before="75" w:after="75" w:line="240" w:lineRule="auto"/>
              <w:rPr>
                <w:rFonts w:ascii="Times New Roman" w:hAnsi="Times New Roman"/>
                <w:sz w:val="24"/>
                <w:szCs w:val="24"/>
                <w:lang w:val="lv-LV" w:eastAsia="lv-LV"/>
              </w:rPr>
            </w:pPr>
            <w:r w:rsidRPr="000657C9">
              <w:rPr>
                <w:rFonts w:ascii="Times New Roman" w:hAnsi="Times New Roman"/>
                <w:sz w:val="24"/>
                <w:szCs w:val="24"/>
                <w:lang w:val="lv-LV" w:eastAsia="lv-LV"/>
              </w:rPr>
              <w:lastRenderedPageBreak/>
              <w:t> 5.</w:t>
            </w:r>
          </w:p>
        </w:tc>
        <w:tc>
          <w:tcPr>
            <w:tcW w:w="4153" w:type="dxa"/>
            <w:tcBorders>
              <w:top w:val="outset" w:sz="6" w:space="0" w:color="auto"/>
              <w:left w:val="outset" w:sz="6" w:space="0" w:color="auto"/>
              <w:bottom w:val="outset" w:sz="6" w:space="0" w:color="auto"/>
              <w:right w:val="outset" w:sz="6" w:space="0" w:color="auto"/>
            </w:tcBorders>
          </w:tcPr>
          <w:p w:rsidR="00A55F63" w:rsidRPr="000657C9" w:rsidRDefault="00A55F63" w:rsidP="00CB29AE">
            <w:pPr>
              <w:spacing w:before="75" w:after="75" w:line="240" w:lineRule="auto"/>
              <w:rPr>
                <w:rFonts w:ascii="Times New Roman" w:hAnsi="Times New Roman"/>
                <w:sz w:val="24"/>
                <w:szCs w:val="24"/>
                <w:lang w:val="lv-LV" w:eastAsia="lv-LV"/>
              </w:rPr>
            </w:pPr>
            <w:r w:rsidRPr="000657C9">
              <w:rPr>
                <w:rFonts w:ascii="Times New Roman" w:hAnsi="Times New Roman"/>
                <w:sz w:val="24"/>
                <w:szCs w:val="24"/>
                <w:lang w:val="lv-LV" w:eastAsia="lv-LV"/>
              </w:rPr>
              <w:t> Projekta izstrādē iesaistītās institūcijas</w:t>
            </w:r>
          </w:p>
        </w:tc>
        <w:tc>
          <w:tcPr>
            <w:tcW w:w="5246" w:type="dxa"/>
            <w:tcBorders>
              <w:top w:val="outset" w:sz="6" w:space="0" w:color="auto"/>
              <w:left w:val="outset" w:sz="6" w:space="0" w:color="auto"/>
              <w:bottom w:val="outset" w:sz="6" w:space="0" w:color="auto"/>
            </w:tcBorders>
          </w:tcPr>
          <w:p w:rsidR="00A55F63" w:rsidRPr="000657C9" w:rsidRDefault="00A55F63" w:rsidP="00CB29AE">
            <w:pPr>
              <w:spacing w:before="75" w:after="75" w:line="240" w:lineRule="auto"/>
              <w:jc w:val="both"/>
              <w:rPr>
                <w:rFonts w:ascii="Times New Roman" w:hAnsi="Times New Roman"/>
                <w:sz w:val="24"/>
                <w:szCs w:val="24"/>
                <w:lang w:val="lv-LV" w:eastAsia="lv-LV"/>
              </w:rPr>
            </w:pPr>
            <w:r w:rsidRPr="000657C9">
              <w:rPr>
                <w:rFonts w:ascii="Times New Roman" w:hAnsi="Times New Roman"/>
                <w:sz w:val="24"/>
                <w:szCs w:val="24"/>
                <w:lang w:val="lv-LV" w:eastAsia="lv-LV"/>
              </w:rPr>
              <w:t> Projekts šo jomu neskar.</w:t>
            </w:r>
            <w:r w:rsidRPr="000657C9">
              <w:rPr>
                <w:rFonts w:ascii="Times New Roman" w:hAnsi="Times New Roman"/>
                <w:sz w:val="24"/>
                <w:szCs w:val="24"/>
                <w:lang w:val="lv-LV"/>
              </w:rPr>
              <w:t xml:space="preserve"> </w:t>
            </w:r>
          </w:p>
        </w:tc>
      </w:tr>
      <w:tr w:rsidR="00A55F63" w:rsidRPr="000657C9" w:rsidTr="00CB29AE">
        <w:trPr>
          <w:trHeight w:val="688"/>
          <w:tblCellSpacing w:w="0" w:type="dxa"/>
          <w:jc w:val="center"/>
        </w:trPr>
        <w:tc>
          <w:tcPr>
            <w:tcW w:w="539" w:type="dxa"/>
            <w:tcBorders>
              <w:top w:val="outset" w:sz="6" w:space="0" w:color="auto"/>
              <w:bottom w:val="outset" w:sz="6" w:space="0" w:color="auto"/>
              <w:right w:val="outset" w:sz="6" w:space="0" w:color="auto"/>
            </w:tcBorders>
          </w:tcPr>
          <w:p w:rsidR="00A55F63" w:rsidRPr="000657C9" w:rsidRDefault="00A55F63" w:rsidP="00CB29AE">
            <w:pPr>
              <w:spacing w:before="75" w:after="75" w:line="240" w:lineRule="auto"/>
              <w:rPr>
                <w:rFonts w:ascii="Times New Roman" w:hAnsi="Times New Roman"/>
                <w:sz w:val="24"/>
                <w:szCs w:val="24"/>
                <w:lang w:val="lv-LV" w:eastAsia="lv-LV"/>
              </w:rPr>
            </w:pPr>
            <w:r w:rsidRPr="000657C9">
              <w:rPr>
                <w:rFonts w:ascii="Times New Roman" w:hAnsi="Times New Roman"/>
                <w:sz w:val="24"/>
                <w:szCs w:val="24"/>
                <w:lang w:val="lv-LV" w:eastAsia="lv-LV"/>
              </w:rPr>
              <w:t> 6.</w:t>
            </w:r>
          </w:p>
        </w:tc>
        <w:tc>
          <w:tcPr>
            <w:tcW w:w="4153" w:type="dxa"/>
            <w:tcBorders>
              <w:top w:val="outset" w:sz="6" w:space="0" w:color="auto"/>
              <w:left w:val="outset" w:sz="6" w:space="0" w:color="auto"/>
              <w:bottom w:val="outset" w:sz="6" w:space="0" w:color="auto"/>
              <w:right w:val="outset" w:sz="6" w:space="0" w:color="auto"/>
            </w:tcBorders>
          </w:tcPr>
          <w:p w:rsidR="00A55F63" w:rsidRPr="000657C9" w:rsidRDefault="00A55F63" w:rsidP="00CB29AE">
            <w:pPr>
              <w:spacing w:before="75" w:after="75" w:line="240" w:lineRule="auto"/>
              <w:rPr>
                <w:rFonts w:ascii="Times New Roman" w:hAnsi="Times New Roman"/>
                <w:sz w:val="24"/>
                <w:szCs w:val="24"/>
                <w:lang w:val="lv-LV" w:eastAsia="lv-LV"/>
              </w:rPr>
            </w:pPr>
            <w:r w:rsidRPr="000657C9">
              <w:rPr>
                <w:rFonts w:ascii="Times New Roman" w:hAnsi="Times New Roman"/>
                <w:sz w:val="24"/>
                <w:szCs w:val="24"/>
                <w:lang w:val="lv-LV" w:eastAsia="lv-LV"/>
              </w:rPr>
              <w:t> Iemesli, kādēļ netika nodrošināta sabiedrības līdzdalība</w:t>
            </w:r>
          </w:p>
        </w:tc>
        <w:tc>
          <w:tcPr>
            <w:tcW w:w="5246" w:type="dxa"/>
            <w:tcBorders>
              <w:top w:val="outset" w:sz="6" w:space="0" w:color="auto"/>
              <w:left w:val="outset" w:sz="6" w:space="0" w:color="auto"/>
              <w:bottom w:val="outset" w:sz="6" w:space="0" w:color="auto"/>
            </w:tcBorders>
          </w:tcPr>
          <w:p w:rsidR="00A55F63" w:rsidRPr="000657C9" w:rsidRDefault="00A55F63" w:rsidP="000E6F7F">
            <w:pPr>
              <w:jc w:val="both"/>
              <w:rPr>
                <w:rFonts w:ascii="Times New Roman" w:hAnsi="Times New Roman"/>
                <w:bCs/>
                <w:sz w:val="24"/>
                <w:szCs w:val="24"/>
                <w:lang w:val="lv-LV"/>
              </w:rPr>
            </w:pPr>
            <w:r w:rsidRPr="000657C9">
              <w:rPr>
                <w:rFonts w:ascii="Times New Roman" w:hAnsi="Times New Roman"/>
                <w:bCs/>
                <w:sz w:val="24"/>
                <w:szCs w:val="24"/>
                <w:lang w:val="lv-LV"/>
              </w:rPr>
              <w:t xml:space="preserve">  Sabiedrības līdzdalība netika nodrošināta, jo noteikumu projekts ir tehnisks projekts, ka paredz tikai </w:t>
            </w:r>
            <w:r w:rsidR="00A4199F" w:rsidRPr="000657C9">
              <w:rPr>
                <w:rFonts w:ascii="Times New Roman" w:hAnsi="Times New Roman"/>
                <w:bCs/>
                <w:sz w:val="24"/>
                <w:szCs w:val="24"/>
                <w:lang w:val="lv-LV"/>
              </w:rPr>
              <w:t xml:space="preserve">noteikumos norādīto </w:t>
            </w:r>
            <w:r w:rsidR="000E6F7F" w:rsidRPr="000657C9">
              <w:rPr>
                <w:rFonts w:ascii="Times New Roman" w:hAnsi="Times New Roman"/>
                <w:bCs/>
                <w:sz w:val="24"/>
                <w:szCs w:val="24"/>
                <w:lang w:val="lv-LV"/>
              </w:rPr>
              <w:t xml:space="preserve">summu </w:t>
            </w:r>
            <w:r w:rsidRPr="000657C9">
              <w:rPr>
                <w:rFonts w:ascii="Times New Roman" w:hAnsi="Times New Roman"/>
                <w:bCs/>
                <w:sz w:val="24"/>
                <w:szCs w:val="24"/>
                <w:lang w:val="lv-LV"/>
              </w:rPr>
              <w:t>konvertāciju no latiem uz</w:t>
            </w:r>
            <w:r w:rsidR="00A4199F" w:rsidRPr="000657C9">
              <w:rPr>
                <w:rFonts w:ascii="Times New Roman" w:hAnsi="Times New Roman"/>
                <w:bCs/>
                <w:sz w:val="24"/>
                <w:szCs w:val="24"/>
                <w:lang w:val="lv-LV"/>
              </w:rPr>
              <w:t xml:space="preserve"> </w:t>
            </w:r>
            <w:proofErr w:type="spellStart"/>
            <w:r w:rsidRPr="000657C9">
              <w:rPr>
                <w:rFonts w:ascii="Times New Roman" w:hAnsi="Times New Roman"/>
                <w:bCs/>
                <w:i/>
                <w:sz w:val="24"/>
                <w:szCs w:val="24"/>
                <w:lang w:val="lv-LV"/>
              </w:rPr>
              <w:t>euro</w:t>
            </w:r>
            <w:proofErr w:type="spellEnd"/>
            <w:r w:rsidR="00A4199F" w:rsidRPr="000657C9">
              <w:rPr>
                <w:rFonts w:ascii="Times New Roman" w:hAnsi="Times New Roman"/>
                <w:bCs/>
                <w:sz w:val="24"/>
                <w:szCs w:val="24"/>
                <w:lang w:val="lv-LV"/>
              </w:rPr>
              <w:t>. Projekts nemaina pastāvošo tiesisko regulējumu pēc būtības.</w:t>
            </w:r>
          </w:p>
        </w:tc>
      </w:tr>
      <w:tr w:rsidR="00A55F63" w:rsidRPr="000657C9" w:rsidTr="00CB29AE">
        <w:trPr>
          <w:tblCellSpacing w:w="0" w:type="dxa"/>
          <w:jc w:val="center"/>
        </w:trPr>
        <w:tc>
          <w:tcPr>
            <w:tcW w:w="539" w:type="dxa"/>
            <w:tcBorders>
              <w:top w:val="outset" w:sz="6" w:space="0" w:color="auto"/>
              <w:bottom w:val="outset" w:sz="6" w:space="0" w:color="auto"/>
              <w:right w:val="outset" w:sz="6" w:space="0" w:color="auto"/>
            </w:tcBorders>
          </w:tcPr>
          <w:p w:rsidR="00A55F63" w:rsidRPr="000657C9" w:rsidRDefault="00A55F63" w:rsidP="00CB29AE">
            <w:pPr>
              <w:spacing w:before="75" w:after="75" w:line="240" w:lineRule="auto"/>
              <w:rPr>
                <w:rFonts w:ascii="Times New Roman" w:hAnsi="Times New Roman"/>
                <w:sz w:val="24"/>
                <w:szCs w:val="24"/>
                <w:lang w:val="lv-LV" w:eastAsia="lv-LV"/>
              </w:rPr>
            </w:pPr>
            <w:r w:rsidRPr="000657C9">
              <w:rPr>
                <w:rFonts w:ascii="Times New Roman" w:hAnsi="Times New Roman"/>
                <w:sz w:val="24"/>
                <w:szCs w:val="24"/>
                <w:lang w:val="lv-LV" w:eastAsia="lv-LV"/>
              </w:rPr>
              <w:t> 7.</w:t>
            </w:r>
          </w:p>
        </w:tc>
        <w:tc>
          <w:tcPr>
            <w:tcW w:w="4153" w:type="dxa"/>
            <w:tcBorders>
              <w:top w:val="outset" w:sz="6" w:space="0" w:color="auto"/>
              <w:left w:val="outset" w:sz="6" w:space="0" w:color="auto"/>
              <w:bottom w:val="outset" w:sz="6" w:space="0" w:color="auto"/>
              <w:right w:val="outset" w:sz="6" w:space="0" w:color="auto"/>
            </w:tcBorders>
          </w:tcPr>
          <w:p w:rsidR="00A55F63" w:rsidRPr="000657C9" w:rsidRDefault="00A55F63" w:rsidP="00CB29AE">
            <w:pPr>
              <w:spacing w:before="75" w:after="75" w:line="240" w:lineRule="auto"/>
              <w:rPr>
                <w:rFonts w:ascii="Times New Roman" w:hAnsi="Times New Roman"/>
                <w:sz w:val="24"/>
                <w:szCs w:val="24"/>
                <w:lang w:val="lv-LV" w:eastAsia="lv-LV"/>
              </w:rPr>
            </w:pPr>
            <w:r w:rsidRPr="000657C9">
              <w:rPr>
                <w:rFonts w:ascii="Times New Roman" w:hAnsi="Times New Roman"/>
                <w:sz w:val="24"/>
                <w:szCs w:val="24"/>
                <w:lang w:val="lv-LV" w:eastAsia="lv-LV"/>
              </w:rPr>
              <w:t> Cita informācija</w:t>
            </w:r>
          </w:p>
        </w:tc>
        <w:tc>
          <w:tcPr>
            <w:tcW w:w="5246" w:type="dxa"/>
            <w:tcBorders>
              <w:top w:val="outset" w:sz="6" w:space="0" w:color="auto"/>
              <w:left w:val="outset" w:sz="6" w:space="0" w:color="auto"/>
              <w:bottom w:val="outset" w:sz="6" w:space="0" w:color="auto"/>
            </w:tcBorders>
          </w:tcPr>
          <w:p w:rsidR="00EF6DAB" w:rsidRPr="000657C9" w:rsidRDefault="00A55F63" w:rsidP="00EF6DAB">
            <w:pPr>
              <w:spacing w:before="75" w:after="75" w:line="240" w:lineRule="auto"/>
              <w:jc w:val="both"/>
              <w:rPr>
                <w:rFonts w:ascii="Times New Roman" w:hAnsi="Times New Roman"/>
                <w:sz w:val="24"/>
                <w:szCs w:val="24"/>
                <w:lang w:val="lv-LV" w:eastAsia="lv-LV"/>
              </w:rPr>
            </w:pPr>
            <w:r w:rsidRPr="000657C9">
              <w:rPr>
                <w:rFonts w:ascii="Times New Roman" w:hAnsi="Times New Roman"/>
                <w:sz w:val="24"/>
                <w:szCs w:val="24"/>
                <w:lang w:val="lv-LV" w:eastAsia="lv-LV"/>
              </w:rPr>
              <w:t xml:space="preserve">   </w:t>
            </w:r>
            <w:r w:rsidR="00EF6DAB" w:rsidRPr="000657C9">
              <w:rPr>
                <w:rFonts w:ascii="Times New Roman" w:eastAsia="Times New Roman" w:hAnsi="Times New Roman"/>
                <w:sz w:val="24"/>
                <w:szCs w:val="24"/>
                <w:lang w:val="lv-LV" w:eastAsia="lv-LV"/>
              </w:rPr>
              <w:t xml:space="preserve">Veselības ministrija plāno virzīt pieņemšanai uz Ministru kabinetu noteikumu </w:t>
            </w:r>
            <w:r w:rsidR="004335F1" w:rsidRPr="000657C9">
              <w:rPr>
                <w:rFonts w:ascii="Times New Roman" w:eastAsia="Times New Roman" w:hAnsi="Times New Roman"/>
                <w:sz w:val="24"/>
                <w:szCs w:val="24"/>
                <w:lang w:val="lv-LV" w:eastAsia="lv-LV"/>
              </w:rPr>
              <w:t xml:space="preserve">„Grozījumi Ministru kabineta 2006.gada 31.oktobra noteikumos Nr.899 „Ambulatorajai ārstēšanai paredzēto zāļu un medicīnisko ierīču iegādes izdevumu kompensācijas kārtība”” projektu </w:t>
            </w:r>
            <w:r w:rsidR="00EF6DAB" w:rsidRPr="000657C9">
              <w:rPr>
                <w:rFonts w:ascii="Times New Roman" w:eastAsia="Times New Roman" w:hAnsi="Times New Roman"/>
                <w:sz w:val="24"/>
                <w:szCs w:val="24"/>
                <w:lang w:val="lv-LV" w:eastAsia="lv-LV"/>
              </w:rPr>
              <w:t xml:space="preserve">pēc tam, kad Eiropas Savienības Padomē saskaņā ar Līguma par Eiropas Savienības darbību 140.panta 2.punktu tiks pieņemts lēmums par izņēmuma statusa atcelšanu Latvijas Republikai un Eiropas Savienības Padome būs noteikusi lata maiņas kursu. </w:t>
            </w:r>
          </w:p>
          <w:p w:rsidR="00EF6DAB" w:rsidRPr="000657C9" w:rsidRDefault="00EF6DAB" w:rsidP="00CB29AE">
            <w:pPr>
              <w:spacing w:before="75" w:after="75" w:line="240" w:lineRule="auto"/>
              <w:jc w:val="both"/>
              <w:rPr>
                <w:rFonts w:ascii="Times New Roman" w:hAnsi="Times New Roman"/>
                <w:sz w:val="24"/>
                <w:szCs w:val="24"/>
                <w:lang w:val="lv-LV" w:eastAsia="lv-LV"/>
              </w:rPr>
            </w:pPr>
            <w:r w:rsidRPr="000657C9">
              <w:rPr>
                <w:rFonts w:ascii="Times New Roman" w:eastAsia="Times New Roman" w:hAnsi="Times New Roman"/>
                <w:sz w:val="24"/>
                <w:szCs w:val="24"/>
                <w:lang w:val="lv-LV" w:eastAsia="lv-LV"/>
              </w:rPr>
              <w:t xml:space="preserve">   Saskaņā ar </w:t>
            </w:r>
            <w:proofErr w:type="spellStart"/>
            <w:r w:rsidRPr="000657C9">
              <w:rPr>
                <w:rFonts w:ascii="Times New Roman" w:eastAsia="Times New Roman" w:hAnsi="Times New Roman"/>
                <w:i/>
                <w:sz w:val="24"/>
                <w:szCs w:val="24"/>
                <w:lang w:val="lv-LV" w:eastAsia="lv-LV"/>
              </w:rPr>
              <w:t>Euro</w:t>
            </w:r>
            <w:proofErr w:type="spellEnd"/>
            <w:r w:rsidRPr="000657C9">
              <w:rPr>
                <w:rFonts w:ascii="Times New Roman" w:eastAsia="Times New Roman" w:hAnsi="Times New Roman"/>
                <w:sz w:val="24"/>
                <w:szCs w:val="24"/>
                <w:lang w:val="lv-LV" w:eastAsia="lv-LV"/>
              </w:rPr>
              <w:t xml:space="preserve"> ieviešanas kārtības likuma 13.panta pirmo daļu preču un pakalpojumu cenu paralēlās atspoguļošanas periods sākas trīs mēnešus pirms </w:t>
            </w:r>
            <w:proofErr w:type="spellStart"/>
            <w:r w:rsidRPr="000657C9">
              <w:rPr>
                <w:rFonts w:ascii="Times New Roman" w:eastAsia="Times New Roman" w:hAnsi="Times New Roman"/>
                <w:i/>
                <w:sz w:val="24"/>
                <w:szCs w:val="24"/>
                <w:lang w:val="lv-LV" w:eastAsia="lv-LV"/>
              </w:rPr>
              <w:t>euro</w:t>
            </w:r>
            <w:proofErr w:type="spellEnd"/>
            <w:r w:rsidRPr="000657C9">
              <w:rPr>
                <w:rFonts w:ascii="Times New Roman" w:eastAsia="Times New Roman" w:hAnsi="Times New Roman"/>
                <w:sz w:val="24"/>
                <w:szCs w:val="24"/>
                <w:lang w:val="lv-LV" w:eastAsia="lv-LV"/>
              </w:rPr>
              <w:t xml:space="preserve"> ieviešanas dienas, tādēļ šim projektam ir </w:t>
            </w:r>
            <w:r w:rsidRPr="000657C9">
              <w:rPr>
                <w:rFonts w:ascii="Times New Roman" w:eastAsia="Times New Roman" w:hAnsi="Times New Roman"/>
                <w:sz w:val="24"/>
                <w:szCs w:val="24"/>
                <w:lang w:val="lv-LV" w:eastAsia="lv-LV"/>
              </w:rPr>
              <w:lastRenderedPageBreak/>
              <w:t xml:space="preserve">jābūt izskatītam Ministru kabinetā un publicētam oficiālajā izdevumā „Latvijas Vēstnesis” līdz 2013.gada 1.oktobrim.    </w:t>
            </w:r>
          </w:p>
        </w:tc>
      </w:tr>
    </w:tbl>
    <w:p w:rsidR="00A55F63" w:rsidRDefault="00A55F63" w:rsidP="00ED2F20">
      <w:pPr>
        <w:spacing w:before="75" w:after="75" w:line="240" w:lineRule="auto"/>
        <w:jc w:val="both"/>
        <w:rPr>
          <w:rFonts w:ascii="Times New Roman" w:hAnsi="Times New Roman"/>
          <w:sz w:val="24"/>
          <w:szCs w:val="24"/>
          <w:lang w:val="lv-LV" w:eastAsia="lv-LV"/>
        </w:rPr>
      </w:pPr>
    </w:p>
    <w:p w:rsidR="002737DD" w:rsidRDefault="002737DD" w:rsidP="00ED2F20">
      <w:pPr>
        <w:spacing w:before="75" w:after="75" w:line="240" w:lineRule="auto"/>
        <w:jc w:val="both"/>
        <w:rPr>
          <w:rFonts w:ascii="Times New Roman" w:hAnsi="Times New Roman"/>
          <w:sz w:val="24"/>
          <w:szCs w:val="24"/>
          <w:lang w:val="lv-LV" w:eastAsia="lv-LV"/>
        </w:rPr>
      </w:pPr>
    </w:p>
    <w:p w:rsidR="002737DD" w:rsidRPr="000657C9" w:rsidRDefault="002737DD" w:rsidP="00ED2F20">
      <w:pPr>
        <w:spacing w:before="75" w:after="75" w:line="240" w:lineRule="auto"/>
        <w:jc w:val="both"/>
        <w:rPr>
          <w:rFonts w:ascii="Times New Roman" w:hAnsi="Times New Roman"/>
          <w:sz w:val="24"/>
          <w:szCs w:val="24"/>
          <w:lang w:val="lv-LV" w:eastAsia="lv-LV"/>
        </w:rPr>
      </w:pPr>
    </w:p>
    <w:tbl>
      <w:tblPr>
        <w:tblW w:w="9953" w:type="dxa"/>
        <w:jc w:val="center"/>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2"/>
        <w:gridCol w:w="1330"/>
        <w:gridCol w:w="1354"/>
        <w:gridCol w:w="1354"/>
        <w:gridCol w:w="1355"/>
        <w:gridCol w:w="1748"/>
      </w:tblGrid>
      <w:tr w:rsidR="00A55F63" w:rsidRPr="000657C9" w:rsidTr="00BC4DEC">
        <w:trPr>
          <w:trHeight w:val="652"/>
          <w:jc w:val="center"/>
        </w:trPr>
        <w:tc>
          <w:tcPr>
            <w:tcW w:w="9953" w:type="dxa"/>
            <w:gridSpan w:val="6"/>
          </w:tcPr>
          <w:p w:rsidR="00DB31BB" w:rsidRPr="000657C9" w:rsidRDefault="00A55F63" w:rsidP="00766DC5">
            <w:pPr>
              <w:pStyle w:val="naisnod"/>
              <w:spacing w:before="0" w:after="0"/>
            </w:pPr>
            <w:r w:rsidRPr="000657C9">
              <w:br w:type="page"/>
            </w:r>
          </w:p>
          <w:p w:rsidR="00A55F63" w:rsidRPr="000657C9" w:rsidRDefault="00A55F63" w:rsidP="00766DC5">
            <w:pPr>
              <w:pStyle w:val="naisnod"/>
              <w:spacing w:before="0" w:after="0"/>
              <w:rPr>
                <w:i/>
              </w:rPr>
            </w:pPr>
            <w:r w:rsidRPr="000657C9">
              <w:t>III. Tiesību akta projekta ietekme uz valsts budžetu un pašvaldību budžetiem</w:t>
            </w:r>
          </w:p>
        </w:tc>
      </w:tr>
      <w:tr w:rsidR="00A55F63" w:rsidRPr="000657C9" w:rsidTr="00BC4DEC">
        <w:trPr>
          <w:jc w:val="center"/>
        </w:trPr>
        <w:tc>
          <w:tcPr>
            <w:tcW w:w="2812" w:type="dxa"/>
            <w:vMerge w:val="restart"/>
            <w:vAlign w:val="center"/>
          </w:tcPr>
          <w:p w:rsidR="00A55F63" w:rsidRPr="000657C9" w:rsidRDefault="00A55F63" w:rsidP="00766DC5">
            <w:pPr>
              <w:pStyle w:val="naisf"/>
              <w:spacing w:before="0" w:after="0"/>
              <w:ind w:firstLine="0"/>
              <w:jc w:val="center"/>
              <w:rPr>
                <w:b/>
              </w:rPr>
            </w:pPr>
            <w:r w:rsidRPr="000657C9">
              <w:rPr>
                <w:b/>
              </w:rPr>
              <w:t>Rādītāji</w:t>
            </w:r>
          </w:p>
        </w:tc>
        <w:tc>
          <w:tcPr>
            <w:tcW w:w="2684" w:type="dxa"/>
            <w:gridSpan w:val="2"/>
            <w:vMerge w:val="restart"/>
            <w:vAlign w:val="center"/>
          </w:tcPr>
          <w:p w:rsidR="00A55F63" w:rsidRPr="000657C9" w:rsidRDefault="00A55F63" w:rsidP="00766DC5">
            <w:pPr>
              <w:pStyle w:val="naisf"/>
              <w:spacing w:before="0" w:after="0"/>
              <w:ind w:firstLine="0"/>
              <w:jc w:val="center"/>
              <w:rPr>
                <w:b/>
              </w:rPr>
            </w:pPr>
            <w:r w:rsidRPr="000657C9">
              <w:rPr>
                <w:b/>
              </w:rPr>
              <w:t>2013. gads</w:t>
            </w:r>
          </w:p>
        </w:tc>
        <w:tc>
          <w:tcPr>
            <w:tcW w:w="4457" w:type="dxa"/>
            <w:gridSpan w:val="3"/>
            <w:vAlign w:val="center"/>
          </w:tcPr>
          <w:p w:rsidR="00A55F63" w:rsidRPr="000657C9" w:rsidRDefault="00A55F63" w:rsidP="00766DC5">
            <w:pPr>
              <w:pStyle w:val="naisf"/>
              <w:spacing w:before="0" w:after="0"/>
              <w:ind w:firstLine="0"/>
              <w:jc w:val="center"/>
              <w:rPr>
                <w:b/>
                <w:i/>
              </w:rPr>
            </w:pPr>
            <w:r w:rsidRPr="000657C9">
              <w:t xml:space="preserve">Turpmākie trīs gadi (tūkst. </w:t>
            </w:r>
            <w:proofErr w:type="spellStart"/>
            <w:r w:rsidRPr="000657C9">
              <w:rPr>
                <w:i/>
              </w:rPr>
              <w:t>euro</w:t>
            </w:r>
            <w:proofErr w:type="spellEnd"/>
            <w:r w:rsidRPr="000657C9">
              <w:t>)</w:t>
            </w:r>
          </w:p>
        </w:tc>
      </w:tr>
      <w:tr w:rsidR="00A55F63" w:rsidRPr="000657C9" w:rsidTr="00BC4DEC">
        <w:trPr>
          <w:jc w:val="center"/>
        </w:trPr>
        <w:tc>
          <w:tcPr>
            <w:tcW w:w="2812" w:type="dxa"/>
            <w:vMerge/>
            <w:vAlign w:val="center"/>
          </w:tcPr>
          <w:p w:rsidR="00A55F63" w:rsidRPr="000657C9" w:rsidRDefault="00A55F63" w:rsidP="00766DC5">
            <w:pPr>
              <w:pStyle w:val="naisf"/>
              <w:spacing w:before="0" w:after="0"/>
              <w:ind w:firstLine="0"/>
              <w:jc w:val="center"/>
              <w:rPr>
                <w:b/>
                <w:i/>
              </w:rPr>
            </w:pPr>
          </w:p>
        </w:tc>
        <w:tc>
          <w:tcPr>
            <w:tcW w:w="2684" w:type="dxa"/>
            <w:gridSpan w:val="2"/>
            <w:vMerge/>
            <w:vAlign w:val="center"/>
          </w:tcPr>
          <w:p w:rsidR="00A55F63" w:rsidRPr="000657C9" w:rsidRDefault="00A55F63" w:rsidP="00766DC5">
            <w:pPr>
              <w:pStyle w:val="naisf"/>
              <w:spacing w:before="0" w:after="0"/>
              <w:ind w:firstLine="0"/>
              <w:jc w:val="center"/>
              <w:rPr>
                <w:b/>
                <w:i/>
              </w:rPr>
            </w:pPr>
          </w:p>
        </w:tc>
        <w:tc>
          <w:tcPr>
            <w:tcW w:w="1354" w:type="dxa"/>
            <w:vAlign w:val="center"/>
          </w:tcPr>
          <w:p w:rsidR="00A55F63" w:rsidRPr="000657C9" w:rsidRDefault="00A55F63" w:rsidP="00766DC5">
            <w:pPr>
              <w:pStyle w:val="naisf"/>
              <w:spacing w:before="0" w:after="0"/>
              <w:ind w:firstLine="0"/>
              <w:jc w:val="center"/>
              <w:rPr>
                <w:b/>
                <w:i/>
              </w:rPr>
            </w:pPr>
            <w:r w:rsidRPr="000657C9">
              <w:rPr>
                <w:b/>
              </w:rPr>
              <w:t>2014. gads</w:t>
            </w:r>
          </w:p>
        </w:tc>
        <w:tc>
          <w:tcPr>
            <w:tcW w:w="1355" w:type="dxa"/>
            <w:vAlign w:val="center"/>
          </w:tcPr>
          <w:p w:rsidR="00A55F63" w:rsidRPr="000657C9" w:rsidRDefault="00A55F63" w:rsidP="00766DC5">
            <w:pPr>
              <w:pStyle w:val="naisf"/>
              <w:spacing w:before="0" w:after="0"/>
              <w:ind w:firstLine="0"/>
              <w:jc w:val="center"/>
              <w:rPr>
                <w:b/>
                <w:i/>
              </w:rPr>
            </w:pPr>
            <w:r w:rsidRPr="000657C9">
              <w:rPr>
                <w:b/>
              </w:rPr>
              <w:t>2015. gads</w:t>
            </w:r>
          </w:p>
        </w:tc>
        <w:tc>
          <w:tcPr>
            <w:tcW w:w="1748" w:type="dxa"/>
            <w:vAlign w:val="center"/>
          </w:tcPr>
          <w:p w:rsidR="00A55F63" w:rsidRPr="000657C9" w:rsidRDefault="00A55F63" w:rsidP="00766DC5">
            <w:pPr>
              <w:pStyle w:val="naisf"/>
              <w:spacing w:before="0" w:after="0"/>
              <w:ind w:firstLine="0"/>
              <w:jc w:val="center"/>
              <w:rPr>
                <w:b/>
                <w:i/>
              </w:rPr>
            </w:pPr>
            <w:r w:rsidRPr="000657C9">
              <w:rPr>
                <w:b/>
              </w:rPr>
              <w:t>2016. gads</w:t>
            </w:r>
          </w:p>
        </w:tc>
      </w:tr>
      <w:tr w:rsidR="00A55F63" w:rsidRPr="000657C9" w:rsidTr="00BC4DEC">
        <w:trPr>
          <w:jc w:val="center"/>
        </w:trPr>
        <w:tc>
          <w:tcPr>
            <w:tcW w:w="2812" w:type="dxa"/>
            <w:vMerge/>
            <w:vAlign w:val="center"/>
          </w:tcPr>
          <w:p w:rsidR="00A55F63" w:rsidRPr="000657C9" w:rsidRDefault="00A55F63" w:rsidP="00766DC5">
            <w:pPr>
              <w:pStyle w:val="naisf"/>
              <w:spacing w:before="0" w:after="0"/>
              <w:ind w:firstLine="0"/>
              <w:jc w:val="center"/>
              <w:rPr>
                <w:b/>
                <w:i/>
              </w:rPr>
            </w:pPr>
          </w:p>
        </w:tc>
        <w:tc>
          <w:tcPr>
            <w:tcW w:w="1330" w:type="dxa"/>
            <w:vAlign w:val="center"/>
          </w:tcPr>
          <w:p w:rsidR="00A55F63" w:rsidRPr="000657C9" w:rsidRDefault="00A55F63" w:rsidP="00766DC5">
            <w:pPr>
              <w:pStyle w:val="naisf"/>
              <w:spacing w:before="0" w:after="0"/>
              <w:ind w:firstLine="0"/>
              <w:jc w:val="center"/>
              <w:rPr>
                <w:b/>
                <w:i/>
              </w:rPr>
            </w:pPr>
            <w:r w:rsidRPr="000657C9">
              <w:t>Saskaņā ar valsts budžetu kārtējam gadam</w:t>
            </w:r>
          </w:p>
        </w:tc>
        <w:tc>
          <w:tcPr>
            <w:tcW w:w="1354" w:type="dxa"/>
            <w:vAlign w:val="center"/>
          </w:tcPr>
          <w:p w:rsidR="00A55F63" w:rsidRPr="000657C9" w:rsidRDefault="00A55F63" w:rsidP="00766DC5">
            <w:pPr>
              <w:pStyle w:val="naisf"/>
              <w:spacing w:before="0" w:after="0"/>
              <w:ind w:firstLine="0"/>
              <w:jc w:val="center"/>
              <w:rPr>
                <w:b/>
                <w:i/>
              </w:rPr>
            </w:pPr>
            <w:r w:rsidRPr="000657C9">
              <w:t>Izmaiņas kārtējā gadā, salīdzinot ar budžetu kārtējam gadam</w:t>
            </w:r>
          </w:p>
        </w:tc>
        <w:tc>
          <w:tcPr>
            <w:tcW w:w="1354" w:type="dxa"/>
            <w:vAlign w:val="center"/>
          </w:tcPr>
          <w:p w:rsidR="00A55F63" w:rsidRPr="000657C9" w:rsidRDefault="00A55F63" w:rsidP="00766DC5">
            <w:pPr>
              <w:pStyle w:val="naisf"/>
              <w:spacing w:before="0" w:after="0"/>
              <w:ind w:firstLine="0"/>
              <w:jc w:val="center"/>
              <w:rPr>
                <w:b/>
                <w:i/>
              </w:rPr>
            </w:pPr>
            <w:r w:rsidRPr="000657C9">
              <w:t>Izmaiņas, salīdzinot ar kārtējo 2013. gadu</w:t>
            </w:r>
          </w:p>
        </w:tc>
        <w:tc>
          <w:tcPr>
            <w:tcW w:w="1355" w:type="dxa"/>
            <w:vAlign w:val="center"/>
          </w:tcPr>
          <w:p w:rsidR="00A55F63" w:rsidRPr="000657C9" w:rsidRDefault="00A55F63" w:rsidP="00766DC5">
            <w:pPr>
              <w:pStyle w:val="naisf"/>
              <w:spacing w:before="0" w:after="0"/>
              <w:ind w:firstLine="0"/>
              <w:jc w:val="center"/>
              <w:rPr>
                <w:b/>
                <w:i/>
              </w:rPr>
            </w:pPr>
            <w:r w:rsidRPr="000657C9">
              <w:t>Izmaiņas, salīdzinot ar kārtējo 2013. gadu</w:t>
            </w:r>
          </w:p>
        </w:tc>
        <w:tc>
          <w:tcPr>
            <w:tcW w:w="1748" w:type="dxa"/>
            <w:vAlign w:val="center"/>
          </w:tcPr>
          <w:p w:rsidR="00A55F63" w:rsidRPr="000657C9" w:rsidRDefault="00A55F63" w:rsidP="00766DC5">
            <w:pPr>
              <w:pStyle w:val="naisf"/>
              <w:spacing w:before="0" w:after="0"/>
              <w:ind w:firstLine="0"/>
              <w:jc w:val="center"/>
              <w:rPr>
                <w:b/>
                <w:i/>
              </w:rPr>
            </w:pPr>
            <w:r w:rsidRPr="000657C9">
              <w:t>Izmaiņas, salīdzinot ar kārtējo 2013. gadu</w:t>
            </w:r>
          </w:p>
        </w:tc>
      </w:tr>
      <w:tr w:rsidR="00A55F63" w:rsidRPr="000657C9" w:rsidTr="00BC4DEC">
        <w:trPr>
          <w:jc w:val="center"/>
        </w:trPr>
        <w:tc>
          <w:tcPr>
            <w:tcW w:w="2812" w:type="dxa"/>
            <w:vAlign w:val="center"/>
          </w:tcPr>
          <w:p w:rsidR="00A55F63" w:rsidRPr="000657C9" w:rsidRDefault="00A55F63" w:rsidP="00766DC5">
            <w:pPr>
              <w:pStyle w:val="naisf"/>
              <w:spacing w:before="0" w:after="0"/>
              <w:ind w:firstLine="0"/>
              <w:jc w:val="center"/>
              <w:rPr>
                <w:bCs/>
              </w:rPr>
            </w:pPr>
            <w:r w:rsidRPr="000657C9">
              <w:rPr>
                <w:bCs/>
              </w:rPr>
              <w:t>1</w:t>
            </w:r>
          </w:p>
        </w:tc>
        <w:tc>
          <w:tcPr>
            <w:tcW w:w="1330" w:type="dxa"/>
            <w:vAlign w:val="center"/>
          </w:tcPr>
          <w:p w:rsidR="00A55F63" w:rsidRPr="000657C9" w:rsidRDefault="00A55F63" w:rsidP="00766DC5">
            <w:pPr>
              <w:pStyle w:val="naisf"/>
              <w:spacing w:before="0" w:after="0"/>
              <w:ind w:firstLine="0"/>
              <w:jc w:val="center"/>
              <w:rPr>
                <w:bCs/>
              </w:rPr>
            </w:pPr>
            <w:r w:rsidRPr="000657C9">
              <w:rPr>
                <w:bCs/>
              </w:rPr>
              <w:t>2</w:t>
            </w:r>
          </w:p>
        </w:tc>
        <w:tc>
          <w:tcPr>
            <w:tcW w:w="1354" w:type="dxa"/>
            <w:vAlign w:val="center"/>
          </w:tcPr>
          <w:p w:rsidR="00A55F63" w:rsidRPr="000657C9" w:rsidRDefault="00A55F63" w:rsidP="00766DC5">
            <w:pPr>
              <w:pStyle w:val="naisf"/>
              <w:spacing w:before="0" w:after="0"/>
              <w:ind w:firstLine="0"/>
              <w:jc w:val="center"/>
              <w:rPr>
                <w:bCs/>
              </w:rPr>
            </w:pPr>
            <w:r w:rsidRPr="000657C9">
              <w:rPr>
                <w:bCs/>
              </w:rPr>
              <w:t>3</w:t>
            </w:r>
          </w:p>
        </w:tc>
        <w:tc>
          <w:tcPr>
            <w:tcW w:w="1354" w:type="dxa"/>
            <w:vAlign w:val="center"/>
          </w:tcPr>
          <w:p w:rsidR="00A55F63" w:rsidRPr="000657C9" w:rsidRDefault="00A55F63" w:rsidP="00766DC5">
            <w:pPr>
              <w:pStyle w:val="naisf"/>
              <w:spacing w:before="0" w:after="0"/>
              <w:ind w:firstLine="0"/>
              <w:jc w:val="center"/>
              <w:rPr>
                <w:bCs/>
              </w:rPr>
            </w:pPr>
            <w:r w:rsidRPr="000657C9">
              <w:rPr>
                <w:bCs/>
              </w:rPr>
              <w:t>4</w:t>
            </w:r>
          </w:p>
        </w:tc>
        <w:tc>
          <w:tcPr>
            <w:tcW w:w="1355" w:type="dxa"/>
            <w:vAlign w:val="center"/>
          </w:tcPr>
          <w:p w:rsidR="00A55F63" w:rsidRPr="000657C9" w:rsidRDefault="00A55F63" w:rsidP="00766DC5">
            <w:pPr>
              <w:pStyle w:val="naisf"/>
              <w:spacing w:before="0" w:after="0"/>
              <w:ind w:firstLine="0"/>
              <w:jc w:val="center"/>
              <w:rPr>
                <w:bCs/>
              </w:rPr>
            </w:pPr>
            <w:r w:rsidRPr="000657C9">
              <w:rPr>
                <w:bCs/>
              </w:rPr>
              <w:t>5</w:t>
            </w:r>
          </w:p>
        </w:tc>
        <w:tc>
          <w:tcPr>
            <w:tcW w:w="1748" w:type="dxa"/>
            <w:vAlign w:val="center"/>
          </w:tcPr>
          <w:p w:rsidR="00A55F63" w:rsidRPr="000657C9" w:rsidRDefault="00A55F63" w:rsidP="00766DC5">
            <w:pPr>
              <w:pStyle w:val="naisf"/>
              <w:spacing w:before="0" w:after="0"/>
              <w:ind w:firstLine="0"/>
              <w:jc w:val="center"/>
              <w:rPr>
                <w:bCs/>
              </w:rPr>
            </w:pPr>
            <w:r w:rsidRPr="000657C9">
              <w:rPr>
                <w:bCs/>
              </w:rPr>
              <w:t>6</w:t>
            </w:r>
          </w:p>
        </w:tc>
      </w:tr>
      <w:tr w:rsidR="00A55F63" w:rsidRPr="000657C9" w:rsidTr="00BC4DEC">
        <w:trPr>
          <w:jc w:val="center"/>
        </w:trPr>
        <w:tc>
          <w:tcPr>
            <w:tcW w:w="2812" w:type="dxa"/>
          </w:tcPr>
          <w:p w:rsidR="00A55F63" w:rsidRPr="000657C9" w:rsidRDefault="00A55F63" w:rsidP="00766DC5">
            <w:pPr>
              <w:pStyle w:val="naisf"/>
              <w:spacing w:before="0" w:after="0"/>
              <w:ind w:firstLine="0"/>
              <w:rPr>
                <w:i/>
              </w:rPr>
            </w:pPr>
            <w:r w:rsidRPr="000657C9">
              <w:t>1. Budžeta ieņēmumi:</w:t>
            </w:r>
          </w:p>
        </w:tc>
        <w:tc>
          <w:tcPr>
            <w:tcW w:w="1330" w:type="dxa"/>
          </w:tcPr>
          <w:p w:rsidR="00A55F63" w:rsidRPr="000657C9" w:rsidRDefault="00A55F63" w:rsidP="0054042E">
            <w:pPr>
              <w:pStyle w:val="naisf"/>
              <w:spacing w:before="0" w:after="0"/>
              <w:ind w:firstLine="0"/>
              <w:jc w:val="center"/>
              <w:rPr>
                <w:b/>
              </w:rPr>
            </w:pPr>
            <w:r w:rsidRPr="000657C9">
              <w:rPr>
                <w:b/>
              </w:rPr>
              <w:t>0</w:t>
            </w:r>
          </w:p>
        </w:tc>
        <w:tc>
          <w:tcPr>
            <w:tcW w:w="1354" w:type="dxa"/>
          </w:tcPr>
          <w:p w:rsidR="00A55F63" w:rsidRPr="000657C9" w:rsidRDefault="00A55F63" w:rsidP="0054042E">
            <w:pPr>
              <w:pStyle w:val="naisf"/>
              <w:spacing w:before="0" w:after="0"/>
              <w:ind w:firstLine="0"/>
              <w:jc w:val="center"/>
              <w:rPr>
                <w:b/>
              </w:rPr>
            </w:pPr>
            <w:r w:rsidRPr="000657C9">
              <w:rPr>
                <w:b/>
              </w:rPr>
              <w:t>0</w:t>
            </w:r>
          </w:p>
        </w:tc>
        <w:tc>
          <w:tcPr>
            <w:tcW w:w="1354" w:type="dxa"/>
          </w:tcPr>
          <w:p w:rsidR="00A55F63" w:rsidRPr="000657C9" w:rsidRDefault="00A55F63" w:rsidP="0054042E">
            <w:pPr>
              <w:pStyle w:val="naisf"/>
              <w:spacing w:before="0" w:after="0"/>
              <w:ind w:firstLine="0"/>
              <w:jc w:val="center"/>
              <w:rPr>
                <w:b/>
              </w:rPr>
            </w:pPr>
            <w:r w:rsidRPr="000657C9">
              <w:rPr>
                <w:b/>
              </w:rPr>
              <w:t>0</w:t>
            </w:r>
          </w:p>
        </w:tc>
        <w:tc>
          <w:tcPr>
            <w:tcW w:w="1355" w:type="dxa"/>
          </w:tcPr>
          <w:p w:rsidR="00A55F63" w:rsidRPr="000657C9" w:rsidRDefault="00A55F63" w:rsidP="0054042E">
            <w:pPr>
              <w:pStyle w:val="naisf"/>
              <w:spacing w:before="0" w:after="0"/>
              <w:ind w:firstLine="0"/>
              <w:jc w:val="center"/>
              <w:rPr>
                <w:b/>
              </w:rPr>
            </w:pPr>
            <w:r w:rsidRPr="000657C9">
              <w:rPr>
                <w:b/>
              </w:rPr>
              <w:t>0</w:t>
            </w:r>
          </w:p>
        </w:tc>
        <w:tc>
          <w:tcPr>
            <w:tcW w:w="1748" w:type="dxa"/>
          </w:tcPr>
          <w:p w:rsidR="00A55F63" w:rsidRPr="000657C9" w:rsidRDefault="00A55F63" w:rsidP="0054042E">
            <w:pPr>
              <w:pStyle w:val="naisf"/>
              <w:spacing w:before="0" w:after="0"/>
              <w:ind w:firstLine="0"/>
              <w:jc w:val="center"/>
              <w:rPr>
                <w:b/>
              </w:rPr>
            </w:pPr>
            <w:r w:rsidRPr="000657C9">
              <w:rPr>
                <w:b/>
              </w:rPr>
              <w:t>0</w:t>
            </w:r>
          </w:p>
        </w:tc>
      </w:tr>
      <w:tr w:rsidR="00A55F63" w:rsidRPr="000657C9" w:rsidTr="00BC4DEC">
        <w:trPr>
          <w:jc w:val="center"/>
        </w:trPr>
        <w:tc>
          <w:tcPr>
            <w:tcW w:w="2812" w:type="dxa"/>
          </w:tcPr>
          <w:p w:rsidR="00A55F63" w:rsidRPr="000657C9" w:rsidRDefault="00A55F63" w:rsidP="00766DC5">
            <w:pPr>
              <w:pStyle w:val="naisf"/>
              <w:spacing w:before="0" w:after="0"/>
              <w:ind w:firstLine="0"/>
              <w:rPr>
                <w:i/>
              </w:rPr>
            </w:pPr>
            <w:r w:rsidRPr="000657C9">
              <w:t>1.1. valsts pamatbudžets, tai skaitā ieņēmumi no maksas pakalpojumiem un citi pašu ieņēmumi</w:t>
            </w:r>
          </w:p>
        </w:tc>
        <w:tc>
          <w:tcPr>
            <w:tcW w:w="1330" w:type="dxa"/>
          </w:tcPr>
          <w:p w:rsidR="00A55F63" w:rsidRPr="000657C9" w:rsidRDefault="00A55F63" w:rsidP="0054042E">
            <w:pPr>
              <w:pStyle w:val="naisf"/>
              <w:spacing w:before="0" w:after="0"/>
              <w:ind w:firstLine="0"/>
              <w:jc w:val="center"/>
            </w:pPr>
            <w:r w:rsidRPr="000657C9">
              <w:t>0</w:t>
            </w:r>
          </w:p>
        </w:tc>
        <w:tc>
          <w:tcPr>
            <w:tcW w:w="1354" w:type="dxa"/>
          </w:tcPr>
          <w:p w:rsidR="00A55F63" w:rsidRPr="000657C9" w:rsidRDefault="00A55F63" w:rsidP="0054042E">
            <w:pPr>
              <w:pStyle w:val="naisf"/>
              <w:spacing w:before="0" w:after="0"/>
              <w:ind w:firstLine="0"/>
              <w:jc w:val="center"/>
            </w:pPr>
            <w:r w:rsidRPr="000657C9">
              <w:t>0</w:t>
            </w:r>
          </w:p>
        </w:tc>
        <w:tc>
          <w:tcPr>
            <w:tcW w:w="1354" w:type="dxa"/>
          </w:tcPr>
          <w:p w:rsidR="00A55F63" w:rsidRPr="000657C9" w:rsidRDefault="00A55F63" w:rsidP="0054042E">
            <w:pPr>
              <w:pStyle w:val="naisf"/>
              <w:spacing w:before="0" w:after="0"/>
              <w:ind w:firstLine="0"/>
              <w:jc w:val="center"/>
            </w:pPr>
            <w:r w:rsidRPr="000657C9">
              <w:t>0</w:t>
            </w:r>
          </w:p>
        </w:tc>
        <w:tc>
          <w:tcPr>
            <w:tcW w:w="1355" w:type="dxa"/>
          </w:tcPr>
          <w:p w:rsidR="00A55F63" w:rsidRPr="000657C9" w:rsidRDefault="00A55F63" w:rsidP="0054042E">
            <w:pPr>
              <w:pStyle w:val="naisf"/>
              <w:spacing w:before="0" w:after="0"/>
              <w:ind w:firstLine="0"/>
              <w:jc w:val="center"/>
            </w:pPr>
            <w:r w:rsidRPr="000657C9">
              <w:t>0</w:t>
            </w:r>
          </w:p>
        </w:tc>
        <w:tc>
          <w:tcPr>
            <w:tcW w:w="1748" w:type="dxa"/>
          </w:tcPr>
          <w:p w:rsidR="00A55F63" w:rsidRPr="000657C9" w:rsidRDefault="00A55F63" w:rsidP="0054042E">
            <w:pPr>
              <w:pStyle w:val="naisf"/>
              <w:spacing w:before="0" w:after="0"/>
              <w:ind w:firstLine="0"/>
              <w:jc w:val="center"/>
            </w:pPr>
            <w:r w:rsidRPr="000657C9">
              <w:t>0</w:t>
            </w:r>
          </w:p>
        </w:tc>
      </w:tr>
      <w:tr w:rsidR="00A55F63" w:rsidRPr="000657C9" w:rsidTr="00BC4DEC">
        <w:trPr>
          <w:jc w:val="center"/>
        </w:trPr>
        <w:tc>
          <w:tcPr>
            <w:tcW w:w="2812" w:type="dxa"/>
          </w:tcPr>
          <w:p w:rsidR="00A55F63" w:rsidRPr="000657C9" w:rsidRDefault="00A55F63" w:rsidP="00766DC5">
            <w:pPr>
              <w:pStyle w:val="naisf"/>
              <w:spacing w:before="0" w:after="0"/>
              <w:ind w:firstLine="0"/>
              <w:rPr>
                <w:i/>
              </w:rPr>
            </w:pPr>
            <w:r w:rsidRPr="000657C9">
              <w:t>1.2. valsts speciālais budžets</w:t>
            </w:r>
          </w:p>
        </w:tc>
        <w:tc>
          <w:tcPr>
            <w:tcW w:w="1330" w:type="dxa"/>
          </w:tcPr>
          <w:p w:rsidR="00A55F63" w:rsidRPr="000657C9" w:rsidRDefault="00A55F63" w:rsidP="0054042E">
            <w:pPr>
              <w:pStyle w:val="naisf"/>
              <w:spacing w:before="0" w:after="0"/>
              <w:ind w:firstLine="0"/>
              <w:jc w:val="center"/>
            </w:pPr>
            <w:r w:rsidRPr="000657C9">
              <w:t>0</w:t>
            </w:r>
          </w:p>
        </w:tc>
        <w:tc>
          <w:tcPr>
            <w:tcW w:w="1354" w:type="dxa"/>
          </w:tcPr>
          <w:p w:rsidR="00A55F63" w:rsidRPr="000657C9" w:rsidRDefault="00A55F63" w:rsidP="0054042E">
            <w:pPr>
              <w:pStyle w:val="naisf"/>
              <w:spacing w:before="0" w:after="0"/>
              <w:ind w:firstLine="0"/>
              <w:jc w:val="center"/>
            </w:pPr>
            <w:r w:rsidRPr="000657C9">
              <w:t>0</w:t>
            </w:r>
          </w:p>
        </w:tc>
        <w:tc>
          <w:tcPr>
            <w:tcW w:w="1354" w:type="dxa"/>
          </w:tcPr>
          <w:p w:rsidR="00A55F63" w:rsidRPr="000657C9" w:rsidRDefault="00A55F63" w:rsidP="0054042E">
            <w:pPr>
              <w:pStyle w:val="naisf"/>
              <w:spacing w:before="0" w:after="0"/>
              <w:ind w:firstLine="0"/>
              <w:jc w:val="center"/>
            </w:pPr>
            <w:r w:rsidRPr="000657C9">
              <w:t>0</w:t>
            </w:r>
          </w:p>
        </w:tc>
        <w:tc>
          <w:tcPr>
            <w:tcW w:w="1355" w:type="dxa"/>
          </w:tcPr>
          <w:p w:rsidR="00A55F63" w:rsidRPr="000657C9" w:rsidRDefault="00A55F63" w:rsidP="0054042E">
            <w:pPr>
              <w:pStyle w:val="naisf"/>
              <w:spacing w:before="0" w:after="0"/>
              <w:ind w:firstLine="0"/>
              <w:jc w:val="center"/>
            </w:pPr>
            <w:r w:rsidRPr="000657C9">
              <w:t>0</w:t>
            </w:r>
          </w:p>
        </w:tc>
        <w:tc>
          <w:tcPr>
            <w:tcW w:w="1748" w:type="dxa"/>
          </w:tcPr>
          <w:p w:rsidR="00A55F63" w:rsidRPr="000657C9" w:rsidRDefault="00A55F63" w:rsidP="0054042E">
            <w:pPr>
              <w:pStyle w:val="naisf"/>
              <w:spacing w:before="0" w:after="0"/>
              <w:ind w:firstLine="0"/>
              <w:jc w:val="center"/>
            </w:pPr>
            <w:r w:rsidRPr="000657C9">
              <w:t>0</w:t>
            </w:r>
          </w:p>
        </w:tc>
      </w:tr>
      <w:tr w:rsidR="00A55F63" w:rsidRPr="000657C9" w:rsidTr="00BC4DEC">
        <w:trPr>
          <w:jc w:val="center"/>
        </w:trPr>
        <w:tc>
          <w:tcPr>
            <w:tcW w:w="2812" w:type="dxa"/>
          </w:tcPr>
          <w:p w:rsidR="00A55F63" w:rsidRPr="000657C9" w:rsidRDefault="00A55F63" w:rsidP="00766DC5">
            <w:pPr>
              <w:pStyle w:val="naisf"/>
              <w:spacing w:before="0" w:after="0"/>
              <w:ind w:firstLine="0"/>
              <w:rPr>
                <w:i/>
              </w:rPr>
            </w:pPr>
            <w:r w:rsidRPr="000657C9">
              <w:t>1.3. pašvaldību budžets</w:t>
            </w:r>
          </w:p>
        </w:tc>
        <w:tc>
          <w:tcPr>
            <w:tcW w:w="1330" w:type="dxa"/>
          </w:tcPr>
          <w:p w:rsidR="00A55F63" w:rsidRPr="000657C9" w:rsidRDefault="00A55F63" w:rsidP="0054042E">
            <w:pPr>
              <w:pStyle w:val="naisf"/>
              <w:spacing w:before="0" w:after="0"/>
              <w:ind w:firstLine="0"/>
              <w:jc w:val="center"/>
            </w:pPr>
            <w:r w:rsidRPr="000657C9">
              <w:t>0</w:t>
            </w:r>
          </w:p>
        </w:tc>
        <w:tc>
          <w:tcPr>
            <w:tcW w:w="1354" w:type="dxa"/>
          </w:tcPr>
          <w:p w:rsidR="00A55F63" w:rsidRPr="000657C9" w:rsidRDefault="00A55F63" w:rsidP="0054042E">
            <w:pPr>
              <w:pStyle w:val="naisf"/>
              <w:spacing w:before="0" w:after="0"/>
              <w:ind w:firstLine="0"/>
              <w:jc w:val="center"/>
            </w:pPr>
            <w:r w:rsidRPr="000657C9">
              <w:t>0</w:t>
            </w:r>
          </w:p>
        </w:tc>
        <w:tc>
          <w:tcPr>
            <w:tcW w:w="1354" w:type="dxa"/>
          </w:tcPr>
          <w:p w:rsidR="00A55F63" w:rsidRPr="000657C9" w:rsidRDefault="00A55F63" w:rsidP="0054042E">
            <w:pPr>
              <w:pStyle w:val="naisf"/>
              <w:spacing w:before="0" w:after="0"/>
              <w:ind w:firstLine="0"/>
              <w:jc w:val="center"/>
            </w:pPr>
            <w:r w:rsidRPr="000657C9">
              <w:t>0</w:t>
            </w:r>
          </w:p>
        </w:tc>
        <w:tc>
          <w:tcPr>
            <w:tcW w:w="1355" w:type="dxa"/>
          </w:tcPr>
          <w:p w:rsidR="00A55F63" w:rsidRPr="000657C9" w:rsidRDefault="00A55F63" w:rsidP="0054042E">
            <w:pPr>
              <w:pStyle w:val="naisf"/>
              <w:spacing w:before="0" w:after="0"/>
              <w:ind w:firstLine="0"/>
              <w:jc w:val="center"/>
            </w:pPr>
            <w:r w:rsidRPr="000657C9">
              <w:t>0</w:t>
            </w:r>
          </w:p>
        </w:tc>
        <w:tc>
          <w:tcPr>
            <w:tcW w:w="1748" w:type="dxa"/>
          </w:tcPr>
          <w:p w:rsidR="00A55F63" w:rsidRPr="000657C9" w:rsidRDefault="00A55F63" w:rsidP="0054042E">
            <w:pPr>
              <w:pStyle w:val="naisf"/>
              <w:spacing w:before="0" w:after="0"/>
              <w:ind w:firstLine="0"/>
              <w:jc w:val="center"/>
            </w:pPr>
            <w:r w:rsidRPr="000657C9">
              <w:t>0</w:t>
            </w:r>
          </w:p>
        </w:tc>
      </w:tr>
      <w:tr w:rsidR="00A55F63" w:rsidRPr="000657C9" w:rsidTr="00BC4DEC">
        <w:trPr>
          <w:jc w:val="center"/>
        </w:trPr>
        <w:tc>
          <w:tcPr>
            <w:tcW w:w="2812" w:type="dxa"/>
          </w:tcPr>
          <w:p w:rsidR="00A55F63" w:rsidRPr="000657C9" w:rsidRDefault="00A55F63" w:rsidP="00766DC5">
            <w:pPr>
              <w:spacing w:after="0" w:line="240" w:lineRule="auto"/>
              <w:jc w:val="both"/>
              <w:rPr>
                <w:rFonts w:ascii="Times New Roman" w:hAnsi="Times New Roman"/>
                <w:sz w:val="24"/>
                <w:szCs w:val="24"/>
                <w:lang w:val="lv-LV"/>
              </w:rPr>
            </w:pPr>
            <w:r w:rsidRPr="000657C9">
              <w:rPr>
                <w:rFonts w:ascii="Times New Roman" w:hAnsi="Times New Roman"/>
                <w:sz w:val="24"/>
                <w:szCs w:val="24"/>
                <w:lang w:val="lv-LV"/>
              </w:rPr>
              <w:t>2. Budžeta izdevumi:</w:t>
            </w:r>
          </w:p>
        </w:tc>
        <w:tc>
          <w:tcPr>
            <w:tcW w:w="1330" w:type="dxa"/>
          </w:tcPr>
          <w:p w:rsidR="00A55F63" w:rsidRPr="000657C9" w:rsidRDefault="00A55F63" w:rsidP="0054042E">
            <w:pPr>
              <w:pStyle w:val="naisf"/>
              <w:spacing w:before="0" w:after="0"/>
              <w:ind w:firstLine="0"/>
              <w:jc w:val="center"/>
              <w:rPr>
                <w:b/>
              </w:rPr>
            </w:pPr>
            <w:r w:rsidRPr="000657C9">
              <w:rPr>
                <w:b/>
              </w:rPr>
              <w:t>0</w:t>
            </w:r>
          </w:p>
        </w:tc>
        <w:tc>
          <w:tcPr>
            <w:tcW w:w="1354" w:type="dxa"/>
          </w:tcPr>
          <w:p w:rsidR="00A55F63" w:rsidRPr="000657C9" w:rsidRDefault="00A55F63" w:rsidP="0054042E">
            <w:pPr>
              <w:pStyle w:val="naisf"/>
              <w:spacing w:before="0" w:after="0"/>
              <w:ind w:firstLine="0"/>
              <w:jc w:val="center"/>
              <w:rPr>
                <w:b/>
              </w:rPr>
            </w:pPr>
            <w:r w:rsidRPr="000657C9">
              <w:rPr>
                <w:b/>
              </w:rPr>
              <w:t>0</w:t>
            </w:r>
          </w:p>
        </w:tc>
        <w:tc>
          <w:tcPr>
            <w:tcW w:w="1354" w:type="dxa"/>
          </w:tcPr>
          <w:p w:rsidR="00A55F63" w:rsidRPr="000657C9" w:rsidRDefault="00A55F63" w:rsidP="0054042E">
            <w:pPr>
              <w:pStyle w:val="naisf"/>
              <w:spacing w:before="0" w:after="0"/>
              <w:ind w:firstLine="0"/>
              <w:jc w:val="center"/>
              <w:rPr>
                <w:b/>
              </w:rPr>
            </w:pPr>
            <w:r w:rsidRPr="000657C9">
              <w:rPr>
                <w:b/>
              </w:rPr>
              <w:t>0</w:t>
            </w:r>
          </w:p>
        </w:tc>
        <w:tc>
          <w:tcPr>
            <w:tcW w:w="1355" w:type="dxa"/>
          </w:tcPr>
          <w:p w:rsidR="00A55F63" w:rsidRPr="000657C9" w:rsidRDefault="00A55F63" w:rsidP="0054042E">
            <w:pPr>
              <w:pStyle w:val="naisf"/>
              <w:spacing w:before="0" w:after="0"/>
              <w:ind w:firstLine="0"/>
              <w:jc w:val="center"/>
              <w:rPr>
                <w:b/>
              </w:rPr>
            </w:pPr>
            <w:r w:rsidRPr="000657C9">
              <w:rPr>
                <w:b/>
              </w:rPr>
              <w:t>0</w:t>
            </w:r>
          </w:p>
        </w:tc>
        <w:tc>
          <w:tcPr>
            <w:tcW w:w="1748" w:type="dxa"/>
          </w:tcPr>
          <w:p w:rsidR="00A55F63" w:rsidRPr="000657C9" w:rsidRDefault="00A55F63" w:rsidP="0054042E">
            <w:pPr>
              <w:pStyle w:val="naisf"/>
              <w:spacing w:before="0" w:after="0"/>
              <w:ind w:firstLine="0"/>
              <w:jc w:val="center"/>
              <w:rPr>
                <w:b/>
              </w:rPr>
            </w:pPr>
            <w:r w:rsidRPr="000657C9">
              <w:rPr>
                <w:b/>
              </w:rPr>
              <w:t>0</w:t>
            </w:r>
          </w:p>
        </w:tc>
      </w:tr>
      <w:tr w:rsidR="00A55F63" w:rsidRPr="000657C9" w:rsidTr="00BC4DEC">
        <w:trPr>
          <w:jc w:val="center"/>
        </w:trPr>
        <w:tc>
          <w:tcPr>
            <w:tcW w:w="2812" w:type="dxa"/>
          </w:tcPr>
          <w:p w:rsidR="00A55F63" w:rsidRPr="000657C9" w:rsidRDefault="00A55F63" w:rsidP="00766DC5">
            <w:pPr>
              <w:spacing w:after="0" w:line="240" w:lineRule="auto"/>
              <w:jc w:val="both"/>
              <w:rPr>
                <w:rFonts w:ascii="Times New Roman" w:hAnsi="Times New Roman"/>
                <w:sz w:val="24"/>
                <w:szCs w:val="24"/>
                <w:lang w:val="lv-LV"/>
              </w:rPr>
            </w:pPr>
            <w:r w:rsidRPr="000657C9">
              <w:rPr>
                <w:rFonts w:ascii="Times New Roman" w:hAnsi="Times New Roman"/>
                <w:sz w:val="24"/>
                <w:szCs w:val="24"/>
                <w:lang w:val="lv-LV"/>
              </w:rPr>
              <w:t>2.1. valsts pamatbudžets</w:t>
            </w:r>
          </w:p>
        </w:tc>
        <w:tc>
          <w:tcPr>
            <w:tcW w:w="1330" w:type="dxa"/>
          </w:tcPr>
          <w:p w:rsidR="00A55F63" w:rsidRPr="000657C9" w:rsidRDefault="00A55F63" w:rsidP="0054042E">
            <w:pPr>
              <w:pStyle w:val="naisf"/>
              <w:spacing w:before="0" w:after="0"/>
              <w:ind w:firstLine="0"/>
              <w:jc w:val="center"/>
            </w:pPr>
            <w:r w:rsidRPr="000657C9">
              <w:t>0</w:t>
            </w:r>
          </w:p>
        </w:tc>
        <w:tc>
          <w:tcPr>
            <w:tcW w:w="1354" w:type="dxa"/>
          </w:tcPr>
          <w:p w:rsidR="00A55F63" w:rsidRPr="000657C9" w:rsidRDefault="00A55F63" w:rsidP="0054042E">
            <w:pPr>
              <w:pStyle w:val="naisf"/>
              <w:spacing w:before="0" w:after="0"/>
              <w:ind w:firstLine="0"/>
              <w:jc w:val="center"/>
            </w:pPr>
            <w:r w:rsidRPr="000657C9">
              <w:t>0</w:t>
            </w:r>
          </w:p>
        </w:tc>
        <w:tc>
          <w:tcPr>
            <w:tcW w:w="1354" w:type="dxa"/>
          </w:tcPr>
          <w:p w:rsidR="00A55F63" w:rsidRPr="000657C9" w:rsidRDefault="00A55F63" w:rsidP="0054042E">
            <w:pPr>
              <w:pStyle w:val="naisf"/>
              <w:spacing w:before="0" w:after="0"/>
              <w:ind w:firstLine="0"/>
              <w:jc w:val="center"/>
            </w:pPr>
            <w:r w:rsidRPr="000657C9">
              <w:t>0</w:t>
            </w:r>
          </w:p>
        </w:tc>
        <w:tc>
          <w:tcPr>
            <w:tcW w:w="1355" w:type="dxa"/>
          </w:tcPr>
          <w:p w:rsidR="00A55F63" w:rsidRPr="000657C9" w:rsidRDefault="00A55F63" w:rsidP="0054042E">
            <w:pPr>
              <w:pStyle w:val="naisf"/>
              <w:spacing w:before="0" w:after="0"/>
              <w:ind w:firstLine="0"/>
              <w:jc w:val="center"/>
            </w:pPr>
            <w:r w:rsidRPr="000657C9">
              <w:t>0</w:t>
            </w:r>
          </w:p>
        </w:tc>
        <w:tc>
          <w:tcPr>
            <w:tcW w:w="1748" w:type="dxa"/>
          </w:tcPr>
          <w:p w:rsidR="00A55F63" w:rsidRPr="000657C9" w:rsidRDefault="00A55F63" w:rsidP="0054042E">
            <w:pPr>
              <w:pStyle w:val="naisf"/>
              <w:spacing w:before="0" w:after="0"/>
              <w:ind w:firstLine="0"/>
              <w:jc w:val="center"/>
            </w:pPr>
            <w:r w:rsidRPr="000657C9">
              <w:t>0</w:t>
            </w:r>
          </w:p>
        </w:tc>
      </w:tr>
      <w:tr w:rsidR="00A55F63" w:rsidRPr="000657C9" w:rsidTr="00BC4DEC">
        <w:trPr>
          <w:jc w:val="center"/>
        </w:trPr>
        <w:tc>
          <w:tcPr>
            <w:tcW w:w="2812" w:type="dxa"/>
          </w:tcPr>
          <w:p w:rsidR="00A55F63" w:rsidRPr="000657C9" w:rsidRDefault="00A55F63" w:rsidP="00766DC5">
            <w:pPr>
              <w:spacing w:after="0" w:line="240" w:lineRule="auto"/>
              <w:jc w:val="both"/>
              <w:rPr>
                <w:rFonts w:ascii="Times New Roman" w:hAnsi="Times New Roman"/>
                <w:sz w:val="24"/>
                <w:szCs w:val="24"/>
                <w:lang w:val="lv-LV"/>
              </w:rPr>
            </w:pPr>
            <w:r w:rsidRPr="000657C9">
              <w:rPr>
                <w:rFonts w:ascii="Times New Roman" w:hAnsi="Times New Roman"/>
                <w:sz w:val="24"/>
                <w:szCs w:val="24"/>
                <w:lang w:val="lv-LV"/>
              </w:rPr>
              <w:t>2.2. valsts speciālais budžets</w:t>
            </w:r>
          </w:p>
        </w:tc>
        <w:tc>
          <w:tcPr>
            <w:tcW w:w="1330" w:type="dxa"/>
          </w:tcPr>
          <w:p w:rsidR="00A55F63" w:rsidRPr="000657C9" w:rsidRDefault="00A55F63" w:rsidP="0054042E">
            <w:pPr>
              <w:pStyle w:val="naisf"/>
              <w:spacing w:before="0" w:after="0"/>
              <w:ind w:firstLine="0"/>
              <w:jc w:val="center"/>
            </w:pPr>
            <w:r w:rsidRPr="000657C9">
              <w:t>0</w:t>
            </w:r>
          </w:p>
        </w:tc>
        <w:tc>
          <w:tcPr>
            <w:tcW w:w="1354" w:type="dxa"/>
          </w:tcPr>
          <w:p w:rsidR="00A55F63" w:rsidRPr="000657C9" w:rsidRDefault="00A55F63" w:rsidP="0054042E">
            <w:pPr>
              <w:pStyle w:val="naisf"/>
              <w:spacing w:before="0" w:after="0"/>
              <w:ind w:firstLine="0"/>
              <w:jc w:val="center"/>
            </w:pPr>
            <w:r w:rsidRPr="000657C9">
              <w:t>0</w:t>
            </w:r>
          </w:p>
        </w:tc>
        <w:tc>
          <w:tcPr>
            <w:tcW w:w="1354" w:type="dxa"/>
          </w:tcPr>
          <w:p w:rsidR="00A55F63" w:rsidRPr="000657C9" w:rsidRDefault="00A55F63" w:rsidP="0054042E">
            <w:pPr>
              <w:pStyle w:val="naisf"/>
              <w:spacing w:before="0" w:after="0"/>
              <w:ind w:firstLine="0"/>
              <w:jc w:val="center"/>
            </w:pPr>
            <w:r w:rsidRPr="000657C9">
              <w:t>0</w:t>
            </w:r>
          </w:p>
        </w:tc>
        <w:tc>
          <w:tcPr>
            <w:tcW w:w="1355" w:type="dxa"/>
          </w:tcPr>
          <w:p w:rsidR="00A55F63" w:rsidRPr="000657C9" w:rsidRDefault="00A55F63" w:rsidP="0054042E">
            <w:pPr>
              <w:pStyle w:val="naisf"/>
              <w:spacing w:before="0" w:after="0"/>
              <w:ind w:firstLine="0"/>
              <w:jc w:val="center"/>
            </w:pPr>
            <w:r w:rsidRPr="000657C9">
              <w:t>0</w:t>
            </w:r>
          </w:p>
        </w:tc>
        <w:tc>
          <w:tcPr>
            <w:tcW w:w="1748" w:type="dxa"/>
          </w:tcPr>
          <w:p w:rsidR="00A55F63" w:rsidRPr="000657C9" w:rsidRDefault="00A55F63" w:rsidP="0054042E">
            <w:pPr>
              <w:pStyle w:val="naisf"/>
              <w:spacing w:before="0" w:after="0"/>
              <w:ind w:firstLine="0"/>
              <w:jc w:val="center"/>
            </w:pPr>
            <w:r w:rsidRPr="000657C9">
              <w:t>0</w:t>
            </w:r>
          </w:p>
        </w:tc>
      </w:tr>
      <w:tr w:rsidR="00A55F63" w:rsidRPr="000657C9" w:rsidTr="00BC4DEC">
        <w:trPr>
          <w:jc w:val="center"/>
        </w:trPr>
        <w:tc>
          <w:tcPr>
            <w:tcW w:w="2812" w:type="dxa"/>
          </w:tcPr>
          <w:p w:rsidR="00A55F63" w:rsidRPr="000657C9" w:rsidRDefault="00A55F63" w:rsidP="00766DC5">
            <w:pPr>
              <w:spacing w:after="0" w:line="240" w:lineRule="auto"/>
              <w:jc w:val="both"/>
              <w:rPr>
                <w:rFonts w:ascii="Times New Roman" w:hAnsi="Times New Roman"/>
                <w:sz w:val="24"/>
                <w:szCs w:val="24"/>
                <w:lang w:val="lv-LV"/>
              </w:rPr>
            </w:pPr>
            <w:r w:rsidRPr="000657C9">
              <w:rPr>
                <w:rFonts w:ascii="Times New Roman" w:hAnsi="Times New Roman"/>
                <w:sz w:val="24"/>
                <w:szCs w:val="24"/>
                <w:lang w:val="lv-LV"/>
              </w:rPr>
              <w:t xml:space="preserve">2.3. pašvaldību budžets </w:t>
            </w:r>
          </w:p>
        </w:tc>
        <w:tc>
          <w:tcPr>
            <w:tcW w:w="1330" w:type="dxa"/>
          </w:tcPr>
          <w:p w:rsidR="00A55F63" w:rsidRPr="000657C9" w:rsidRDefault="00A55F63" w:rsidP="0054042E">
            <w:pPr>
              <w:pStyle w:val="naisf"/>
              <w:spacing w:before="0" w:after="0"/>
              <w:ind w:firstLine="0"/>
              <w:jc w:val="center"/>
            </w:pPr>
            <w:r w:rsidRPr="000657C9">
              <w:t>0</w:t>
            </w:r>
          </w:p>
        </w:tc>
        <w:tc>
          <w:tcPr>
            <w:tcW w:w="1354" w:type="dxa"/>
          </w:tcPr>
          <w:p w:rsidR="00A55F63" w:rsidRPr="000657C9" w:rsidRDefault="00A55F63" w:rsidP="0054042E">
            <w:pPr>
              <w:pStyle w:val="naisf"/>
              <w:spacing w:before="0" w:after="0"/>
              <w:ind w:firstLine="0"/>
              <w:jc w:val="center"/>
            </w:pPr>
            <w:r w:rsidRPr="000657C9">
              <w:t>0</w:t>
            </w:r>
          </w:p>
        </w:tc>
        <w:tc>
          <w:tcPr>
            <w:tcW w:w="1354" w:type="dxa"/>
          </w:tcPr>
          <w:p w:rsidR="00A55F63" w:rsidRPr="000657C9" w:rsidRDefault="00A55F63" w:rsidP="0054042E">
            <w:pPr>
              <w:pStyle w:val="naisf"/>
              <w:spacing w:before="0" w:after="0"/>
              <w:ind w:firstLine="0"/>
              <w:jc w:val="center"/>
            </w:pPr>
            <w:r w:rsidRPr="000657C9">
              <w:t>0</w:t>
            </w:r>
          </w:p>
        </w:tc>
        <w:tc>
          <w:tcPr>
            <w:tcW w:w="1355" w:type="dxa"/>
          </w:tcPr>
          <w:p w:rsidR="00A55F63" w:rsidRPr="000657C9" w:rsidRDefault="00A55F63" w:rsidP="0054042E">
            <w:pPr>
              <w:pStyle w:val="naisf"/>
              <w:spacing w:before="0" w:after="0"/>
              <w:ind w:firstLine="0"/>
              <w:jc w:val="center"/>
            </w:pPr>
            <w:r w:rsidRPr="000657C9">
              <w:t>0</w:t>
            </w:r>
          </w:p>
        </w:tc>
        <w:tc>
          <w:tcPr>
            <w:tcW w:w="1748" w:type="dxa"/>
          </w:tcPr>
          <w:p w:rsidR="00A55F63" w:rsidRPr="000657C9" w:rsidRDefault="00A55F63" w:rsidP="0054042E">
            <w:pPr>
              <w:pStyle w:val="naisf"/>
              <w:spacing w:before="0" w:after="0"/>
              <w:ind w:firstLine="0"/>
              <w:jc w:val="center"/>
            </w:pPr>
            <w:r w:rsidRPr="000657C9">
              <w:t>0</w:t>
            </w:r>
          </w:p>
        </w:tc>
      </w:tr>
      <w:tr w:rsidR="00A55F63" w:rsidRPr="000657C9" w:rsidTr="00BC4DEC">
        <w:trPr>
          <w:jc w:val="center"/>
        </w:trPr>
        <w:tc>
          <w:tcPr>
            <w:tcW w:w="2812" w:type="dxa"/>
          </w:tcPr>
          <w:p w:rsidR="00A55F63" w:rsidRPr="000657C9" w:rsidRDefault="00A55F63" w:rsidP="00766DC5">
            <w:pPr>
              <w:spacing w:after="0" w:line="240" w:lineRule="auto"/>
              <w:jc w:val="both"/>
              <w:rPr>
                <w:rFonts w:ascii="Times New Roman" w:hAnsi="Times New Roman"/>
                <w:sz w:val="24"/>
                <w:szCs w:val="24"/>
                <w:lang w:val="lv-LV"/>
              </w:rPr>
            </w:pPr>
            <w:r w:rsidRPr="000657C9">
              <w:rPr>
                <w:rFonts w:ascii="Times New Roman" w:hAnsi="Times New Roman"/>
                <w:sz w:val="24"/>
                <w:szCs w:val="24"/>
                <w:lang w:val="lv-LV"/>
              </w:rPr>
              <w:t>3. Finansiālā ietekme:</w:t>
            </w:r>
          </w:p>
        </w:tc>
        <w:tc>
          <w:tcPr>
            <w:tcW w:w="1330" w:type="dxa"/>
          </w:tcPr>
          <w:p w:rsidR="00A55F63" w:rsidRPr="000657C9" w:rsidRDefault="00A55F63" w:rsidP="0054042E">
            <w:pPr>
              <w:pStyle w:val="naisf"/>
              <w:spacing w:before="0" w:after="0"/>
              <w:ind w:firstLine="0"/>
              <w:jc w:val="center"/>
              <w:rPr>
                <w:b/>
              </w:rPr>
            </w:pPr>
            <w:r w:rsidRPr="000657C9">
              <w:rPr>
                <w:b/>
              </w:rPr>
              <w:t>0</w:t>
            </w:r>
          </w:p>
        </w:tc>
        <w:tc>
          <w:tcPr>
            <w:tcW w:w="1354" w:type="dxa"/>
          </w:tcPr>
          <w:p w:rsidR="00A55F63" w:rsidRPr="000657C9" w:rsidRDefault="00A55F63" w:rsidP="0054042E">
            <w:pPr>
              <w:pStyle w:val="naisf"/>
              <w:spacing w:before="0" w:after="0"/>
              <w:ind w:firstLine="0"/>
              <w:jc w:val="center"/>
              <w:rPr>
                <w:b/>
              </w:rPr>
            </w:pPr>
            <w:r w:rsidRPr="000657C9">
              <w:rPr>
                <w:b/>
              </w:rPr>
              <w:t>0</w:t>
            </w:r>
          </w:p>
        </w:tc>
        <w:tc>
          <w:tcPr>
            <w:tcW w:w="1354" w:type="dxa"/>
          </w:tcPr>
          <w:p w:rsidR="00A55F63" w:rsidRPr="000657C9" w:rsidRDefault="00A55F63" w:rsidP="0054042E">
            <w:pPr>
              <w:pStyle w:val="naisf"/>
              <w:spacing w:before="0" w:after="0"/>
              <w:ind w:firstLine="0"/>
              <w:jc w:val="center"/>
              <w:rPr>
                <w:b/>
              </w:rPr>
            </w:pPr>
            <w:r w:rsidRPr="000657C9">
              <w:rPr>
                <w:b/>
              </w:rPr>
              <w:t>0</w:t>
            </w:r>
          </w:p>
        </w:tc>
        <w:tc>
          <w:tcPr>
            <w:tcW w:w="1355" w:type="dxa"/>
          </w:tcPr>
          <w:p w:rsidR="00A55F63" w:rsidRPr="000657C9" w:rsidRDefault="00A55F63" w:rsidP="0054042E">
            <w:pPr>
              <w:pStyle w:val="naisf"/>
              <w:spacing w:before="0" w:after="0"/>
              <w:ind w:firstLine="0"/>
              <w:jc w:val="center"/>
              <w:rPr>
                <w:b/>
              </w:rPr>
            </w:pPr>
            <w:r w:rsidRPr="000657C9">
              <w:rPr>
                <w:b/>
              </w:rPr>
              <w:t>0</w:t>
            </w:r>
          </w:p>
        </w:tc>
        <w:tc>
          <w:tcPr>
            <w:tcW w:w="1748" w:type="dxa"/>
          </w:tcPr>
          <w:p w:rsidR="00A55F63" w:rsidRPr="000657C9" w:rsidRDefault="00A55F63" w:rsidP="0054042E">
            <w:pPr>
              <w:pStyle w:val="naisf"/>
              <w:spacing w:before="0" w:after="0"/>
              <w:ind w:firstLine="0"/>
              <w:jc w:val="center"/>
              <w:rPr>
                <w:b/>
              </w:rPr>
            </w:pPr>
            <w:r w:rsidRPr="000657C9">
              <w:rPr>
                <w:b/>
              </w:rPr>
              <w:t>0</w:t>
            </w:r>
          </w:p>
        </w:tc>
      </w:tr>
      <w:tr w:rsidR="00A55F63" w:rsidRPr="000657C9" w:rsidTr="00BC4DEC">
        <w:trPr>
          <w:jc w:val="center"/>
        </w:trPr>
        <w:tc>
          <w:tcPr>
            <w:tcW w:w="2812" w:type="dxa"/>
          </w:tcPr>
          <w:p w:rsidR="00A55F63" w:rsidRPr="000657C9" w:rsidRDefault="00A55F63" w:rsidP="00766DC5">
            <w:pPr>
              <w:spacing w:after="0" w:line="240" w:lineRule="auto"/>
              <w:jc w:val="both"/>
              <w:rPr>
                <w:rFonts w:ascii="Times New Roman" w:hAnsi="Times New Roman"/>
                <w:sz w:val="24"/>
                <w:szCs w:val="24"/>
                <w:lang w:val="lv-LV"/>
              </w:rPr>
            </w:pPr>
            <w:r w:rsidRPr="000657C9">
              <w:rPr>
                <w:rFonts w:ascii="Times New Roman" w:hAnsi="Times New Roman"/>
                <w:sz w:val="24"/>
                <w:szCs w:val="24"/>
                <w:lang w:val="lv-LV"/>
              </w:rPr>
              <w:t>3.1. valsts pamatbudžets</w:t>
            </w:r>
          </w:p>
        </w:tc>
        <w:tc>
          <w:tcPr>
            <w:tcW w:w="1330" w:type="dxa"/>
          </w:tcPr>
          <w:p w:rsidR="00A55F63" w:rsidRPr="000657C9" w:rsidRDefault="00A55F63" w:rsidP="0054042E">
            <w:pPr>
              <w:pStyle w:val="naisf"/>
              <w:spacing w:before="0" w:after="0"/>
              <w:ind w:firstLine="0"/>
              <w:jc w:val="center"/>
            </w:pPr>
            <w:r w:rsidRPr="000657C9">
              <w:t>0</w:t>
            </w:r>
          </w:p>
        </w:tc>
        <w:tc>
          <w:tcPr>
            <w:tcW w:w="1354" w:type="dxa"/>
          </w:tcPr>
          <w:p w:rsidR="00A55F63" w:rsidRPr="000657C9" w:rsidRDefault="00A55F63" w:rsidP="0054042E">
            <w:pPr>
              <w:pStyle w:val="naisf"/>
              <w:spacing w:before="0" w:after="0"/>
              <w:ind w:firstLine="0"/>
              <w:jc w:val="center"/>
            </w:pPr>
            <w:r w:rsidRPr="000657C9">
              <w:t>0</w:t>
            </w:r>
          </w:p>
        </w:tc>
        <w:tc>
          <w:tcPr>
            <w:tcW w:w="1354" w:type="dxa"/>
          </w:tcPr>
          <w:p w:rsidR="00A55F63" w:rsidRPr="000657C9" w:rsidRDefault="00A55F63" w:rsidP="0054042E">
            <w:pPr>
              <w:pStyle w:val="naisf"/>
              <w:spacing w:before="0" w:after="0"/>
              <w:ind w:firstLine="0"/>
              <w:jc w:val="center"/>
            </w:pPr>
            <w:r w:rsidRPr="000657C9">
              <w:t>0</w:t>
            </w:r>
          </w:p>
        </w:tc>
        <w:tc>
          <w:tcPr>
            <w:tcW w:w="1355" w:type="dxa"/>
          </w:tcPr>
          <w:p w:rsidR="00A55F63" w:rsidRPr="000657C9" w:rsidRDefault="00A55F63" w:rsidP="0054042E">
            <w:pPr>
              <w:pStyle w:val="naisf"/>
              <w:spacing w:before="0" w:after="0"/>
              <w:ind w:firstLine="0"/>
              <w:jc w:val="center"/>
            </w:pPr>
            <w:r w:rsidRPr="000657C9">
              <w:t>0</w:t>
            </w:r>
          </w:p>
        </w:tc>
        <w:tc>
          <w:tcPr>
            <w:tcW w:w="1748" w:type="dxa"/>
          </w:tcPr>
          <w:p w:rsidR="00A55F63" w:rsidRPr="000657C9" w:rsidRDefault="00A55F63" w:rsidP="0054042E">
            <w:pPr>
              <w:pStyle w:val="naisf"/>
              <w:spacing w:before="0" w:after="0"/>
              <w:ind w:firstLine="0"/>
              <w:jc w:val="center"/>
            </w:pPr>
            <w:r w:rsidRPr="000657C9">
              <w:t>0</w:t>
            </w:r>
          </w:p>
        </w:tc>
      </w:tr>
      <w:tr w:rsidR="00A55F63" w:rsidRPr="000657C9" w:rsidTr="00BC4DEC">
        <w:trPr>
          <w:jc w:val="center"/>
        </w:trPr>
        <w:tc>
          <w:tcPr>
            <w:tcW w:w="2812" w:type="dxa"/>
          </w:tcPr>
          <w:p w:rsidR="00A55F63" w:rsidRPr="000657C9" w:rsidRDefault="00A55F63" w:rsidP="00766DC5">
            <w:pPr>
              <w:spacing w:after="0" w:line="240" w:lineRule="auto"/>
              <w:jc w:val="both"/>
              <w:rPr>
                <w:rFonts w:ascii="Times New Roman" w:hAnsi="Times New Roman"/>
                <w:sz w:val="24"/>
                <w:szCs w:val="24"/>
                <w:lang w:val="lv-LV"/>
              </w:rPr>
            </w:pPr>
            <w:r w:rsidRPr="000657C9">
              <w:rPr>
                <w:rFonts w:ascii="Times New Roman" w:hAnsi="Times New Roman"/>
                <w:sz w:val="24"/>
                <w:szCs w:val="24"/>
                <w:lang w:val="lv-LV"/>
              </w:rPr>
              <w:t>3.2. speciālais budžets</w:t>
            </w:r>
          </w:p>
        </w:tc>
        <w:tc>
          <w:tcPr>
            <w:tcW w:w="1330" w:type="dxa"/>
          </w:tcPr>
          <w:p w:rsidR="00A55F63" w:rsidRPr="000657C9" w:rsidRDefault="00A55F63" w:rsidP="0054042E">
            <w:pPr>
              <w:pStyle w:val="naisf"/>
              <w:spacing w:before="0" w:after="0"/>
              <w:ind w:firstLine="0"/>
              <w:jc w:val="center"/>
            </w:pPr>
            <w:r w:rsidRPr="000657C9">
              <w:t>0</w:t>
            </w:r>
          </w:p>
        </w:tc>
        <w:tc>
          <w:tcPr>
            <w:tcW w:w="1354" w:type="dxa"/>
          </w:tcPr>
          <w:p w:rsidR="00A55F63" w:rsidRPr="000657C9" w:rsidRDefault="00A55F63" w:rsidP="0054042E">
            <w:pPr>
              <w:pStyle w:val="naisf"/>
              <w:spacing w:before="0" w:after="0"/>
              <w:ind w:firstLine="0"/>
              <w:jc w:val="center"/>
            </w:pPr>
            <w:r w:rsidRPr="000657C9">
              <w:t>0</w:t>
            </w:r>
          </w:p>
        </w:tc>
        <w:tc>
          <w:tcPr>
            <w:tcW w:w="1354" w:type="dxa"/>
          </w:tcPr>
          <w:p w:rsidR="00A55F63" w:rsidRPr="000657C9" w:rsidRDefault="00A55F63" w:rsidP="0054042E">
            <w:pPr>
              <w:pStyle w:val="naisf"/>
              <w:spacing w:before="0" w:after="0"/>
              <w:ind w:firstLine="0"/>
              <w:jc w:val="center"/>
            </w:pPr>
            <w:r w:rsidRPr="000657C9">
              <w:t>0</w:t>
            </w:r>
          </w:p>
        </w:tc>
        <w:tc>
          <w:tcPr>
            <w:tcW w:w="1355" w:type="dxa"/>
          </w:tcPr>
          <w:p w:rsidR="00A55F63" w:rsidRPr="000657C9" w:rsidRDefault="00A55F63" w:rsidP="0054042E">
            <w:pPr>
              <w:pStyle w:val="naisf"/>
              <w:spacing w:before="0" w:after="0"/>
              <w:ind w:firstLine="0"/>
              <w:jc w:val="center"/>
            </w:pPr>
            <w:r w:rsidRPr="000657C9">
              <w:t>0</w:t>
            </w:r>
          </w:p>
        </w:tc>
        <w:tc>
          <w:tcPr>
            <w:tcW w:w="1748" w:type="dxa"/>
          </w:tcPr>
          <w:p w:rsidR="00A55F63" w:rsidRPr="000657C9" w:rsidRDefault="00A55F63" w:rsidP="0054042E">
            <w:pPr>
              <w:pStyle w:val="naisf"/>
              <w:spacing w:before="0" w:after="0"/>
              <w:ind w:firstLine="0"/>
              <w:jc w:val="center"/>
            </w:pPr>
            <w:r w:rsidRPr="000657C9">
              <w:t>0</w:t>
            </w:r>
          </w:p>
        </w:tc>
      </w:tr>
      <w:tr w:rsidR="00A55F63" w:rsidRPr="000657C9" w:rsidTr="00BC4DEC">
        <w:trPr>
          <w:jc w:val="center"/>
        </w:trPr>
        <w:tc>
          <w:tcPr>
            <w:tcW w:w="2812" w:type="dxa"/>
          </w:tcPr>
          <w:p w:rsidR="00A55F63" w:rsidRPr="000657C9" w:rsidRDefault="00A55F63" w:rsidP="00766DC5">
            <w:pPr>
              <w:spacing w:after="0" w:line="240" w:lineRule="auto"/>
              <w:jc w:val="both"/>
              <w:rPr>
                <w:rFonts w:ascii="Times New Roman" w:hAnsi="Times New Roman"/>
                <w:sz w:val="24"/>
                <w:szCs w:val="24"/>
                <w:lang w:val="lv-LV"/>
              </w:rPr>
            </w:pPr>
            <w:r w:rsidRPr="000657C9">
              <w:rPr>
                <w:rFonts w:ascii="Times New Roman" w:hAnsi="Times New Roman"/>
                <w:sz w:val="24"/>
                <w:szCs w:val="24"/>
                <w:lang w:val="lv-LV"/>
              </w:rPr>
              <w:t xml:space="preserve">3.3. pašvaldību budžets </w:t>
            </w:r>
          </w:p>
        </w:tc>
        <w:tc>
          <w:tcPr>
            <w:tcW w:w="1330" w:type="dxa"/>
          </w:tcPr>
          <w:p w:rsidR="00A55F63" w:rsidRPr="000657C9" w:rsidRDefault="00A55F63" w:rsidP="0054042E">
            <w:pPr>
              <w:pStyle w:val="naisf"/>
              <w:spacing w:before="0" w:after="0"/>
              <w:ind w:firstLine="0"/>
              <w:jc w:val="center"/>
            </w:pPr>
            <w:r w:rsidRPr="000657C9">
              <w:t>0</w:t>
            </w:r>
          </w:p>
        </w:tc>
        <w:tc>
          <w:tcPr>
            <w:tcW w:w="1354" w:type="dxa"/>
          </w:tcPr>
          <w:p w:rsidR="00A55F63" w:rsidRPr="000657C9" w:rsidRDefault="00A55F63" w:rsidP="0054042E">
            <w:pPr>
              <w:pStyle w:val="naisf"/>
              <w:spacing w:before="0" w:after="0"/>
              <w:ind w:firstLine="0"/>
              <w:jc w:val="center"/>
            </w:pPr>
            <w:r w:rsidRPr="000657C9">
              <w:t>0</w:t>
            </w:r>
          </w:p>
        </w:tc>
        <w:tc>
          <w:tcPr>
            <w:tcW w:w="1354" w:type="dxa"/>
          </w:tcPr>
          <w:p w:rsidR="00A55F63" w:rsidRPr="000657C9" w:rsidRDefault="00A55F63" w:rsidP="0054042E">
            <w:pPr>
              <w:pStyle w:val="naisf"/>
              <w:spacing w:before="0" w:after="0"/>
              <w:ind w:firstLine="0"/>
              <w:jc w:val="center"/>
            </w:pPr>
            <w:r w:rsidRPr="000657C9">
              <w:t>0</w:t>
            </w:r>
          </w:p>
        </w:tc>
        <w:tc>
          <w:tcPr>
            <w:tcW w:w="1355" w:type="dxa"/>
          </w:tcPr>
          <w:p w:rsidR="00A55F63" w:rsidRPr="000657C9" w:rsidRDefault="00A55F63" w:rsidP="0054042E">
            <w:pPr>
              <w:pStyle w:val="naisf"/>
              <w:spacing w:before="0" w:after="0"/>
              <w:ind w:firstLine="0"/>
              <w:jc w:val="center"/>
            </w:pPr>
            <w:r w:rsidRPr="000657C9">
              <w:t>0</w:t>
            </w:r>
          </w:p>
        </w:tc>
        <w:tc>
          <w:tcPr>
            <w:tcW w:w="1748" w:type="dxa"/>
          </w:tcPr>
          <w:p w:rsidR="00A55F63" w:rsidRPr="000657C9" w:rsidRDefault="00A55F63" w:rsidP="0054042E">
            <w:pPr>
              <w:pStyle w:val="naisf"/>
              <w:spacing w:before="0" w:after="0"/>
              <w:ind w:firstLine="0"/>
              <w:jc w:val="center"/>
            </w:pPr>
            <w:r w:rsidRPr="000657C9">
              <w:t>0</w:t>
            </w:r>
          </w:p>
        </w:tc>
      </w:tr>
      <w:tr w:rsidR="00A55F63" w:rsidRPr="000657C9" w:rsidTr="00BC4DEC">
        <w:trPr>
          <w:jc w:val="center"/>
        </w:trPr>
        <w:tc>
          <w:tcPr>
            <w:tcW w:w="2812" w:type="dxa"/>
            <w:vMerge w:val="restart"/>
          </w:tcPr>
          <w:p w:rsidR="00A55F63" w:rsidRPr="000657C9" w:rsidRDefault="00A55F63" w:rsidP="00766DC5">
            <w:pPr>
              <w:spacing w:after="0" w:line="240" w:lineRule="auto"/>
              <w:jc w:val="both"/>
              <w:rPr>
                <w:rFonts w:ascii="Times New Roman" w:hAnsi="Times New Roman"/>
                <w:sz w:val="24"/>
                <w:szCs w:val="24"/>
                <w:lang w:val="lv-LV"/>
              </w:rPr>
            </w:pPr>
            <w:r w:rsidRPr="000657C9">
              <w:rPr>
                <w:rFonts w:ascii="Times New Roman" w:hAnsi="Times New Roman"/>
                <w:sz w:val="24"/>
                <w:szCs w:val="24"/>
                <w:lang w:val="lv-LV"/>
              </w:rPr>
              <w:t>4. Finanšu līdzekļi papildu izde</w:t>
            </w:r>
            <w:r w:rsidRPr="000657C9">
              <w:rPr>
                <w:rFonts w:ascii="Times New Roman" w:hAnsi="Times New Roman"/>
                <w:sz w:val="24"/>
                <w:szCs w:val="24"/>
                <w:lang w:val="lv-LV"/>
              </w:rPr>
              <w:softHyphen/>
              <w:t>vumu finansēšanai (kompensējošu izdevumu samazinājumu norāda ar "+" zīmi)</w:t>
            </w:r>
          </w:p>
        </w:tc>
        <w:tc>
          <w:tcPr>
            <w:tcW w:w="1330" w:type="dxa"/>
            <w:vMerge w:val="restart"/>
          </w:tcPr>
          <w:p w:rsidR="00A55F63" w:rsidRPr="000657C9" w:rsidRDefault="00A55F63" w:rsidP="00766DC5">
            <w:pPr>
              <w:pStyle w:val="naisf"/>
              <w:spacing w:before="0" w:after="0"/>
              <w:ind w:firstLine="0"/>
              <w:jc w:val="center"/>
            </w:pPr>
            <w:r w:rsidRPr="000657C9">
              <w:t>X</w:t>
            </w:r>
          </w:p>
        </w:tc>
        <w:tc>
          <w:tcPr>
            <w:tcW w:w="1354" w:type="dxa"/>
          </w:tcPr>
          <w:p w:rsidR="00A55F63" w:rsidRPr="000657C9" w:rsidRDefault="00A55F63" w:rsidP="0054042E">
            <w:pPr>
              <w:pStyle w:val="naisf"/>
              <w:spacing w:before="0" w:after="0"/>
              <w:ind w:firstLine="0"/>
              <w:jc w:val="center"/>
              <w:rPr>
                <w:b/>
              </w:rPr>
            </w:pPr>
            <w:r w:rsidRPr="000657C9">
              <w:rPr>
                <w:b/>
              </w:rPr>
              <w:t>0</w:t>
            </w:r>
          </w:p>
        </w:tc>
        <w:tc>
          <w:tcPr>
            <w:tcW w:w="1354" w:type="dxa"/>
          </w:tcPr>
          <w:p w:rsidR="00A55F63" w:rsidRPr="000657C9" w:rsidRDefault="00A55F63" w:rsidP="0054042E">
            <w:pPr>
              <w:pStyle w:val="naisf"/>
              <w:spacing w:before="0" w:after="0"/>
              <w:ind w:firstLine="0"/>
              <w:jc w:val="center"/>
              <w:rPr>
                <w:b/>
              </w:rPr>
            </w:pPr>
            <w:r w:rsidRPr="000657C9">
              <w:rPr>
                <w:b/>
              </w:rPr>
              <w:t>0</w:t>
            </w:r>
          </w:p>
        </w:tc>
        <w:tc>
          <w:tcPr>
            <w:tcW w:w="1355" w:type="dxa"/>
          </w:tcPr>
          <w:p w:rsidR="00A55F63" w:rsidRPr="000657C9" w:rsidRDefault="00A55F63" w:rsidP="0054042E">
            <w:pPr>
              <w:pStyle w:val="naisf"/>
              <w:spacing w:before="0" w:after="0"/>
              <w:ind w:firstLine="0"/>
              <w:jc w:val="center"/>
              <w:rPr>
                <w:b/>
              </w:rPr>
            </w:pPr>
            <w:r w:rsidRPr="000657C9">
              <w:rPr>
                <w:b/>
              </w:rPr>
              <w:t>0</w:t>
            </w:r>
          </w:p>
        </w:tc>
        <w:tc>
          <w:tcPr>
            <w:tcW w:w="1748" w:type="dxa"/>
          </w:tcPr>
          <w:p w:rsidR="00A55F63" w:rsidRPr="000657C9" w:rsidRDefault="00A55F63" w:rsidP="0054042E">
            <w:pPr>
              <w:pStyle w:val="naisf"/>
              <w:spacing w:before="0" w:after="0"/>
              <w:ind w:firstLine="0"/>
              <w:jc w:val="center"/>
              <w:rPr>
                <w:b/>
              </w:rPr>
            </w:pPr>
            <w:r w:rsidRPr="000657C9">
              <w:rPr>
                <w:b/>
              </w:rPr>
              <w:t>0</w:t>
            </w:r>
          </w:p>
        </w:tc>
      </w:tr>
      <w:tr w:rsidR="00A55F63" w:rsidRPr="000657C9" w:rsidTr="00BC4DEC">
        <w:trPr>
          <w:jc w:val="center"/>
        </w:trPr>
        <w:tc>
          <w:tcPr>
            <w:tcW w:w="2812" w:type="dxa"/>
            <w:vMerge/>
          </w:tcPr>
          <w:p w:rsidR="00A55F63" w:rsidRPr="000657C9" w:rsidRDefault="00A55F63" w:rsidP="00766DC5">
            <w:pPr>
              <w:spacing w:after="0" w:line="240" w:lineRule="auto"/>
              <w:jc w:val="both"/>
              <w:rPr>
                <w:rFonts w:ascii="Times New Roman" w:hAnsi="Times New Roman"/>
                <w:sz w:val="24"/>
                <w:szCs w:val="24"/>
                <w:lang w:val="lv-LV"/>
              </w:rPr>
            </w:pPr>
          </w:p>
        </w:tc>
        <w:tc>
          <w:tcPr>
            <w:tcW w:w="1330" w:type="dxa"/>
            <w:vMerge/>
          </w:tcPr>
          <w:p w:rsidR="00A55F63" w:rsidRPr="000657C9" w:rsidRDefault="00A55F63" w:rsidP="00766DC5">
            <w:pPr>
              <w:pStyle w:val="naisf"/>
              <w:spacing w:before="0" w:after="0"/>
              <w:ind w:firstLine="0"/>
              <w:jc w:val="center"/>
            </w:pPr>
          </w:p>
        </w:tc>
        <w:tc>
          <w:tcPr>
            <w:tcW w:w="1354" w:type="dxa"/>
          </w:tcPr>
          <w:p w:rsidR="00A55F63" w:rsidRPr="000657C9" w:rsidRDefault="00A55F63" w:rsidP="0054042E">
            <w:pPr>
              <w:pStyle w:val="naisf"/>
              <w:spacing w:before="0" w:after="0"/>
              <w:ind w:firstLine="0"/>
              <w:jc w:val="center"/>
            </w:pPr>
            <w:r w:rsidRPr="000657C9">
              <w:t>0</w:t>
            </w:r>
          </w:p>
        </w:tc>
        <w:tc>
          <w:tcPr>
            <w:tcW w:w="1354" w:type="dxa"/>
          </w:tcPr>
          <w:p w:rsidR="00A55F63" w:rsidRPr="000657C9" w:rsidRDefault="00A55F63" w:rsidP="0054042E">
            <w:pPr>
              <w:pStyle w:val="naisf"/>
              <w:spacing w:before="0" w:after="0"/>
              <w:ind w:firstLine="0"/>
              <w:jc w:val="center"/>
            </w:pPr>
            <w:r w:rsidRPr="000657C9">
              <w:t>0</w:t>
            </w:r>
          </w:p>
        </w:tc>
        <w:tc>
          <w:tcPr>
            <w:tcW w:w="1355" w:type="dxa"/>
          </w:tcPr>
          <w:p w:rsidR="00A55F63" w:rsidRPr="000657C9" w:rsidRDefault="00A55F63" w:rsidP="0054042E">
            <w:pPr>
              <w:pStyle w:val="naisf"/>
              <w:spacing w:before="0" w:after="0"/>
              <w:ind w:firstLine="0"/>
              <w:jc w:val="center"/>
            </w:pPr>
            <w:r w:rsidRPr="000657C9">
              <w:t>0</w:t>
            </w:r>
          </w:p>
        </w:tc>
        <w:tc>
          <w:tcPr>
            <w:tcW w:w="1748" w:type="dxa"/>
          </w:tcPr>
          <w:p w:rsidR="00A55F63" w:rsidRPr="000657C9" w:rsidRDefault="00A55F63" w:rsidP="0054042E">
            <w:pPr>
              <w:pStyle w:val="naisf"/>
              <w:spacing w:before="0" w:after="0"/>
              <w:ind w:firstLine="0"/>
              <w:jc w:val="center"/>
            </w:pPr>
            <w:r w:rsidRPr="000657C9">
              <w:t>0</w:t>
            </w:r>
          </w:p>
        </w:tc>
      </w:tr>
      <w:tr w:rsidR="00A55F63" w:rsidRPr="000657C9" w:rsidTr="00BC4DEC">
        <w:trPr>
          <w:jc w:val="center"/>
        </w:trPr>
        <w:tc>
          <w:tcPr>
            <w:tcW w:w="2812" w:type="dxa"/>
            <w:vMerge/>
          </w:tcPr>
          <w:p w:rsidR="00A55F63" w:rsidRPr="000657C9" w:rsidRDefault="00A55F63" w:rsidP="00766DC5">
            <w:pPr>
              <w:spacing w:after="0" w:line="240" w:lineRule="auto"/>
              <w:jc w:val="both"/>
              <w:rPr>
                <w:rFonts w:ascii="Times New Roman" w:hAnsi="Times New Roman"/>
                <w:sz w:val="24"/>
                <w:szCs w:val="24"/>
                <w:lang w:val="lv-LV"/>
              </w:rPr>
            </w:pPr>
          </w:p>
        </w:tc>
        <w:tc>
          <w:tcPr>
            <w:tcW w:w="1330" w:type="dxa"/>
            <w:vMerge/>
          </w:tcPr>
          <w:p w:rsidR="00A55F63" w:rsidRPr="000657C9" w:rsidRDefault="00A55F63" w:rsidP="00766DC5">
            <w:pPr>
              <w:pStyle w:val="naisf"/>
              <w:spacing w:before="0" w:after="0"/>
              <w:ind w:firstLine="0"/>
              <w:jc w:val="center"/>
            </w:pPr>
          </w:p>
        </w:tc>
        <w:tc>
          <w:tcPr>
            <w:tcW w:w="1354" w:type="dxa"/>
          </w:tcPr>
          <w:p w:rsidR="00A55F63" w:rsidRPr="000657C9" w:rsidRDefault="00A55F63" w:rsidP="0054042E">
            <w:pPr>
              <w:pStyle w:val="naisf"/>
              <w:spacing w:before="0" w:after="0"/>
              <w:ind w:firstLine="0"/>
              <w:jc w:val="center"/>
            </w:pPr>
            <w:r w:rsidRPr="000657C9">
              <w:t>0</w:t>
            </w:r>
          </w:p>
        </w:tc>
        <w:tc>
          <w:tcPr>
            <w:tcW w:w="1354" w:type="dxa"/>
          </w:tcPr>
          <w:p w:rsidR="00A55F63" w:rsidRPr="000657C9" w:rsidRDefault="00A55F63" w:rsidP="0054042E">
            <w:pPr>
              <w:pStyle w:val="naisf"/>
              <w:spacing w:before="0" w:after="0"/>
              <w:ind w:firstLine="0"/>
              <w:jc w:val="center"/>
            </w:pPr>
            <w:r w:rsidRPr="000657C9">
              <w:t>0</w:t>
            </w:r>
          </w:p>
        </w:tc>
        <w:tc>
          <w:tcPr>
            <w:tcW w:w="1355" w:type="dxa"/>
          </w:tcPr>
          <w:p w:rsidR="00A55F63" w:rsidRPr="000657C9" w:rsidRDefault="00A55F63" w:rsidP="0054042E">
            <w:pPr>
              <w:pStyle w:val="naisf"/>
              <w:spacing w:before="0" w:after="0"/>
              <w:ind w:firstLine="0"/>
              <w:jc w:val="center"/>
            </w:pPr>
            <w:r w:rsidRPr="000657C9">
              <w:t>0</w:t>
            </w:r>
          </w:p>
        </w:tc>
        <w:tc>
          <w:tcPr>
            <w:tcW w:w="1748" w:type="dxa"/>
          </w:tcPr>
          <w:p w:rsidR="00A55F63" w:rsidRPr="000657C9" w:rsidRDefault="00A55F63" w:rsidP="0054042E">
            <w:pPr>
              <w:pStyle w:val="naisf"/>
              <w:spacing w:before="0" w:after="0"/>
              <w:ind w:firstLine="0"/>
              <w:jc w:val="center"/>
            </w:pPr>
            <w:r w:rsidRPr="000657C9">
              <w:t>0</w:t>
            </w:r>
          </w:p>
        </w:tc>
      </w:tr>
      <w:tr w:rsidR="00A55F63" w:rsidRPr="000657C9" w:rsidTr="00BC4DEC">
        <w:trPr>
          <w:jc w:val="center"/>
        </w:trPr>
        <w:tc>
          <w:tcPr>
            <w:tcW w:w="2812" w:type="dxa"/>
          </w:tcPr>
          <w:p w:rsidR="00A55F63" w:rsidRPr="000657C9" w:rsidRDefault="00A55F63" w:rsidP="00766DC5">
            <w:pPr>
              <w:spacing w:after="0" w:line="240" w:lineRule="auto"/>
              <w:jc w:val="both"/>
              <w:rPr>
                <w:rFonts w:ascii="Times New Roman" w:hAnsi="Times New Roman"/>
                <w:sz w:val="24"/>
                <w:szCs w:val="24"/>
                <w:lang w:val="lv-LV"/>
              </w:rPr>
            </w:pPr>
            <w:r w:rsidRPr="000657C9">
              <w:rPr>
                <w:rFonts w:ascii="Times New Roman" w:hAnsi="Times New Roman"/>
                <w:sz w:val="24"/>
                <w:szCs w:val="24"/>
                <w:lang w:val="lv-LV"/>
              </w:rPr>
              <w:t xml:space="preserve">5. Precizēta finansiālā </w:t>
            </w:r>
            <w:r w:rsidRPr="000657C9">
              <w:rPr>
                <w:rFonts w:ascii="Times New Roman" w:hAnsi="Times New Roman"/>
                <w:sz w:val="24"/>
                <w:szCs w:val="24"/>
                <w:lang w:val="lv-LV"/>
              </w:rPr>
              <w:lastRenderedPageBreak/>
              <w:t>ietekme:</w:t>
            </w:r>
          </w:p>
        </w:tc>
        <w:tc>
          <w:tcPr>
            <w:tcW w:w="1330" w:type="dxa"/>
            <w:vMerge w:val="restart"/>
          </w:tcPr>
          <w:p w:rsidR="00A55F63" w:rsidRPr="000657C9" w:rsidRDefault="00A55F63" w:rsidP="00766DC5">
            <w:pPr>
              <w:pStyle w:val="naisf"/>
              <w:spacing w:before="0" w:after="0"/>
              <w:ind w:firstLine="0"/>
              <w:jc w:val="center"/>
            </w:pPr>
            <w:r w:rsidRPr="000657C9">
              <w:lastRenderedPageBreak/>
              <w:t>X</w:t>
            </w:r>
          </w:p>
        </w:tc>
        <w:tc>
          <w:tcPr>
            <w:tcW w:w="1354" w:type="dxa"/>
          </w:tcPr>
          <w:p w:rsidR="00A55F63" w:rsidRPr="000657C9" w:rsidRDefault="00A55F63" w:rsidP="0054042E">
            <w:pPr>
              <w:pStyle w:val="naisf"/>
              <w:spacing w:before="0" w:after="0"/>
              <w:ind w:firstLine="0"/>
              <w:jc w:val="center"/>
              <w:rPr>
                <w:b/>
              </w:rPr>
            </w:pPr>
            <w:r w:rsidRPr="000657C9">
              <w:rPr>
                <w:b/>
              </w:rPr>
              <w:t>0</w:t>
            </w:r>
          </w:p>
        </w:tc>
        <w:tc>
          <w:tcPr>
            <w:tcW w:w="1354" w:type="dxa"/>
          </w:tcPr>
          <w:p w:rsidR="00A55F63" w:rsidRPr="000657C9" w:rsidRDefault="00A55F63" w:rsidP="0054042E">
            <w:pPr>
              <w:pStyle w:val="naisf"/>
              <w:spacing w:before="0" w:after="0"/>
              <w:ind w:firstLine="0"/>
              <w:jc w:val="center"/>
              <w:rPr>
                <w:b/>
              </w:rPr>
            </w:pPr>
            <w:r w:rsidRPr="000657C9">
              <w:rPr>
                <w:b/>
              </w:rPr>
              <w:t>0</w:t>
            </w:r>
          </w:p>
        </w:tc>
        <w:tc>
          <w:tcPr>
            <w:tcW w:w="1355" w:type="dxa"/>
          </w:tcPr>
          <w:p w:rsidR="00A55F63" w:rsidRPr="000657C9" w:rsidRDefault="00A55F63" w:rsidP="0054042E">
            <w:pPr>
              <w:pStyle w:val="naisf"/>
              <w:spacing w:before="0" w:after="0"/>
              <w:ind w:firstLine="0"/>
              <w:jc w:val="center"/>
              <w:rPr>
                <w:b/>
              </w:rPr>
            </w:pPr>
            <w:r w:rsidRPr="000657C9">
              <w:rPr>
                <w:b/>
              </w:rPr>
              <w:t>0</w:t>
            </w:r>
          </w:p>
        </w:tc>
        <w:tc>
          <w:tcPr>
            <w:tcW w:w="1748" w:type="dxa"/>
          </w:tcPr>
          <w:p w:rsidR="00A55F63" w:rsidRPr="000657C9" w:rsidRDefault="00A55F63" w:rsidP="0054042E">
            <w:pPr>
              <w:pStyle w:val="naisf"/>
              <w:spacing w:before="0" w:after="0"/>
              <w:ind w:firstLine="0"/>
              <w:jc w:val="center"/>
              <w:rPr>
                <w:b/>
              </w:rPr>
            </w:pPr>
            <w:r w:rsidRPr="000657C9">
              <w:rPr>
                <w:b/>
              </w:rPr>
              <w:t>0</w:t>
            </w:r>
          </w:p>
        </w:tc>
      </w:tr>
      <w:tr w:rsidR="00A55F63" w:rsidRPr="000657C9" w:rsidTr="00BC4DEC">
        <w:trPr>
          <w:jc w:val="center"/>
        </w:trPr>
        <w:tc>
          <w:tcPr>
            <w:tcW w:w="2812" w:type="dxa"/>
          </w:tcPr>
          <w:p w:rsidR="00A55F63" w:rsidRPr="000657C9" w:rsidRDefault="00A55F63" w:rsidP="00766DC5">
            <w:pPr>
              <w:spacing w:after="0" w:line="240" w:lineRule="auto"/>
              <w:jc w:val="both"/>
              <w:rPr>
                <w:rFonts w:ascii="Times New Roman" w:hAnsi="Times New Roman"/>
                <w:sz w:val="24"/>
                <w:szCs w:val="24"/>
                <w:lang w:val="lv-LV"/>
              </w:rPr>
            </w:pPr>
            <w:r w:rsidRPr="000657C9">
              <w:rPr>
                <w:rFonts w:ascii="Times New Roman" w:hAnsi="Times New Roman"/>
                <w:sz w:val="24"/>
                <w:szCs w:val="24"/>
                <w:lang w:val="lv-LV"/>
              </w:rPr>
              <w:lastRenderedPageBreak/>
              <w:t>5.1. valsts pamatbudžets</w:t>
            </w:r>
          </w:p>
        </w:tc>
        <w:tc>
          <w:tcPr>
            <w:tcW w:w="1330" w:type="dxa"/>
            <w:vMerge/>
            <w:vAlign w:val="center"/>
          </w:tcPr>
          <w:p w:rsidR="00A55F63" w:rsidRPr="000657C9" w:rsidRDefault="00A55F63" w:rsidP="00766DC5">
            <w:pPr>
              <w:pStyle w:val="naisf"/>
              <w:spacing w:before="0" w:after="0"/>
              <w:ind w:firstLine="0"/>
              <w:jc w:val="center"/>
            </w:pPr>
          </w:p>
        </w:tc>
        <w:tc>
          <w:tcPr>
            <w:tcW w:w="1354" w:type="dxa"/>
          </w:tcPr>
          <w:p w:rsidR="00A55F63" w:rsidRPr="000657C9" w:rsidRDefault="00A55F63" w:rsidP="0054042E">
            <w:pPr>
              <w:pStyle w:val="naisf"/>
              <w:spacing w:before="0" w:after="0"/>
              <w:ind w:firstLine="0"/>
              <w:jc w:val="center"/>
            </w:pPr>
            <w:r w:rsidRPr="000657C9">
              <w:t>0</w:t>
            </w:r>
          </w:p>
        </w:tc>
        <w:tc>
          <w:tcPr>
            <w:tcW w:w="1354" w:type="dxa"/>
          </w:tcPr>
          <w:p w:rsidR="00A55F63" w:rsidRPr="000657C9" w:rsidRDefault="00A55F63" w:rsidP="0054042E">
            <w:pPr>
              <w:pStyle w:val="naisf"/>
              <w:spacing w:before="0" w:after="0"/>
              <w:ind w:firstLine="0"/>
              <w:jc w:val="center"/>
            </w:pPr>
            <w:r w:rsidRPr="000657C9">
              <w:t>0</w:t>
            </w:r>
          </w:p>
        </w:tc>
        <w:tc>
          <w:tcPr>
            <w:tcW w:w="1355" w:type="dxa"/>
          </w:tcPr>
          <w:p w:rsidR="00A55F63" w:rsidRPr="000657C9" w:rsidRDefault="00A55F63" w:rsidP="0054042E">
            <w:pPr>
              <w:pStyle w:val="naisf"/>
              <w:spacing w:before="0" w:after="0"/>
              <w:ind w:firstLine="0"/>
              <w:jc w:val="center"/>
            </w:pPr>
            <w:r w:rsidRPr="000657C9">
              <w:t>0</w:t>
            </w:r>
          </w:p>
        </w:tc>
        <w:tc>
          <w:tcPr>
            <w:tcW w:w="1748" w:type="dxa"/>
          </w:tcPr>
          <w:p w:rsidR="00A55F63" w:rsidRPr="000657C9" w:rsidRDefault="00A55F63" w:rsidP="0054042E">
            <w:pPr>
              <w:pStyle w:val="naisf"/>
              <w:spacing w:before="0" w:after="0"/>
              <w:ind w:firstLine="0"/>
              <w:jc w:val="center"/>
            </w:pPr>
            <w:r w:rsidRPr="000657C9">
              <w:t>0</w:t>
            </w:r>
          </w:p>
        </w:tc>
      </w:tr>
      <w:tr w:rsidR="00A55F63" w:rsidRPr="000657C9" w:rsidTr="00BC4DEC">
        <w:trPr>
          <w:jc w:val="center"/>
        </w:trPr>
        <w:tc>
          <w:tcPr>
            <w:tcW w:w="2812" w:type="dxa"/>
          </w:tcPr>
          <w:p w:rsidR="00A55F63" w:rsidRPr="000657C9" w:rsidRDefault="00A55F63" w:rsidP="00766DC5">
            <w:pPr>
              <w:spacing w:after="0" w:line="240" w:lineRule="auto"/>
              <w:jc w:val="both"/>
              <w:rPr>
                <w:rFonts w:ascii="Times New Roman" w:hAnsi="Times New Roman"/>
                <w:sz w:val="24"/>
                <w:szCs w:val="24"/>
                <w:lang w:val="lv-LV"/>
              </w:rPr>
            </w:pPr>
            <w:r w:rsidRPr="000657C9">
              <w:rPr>
                <w:rFonts w:ascii="Times New Roman" w:hAnsi="Times New Roman"/>
                <w:sz w:val="24"/>
                <w:szCs w:val="24"/>
                <w:lang w:val="lv-LV"/>
              </w:rPr>
              <w:t>5.2. speciālais budžets</w:t>
            </w:r>
          </w:p>
        </w:tc>
        <w:tc>
          <w:tcPr>
            <w:tcW w:w="1330" w:type="dxa"/>
            <w:vMerge/>
            <w:vAlign w:val="center"/>
          </w:tcPr>
          <w:p w:rsidR="00A55F63" w:rsidRPr="000657C9" w:rsidRDefault="00A55F63" w:rsidP="00766DC5">
            <w:pPr>
              <w:pStyle w:val="naisf"/>
              <w:spacing w:before="0" w:after="0"/>
              <w:ind w:firstLine="0"/>
              <w:jc w:val="center"/>
            </w:pPr>
          </w:p>
        </w:tc>
        <w:tc>
          <w:tcPr>
            <w:tcW w:w="1354" w:type="dxa"/>
          </w:tcPr>
          <w:p w:rsidR="00A55F63" w:rsidRPr="000657C9" w:rsidRDefault="00A55F63" w:rsidP="0054042E">
            <w:pPr>
              <w:pStyle w:val="naisf"/>
              <w:spacing w:before="0" w:after="0"/>
              <w:ind w:firstLine="0"/>
              <w:jc w:val="center"/>
            </w:pPr>
            <w:r w:rsidRPr="000657C9">
              <w:t>0</w:t>
            </w:r>
          </w:p>
        </w:tc>
        <w:tc>
          <w:tcPr>
            <w:tcW w:w="1354" w:type="dxa"/>
          </w:tcPr>
          <w:p w:rsidR="00A55F63" w:rsidRPr="000657C9" w:rsidRDefault="00A55F63" w:rsidP="0054042E">
            <w:pPr>
              <w:pStyle w:val="naisf"/>
              <w:spacing w:before="0" w:after="0"/>
              <w:ind w:firstLine="0"/>
              <w:jc w:val="center"/>
            </w:pPr>
            <w:r w:rsidRPr="000657C9">
              <w:t>0</w:t>
            </w:r>
          </w:p>
        </w:tc>
        <w:tc>
          <w:tcPr>
            <w:tcW w:w="1355" w:type="dxa"/>
          </w:tcPr>
          <w:p w:rsidR="00A55F63" w:rsidRPr="000657C9" w:rsidRDefault="00A55F63" w:rsidP="0054042E">
            <w:pPr>
              <w:pStyle w:val="naisf"/>
              <w:spacing w:before="0" w:after="0"/>
              <w:ind w:firstLine="0"/>
              <w:jc w:val="center"/>
            </w:pPr>
            <w:r w:rsidRPr="000657C9">
              <w:t>0</w:t>
            </w:r>
          </w:p>
        </w:tc>
        <w:tc>
          <w:tcPr>
            <w:tcW w:w="1748" w:type="dxa"/>
          </w:tcPr>
          <w:p w:rsidR="00A55F63" w:rsidRPr="000657C9" w:rsidRDefault="00A55F63" w:rsidP="0054042E">
            <w:pPr>
              <w:pStyle w:val="naisf"/>
              <w:spacing w:before="0" w:after="0"/>
              <w:ind w:firstLine="0"/>
              <w:jc w:val="center"/>
            </w:pPr>
            <w:r w:rsidRPr="000657C9">
              <w:t>0</w:t>
            </w:r>
          </w:p>
        </w:tc>
      </w:tr>
      <w:tr w:rsidR="00A55F63" w:rsidRPr="000657C9" w:rsidTr="00BC4DEC">
        <w:trPr>
          <w:jc w:val="center"/>
        </w:trPr>
        <w:tc>
          <w:tcPr>
            <w:tcW w:w="2812" w:type="dxa"/>
          </w:tcPr>
          <w:p w:rsidR="00A55F63" w:rsidRPr="000657C9" w:rsidRDefault="00A55F63" w:rsidP="00766DC5">
            <w:pPr>
              <w:spacing w:after="0" w:line="240" w:lineRule="auto"/>
              <w:jc w:val="both"/>
              <w:rPr>
                <w:rFonts w:ascii="Times New Roman" w:hAnsi="Times New Roman"/>
                <w:sz w:val="24"/>
                <w:szCs w:val="24"/>
                <w:lang w:val="lv-LV"/>
              </w:rPr>
            </w:pPr>
            <w:r w:rsidRPr="000657C9">
              <w:rPr>
                <w:rFonts w:ascii="Times New Roman" w:hAnsi="Times New Roman"/>
                <w:sz w:val="24"/>
                <w:szCs w:val="24"/>
                <w:lang w:val="lv-LV"/>
              </w:rPr>
              <w:t xml:space="preserve">5.3. pašvaldību budžets </w:t>
            </w:r>
          </w:p>
        </w:tc>
        <w:tc>
          <w:tcPr>
            <w:tcW w:w="1330" w:type="dxa"/>
            <w:vMerge/>
            <w:vAlign w:val="center"/>
          </w:tcPr>
          <w:p w:rsidR="00A55F63" w:rsidRPr="000657C9" w:rsidRDefault="00A55F63" w:rsidP="00766DC5">
            <w:pPr>
              <w:pStyle w:val="naisf"/>
              <w:spacing w:before="0" w:after="0"/>
              <w:ind w:firstLine="0"/>
              <w:jc w:val="center"/>
            </w:pPr>
          </w:p>
        </w:tc>
        <w:tc>
          <w:tcPr>
            <w:tcW w:w="1354" w:type="dxa"/>
          </w:tcPr>
          <w:p w:rsidR="00A55F63" w:rsidRPr="000657C9" w:rsidRDefault="00A55F63" w:rsidP="0054042E">
            <w:pPr>
              <w:pStyle w:val="naisf"/>
              <w:spacing w:before="0" w:after="0"/>
              <w:ind w:firstLine="0"/>
              <w:jc w:val="center"/>
            </w:pPr>
            <w:r w:rsidRPr="000657C9">
              <w:t>0</w:t>
            </w:r>
          </w:p>
        </w:tc>
        <w:tc>
          <w:tcPr>
            <w:tcW w:w="1354" w:type="dxa"/>
          </w:tcPr>
          <w:p w:rsidR="00A55F63" w:rsidRPr="000657C9" w:rsidRDefault="00A55F63" w:rsidP="0054042E">
            <w:pPr>
              <w:pStyle w:val="naisf"/>
              <w:spacing w:before="0" w:after="0"/>
              <w:ind w:firstLine="0"/>
              <w:jc w:val="center"/>
            </w:pPr>
            <w:r w:rsidRPr="000657C9">
              <w:t>0</w:t>
            </w:r>
          </w:p>
        </w:tc>
        <w:tc>
          <w:tcPr>
            <w:tcW w:w="1355" w:type="dxa"/>
          </w:tcPr>
          <w:p w:rsidR="00A55F63" w:rsidRPr="000657C9" w:rsidRDefault="00A55F63" w:rsidP="0054042E">
            <w:pPr>
              <w:pStyle w:val="naisf"/>
              <w:spacing w:before="0" w:after="0"/>
              <w:ind w:firstLine="0"/>
              <w:jc w:val="center"/>
            </w:pPr>
            <w:r w:rsidRPr="000657C9">
              <w:t>0</w:t>
            </w:r>
          </w:p>
        </w:tc>
        <w:tc>
          <w:tcPr>
            <w:tcW w:w="1748" w:type="dxa"/>
          </w:tcPr>
          <w:p w:rsidR="00A55F63" w:rsidRPr="000657C9" w:rsidRDefault="00A55F63" w:rsidP="0054042E">
            <w:pPr>
              <w:pStyle w:val="naisf"/>
              <w:spacing w:before="0" w:after="0"/>
              <w:ind w:firstLine="0"/>
              <w:jc w:val="center"/>
            </w:pPr>
            <w:r w:rsidRPr="000657C9">
              <w:t>0</w:t>
            </w:r>
          </w:p>
        </w:tc>
      </w:tr>
      <w:tr w:rsidR="00A55F63" w:rsidRPr="000657C9" w:rsidTr="00BC4DEC">
        <w:trPr>
          <w:jc w:val="center"/>
        </w:trPr>
        <w:tc>
          <w:tcPr>
            <w:tcW w:w="2812" w:type="dxa"/>
          </w:tcPr>
          <w:p w:rsidR="00A55F63" w:rsidRPr="000657C9" w:rsidRDefault="00A55F63" w:rsidP="00766DC5">
            <w:pPr>
              <w:spacing w:after="0" w:line="240" w:lineRule="auto"/>
              <w:jc w:val="both"/>
              <w:rPr>
                <w:rFonts w:ascii="Times New Roman" w:hAnsi="Times New Roman"/>
                <w:sz w:val="24"/>
                <w:szCs w:val="24"/>
                <w:lang w:val="lv-LV"/>
              </w:rPr>
            </w:pPr>
            <w:r w:rsidRPr="000657C9">
              <w:rPr>
                <w:rFonts w:ascii="Times New Roman" w:hAnsi="Times New Roman"/>
                <w:sz w:val="24"/>
                <w:szCs w:val="24"/>
                <w:lang w:val="lv-LV"/>
              </w:rPr>
              <w:t>6. Detalizēts ieņēmumu un izdevu</w:t>
            </w:r>
            <w:r w:rsidRPr="000657C9">
              <w:rPr>
                <w:rFonts w:ascii="Times New Roman" w:hAnsi="Times New Roman"/>
                <w:sz w:val="24"/>
                <w:szCs w:val="24"/>
                <w:lang w:val="lv-LV"/>
              </w:rPr>
              <w:softHyphen/>
              <w:t>mu aprēķins (ja nepieciešams, detalizētu ieņēmumu un izdevumu aprēķinu var pievienot anotācijas pielikumā):</w:t>
            </w:r>
          </w:p>
        </w:tc>
        <w:tc>
          <w:tcPr>
            <w:tcW w:w="7141" w:type="dxa"/>
            <w:gridSpan w:val="5"/>
            <w:vMerge w:val="restart"/>
          </w:tcPr>
          <w:p w:rsidR="00D93DC5" w:rsidRPr="000657C9" w:rsidRDefault="008C6287" w:rsidP="00D93DC5">
            <w:pPr>
              <w:tabs>
                <w:tab w:val="left" w:pos="380"/>
              </w:tabs>
              <w:spacing w:after="0" w:line="240" w:lineRule="auto"/>
              <w:ind w:firstLine="331"/>
              <w:jc w:val="both"/>
              <w:rPr>
                <w:rFonts w:ascii="Times New Roman" w:hAnsi="Times New Roman"/>
                <w:sz w:val="24"/>
                <w:szCs w:val="24"/>
                <w:lang w:val="lv-LV" w:eastAsia="lv-LV"/>
              </w:rPr>
            </w:pPr>
            <w:r w:rsidRPr="000657C9">
              <w:rPr>
                <w:rFonts w:ascii="Times New Roman" w:hAnsi="Times New Roman"/>
                <w:sz w:val="24"/>
                <w:szCs w:val="24"/>
                <w:lang w:val="lv-LV" w:eastAsia="lv-LV"/>
              </w:rPr>
              <w:t>Noteikumu projektā paredzētajām normām nav negat</w:t>
            </w:r>
            <w:r w:rsidR="00DA28C5" w:rsidRPr="000657C9">
              <w:rPr>
                <w:rFonts w:ascii="Times New Roman" w:hAnsi="Times New Roman"/>
                <w:sz w:val="24"/>
                <w:szCs w:val="24"/>
                <w:lang w:val="lv-LV" w:eastAsia="lv-LV"/>
              </w:rPr>
              <w:t>īvas ietekmes uz valsts budžetu</w:t>
            </w:r>
            <w:r w:rsidR="00D93DC5" w:rsidRPr="000657C9">
              <w:rPr>
                <w:rFonts w:ascii="Times New Roman" w:hAnsi="Times New Roman"/>
                <w:sz w:val="24"/>
                <w:szCs w:val="24"/>
                <w:lang w:val="lv-LV" w:eastAsia="lv-LV"/>
              </w:rPr>
              <w:t>.</w:t>
            </w:r>
          </w:p>
          <w:p w:rsidR="001356B2" w:rsidRPr="000657C9" w:rsidRDefault="001356B2" w:rsidP="001356B2">
            <w:pPr>
              <w:spacing w:after="0"/>
              <w:ind w:firstLine="331"/>
              <w:jc w:val="both"/>
              <w:rPr>
                <w:rFonts w:ascii="Times New Roman" w:hAnsi="Times New Roman"/>
                <w:sz w:val="24"/>
                <w:szCs w:val="24"/>
                <w:lang w:val="lv-LV"/>
              </w:rPr>
            </w:pPr>
            <w:r w:rsidRPr="000657C9">
              <w:rPr>
                <w:rFonts w:ascii="Times New Roman" w:eastAsia="Times New Roman" w:hAnsi="Times New Roman"/>
                <w:sz w:val="24"/>
                <w:szCs w:val="24"/>
                <w:lang w:val="lv-LV" w:eastAsia="lv-LV"/>
              </w:rPr>
              <w:t>Noteikumu projekts tiks īstenots, nemainot attiecīgā budžeta programmās/apakšprogrammās finansējuma sadalījumu pa ieņēmumu, izdevumu vai finansēšanas klasifikācijas kodiem.</w:t>
            </w:r>
          </w:p>
        </w:tc>
      </w:tr>
      <w:tr w:rsidR="00A55F63" w:rsidRPr="000657C9" w:rsidTr="00BC4DEC">
        <w:trPr>
          <w:jc w:val="center"/>
        </w:trPr>
        <w:tc>
          <w:tcPr>
            <w:tcW w:w="2812" w:type="dxa"/>
          </w:tcPr>
          <w:p w:rsidR="00A55F63" w:rsidRPr="000657C9" w:rsidRDefault="00A55F63" w:rsidP="00766DC5">
            <w:pPr>
              <w:spacing w:after="0" w:line="240" w:lineRule="auto"/>
              <w:jc w:val="both"/>
              <w:rPr>
                <w:rFonts w:ascii="Times New Roman" w:hAnsi="Times New Roman"/>
                <w:sz w:val="24"/>
                <w:szCs w:val="24"/>
                <w:lang w:val="lv-LV"/>
              </w:rPr>
            </w:pPr>
            <w:r w:rsidRPr="000657C9">
              <w:rPr>
                <w:rFonts w:ascii="Times New Roman" w:hAnsi="Times New Roman"/>
                <w:sz w:val="24"/>
                <w:szCs w:val="24"/>
                <w:lang w:val="lv-LV"/>
              </w:rPr>
              <w:t>6.1. detalizēts ieņēmumu aprēķins</w:t>
            </w:r>
          </w:p>
        </w:tc>
        <w:tc>
          <w:tcPr>
            <w:tcW w:w="7141" w:type="dxa"/>
            <w:gridSpan w:val="5"/>
            <w:vMerge/>
          </w:tcPr>
          <w:p w:rsidR="00A55F63" w:rsidRPr="000657C9" w:rsidRDefault="00A55F63" w:rsidP="00766DC5">
            <w:pPr>
              <w:pStyle w:val="naisf"/>
              <w:spacing w:before="0" w:after="0"/>
              <w:ind w:firstLine="0"/>
              <w:rPr>
                <w:b/>
                <w:i/>
              </w:rPr>
            </w:pPr>
          </w:p>
        </w:tc>
      </w:tr>
      <w:tr w:rsidR="00A55F63" w:rsidRPr="000657C9" w:rsidTr="00BC4DEC">
        <w:trPr>
          <w:jc w:val="center"/>
        </w:trPr>
        <w:tc>
          <w:tcPr>
            <w:tcW w:w="2812" w:type="dxa"/>
          </w:tcPr>
          <w:p w:rsidR="00A55F63" w:rsidRPr="000657C9" w:rsidRDefault="00A55F63" w:rsidP="00766DC5">
            <w:pPr>
              <w:spacing w:after="0" w:line="240" w:lineRule="auto"/>
              <w:jc w:val="both"/>
              <w:rPr>
                <w:rFonts w:ascii="Times New Roman" w:hAnsi="Times New Roman"/>
                <w:sz w:val="24"/>
                <w:szCs w:val="24"/>
                <w:lang w:val="lv-LV"/>
              </w:rPr>
            </w:pPr>
            <w:r w:rsidRPr="000657C9">
              <w:rPr>
                <w:rFonts w:ascii="Times New Roman" w:hAnsi="Times New Roman"/>
                <w:sz w:val="24"/>
                <w:szCs w:val="24"/>
                <w:lang w:val="lv-LV"/>
              </w:rPr>
              <w:t>6.2. detalizēts izdevumu aprēķins</w:t>
            </w:r>
          </w:p>
        </w:tc>
        <w:tc>
          <w:tcPr>
            <w:tcW w:w="7141" w:type="dxa"/>
            <w:gridSpan w:val="5"/>
            <w:vMerge/>
          </w:tcPr>
          <w:p w:rsidR="00A55F63" w:rsidRPr="000657C9" w:rsidRDefault="00A55F63" w:rsidP="00766DC5">
            <w:pPr>
              <w:pStyle w:val="naisf"/>
              <w:spacing w:before="0" w:after="0"/>
              <w:ind w:firstLine="0"/>
              <w:rPr>
                <w:b/>
                <w:i/>
              </w:rPr>
            </w:pPr>
          </w:p>
        </w:tc>
      </w:tr>
      <w:tr w:rsidR="00A55F63" w:rsidRPr="000657C9" w:rsidTr="00BC4DEC">
        <w:trPr>
          <w:jc w:val="center"/>
        </w:trPr>
        <w:tc>
          <w:tcPr>
            <w:tcW w:w="2812" w:type="dxa"/>
          </w:tcPr>
          <w:p w:rsidR="00A55F63" w:rsidRPr="000657C9" w:rsidRDefault="00A55F63" w:rsidP="00766DC5">
            <w:pPr>
              <w:spacing w:after="0" w:line="240" w:lineRule="auto"/>
              <w:jc w:val="both"/>
              <w:rPr>
                <w:rFonts w:ascii="Times New Roman" w:hAnsi="Times New Roman"/>
                <w:sz w:val="24"/>
                <w:szCs w:val="24"/>
                <w:lang w:val="lv-LV"/>
              </w:rPr>
            </w:pPr>
            <w:r w:rsidRPr="000657C9">
              <w:rPr>
                <w:rFonts w:ascii="Times New Roman" w:hAnsi="Times New Roman"/>
                <w:sz w:val="24"/>
                <w:szCs w:val="24"/>
                <w:lang w:val="lv-LV"/>
              </w:rPr>
              <w:t>7. Cita informācija</w:t>
            </w:r>
          </w:p>
        </w:tc>
        <w:tc>
          <w:tcPr>
            <w:tcW w:w="7141" w:type="dxa"/>
            <w:gridSpan w:val="5"/>
          </w:tcPr>
          <w:p w:rsidR="00A55F63" w:rsidRPr="000657C9" w:rsidRDefault="00A55F63" w:rsidP="004C6F0E">
            <w:pPr>
              <w:pStyle w:val="naisf"/>
              <w:spacing w:before="0" w:after="0"/>
              <w:ind w:firstLine="0"/>
              <w:rPr>
                <w:highlight w:val="yellow"/>
              </w:rPr>
            </w:pPr>
            <w:r w:rsidRPr="000657C9">
              <w:t>Nav</w:t>
            </w:r>
          </w:p>
        </w:tc>
      </w:tr>
    </w:tbl>
    <w:p w:rsidR="00A55F63" w:rsidRPr="000657C9" w:rsidRDefault="00A55F63" w:rsidP="004C6F0E">
      <w:pPr>
        <w:pStyle w:val="naisf"/>
        <w:spacing w:before="0" w:after="0"/>
        <w:ind w:firstLine="0"/>
        <w:rPr>
          <w:i/>
          <w:sz w:val="28"/>
          <w:szCs w:val="28"/>
        </w:rPr>
      </w:pPr>
    </w:p>
    <w:p w:rsidR="000657C9" w:rsidRDefault="000657C9" w:rsidP="005E31B4">
      <w:pPr>
        <w:pStyle w:val="naisf"/>
        <w:spacing w:before="0" w:after="0"/>
        <w:ind w:firstLine="0"/>
        <w:jc w:val="center"/>
        <w:rPr>
          <w:i/>
          <w:sz w:val="28"/>
          <w:szCs w:val="28"/>
        </w:rPr>
      </w:pPr>
    </w:p>
    <w:p w:rsidR="00A55F63" w:rsidRPr="000657C9" w:rsidRDefault="00A55F63" w:rsidP="005E31B4">
      <w:pPr>
        <w:pStyle w:val="naisf"/>
        <w:spacing w:before="0" w:after="0"/>
        <w:ind w:firstLine="0"/>
        <w:jc w:val="center"/>
        <w:rPr>
          <w:i/>
          <w:sz w:val="28"/>
          <w:szCs w:val="28"/>
        </w:rPr>
      </w:pPr>
      <w:r w:rsidRPr="000657C9">
        <w:rPr>
          <w:i/>
          <w:sz w:val="28"/>
          <w:szCs w:val="28"/>
        </w:rPr>
        <w:t>Anotācijas II, IV - VI sadaļa – projekts šīs jomas neskar.</w:t>
      </w:r>
    </w:p>
    <w:p w:rsidR="00A55F63" w:rsidRDefault="00A55F63" w:rsidP="005E31B4">
      <w:pPr>
        <w:pStyle w:val="naisf"/>
        <w:spacing w:before="0" w:after="0"/>
        <w:ind w:firstLine="0"/>
        <w:jc w:val="center"/>
        <w:rPr>
          <w:i/>
          <w:sz w:val="28"/>
          <w:szCs w:val="28"/>
        </w:rPr>
      </w:pPr>
    </w:p>
    <w:p w:rsidR="000657C9" w:rsidRPr="000657C9" w:rsidRDefault="000657C9" w:rsidP="005E31B4">
      <w:pPr>
        <w:pStyle w:val="naisf"/>
        <w:spacing w:before="0" w:after="0"/>
        <w:ind w:firstLine="0"/>
        <w:jc w:val="center"/>
        <w:rPr>
          <w:i/>
          <w:sz w:val="28"/>
          <w:szCs w:val="28"/>
        </w:rPr>
      </w:pPr>
    </w:p>
    <w:tbl>
      <w:tblPr>
        <w:tblW w:w="9921" w:type="dxa"/>
        <w:jc w:val="center"/>
        <w:tblCellSpacing w:w="0" w:type="dxa"/>
        <w:tblInd w:w="-156"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65"/>
        <w:gridCol w:w="2954"/>
        <w:gridCol w:w="6402"/>
      </w:tblGrid>
      <w:tr w:rsidR="00A55F63" w:rsidRPr="000657C9" w:rsidTr="00CB29AE">
        <w:trPr>
          <w:tblCellSpacing w:w="0" w:type="dxa"/>
          <w:jc w:val="center"/>
        </w:trPr>
        <w:tc>
          <w:tcPr>
            <w:tcW w:w="9921" w:type="dxa"/>
            <w:gridSpan w:val="3"/>
            <w:tcBorders>
              <w:top w:val="outset" w:sz="6" w:space="0" w:color="auto"/>
              <w:bottom w:val="outset" w:sz="6" w:space="0" w:color="auto"/>
            </w:tcBorders>
          </w:tcPr>
          <w:p w:rsidR="00A55F63" w:rsidRPr="000657C9" w:rsidRDefault="00A55F63" w:rsidP="00CB29AE">
            <w:pPr>
              <w:spacing w:before="75" w:after="75" w:line="240" w:lineRule="auto"/>
              <w:jc w:val="center"/>
              <w:rPr>
                <w:rFonts w:ascii="Times New Roman" w:hAnsi="Times New Roman"/>
                <w:sz w:val="24"/>
                <w:szCs w:val="24"/>
                <w:lang w:val="lv-LV" w:eastAsia="lv-LV"/>
              </w:rPr>
            </w:pPr>
            <w:r w:rsidRPr="000657C9">
              <w:rPr>
                <w:rFonts w:ascii="Times New Roman" w:hAnsi="Times New Roman"/>
                <w:b/>
                <w:bCs/>
                <w:sz w:val="24"/>
                <w:szCs w:val="24"/>
                <w:lang w:val="lv-LV" w:eastAsia="lv-LV"/>
              </w:rPr>
              <w:t> VII. Tiesību akta projekta izpildes nodrošināšana un tās ietekme uz institūcijām</w:t>
            </w:r>
          </w:p>
        </w:tc>
      </w:tr>
      <w:tr w:rsidR="00A55F63" w:rsidRPr="000657C9" w:rsidTr="00CB29AE">
        <w:trPr>
          <w:trHeight w:val="427"/>
          <w:tblCellSpacing w:w="0" w:type="dxa"/>
          <w:jc w:val="center"/>
        </w:trPr>
        <w:tc>
          <w:tcPr>
            <w:tcW w:w="565" w:type="dxa"/>
            <w:tcBorders>
              <w:top w:val="outset" w:sz="6" w:space="0" w:color="auto"/>
              <w:bottom w:val="outset" w:sz="6" w:space="0" w:color="auto"/>
              <w:right w:val="outset" w:sz="6" w:space="0" w:color="auto"/>
            </w:tcBorders>
          </w:tcPr>
          <w:p w:rsidR="00A55F63" w:rsidRPr="000657C9" w:rsidRDefault="00A55F63" w:rsidP="00CB29AE">
            <w:pPr>
              <w:spacing w:before="75" w:after="75" w:line="240" w:lineRule="auto"/>
              <w:rPr>
                <w:rFonts w:ascii="Times New Roman" w:hAnsi="Times New Roman"/>
                <w:sz w:val="24"/>
                <w:szCs w:val="24"/>
                <w:lang w:val="lv-LV" w:eastAsia="lv-LV"/>
              </w:rPr>
            </w:pPr>
            <w:r w:rsidRPr="000657C9">
              <w:rPr>
                <w:rFonts w:ascii="Times New Roman" w:hAnsi="Times New Roman"/>
                <w:sz w:val="24"/>
                <w:szCs w:val="24"/>
                <w:lang w:val="lv-LV" w:eastAsia="lv-LV"/>
              </w:rPr>
              <w:t> 1.</w:t>
            </w:r>
          </w:p>
        </w:tc>
        <w:tc>
          <w:tcPr>
            <w:tcW w:w="2954" w:type="dxa"/>
            <w:tcBorders>
              <w:top w:val="outset" w:sz="6" w:space="0" w:color="auto"/>
              <w:left w:val="outset" w:sz="6" w:space="0" w:color="auto"/>
              <w:bottom w:val="outset" w:sz="6" w:space="0" w:color="auto"/>
              <w:right w:val="outset" w:sz="6" w:space="0" w:color="auto"/>
            </w:tcBorders>
          </w:tcPr>
          <w:p w:rsidR="00A55F63" w:rsidRPr="000657C9" w:rsidRDefault="00A55F63" w:rsidP="00CB29AE">
            <w:pPr>
              <w:spacing w:before="75" w:after="75" w:line="240" w:lineRule="auto"/>
              <w:rPr>
                <w:rFonts w:ascii="Times New Roman" w:hAnsi="Times New Roman"/>
                <w:sz w:val="24"/>
                <w:szCs w:val="24"/>
                <w:lang w:val="lv-LV" w:eastAsia="lv-LV"/>
              </w:rPr>
            </w:pPr>
            <w:r w:rsidRPr="000657C9">
              <w:rPr>
                <w:rFonts w:ascii="Times New Roman" w:hAnsi="Times New Roman"/>
                <w:sz w:val="24"/>
                <w:szCs w:val="24"/>
                <w:lang w:val="lv-LV" w:eastAsia="lv-LV"/>
              </w:rPr>
              <w:t> Projekta izpildē iesaistītās institūcijas</w:t>
            </w:r>
          </w:p>
        </w:tc>
        <w:tc>
          <w:tcPr>
            <w:tcW w:w="6402" w:type="dxa"/>
            <w:tcBorders>
              <w:top w:val="outset" w:sz="6" w:space="0" w:color="auto"/>
              <w:left w:val="outset" w:sz="6" w:space="0" w:color="auto"/>
              <w:bottom w:val="outset" w:sz="6" w:space="0" w:color="auto"/>
            </w:tcBorders>
          </w:tcPr>
          <w:p w:rsidR="00A55F63" w:rsidRPr="000657C9" w:rsidRDefault="00F739D8" w:rsidP="000628B0">
            <w:pPr>
              <w:spacing w:before="75" w:after="75" w:line="240" w:lineRule="auto"/>
              <w:jc w:val="both"/>
              <w:rPr>
                <w:rFonts w:ascii="Times New Roman" w:hAnsi="Times New Roman"/>
                <w:sz w:val="24"/>
                <w:szCs w:val="24"/>
                <w:lang w:val="lv-LV" w:eastAsia="lv-LV"/>
              </w:rPr>
            </w:pPr>
            <w:r w:rsidRPr="000657C9">
              <w:rPr>
                <w:rFonts w:ascii="Times New Roman" w:eastAsia="Times New Roman" w:hAnsi="Times New Roman"/>
                <w:sz w:val="24"/>
                <w:szCs w:val="24"/>
                <w:lang w:val="lv-LV" w:eastAsia="lv-LV"/>
              </w:rPr>
              <w:t xml:space="preserve">Noteikumu projekta izpildi nodrošinās </w:t>
            </w:r>
            <w:r w:rsidR="000628B0" w:rsidRPr="000657C9">
              <w:rPr>
                <w:rFonts w:ascii="Times New Roman" w:hAnsi="Times New Roman"/>
                <w:sz w:val="24"/>
                <w:szCs w:val="24"/>
                <w:lang w:val="lv-LV" w:eastAsia="lv-LV"/>
              </w:rPr>
              <w:t>Nacionālais veselības dienests</w:t>
            </w:r>
            <w:r w:rsidRPr="000657C9">
              <w:rPr>
                <w:rFonts w:ascii="Times New Roman" w:hAnsi="Times New Roman"/>
                <w:sz w:val="24"/>
                <w:szCs w:val="24"/>
                <w:lang w:val="lv-LV" w:eastAsia="lv-LV"/>
              </w:rPr>
              <w:t>.</w:t>
            </w:r>
          </w:p>
        </w:tc>
      </w:tr>
      <w:tr w:rsidR="00A55F63" w:rsidRPr="000657C9" w:rsidTr="00CB29AE">
        <w:trPr>
          <w:trHeight w:val="463"/>
          <w:tblCellSpacing w:w="0" w:type="dxa"/>
          <w:jc w:val="center"/>
        </w:trPr>
        <w:tc>
          <w:tcPr>
            <w:tcW w:w="565" w:type="dxa"/>
            <w:tcBorders>
              <w:top w:val="outset" w:sz="6" w:space="0" w:color="auto"/>
              <w:bottom w:val="outset" w:sz="6" w:space="0" w:color="auto"/>
              <w:right w:val="outset" w:sz="6" w:space="0" w:color="auto"/>
            </w:tcBorders>
          </w:tcPr>
          <w:p w:rsidR="00A55F63" w:rsidRPr="000657C9" w:rsidRDefault="00A55F63" w:rsidP="00CB29AE">
            <w:pPr>
              <w:spacing w:before="75" w:after="75" w:line="240" w:lineRule="auto"/>
              <w:rPr>
                <w:rFonts w:ascii="Times New Roman" w:hAnsi="Times New Roman"/>
                <w:sz w:val="24"/>
                <w:szCs w:val="24"/>
                <w:lang w:val="lv-LV" w:eastAsia="lv-LV"/>
              </w:rPr>
            </w:pPr>
            <w:r w:rsidRPr="000657C9">
              <w:rPr>
                <w:rFonts w:ascii="Times New Roman" w:hAnsi="Times New Roman"/>
                <w:sz w:val="24"/>
                <w:szCs w:val="24"/>
                <w:lang w:val="lv-LV" w:eastAsia="lv-LV"/>
              </w:rPr>
              <w:t> 2.</w:t>
            </w:r>
          </w:p>
        </w:tc>
        <w:tc>
          <w:tcPr>
            <w:tcW w:w="2954" w:type="dxa"/>
            <w:tcBorders>
              <w:top w:val="outset" w:sz="6" w:space="0" w:color="auto"/>
              <w:left w:val="outset" w:sz="6" w:space="0" w:color="auto"/>
              <w:bottom w:val="outset" w:sz="6" w:space="0" w:color="auto"/>
              <w:right w:val="outset" w:sz="6" w:space="0" w:color="auto"/>
            </w:tcBorders>
          </w:tcPr>
          <w:p w:rsidR="00A55F63" w:rsidRPr="000657C9" w:rsidRDefault="00A55F63" w:rsidP="00CB29AE">
            <w:pPr>
              <w:spacing w:before="75" w:after="75" w:line="240" w:lineRule="auto"/>
              <w:rPr>
                <w:rFonts w:ascii="Times New Roman" w:hAnsi="Times New Roman"/>
                <w:sz w:val="24"/>
                <w:szCs w:val="24"/>
                <w:lang w:val="lv-LV" w:eastAsia="lv-LV"/>
              </w:rPr>
            </w:pPr>
            <w:r w:rsidRPr="000657C9">
              <w:rPr>
                <w:rFonts w:ascii="Times New Roman" w:hAnsi="Times New Roman"/>
                <w:sz w:val="24"/>
                <w:szCs w:val="24"/>
                <w:lang w:val="lv-LV" w:eastAsia="lv-LV"/>
              </w:rPr>
              <w:t> Projekta izpildes ietekme uz pārvaldes funkcijām</w:t>
            </w:r>
          </w:p>
        </w:tc>
        <w:tc>
          <w:tcPr>
            <w:tcW w:w="6402" w:type="dxa"/>
            <w:tcBorders>
              <w:top w:val="outset" w:sz="6" w:space="0" w:color="auto"/>
              <w:left w:val="outset" w:sz="6" w:space="0" w:color="auto"/>
              <w:bottom w:val="outset" w:sz="6" w:space="0" w:color="auto"/>
            </w:tcBorders>
          </w:tcPr>
          <w:p w:rsidR="00A55F63" w:rsidRPr="000657C9" w:rsidRDefault="00F739D8" w:rsidP="00CB29AE">
            <w:pPr>
              <w:jc w:val="both"/>
              <w:rPr>
                <w:rFonts w:ascii="Times New Roman" w:hAnsi="Times New Roman"/>
                <w:sz w:val="24"/>
                <w:szCs w:val="24"/>
                <w:lang w:val="lv-LV"/>
              </w:rPr>
            </w:pPr>
            <w:r w:rsidRPr="000657C9">
              <w:rPr>
                <w:rFonts w:ascii="Times New Roman" w:eastAsia="Times New Roman" w:hAnsi="Times New Roman"/>
                <w:sz w:val="24"/>
                <w:szCs w:val="24"/>
                <w:lang w:val="lv-LV" w:eastAsia="lv-LV"/>
              </w:rPr>
              <w:t xml:space="preserve"> </w:t>
            </w:r>
            <w:r w:rsidRPr="000657C9">
              <w:rPr>
                <w:rFonts w:ascii="Times New Roman" w:hAnsi="Times New Roman"/>
                <w:sz w:val="24"/>
                <w:szCs w:val="24"/>
                <w:lang w:val="lv-LV" w:eastAsia="lv-LV"/>
              </w:rPr>
              <w:t>Nacionālais veselības dienests</w:t>
            </w:r>
            <w:r w:rsidRPr="000657C9">
              <w:rPr>
                <w:rFonts w:ascii="Times New Roman" w:eastAsia="Times New Roman" w:hAnsi="Times New Roman"/>
                <w:sz w:val="24"/>
                <w:szCs w:val="24"/>
                <w:lang w:val="lv-LV" w:eastAsia="lv-LV"/>
              </w:rPr>
              <w:t xml:space="preserve"> noteikumu projekta izpildi nodrošinās esošo funkciju ietvaros.</w:t>
            </w:r>
          </w:p>
        </w:tc>
      </w:tr>
      <w:tr w:rsidR="00A55F63" w:rsidRPr="000657C9" w:rsidTr="00CB29AE">
        <w:trPr>
          <w:trHeight w:val="725"/>
          <w:tblCellSpacing w:w="0" w:type="dxa"/>
          <w:jc w:val="center"/>
        </w:trPr>
        <w:tc>
          <w:tcPr>
            <w:tcW w:w="565" w:type="dxa"/>
            <w:tcBorders>
              <w:top w:val="outset" w:sz="6" w:space="0" w:color="auto"/>
              <w:bottom w:val="outset" w:sz="6" w:space="0" w:color="auto"/>
              <w:right w:val="outset" w:sz="6" w:space="0" w:color="auto"/>
            </w:tcBorders>
          </w:tcPr>
          <w:p w:rsidR="00A55F63" w:rsidRPr="000657C9" w:rsidRDefault="00A55F63" w:rsidP="00CB29AE">
            <w:pPr>
              <w:spacing w:before="75" w:after="75" w:line="240" w:lineRule="auto"/>
              <w:rPr>
                <w:rFonts w:ascii="Times New Roman" w:hAnsi="Times New Roman"/>
                <w:sz w:val="24"/>
                <w:szCs w:val="24"/>
                <w:lang w:val="lv-LV" w:eastAsia="lv-LV"/>
              </w:rPr>
            </w:pPr>
            <w:r w:rsidRPr="000657C9">
              <w:rPr>
                <w:rFonts w:ascii="Times New Roman" w:hAnsi="Times New Roman"/>
                <w:sz w:val="24"/>
                <w:szCs w:val="24"/>
                <w:lang w:val="lv-LV" w:eastAsia="lv-LV"/>
              </w:rPr>
              <w:t> 3.</w:t>
            </w:r>
          </w:p>
        </w:tc>
        <w:tc>
          <w:tcPr>
            <w:tcW w:w="2954" w:type="dxa"/>
            <w:tcBorders>
              <w:top w:val="outset" w:sz="6" w:space="0" w:color="auto"/>
              <w:left w:val="outset" w:sz="6" w:space="0" w:color="auto"/>
              <w:bottom w:val="outset" w:sz="6" w:space="0" w:color="auto"/>
              <w:right w:val="outset" w:sz="6" w:space="0" w:color="auto"/>
            </w:tcBorders>
          </w:tcPr>
          <w:p w:rsidR="00A55F63" w:rsidRPr="000657C9" w:rsidRDefault="00A55F63" w:rsidP="00CB29AE">
            <w:pPr>
              <w:spacing w:before="75" w:after="75" w:line="240" w:lineRule="auto"/>
              <w:rPr>
                <w:rFonts w:ascii="Times New Roman" w:hAnsi="Times New Roman"/>
                <w:sz w:val="24"/>
                <w:szCs w:val="24"/>
                <w:lang w:val="lv-LV" w:eastAsia="lv-LV"/>
              </w:rPr>
            </w:pPr>
            <w:r w:rsidRPr="000657C9">
              <w:rPr>
                <w:rFonts w:ascii="Times New Roman" w:hAnsi="Times New Roman"/>
                <w:sz w:val="24"/>
                <w:szCs w:val="24"/>
                <w:lang w:val="lv-LV" w:eastAsia="lv-LV"/>
              </w:rPr>
              <w:t> Projekta izpildes ietekme uz pārvaldes institucionālo struktūru.</w:t>
            </w:r>
          </w:p>
          <w:p w:rsidR="00A55F63" w:rsidRPr="000657C9" w:rsidRDefault="00A55F63" w:rsidP="00CB29AE">
            <w:pPr>
              <w:spacing w:before="75" w:after="75" w:line="240" w:lineRule="auto"/>
              <w:rPr>
                <w:rFonts w:ascii="Times New Roman" w:hAnsi="Times New Roman"/>
                <w:sz w:val="24"/>
                <w:szCs w:val="24"/>
                <w:lang w:val="lv-LV" w:eastAsia="lv-LV"/>
              </w:rPr>
            </w:pPr>
            <w:r w:rsidRPr="000657C9">
              <w:rPr>
                <w:rFonts w:ascii="Times New Roman" w:hAnsi="Times New Roman"/>
                <w:sz w:val="24"/>
                <w:szCs w:val="24"/>
                <w:lang w:val="lv-LV" w:eastAsia="lv-LV"/>
              </w:rPr>
              <w:t>Jaunu institūciju izveide</w:t>
            </w:r>
          </w:p>
        </w:tc>
        <w:tc>
          <w:tcPr>
            <w:tcW w:w="6402" w:type="dxa"/>
            <w:tcBorders>
              <w:top w:val="outset" w:sz="6" w:space="0" w:color="auto"/>
              <w:left w:val="outset" w:sz="6" w:space="0" w:color="auto"/>
              <w:bottom w:val="outset" w:sz="6" w:space="0" w:color="auto"/>
            </w:tcBorders>
          </w:tcPr>
          <w:p w:rsidR="00A55F63" w:rsidRPr="000657C9" w:rsidRDefault="00A55F63" w:rsidP="00CB29AE">
            <w:pPr>
              <w:spacing w:before="75" w:after="75" w:line="240" w:lineRule="auto"/>
              <w:rPr>
                <w:rFonts w:ascii="Times New Roman" w:hAnsi="Times New Roman"/>
                <w:sz w:val="24"/>
                <w:szCs w:val="24"/>
                <w:lang w:val="lv-LV" w:eastAsia="lv-LV"/>
              </w:rPr>
            </w:pPr>
            <w:r w:rsidRPr="000657C9">
              <w:rPr>
                <w:rFonts w:ascii="Times New Roman" w:hAnsi="Times New Roman"/>
                <w:sz w:val="24"/>
                <w:szCs w:val="24"/>
                <w:lang w:val="lv-LV" w:eastAsia="lv-LV"/>
              </w:rPr>
              <w:t> </w:t>
            </w:r>
            <w:r w:rsidRPr="000657C9">
              <w:rPr>
                <w:rFonts w:ascii="Times New Roman" w:hAnsi="Times New Roman"/>
                <w:lang w:val="lv-LV"/>
              </w:rPr>
              <w:t>Projekts šo jomu neskar.</w:t>
            </w:r>
          </w:p>
        </w:tc>
      </w:tr>
      <w:tr w:rsidR="00A55F63" w:rsidRPr="000657C9" w:rsidTr="00CB29AE">
        <w:trPr>
          <w:trHeight w:val="780"/>
          <w:tblCellSpacing w:w="0" w:type="dxa"/>
          <w:jc w:val="center"/>
        </w:trPr>
        <w:tc>
          <w:tcPr>
            <w:tcW w:w="565" w:type="dxa"/>
            <w:tcBorders>
              <w:top w:val="outset" w:sz="6" w:space="0" w:color="auto"/>
              <w:bottom w:val="outset" w:sz="6" w:space="0" w:color="auto"/>
              <w:right w:val="outset" w:sz="6" w:space="0" w:color="auto"/>
            </w:tcBorders>
          </w:tcPr>
          <w:p w:rsidR="00A55F63" w:rsidRPr="000657C9" w:rsidRDefault="00A55F63" w:rsidP="00CB29AE">
            <w:pPr>
              <w:spacing w:before="75" w:after="75" w:line="240" w:lineRule="auto"/>
              <w:rPr>
                <w:rFonts w:ascii="Times New Roman" w:hAnsi="Times New Roman"/>
                <w:sz w:val="24"/>
                <w:szCs w:val="24"/>
                <w:lang w:val="lv-LV" w:eastAsia="lv-LV"/>
              </w:rPr>
            </w:pPr>
            <w:r w:rsidRPr="000657C9">
              <w:rPr>
                <w:rFonts w:ascii="Times New Roman" w:hAnsi="Times New Roman"/>
                <w:sz w:val="24"/>
                <w:szCs w:val="24"/>
                <w:lang w:val="lv-LV" w:eastAsia="lv-LV"/>
              </w:rPr>
              <w:t> 4.</w:t>
            </w:r>
          </w:p>
        </w:tc>
        <w:tc>
          <w:tcPr>
            <w:tcW w:w="2954" w:type="dxa"/>
            <w:tcBorders>
              <w:top w:val="outset" w:sz="6" w:space="0" w:color="auto"/>
              <w:left w:val="outset" w:sz="6" w:space="0" w:color="auto"/>
              <w:bottom w:val="outset" w:sz="6" w:space="0" w:color="auto"/>
              <w:right w:val="outset" w:sz="6" w:space="0" w:color="auto"/>
            </w:tcBorders>
          </w:tcPr>
          <w:p w:rsidR="00A55F63" w:rsidRPr="000657C9" w:rsidRDefault="00A55F63" w:rsidP="00CB29AE">
            <w:pPr>
              <w:spacing w:before="75" w:after="75" w:line="240" w:lineRule="auto"/>
              <w:rPr>
                <w:rFonts w:ascii="Times New Roman" w:hAnsi="Times New Roman"/>
                <w:sz w:val="24"/>
                <w:szCs w:val="24"/>
                <w:lang w:val="lv-LV" w:eastAsia="lv-LV"/>
              </w:rPr>
            </w:pPr>
            <w:r w:rsidRPr="000657C9">
              <w:rPr>
                <w:rFonts w:ascii="Times New Roman" w:hAnsi="Times New Roman"/>
                <w:sz w:val="24"/>
                <w:szCs w:val="24"/>
                <w:lang w:val="lv-LV" w:eastAsia="lv-LV"/>
              </w:rPr>
              <w:t> Projekta izpildes ietekme uz pārvaldes institucionālo struktūru.</w:t>
            </w:r>
          </w:p>
          <w:p w:rsidR="00A55F63" w:rsidRPr="000657C9" w:rsidRDefault="00A55F63" w:rsidP="00CB29AE">
            <w:pPr>
              <w:spacing w:before="75" w:after="75" w:line="240" w:lineRule="auto"/>
              <w:rPr>
                <w:rFonts w:ascii="Times New Roman" w:hAnsi="Times New Roman"/>
                <w:sz w:val="24"/>
                <w:szCs w:val="24"/>
                <w:lang w:val="lv-LV" w:eastAsia="lv-LV"/>
              </w:rPr>
            </w:pPr>
            <w:r w:rsidRPr="000657C9">
              <w:rPr>
                <w:rFonts w:ascii="Times New Roman" w:hAnsi="Times New Roman"/>
                <w:sz w:val="24"/>
                <w:szCs w:val="24"/>
                <w:lang w:val="lv-LV" w:eastAsia="lv-LV"/>
              </w:rPr>
              <w:t>Esošu institūciju likvidācija</w:t>
            </w:r>
          </w:p>
        </w:tc>
        <w:tc>
          <w:tcPr>
            <w:tcW w:w="6402" w:type="dxa"/>
            <w:tcBorders>
              <w:top w:val="outset" w:sz="6" w:space="0" w:color="auto"/>
              <w:left w:val="outset" w:sz="6" w:space="0" w:color="auto"/>
              <w:bottom w:val="outset" w:sz="6" w:space="0" w:color="auto"/>
            </w:tcBorders>
          </w:tcPr>
          <w:p w:rsidR="00A55F63" w:rsidRPr="000657C9" w:rsidRDefault="00A55F63" w:rsidP="00CB29AE">
            <w:pPr>
              <w:spacing w:before="75" w:after="75" w:line="240" w:lineRule="auto"/>
              <w:rPr>
                <w:rFonts w:ascii="Times New Roman" w:hAnsi="Times New Roman"/>
                <w:sz w:val="24"/>
                <w:szCs w:val="24"/>
                <w:lang w:val="lv-LV" w:eastAsia="lv-LV"/>
              </w:rPr>
            </w:pPr>
            <w:r w:rsidRPr="000657C9">
              <w:rPr>
                <w:rFonts w:ascii="Times New Roman" w:hAnsi="Times New Roman"/>
                <w:sz w:val="24"/>
                <w:szCs w:val="24"/>
                <w:lang w:val="lv-LV" w:eastAsia="lv-LV"/>
              </w:rPr>
              <w:t> </w:t>
            </w:r>
            <w:r w:rsidRPr="000657C9">
              <w:rPr>
                <w:rFonts w:ascii="Times New Roman" w:hAnsi="Times New Roman"/>
                <w:lang w:val="lv-LV"/>
              </w:rPr>
              <w:t>Projekts šo jomu neskar.</w:t>
            </w:r>
          </w:p>
        </w:tc>
      </w:tr>
      <w:tr w:rsidR="00A55F63" w:rsidRPr="000657C9" w:rsidTr="00CB29AE">
        <w:trPr>
          <w:trHeight w:val="703"/>
          <w:tblCellSpacing w:w="0" w:type="dxa"/>
          <w:jc w:val="center"/>
        </w:trPr>
        <w:tc>
          <w:tcPr>
            <w:tcW w:w="565" w:type="dxa"/>
            <w:tcBorders>
              <w:top w:val="outset" w:sz="6" w:space="0" w:color="auto"/>
              <w:bottom w:val="outset" w:sz="6" w:space="0" w:color="auto"/>
              <w:right w:val="outset" w:sz="6" w:space="0" w:color="auto"/>
            </w:tcBorders>
          </w:tcPr>
          <w:p w:rsidR="00A55F63" w:rsidRPr="000657C9" w:rsidRDefault="00A55F63" w:rsidP="00CB29AE">
            <w:pPr>
              <w:spacing w:before="75" w:after="75" w:line="240" w:lineRule="auto"/>
              <w:rPr>
                <w:rFonts w:ascii="Times New Roman" w:hAnsi="Times New Roman"/>
                <w:sz w:val="24"/>
                <w:szCs w:val="24"/>
                <w:lang w:val="lv-LV" w:eastAsia="lv-LV"/>
              </w:rPr>
            </w:pPr>
            <w:r w:rsidRPr="000657C9">
              <w:rPr>
                <w:rFonts w:ascii="Times New Roman" w:hAnsi="Times New Roman"/>
                <w:sz w:val="24"/>
                <w:szCs w:val="24"/>
                <w:lang w:val="lv-LV" w:eastAsia="lv-LV"/>
              </w:rPr>
              <w:t> 5.</w:t>
            </w:r>
          </w:p>
        </w:tc>
        <w:tc>
          <w:tcPr>
            <w:tcW w:w="2954" w:type="dxa"/>
            <w:tcBorders>
              <w:top w:val="outset" w:sz="6" w:space="0" w:color="auto"/>
              <w:left w:val="outset" w:sz="6" w:space="0" w:color="auto"/>
              <w:bottom w:val="outset" w:sz="6" w:space="0" w:color="auto"/>
              <w:right w:val="outset" w:sz="6" w:space="0" w:color="auto"/>
            </w:tcBorders>
          </w:tcPr>
          <w:p w:rsidR="00A55F63" w:rsidRPr="000657C9" w:rsidRDefault="00A55F63" w:rsidP="00CB29AE">
            <w:pPr>
              <w:spacing w:before="75" w:after="75" w:line="240" w:lineRule="auto"/>
              <w:rPr>
                <w:rFonts w:ascii="Times New Roman" w:hAnsi="Times New Roman"/>
                <w:sz w:val="24"/>
                <w:szCs w:val="24"/>
                <w:lang w:val="lv-LV" w:eastAsia="lv-LV"/>
              </w:rPr>
            </w:pPr>
            <w:r w:rsidRPr="000657C9">
              <w:rPr>
                <w:rFonts w:ascii="Times New Roman" w:hAnsi="Times New Roman"/>
                <w:sz w:val="24"/>
                <w:szCs w:val="24"/>
                <w:lang w:val="lv-LV" w:eastAsia="lv-LV"/>
              </w:rPr>
              <w:t> Projekta izpildes ietekme uz pārvaldes institucionālo struktūru.</w:t>
            </w:r>
          </w:p>
          <w:p w:rsidR="00A55F63" w:rsidRPr="000657C9" w:rsidRDefault="00A55F63" w:rsidP="00CB29AE">
            <w:pPr>
              <w:spacing w:before="75" w:after="75" w:line="240" w:lineRule="auto"/>
              <w:rPr>
                <w:rFonts w:ascii="Times New Roman" w:hAnsi="Times New Roman"/>
                <w:sz w:val="24"/>
                <w:szCs w:val="24"/>
                <w:lang w:val="lv-LV" w:eastAsia="lv-LV"/>
              </w:rPr>
            </w:pPr>
            <w:r w:rsidRPr="000657C9">
              <w:rPr>
                <w:rFonts w:ascii="Times New Roman" w:hAnsi="Times New Roman"/>
                <w:sz w:val="24"/>
                <w:szCs w:val="24"/>
                <w:lang w:val="lv-LV" w:eastAsia="lv-LV"/>
              </w:rPr>
              <w:t xml:space="preserve">Esošu institūciju </w:t>
            </w:r>
            <w:r w:rsidRPr="000657C9">
              <w:rPr>
                <w:rFonts w:ascii="Times New Roman" w:hAnsi="Times New Roman"/>
                <w:sz w:val="24"/>
                <w:szCs w:val="24"/>
                <w:lang w:val="lv-LV" w:eastAsia="lv-LV"/>
              </w:rPr>
              <w:lastRenderedPageBreak/>
              <w:t>reorganizācija</w:t>
            </w:r>
          </w:p>
        </w:tc>
        <w:tc>
          <w:tcPr>
            <w:tcW w:w="6402" w:type="dxa"/>
            <w:tcBorders>
              <w:top w:val="outset" w:sz="6" w:space="0" w:color="auto"/>
              <w:left w:val="outset" w:sz="6" w:space="0" w:color="auto"/>
              <w:bottom w:val="outset" w:sz="6" w:space="0" w:color="auto"/>
            </w:tcBorders>
          </w:tcPr>
          <w:p w:rsidR="00A55F63" w:rsidRPr="000657C9" w:rsidRDefault="00A55F63" w:rsidP="00CB29AE">
            <w:pPr>
              <w:spacing w:before="75" w:after="75" w:line="240" w:lineRule="auto"/>
              <w:rPr>
                <w:rFonts w:ascii="Times New Roman" w:hAnsi="Times New Roman"/>
                <w:sz w:val="24"/>
                <w:szCs w:val="24"/>
                <w:lang w:val="lv-LV" w:eastAsia="lv-LV"/>
              </w:rPr>
            </w:pPr>
            <w:r w:rsidRPr="000657C9">
              <w:rPr>
                <w:rFonts w:ascii="Times New Roman" w:hAnsi="Times New Roman"/>
                <w:lang w:val="lv-LV"/>
              </w:rPr>
              <w:lastRenderedPageBreak/>
              <w:t>Projekts šo jomu neskar.</w:t>
            </w:r>
          </w:p>
        </w:tc>
      </w:tr>
      <w:tr w:rsidR="00A55F63" w:rsidRPr="000657C9" w:rsidTr="00CB29AE">
        <w:trPr>
          <w:trHeight w:val="476"/>
          <w:tblCellSpacing w:w="0" w:type="dxa"/>
          <w:jc w:val="center"/>
        </w:trPr>
        <w:tc>
          <w:tcPr>
            <w:tcW w:w="565" w:type="dxa"/>
            <w:tcBorders>
              <w:top w:val="outset" w:sz="6" w:space="0" w:color="auto"/>
              <w:bottom w:val="outset" w:sz="6" w:space="0" w:color="auto"/>
              <w:right w:val="outset" w:sz="6" w:space="0" w:color="auto"/>
            </w:tcBorders>
          </w:tcPr>
          <w:p w:rsidR="00A55F63" w:rsidRPr="000657C9" w:rsidRDefault="00A55F63" w:rsidP="00CB29AE">
            <w:pPr>
              <w:spacing w:before="75" w:after="75" w:line="240" w:lineRule="auto"/>
              <w:rPr>
                <w:rFonts w:ascii="Times New Roman" w:hAnsi="Times New Roman"/>
                <w:sz w:val="24"/>
                <w:szCs w:val="24"/>
                <w:lang w:val="lv-LV" w:eastAsia="lv-LV"/>
              </w:rPr>
            </w:pPr>
            <w:r w:rsidRPr="000657C9">
              <w:rPr>
                <w:rFonts w:ascii="Times New Roman" w:hAnsi="Times New Roman"/>
                <w:sz w:val="24"/>
                <w:szCs w:val="24"/>
                <w:lang w:val="lv-LV" w:eastAsia="lv-LV"/>
              </w:rPr>
              <w:lastRenderedPageBreak/>
              <w:t> 6.</w:t>
            </w:r>
          </w:p>
        </w:tc>
        <w:tc>
          <w:tcPr>
            <w:tcW w:w="2954" w:type="dxa"/>
            <w:tcBorders>
              <w:top w:val="outset" w:sz="6" w:space="0" w:color="auto"/>
              <w:left w:val="outset" w:sz="6" w:space="0" w:color="auto"/>
              <w:bottom w:val="outset" w:sz="6" w:space="0" w:color="auto"/>
              <w:right w:val="outset" w:sz="6" w:space="0" w:color="auto"/>
            </w:tcBorders>
          </w:tcPr>
          <w:p w:rsidR="00A55F63" w:rsidRPr="000657C9" w:rsidRDefault="00A55F63" w:rsidP="00CB29AE">
            <w:pPr>
              <w:spacing w:before="75" w:after="75" w:line="240" w:lineRule="auto"/>
              <w:rPr>
                <w:rFonts w:ascii="Times New Roman" w:hAnsi="Times New Roman"/>
                <w:sz w:val="24"/>
                <w:szCs w:val="24"/>
                <w:lang w:val="lv-LV" w:eastAsia="lv-LV"/>
              </w:rPr>
            </w:pPr>
            <w:r w:rsidRPr="000657C9">
              <w:rPr>
                <w:rFonts w:ascii="Times New Roman" w:hAnsi="Times New Roman"/>
                <w:sz w:val="24"/>
                <w:szCs w:val="24"/>
                <w:lang w:val="lv-LV" w:eastAsia="lv-LV"/>
              </w:rPr>
              <w:t> Cita informācija</w:t>
            </w:r>
          </w:p>
        </w:tc>
        <w:tc>
          <w:tcPr>
            <w:tcW w:w="6402" w:type="dxa"/>
            <w:tcBorders>
              <w:top w:val="outset" w:sz="6" w:space="0" w:color="auto"/>
              <w:left w:val="outset" w:sz="6" w:space="0" w:color="auto"/>
              <w:bottom w:val="outset" w:sz="6" w:space="0" w:color="auto"/>
            </w:tcBorders>
          </w:tcPr>
          <w:p w:rsidR="00A55F63" w:rsidRPr="000657C9" w:rsidRDefault="00A55F63" w:rsidP="00CB29AE">
            <w:pPr>
              <w:spacing w:before="75" w:after="75" w:line="240" w:lineRule="auto"/>
              <w:rPr>
                <w:rFonts w:ascii="Times New Roman" w:hAnsi="Times New Roman"/>
                <w:sz w:val="24"/>
                <w:szCs w:val="24"/>
                <w:lang w:val="lv-LV" w:eastAsia="lv-LV"/>
              </w:rPr>
            </w:pPr>
            <w:r w:rsidRPr="000657C9">
              <w:rPr>
                <w:rFonts w:ascii="Times New Roman" w:hAnsi="Times New Roman"/>
                <w:sz w:val="24"/>
                <w:szCs w:val="24"/>
                <w:lang w:val="lv-LV" w:eastAsia="lv-LV"/>
              </w:rPr>
              <w:t> Nav</w:t>
            </w:r>
          </w:p>
        </w:tc>
      </w:tr>
    </w:tbl>
    <w:p w:rsidR="00A55F63" w:rsidRPr="000657C9" w:rsidRDefault="00A55F63" w:rsidP="00C74316">
      <w:pPr>
        <w:pStyle w:val="naisf"/>
        <w:spacing w:before="0" w:after="0"/>
        <w:ind w:firstLine="0"/>
        <w:rPr>
          <w:sz w:val="28"/>
          <w:szCs w:val="28"/>
        </w:rPr>
      </w:pPr>
    </w:p>
    <w:p w:rsidR="00A55F63" w:rsidRPr="000657C9" w:rsidRDefault="00A55F63" w:rsidP="0054042E">
      <w:pPr>
        <w:pStyle w:val="naisf"/>
        <w:spacing w:before="0" w:after="0"/>
        <w:ind w:firstLine="0"/>
        <w:jc w:val="center"/>
        <w:rPr>
          <w:sz w:val="28"/>
          <w:szCs w:val="28"/>
        </w:rPr>
      </w:pPr>
    </w:p>
    <w:p w:rsidR="00A55F63" w:rsidRPr="000657C9" w:rsidRDefault="00A55F63" w:rsidP="0054042E">
      <w:pPr>
        <w:pStyle w:val="naisf"/>
        <w:spacing w:before="0" w:after="0"/>
        <w:ind w:firstLine="0"/>
        <w:jc w:val="center"/>
        <w:rPr>
          <w:iCs/>
          <w:sz w:val="28"/>
          <w:szCs w:val="28"/>
        </w:rPr>
      </w:pPr>
      <w:r w:rsidRPr="000657C9">
        <w:rPr>
          <w:sz w:val="28"/>
          <w:szCs w:val="28"/>
        </w:rPr>
        <w:t>Veselības ministre                                                                         I.Circene</w:t>
      </w:r>
    </w:p>
    <w:p w:rsidR="00A55F63" w:rsidRPr="000657C9" w:rsidRDefault="00A55F63" w:rsidP="0054042E">
      <w:pPr>
        <w:suppressAutoHyphens/>
        <w:spacing w:after="0" w:line="240" w:lineRule="auto"/>
        <w:rPr>
          <w:rFonts w:ascii="Times New Roman" w:hAnsi="Times New Roman"/>
          <w:sz w:val="24"/>
          <w:szCs w:val="24"/>
          <w:lang w:val="lv-LV"/>
        </w:rPr>
      </w:pPr>
    </w:p>
    <w:p w:rsidR="00A55F63" w:rsidRPr="000657C9" w:rsidRDefault="00A55F63" w:rsidP="0054042E">
      <w:pPr>
        <w:suppressAutoHyphens/>
        <w:spacing w:after="0" w:line="240" w:lineRule="auto"/>
        <w:rPr>
          <w:rFonts w:ascii="Times New Roman" w:hAnsi="Times New Roman"/>
          <w:lang w:val="lv-LV"/>
        </w:rPr>
      </w:pPr>
    </w:p>
    <w:p w:rsidR="00124D7B" w:rsidRPr="000657C9" w:rsidRDefault="009142C6" w:rsidP="00124D7B">
      <w:pPr>
        <w:suppressAutoHyphens/>
        <w:spacing w:after="0" w:line="240" w:lineRule="auto"/>
        <w:rPr>
          <w:rFonts w:ascii="Times New Roman" w:hAnsi="Times New Roman"/>
          <w:sz w:val="24"/>
          <w:szCs w:val="24"/>
          <w:lang w:val="lv-LV"/>
        </w:rPr>
      </w:pPr>
      <w:r>
        <w:rPr>
          <w:rFonts w:ascii="Times New Roman" w:hAnsi="Times New Roman"/>
          <w:sz w:val="24"/>
          <w:szCs w:val="24"/>
          <w:lang w:val="lv-LV"/>
        </w:rPr>
        <w:t>17</w:t>
      </w:r>
      <w:r w:rsidR="00C0795A">
        <w:rPr>
          <w:rFonts w:ascii="Times New Roman" w:hAnsi="Times New Roman"/>
          <w:sz w:val="24"/>
          <w:szCs w:val="24"/>
          <w:lang w:val="lv-LV"/>
        </w:rPr>
        <w:t>.07.2013    08</w:t>
      </w:r>
      <w:r w:rsidR="004737F4" w:rsidRPr="000657C9">
        <w:rPr>
          <w:rFonts w:ascii="Times New Roman" w:hAnsi="Times New Roman"/>
          <w:sz w:val="24"/>
          <w:szCs w:val="24"/>
          <w:lang w:val="lv-LV"/>
        </w:rPr>
        <w:t>:</w:t>
      </w:r>
      <w:r w:rsidR="00E05FCB">
        <w:rPr>
          <w:rFonts w:ascii="Times New Roman" w:hAnsi="Times New Roman"/>
          <w:sz w:val="24"/>
          <w:szCs w:val="24"/>
          <w:lang w:val="lv-LV"/>
        </w:rPr>
        <w:t>37</w:t>
      </w:r>
    </w:p>
    <w:p w:rsidR="00124D7B" w:rsidRPr="000657C9" w:rsidRDefault="00E05FCB" w:rsidP="00124D7B">
      <w:pPr>
        <w:suppressAutoHyphens/>
        <w:spacing w:after="0" w:line="240" w:lineRule="auto"/>
        <w:rPr>
          <w:rFonts w:ascii="Times New Roman" w:hAnsi="Times New Roman"/>
          <w:sz w:val="24"/>
          <w:szCs w:val="24"/>
          <w:lang w:val="lv-LV"/>
        </w:rPr>
      </w:pPr>
      <w:r>
        <w:rPr>
          <w:rFonts w:ascii="Times New Roman" w:hAnsi="Times New Roman"/>
          <w:sz w:val="24"/>
          <w:szCs w:val="24"/>
          <w:lang w:val="lv-LV"/>
        </w:rPr>
        <w:t>1084</w:t>
      </w:r>
    </w:p>
    <w:p w:rsidR="00124D7B" w:rsidRPr="000657C9" w:rsidRDefault="00124D7B" w:rsidP="00124D7B">
      <w:pPr>
        <w:suppressAutoHyphens/>
        <w:spacing w:after="0" w:line="240" w:lineRule="auto"/>
        <w:rPr>
          <w:rFonts w:ascii="Times New Roman" w:hAnsi="Times New Roman"/>
          <w:sz w:val="24"/>
          <w:szCs w:val="24"/>
          <w:lang w:val="lv-LV"/>
        </w:rPr>
      </w:pPr>
      <w:proofErr w:type="spellStart"/>
      <w:r w:rsidRPr="000657C9">
        <w:rPr>
          <w:rFonts w:ascii="Times New Roman" w:hAnsi="Times New Roman"/>
          <w:sz w:val="24"/>
          <w:szCs w:val="24"/>
          <w:lang w:val="lv-LV"/>
        </w:rPr>
        <w:t>S.Dreimane</w:t>
      </w:r>
      <w:proofErr w:type="spellEnd"/>
    </w:p>
    <w:p w:rsidR="00124D7B" w:rsidRPr="000657C9" w:rsidRDefault="00124D7B" w:rsidP="00124D7B">
      <w:pPr>
        <w:suppressAutoHyphens/>
        <w:spacing w:after="0" w:line="240" w:lineRule="auto"/>
        <w:rPr>
          <w:rFonts w:ascii="Times New Roman" w:hAnsi="Times New Roman"/>
          <w:sz w:val="24"/>
          <w:szCs w:val="24"/>
          <w:lang w:val="lv-LV"/>
        </w:rPr>
      </w:pPr>
      <w:r w:rsidRPr="000657C9">
        <w:rPr>
          <w:rFonts w:ascii="Times New Roman" w:hAnsi="Times New Roman"/>
          <w:sz w:val="24"/>
          <w:szCs w:val="24"/>
          <w:lang w:val="lv-LV"/>
        </w:rPr>
        <w:t>67876147, Sandra.Dreimane@vm.gov.lv</w:t>
      </w:r>
    </w:p>
    <w:p w:rsidR="00A55F63" w:rsidRPr="000657C9" w:rsidRDefault="00A55F63" w:rsidP="00817171">
      <w:pPr>
        <w:pStyle w:val="naisf"/>
        <w:spacing w:before="0" w:after="0"/>
        <w:ind w:firstLine="0"/>
        <w:rPr>
          <w:sz w:val="28"/>
          <w:szCs w:val="28"/>
        </w:rPr>
      </w:pPr>
    </w:p>
    <w:sectPr w:rsidR="00A55F63" w:rsidRPr="000657C9" w:rsidSect="008F0541">
      <w:headerReference w:type="default" r:id="rId8"/>
      <w:footerReference w:type="default" r:id="rId9"/>
      <w:footerReference w:type="first" r:id="rId10"/>
      <w:pgSz w:w="12240" w:h="15840"/>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A5E" w:rsidRDefault="00E85A5E" w:rsidP="00D176BF">
      <w:pPr>
        <w:spacing w:after="0" w:line="240" w:lineRule="auto"/>
      </w:pPr>
      <w:r>
        <w:separator/>
      </w:r>
    </w:p>
  </w:endnote>
  <w:endnote w:type="continuationSeparator" w:id="0">
    <w:p w:rsidR="00E85A5E" w:rsidRDefault="00E85A5E" w:rsidP="00D17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EE"/>
    <w:family w:val="roman"/>
    <w:notTrueType/>
    <w:pitch w:val="default"/>
    <w:sig w:usb0="00000007"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A5E" w:rsidRPr="00C22640" w:rsidRDefault="008F2581" w:rsidP="0054042E">
    <w:pPr>
      <w:jc w:val="both"/>
      <w:rPr>
        <w:rFonts w:ascii="Times New Roman" w:hAnsi="Times New Roman"/>
        <w:lang w:val="lv-LV"/>
      </w:rPr>
    </w:pPr>
    <w:r>
      <w:rPr>
        <w:rFonts w:ascii="Times New Roman" w:hAnsi="Times New Roman"/>
        <w:lang w:val="lv-LV"/>
      </w:rPr>
      <w:t>VMAnot_</w:t>
    </w:r>
    <w:r w:rsidR="009142C6">
      <w:rPr>
        <w:rFonts w:ascii="Times New Roman" w:hAnsi="Times New Roman"/>
        <w:lang w:val="lv-LV"/>
      </w:rPr>
      <w:t>17</w:t>
    </w:r>
    <w:r w:rsidR="000657C9">
      <w:rPr>
        <w:rFonts w:ascii="Times New Roman" w:hAnsi="Times New Roman"/>
        <w:lang w:val="lv-LV"/>
      </w:rPr>
      <w:t>07</w:t>
    </w:r>
    <w:r w:rsidR="00E85A5E" w:rsidRPr="00C22640">
      <w:rPr>
        <w:rFonts w:ascii="Times New Roman" w:hAnsi="Times New Roman"/>
        <w:lang w:val="lv-LV"/>
      </w:rPr>
      <w:t xml:space="preserve">13_MKnot-899; </w:t>
    </w:r>
    <w:bookmarkStart w:id="4" w:name="OLE_LINK8"/>
    <w:bookmarkStart w:id="5" w:name="OLE_LINK9"/>
    <w:bookmarkStart w:id="6" w:name="OLE_LINK3"/>
    <w:bookmarkStart w:id="7" w:name="OLE_LINK4"/>
    <w:r w:rsidR="00E85A5E" w:rsidRPr="00C22640">
      <w:rPr>
        <w:rFonts w:ascii="Times New Roman" w:hAnsi="Times New Roman"/>
        <w:lang w:val="lv-LV"/>
      </w:rPr>
      <w:t>Ministru kabineta noteikumu „Grozījumi Ministru kabineta 2006.gada 31.oktobra noteikumos Nr.899 „Ambulatorajai ārstēšanai paredzēto zāļu un medicīnisko ierīču iegādes izdevumu kompensācijas kārtība”” projekta</w:t>
    </w:r>
    <w:r w:rsidR="00E85A5E" w:rsidRPr="00C22640">
      <w:rPr>
        <w:rFonts w:ascii="Times New Roman" w:hAnsi="Times New Roman"/>
        <w:bCs/>
        <w:lang w:val="lv-LV"/>
      </w:rPr>
      <w:t xml:space="preserve"> </w:t>
    </w:r>
    <w:r w:rsidR="00E85A5E" w:rsidRPr="00C22640">
      <w:rPr>
        <w:rFonts w:ascii="Times New Roman" w:hAnsi="Times New Roman"/>
        <w:lang w:val="lv-LV"/>
      </w:rPr>
      <w:t>sākotnējās (</w:t>
    </w:r>
    <w:proofErr w:type="spellStart"/>
    <w:r w:rsidR="00E85A5E" w:rsidRPr="00C22640">
      <w:rPr>
        <w:rFonts w:ascii="Times New Roman" w:hAnsi="Times New Roman"/>
        <w:lang w:val="lv-LV"/>
      </w:rPr>
      <w:t>ex-ante</w:t>
    </w:r>
    <w:proofErr w:type="spellEnd"/>
    <w:r w:rsidR="00E85A5E" w:rsidRPr="00C22640">
      <w:rPr>
        <w:rFonts w:ascii="Times New Roman" w:hAnsi="Times New Roman"/>
        <w:lang w:val="lv-LV"/>
      </w:rPr>
      <w:t xml:space="preserve">) ietekmes novērtējuma </w:t>
    </w:r>
    <w:smartTag w:uri="schemas-tilde-lv/tildestengine" w:element="veidnes">
      <w:smartTagPr>
        <w:attr w:name="id" w:val="-1"/>
        <w:attr w:name="baseform" w:val="ziņojums"/>
        <w:attr w:name="text" w:val="ziņojums"/>
      </w:smartTagPr>
      <w:r w:rsidR="00E85A5E" w:rsidRPr="00C22640">
        <w:rPr>
          <w:rFonts w:ascii="Times New Roman" w:hAnsi="Times New Roman"/>
          <w:lang w:val="lv-LV"/>
        </w:rPr>
        <w:t>ziņojums</w:t>
      </w:r>
    </w:smartTag>
    <w:r w:rsidR="00E85A5E" w:rsidRPr="00C22640">
      <w:rPr>
        <w:rFonts w:ascii="Times New Roman" w:hAnsi="Times New Roman"/>
        <w:lang w:val="lv-LV"/>
      </w:rPr>
      <w:t xml:space="preserve"> (anotācija)</w:t>
    </w:r>
    <w:bookmarkEnd w:id="4"/>
    <w:bookmarkEnd w:id="5"/>
  </w:p>
  <w:bookmarkEnd w:id="6"/>
  <w:bookmarkEnd w:id="7"/>
  <w:p w:rsidR="00E85A5E" w:rsidRPr="0054042E" w:rsidRDefault="00E85A5E" w:rsidP="005404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A5E" w:rsidRPr="00C22640" w:rsidRDefault="008F2581" w:rsidP="00C22640">
    <w:pPr>
      <w:jc w:val="both"/>
      <w:rPr>
        <w:rFonts w:ascii="Times New Roman" w:hAnsi="Times New Roman"/>
        <w:lang w:val="lv-LV"/>
      </w:rPr>
    </w:pPr>
    <w:r>
      <w:rPr>
        <w:rFonts w:ascii="Times New Roman" w:hAnsi="Times New Roman"/>
        <w:lang w:val="lv-LV"/>
      </w:rPr>
      <w:t>VMAnot_</w:t>
    </w:r>
    <w:r w:rsidR="009142C6">
      <w:rPr>
        <w:rFonts w:ascii="Times New Roman" w:hAnsi="Times New Roman"/>
        <w:lang w:val="lv-LV"/>
      </w:rPr>
      <w:t>17</w:t>
    </w:r>
    <w:r w:rsidR="000657C9">
      <w:rPr>
        <w:rFonts w:ascii="Times New Roman" w:hAnsi="Times New Roman"/>
        <w:lang w:val="lv-LV"/>
      </w:rPr>
      <w:t>07</w:t>
    </w:r>
    <w:r w:rsidR="00E85A5E" w:rsidRPr="00C22640">
      <w:rPr>
        <w:rFonts w:ascii="Times New Roman" w:hAnsi="Times New Roman"/>
        <w:lang w:val="lv-LV"/>
      </w:rPr>
      <w:t>13_MKnot-899; Ministru kabineta noteikumu „Grozījumi Ministru kabineta 2006.gada 31.oktobra noteikumos Nr.899 „Ambulatorajai ārstēšanai paredzēto zāļu un medicīnisko ierīču iegādes izdevumu kompensācijas kārtība”” projekta</w:t>
    </w:r>
    <w:r w:rsidR="00E85A5E" w:rsidRPr="00C22640">
      <w:rPr>
        <w:rFonts w:ascii="Times New Roman" w:hAnsi="Times New Roman"/>
        <w:bCs/>
        <w:lang w:val="lv-LV"/>
      </w:rPr>
      <w:t xml:space="preserve"> </w:t>
    </w:r>
    <w:r w:rsidR="00E85A5E" w:rsidRPr="00C22640">
      <w:rPr>
        <w:rFonts w:ascii="Times New Roman" w:hAnsi="Times New Roman"/>
        <w:lang w:val="lv-LV"/>
      </w:rPr>
      <w:t>sākotnējās (</w:t>
    </w:r>
    <w:proofErr w:type="spellStart"/>
    <w:r w:rsidR="00E85A5E" w:rsidRPr="00C22640">
      <w:rPr>
        <w:rFonts w:ascii="Times New Roman" w:hAnsi="Times New Roman"/>
        <w:lang w:val="lv-LV"/>
      </w:rPr>
      <w:t>ex-ante</w:t>
    </w:r>
    <w:proofErr w:type="spellEnd"/>
    <w:r w:rsidR="00E85A5E" w:rsidRPr="00C22640">
      <w:rPr>
        <w:rFonts w:ascii="Times New Roman" w:hAnsi="Times New Roman"/>
        <w:lang w:val="lv-LV"/>
      </w:rPr>
      <w:t xml:space="preserve">) ietekmes novērtējuma </w:t>
    </w:r>
    <w:smartTag w:uri="schemas-tilde-lv/tildestengine" w:element="veidnes">
      <w:smartTagPr>
        <w:attr w:name="text" w:val="ziņojums"/>
        <w:attr w:name="baseform" w:val="ziņojums"/>
        <w:attr w:name="id" w:val="-1"/>
      </w:smartTagPr>
      <w:r w:rsidR="00E85A5E" w:rsidRPr="00C22640">
        <w:rPr>
          <w:rFonts w:ascii="Times New Roman" w:hAnsi="Times New Roman"/>
          <w:lang w:val="lv-LV"/>
        </w:rPr>
        <w:t>ziņojums</w:t>
      </w:r>
    </w:smartTag>
    <w:r w:rsidR="00E85A5E" w:rsidRPr="00C22640">
      <w:rPr>
        <w:rFonts w:ascii="Times New Roman" w:hAnsi="Times New Roman"/>
        <w:lang w:val="lv-LV"/>
      </w:rPr>
      <w:t xml:space="preserve"> (anotācija)</w:t>
    </w:r>
  </w:p>
  <w:p w:rsidR="00E85A5E" w:rsidRPr="00C80A77" w:rsidRDefault="00E85A5E">
    <w:pPr>
      <w:pStyle w:val="Footer"/>
      <w:rPr>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A5E" w:rsidRDefault="00E85A5E" w:rsidP="00D176BF">
      <w:pPr>
        <w:spacing w:after="0" w:line="240" w:lineRule="auto"/>
      </w:pPr>
      <w:r>
        <w:separator/>
      </w:r>
    </w:p>
  </w:footnote>
  <w:footnote w:type="continuationSeparator" w:id="0">
    <w:p w:rsidR="00E85A5E" w:rsidRDefault="00E85A5E" w:rsidP="00D17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A5E" w:rsidRDefault="00CD4017">
    <w:pPr>
      <w:pStyle w:val="Header"/>
      <w:jc w:val="center"/>
    </w:pPr>
    <w:r w:rsidRPr="008F0541">
      <w:rPr>
        <w:rFonts w:ascii="Times New Roman" w:hAnsi="Times New Roman"/>
      </w:rPr>
      <w:fldChar w:fldCharType="begin"/>
    </w:r>
    <w:r w:rsidR="00E85A5E" w:rsidRPr="008F0541">
      <w:rPr>
        <w:rFonts w:ascii="Times New Roman" w:hAnsi="Times New Roman"/>
      </w:rPr>
      <w:instrText xml:space="preserve"> PAGE   \* MERGEFORMAT </w:instrText>
    </w:r>
    <w:r w:rsidRPr="008F0541">
      <w:rPr>
        <w:rFonts w:ascii="Times New Roman" w:hAnsi="Times New Roman"/>
      </w:rPr>
      <w:fldChar w:fldCharType="separate"/>
    </w:r>
    <w:r w:rsidR="00E05FCB">
      <w:rPr>
        <w:rFonts w:ascii="Times New Roman" w:hAnsi="Times New Roman"/>
        <w:noProof/>
      </w:rPr>
      <w:t>6</w:t>
    </w:r>
    <w:r w:rsidRPr="008F0541">
      <w:rPr>
        <w:rFonts w:ascii="Times New Roman" w:hAnsi="Times New Roman"/>
      </w:rPr>
      <w:fldChar w:fldCharType="end"/>
    </w:r>
  </w:p>
  <w:p w:rsidR="00E85A5E" w:rsidRDefault="00E85A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07C3D"/>
    <w:multiLevelType w:val="hybridMultilevel"/>
    <w:tmpl w:val="323A441E"/>
    <w:lvl w:ilvl="0" w:tplc="D84C5486">
      <w:start w:val="201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6758F"/>
    <w:multiLevelType w:val="hybridMultilevel"/>
    <w:tmpl w:val="C310F654"/>
    <w:lvl w:ilvl="0" w:tplc="D696CDCC">
      <w:start w:val="201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36AB1"/>
    <w:multiLevelType w:val="hybridMultilevel"/>
    <w:tmpl w:val="9326B458"/>
    <w:lvl w:ilvl="0" w:tplc="6D166858">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461AE"/>
    <w:multiLevelType w:val="hybridMultilevel"/>
    <w:tmpl w:val="E02C9A5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5E17097"/>
    <w:multiLevelType w:val="hybridMultilevel"/>
    <w:tmpl w:val="09FC8008"/>
    <w:lvl w:ilvl="0" w:tplc="2EDABABA">
      <w:start w:val="20"/>
      <w:numFmt w:val="bullet"/>
      <w:lvlText w:val="-"/>
      <w:lvlJc w:val="left"/>
      <w:pPr>
        <w:ind w:left="420" w:hanging="360"/>
      </w:pPr>
      <w:rPr>
        <w:rFonts w:ascii="Times New Roman" w:eastAsia="Times New Roman" w:hAnsi="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nsid w:val="26AD04AA"/>
    <w:multiLevelType w:val="hybridMultilevel"/>
    <w:tmpl w:val="A856889A"/>
    <w:lvl w:ilvl="0" w:tplc="DC1A8A7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8476106"/>
    <w:multiLevelType w:val="hybridMultilevel"/>
    <w:tmpl w:val="E07C6E6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9D55A37"/>
    <w:multiLevelType w:val="hybridMultilevel"/>
    <w:tmpl w:val="8912091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D6C0D8F"/>
    <w:multiLevelType w:val="hybridMultilevel"/>
    <w:tmpl w:val="7EEC8FE4"/>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460A2C50"/>
    <w:multiLevelType w:val="multilevel"/>
    <w:tmpl w:val="24F07FC4"/>
    <w:lvl w:ilvl="0">
      <w:start w:val="1"/>
      <w:numFmt w:val="decimal"/>
      <w:lvlText w:val="%1."/>
      <w:lvlJc w:val="left"/>
      <w:pPr>
        <w:ind w:left="928" w:hanging="360"/>
      </w:pPr>
      <w:rPr>
        <w:rFonts w:cs="Times New Roman" w:hint="default"/>
        <w:sz w:val="28"/>
        <w:szCs w:val="28"/>
      </w:rPr>
    </w:lvl>
    <w:lvl w:ilvl="1">
      <w:start w:val="1"/>
      <w:numFmt w:val="decimal"/>
      <w:lvlText w:val="%1.%2."/>
      <w:lvlJc w:val="left"/>
      <w:pPr>
        <w:ind w:left="85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48854B72"/>
    <w:multiLevelType w:val="hybridMultilevel"/>
    <w:tmpl w:val="0066925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A8D44A8"/>
    <w:multiLevelType w:val="hybridMultilevel"/>
    <w:tmpl w:val="194E1B0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FE96CF0"/>
    <w:multiLevelType w:val="multilevel"/>
    <w:tmpl w:val="19C623BE"/>
    <w:lvl w:ilvl="0">
      <w:start w:val="1"/>
      <w:numFmt w:val="decimal"/>
      <w:lvlText w:val="%1."/>
      <w:lvlJc w:val="left"/>
      <w:pPr>
        <w:ind w:left="420" w:hanging="420"/>
      </w:pPr>
      <w:rPr>
        <w:rFonts w:cs="Times New Roman" w:hint="default"/>
      </w:rPr>
    </w:lvl>
    <w:lvl w:ilvl="1">
      <w:start w:val="1"/>
      <w:numFmt w:val="decimal"/>
      <w:lvlText w:val="%1.%2."/>
      <w:lvlJc w:val="left"/>
      <w:pPr>
        <w:ind w:left="465" w:hanging="420"/>
      </w:pPr>
      <w:rPr>
        <w:rFonts w:cs="Times New Roman" w:hint="default"/>
      </w:rPr>
    </w:lvl>
    <w:lvl w:ilvl="2">
      <w:start w:val="1"/>
      <w:numFmt w:val="decimal"/>
      <w:lvlText w:val="%1.%2.%3."/>
      <w:lvlJc w:val="left"/>
      <w:pPr>
        <w:ind w:left="810" w:hanging="720"/>
      </w:pPr>
      <w:rPr>
        <w:rFonts w:cs="Times New Roman" w:hint="default"/>
      </w:rPr>
    </w:lvl>
    <w:lvl w:ilvl="3">
      <w:start w:val="1"/>
      <w:numFmt w:val="decimal"/>
      <w:lvlText w:val="%1.%2.%3.%4."/>
      <w:lvlJc w:val="left"/>
      <w:pPr>
        <w:ind w:left="855" w:hanging="720"/>
      </w:pPr>
      <w:rPr>
        <w:rFonts w:cs="Times New Roman" w:hint="default"/>
      </w:rPr>
    </w:lvl>
    <w:lvl w:ilvl="4">
      <w:start w:val="1"/>
      <w:numFmt w:val="decimal"/>
      <w:lvlText w:val="%1.%2.%3.%4.%5."/>
      <w:lvlJc w:val="left"/>
      <w:pPr>
        <w:ind w:left="1260" w:hanging="1080"/>
      </w:pPr>
      <w:rPr>
        <w:rFonts w:cs="Times New Roman" w:hint="default"/>
      </w:rPr>
    </w:lvl>
    <w:lvl w:ilvl="5">
      <w:start w:val="1"/>
      <w:numFmt w:val="decimal"/>
      <w:lvlText w:val="%1.%2.%3.%4.%5.%6."/>
      <w:lvlJc w:val="left"/>
      <w:pPr>
        <w:ind w:left="1305" w:hanging="1080"/>
      </w:pPr>
      <w:rPr>
        <w:rFonts w:cs="Times New Roman" w:hint="default"/>
      </w:rPr>
    </w:lvl>
    <w:lvl w:ilvl="6">
      <w:start w:val="1"/>
      <w:numFmt w:val="decimal"/>
      <w:lvlText w:val="%1.%2.%3.%4.%5.%6.%7."/>
      <w:lvlJc w:val="left"/>
      <w:pPr>
        <w:ind w:left="1710" w:hanging="1440"/>
      </w:pPr>
      <w:rPr>
        <w:rFonts w:cs="Times New Roman" w:hint="default"/>
      </w:rPr>
    </w:lvl>
    <w:lvl w:ilvl="7">
      <w:start w:val="1"/>
      <w:numFmt w:val="decimal"/>
      <w:lvlText w:val="%1.%2.%3.%4.%5.%6.%7.%8."/>
      <w:lvlJc w:val="left"/>
      <w:pPr>
        <w:ind w:left="1755" w:hanging="1440"/>
      </w:pPr>
      <w:rPr>
        <w:rFonts w:cs="Times New Roman" w:hint="default"/>
      </w:rPr>
    </w:lvl>
    <w:lvl w:ilvl="8">
      <w:start w:val="1"/>
      <w:numFmt w:val="decimal"/>
      <w:lvlText w:val="%1.%2.%3.%4.%5.%6.%7.%8.%9."/>
      <w:lvlJc w:val="left"/>
      <w:pPr>
        <w:ind w:left="2160" w:hanging="1800"/>
      </w:pPr>
      <w:rPr>
        <w:rFonts w:cs="Times New Roman" w:hint="default"/>
      </w:rPr>
    </w:lvl>
  </w:abstractNum>
  <w:abstractNum w:abstractNumId="13">
    <w:nsid w:val="557E110B"/>
    <w:multiLevelType w:val="hybridMultilevel"/>
    <w:tmpl w:val="E07C6E6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CF2750B"/>
    <w:multiLevelType w:val="multilevel"/>
    <w:tmpl w:val="169A6AA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6CD5651C"/>
    <w:multiLevelType w:val="hybridMultilevel"/>
    <w:tmpl w:val="278EDF6A"/>
    <w:lvl w:ilvl="0" w:tplc="F4EEE740">
      <w:start w:val="4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F4A4A09"/>
    <w:multiLevelType w:val="hybridMultilevel"/>
    <w:tmpl w:val="491AD5C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31008FA"/>
    <w:multiLevelType w:val="multilevel"/>
    <w:tmpl w:val="2DB6F736"/>
    <w:lvl w:ilvl="0">
      <w:start w:val="45"/>
      <w:numFmt w:val="decimal"/>
      <w:lvlText w:val="%1"/>
      <w:lvlJc w:val="left"/>
      <w:pPr>
        <w:ind w:left="840" w:hanging="840"/>
      </w:pPr>
      <w:rPr>
        <w:rFonts w:cs="Times New Roman" w:hint="default"/>
      </w:rPr>
    </w:lvl>
    <w:lvl w:ilvl="1">
      <w:start w:val="2"/>
      <w:numFmt w:val="decimalZero"/>
      <w:lvlText w:val="%1.%2.0"/>
      <w:lvlJc w:val="left"/>
      <w:pPr>
        <w:ind w:left="1080" w:hanging="840"/>
      </w:pPr>
      <w:rPr>
        <w:rFonts w:cs="Times New Roman" w:hint="default"/>
      </w:rPr>
    </w:lvl>
    <w:lvl w:ilvl="2">
      <w:start w:val="1"/>
      <w:numFmt w:val="decimalZero"/>
      <w:lvlText w:val="%1.%2.%3"/>
      <w:lvlJc w:val="left"/>
      <w:pPr>
        <w:ind w:left="1320" w:hanging="840"/>
      </w:pPr>
      <w:rPr>
        <w:rFonts w:cs="Times New Roman" w:hint="default"/>
      </w:rPr>
    </w:lvl>
    <w:lvl w:ilvl="3">
      <w:start w:val="1"/>
      <w:numFmt w:val="decimal"/>
      <w:lvlText w:val="%1.%2.%3.%4"/>
      <w:lvlJc w:val="left"/>
      <w:pPr>
        <w:ind w:left="1560" w:hanging="84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18">
    <w:nsid w:val="73DA4FEE"/>
    <w:multiLevelType w:val="hybridMultilevel"/>
    <w:tmpl w:val="6486F570"/>
    <w:lvl w:ilvl="0" w:tplc="C304EDF4">
      <w:start w:val="1"/>
      <w:numFmt w:val="decimal"/>
      <w:lvlText w:val="%1)"/>
      <w:lvlJc w:val="left"/>
      <w:pPr>
        <w:ind w:left="765"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FC61DF7"/>
    <w:multiLevelType w:val="hybridMultilevel"/>
    <w:tmpl w:val="EAF68666"/>
    <w:lvl w:ilvl="0" w:tplc="8902BD8C">
      <w:start w:val="1"/>
      <w:numFmt w:val="decimal"/>
      <w:lvlText w:val="%1."/>
      <w:lvlJc w:val="left"/>
      <w:pPr>
        <w:ind w:left="598" w:hanging="360"/>
      </w:pPr>
      <w:rPr>
        <w:rFonts w:ascii="Times New Roman" w:eastAsia="Calibri" w:hAnsi="Times New Roman" w:cs="Times New Roman"/>
      </w:rPr>
    </w:lvl>
    <w:lvl w:ilvl="1" w:tplc="04090003" w:tentative="1">
      <w:start w:val="1"/>
      <w:numFmt w:val="bullet"/>
      <w:lvlText w:val="o"/>
      <w:lvlJc w:val="left"/>
      <w:pPr>
        <w:ind w:left="1318" w:hanging="360"/>
      </w:pPr>
      <w:rPr>
        <w:rFonts w:ascii="Courier New" w:hAnsi="Courier New" w:cs="Courier New" w:hint="default"/>
      </w:rPr>
    </w:lvl>
    <w:lvl w:ilvl="2" w:tplc="04090005" w:tentative="1">
      <w:start w:val="1"/>
      <w:numFmt w:val="bullet"/>
      <w:lvlText w:val=""/>
      <w:lvlJc w:val="left"/>
      <w:pPr>
        <w:ind w:left="2038" w:hanging="360"/>
      </w:pPr>
      <w:rPr>
        <w:rFonts w:ascii="Wingdings" w:hAnsi="Wingdings" w:hint="default"/>
      </w:rPr>
    </w:lvl>
    <w:lvl w:ilvl="3" w:tplc="04090001" w:tentative="1">
      <w:start w:val="1"/>
      <w:numFmt w:val="bullet"/>
      <w:lvlText w:val=""/>
      <w:lvlJc w:val="left"/>
      <w:pPr>
        <w:ind w:left="2758" w:hanging="360"/>
      </w:pPr>
      <w:rPr>
        <w:rFonts w:ascii="Symbol" w:hAnsi="Symbol" w:hint="default"/>
      </w:rPr>
    </w:lvl>
    <w:lvl w:ilvl="4" w:tplc="04090003" w:tentative="1">
      <w:start w:val="1"/>
      <w:numFmt w:val="bullet"/>
      <w:lvlText w:val="o"/>
      <w:lvlJc w:val="left"/>
      <w:pPr>
        <w:ind w:left="3478" w:hanging="360"/>
      </w:pPr>
      <w:rPr>
        <w:rFonts w:ascii="Courier New" w:hAnsi="Courier New" w:cs="Courier New" w:hint="default"/>
      </w:rPr>
    </w:lvl>
    <w:lvl w:ilvl="5" w:tplc="04090005" w:tentative="1">
      <w:start w:val="1"/>
      <w:numFmt w:val="bullet"/>
      <w:lvlText w:val=""/>
      <w:lvlJc w:val="left"/>
      <w:pPr>
        <w:ind w:left="4198" w:hanging="360"/>
      </w:pPr>
      <w:rPr>
        <w:rFonts w:ascii="Wingdings" w:hAnsi="Wingdings" w:hint="default"/>
      </w:rPr>
    </w:lvl>
    <w:lvl w:ilvl="6" w:tplc="04090001" w:tentative="1">
      <w:start w:val="1"/>
      <w:numFmt w:val="bullet"/>
      <w:lvlText w:val=""/>
      <w:lvlJc w:val="left"/>
      <w:pPr>
        <w:ind w:left="4918" w:hanging="360"/>
      </w:pPr>
      <w:rPr>
        <w:rFonts w:ascii="Symbol" w:hAnsi="Symbol" w:hint="default"/>
      </w:rPr>
    </w:lvl>
    <w:lvl w:ilvl="7" w:tplc="04090003" w:tentative="1">
      <w:start w:val="1"/>
      <w:numFmt w:val="bullet"/>
      <w:lvlText w:val="o"/>
      <w:lvlJc w:val="left"/>
      <w:pPr>
        <w:ind w:left="5638" w:hanging="360"/>
      </w:pPr>
      <w:rPr>
        <w:rFonts w:ascii="Courier New" w:hAnsi="Courier New" w:cs="Courier New" w:hint="default"/>
      </w:rPr>
    </w:lvl>
    <w:lvl w:ilvl="8" w:tplc="04090005" w:tentative="1">
      <w:start w:val="1"/>
      <w:numFmt w:val="bullet"/>
      <w:lvlText w:val=""/>
      <w:lvlJc w:val="left"/>
      <w:pPr>
        <w:ind w:left="6358" w:hanging="360"/>
      </w:pPr>
      <w:rPr>
        <w:rFonts w:ascii="Wingdings" w:hAnsi="Wingdings" w:hint="default"/>
      </w:rPr>
    </w:lvl>
  </w:abstractNum>
  <w:num w:numId="1">
    <w:abstractNumId w:val="8"/>
  </w:num>
  <w:num w:numId="2">
    <w:abstractNumId w:val="3"/>
  </w:num>
  <w:num w:numId="3">
    <w:abstractNumId w:val="7"/>
  </w:num>
  <w:num w:numId="4">
    <w:abstractNumId w:val="11"/>
  </w:num>
  <w:num w:numId="5">
    <w:abstractNumId w:val="16"/>
  </w:num>
  <w:num w:numId="6">
    <w:abstractNumId w:val="18"/>
  </w:num>
  <w:num w:numId="7">
    <w:abstractNumId w:val="2"/>
  </w:num>
  <w:num w:numId="8">
    <w:abstractNumId w:val="10"/>
  </w:num>
  <w:num w:numId="9">
    <w:abstractNumId w:val="0"/>
  </w:num>
  <w:num w:numId="10">
    <w:abstractNumId w:val="1"/>
  </w:num>
  <w:num w:numId="11">
    <w:abstractNumId w:val="12"/>
  </w:num>
  <w:num w:numId="12">
    <w:abstractNumId w:val="9"/>
  </w:num>
  <w:num w:numId="13">
    <w:abstractNumId w:val="6"/>
  </w:num>
  <w:num w:numId="14">
    <w:abstractNumId w:val="13"/>
  </w:num>
  <w:num w:numId="15">
    <w:abstractNumId w:val="4"/>
  </w:num>
  <w:num w:numId="16">
    <w:abstractNumId w:val="17"/>
  </w:num>
  <w:num w:numId="17">
    <w:abstractNumId w:val="15"/>
  </w:num>
  <w:num w:numId="18">
    <w:abstractNumId w:val="5"/>
  </w:num>
  <w:num w:numId="19">
    <w:abstractNumId w:val="14"/>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76BF"/>
    <w:rsid w:val="00000362"/>
    <w:rsid w:val="0000190A"/>
    <w:rsid w:val="000077EB"/>
    <w:rsid w:val="00011728"/>
    <w:rsid w:val="000134B5"/>
    <w:rsid w:val="000178DB"/>
    <w:rsid w:val="0002006A"/>
    <w:rsid w:val="0002007C"/>
    <w:rsid w:val="00020C0C"/>
    <w:rsid w:val="00023451"/>
    <w:rsid w:val="00024A13"/>
    <w:rsid w:val="00025013"/>
    <w:rsid w:val="000253A5"/>
    <w:rsid w:val="00027F38"/>
    <w:rsid w:val="00037CA2"/>
    <w:rsid w:val="0004227B"/>
    <w:rsid w:val="000528B6"/>
    <w:rsid w:val="00053897"/>
    <w:rsid w:val="00060E6A"/>
    <w:rsid w:val="000628B0"/>
    <w:rsid w:val="00063230"/>
    <w:rsid w:val="000657C9"/>
    <w:rsid w:val="0006715C"/>
    <w:rsid w:val="0006771D"/>
    <w:rsid w:val="00067F88"/>
    <w:rsid w:val="000752B8"/>
    <w:rsid w:val="00076727"/>
    <w:rsid w:val="00076978"/>
    <w:rsid w:val="00083151"/>
    <w:rsid w:val="000833C5"/>
    <w:rsid w:val="000834BE"/>
    <w:rsid w:val="000914ED"/>
    <w:rsid w:val="0009665A"/>
    <w:rsid w:val="0009784C"/>
    <w:rsid w:val="000C1723"/>
    <w:rsid w:val="000C5F3C"/>
    <w:rsid w:val="000C77C4"/>
    <w:rsid w:val="000D1549"/>
    <w:rsid w:val="000D469D"/>
    <w:rsid w:val="000E03FB"/>
    <w:rsid w:val="000E6F7F"/>
    <w:rsid w:val="000F0009"/>
    <w:rsid w:val="000F08D1"/>
    <w:rsid w:val="000F12B2"/>
    <w:rsid w:val="000F52B1"/>
    <w:rsid w:val="000F53A1"/>
    <w:rsid w:val="00101CAA"/>
    <w:rsid w:val="001028CB"/>
    <w:rsid w:val="00104C96"/>
    <w:rsid w:val="00111916"/>
    <w:rsid w:val="0011335C"/>
    <w:rsid w:val="0011591E"/>
    <w:rsid w:val="00124D7B"/>
    <w:rsid w:val="00130063"/>
    <w:rsid w:val="00135079"/>
    <w:rsid w:val="001356B2"/>
    <w:rsid w:val="00142244"/>
    <w:rsid w:val="0014731E"/>
    <w:rsid w:val="001500BF"/>
    <w:rsid w:val="00150589"/>
    <w:rsid w:val="00154FFB"/>
    <w:rsid w:val="0016540E"/>
    <w:rsid w:val="00166AA1"/>
    <w:rsid w:val="00171B5A"/>
    <w:rsid w:val="0017506D"/>
    <w:rsid w:val="00176877"/>
    <w:rsid w:val="00191346"/>
    <w:rsid w:val="001941BF"/>
    <w:rsid w:val="001962D0"/>
    <w:rsid w:val="001A0BBA"/>
    <w:rsid w:val="001A1FA1"/>
    <w:rsid w:val="001A6F65"/>
    <w:rsid w:val="001B05B2"/>
    <w:rsid w:val="001B141F"/>
    <w:rsid w:val="001B2845"/>
    <w:rsid w:val="001B4C40"/>
    <w:rsid w:val="001B51C8"/>
    <w:rsid w:val="001C0BF7"/>
    <w:rsid w:val="001C1F3A"/>
    <w:rsid w:val="001C5E4B"/>
    <w:rsid w:val="001D1BC9"/>
    <w:rsid w:val="001D5605"/>
    <w:rsid w:val="001D59DA"/>
    <w:rsid w:val="001D732D"/>
    <w:rsid w:val="001E5F86"/>
    <w:rsid w:val="001F33B8"/>
    <w:rsid w:val="002001A5"/>
    <w:rsid w:val="00201D45"/>
    <w:rsid w:val="0021084F"/>
    <w:rsid w:val="00211D92"/>
    <w:rsid w:val="0022253A"/>
    <w:rsid w:val="00222B6F"/>
    <w:rsid w:val="0022732F"/>
    <w:rsid w:val="00227725"/>
    <w:rsid w:val="00235FE6"/>
    <w:rsid w:val="00241FCF"/>
    <w:rsid w:val="00242937"/>
    <w:rsid w:val="00243EA3"/>
    <w:rsid w:val="00245710"/>
    <w:rsid w:val="0025078C"/>
    <w:rsid w:val="00251BDC"/>
    <w:rsid w:val="0025543A"/>
    <w:rsid w:val="00260CE9"/>
    <w:rsid w:val="0026338C"/>
    <w:rsid w:val="002637E7"/>
    <w:rsid w:val="002639BD"/>
    <w:rsid w:val="00267BEC"/>
    <w:rsid w:val="002737DD"/>
    <w:rsid w:val="002825B3"/>
    <w:rsid w:val="00282A0E"/>
    <w:rsid w:val="00285A2F"/>
    <w:rsid w:val="002864A5"/>
    <w:rsid w:val="00292F2A"/>
    <w:rsid w:val="002A4881"/>
    <w:rsid w:val="002A51C6"/>
    <w:rsid w:val="002B3DC3"/>
    <w:rsid w:val="002B4988"/>
    <w:rsid w:val="002C1D50"/>
    <w:rsid w:val="002C1DCB"/>
    <w:rsid w:val="002C51E6"/>
    <w:rsid w:val="002C5C4C"/>
    <w:rsid w:val="002D275A"/>
    <w:rsid w:val="002D4948"/>
    <w:rsid w:val="002D6D6C"/>
    <w:rsid w:val="002E34A2"/>
    <w:rsid w:val="002E50CE"/>
    <w:rsid w:val="002F3582"/>
    <w:rsid w:val="002F6EE8"/>
    <w:rsid w:val="00303922"/>
    <w:rsid w:val="00306641"/>
    <w:rsid w:val="00312F06"/>
    <w:rsid w:val="00313672"/>
    <w:rsid w:val="003139BF"/>
    <w:rsid w:val="00314CA8"/>
    <w:rsid w:val="0031547E"/>
    <w:rsid w:val="0031647C"/>
    <w:rsid w:val="003203BC"/>
    <w:rsid w:val="00324283"/>
    <w:rsid w:val="003274ED"/>
    <w:rsid w:val="00335F3F"/>
    <w:rsid w:val="00341F31"/>
    <w:rsid w:val="0034315F"/>
    <w:rsid w:val="00345CFC"/>
    <w:rsid w:val="00352A66"/>
    <w:rsid w:val="00360A6A"/>
    <w:rsid w:val="00365E8B"/>
    <w:rsid w:val="0036675C"/>
    <w:rsid w:val="00366FA1"/>
    <w:rsid w:val="0037236D"/>
    <w:rsid w:val="003735BD"/>
    <w:rsid w:val="00374E6C"/>
    <w:rsid w:val="0037510C"/>
    <w:rsid w:val="003775C6"/>
    <w:rsid w:val="0038278E"/>
    <w:rsid w:val="003838C5"/>
    <w:rsid w:val="003856CC"/>
    <w:rsid w:val="00387B92"/>
    <w:rsid w:val="00392160"/>
    <w:rsid w:val="00396195"/>
    <w:rsid w:val="003A23F1"/>
    <w:rsid w:val="003A4781"/>
    <w:rsid w:val="003A50A7"/>
    <w:rsid w:val="003A5F34"/>
    <w:rsid w:val="003A6A1A"/>
    <w:rsid w:val="003B33B2"/>
    <w:rsid w:val="003B656F"/>
    <w:rsid w:val="003B6C42"/>
    <w:rsid w:val="003B73DC"/>
    <w:rsid w:val="003C50C6"/>
    <w:rsid w:val="003D1D07"/>
    <w:rsid w:val="003E306E"/>
    <w:rsid w:val="003E4ED8"/>
    <w:rsid w:val="003E6FB9"/>
    <w:rsid w:val="003F0001"/>
    <w:rsid w:val="003F0CA5"/>
    <w:rsid w:val="003F412B"/>
    <w:rsid w:val="003F4512"/>
    <w:rsid w:val="003F4ACC"/>
    <w:rsid w:val="003F6650"/>
    <w:rsid w:val="004013E2"/>
    <w:rsid w:val="00406678"/>
    <w:rsid w:val="00406D82"/>
    <w:rsid w:val="00411537"/>
    <w:rsid w:val="004144CF"/>
    <w:rsid w:val="00417F29"/>
    <w:rsid w:val="004234B0"/>
    <w:rsid w:val="00425645"/>
    <w:rsid w:val="0042610B"/>
    <w:rsid w:val="00430EE6"/>
    <w:rsid w:val="00431D99"/>
    <w:rsid w:val="004335F1"/>
    <w:rsid w:val="00446DE6"/>
    <w:rsid w:val="00447D80"/>
    <w:rsid w:val="00451FF3"/>
    <w:rsid w:val="0045458F"/>
    <w:rsid w:val="00455411"/>
    <w:rsid w:val="0046030E"/>
    <w:rsid w:val="00460C11"/>
    <w:rsid w:val="004631F4"/>
    <w:rsid w:val="0046466C"/>
    <w:rsid w:val="00466850"/>
    <w:rsid w:val="00472545"/>
    <w:rsid w:val="004737F4"/>
    <w:rsid w:val="0047667E"/>
    <w:rsid w:val="00476CBE"/>
    <w:rsid w:val="00476F42"/>
    <w:rsid w:val="00492C07"/>
    <w:rsid w:val="00492D51"/>
    <w:rsid w:val="004962B8"/>
    <w:rsid w:val="004A11F7"/>
    <w:rsid w:val="004A1BC5"/>
    <w:rsid w:val="004A41BE"/>
    <w:rsid w:val="004A4E32"/>
    <w:rsid w:val="004B405B"/>
    <w:rsid w:val="004B68DA"/>
    <w:rsid w:val="004C3A89"/>
    <w:rsid w:val="004C4FF9"/>
    <w:rsid w:val="004C6410"/>
    <w:rsid w:val="004C6F0E"/>
    <w:rsid w:val="004D747C"/>
    <w:rsid w:val="004E0EDB"/>
    <w:rsid w:val="004E32E7"/>
    <w:rsid w:val="004E598A"/>
    <w:rsid w:val="004F779D"/>
    <w:rsid w:val="00502EEF"/>
    <w:rsid w:val="005054CC"/>
    <w:rsid w:val="00513260"/>
    <w:rsid w:val="005210C3"/>
    <w:rsid w:val="00525F6C"/>
    <w:rsid w:val="005265C4"/>
    <w:rsid w:val="00540000"/>
    <w:rsid w:val="0054042E"/>
    <w:rsid w:val="00540818"/>
    <w:rsid w:val="005411E1"/>
    <w:rsid w:val="0054168B"/>
    <w:rsid w:val="005432F5"/>
    <w:rsid w:val="00545536"/>
    <w:rsid w:val="005506A0"/>
    <w:rsid w:val="005534FE"/>
    <w:rsid w:val="005557D8"/>
    <w:rsid w:val="005602A4"/>
    <w:rsid w:val="00561DD1"/>
    <w:rsid w:val="005651E9"/>
    <w:rsid w:val="005677C2"/>
    <w:rsid w:val="0057017B"/>
    <w:rsid w:val="00571A68"/>
    <w:rsid w:val="00571AC7"/>
    <w:rsid w:val="00572780"/>
    <w:rsid w:val="005866EF"/>
    <w:rsid w:val="0059461C"/>
    <w:rsid w:val="005C35BA"/>
    <w:rsid w:val="005C3B8C"/>
    <w:rsid w:val="005D15E8"/>
    <w:rsid w:val="005D4AE6"/>
    <w:rsid w:val="005E18FE"/>
    <w:rsid w:val="005E31B4"/>
    <w:rsid w:val="005F5533"/>
    <w:rsid w:val="005F6893"/>
    <w:rsid w:val="005F76A5"/>
    <w:rsid w:val="00605BE7"/>
    <w:rsid w:val="00611A72"/>
    <w:rsid w:val="00613E8F"/>
    <w:rsid w:val="006230C6"/>
    <w:rsid w:val="00632DCB"/>
    <w:rsid w:val="00636C85"/>
    <w:rsid w:val="006407AB"/>
    <w:rsid w:val="00646059"/>
    <w:rsid w:val="00651E70"/>
    <w:rsid w:val="006523C4"/>
    <w:rsid w:val="006528C4"/>
    <w:rsid w:val="006614D3"/>
    <w:rsid w:val="00662957"/>
    <w:rsid w:val="00663130"/>
    <w:rsid w:val="00663B03"/>
    <w:rsid w:val="0066508E"/>
    <w:rsid w:val="00666600"/>
    <w:rsid w:val="00675CEE"/>
    <w:rsid w:val="00675D97"/>
    <w:rsid w:val="00676BDA"/>
    <w:rsid w:val="00677602"/>
    <w:rsid w:val="00685E66"/>
    <w:rsid w:val="00687C83"/>
    <w:rsid w:val="006906EC"/>
    <w:rsid w:val="00694649"/>
    <w:rsid w:val="00695379"/>
    <w:rsid w:val="006A467A"/>
    <w:rsid w:val="006A5353"/>
    <w:rsid w:val="006A7D54"/>
    <w:rsid w:val="006B1A03"/>
    <w:rsid w:val="006B2600"/>
    <w:rsid w:val="006B270E"/>
    <w:rsid w:val="006B35FF"/>
    <w:rsid w:val="006C126F"/>
    <w:rsid w:val="006C63FD"/>
    <w:rsid w:val="006C64C5"/>
    <w:rsid w:val="006C71B1"/>
    <w:rsid w:val="006E0ADB"/>
    <w:rsid w:val="006E1B1F"/>
    <w:rsid w:val="006E49B0"/>
    <w:rsid w:val="006E5FD1"/>
    <w:rsid w:val="006E619B"/>
    <w:rsid w:val="006E7258"/>
    <w:rsid w:val="006F047C"/>
    <w:rsid w:val="006F40E3"/>
    <w:rsid w:val="006F4CFE"/>
    <w:rsid w:val="007014D9"/>
    <w:rsid w:val="0070292C"/>
    <w:rsid w:val="00711B2F"/>
    <w:rsid w:val="007205B7"/>
    <w:rsid w:val="00722DC7"/>
    <w:rsid w:val="00724701"/>
    <w:rsid w:val="00726E72"/>
    <w:rsid w:val="00737F57"/>
    <w:rsid w:val="00741751"/>
    <w:rsid w:val="0075021F"/>
    <w:rsid w:val="0075091C"/>
    <w:rsid w:val="00753290"/>
    <w:rsid w:val="00760809"/>
    <w:rsid w:val="00766639"/>
    <w:rsid w:val="00766DC5"/>
    <w:rsid w:val="00771666"/>
    <w:rsid w:val="00772A6B"/>
    <w:rsid w:val="00772C22"/>
    <w:rsid w:val="00780206"/>
    <w:rsid w:val="00786F08"/>
    <w:rsid w:val="0078736E"/>
    <w:rsid w:val="00794128"/>
    <w:rsid w:val="007A3C0A"/>
    <w:rsid w:val="007A7F2E"/>
    <w:rsid w:val="007B163F"/>
    <w:rsid w:val="007B7424"/>
    <w:rsid w:val="007C16A4"/>
    <w:rsid w:val="007C502C"/>
    <w:rsid w:val="007C6501"/>
    <w:rsid w:val="007D1667"/>
    <w:rsid w:val="007D388E"/>
    <w:rsid w:val="007D7058"/>
    <w:rsid w:val="007E0C28"/>
    <w:rsid w:val="007E24D9"/>
    <w:rsid w:val="007E3CC2"/>
    <w:rsid w:val="007E3E6A"/>
    <w:rsid w:val="007E5C42"/>
    <w:rsid w:val="007F2EA3"/>
    <w:rsid w:val="007F41CE"/>
    <w:rsid w:val="007F6C93"/>
    <w:rsid w:val="0080167D"/>
    <w:rsid w:val="00805785"/>
    <w:rsid w:val="00811A3F"/>
    <w:rsid w:val="008139E2"/>
    <w:rsid w:val="008143D2"/>
    <w:rsid w:val="00817171"/>
    <w:rsid w:val="00821980"/>
    <w:rsid w:val="00822B8C"/>
    <w:rsid w:val="00824D2F"/>
    <w:rsid w:val="00825ECD"/>
    <w:rsid w:val="008371E1"/>
    <w:rsid w:val="00853124"/>
    <w:rsid w:val="008535C3"/>
    <w:rsid w:val="0085483E"/>
    <w:rsid w:val="00863A9C"/>
    <w:rsid w:val="00865693"/>
    <w:rsid w:val="008671C0"/>
    <w:rsid w:val="00867A08"/>
    <w:rsid w:val="008722EE"/>
    <w:rsid w:val="0088018F"/>
    <w:rsid w:val="00885F90"/>
    <w:rsid w:val="008946F9"/>
    <w:rsid w:val="00896CFB"/>
    <w:rsid w:val="008A3639"/>
    <w:rsid w:val="008B0C2D"/>
    <w:rsid w:val="008B224F"/>
    <w:rsid w:val="008B36C6"/>
    <w:rsid w:val="008B5306"/>
    <w:rsid w:val="008B61C1"/>
    <w:rsid w:val="008C093F"/>
    <w:rsid w:val="008C0B8F"/>
    <w:rsid w:val="008C325D"/>
    <w:rsid w:val="008C556D"/>
    <w:rsid w:val="008C5AC5"/>
    <w:rsid w:val="008C6287"/>
    <w:rsid w:val="008D7A1B"/>
    <w:rsid w:val="008E3D1F"/>
    <w:rsid w:val="008E3E63"/>
    <w:rsid w:val="008E7072"/>
    <w:rsid w:val="008F0541"/>
    <w:rsid w:val="008F2581"/>
    <w:rsid w:val="008F62BB"/>
    <w:rsid w:val="009008AC"/>
    <w:rsid w:val="00903B19"/>
    <w:rsid w:val="00904C68"/>
    <w:rsid w:val="00910EB6"/>
    <w:rsid w:val="009142C6"/>
    <w:rsid w:val="00914A6E"/>
    <w:rsid w:val="00915468"/>
    <w:rsid w:val="00924AC7"/>
    <w:rsid w:val="009251FA"/>
    <w:rsid w:val="009253D0"/>
    <w:rsid w:val="00927D72"/>
    <w:rsid w:val="009326EB"/>
    <w:rsid w:val="0093462D"/>
    <w:rsid w:val="00936F64"/>
    <w:rsid w:val="0093718E"/>
    <w:rsid w:val="00943978"/>
    <w:rsid w:val="009501D0"/>
    <w:rsid w:val="00953993"/>
    <w:rsid w:val="00953A5F"/>
    <w:rsid w:val="00964BD3"/>
    <w:rsid w:val="009674E3"/>
    <w:rsid w:val="009732E2"/>
    <w:rsid w:val="0097354B"/>
    <w:rsid w:val="00984834"/>
    <w:rsid w:val="00990BD4"/>
    <w:rsid w:val="0099149B"/>
    <w:rsid w:val="00992F12"/>
    <w:rsid w:val="009937C4"/>
    <w:rsid w:val="00993B1C"/>
    <w:rsid w:val="00996A24"/>
    <w:rsid w:val="009A25F8"/>
    <w:rsid w:val="009A269C"/>
    <w:rsid w:val="009A2AE8"/>
    <w:rsid w:val="009A2E44"/>
    <w:rsid w:val="009A2ECD"/>
    <w:rsid w:val="009A2F72"/>
    <w:rsid w:val="009A33C6"/>
    <w:rsid w:val="009A3914"/>
    <w:rsid w:val="009A75CC"/>
    <w:rsid w:val="009B24FF"/>
    <w:rsid w:val="009B48E2"/>
    <w:rsid w:val="009B656C"/>
    <w:rsid w:val="009B7708"/>
    <w:rsid w:val="009C299F"/>
    <w:rsid w:val="009C375F"/>
    <w:rsid w:val="009C742B"/>
    <w:rsid w:val="009D31CB"/>
    <w:rsid w:val="009D377E"/>
    <w:rsid w:val="009D451B"/>
    <w:rsid w:val="009E1A21"/>
    <w:rsid w:val="009E1CCA"/>
    <w:rsid w:val="009E1DC9"/>
    <w:rsid w:val="009E3562"/>
    <w:rsid w:val="009E40B9"/>
    <w:rsid w:val="009E6FBA"/>
    <w:rsid w:val="009F2D54"/>
    <w:rsid w:val="009F3356"/>
    <w:rsid w:val="009F663C"/>
    <w:rsid w:val="00A01DA9"/>
    <w:rsid w:val="00A05D26"/>
    <w:rsid w:val="00A14C10"/>
    <w:rsid w:val="00A14F85"/>
    <w:rsid w:val="00A17681"/>
    <w:rsid w:val="00A226E5"/>
    <w:rsid w:val="00A22853"/>
    <w:rsid w:val="00A2298F"/>
    <w:rsid w:val="00A26BBE"/>
    <w:rsid w:val="00A346D1"/>
    <w:rsid w:val="00A36BC2"/>
    <w:rsid w:val="00A40409"/>
    <w:rsid w:val="00A4199F"/>
    <w:rsid w:val="00A47AD0"/>
    <w:rsid w:val="00A521FE"/>
    <w:rsid w:val="00A55F63"/>
    <w:rsid w:val="00A56F42"/>
    <w:rsid w:val="00A57CED"/>
    <w:rsid w:val="00A619FC"/>
    <w:rsid w:val="00A62C32"/>
    <w:rsid w:val="00A643A0"/>
    <w:rsid w:val="00A65E91"/>
    <w:rsid w:val="00A76594"/>
    <w:rsid w:val="00A76D38"/>
    <w:rsid w:val="00A77B33"/>
    <w:rsid w:val="00A825D9"/>
    <w:rsid w:val="00A83D9E"/>
    <w:rsid w:val="00A84135"/>
    <w:rsid w:val="00A858EB"/>
    <w:rsid w:val="00A90041"/>
    <w:rsid w:val="00A9062C"/>
    <w:rsid w:val="00A90A37"/>
    <w:rsid w:val="00A90B79"/>
    <w:rsid w:val="00A917BE"/>
    <w:rsid w:val="00A97317"/>
    <w:rsid w:val="00AA1216"/>
    <w:rsid w:val="00AA536F"/>
    <w:rsid w:val="00AA6256"/>
    <w:rsid w:val="00AA7CA8"/>
    <w:rsid w:val="00AB0053"/>
    <w:rsid w:val="00AB1850"/>
    <w:rsid w:val="00AB1D0C"/>
    <w:rsid w:val="00AB7728"/>
    <w:rsid w:val="00AC15D9"/>
    <w:rsid w:val="00AD23CD"/>
    <w:rsid w:val="00AD6B1B"/>
    <w:rsid w:val="00AE0505"/>
    <w:rsid w:val="00AE471D"/>
    <w:rsid w:val="00AE5AA3"/>
    <w:rsid w:val="00AF0A73"/>
    <w:rsid w:val="00AF1B69"/>
    <w:rsid w:val="00AF22E3"/>
    <w:rsid w:val="00B01999"/>
    <w:rsid w:val="00B02314"/>
    <w:rsid w:val="00B10414"/>
    <w:rsid w:val="00B107D0"/>
    <w:rsid w:val="00B12C81"/>
    <w:rsid w:val="00B20BC2"/>
    <w:rsid w:val="00B26EF6"/>
    <w:rsid w:val="00B35014"/>
    <w:rsid w:val="00B36A0E"/>
    <w:rsid w:val="00B41505"/>
    <w:rsid w:val="00B44E95"/>
    <w:rsid w:val="00B51920"/>
    <w:rsid w:val="00B525EA"/>
    <w:rsid w:val="00B555F1"/>
    <w:rsid w:val="00B5574C"/>
    <w:rsid w:val="00B621B6"/>
    <w:rsid w:val="00B62ED7"/>
    <w:rsid w:val="00B63000"/>
    <w:rsid w:val="00B64674"/>
    <w:rsid w:val="00B807E7"/>
    <w:rsid w:val="00B824B0"/>
    <w:rsid w:val="00B844CF"/>
    <w:rsid w:val="00B91112"/>
    <w:rsid w:val="00B934A7"/>
    <w:rsid w:val="00B94DD0"/>
    <w:rsid w:val="00B961F7"/>
    <w:rsid w:val="00B96D69"/>
    <w:rsid w:val="00B9753B"/>
    <w:rsid w:val="00BA2565"/>
    <w:rsid w:val="00BA30E3"/>
    <w:rsid w:val="00BA3581"/>
    <w:rsid w:val="00BA5ACB"/>
    <w:rsid w:val="00BB1494"/>
    <w:rsid w:val="00BB4AF8"/>
    <w:rsid w:val="00BB7EA6"/>
    <w:rsid w:val="00BC4DEC"/>
    <w:rsid w:val="00BC5F38"/>
    <w:rsid w:val="00BC6D08"/>
    <w:rsid w:val="00BD140D"/>
    <w:rsid w:val="00BD4723"/>
    <w:rsid w:val="00BD6F2C"/>
    <w:rsid w:val="00BE2810"/>
    <w:rsid w:val="00BF2451"/>
    <w:rsid w:val="00C04BDD"/>
    <w:rsid w:val="00C0795A"/>
    <w:rsid w:val="00C100A3"/>
    <w:rsid w:val="00C11D13"/>
    <w:rsid w:val="00C13395"/>
    <w:rsid w:val="00C135D0"/>
    <w:rsid w:val="00C2209E"/>
    <w:rsid w:val="00C22640"/>
    <w:rsid w:val="00C22DB6"/>
    <w:rsid w:val="00C27CC2"/>
    <w:rsid w:val="00C31011"/>
    <w:rsid w:val="00C31249"/>
    <w:rsid w:val="00C370D0"/>
    <w:rsid w:val="00C4647A"/>
    <w:rsid w:val="00C4720E"/>
    <w:rsid w:val="00C473DB"/>
    <w:rsid w:val="00C50A62"/>
    <w:rsid w:val="00C519B9"/>
    <w:rsid w:val="00C52CE0"/>
    <w:rsid w:val="00C55693"/>
    <w:rsid w:val="00C56CE1"/>
    <w:rsid w:val="00C56E67"/>
    <w:rsid w:val="00C624C4"/>
    <w:rsid w:val="00C6476F"/>
    <w:rsid w:val="00C64D79"/>
    <w:rsid w:val="00C71D38"/>
    <w:rsid w:val="00C71FAA"/>
    <w:rsid w:val="00C720AB"/>
    <w:rsid w:val="00C74316"/>
    <w:rsid w:val="00C7638F"/>
    <w:rsid w:val="00C80A77"/>
    <w:rsid w:val="00C81F07"/>
    <w:rsid w:val="00C82C07"/>
    <w:rsid w:val="00C855DF"/>
    <w:rsid w:val="00C90053"/>
    <w:rsid w:val="00C9101B"/>
    <w:rsid w:val="00C92BFD"/>
    <w:rsid w:val="00C94BA4"/>
    <w:rsid w:val="00C94FF8"/>
    <w:rsid w:val="00CA0A59"/>
    <w:rsid w:val="00CA1024"/>
    <w:rsid w:val="00CA3E1C"/>
    <w:rsid w:val="00CA444C"/>
    <w:rsid w:val="00CA6033"/>
    <w:rsid w:val="00CB207B"/>
    <w:rsid w:val="00CB29AE"/>
    <w:rsid w:val="00CC441A"/>
    <w:rsid w:val="00CD1F0F"/>
    <w:rsid w:val="00CD4017"/>
    <w:rsid w:val="00CD5BDB"/>
    <w:rsid w:val="00CE0648"/>
    <w:rsid w:val="00CE149F"/>
    <w:rsid w:val="00CE1F61"/>
    <w:rsid w:val="00CE37A3"/>
    <w:rsid w:val="00CE5A39"/>
    <w:rsid w:val="00CF6FA9"/>
    <w:rsid w:val="00CF7CAA"/>
    <w:rsid w:val="00D02021"/>
    <w:rsid w:val="00D0490D"/>
    <w:rsid w:val="00D04F7A"/>
    <w:rsid w:val="00D110E9"/>
    <w:rsid w:val="00D154F6"/>
    <w:rsid w:val="00D176BF"/>
    <w:rsid w:val="00D23050"/>
    <w:rsid w:val="00D240FA"/>
    <w:rsid w:val="00D301EC"/>
    <w:rsid w:val="00D34275"/>
    <w:rsid w:val="00D34FB1"/>
    <w:rsid w:val="00D72EA4"/>
    <w:rsid w:val="00D7589E"/>
    <w:rsid w:val="00D77185"/>
    <w:rsid w:val="00D77995"/>
    <w:rsid w:val="00D8109E"/>
    <w:rsid w:val="00D847C1"/>
    <w:rsid w:val="00D904EA"/>
    <w:rsid w:val="00D908F7"/>
    <w:rsid w:val="00D913E3"/>
    <w:rsid w:val="00D92465"/>
    <w:rsid w:val="00D926F3"/>
    <w:rsid w:val="00D92B23"/>
    <w:rsid w:val="00D93DC5"/>
    <w:rsid w:val="00D97DF6"/>
    <w:rsid w:val="00DA28C5"/>
    <w:rsid w:val="00DA343B"/>
    <w:rsid w:val="00DA530D"/>
    <w:rsid w:val="00DA687D"/>
    <w:rsid w:val="00DB191E"/>
    <w:rsid w:val="00DB31BB"/>
    <w:rsid w:val="00DB402B"/>
    <w:rsid w:val="00DC2FEB"/>
    <w:rsid w:val="00DC5CB2"/>
    <w:rsid w:val="00DD2C0A"/>
    <w:rsid w:val="00DD50D2"/>
    <w:rsid w:val="00DD5244"/>
    <w:rsid w:val="00DE28A1"/>
    <w:rsid w:val="00DE4E0C"/>
    <w:rsid w:val="00DE5F34"/>
    <w:rsid w:val="00DF5AB3"/>
    <w:rsid w:val="00DF6D63"/>
    <w:rsid w:val="00DF78E2"/>
    <w:rsid w:val="00E01C8A"/>
    <w:rsid w:val="00E03159"/>
    <w:rsid w:val="00E05FCB"/>
    <w:rsid w:val="00E1677A"/>
    <w:rsid w:val="00E22446"/>
    <w:rsid w:val="00E411FA"/>
    <w:rsid w:val="00E46C79"/>
    <w:rsid w:val="00E47831"/>
    <w:rsid w:val="00E556DE"/>
    <w:rsid w:val="00E57163"/>
    <w:rsid w:val="00E60065"/>
    <w:rsid w:val="00E60824"/>
    <w:rsid w:val="00E61853"/>
    <w:rsid w:val="00E631DF"/>
    <w:rsid w:val="00E80D61"/>
    <w:rsid w:val="00E85A5E"/>
    <w:rsid w:val="00E8692C"/>
    <w:rsid w:val="00E8755F"/>
    <w:rsid w:val="00E921DA"/>
    <w:rsid w:val="00E930F3"/>
    <w:rsid w:val="00E93821"/>
    <w:rsid w:val="00E9665D"/>
    <w:rsid w:val="00EB40E9"/>
    <w:rsid w:val="00EB4AD0"/>
    <w:rsid w:val="00EC07C2"/>
    <w:rsid w:val="00EC7079"/>
    <w:rsid w:val="00ED26BA"/>
    <w:rsid w:val="00ED2F20"/>
    <w:rsid w:val="00EE0C69"/>
    <w:rsid w:val="00EF50BE"/>
    <w:rsid w:val="00EF6DAB"/>
    <w:rsid w:val="00F02A70"/>
    <w:rsid w:val="00F04828"/>
    <w:rsid w:val="00F12C9C"/>
    <w:rsid w:val="00F14078"/>
    <w:rsid w:val="00F14405"/>
    <w:rsid w:val="00F319E8"/>
    <w:rsid w:val="00F321F3"/>
    <w:rsid w:val="00F32A1C"/>
    <w:rsid w:val="00F359DF"/>
    <w:rsid w:val="00F408B2"/>
    <w:rsid w:val="00F44DBB"/>
    <w:rsid w:val="00F47E51"/>
    <w:rsid w:val="00F6163C"/>
    <w:rsid w:val="00F63AD2"/>
    <w:rsid w:val="00F64741"/>
    <w:rsid w:val="00F70AF2"/>
    <w:rsid w:val="00F714F8"/>
    <w:rsid w:val="00F739D8"/>
    <w:rsid w:val="00F75C5E"/>
    <w:rsid w:val="00F76510"/>
    <w:rsid w:val="00F77370"/>
    <w:rsid w:val="00F81A95"/>
    <w:rsid w:val="00F81B85"/>
    <w:rsid w:val="00F85632"/>
    <w:rsid w:val="00F90BB0"/>
    <w:rsid w:val="00F91FBD"/>
    <w:rsid w:val="00F92DAB"/>
    <w:rsid w:val="00F9329C"/>
    <w:rsid w:val="00F94F58"/>
    <w:rsid w:val="00FB11D6"/>
    <w:rsid w:val="00FB5418"/>
    <w:rsid w:val="00FB5823"/>
    <w:rsid w:val="00FB5831"/>
    <w:rsid w:val="00FB7CD2"/>
    <w:rsid w:val="00FC0A93"/>
    <w:rsid w:val="00FD4624"/>
    <w:rsid w:val="00FD543A"/>
    <w:rsid w:val="00FD54E0"/>
    <w:rsid w:val="00FE58E6"/>
    <w:rsid w:val="00FE665B"/>
    <w:rsid w:val="00FF0B50"/>
    <w:rsid w:val="00FF3010"/>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65"/>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176BF"/>
    <w:rPr>
      <w:rFonts w:cs="Times New Roman"/>
      <w:color w:val="0000FF"/>
      <w:u w:val="single"/>
    </w:rPr>
  </w:style>
  <w:style w:type="character" w:styleId="FollowedHyperlink">
    <w:name w:val="FollowedHyperlink"/>
    <w:basedOn w:val="DefaultParagraphFont"/>
    <w:uiPriority w:val="99"/>
    <w:semiHidden/>
    <w:rsid w:val="00D176BF"/>
    <w:rPr>
      <w:rFonts w:cs="Times New Roman"/>
      <w:color w:val="800080"/>
      <w:u w:val="single"/>
    </w:rPr>
  </w:style>
  <w:style w:type="paragraph" w:customStyle="1" w:styleId="h1">
    <w:name w:val="h1"/>
    <w:basedOn w:val="Normal"/>
    <w:uiPriority w:val="99"/>
    <w:rsid w:val="00D176BF"/>
    <w:pPr>
      <w:spacing w:after="150" w:line="240" w:lineRule="auto"/>
    </w:pPr>
    <w:rPr>
      <w:rFonts w:ascii="Times New Roman" w:eastAsia="Times New Roman" w:hAnsi="Times New Roman"/>
      <w:color w:val="306060"/>
      <w:sz w:val="31"/>
      <w:szCs w:val="31"/>
      <w:lang w:val="lv-LV" w:eastAsia="lv-LV"/>
    </w:rPr>
  </w:style>
  <w:style w:type="paragraph" w:customStyle="1" w:styleId="h2">
    <w:name w:val="h2"/>
    <w:basedOn w:val="Normal"/>
    <w:uiPriority w:val="99"/>
    <w:rsid w:val="00D176BF"/>
    <w:pPr>
      <w:spacing w:before="75" w:after="75" w:line="240" w:lineRule="auto"/>
    </w:pPr>
    <w:rPr>
      <w:rFonts w:ascii="Times New Roman" w:eastAsia="Times New Roman" w:hAnsi="Times New Roman"/>
      <w:color w:val="306060"/>
      <w:sz w:val="24"/>
      <w:szCs w:val="24"/>
      <w:lang w:val="lv-LV" w:eastAsia="lv-LV"/>
    </w:rPr>
  </w:style>
  <w:style w:type="paragraph" w:customStyle="1" w:styleId="a">
    <w:name w:val="a"/>
    <w:basedOn w:val="Normal"/>
    <w:uiPriority w:val="99"/>
    <w:rsid w:val="00D176BF"/>
    <w:pPr>
      <w:spacing w:before="75" w:after="75" w:line="240" w:lineRule="auto"/>
    </w:pPr>
    <w:rPr>
      <w:rFonts w:ascii="Times New Roman" w:eastAsia="Times New Roman" w:hAnsi="Times New Roman"/>
      <w:color w:val="306060"/>
      <w:sz w:val="24"/>
      <w:szCs w:val="24"/>
      <w:lang w:val="lv-LV" w:eastAsia="lv-LV"/>
    </w:rPr>
  </w:style>
  <w:style w:type="paragraph" w:customStyle="1" w:styleId="b">
    <w:name w:val="b"/>
    <w:basedOn w:val="Normal"/>
    <w:uiPriority w:val="99"/>
    <w:rsid w:val="00D176BF"/>
    <w:pPr>
      <w:spacing w:before="75" w:after="75" w:line="240" w:lineRule="auto"/>
    </w:pPr>
    <w:rPr>
      <w:rFonts w:ascii="Times New Roman" w:eastAsia="Times New Roman" w:hAnsi="Times New Roman"/>
      <w:color w:val="306060"/>
      <w:sz w:val="24"/>
      <w:szCs w:val="24"/>
      <w:lang w:val="lv-LV" w:eastAsia="lv-LV"/>
    </w:rPr>
  </w:style>
  <w:style w:type="paragraph" w:customStyle="1" w:styleId="body">
    <w:name w:val="body"/>
    <w:basedOn w:val="Normal"/>
    <w:uiPriority w:val="99"/>
    <w:rsid w:val="00D176BF"/>
    <w:pPr>
      <w:shd w:val="clear" w:color="auto" w:fill="C9E1DF"/>
      <w:spacing w:before="75" w:after="75" w:line="240" w:lineRule="auto"/>
    </w:pPr>
    <w:rPr>
      <w:rFonts w:ascii="Arial" w:eastAsia="Times New Roman" w:hAnsi="Arial" w:cs="Arial"/>
      <w:color w:val="333333"/>
      <w:sz w:val="24"/>
      <w:szCs w:val="24"/>
      <w:lang w:val="lv-LV" w:eastAsia="lv-LV"/>
    </w:rPr>
  </w:style>
  <w:style w:type="paragraph" w:customStyle="1" w:styleId="bodyfont">
    <w:name w:val="bodyfont"/>
    <w:basedOn w:val="Normal"/>
    <w:uiPriority w:val="99"/>
    <w:rsid w:val="00D176BF"/>
    <w:pPr>
      <w:spacing w:before="75" w:after="75" w:line="240" w:lineRule="auto"/>
    </w:pPr>
    <w:rPr>
      <w:rFonts w:ascii="Arial" w:eastAsia="Times New Roman" w:hAnsi="Arial" w:cs="Arial"/>
      <w:sz w:val="24"/>
      <w:szCs w:val="24"/>
      <w:lang w:val="lv-LV" w:eastAsia="lv-LV"/>
    </w:rPr>
  </w:style>
  <w:style w:type="paragraph" w:customStyle="1" w:styleId="button">
    <w:name w:val="button"/>
    <w:basedOn w:val="Normal"/>
    <w:uiPriority w:val="99"/>
    <w:rsid w:val="00D176BF"/>
    <w:pPr>
      <w:spacing w:before="75" w:after="75" w:line="240" w:lineRule="auto"/>
    </w:pPr>
    <w:rPr>
      <w:rFonts w:ascii="Times New Roman" w:eastAsia="Times New Roman" w:hAnsi="Times New Roman"/>
      <w:color w:val="F0F8F8"/>
      <w:sz w:val="24"/>
      <w:szCs w:val="24"/>
      <w:lang w:val="lv-LV" w:eastAsia="lv-LV"/>
    </w:rPr>
  </w:style>
  <w:style w:type="paragraph" w:customStyle="1" w:styleId="radio">
    <w:name w:val="radio"/>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headcol">
    <w:name w:val="headcol"/>
    <w:basedOn w:val="Normal"/>
    <w:uiPriority w:val="99"/>
    <w:rsid w:val="00D176BF"/>
    <w:pPr>
      <w:spacing w:before="75" w:after="75" w:line="240" w:lineRule="auto"/>
    </w:pPr>
    <w:rPr>
      <w:rFonts w:ascii="Times New Roman" w:eastAsia="Times New Roman" w:hAnsi="Times New Roman"/>
      <w:color w:val="F0F8F8"/>
      <w:sz w:val="24"/>
      <w:szCs w:val="24"/>
      <w:lang w:val="lv-LV" w:eastAsia="lv-LV"/>
    </w:rPr>
  </w:style>
  <w:style w:type="paragraph" w:customStyle="1" w:styleId="titlecol">
    <w:name w:val="titlecol"/>
    <w:basedOn w:val="Normal"/>
    <w:uiPriority w:val="99"/>
    <w:rsid w:val="00D176BF"/>
    <w:pPr>
      <w:spacing w:before="75" w:after="75" w:line="240" w:lineRule="auto"/>
      <w:jc w:val="right"/>
    </w:pPr>
    <w:rPr>
      <w:rFonts w:ascii="Times New Roman" w:eastAsia="Times New Roman" w:hAnsi="Times New Roman"/>
      <w:b/>
      <w:bCs/>
      <w:sz w:val="24"/>
      <w:szCs w:val="24"/>
      <w:lang w:val="lv-LV" w:eastAsia="lv-LV"/>
    </w:rPr>
  </w:style>
  <w:style w:type="paragraph" w:customStyle="1" w:styleId="th">
    <w:name w:val="th"/>
    <w:basedOn w:val="Normal"/>
    <w:uiPriority w:val="99"/>
    <w:rsid w:val="00D176BF"/>
    <w:pPr>
      <w:spacing w:before="75" w:after="75" w:line="240" w:lineRule="auto"/>
    </w:pPr>
    <w:rPr>
      <w:rFonts w:ascii="Times New Roman" w:eastAsia="Times New Roman" w:hAnsi="Times New Roman"/>
      <w:b/>
      <w:bCs/>
      <w:color w:val="333333"/>
      <w:sz w:val="24"/>
      <w:szCs w:val="24"/>
      <w:lang w:val="lv-LV" w:eastAsia="lv-LV"/>
    </w:rPr>
  </w:style>
  <w:style w:type="paragraph" w:customStyle="1" w:styleId="thr">
    <w:name w:val="thr"/>
    <w:basedOn w:val="Normal"/>
    <w:uiPriority w:val="99"/>
    <w:rsid w:val="00D176BF"/>
    <w:pPr>
      <w:spacing w:before="75" w:after="75" w:line="240" w:lineRule="auto"/>
      <w:jc w:val="right"/>
    </w:pPr>
    <w:rPr>
      <w:rFonts w:ascii="Times New Roman" w:eastAsia="Times New Roman" w:hAnsi="Times New Roman"/>
      <w:sz w:val="24"/>
      <w:szCs w:val="24"/>
      <w:lang w:val="lv-LV" w:eastAsia="lv-LV"/>
    </w:rPr>
  </w:style>
  <w:style w:type="paragraph" w:customStyle="1" w:styleId="bdc">
    <w:name w:val="bdc"/>
    <w:basedOn w:val="Normal"/>
    <w:uiPriority w:val="99"/>
    <w:rsid w:val="00D176BF"/>
    <w:pPr>
      <w:spacing w:before="75" w:after="75" w:line="240" w:lineRule="auto"/>
    </w:pPr>
    <w:rPr>
      <w:rFonts w:ascii="Times New Roman" w:eastAsia="Times New Roman" w:hAnsi="Times New Roman"/>
      <w:b/>
      <w:bCs/>
      <w:sz w:val="24"/>
      <w:szCs w:val="24"/>
      <w:lang w:val="lv-LV" w:eastAsia="lv-LV"/>
    </w:rPr>
  </w:style>
  <w:style w:type="paragraph" w:customStyle="1" w:styleId="input">
    <w:name w:val="input"/>
    <w:basedOn w:val="Normal"/>
    <w:uiPriority w:val="99"/>
    <w:rsid w:val="00D176BF"/>
    <w:pPr>
      <w:shd w:val="clear" w:color="auto" w:fill="F0F8F8"/>
      <w:spacing w:before="75" w:after="75" w:line="240" w:lineRule="auto"/>
    </w:pPr>
    <w:rPr>
      <w:rFonts w:ascii="Arial" w:eastAsia="Times New Roman" w:hAnsi="Arial" w:cs="Arial"/>
      <w:color w:val="333333"/>
      <w:sz w:val="24"/>
      <w:szCs w:val="24"/>
      <w:lang w:val="lv-LV" w:eastAsia="lv-LV"/>
    </w:rPr>
  </w:style>
  <w:style w:type="paragraph" w:customStyle="1" w:styleId="select">
    <w:name w:val="select"/>
    <w:basedOn w:val="Normal"/>
    <w:uiPriority w:val="99"/>
    <w:rsid w:val="00D176BF"/>
    <w:pPr>
      <w:shd w:val="clear" w:color="auto" w:fill="F0F8F8"/>
      <w:spacing w:before="75" w:after="75" w:line="240" w:lineRule="auto"/>
    </w:pPr>
    <w:rPr>
      <w:rFonts w:ascii="Times New Roman" w:eastAsia="Times New Roman" w:hAnsi="Times New Roman"/>
      <w:color w:val="333333"/>
      <w:sz w:val="24"/>
      <w:szCs w:val="24"/>
      <w:lang w:val="lv-LV" w:eastAsia="lv-LV"/>
    </w:rPr>
  </w:style>
  <w:style w:type="paragraph" w:customStyle="1" w:styleId="top1">
    <w:name w:val="top1"/>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logo">
    <w:name w:val="logo"/>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top2">
    <w:name w:val="top2"/>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hline">
    <w:name w:val="hline"/>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vline">
    <w:name w:val="vline"/>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zvabri">
    <w:name w:val="zvabri"/>
    <w:basedOn w:val="Normal"/>
    <w:uiPriority w:val="99"/>
    <w:rsid w:val="00D176BF"/>
    <w:pPr>
      <w:spacing w:before="75" w:after="75" w:line="240" w:lineRule="auto"/>
    </w:pPr>
    <w:rPr>
      <w:rFonts w:ascii="Times New Roman" w:eastAsia="Times New Roman" w:hAnsi="Times New Roman"/>
      <w:color w:val="FF0000"/>
      <w:sz w:val="24"/>
      <w:szCs w:val="24"/>
      <w:lang w:val="lv-LV" w:eastAsia="lv-LV"/>
    </w:rPr>
  </w:style>
  <w:style w:type="paragraph" w:customStyle="1" w:styleId="mktable">
    <w:name w:val="mk_table"/>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regfields">
    <w:name w:val="regfields"/>
    <w:basedOn w:val="Normal"/>
    <w:uiPriority w:val="99"/>
    <w:rsid w:val="00D176BF"/>
    <w:pPr>
      <w:spacing w:before="75" w:after="75" w:line="240" w:lineRule="auto"/>
      <w:jc w:val="center"/>
    </w:pPr>
    <w:rPr>
      <w:rFonts w:ascii="Times New Roman" w:eastAsia="Times New Roman" w:hAnsi="Times New Roman"/>
      <w:sz w:val="24"/>
      <w:szCs w:val="24"/>
      <w:lang w:val="lv-LV" w:eastAsia="lv-LV"/>
    </w:rPr>
  </w:style>
  <w:style w:type="paragraph" w:styleId="NormalWeb">
    <w:name w:val="Normal (Web)"/>
    <w:basedOn w:val="Normal"/>
    <w:link w:val="NormalWebChar"/>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naisf">
    <w:name w:val="naisf"/>
    <w:basedOn w:val="Normal"/>
    <w:uiPriority w:val="99"/>
    <w:rsid w:val="00D176BF"/>
    <w:pPr>
      <w:spacing w:before="75" w:after="75" w:line="240" w:lineRule="auto"/>
      <w:ind w:firstLine="375"/>
      <w:jc w:val="both"/>
    </w:pPr>
    <w:rPr>
      <w:rFonts w:ascii="Times New Roman" w:eastAsia="Times New Roman" w:hAnsi="Times New Roman"/>
      <w:sz w:val="24"/>
      <w:szCs w:val="24"/>
      <w:lang w:val="lv-LV" w:eastAsia="lv-LV"/>
    </w:rPr>
  </w:style>
  <w:style w:type="paragraph" w:customStyle="1" w:styleId="nais1">
    <w:name w:val="nais1"/>
    <w:basedOn w:val="Normal"/>
    <w:uiPriority w:val="99"/>
    <w:rsid w:val="00D176BF"/>
    <w:pPr>
      <w:spacing w:before="75" w:after="75" w:line="240" w:lineRule="auto"/>
      <w:ind w:left="450" w:firstLine="375"/>
      <w:jc w:val="both"/>
    </w:pPr>
    <w:rPr>
      <w:rFonts w:ascii="Times New Roman" w:eastAsia="Times New Roman" w:hAnsi="Times New Roman"/>
      <w:sz w:val="24"/>
      <w:szCs w:val="24"/>
      <w:lang w:val="lv-LV" w:eastAsia="lv-LV"/>
    </w:rPr>
  </w:style>
  <w:style w:type="paragraph" w:customStyle="1" w:styleId="nais2">
    <w:name w:val="nais2"/>
    <w:basedOn w:val="Normal"/>
    <w:uiPriority w:val="99"/>
    <w:rsid w:val="00D176BF"/>
    <w:pPr>
      <w:spacing w:before="75" w:after="75" w:line="240" w:lineRule="auto"/>
      <w:ind w:left="900" w:firstLine="375"/>
      <w:jc w:val="both"/>
    </w:pPr>
    <w:rPr>
      <w:rFonts w:ascii="Times New Roman" w:eastAsia="Times New Roman" w:hAnsi="Times New Roman"/>
      <w:sz w:val="24"/>
      <w:szCs w:val="24"/>
      <w:lang w:val="lv-LV" w:eastAsia="lv-LV"/>
    </w:rPr>
  </w:style>
  <w:style w:type="paragraph" w:customStyle="1" w:styleId="naispant">
    <w:name w:val="naispant"/>
    <w:basedOn w:val="Normal"/>
    <w:uiPriority w:val="99"/>
    <w:rsid w:val="00D176BF"/>
    <w:pPr>
      <w:spacing w:before="75" w:after="75" w:line="240" w:lineRule="auto"/>
      <w:ind w:left="375" w:firstLine="375"/>
      <w:jc w:val="both"/>
    </w:pPr>
    <w:rPr>
      <w:rFonts w:ascii="Times New Roman" w:eastAsia="Times New Roman" w:hAnsi="Times New Roman"/>
      <w:b/>
      <w:bCs/>
      <w:sz w:val="24"/>
      <w:szCs w:val="24"/>
      <w:lang w:val="lv-LV" w:eastAsia="lv-LV"/>
    </w:rPr>
  </w:style>
  <w:style w:type="paragraph" w:customStyle="1" w:styleId="naisvisr">
    <w:name w:val="naisvisr"/>
    <w:basedOn w:val="Normal"/>
    <w:uiPriority w:val="99"/>
    <w:rsid w:val="00D176BF"/>
    <w:pPr>
      <w:spacing w:before="150" w:after="150" w:line="240" w:lineRule="auto"/>
      <w:jc w:val="center"/>
    </w:pPr>
    <w:rPr>
      <w:rFonts w:ascii="Times New Roman" w:eastAsia="Times New Roman" w:hAnsi="Times New Roman"/>
      <w:b/>
      <w:bCs/>
      <w:sz w:val="28"/>
      <w:szCs w:val="28"/>
      <w:lang w:val="lv-LV" w:eastAsia="lv-LV"/>
    </w:rPr>
  </w:style>
  <w:style w:type="paragraph" w:customStyle="1" w:styleId="naisnod">
    <w:name w:val="naisnod"/>
    <w:basedOn w:val="Normal"/>
    <w:uiPriority w:val="99"/>
    <w:rsid w:val="00D176BF"/>
    <w:pPr>
      <w:spacing w:before="150" w:after="150" w:line="240" w:lineRule="auto"/>
      <w:jc w:val="center"/>
    </w:pPr>
    <w:rPr>
      <w:rFonts w:ascii="Times New Roman" w:eastAsia="Times New Roman" w:hAnsi="Times New Roman"/>
      <w:b/>
      <w:bCs/>
      <w:sz w:val="24"/>
      <w:szCs w:val="24"/>
      <w:lang w:val="lv-LV" w:eastAsia="lv-LV"/>
    </w:rPr>
  </w:style>
  <w:style w:type="paragraph" w:customStyle="1" w:styleId="naislab">
    <w:name w:val="naislab"/>
    <w:basedOn w:val="Normal"/>
    <w:uiPriority w:val="99"/>
    <w:rsid w:val="00D176BF"/>
    <w:pPr>
      <w:spacing w:before="75" w:after="75" w:line="240" w:lineRule="auto"/>
      <w:jc w:val="right"/>
    </w:pPr>
    <w:rPr>
      <w:rFonts w:ascii="Times New Roman" w:eastAsia="Times New Roman" w:hAnsi="Times New Roman"/>
      <w:sz w:val="24"/>
      <w:szCs w:val="24"/>
      <w:lang w:val="lv-LV" w:eastAsia="lv-LV"/>
    </w:rPr>
  </w:style>
  <w:style w:type="paragraph" w:customStyle="1" w:styleId="naiskr">
    <w:name w:val="naiskr"/>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naisc">
    <w:name w:val="naisc"/>
    <w:basedOn w:val="Normal"/>
    <w:uiPriority w:val="99"/>
    <w:rsid w:val="00D176BF"/>
    <w:pPr>
      <w:spacing w:before="75" w:after="75" w:line="240" w:lineRule="auto"/>
      <w:jc w:val="center"/>
    </w:pPr>
    <w:rPr>
      <w:rFonts w:ascii="Times New Roman" w:eastAsia="Times New Roman" w:hAnsi="Times New Roman"/>
      <w:sz w:val="24"/>
      <w:szCs w:val="24"/>
      <w:lang w:val="lv-LV" w:eastAsia="lv-LV"/>
    </w:rPr>
  </w:style>
  <w:style w:type="paragraph" w:customStyle="1" w:styleId="naispie">
    <w:name w:val="naispie"/>
    <w:basedOn w:val="Normal"/>
    <w:uiPriority w:val="99"/>
    <w:rsid w:val="00D176BF"/>
    <w:pPr>
      <w:spacing w:before="75" w:after="75" w:line="240" w:lineRule="auto"/>
      <w:ind w:firstLine="375"/>
    </w:pPr>
    <w:rPr>
      <w:rFonts w:ascii="Times New Roman" w:eastAsia="Times New Roman" w:hAnsi="Times New Roman"/>
      <w:i/>
      <w:iCs/>
      <w:sz w:val="20"/>
      <w:szCs w:val="20"/>
      <w:lang w:val="lv-LV" w:eastAsia="lv-LV"/>
    </w:rPr>
  </w:style>
  <w:style w:type="paragraph" w:styleId="BalloonText">
    <w:name w:val="Balloon Text"/>
    <w:basedOn w:val="Normal"/>
    <w:link w:val="BalloonTextChar"/>
    <w:uiPriority w:val="99"/>
    <w:semiHidden/>
    <w:rsid w:val="00D1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76BF"/>
    <w:rPr>
      <w:rFonts w:ascii="Tahoma" w:hAnsi="Tahoma" w:cs="Tahoma"/>
      <w:sz w:val="16"/>
      <w:szCs w:val="16"/>
    </w:rPr>
  </w:style>
  <w:style w:type="paragraph" w:styleId="Header">
    <w:name w:val="header"/>
    <w:basedOn w:val="Normal"/>
    <w:link w:val="HeaderChar"/>
    <w:uiPriority w:val="99"/>
    <w:rsid w:val="00D176BF"/>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D176BF"/>
    <w:rPr>
      <w:rFonts w:cs="Times New Roman"/>
    </w:rPr>
  </w:style>
  <w:style w:type="paragraph" w:styleId="Footer">
    <w:name w:val="footer"/>
    <w:basedOn w:val="Normal"/>
    <w:link w:val="FooterChar"/>
    <w:uiPriority w:val="99"/>
    <w:rsid w:val="00D176BF"/>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D176BF"/>
    <w:rPr>
      <w:rFonts w:cs="Times New Roman"/>
    </w:rPr>
  </w:style>
  <w:style w:type="paragraph" w:styleId="NoSpacing">
    <w:name w:val="No Spacing"/>
    <w:uiPriority w:val="99"/>
    <w:qFormat/>
    <w:rsid w:val="00FC0A93"/>
    <w:rPr>
      <w:lang w:val="en-US" w:eastAsia="en-US"/>
    </w:rPr>
  </w:style>
  <w:style w:type="paragraph" w:customStyle="1" w:styleId="Default">
    <w:name w:val="Default"/>
    <w:uiPriority w:val="99"/>
    <w:rsid w:val="00FC0A93"/>
    <w:pPr>
      <w:autoSpaceDE w:val="0"/>
      <w:autoSpaceDN w:val="0"/>
      <w:adjustRightInd w:val="0"/>
    </w:pPr>
    <w:rPr>
      <w:rFonts w:ascii="EUAlbertina" w:hAnsi="EUAlbertina" w:cs="EUAlbertina"/>
      <w:color w:val="000000"/>
      <w:sz w:val="24"/>
      <w:szCs w:val="24"/>
    </w:rPr>
  </w:style>
  <w:style w:type="paragraph" w:styleId="ListParagraph">
    <w:name w:val="List Paragraph"/>
    <w:basedOn w:val="Normal"/>
    <w:uiPriority w:val="34"/>
    <w:qFormat/>
    <w:rsid w:val="00FC0A93"/>
    <w:pPr>
      <w:spacing w:after="0" w:line="240" w:lineRule="auto"/>
      <w:ind w:left="720"/>
    </w:pPr>
    <w:rPr>
      <w:lang w:val="lv-LV" w:eastAsia="lv-LV"/>
    </w:rPr>
  </w:style>
  <w:style w:type="character" w:customStyle="1" w:styleId="NormalWebChar">
    <w:name w:val="Normal (Web) Char"/>
    <w:basedOn w:val="DefaultParagraphFont"/>
    <w:link w:val="NormalWeb"/>
    <w:uiPriority w:val="99"/>
    <w:locked/>
    <w:rsid w:val="00FC0A93"/>
    <w:rPr>
      <w:rFonts w:ascii="Times New Roman" w:hAnsi="Times New Roman" w:cs="Times New Roman"/>
      <w:sz w:val="24"/>
      <w:szCs w:val="24"/>
      <w:lang w:val="lv-LV" w:eastAsia="lv-LV"/>
    </w:rPr>
  </w:style>
  <w:style w:type="character" w:customStyle="1" w:styleId="apple-style-span">
    <w:name w:val="apple-style-span"/>
    <w:basedOn w:val="DefaultParagraphFont"/>
    <w:uiPriority w:val="99"/>
    <w:rsid w:val="00FC0A93"/>
    <w:rPr>
      <w:rFonts w:cs="Times New Roman"/>
    </w:rPr>
  </w:style>
  <w:style w:type="paragraph" w:styleId="List2">
    <w:name w:val="List 2"/>
    <w:basedOn w:val="Normal"/>
    <w:uiPriority w:val="99"/>
    <w:rsid w:val="00651E70"/>
    <w:pPr>
      <w:spacing w:after="0" w:line="240" w:lineRule="auto"/>
      <w:ind w:left="566" w:hanging="283"/>
    </w:pPr>
    <w:rPr>
      <w:rFonts w:ascii="Times New Roman" w:eastAsia="Times New Roman" w:hAnsi="Times New Roman"/>
      <w:sz w:val="20"/>
      <w:szCs w:val="20"/>
    </w:rPr>
  </w:style>
  <w:style w:type="table" w:styleId="TableGrid">
    <w:name w:val="Table Grid"/>
    <w:basedOn w:val="TableNormal"/>
    <w:uiPriority w:val="99"/>
    <w:rsid w:val="00DA53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Normal"/>
    <w:uiPriority w:val="99"/>
    <w:rsid w:val="00D34FB1"/>
    <w:pPr>
      <w:spacing w:before="240" w:after="0" w:line="360" w:lineRule="auto"/>
      <w:ind w:firstLine="300"/>
      <w:jc w:val="both"/>
    </w:pPr>
    <w:rPr>
      <w:rFonts w:ascii="Verdana" w:eastAsia="Times New Roman" w:hAnsi="Verdana"/>
      <w:sz w:val="18"/>
      <w:szCs w:val="18"/>
    </w:rPr>
  </w:style>
  <w:style w:type="paragraph" w:customStyle="1" w:styleId="cipari">
    <w:name w:val="cipari"/>
    <w:basedOn w:val="Normal"/>
    <w:link w:val="cipariChar"/>
    <w:uiPriority w:val="99"/>
    <w:rsid w:val="00904C68"/>
    <w:pPr>
      <w:spacing w:after="120" w:line="240" w:lineRule="auto"/>
      <w:ind w:left="720" w:hanging="720"/>
      <w:jc w:val="both"/>
    </w:pPr>
    <w:rPr>
      <w:rFonts w:ascii="Times New Roman" w:hAnsi="Times New Roman"/>
      <w:sz w:val="20"/>
      <w:szCs w:val="20"/>
      <w:lang w:val="lv-LV" w:eastAsia="lv-LV"/>
    </w:rPr>
  </w:style>
  <w:style w:type="character" w:customStyle="1" w:styleId="cipariChar">
    <w:name w:val="cipari Char"/>
    <w:link w:val="cipari"/>
    <w:uiPriority w:val="99"/>
    <w:locked/>
    <w:rsid w:val="00904C68"/>
    <w:rPr>
      <w:rFonts w:ascii="Times New Roman" w:hAnsi="Times New Roman"/>
      <w:sz w:val="20"/>
      <w:lang w:val="lv-LV"/>
    </w:rPr>
  </w:style>
</w:styles>
</file>

<file path=word/webSettings.xml><?xml version="1.0" encoding="utf-8"?>
<w:webSettings xmlns:r="http://schemas.openxmlformats.org/officeDocument/2006/relationships" xmlns:w="http://schemas.openxmlformats.org/wordprocessingml/2006/main">
  <w:divs>
    <w:div w:id="723063783">
      <w:marLeft w:val="0"/>
      <w:marRight w:val="0"/>
      <w:marTop w:val="0"/>
      <w:marBottom w:val="0"/>
      <w:divBdr>
        <w:top w:val="none" w:sz="0" w:space="0" w:color="auto"/>
        <w:left w:val="none" w:sz="0" w:space="0" w:color="auto"/>
        <w:bottom w:val="none" w:sz="0" w:space="0" w:color="auto"/>
        <w:right w:val="none" w:sz="0" w:space="0" w:color="auto"/>
      </w:divBdr>
    </w:div>
    <w:div w:id="723063784">
      <w:marLeft w:val="0"/>
      <w:marRight w:val="0"/>
      <w:marTop w:val="0"/>
      <w:marBottom w:val="0"/>
      <w:divBdr>
        <w:top w:val="none" w:sz="0" w:space="0" w:color="auto"/>
        <w:left w:val="none" w:sz="0" w:space="0" w:color="auto"/>
        <w:bottom w:val="none" w:sz="0" w:space="0" w:color="auto"/>
        <w:right w:val="none" w:sz="0" w:space="0" w:color="auto"/>
      </w:divBdr>
    </w:div>
    <w:div w:id="723063785">
      <w:marLeft w:val="0"/>
      <w:marRight w:val="0"/>
      <w:marTop w:val="0"/>
      <w:marBottom w:val="0"/>
      <w:divBdr>
        <w:top w:val="none" w:sz="0" w:space="0" w:color="auto"/>
        <w:left w:val="none" w:sz="0" w:space="0" w:color="auto"/>
        <w:bottom w:val="none" w:sz="0" w:space="0" w:color="auto"/>
        <w:right w:val="none" w:sz="0" w:space="0" w:color="auto"/>
      </w:divBdr>
    </w:div>
    <w:div w:id="723063786">
      <w:marLeft w:val="45"/>
      <w:marRight w:val="45"/>
      <w:marTop w:val="90"/>
      <w:marBottom w:val="90"/>
      <w:divBdr>
        <w:top w:val="none" w:sz="0" w:space="0" w:color="auto"/>
        <w:left w:val="none" w:sz="0" w:space="0" w:color="auto"/>
        <w:bottom w:val="none" w:sz="0" w:space="0" w:color="auto"/>
        <w:right w:val="none" w:sz="0" w:space="0" w:color="auto"/>
      </w:divBdr>
      <w:divsChild>
        <w:div w:id="723063790">
          <w:marLeft w:val="0"/>
          <w:marRight w:val="0"/>
          <w:marTop w:val="240"/>
          <w:marBottom w:val="0"/>
          <w:divBdr>
            <w:top w:val="none" w:sz="0" w:space="0" w:color="auto"/>
            <w:left w:val="none" w:sz="0" w:space="0" w:color="auto"/>
            <w:bottom w:val="none" w:sz="0" w:space="0" w:color="auto"/>
            <w:right w:val="none" w:sz="0" w:space="0" w:color="auto"/>
          </w:divBdr>
        </w:div>
      </w:divsChild>
    </w:div>
    <w:div w:id="723063787">
      <w:marLeft w:val="0"/>
      <w:marRight w:val="0"/>
      <w:marTop w:val="0"/>
      <w:marBottom w:val="0"/>
      <w:divBdr>
        <w:top w:val="none" w:sz="0" w:space="0" w:color="auto"/>
        <w:left w:val="none" w:sz="0" w:space="0" w:color="auto"/>
        <w:bottom w:val="none" w:sz="0" w:space="0" w:color="auto"/>
        <w:right w:val="none" w:sz="0" w:space="0" w:color="auto"/>
      </w:divBdr>
    </w:div>
    <w:div w:id="723063788">
      <w:marLeft w:val="0"/>
      <w:marRight w:val="0"/>
      <w:marTop w:val="0"/>
      <w:marBottom w:val="0"/>
      <w:divBdr>
        <w:top w:val="none" w:sz="0" w:space="0" w:color="auto"/>
        <w:left w:val="none" w:sz="0" w:space="0" w:color="auto"/>
        <w:bottom w:val="none" w:sz="0" w:space="0" w:color="auto"/>
        <w:right w:val="none" w:sz="0" w:space="0" w:color="auto"/>
      </w:divBdr>
    </w:div>
    <w:div w:id="723063789">
      <w:marLeft w:val="0"/>
      <w:marRight w:val="0"/>
      <w:marTop w:val="0"/>
      <w:marBottom w:val="0"/>
      <w:divBdr>
        <w:top w:val="none" w:sz="0" w:space="0" w:color="auto"/>
        <w:left w:val="none" w:sz="0" w:space="0" w:color="auto"/>
        <w:bottom w:val="none" w:sz="0" w:space="0" w:color="auto"/>
        <w:right w:val="none" w:sz="0" w:space="0" w:color="auto"/>
      </w:divBdr>
    </w:div>
    <w:div w:id="723063792">
      <w:marLeft w:val="0"/>
      <w:marRight w:val="0"/>
      <w:marTop w:val="0"/>
      <w:marBottom w:val="0"/>
      <w:divBdr>
        <w:top w:val="none" w:sz="0" w:space="0" w:color="auto"/>
        <w:left w:val="none" w:sz="0" w:space="0" w:color="auto"/>
        <w:bottom w:val="none" w:sz="0" w:space="0" w:color="auto"/>
        <w:right w:val="none" w:sz="0" w:space="0" w:color="auto"/>
      </w:divBdr>
    </w:div>
    <w:div w:id="723063793">
      <w:marLeft w:val="0"/>
      <w:marRight w:val="0"/>
      <w:marTop w:val="0"/>
      <w:marBottom w:val="0"/>
      <w:divBdr>
        <w:top w:val="none" w:sz="0" w:space="0" w:color="auto"/>
        <w:left w:val="none" w:sz="0" w:space="0" w:color="auto"/>
        <w:bottom w:val="none" w:sz="0" w:space="0" w:color="auto"/>
        <w:right w:val="none" w:sz="0" w:space="0" w:color="auto"/>
      </w:divBdr>
    </w:div>
    <w:div w:id="723063794">
      <w:marLeft w:val="0"/>
      <w:marRight w:val="0"/>
      <w:marTop w:val="0"/>
      <w:marBottom w:val="0"/>
      <w:divBdr>
        <w:top w:val="none" w:sz="0" w:space="0" w:color="auto"/>
        <w:left w:val="none" w:sz="0" w:space="0" w:color="auto"/>
        <w:bottom w:val="none" w:sz="0" w:space="0" w:color="auto"/>
        <w:right w:val="none" w:sz="0" w:space="0" w:color="auto"/>
      </w:divBdr>
      <w:divsChild>
        <w:div w:id="723063791">
          <w:marLeft w:val="0"/>
          <w:marRight w:val="0"/>
          <w:marTop w:val="0"/>
          <w:marBottom w:val="0"/>
          <w:divBdr>
            <w:top w:val="none" w:sz="0" w:space="0" w:color="auto"/>
            <w:left w:val="none" w:sz="0" w:space="0" w:color="auto"/>
            <w:bottom w:val="none" w:sz="0" w:space="0" w:color="auto"/>
            <w:right w:val="none" w:sz="0" w:space="0" w:color="auto"/>
          </w:divBdr>
        </w:div>
      </w:divsChild>
    </w:div>
    <w:div w:id="7230637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E13BAB-61CD-4047-ADCC-15A1219CD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6</Pages>
  <Words>1084</Words>
  <Characters>7281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2006.gada 31.oktobra noteikumos Nr.899 „Ambulatorajai ārstēšanai paredzēto zāļu un medicīnisko ierīču iegādes izdevumu kompensācijas kārtība”” projekta sākotnējās (ex-ante) ietekmes novērtējuma ziņo</vt:lpstr>
    </vt:vector>
  </TitlesOfParts>
  <Company>Veselības ministrija</Company>
  <LinksUpToDate>false</LinksUpToDate>
  <CharactersWithSpaces>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2006.gada 31.oktobra noteikumos Nr.899 „Ambulatorajai ārstēšanai paredzēto zāļu un medicīnisko ierīču iegādes izdevumu kompensācijas kārtība”” projekta sākotnējās (ex-ante) ietekmes novērtējuma ziņojums (anotācija) projekts</dc:title>
  <dc:subject>Anotācija</dc:subject>
  <dc:creator>sandra dreimane</dc:creator>
  <cp:keywords/>
  <dc:description>Budžeta un investīciju departamenta Budžeta plānošanas nodaļa Sandra Dreimane, tel.67876147, sandra.dreimane@vm.gov.lv</dc:description>
  <cp:lastModifiedBy>sdreimane</cp:lastModifiedBy>
  <cp:revision>456</cp:revision>
  <cp:lastPrinted>2013-04-29T09:17:00Z</cp:lastPrinted>
  <dcterms:created xsi:type="dcterms:W3CDTF">2013-04-29T09:17:00Z</dcterms:created>
  <dcterms:modified xsi:type="dcterms:W3CDTF">2013-07-17T05:37:00Z</dcterms:modified>
</cp:coreProperties>
</file>