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EE" w:rsidRPr="00C70105" w:rsidRDefault="004C5DE4" w:rsidP="00842E70">
      <w:pPr>
        <w:spacing w:after="0" w:line="240" w:lineRule="auto"/>
        <w:jc w:val="center"/>
        <w:rPr>
          <w:rFonts w:ascii="Times New Roman" w:hAnsi="Times New Roman"/>
          <w:sz w:val="28"/>
          <w:szCs w:val="28"/>
          <w:lang w:val="lv-LV"/>
        </w:rPr>
      </w:pPr>
      <w:bookmarkStart w:id="0" w:name="OLE_LINK1"/>
      <w:bookmarkStart w:id="1" w:name="OLE_LINK2"/>
      <w:bookmarkStart w:id="2" w:name="OLE_LINK5"/>
      <w:r w:rsidRPr="00463F68">
        <w:rPr>
          <w:rFonts w:ascii="Times New Roman" w:hAnsi="Times New Roman"/>
          <w:sz w:val="28"/>
          <w:szCs w:val="28"/>
          <w:lang w:val="lv-LV"/>
        </w:rPr>
        <w:t>M</w:t>
      </w:r>
      <w:r w:rsidRPr="00C70105">
        <w:rPr>
          <w:rFonts w:ascii="Times New Roman" w:hAnsi="Times New Roman"/>
          <w:sz w:val="28"/>
          <w:szCs w:val="28"/>
          <w:lang w:val="lv-LV"/>
        </w:rPr>
        <w:t xml:space="preserve">inistru kabineta </w:t>
      </w:r>
      <w:r w:rsidR="00DF0681" w:rsidRPr="00C70105">
        <w:rPr>
          <w:rFonts w:ascii="Times New Roman" w:hAnsi="Times New Roman"/>
          <w:sz w:val="28"/>
          <w:szCs w:val="28"/>
          <w:lang w:val="lv-LV"/>
        </w:rPr>
        <w:t>rīkojuma projekta</w:t>
      </w:r>
      <w:bookmarkStart w:id="3" w:name="OLE_LINK6"/>
      <w:bookmarkStart w:id="4" w:name="_Hlk337213087"/>
      <w:bookmarkStart w:id="5" w:name="OLE_LINK7"/>
      <w:bookmarkStart w:id="6" w:name="OLE_LINK8"/>
      <w:bookmarkStart w:id="7" w:name="_Hlk337213204"/>
      <w:bookmarkStart w:id="8" w:name="OLE_LINK12"/>
      <w:bookmarkStart w:id="9" w:name="OLE_LINK13"/>
    </w:p>
    <w:p w:rsidR="00842E70" w:rsidRPr="00C70105" w:rsidRDefault="00DF0681" w:rsidP="00842E70">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w:t>
      </w:r>
      <w:bookmarkStart w:id="10" w:name="OLE_LINK16"/>
      <w:bookmarkStart w:id="11" w:name="OLE_LINK15"/>
      <w:r w:rsidR="00842E70" w:rsidRPr="00C70105">
        <w:rPr>
          <w:rFonts w:ascii="Times New Roman" w:hAnsi="Times New Roman"/>
          <w:b/>
          <w:sz w:val="28"/>
          <w:szCs w:val="28"/>
          <w:lang w:val="lv-LV"/>
        </w:rPr>
        <w:t>Par finanšu līdzekļu piešķiršanu no valsts budžeta programmas</w:t>
      </w:r>
    </w:p>
    <w:p w:rsidR="006C1AE2" w:rsidRPr="00C70105" w:rsidRDefault="00842E70" w:rsidP="00842E70">
      <w:pPr>
        <w:spacing w:after="0" w:line="240" w:lineRule="auto"/>
        <w:jc w:val="center"/>
        <w:rPr>
          <w:rFonts w:ascii="Times New Roman" w:hAnsi="Times New Roman"/>
          <w:sz w:val="28"/>
          <w:szCs w:val="28"/>
          <w:lang w:val="lv-LV"/>
        </w:rPr>
      </w:pPr>
      <w:r w:rsidRPr="00C70105">
        <w:rPr>
          <w:rFonts w:ascii="Times New Roman" w:hAnsi="Times New Roman"/>
          <w:b/>
          <w:sz w:val="28"/>
          <w:szCs w:val="28"/>
          <w:lang w:val="lv-LV"/>
        </w:rPr>
        <w:t>„Līdzekļi neparedzētiem gadījumiem</w:t>
      </w:r>
      <w:bookmarkEnd w:id="10"/>
      <w:bookmarkEnd w:id="11"/>
      <w:r w:rsidRPr="00C70105">
        <w:rPr>
          <w:rFonts w:ascii="Times New Roman" w:hAnsi="Times New Roman"/>
          <w:b/>
          <w:sz w:val="28"/>
          <w:szCs w:val="28"/>
          <w:lang w:val="lv-LV"/>
        </w:rPr>
        <w:t>”</w:t>
      </w:r>
      <w:r w:rsidR="00DF0681" w:rsidRPr="00C70105">
        <w:rPr>
          <w:rFonts w:ascii="Times New Roman" w:hAnsi="Times New Roman"/>
          <w:b/>
          <w:sz w:val="28"/>
          <w:szCs w:val="28"/>
          <w:lang w:val="lv-LV"/>
        </w:rPr>
        <w:t>”</w:t>
      </w:r>
      <w:bookmarkStart w:id="12" w:name="OLE_LINK3"/>
      <w:bookmarkStart w:id="13" w:name="OLE_LINK4"/>
      <w:bookmarkEnd w:id="3"/>
      <w:bookmarkEnd w:id="4"/>
      <w:bookmarkEnd w:id="5"/>
      <w:bookmarkEnd w:id="6"/>
      <w:bookmarkEnd w:id="7"/>
      <w:bookmarkEnd w:id="8"/>
      <w:bookmarkEnd w:id="9"/>
    </w:p>
    <w:p w:rsidR="00817EEE" w:rsidRPr="00C70105" w:rsidRDefault="009662AC" w:rsidP="00842E70">
      <w:pPr>
        <w:spacing w:after="0" w:line="240" w:lineRule="auto"/>
        <w:jc w:val="center"/>
        <w:rPr>
          <w:rFonts w:ascii="Times New Roman" w:eastAsia="Times New Roman" w:hAnsi="Times New Roman"/>
          <w:b/>
          <w:bCs/>
          <w:sz w:val="28"/>
          <w:szCs w:val="28"/>
          <w:lang w:val="lv-LV" w:eastAsia="lv-LV"/>
        </w:rPr>
      </w:pPr>
      <w:r w:rsidRPr="00C70105">
        <w:rPr>
          <w:rFonts w:ascii="Times New Roman" w:hAnsi="Times New Roman"/>
          <w:sz w:val="28"/>
          <w:szCs w:val="28"/>
          <w:lang w:val="lv-LV"/>
        </w:rPr>
        <w:t>sākotnējā</w:t>
      </w:r>
      <w:r w:rsidR="003F0972" w:rsidRPr="00C70105">
        <w:rPr>
          <w:rFonts w:ascii="Times New Roman" w:hAnsi="Times New Roman"/>
          <w:sz w:val="28"/>
          <w:szCs w:val="28"/>
          <w:lang w:val="lv-LV"/>
        </w:rPr>
        <w:t>s ietekmes</w:t>
      </w:r>
      <w:r w:rsidR="003F0972" w:rsidRPr="00C70105">
        <w:rPr>
          <w:rFonts w:ascii="Times New Roman" w:eastAsia="Times New Roman" w:hAnsi="Times New Roman"/>
          <w:bCs/>
          <w:sz w:val="28"/>
          <w:szCs w:val="28"/>
          <w:lang w:val="lv-LV" w:eastAsia="lv-LV"/>
        </w:rPr>
        <w:t xml:space="preserve"> novērtējuma ziņojums</w:t>
      </w:r>
    </w:p>
    <w:p w:rsidR="008B39E7" w:rsidRPr="00C70105" w:rsidRDefault="009662AC" w:rsidP="00D455EC">
      <w:pPr>
        <w:spacing w:after="0" w:line="240" w:lineRule="auto"/>
        <w:jc w:val="center"/>
        <w:rPr>
          <w:rFonts w:ascii="Times New Roman" w:eastAsia="Times New Roman" w:hAnsi="Times New Roman"/>
          <w:bCs/>
          <w:i/>
          <w:sz w:val="28"/>
          <w:szCs w:val="28"/>
          <w:lang w:val="lv-LV" w:eastAsia="lv-LV"/>
        </w:rPr>
      </w:pPr>
      <w:r w:rsidRPr="00C70105">
        <w:rPr>
          <w:rFonts w:ascii="Times New Roman" w:eastAsia="Times New Roman" w:hAnsi="Times New Roman"/>
          <w:bCs/>
          <w:i/>
          <w:sz w:val="28"/>
          <w:szCs w:val="28"/>
          <w:lang w:val="lv-LV" w:eastAsia="lv-LV"/>
        </w:rPr>
        <w:t>(anotācija)</w:t>
      </w:r>
      <w:bookmarkEnd w:id="0"/>
      <w:bookmarkEnd w:id="1"/>
      <w:bookmarkEnd w:id="2"/>
      <w:bookmarkEnd w:id="12"/>
      <w:bookmarkEnd w:id="13"/>
    </w:p>
    <w:p w:rsidR="00817EEE" w:rsidRPr="00C70105" w:rsidRDefault="00817EEE" w:rsidP="00817EEE">
      <w:pPr>
        <w:spacing w:after="0"/>
        <w:jc w:val="center"/>
        <w:rPr>
          <w:rFonts w:ascii="Times New Roman" w:eastAsia="Times New Roman" w:hAnsi="Times New Roman"/>
          <w:b/>
          <w:bCs/>
          <w:sz w:val="28"/>
          <w:szCs w:val="28"/>
          <w:lang w:val="lv-LV" w:eastAsia="lv-LV"/>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tblPr>
      <w:tblGrid>
        <w:gridCol w:w="538"/>
        <w:gridCol w:w="2738"/>
        <w:gridCol w:w="6520"/>
      </w:tblGrid>
      <w:tr w:rsidR="009662AC" w:rsidRPr="00C70105" w:rsidTr="00624F83">
        <w:trPr>
          <w:tblCellSpacing w:w="0" w:type="dxa"/>
        </w:trPr>
        <w:tc>
          <w:tcPr>
            <w:tcW w:w="9796" w:type="dxa"/>
            <w:gridSpan w:val="3"/>
            <w:tcBorders>
              <w:top w:val="outset" w:sz="6" w:space="0" w:color="auto"/>
              <w:left w:val="outset" w:sz="6" w:space="0" w:color="auto"/>
              <w:bottom w:val="outset" w:sz="6" w:space="0" w:color="auto"/>
              <w:right w:val="outset" w:sz="6" w:space="0" w:color="auto"/>
            </w:tcBorders>
            <w:vAlign w:val="center"/>
          </w:tcPr>
          <w:p w:rsidR="009662AC" w:rsidRPr="00C70105" w:rsidRDefault="009662AC" w:rsidP="00694B6E">
            <w:pPr>
              <w:spacing w:after="0" w:line="240" w:lineRule="auto"/>
              <w:jc w:val="center"/>
              <w:rPr>
                <w:rFonts w:ascii="Times New Roman" w:eastAsia="Times New Roman" w:hAnsi="Times New Roman"/>
                <w:sz w:val="28"/>
                <w:szCs w:val="28"/>
                <w:lang w:val="lv-LV" w:eastAsia="lv-LV"/>
              </w:rPr>
            </w:pPr>
            <w:r w:rsidRPr="00C70105">
              <w:rPr>
                <w:rFonts w:ascii="Times New Roman" w:eastAsia="Times New Roman" w:hAnsi="Times New Roman"/>
                <w:b/>
                <w:bCs/>
                <w:sz w:val="28"/>
                <w:szCs w:val="28"/>
                <w:lang w:val="lv-LV" w:eastAsia="lv-LV"/>
              </w:rPr>
              <w:t>I. Tiesību akta projekta izstrādes nepieciešamība</w:t>
            </w:r>
          </w:p>
        </w:tc>
      </w:tr>
      <w:tr w:rsidR="009662AC" w:rsidRPr="00A37919" w:rsidTr="007C27F3">
        <w:trPr>
          <w:trHeight w:val="668"/>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A37919" w:rsidRDefault="009662AC" w:rsidP="00EA1B26">
            <w:pPr>
              <w:spacing w:after="0" w:line="240" w:lineRule="auto"/>
              <w:jc w:val="both"/>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1.</w:t>
            </w:r>
          </w:p>
        </w:tc>
        <w:tc>
          <w:tcPr>
            <w:tcW w:w="2738" w:type="dxa"/>
            <w:tcBorders>
              <w:top w:val="outset" w:sz="6" w:space="0" w:color="auto"/>
              <w:left w:val="outset" w:sz="6" w:space="0" w:color="auto"/>
              <w:bottom w:val="outset" w:sz="6" w:space="0" w:color="auto"/>
              <w:right w:val="outset" w:sz="6" w:space="0" w:color="auto"/>
            </w:tcBorders>
          </w:tcPr>
          <w:p w:rsidR="009662AC" w:rsidRPr="00A37919" w:rsidRDefault="009662AC" w:rsidP="00EA1B26">
            <w:pPr>
              <w:spacing w:after="0" w:line="240" w:lineRule="auto"/>
              <w:jc w:val="both"/>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Pamatojums</w:t>
            </w:r>
          </w:p>
        </w:tc>
        <w:tc>
          <w:tcPr>
            <w:tcW w:w="6520" w:type="dxa"/>
            <w:tcBorders>
              <w:top w:val="outset" w:sz="6" w:space="0" w:color="auto"/>
              <w:left w:val="outset" w:sz="6" w:space="0" w:color="auto"/>
              <w:bottom w:val="outset" w:sz="6" w:space="0" w:color="auto"/>
              <w:right w:val="outset" w:sz="6" w:space="0" w:color="auto"/>
            </w:tcBorders>
          </w:tcPr>
          <w:p w:rsidR="007C27F3" w:rsidRPr="00A37919" w:rsidRDefault="006C05B7" w:rsidP="00CB773E">
            <w:pPr>
              <w:pStyle w:val="naiskr"/>
              <w:tabs>
                <w:tab w:val="left" w:pos="390"/>
              </w:tabs>
              <w:spacing w:before="0" w:after="0"/>
              <w:ind w:firstLine="268"/>
              <w:jc w:val="both"/>
              <w:rPr>
                <w:sz w:val="28"/>
                <w:szCs w:val="28"/>
              </w:rPr>
            </w:pPr>
            <w:r w:rsidRPr="00A37919">
              <w:rPr>
                <w:sz w:val="28"/>
                <w:szCs w:val="28"/>
              </w:rPr>
              <w:t>Ministru kabineta 2009.gada 22.decembra noteikumu Nr.1644 „Kārtība, kādā pieprasa un izlieto budžeta programmas „Līdzekļi neparedzētiem gadījumiem” līdzekļus” 3.punkts, kas nosaka, ka līdzekļus piešķir valsts pamatbudžeta apropriācijās citiem neparedzētiem gadījumiem un valstiski īpaši nozīmīgiem pasākumiem.</w:t>
            </w:r>
          </w:p>
        </w:tc>
      </w:tr>
      <w:tr w:rsidR="009662AC" w:rsidRPr="00A37919" w:rsidTr="00624F83">
        <w:trPr>
          <w:trHeight w:val="472"/>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A37919" w:rsidRDefault="009662AC" w:rsidP="00EA1B26">
            <w:pPr>
              <w:spacing w:after="0" w:line="240" w:lineRule="auto"/>
              <w:jc w:val="both"/>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2.</w:t>
            </w:r>
          </w:p>
        </w:tc>
        <w:tc>
          <w:tcPr>
            <w:tcW w:w="2738" w:type="dxa"/>
            <w:tcBorders>
              <w:top w:val="outset" w:sz="6" w:space="0" w:color="auto"/>
              <w:left w:val="outset" w:sz="6" w:space="0" w:color="auto"/>
              <w:bottom w:val="outset" w:sz="6" w:space="0" w:color="auto"/>
              <w:right w:val="outset" w:sz="6" w:space="0" w:color="auto"/>
            </w:tcBorders>
          </w:tcPr>
          <w:p w:rsidR="009662AC" w:rsidRPr="00A37919" w:rsidRDefault="009662AC" w:rsidP="00624F83">
            <w:pPr>
              <w:spacing w:after="0"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Pašreizējā situācija un problēmas</w:t>
            </w:r>
          </w:p>
        </w:tc>
        <w:tc>
          <w:tcPr>
            <w:tcW w:w="6520" w:type="dxa"/>
            <w:tcBorders>
              <w:top w:val="outset" w:sz="6" w:space="0" w:color="auto"/>
              <w:left w:val="outset" w:sz="6" w:space="0" w:color="auto"/>
              <w:bottom w:val="outset" w:sz="6" w:space="0" w:color="auto"/>
              <w:right w:val="outset" w:sz="6" w:space="0" w:color="auto"/>
            </w:tcBorders>
          </w:tcPr>
          <w:p w:rsidR="00ED62AD" w:rsidRPr="00A37919" w:rsidRDefault="006C05B7" w:rsidP="00E579A5">
            <w:pPr>
              <w:spacing w:after="0" w:line="240" w:lineRule="auto"/>
              <w:ind w:firstLine="268"/>
              <w:jc w:val="both"/>
              <w:rPr>
                <w:rFonts w:ascii="Times New Roman" w:hAnsi="Times New Roman"/>
                <w:sz w:val="28"/>
                <w:szCs w:val="28"/>
                <w:lang w:val="lv-LV"/>
              </w:rPr>
            </w:pPr>
            <w:r w:rsidRPr="00A37919">
              <w:rPr>
                <w:rFonts w:ascii="Times New Roman" w:hAnsi="Times New Roman"/>
                <w:sz w:val="28"/>
                <w:szCs w:val="28"/>
                <w:lang w:val="lv-LV"/>
              </w:rPr>
              <w:t>Lai nodrošinātu ārstniecības iestāžu</w:t>
            </w:r>
            <w:r w:rsidR="00FB2CD7" w:rsidRPr="00A37919">
              <w:rPr>
                <w:rFonts w:ascii="Times New Roman" w:hAnsi="Times New Roman"/>
                <w:sz w:val="28"/>
                <w:szCs w:val="28"/>
                <w:lang w:val="lv-LV"/>
              </w:rPr>
              <w:t>, kuras sniedz stacionāros ārstniecības pakalpojumus,</w:t>
            </w:r>
            <w:r w:rsidRPr="00A37919">
              <w:rPr>
                <w:rFonts w:ascii="Times New Roman" w:hAnsi="Times New Roman"/>
                <w:sz w:val="28"/>
                <w:szCs w:val="28"/>
                <w:lang w:val="lv-LV"/>
              </w:rPr>
              <w:t xml:space="preserve"> daļēju  infrastruktūras uzturēšanas izdevumu deficīta segšanu, Neatliekamās medicīniskās palīdzības dienesta (turpmāk – NMPD)  izdevu segšanu, kas saistīta ar Valsts darba inspekcija</w:t>
            </w:r>
            <w:r w:rsidR="001E5342" w:rsidRPr="00A37919">
              <w:rPr>
                <w:rFonts w:ascii="Times New Roman" w:hAnsi="Times New Roman"/>
                <w:sz w:val="28"/>
                <w:szCs w:val="28"/>
                <w:lang w:val="lv-LV"/>
              </w:rPr>
              <w:t>s</w:t>
            </w:r>
            <w:r w:rsidRPr="00A37919">
              <w:rPr>
                <w:rFonts w:ascii="Times New Roman" w:hAnsi="Times New Roman"/>
                <w:sz w:val="28"/>
                <w:szCs w:val="28"/>
                <w:lang w:val="lv-LV"/>
              </w:rPr>
              <w:t xml:space="preserve"> veiktajās pārbaudēs dotajām norādēm par nepieciešamību nodrošināt NMPD ārstniecības personas ar individuālajiem aizsardzības </w:t>
            </w:r>
            <w:r w:rsidRPr="00592229">
              <w:rPr>
                <w:rFonts w:ascii="Times New Roman" w:hAnsi="Times New Roman"/>
                <w:sz w:val="28"/>
                <w:szCs w:val="28"/>
                <w:lang w:val="lv-LV"/>
              </w:rPr>
              <w:t xml:space="preserve">līdzekļiem </w:t>
            </w:r>
            <w:r w:rsidR="001E5342" w:rsidRPr="00592229">
              <w:rPr>
                <w:rFonts w:ascii="Times New Roman" w:hAnsi="Times New Roman"/>
                <w:sz w:val="28"/>
                <w:szCs w:val="28"/>
                <w:lang w:val="lv-LV"/>
              </w:rPr>
              <w:t xml:space="preserve">- </w:t>
            </w:r>
            <w:r w:rsidRPr="00592229">
              <w:rPr>
                <w:rFonts w:ascii="Times New Roman" w:hAnsi="Times New Roman"/>
                <w:sz w:val="28"/>
                <w:szCs w:val="28"/>
                <w:lang w:val="lv-LV"/>
              </w:rPr>
              <w:t>darba apaviem ar purngala daļas aizsardzību, kā arī NMPD Rīgas reģionālajam centram</w:t>
            </w:r>
            <w:r w:rsidR="00ED629C" w:rsidRPr="00592229">
              <w:rPr>
                <w:rFonts w:ascii="Times New Roman" w:hAnsi="Times New Roman"/>
                <w:sz w:val="28"/>
                <w:szCs w:val="28"/>
                <w:lang w:val="lv-LV"/>
              </w:rPr>
              <w:t>, lai</w:t>
            </w:r>
            <w:r w:rsidRPr="00592229">
              <w:rPr>
                <w:rFonts w:ascii="Times New Roman" w:hAnsi="Times New Roman"/>
                <w:sz w:val="28"/>
                <w:szCs w:val="28"/>
                <w:lang w:val="lv-LV"/>
              </w:rPr>
              <w:t xml:space="preserve"> segtu daļēju izdevumu deficītu norēķiniem ar akciju sabiedrību „Rīgas sanitārā autobāze” par neatliekamās medicīniskās palīdzības transportlīdzekļu nomu un autovadītāju pakalpojuma nodrošināšanu</w:t>
            </w:r>
            <w:r w:rsidR="00ED629C" w:rsidRPr="00592229">
              <w:rPr>
                <w:rFonts w:ascii="Times New Roman" w:hAnsi="Times New Roman"/>
                <w:sz w:val="28"/>
                <w:szCs w:val="28"/>
                <w:lang w:val="lv-LV"/>
              </w:rPr>
              <w:t xml:space="preserve"> un, lai atvieglotu </w:t>
            </w:r>
            <w:r w:rsidR="00E579A5" w:rsidRPr="00592229">
              <w:rPr>
                <w:rFonts w:ascii="Times New Roman" w:hAnsi="Times New Roman"/>
                <w:sz w:val="28"/>
                <w:szCs w:val="28"/>
                <w:lang w:val="lv-LV"/>
              </w:rPr>
              <w:t xml:space="preserve">norēķinus </w:t>
            </w:r>
            <w:r w:rsidR="00ED629C" w:rsidRPr="00592229">
              <w:rPr>
                <w:rFonts w:ascii="Times New Roman" w:hAnsi="Times New Roman"/>
                <w:sz w:val="28"/>
                <w:szCs w:val="28"/>
                <w:lang w:val="lv-LV"/>
              </w:rPr>
              <w:t>2014.gad</w:t>
            </w:r>
            <w:r w:rsidR="00E579A5" w:rsidRPr="00592229">
              <w:rPr>
                <w:rFonts w:ascii="Times New Roman" w:hAnsi="Times New Roman"/>
                <w:sz w:val="28"/>
                <w:szCs w:val="28"/>
                <w:lang w:val="lv-LV"/>
              </w:rPr>
              <w:t xml:space="preserve">ā, </w:t>
            </w:r>
            <w:r w:rsidR="00ED629C" w:rsidRPr="00592229">
              <w:rPr>
                <w:rFonts w:ascii="Times New Roman" w:hAnsi="Times New Roman"/>
                <w:sz w:val="28"/>
                <w:szCs w:val="28"/>
                <w:lang w:val="lv-LV"/>
              </w:rPr>
              <w:t>veicot daļēju samaksu par decembri</w:t>
            </w:r>
            <w:r w:rsidR="00E579A5" w:rsidRPr="00592229">
              <w:rPr>
                <w:rFonts w:ascii="Times New Roman" w:hAnsi="Times New Roman"/>
                <w:sz w:val="28"/>
                <w:szCs w:val="28"/>
                <w:lang w:val="lv-LV"/>
              </w:rPr>
              <w:t xml:space="preserve">, </w:t>
            </w:r>
            <w:r w:rsidRPr="00592229">
              <w:rPr>
                <w:rFonts w:ascii="Times New Roman" w:hAnsi="Times New Roman"/>
                <w:sz w:val="28"/>
                <w:szCs w:val="28"/>
                <w:lang w:val="lv-LV"/>
              </w:rPr>
              <w:t>i</w:t>
            </w:r>
            <w:r w:rsidR="00463F68" w:rsidRPr="00592229">
              <w:rPr>
                <w:rFonts w:ascii="Times New Roman" w:hAnsi="Times New Roman"/>
                <w:sz w:val="28"/>
                <w:szCs w:val="28"/>
                <w:lang w:val="lv-LV"/>
              </w:rPr>
              <w:t>r</w:t>
            </w:r>
            <w:r w:rsidR="00FA41E0" w:rsidRPr="00592229">
              <w:rPr>
                <w:rFonts w:ascii="Times New Roman" w:hAnsi="Times New Roman"/>
                <w:sz w:val="28"/>
                <w:szCs w:val="28"/>
                <w:lang w:val="lv-LV"/>
              </w:rPr>
              <w:t xml:space="preserve"> nepieciešams </w:t>
            </w:r>
            <w:r w:rsidR="000966C4" w:rsidRPr="00592229">
              <w:rPr>
                <w:rFonts w:ascii="Times New Roman" w:hAnsi="Times New Roman"/>
                <w:sz w:val="28"/>
                <w:szCs w:val="28"/>
                <w:lang w:val="lv-LV"/>
              </w:rPr>
              <w:t xml:space="preserve">izstrādāt </w:t>
            </w:r>
            <w:r w:rsidR="00DD0F45" w:rsidRPr="00592229">
              <w:rPr>
                <w:rFonts w:ascii="Times New Roman" w:hAnsi="Times New Roman"/>
                <w:sz w:val="28"/>
                <w:szCs w:val="28"/>
                <w:lang w:val="lv-LV"/>
              </w:rPr>
              <w:t xml:space="preserve">Ministru kabineta </w:t>
            </w:r>
            <w:r w:rsidR="000966C4" w:rsidRPr="00592229">
              <w:rPr>
                <w:rFonts w:ascii="Times New Roman" w:hAnsi="Times New Roman"/>
                <w:sz w:val="28"/>
                <w:szCs w:val="28"/>
                <w:lang w:val="lv-LV"/>
              </w:rPr>
              <w:t xml:space="preserve">rīkojuma projektu </w:t>
            </w:r>
            <w:r w:rsidR="00463F68" w:rsidRPr="00592229">
              <w:rPr>
                <w:rFonts w:ascii="Times New Roman" w:hAnsi="Times New Roman"/>
                <w:sz w:val="28"/>
                <w:szCs w:val="28"/>
                <w:lang w:val="lv-LV"/>
              </w:rPr>
              <w:t>„Par finanšu līdzekļu piešķiršanu no valsts budžeta</w:t>
            </w:r>
            <w:r w:rsidR="00463F68" w:rsidRPr="00A37919">
              <w:rPr>
                <w:rFonts w:ascii="Times New Roman" w:hAnsi="Times New Roman"/>
                <w:sz w:val="28"/>
                <w:szCs w:val="28"/>
                <w:lang w:val="lv-LV"/>
              </w:rPr>
              <w:t xml:space="preserve"> programmas „Līdzekļi neparedzētiem gadījumiem”” </w:t>
            </w:r>
            <w:r w:rsidR="000966C4" w:rsidRPr="00A37919">
              <w:rPr>
                <w:rFonts w:ascii="Times New Roman" w:hAnsi="Times New Roman"/>
                <w:sz w:val="28"/>
                <w:szCs w:val="28"/>
                <w:lang w:val="lv-LV"/>
              </w:rPr>
              <w:t>(turpmāk – rīkojuma projekts)</w:t>
            </w:r>
            <w:r w:rsidR="00ED62AD" w:rsidRPr="00A37919">
              <w:rPr>
                <w:rFonts w:ascii="Times New Roman" w:hAnsi="Times New Roman"/>
                <w:sz w:val="28"/>
                <w:szCs w:val="28"/>
                <w:lang w:val="lv-LV"/>
              </w:rPr>
              <w:t>.</w:t>
            </w:r>
          </w:p>
          <w:p w:rsidR="00ED62AD" w:rsidRPr="00A37919" w:rsidRDefault="00ED62AD" w:rsidP="00CB773E">
            <w:pPr>
              <w:spacing w:after="0" w:line="240" w:lineRule="auto"/>
              <w:ind w:firstLine="268"/>
              <w:jc w:val="both"/>
              <w:rPr>
                <w:rFonts w:ascii="Times New Roman" w:hAnsi="Times New Roman"/>
                <w:sz w:val="28"/>
                <w:szCs w:val="28"/>
                <w:lang w:val="lv-LV"/>
              </w:rPr>
            </w:pPr>
            <w:r w:rsidRPr="00A37919">
              <w:rPr>
                <w:rFonts w:ascii="Times New Roman" w:hAnsi="Times New Roman"/>
                <w:sz w:val="28"/>
                <w:szCs w:val="28"/>
                <w:lang w:val="lv-LV"/>
              </w:rPr>
              <w:t xml:space="preserve">2013.gada 28.maija Ministru Kabineta sēdē (protokols Nr.32, §66) tika izskatīts Veselības ministrijas informatīvais ziņojums „Finanšu situācija veselības aprūpes jomā”, kurā tika informēts par veselības aprūpes pakalpojumu tarifu neatbilstību </w:t>
            </w:r>
            <w:r w:rsidRPr="00A37919">
              <w:rPr>
                <w:rFonts w:ascii="Times New Roman" w:hAnsi="Times New Roman"/>
                <w:sz w:val="28"/>
                <w:szCs w:val="28"/>
                <w:lang w:val="lv-LV" w:bidi="en-US"/>
              </w:rPr>
              <w:t xml:space="preserve">ar pakalpojumu sniegšanu saistītajām </w:t>
            </w:r>
            <w:r w:rsidRPr="00A37919">
              <w:rPr>
                <w:rFonts w:ascii="Times New Roman" w:hAnsi="Times New Roman"/>
                <w:sz w:val="28"/>
                <w:szCs w:val="28"/>
                <w:lang w:val="lv-LV"/>
              </w:rPr>
              <w:t xml:space="preserve">reālajām izmaksām, </w:t>
            </w:r>
            <w:r w:rsidRPr="00A37919">
              <w:rPr>
                <w:rFonts w:ascii="Times New Roman" w:hAnsi="Times New Roman"/>
                <w:sz w:val="28"/>
                <w:szCs w:val="28"/>
                <w:lang w:val="lv-LV"/>
              </w:rPr>
              <w:lastRenderedPageBreak/>
              <w:t xml:space="preserve">ko ir arī norādījusi </w:t>
            </w:r>
            <w:r w:rsidRPr="00A37919">
              <w:rPr>
                <w:rFonts w:ascii="Times New Roman" w:hAnsi="Times New Roman"/>
                <w:sz w:val="28"/>
                <w:szCs w:val="28"/>
                <w:lang w:val="lv-LV" w:bidi="en-US"/>
              </w:rPr>
              <w:t>Valsts kontrole 2011.gada 28.novembra Revīzijas ziņojumā Nr.5.1.-2-6/2011 „</w:t>
            </w:r>
            <w:r w:rsidRPr="00A37919">
              <w:rPr>
                <w:rFonts w:ascii="Times New Roman" w:hAnsi="Times New Roman"/>
                <w:sz w:val="28"/>
                <w:szCs w:val="28"/>
                <w:lang w:val="lv-LV"/>
              </w:rPr>
              <w:t>Valsts budžeta līdzekļu izlietojuma likumība un ekonomiskums, apmaksājot ārstniecības pakalpojumus pēc noteiktā tarifa”.</w:t>
            </w:r>
          </w:p>
          <w:p w:rsidR="00ED62AD" w:rsidRPr="00A37919" w:rsidRDefault="00ED62AD" w:rsidP="00CB773E">
            <w:pPr>
              <w:spacing w:after="0" w:line="240" w:lineRule="auto"/>
              <w:ind w:firstLine="268"/>
              <w:jc w:val="both"/>
              <w:rPr>
                <w:rFonts w:ascii="Times New Roman" w:hAnsi="Times New Roman"/>
                <w:sz w:val="28"/>
                <w:szCs w:val="28"/>
                <w:lang w:val="lv-LV"/>
              </w:rPr>
            </w:pPr>
            <w:r w:rsidRPr="00A37919">
              <w:rPr>
                <w:rFonts w:ascii="Times New Roman" w:hAnsi="Times New Roman"/>
                <w:sz w:val="28"/>
                <w:szCs w:val="28"/>
                <w:lang w:val="lv-LV" w:bidi="en-US"/>
              </w:rPr>
              <w:t xml:space="preserve">2009.gadā ar Ministru kabineta 2008.gada 22.decembra noteikumiem Nr.1111 „Grozījumi Ministru kabineta 2006.gada 19.decembra noteikumos Nr.1046 „Veselības aprūpes organizēšanas un finansēšanas kārtība”” ir samazināti veselības aprūpes pakalpojumu tarifu elementi, kā arī izslēgts tarifa elements P – peļņa (attīstības izdevumi). Tādejādi jau vairāk kā 4 gadus </w:t>
            </w:r>
            <w:r w:rsidRPr="00A37919">
              <w:rPr>
                <w:rFonts w:ascii="Times New Roman" w:hAnsi="Times New Roman"/>
                <w:sz w:val="28"/>
                <w:szCs w:val="28"/>
                <w:lang w:val="lv-LV"/>
              </w:rPr>
              <w:t xml:space="preserve">visām stacionārajām ārstniecības iestādēm tiek piešķirts fiksēts maksājums stacionārās darbības nodrošināšanai  (katru mēnesi ārstniecības iestādei novirzot 1/12 no gadam noteiktā finansējuma). </w:t>
            </w:r>
          </w:p>
          <w:p w:rsidR="00ED62AD" w:rsidRPr="00A37919" w:rsidRDefault="00ED62AD" w:rsidP="00CB773E">
            <w:pPr>
              <w:spacing w:after="0" w:line="240" w:lineRule="auto"/>
              <w:jc w:val="both"/>
              <w:rPr>
                <w:rFonts w:ascii="Times New Roman" w:hAnsi="Times New Roman"/>
                <w:sz w:val="28"/>
                <w:szCs w:val="28"/>
                <w:lang w:val="lv-LV"/>
              </w:rPr>
            </w:pPr>
            <w:r w:rsidRPr="00A37919">
              <w:rPr>
                <w:rFonts w:ascii="Times New Roman" w:hAnsi="Times New Roman"/>
                <w:sz w:val="28"/>
                <w:szCs w:val="28"/>
                <w:lang w:val="lv-LV"/>
              </w:rPr>
              <w:t>Šajā laikā ārstniecības iestādēm</w:t>
            </w:r>
            <w:r w:rsidR="00FB2CD7" w:rsidRPr="00A37919">
              <w:rPr>
                <w:rFonts w:ascii="Times New Roman" w:hAnsi="Times New Roman"/>
                <w:sz w:val="28"/>
                <w:szCs w:val="28"/>
                <w:lang w:val="lv-LV"/>
              </w:rPr>
              <w:t xml:space="preserve">, kuras sniedz stacionāros ārstniecības pakalpojumus, </w:t>
            </w:r>
            <w:r w:rsidRPr="00A37919">
              <w:rPr>
                <w:rFonts w:ascii="Times New Roman" w:hAnsi="Times New Roman"/>
                <w:sz w:val="28"/>
                <w:szCs w:val="28"/>
                <w:lang w:val="lv-LV"/>
              </w:rPr>
              <w:t xml:space="preserve"> nav kompensēts izmaksu pieaugums, ko ietekmējis PVN likmes pieaugums no 5% uz 12% medikamentu un medicīnas precēm, kā arī  energoresursu, siltumenerģijas un  degvielas cenu palielinājums.</w:t>
            </w:r>
          </w:p>
          <w:p w:rsidR="00ED62AD" w:rsidRPr="00A37919" w:rsidRDefault="00ED62AD" w:rsidP="00CB773E">
            <w:pPr>
              <w:keepLines/>
              <w:autoSpaceDE w:val="0"/>
              <w:autoSpaceDN w:val="0"/>
              <w:adjustRightInd w:val="0"/>
              <w:spacing w:after="0" w:line="240" w:lineRule="auto"/>
              <w:ind w:firstLine="268"/>
              <w:jc w:val="both"/>
              <w:rPr>
                <w:rFonts w:ascii="Times New Roman" w:hAnsi="Times New Roman"/>
                <w:sz w:val="28"/>
                <w:szCs w:val="28"/>
                <w:lang w:val="lv-LV"/>
              </w:rPr>
            </w:pPr>
            <w:r w:rsidRPr="00A37919">
              <w:rPr>
                <w:rFonts w:ascii="Times New Roman" w:hAnsi="Times New Roman"/>
                <w:sz w:val="28"/>
                <w:szCs w:val="28"/>
                <w:lang w:val="lv-LV"/>
              </w:rPr>
              <w:t>Veselības aprūpes pakalpojumu tarifos aprēķinot pastāvīgo izmaksu elementu (N (</w:t>
            </w:r>
            <w:proofErr w:type="spellStart"/>
            <w:r w:rsidRPr="00A37919">
              <w:rPr>
                <w:rFonts w:ascii="Times New Roman" w:hAnsi="Times New Roman"/>
                <w:sz w:val="28"/>
                <w:szCs w:val="28"/>
                <w:lang w:val="lv-LV"/>
              </w:rPr>
              <w:t>Np</w:t>
            </w:r>
            <w:proofErr w:type="spellEnd"/>
            <w:r w:rsidRPr="00A37919">
              <w:rPr>
                <w:rFonts w:ascii="Times New Roman" w:hAnsi="Times New Roman"/>
                <w:sz w:val="28"/>
                <w:szCs w:val="28"/>
                <w:lang w:val="lv-LV"/>
              </w:rPr>
              <w:t xml:space="preserve">), U, A) vērtības, par pamatu tiek ņemti reģionālo daudzprofilu slimnīcu pārskati par faktisko līdzekļu izlietojumu iepriekšējā periodā un konkrētajā periodā pieejamie valsts budžeta līdzekļi veselības aprūpei. </w:t>
            </w:r>
          </w:p>
          <w:p w:rsidR="00ED62AD" w:rsidRPr="00A37919" w:rsidRDefault="00ED62AD" w:rsidP="00CB773E">
            <w:pPr>
              <w:keepLines/>
              <w:autoSpaceDE w:val="0"/>
              <w:autoSpaceDN w:val="0"/>
              <w:adjustRightInd w:val="0"/>
              <w:spacing w:after="0" w:line="240" w:lineRule="auto"/>
              <w:jc w:val="both"/>
              <w:rPr>
                <w:rFonts w:ascii="Times New Roman" w:hAnsi="Times New Roman"/>
                <w:sz w:val="28"/>
                <w:szCs w:val="28"/>
                <w:lang w:val="lv-LV"/>
              </w:rPr>
            </w:pPr>
            <w:r w:rsidRPr="00A37919">
              <w:rPr>
                <w:rFonts w:ascii="Times New Roman" w:hAnsi="Times New Roman"/>
                <w:sz w:val="28"/>
                <w:szCs w:val="28"/>
                <w:lang w:val="lv-LV"/>
              </w:rPr>
              <w:t>Kopējais finansējums stacionārai palīdzībai (bez pacientu iemaksu kompensācijas no valsts budžeta un bez finansējuma medikamentiem) ir Ls 137 613 351, kas sadalīts pa pakalpojumu elementiem.</w:t>
            </w:r>
          </w:p>
          <w:p w:rsidR="00D81399" w:rsidRPr="00A37919" w:rsidRDefault="00ED62AD" w:rsidP="00CB773E">
            <w:pPr>
              <w:keepLines/>
              <w:autoSpaceDE w:val="0"/>
              <w:autoSpaceDN w:val="0"/>
              <w:adjustRightInd w:val="0"/>
              <w:spacing w:after="0" w:line="240" w:lineRule="auto"/>
              <w:ind w:firstLine="268"/>
              <w:jc w:val="both"/>
              <w:rPr>
                <w:rFonts w:ascii="Times New Roman" w:hAnsi="Times New Roman"/>
                <w:sz w:val="28"/>
                <w:szCs w:val="28"/>
                <w:lang w:val="lv-LV"/>
              </w:rPr>
            </w:pPr>
            <w:r w:rsidRPr="00A37919">
              <w:rPr>
                <w:rFonts w:ascii="Times New Roman" w:hAnsi="Times New Roman"/>
                <w:sz w:val="28"/>
                <w:szCs w:val="28"/>
                <w:lang w:val="lv-LV" w:bidi="en-US"/>
              </w:rPr>
              <w:t>Saskaņā ar Ministru kabineta 2013.gada 12.jūnija rīkojumu Nr.247 ārstniecības iestādēm</w:t>
            </w:r>
            <w:r w:rsidR="00FB2CD7" w:rsidRPr="00A37919">
              <w:rPr>
                <w:rFonts w:ascii="Times New Roman" w:hAnsi="Times New Roman"/>
                <w:sz w:val="28"/>
                <w:szCs w:val="28"/>
                <w:lang w:val="lv-LV"/>
              </w:rPr>
              <w:t xml:space="preserve">, kuras sniedz stacionāros ārstniecības pakalpojumus, </w:t>
            </w:r>
            <w:r w:rsidRPr="00A37919">
              <w:rPr>
                <w:rFonts w:ascii="Times New Roman" w:hAnsi="Times New Roman"/>
                <w:sz w:val="28"/>
                <w:szCs w:val="28"/>
                <w:lang w:val="lv-LV" w:bidi="en-US"/>
              </w:rPr>
              <w:t xml:space="preserve"> vienreizējiem maksājumiem infrastruktūras uzturēšanas izdevumu deficīta segšanai bija piešķirti Ls 1 493 490. Kopējais </w:t>
            </w:r>
            <w:r w:rsidRPr="00A37919">
              <w:rPr>
                <w:rFonts w:ascii="Times New Roman" w:hAnsi="Times New Roman"/>
                <w:sz w:val="28"/>
                <w:szCs w:val="28"/>
                <w:lang w:val="lv-LV" w:bidi="en-US"/>
              </w:rPr>
              <w:lastRenderedPageBreak/>
              <w:t xml:space="preserve">nepieciešamas finansējums starpības segšanai starp </w:t>
            </w:r>
            <w:proofErr w:type="spellStart"/>
            <w:r w:rsidRPr="00A37919">
              <w:rPr>
                <w:rFonts w:ascii="Times New Roman" w:hAnsi="Times New Roman"/>
                <w:sz w:val="28"/>
                <w:szCs w:val="28"/>
              </w:rPr>
              <w:t>reālajām</w:t>
            </w:r>
            <w:proofErr w:type="spellEnd"/>
            <w:r w:rsidRPr="00A37919">
              <w:rPr>
                <w:rFonts w:ascii="Times New Roman" w:hAnsi="Times New Roman"/>
                <w:sz w:val="28"/>
                <w:szCs w:val="28"/>
              </w:rPr>
              <w:t xml:space="preserve"> </w:t>
            </w:r>
            <w:proofErr w:type="spellStart"/>
            <w:r w:rsidRPr="00A37919">
              <w:rPr>
                <w:rFonts w:ascii="Times New Roman" w:hAnsi="Times New Roman"/>
                <w:sz w:val="28"/>
                <w:szCs w:val="28"/>
              </w:rPr>
              <w:t>izmaksām</w:t>
            </w:r>
            <w:proofErr w:type="spellEnd"/>
            <w:r w:rsidRPr="00A37919">
              <w:rPr>
                <w:rFonts w:ascii="Times New Roman" w:hAnsi="Times New Roman"/>
                <w:sz w:val="28"/>
                <w:szCs w:val="28"/>
                <w:lang w:val="lv-LV" w:bidi="en-US"/>
              </w:rPr>
              <w:t xml:space="preserve"> un ar 2006.gada 19.decembra Ministru kabineta noteikumiem Nr.1046 „Veselības aprūpes organizēšanas  un finansēšanas noteikumi” apstiprinātajiem veselība</w:t>
            </w:r>
            <w:r w:rsidR="001E5342" w:rsidRPr="00A37919">
              <w:rPr>
                <w:rFonts w:ascii="Times New Roman" w:hAnsi="Times New Roman"/>
                <w:sz w:val="28"/>
                <w:szCs w:val="28"/>
                <w:lang w:val="lv-LV" w:bidi="en-US"/>
              </w:rPr>
              <w:t>s aprūpes tarifiem ir  Ls 6825</w:t>
            </w:r>
            <w:r w:rsidRPr="00A37919">
              <w:rPr>
                <w:rFonts w:ascii="Times New Roman" w:hAnsi="Times New Roman"/>
                <w:sz w:val="28"/>
                <w:szCs w:val="28"/>
                <w:lang w:val="lv-LV" w:bidi="en-US"/>
              </w:rPr>
              <w:t>622.  Starpība  starp aprēķināto nepieciešamo  finansējumu un saskaņā ar Ministru  Kabineta rīkojumu Nr.247 piešķirto finansējumu ir Ls 5 332 132 (EKK 3000). Finansējums tiks sadalīts ārstniecības iestādēm</w:t>
            </w:r>
            <w:r w:rsidR="00FB2CD7" w:rsidRPr="00A37919">
              <w:rPr>
                <w:rFonts w:ascii="Times New Roman" w:hAnsi="Times New Roman"/>
                <w:sz w:val="28"/>
                <w:szCs w:val="28"/>
                <w:lang w:val="lv-LV"/>
              </w:rPr>
              <w:t xml:space="preserve">, kuras sniedz stacionāros ārstniecības pakalpojumus, </w:t>
            </w:r>
            <w:r w:rsidRPr="00A37919">
              <w:rPr>
                <w:rFonts w:ascii="Times New Roman" w:hAnsi="Times New Roman"/>
                <w:sz w:val="28"/>
                <w:szCs w:val="28"/>
                <w:lang w:val="lv-LV" w:bidi="en-US"/>
              </w:rPr>
              <w:t xml:space="preserve"> vienreizēja maksājuma veidā proporcionāli līgumos fiksētajam maksājumam par stacionāro darbību (maksājums par programmā „Iezīmētie pakalpojumi”, programmā „Pārējie pakalpojumi” ietilpstošajiem veselības aprūpes pakalpojumiem un dzemdību palīdzību).</w:t>
            </w:r>
          </w:p>
          <w:p w:rsidR="00D81399" w:rsidRPr="00A37919" w:rsidRDefault="00D81399" w:rsidP="00CB773E">
            <w:pPr>
              <w:autoSpaceDE w:val="0"/>
              <w:autoSpaceDN w:val="0"/>
              <w:adjustRightInd w:val="0"/>
              <w:spacing w:after="0" w:line="240" w:lineRule="auto"/>
              <w:ind w:firstLine="268"/>
              <w:jc w:val="both"/>
              <w:rPr>
                <w:rFonts w:ascii="Times New Roman" w:hAnsi="Times New Roman"/>
                <w:sz w:val="28"/>
                <w:szCs w:val="28"/>
                <w:lang w:val="lv-LV"/>
              </w:rPr>
            </w:pPr>
            <w:r w:rsidRPr="00A37919">
              <w:rPr>
                <w:rFonts w:ascii="Times New Roman" w:hAnsi="Times New Roman"/>
                <w:sz w:val="28"/>
                <w:szCs w:val="28"/>
                <w:lang w:val="lv-LV"/>
              </w:rPr>
              <w:t xml:space="preserve">NMPD pamatfunkciju nodrošināšanai 2013.gada budžetā ar Finanšu ministrijas 2013.gada 3.jūlija rīkojumu Nr.269 „Par apropriācijas pārdali starp Finanšu ministriju, Veselības ministriju un 74.resoru „Gadskārtējais valsts budžeta izpildes procesā pārdalāmais finansējums” tika piešķirts finansējums apakšprogrammai 39.04.00 „Neatliekamā medicīniskā palīdzība” 789 479 latu apmērā, lai NMPD segtu siltumenerģijas, elektroenerģijas, degvielas iegādes izdevumu pieauguma izmaksas, kārtējā remonta izdevumus un norēķinātos ar akciju sabiedrību „Rīgas sanitārā transporta autobāze” par neatliekamās medicīniskās palīdzības transportlīdzekļu nomu, kā arī ar Finanšu ministrijas 2013.gada 21.oktobra rīkojumu Nr.450 „Par apropriācijas pārdali starp Finanšu ministriju, Aizsardzības ministriju, Ārlietu ministriju, Iekšlietu ministriju, Zemkopības ministriju, Satiksmes ministriju, Labklājības ministriju, Tieslietu ministriju, Kultūras ministriju, </w:t>
            </w:r>
            <w:proofErr w:type="spellStart"/>
            <w:r w:rsidRPr="00A37919">
              <w:rPr>
                <w:rFonts w:ascii="Times New Roman" w:hAnsi="Times New Roman"/>
                <w:sz w:val="28"/>
                <w:szCs w:val="28"/>
                <w:lang w:val="lv-LV"/>
              </w:rPr>
              <w:t>Pārresoru</w:t>
            </w:r>
            <w:proofErr w:type="spellEnd"/>
            <w:r w:rsidRPr="00A37919">
              <w:rPr>
                <w:rFonts w:ascii="Times New Roman" w:hAnsi="Times New Roman"/>
                <w:sz w:val="28"/>
                <w:szCs w:val="28"/>
                <w:lang w:val="lv-LV"/>
              </w:rPr>
              <w:t xml:space="preserve"> koordinācijas centru, Veselības ministriju un Prokuratūru” tika piešķirts finansējums NMPD</w:t>
            </w:r>
            <w:r w:rsidR="00FB2CD7" w:rsidRPr="00A37919">
              <w:rPr>
                <w:rFonts w:ascii="Times New Roman" w:hAnsi="Times New Roman"/>
                <w:sz w:val="28"/>
                <w:szCs w:val="28"/>
                <w:lang w:val="lv-LV"/>
              </w:rPr>
              <w:t xml:space="preserve"> Rīgas reģionālajam centram </w:t>
            </w:r>
            <w:r w:rsidR="00FB2CD7" w:rsidRPr="00A37919">
              <w:rPr>
                <w:rFonts w:ascii="Times New Roman" w:hAnsi="Times New Roman"/>
                <w:sz w:val="28"/>
                <w:szCs w:val="28"/>
                <w:lang w:val="lv-LV"/>
              </w:rPr>
              <w:lastRenderedPageBreak/>
              <w:t>446</w:t>
            </w:r>
            <w:r w:rsidRPr="00A37919">
              <w:rPr>
                <w:rFonts w:ascii="Times New Roman" w:hAnsi="Times New Roman"/>
                <w:sz w:val="28"/>
                <w:szCs w:val="28"/>
                <w:lang w:val="lv-LV"/>
              </w:rPr>
              <w:t>921</w:t>
            </w:r>
            <w:r w:rsidR="00E579A5">
              <w:rPr>
                <w:rFonts w:ascii="Times New Roman" w:hAnsi="Times New Roman"/>
                <w:sz w:val="28"/>
                <w:szCs w:val="28"/>
                <w:lang w:val="lv-LV"/>
              </w:rPr>
              <w:t xml:space="preserve"> </w:t>
            </w:r>
            <w:r w:rsidRPr="00A37919">
              <w:rPr>
                <w:rFonts w:ascii="Times New Roman" w:hAnsi="Times New Roman"/>
                <w:sz w:val="28"/>
                <w:szCs w:val="28"/>
                <w:lang w:val="lv-LV"/>
              </w:rPr>
              <w:t xml:space="preserve">Ls, lai norēķinātos ar akciju sabiedrību „Rīgas sanitārā autobāze” par neatliekamās medicīniskās palīdzības transportlīdzekļu nomu un autovadītāju pakalpojuma nodrošināšanu t.sk. degvielas sadārdzinājuma segšanai par </w:t>
            </w:r>
            <w:r w:rsidR="00FB2CD7" w:rsidRPr="00A37919">
              <w:rPr>
                <w:rFonts w:ascii="Times New Roman" w:hAnsi="Times New Roman"/>
                <w:sz w:val="28"/>
                <w:szCs w:val="28"/>
                <w:lang w:val="lv-LV"/>
              </w:rPr>
              <w:t xml:space="preserve">2011.gadu, </w:t>
            </w:r>
            <w:r w:rsidRPr="00A37919">
              <w:rPr>
                <w:rFonts w:ascii="Times New Roman" w:hAnsi="Times New Roman"/>
                <w:sz w:val="28"/>
                <w:szCs w:val="28"/>
                <w:lang w:val="lv-LV"/>
              </w:rPr>
              <w:t>2012.gadu un 2013.gada 2 mēnešiem atbilstoši 2013.gada 6.august</w:t>
            </w:r>
            <w:r w:rsidR="0090362E" w:rsidRPr="00A37919">
              <w:rPr>
                <w:rFonts w:ascii="Times New Roman" w:hAnsi="Times New Roman"/>
                <w:sz w:val="28"/>
                <w:szCs w:val="28"/>
                <w:lang w:val="lv-LV"/>
              </w:rPr>
              <w:t>a noslēgtajai vienošanās Nr.9 „P</w:t>
            </w:r>
            <w:r w:rsidRPr="00A37919">
              <w:rPr>
                <w:rFonts w:ascii="Times New Roman" w:hAnsi="Times New Roman"/>
                <w:sz w:val="28"/>
                <w:szCs w:val="28"/>
                <w:lang w:val="lv-LV"/>
              </w:rPr>
              <w:t xml:space="preserve">ie līguma par neatliekamās medicīniskās palīdzības transportlīdzekļu ar specializēto aprīkojumu un autovadītāju pakalpojuma nodrošināšanu NMPD Rīgas reģionālajam centram”. </w:t>
            </w:r>
            <w:r w:rsidR="00CD329B" w:rsidRPr="00A37919">
              <w:rPr>
                <w:rFonts w:ascii="Times New Roman" w:hAnsi="Times New Roman"/>
                <w:sz w:val="28"/>
                <w:szCs w:val="28"/>
                <w:lang w:val="lv-LV"/>
              </w:rPr>
              <w:t xml:space="preserve">Ņemot vērā, ka 2014.gadā un turpmāk nav plānota degvielas cenas samazināšanas, pastāv risks, ka šāda papildus vienošanās ar akciju sabiedrību „Rīgas sanitārā autobāze” būs slēdzama arī 2014.gadā un turpmākos </w:t>
            </w:r>
            <w:r w:rsidR="00CD329B" w:rsidRPr="00592229">
              <w:rPr>
                <w:rFonts w:ascii="Times New Roman" w:hAnsi="Times New Roman"/>
                <w:sz w:val="28"/>
                <w:szCs w:val="28"/>
                <w:lang w:val="lv-LV"/>
              </w:rPr>
              <w:t xml:space="preserve">gadus, kam būs finansiāla ietekme uz valsts budžetu.  </w:t>
            </w:r>
            <w:r w:rsidRPr="00592229">
              <w:rPr>
                <w:rFonts w:ascii="Times New Roman" w:hAnsi="Times New Roman"/>
                <w:sz w:val="28"/>
                <w:szCs w:val="28"/>
                <w:lang w:val="lv-LV"/>
              </w:rPr>
              <w:t xml:space="preserve">Līdz ar to 2013.gadā netika izpildīti visi vienošanās noteikumi un NMPD izveidojās neveikts norēķins par 2013.gada 10 mēnešiem (marts-decembris) par 146 117 </w:t>
            </w:r>
            <w:r w:rsidR="003C069D" w:rsidRPr="00592229">
              <w:rPr>
                <w:rFonts w:ascii="Times New Roman" w:hAnsi="Times New Roman"/>
                <w:sz w:val="28"/>
                <w:szCs w:val="28"/>
                <w:lang w:val="lv-LV"/>
              </w:rPr>
              <w:t>latiem (EKK 2000).</w:t>
            </w:r>
            <w:r w:rsidR="00E579A5" w:rsidRPr="00592229">
              <w:rPr>
                <w:rFonts w:ascii="Times New Roman" w:hAnsi="Times New Roman"/>
                <w:sz w:val="28"/>
                <w:szCs w:val="28"/>
                <w:lang w:val="lv-LV"/>
              </w:rPr>
              <w:t xml:space="preserve"> Papildus finansējums nepieciešamas arī, lai atvieglotu norēķinus 2014.gadā, veicot daļēju samaksu par decembri</w:t>
            </w:r>
            <w:r w:rsidR="00592229" w:rsidRPr="00592229">
              <w:rPr>
                <w:rFonts w:ascii="Times New Roman" w:hAnsi="Times New Roman"/>
                <w:sz w:val="28"/>
                <w:szCs w:val="28"/>
                <w:lang w:val="lv-LV"/>
              </w:rPr>
              <w:t xml:space="preserve"> 172 500 latu apmērā</w:t>
            </w:r>
            <w:r w:rsidR="00592229">
              <w:rPr>
                <w:rFonts w:ascii="Times New Roman" w:hAnsi="Times New Roman"/>
                <w:sz w:val="28"/>
                <w:szCs w:val="28"/>
                <w:lang w:val="lv-LV"/>
              </w:rPr>
              <w:t xml:space="preserve"> (EKK 2000)</w:t>
            </w:r>
            <w:r w:rsidR="00E579A5" w:rsidRPr="00592229">
              <w:rPr>
                <w:rFonts w:ascii="Times New Roman" w:hAnsi="Times New Roman"/>
                <w:sz w:val="28"/>
                <w:szCs w:val="28"/>
                <w:lang w:val="lv-LV"/>
              </w:rPr>
              <w:t>.</w:t>
            </w:r>
          </w:p>
          <w:p w:rsidR="00ED62AD" w:rsidRPr="00A37919" w:rsidRDefault="00ED62AD" w:rsidP="00CB773E">
            <w:pPr>
              <w:autoSpaceDE w:val="0"/>
              <w:autoSpaceDN w:val="0"/>
              <w:adjustRightInd w:val="0"/>
              <w:spacing w:after="0" w:line="240" w:lineRule="auto"/>
              <w:ind w:firstLine="268"/>
              <w:jc w:val="both"/>
              <w:rPr>
                <w:rFonts w:ascii="Times New Roman" w:hAnsi="Times New Roman"/>
                <w:sz w:val="28"/>
                <w:szCs w:val="28"/>
                <w:lang w:val="lv-LV"/>
              </w:rPr>
            </w:pPr>
            <w:r w:rsidRPr="00A37919">
              <w:rPr>
                <w:rFonts w:ascii="Times New Roman" w:hAnsi="Times New Roman"/>
                <w:sz w:val="28"/>
                <w:szCs w:val="28"/>
                <w:lang w:val="lv-LV"/>
              </w:rPr>
              <w:t xml:space="preserve">Valsts darba inspekcija veiktajās pārbaudēs </w:t>
            </w:r>
            <w:proofErr w:type="spellStart"/>
            <w:r w:rsidRPr="00A37919">
              <w:rPr>
                <w:rFonts w:ascii="Times New Roman" w:hAnsi="Times New Roman"/>
                <w:sz w:val="28"/>
                <w:szCs w:val="28"/>
                <w:lang w:val="lv-LV"/>
              </w:rPr>
              <w:t>vairākkārt</w:t>
            </w:r>
            <w:proofErr w:type="spellEnd"/>
            <w:r w:rsidRPr="00A37919">
              <w:rPr>
                <w:rFonts w:ascii="Times New Roman" w:hAnsi="Times New Roman"/>
                <w:sz w:val="28"/>
                <w:szCs w:val="28"/>
                <w:lang w:val="lv-LV"/>
              </w:rPr>
              <w:t xml:space="preserve"> ir norādījusi, ka NMPD ārstniecības personas nepieciešams nodrošināt ar individuālajiem aizsardzības līdzekļiem </w:t>
            </w:r>
            <w:r w:rsidR="001E5342" w:rsidRPr="00A37919">
              <w:rPr>
                <w:rFonts w:ascii="Times New Roman" w:hAnsi="Times New Roman"/>
                <w:sz w:val="28"/>
                <w:szCs w:val="28"/>
                <w:lang w:val="lv-LV"/>
              </w:rPr>
              <w:t xml:space="preserve">- </w:t>
            </w:r>
            <w:r w:rsidRPr="00A37919">
              <w:rPr>
                <w:rFonts w:ascii="Times New Roman" w:hAnsi="Times New Roman"/>
                <w:sz w:val="28"/>
                <w:szCs w:val="28"/>
                <w:lang w:val="lv-LV"/>
              </w:rPr>
              <w:t xml:space="preserve">darba apaviem ar purngala daļas aizsardzību. NMPD nepieciešami līdzekļi daļējai darbinieku apgādei ar darba apaviem (379 </w:t>
            </w:r>
            <w:proofErr w:type="spellStart"/>
            <w:r w:rsidRPr="00A37919">
              <w:rPr>
                <w:rFonts w:ascii="Times New Roman" w:hAnsi="Times New Roman"/>
                <w:sz w:val="28"/>
                <w:szCs w:val="28"/>
                <w:lang w:val="lv-LV"/>
              </w:rPr>
              <w:t>gb</w:t>
            </w:r>
            <w:proofErr w:type="spellEnd"/>
            <w:r w:rsidRPr="00A37919">
              <w:rPr>
                <w:rFonts w:ascii="Times New Roman" w:hAnsi="Times New Roman"/>
                <w:sz w:val="28"/>
                <w:szCs w:val="28"/>
                <w:lang w:val="lv-LV"/>
              </w:rPr>
              <w:t xml:space="preserve"> x 37,39 Ls) 14 171 latu apmērā (EKK 2000).</w:t>
            </w:r>
          </w:p>
        </w:tc>
      </w:tr>
      <w:tr w:rsidR="009662AC" w:rsidRPr="00A37919" w:rsidTr="00624F83">
        <w:trPr>
          <w:trHeight w:val="770"/>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A37919" w:rsidRDefault="009662AC" w:rsidP="00EA1B26">
            <w:pPr>
              <w:spacing w:after="0" w:line="240" w:lineRule="auto"/>
              <w:jc w:val="both"/>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lastRenderedPageBreak/>
              <w:t> 3.</w:t>
            </w:r>
          </w:p>
        </w:tc>
        <w:tc>
          <w:tcPr>
            <w:tcW w:w="2738" w:type="dxa"/>
            <w:tcBorders>
              <w:top w:val="outset" w:sz="6" w:space="0" w:color="auto"/>
              <w:left w:val="outset" w:sz="6" w:space="0" w:color="auto"/>
              <w:bottom w:val="outset" w:sz="6" w:space="0" w:color="auto"/>
              <w:right w:val="outset" w:sz="6" w:space="0" w:color="auto"/>
            </w:tcBorders>
          </w:tcPr>
          <w:p w:rsidR="009662AC" w:rsidRPr="00A37919" w:rsidRDefault="009662AC" w:rsidP="003B0F8D">
            <w:pPr>
              <w:spacing w:after="0"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Saistītie politikas ietekmes novērtējumi un pētījumi</w:t>
            </w:r>
          </w:p>
        </w:tc>
        <w:tc>
          <w:tcPr>
            <w:tcW w:w="6520" w:type="dxa"/>
            <w:tcBorders>
              <w:top w:val="outset" w:sz="6" w:space="0" w:color="auto"/>
              <w:left w:val="outset" w:sz="6" w:space="0" w:color="auto"/>
              <w:bottom w:val="outset" w:sz="6" w:space="0" w:color="auto"/>
              <w:right w:val="outset" w:sz="6" w:space="0" w:color="auto"/>
            </w:tcBorders>
          </w:tcPr>
          <w:p w:rsidR="009662AC" w:rsidRPr="00A37919" w:rsidRDefault="00D6649D" w:rsidP="00EA1B26">
            <w:pPr>
              <w:spacing w:after="0" w:line="240" w:lineRule="auto"/>
              <w:jc w:val="both"/>
              <w:rPr>
                <w:rFonts w:ascii="Times New Roman" w:eastAsia="Times New Roman" w:hAnsi="Times New Roman"/>
                <w:sz w:val="28"/>
                <w:szCs w:val="28"/>
                <w:lang w:val="lv-LV"/>
              </w:rPr>
            </w:pPr>
            <w:r w:rsidRPr="00A37919">
              <w:rPr>
                <w:rFonts w:ascii="Times New Roman" w:eastAsia="Times New Roman" w:hAnsi="Times New Roman"/>
                <w:sz w:val="28"/>
                <w:szCs w:val="28"/>
                <w:lang w:val="lv-LV"/>
              </w:rPr>
              <w:t>Nav attiecināms.</w:t>
            </w:r>
          </w:p>
          <w:p w:rsidR="007C27F3" w:rsidRPr="00A37919" w:rsidRDefault="007C27F3" w:rsidP="00EA1B26">
            <w:pPr>
              <w:spacing w:after="0" w:line="240" w:lineRule="auto"/>
              <w:jc w:val="both"/>
              <w:rPr>
                <w:rFonts w:ascii="Times New Roman" w:eastAsia="Times New Roman" w:hAnsi="Times New Roman"/>
                <w:sz w:val="28"/>
                <w:szCs w:val="28"/>
                <w:lang w:val="lv-LV"/>
              </w:rPr>
            </w:pPr>
          </w:p>
          <w:p w:rsidR="007C27F3" w:rsidRPr="00A37919" w:rsidRDefault="007C27F3" w:rsidP="00EA1B26">
            <w:pPr>
              <w:spacing w:after="0" w:line="240" w:lineRule="auto"/>
              <w:jc w:val="both"/>
              <w:rPr>
                <w:rFonts w:ascii="Times New Roman" w:eastAsia="Times New Roman" w:hAnsi="Times New Roman"/>
                <w:sz w:val="28"/>
                <w:szCs w:val="28"/>
                <w:lang w:val="lv-LV" w:eastAsia="lv-LV"/>
              </w:rPr>
            </w:pPr>
          </w:p>
        </w:tc>
      </w:tr>
      <w:tr w:rsidR="009662AC" w:rsidRPr="00A37919" w:rsidTr="00624F83">
        <w:trPr>
          <w:trHeight w:val="384"/>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A37919" w:rsidRDefault="009662AC" w:rsidP="00EA1B26">
            <w:pPr>
              <w:spacing w:after="0" w:line="240" w:lineRule="auto"/>
              <w:jc w:val="both"/>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4.</w:t>
            </w:r>
          </w:p>
        </w:tc>
        <w:tc>
          <w:tcPr>
            <w:tcW w:w="2738" w:type="dxa"/>
            <w:tcBorders>
              <w:top w:val="outset" w:sz="6" w:space="0" w:color="auto"/>
              <w:left w:val="outset" w:sz="6" w:space="0" w:color="auto"/>
              <w:bottom w:val="outset" w:sz="6" w:space="0" w:color="auto"/>
              <w:right w:val="outset" w:sz="6" w:space="0" w:color="auto"/>
            </w:tcBorders>
          </w:tcPr>
          <w:p w:rsidR="009662AC" w:rsidRPr="00A37919" w:rsidRDefault="009662AC" w:rsidP="003B0F8D">
            <w:pPr>
              <w:spacing w:after="0"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Tiesiskā regulējuma mērķis un būtība</w:t>
            </w:r>
          </w:p>
        </w:tc>
        <w:tc>
          <w:tcPr>
            <w:tcW w:w="6520" w:type="dxa"/>
            <w:tcBorders>
              <w:top w:val="outset" w:sz="6" w:space="0" w:color="auto"/>
              <w:left w:val="outset" w:sz="6" w:space="0" w:color="auto"/>
              <w:bottom w:val="outset" w:sz="6" w:space="0" w:color="auto"/>
              <w:right w:val="outset" w:sz="6" w:space="0" w:color="auto"/>
            </w:tcBorders>
          </w:tcPr>
          <w:p w:rsidR="00C01C53" w:rsidRPr="00A37919" w:rsidRDefault="000966C4" w:rsidP="00CB773E">
            <w:pPr>
              <w:autoSpaceDE w:val="0"/>
              <w:autoSpaceDN w:val="0"/>
              <w:adjustRightInd w:val="0"/>
              <w:spacing w:after="0" w:line="240" w:lineRule="auto"/>
              <w:ind w:firstLine="268"/>
              <w:jc w:val="both"/>
              <w:rPr>
                <w:sz w:val="28"/>
                <w:szCs w:val="28"/>
              </w:rPr>
            </w:pPr>
            <w:r w:rsidRPr="00A37919">
              <w:rPr>
                <w:rFonts w:ascii="Times New Roman" w:eastAsia="Times New Roman" w:hAnsi="Times New Roman"/>
                <w:bCs/>
                <w:sz w:val="28"/>
                <w:szCs w:val="28"/>
                <w:lang w:val="lv-LV" w:eastAsia="lv-LV"/>
              </w:rPr>
              <w:t>R</w:t>
            </w:r>
            <w:r w:rsidR="0096722A" w:rsidRPr="00A37919">
              <w:rPr>
                <w:rFonts w:ascii="Times New Roman" w:eastAsia="Times New Roman" w:hAnsi="Times New Roman"/>
                <w:bCs/>
                <w:sz w:val="28"/>
                <w:szCs w:val="28"/>
                <w:lang w:val="lv-LV" w:eastAsia="lv-LV"/>
              </w:rPr>
              <w:t xml:space="preserve">īkojuma </w:t>
            </w:r>
            <w:r w:rsidR="0096722A" w:rsidRPr="00A37919">
              <w:rPr>
                <w:rFonts w:ascii="Times New Roman" w:hAnsi="Times New Roman"/>
                <w:sz w:val="28"/>
                <w:szCs w:val="28"/>
                <w:lang w:val="lv-LV"/>
              </w:rPr>
              <w:t>projekts „</w:t>
            </w:r>
            <w:r w:rsidR="00842E70" w:rsidRPr="00A37919">
              <w:rPr>
                <w:rFonts w:ascii="Times New Roman" w:hAnsi="Times New Roman"/>
                <w:sz w:val="28"/>
                <w:szCs w:val="28"/>
                <w:lang w:val="lv-LV"/>
              </w:rPr>
              <w:t>Par finanšu līdzekļu piešķiršanu no valsts budžeta programmas „Līdzekļi neparedzētiem gadījumiem”</w:t>
            </w:r>
            <w:r w:rsidRPr="00A37919">
              <w:rPr>
                <w:rFonts w:ascii="Times New Roman" w:hAnsi="Times New Roman"/>
                <w:sz w:val="28"/>
                <w:szCs w:val="28"/>
                <w:lang w:val="lv-LV"/>
              </w:rPr>
              <w:t>”</w:t>
            </w:r>
            <w:r w:rsidR="00842E70" w:rsidRPr="00A37919">
              <w:rPr>
                <w:rFonts w:ascii="Times New Roman" w:hAnsi="Times New Roman"/>
                <w:sz w:val="28"/>
                <w:szCs w:val="28"/>
                <w:lang w:val="lv-LV"/>
              </w:rPr>
              <w:t xml:space="preserve"> </w:t>
            </w:r>
            <w:r w:rsidR="0096722A" w:rsidRPr="00A37919">
              <w:rPr>
                <w:rFonts w:ascii="Times New Roman" w:hAnsi="Times New Roman"/>
                <w:sz w:val="28"/>
                <w:szCs w:val="28"/>
                <w:lang w:val="lv-LV"/>
              </w:rPr>
              <w:t xml:space="preserve">paredz </w:t>
            </w:r>
            <w:r w:rsidR="00842E70" w:rsidRPr="00A37919">
              <w:rPr>
                <w:rFonts w:ascii="Times New Roman" w:hAnsi="Times New Roman"/>
                <w:sz w:val="28"/>
                <w:szCs w:val="28"/>
                <w:lang w:val="lv-LV"/>
              </w:rPr>
              <w:t>piešķirt Veselības ministrija</w:t>
            </w:r>
            <w:r w:rsidR="00C01C53" w:rsidRPr="00A37919">
              <w:rPr>
                <w:rFonts w:ascii="Times New Roman" w:hAnsi="Times New Roman"/>
                <w:sz w:val="28"/>
                <w:szCs w:val="28"/>
                <w:lang w:val="lv-LV"/>
              </w:rPr>
              <w:t xml:space="preserve">i </w:t>
            </w:r>
            <w:r w:rsidR="00592229">
              <w:rPr>
                <w:rFonts w:ascii="Times New Roman" w:hAnsi="Times New Roman"/>
                <w:sz w:val="28"/>
                <w:szCs w:val="28"/>
                <w:lang w:val="lv-LV"/>
              </w:rPr>
              <w:lastRenderedPageBreak/>
              <w:t>5 664 920</w:t>
            </w:r>
            <w:r w:rsidR="00C01C53" w:rsidRPr="00A37919">
              <w:rPr>
                <w:rFonts w:ascii="Times New Roman" w:hAnsi="Times New Roman"/>
                <w:sz w:val="28"/>
                <w:szCs w:val="28"/>
                <w:lang w:val="lv-LV"/>
              </w:rPr>
              <w:t xml:space="preserve"> latus</w:t>
            </w:r>
            <w:r w:rsidR="0090362E" w:rsidRPr="00A37919">
              <w:rPr>
                <w:rFonts w:ascii="Times New Roman" w:hAnsi="Times New Roman"/>
                <w:sz w:val="28"/>
                <w:szCs w:val="28"/>
                <w:lang w:val="lv-LV"/>
              </w:rPr>
              <w:t xml:space="preserve">, </w:t>
            </w:r>
            <w:r w:rsidR="00C01C53" w:rsidRPr="00A37919">
              <w:rPr>
                <w:rFonts w:ascii="Times New Roman" w:hAnsi="Times New Roman"/>
                <w:sz w:val="28"/>
                <w:szCs w:val="28"/>
                <w:lang w:val="lv-LV"/>
              </w:rPr>
              <w:t>tai skaitā vienreizējiem maksājumiem ārstniecības iestādēm</w:t>
            </w:r>
            <w:r w:rsidR="00FB2CD7" w:rsidRPr="00A37919">
              <w:rPr>
                <w:rFonts w:ascii="Times New Roman" w:hAnsi="Times New Roman"/>
                <w:sz w:val="28"/>
                <w:szCs w:val="28"/>
                <w:lang w:val="lv-LV"/>
              </w:rPr>
              <w:t xml:space="preserve">, kuras sniedz stacionāros ārstniecības pakalpojumus, </w:t>
            </w:r>
            <w:r w:rsidR="00C01C53" w:rsidRPr="00A37919">
              <w:rPr>
                <w:rFonts w:ascii="Times New Roman" w:hAnsi="Times New Roman"/>
                <w:sz w:val="28"/>
                <w:szCs w:val="28"/>
                <w:lang w:val="lv-LV"/>
              </w:rPr>
              <w:t xml:space="preserve"> infrastruktūras uzturēšanas izdevumu deficīta segšanai 5 332 132 latus,  neatliekamās medicīniskās palīdzības transportlīdzekļu nomu un autovadītāju pakalpojuma nodrošināšanai </w:t>
            </w:r>
            <w:r w:rsidR="00592229" w:rsidRPr="00592229">
              <w:rPr>
                <w:rFonts w:ascii="Times New Roman" w:hAnsi="Times New Roman"/>
                <w:sz w:val="28"/>
                <w:szCs w:val="28"/>
                <w:lang w:val="lv-LV"/>
              </w:rPr>
              <w:t>332788</w:t>
            </w:r>
            <w:r w:rsidR="00C01C53" w:rsidRPr="00592229">
              <w:rPr>
                <w:rFonts w:ascii="Times New Roman" w:hAnsi="Times New Roman"/>
                <w:sz w:val="28"/>
                <w:szCs w:val="28"/>
                <w:lang w:val="lv-LV"/>
              </w:rPr>
              <w:t xml:space="preserve"> latus un</w:t>
            </w:r>
            <w:r w:rsidR="00C01C53" w:rsidRPr="00A37919">
              <w:rPr>
                <w:rFonts w:ascii="Times New Roman" w:hAnsi="Times New Roman"/>
                <w:sz w:val="28"/>
                <w:szCs w:val="28"/>
                <w:lang w:val="lv-LV"/>
              </w:rPr>
              <w:t xml:space="preserve"> individuālajiem aizsardzības līdzekļiem - darba apaviem ar purngala daļas aizsardzību Neatliekamās medicīniskās palīdzības dienesta ārstniecības personām 14 171 latus.</w:t>
            </w:r>
            <w:r w:rsidR="00C01C53" w:rsidRPr="00A37919">
              <w:rPr>
                <w:sz w:val="28"/>
                <w:szCs w:val="28"/>
              </w:rPr>
              <w:t xml:space="preserve"> </w:t>
            </w:r>
          </w:p>
          <w:p w:rsidR="00655437" w:rsidRPr="00A37919" w:rsidRDefault="00AA4D60" w:rsidP="000966C4">
            <w:pPr>
              <w:spacing w:after="0" w:line="240" w:lineRule="auto"/>
              <w:jc w:val="both"/>
              <w:rPr>
                <w:rFonts w:ascii="Times New Roman" w:eastAsia="Times New Roman" w:hAnsi="Times New Roman"/>
                <w:bCs/>
                <w:sz w:val="28"/>
                <w:szCs w:val="28"/>
                <w:lang w:val="lv-LV" w:eastAsia="lv-LV"/>
              </w:rPr>
            </w:pPr>
            <w:r w:rsidRPr="00A37919">
              <w:rPr>
                <w:rFonts w:ascii="Times New Roman" w:eastAsia="Times New Roman" w:hAnsi="Times New Roman"/>
                <w:bCs/>
                <w:sz w:val="28"/>
                <w:szCs w:val="28"/>
                <w:lang w:val="lv-LV" w:eastAsia="lv-LV"/>
              </w:rPr>
              <w:t>Ministru kabineta rīkojuma</w:t>
            </w:r>
            <w:r w:rsidR="00655437" w:rsidRPr="00A37919">
              <w:rPr>
                <w:rFonts w:ascii="Times New Roman" w:eastAsia="Times New Roman" w:hAnsi="Times New Roman"/>
                <w:bCs/>
                <w:sz w:val="28"/>
                <w:szCs w:val="28"/>
                <w:lang w:val="lv-LV" w:eastAsia="lv-LV"/>
              </w:rPr>
              <w:t xml:space="preserve"> projekts atrisinās anotācijas I sadaļas 2.punktā minēt</w:t>
            </w:r>
            <w:r w:rsidR="003B0F8D" w:rsidRPr="00A37919">
              <w:rPr>
                <w:rFonts w:ascii="Times New Roman" w:eastAsia="Times New Roman" w:hAnsi="Times New Roman"/>
                <w:bCs/>
                <w:sz w:val="28"/>
                <w:szCs w:val="28"/>
                <w:lang w:val="lv-LV" w:eastAsia="lv-LV"/>
              </w:rPr>
              <w:t>ās</w:t>
            </w:r>
            <w:r w:rsidR="00655437" w:rsidRPr="00A37919">
              <w:rPr>
                <w:rFonts w:ascii="Times New Roman" w:eastAsia="Times New Roman" w:hAnsi="Times New Roman"/>
                <w:bCs/>
                <w:sz w:val="28"/>
                <w:szCs w:val="28"/>
                <w:lang w:val="lv-LV" w:eastAsia="lv-LV"/>
              </w:rPr>
              <w:t xml:space="preserve"> problēm</w:t>
            </w:r>
            <w:r w:rsidR="003B0F8D" w:rsidRPr="00A37919">
              <w:rPr>
                <w:rFonts w:ascii="Times New Roman" w:eastAsia="Times New Roman" w:hAnsi="Times New Roman"/>
                <w:bCs/>
                <w:sz w:val="28"/>
                <w:szCs w:val="28"/>
                <w:lang w:val="lv-LV" w:eastAsia="lv-LV"/>
              </w:rPr>
              <w:t>as</w:t>
            </w:r>
            <w:r w:rsidR="00655437" w:rsidRPr="00A37919">
              <w:rPr>
                <w:rFonts w:ascii="Times New Roman" w:eastAsia="Times New Roman" w:hAnsi="Times New Roman"/>
                <w:bCs/>
                <w:sz w:val="28"/>
                <w:szCs w:val="28"/>
                <w:lang w:val="lv-LV" w:eastAsia="lv-LV"/>
              </w:rPr>
              <w:t>.</w:t>
            </w:r>
          </w:p>
        </w:tc>
      </w:tr>
      <w:tr w:rsidR="009662AC" w:rsidRPr="00A37919" w:rsidTr="00624F83">
        <w:trPr>
          <w:trHeight w:val="476"/>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A37919" w:rsidRDefault="009662AC" w:rsidP="00EA1B26">
            <w:pPr>
              <w:spacing w:after="0" w:line="240" w:lineRule="auto"/>
              <w:jc w:val="both"/>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lastRenderedPageBreak/>
              <w:t> 5.</w:t>
            </w:r>
          </w:p>
        </w:tc>
        <w:tc>
          <w:tcPr>
            <w:tcW w:w="2738" w:type="dxa"/>
            <w:tcBorders>
              <w:top w:val="outset" w:sz="6" w:space="0" w:color="auto"/>
              <w:left w:val="outset" w:sz="6" w:space="0" w:color="auto"/>
              <w:bottom w:val="outset" w:sz="6" w:space="0" w:color="auto"/>
              <w:right w:val="outset" w:sz="6" w:space="0" w:color="auto"/>
            </w:tcBorders>
          </w:tcPr>
          <w:p w:rsidR="009662AC" w:rsidRPr="00A37919" w:rsidRDefault="009662AC" w:rsidP="00225451">
            <w:pPr>
              <w:spacing w:after="0"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Projekta izstrādē iesaistītās institūcijas</w:t>
            </w:r>
          </w:p>
        </w:tc>
        <w:tc>
          <w:tcPr>
            <w:tcW w:w="6520" w:type="dxa"/>
            <w:tcBorders>
              <w:top w:val="outset" w:sz="6" w:space="0" w:color="auto"/>
              <w:left w:val="outset" w:sz="6" w:space="0" w:color="auto"/>
              <w:bottom w:val="outset" w:sz="6" w:space="0" w:color="auto"/>
              <w:right w:val="outset" w:sz="6" w:space="0" w:color="auto"/>
            </w:tcBorders>
          </w:tcPr>
          <w:p w:rsidR="0015355F" w:rsidRPr="00A37919" w:rsidRDefault="007068BB" w:rsidP="00ED62AD">
            <w:pPr>
              <w:spacing w:after="0" w:line="240" w:lineRule="auto"/>
              <w:jc w:val="both"/>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N</w:t>
            </w:r>
            <w:r w:rsidR="00ED62AD" w:rsidRPr="00A37919">
              <w:rPr>
                <w:rFonts w:ascii="Times New Roman" w:eastAsia="Times New Roman" w:hAnsi="Times New Roman"/>
                <w:sz w:val="28"/>
                <w:szCs w:val="28"/>
                <w:lang w:val="lv-LV" w:eastAsia="lv-LV"/>
              </w:rPr>
              <w:t>acionālais veselības dienests (turpmāk – NVD)</w:t>
            </w:r>
            <w:r w:rsidRPr="00A37919">
              <w:rPr>
                <w:rFonts w:ascii="Times New Roman" w:eastAsia="Times New Roman" w:hAnsi="Times New Roman"/>
                <w:sz w:val="28"/>
                <w:szCs w:val="28"/>
                <w:lang w:val="lv-LV" w:eastAsia="lv-LV"/>
              </w:rPr>
              <w:t xml:space="preserve"> un NMPD</w:t>
            </w:r>
            <w:r w:rsidR="000966C4" w:rsidRPr="00A37919">
              <w:rPr>
                <w:rFonts w:ascii="Times New Roman" w:eastAsia="Times New Roman" w:hAnsi="Times New Roman"/>
                <w:sz w:val="28"/>
                <w:szCs w:val="28"/>
                <w:lang w:val="lv-LV" w:eastAsia="lv-LV"/>
              </w:rPr>
              <w:t>.</w:t>
            </w:r>
          </w:p>
        </w:tc>
      </w:tr>
      <w:tr w:rsidR="009662AC" w:rsidRPr="00A37919" w:rsidTr="004273D9">
        <w:trPr>
          <w:trHeight w:val="290"/>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A37919" w:rsidRDefault="009662AC" w:rsidP="00EA1B26">
            <w:pPr>
              <w:spacing w:after="0" w:line="240" w:lineRule="auto"/>
              <w:jc w:val="both"/>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6.</w:t>
            </w:r>
          </w:p>
        </w:tc>
        <w:tc>
          <w:tcPr>
            <w:tcW w:w="2738" w:type="dxa"/>
            <w:tcBorders>
              <w:top w:val="outset" w:sz="6" w:space="0" w:color="auto"/>
              <w:left w:val="outset" w:sz="6" w:space="0" w:color="auto"/>
              <w:bottom w:val="outset" w:sz="6" w:space="0" w:color="auto"/>
              <w:right w:val="outset" w:sz="6" w:space="0" w:color="auto"/>
            </w:tcBorders>
          </w:tcPr>
          <w:p w:rsidR="009662AC" w:rsidRPr="00A37919" w:rsidRDefault="009662AC" w:rsidP="00EA1B26">
            <w:pPr>
              <w:spacing w:after="0" w:line="240" w:lineRule="auto"/>
              <w:jc w:val="both"/>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Iemesli, kādēļ netika nodrošināta sabiedrības līdzdalība</w:t>
            </w:r>
          </w:p>
        </w:tc>
        <w:tc>
          <w:tcPr>
            <w:tcW w:w="6520" w:type="dxa"/>
            <w:tcBorders>
              <w:top w:val="outset" w:sz="6" w:space="0" w:color="auto"/>
              <w:left w:val="outset" w:sz="6" w:space="0" w:color="auto"/>
              <w:bottom w:val="outset" w:sz="6" w:space="0" w:color="auto"/>
              <w:right w:val="outset" w:sz="6" w:space="0" w:color="auto"/>
            </w:tcBorders>
          </w:tcPr>
          <w:p w:rsidR="009A1C85" w:rsidRPr="00A37919" w:rsidRDefault="00136191" w:rsidP="00ED62AD">
            <w:pPr>
              <w:shd w:val="clear" w:color="auto" w:fill="FFFFFF"/>
              <w:jc w:val="both"/>
              <w:rPr>
                <w:rFonts w:ascii="Times New Roman" w:eastAsia="Times New Roman" w:hAnsi="Times New Roman"/>
                <w:sz w:val="28"/>
                <w:szCs w:val="28"/>
                <w:lang w:val="lv-LV"/>
              </w:rPr>
            </w:pPr>
            <w:r w:rsidRPr="00A37919">
              <w:rPr>
                <w:rFonts w:ascii="Times New Roman" w:hAnsi="Times New Roman"/>
                <w:sz w:val="28"/>
                <w:szCs w:val="28"/>
                <w:lang w:val="lv-LV"/>
              </w:rPr>
              <w:t>Rīkojuma projekts neparedz negatīvu ietekmi uz sabiedrību, tieši otrādi tiek meklēti papildus līdzekļi</w:t>
            </w:r>
            <w:r w:rsidR="00ED62AD" w:rsidRPr="00A37919">
              <w:rPr>
                <w:rFonts w:ascii="Times New Roman" w:hAnsi="Times New Roman"/>
                <w:sz w:val="28"/>
                <w:szCs w:val="28"/>
                <w:lang w:val="lv-LV"/>
              </w:rPr>
              <w:t>.</w:t>
            </w:r>
          </w:p>
        </w:tc>
      </w:tr>
      <w:tr w:rsidR="009662AC" w:rsidRPr="00A37919" w:rsidTr="00624F83">
        <w:trPr>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A37919" w:rsidRDefault="009662AC" w:rsidP="00EA1B26">
            <w:pPr>
              <w:spacing w:after="0" w:line="240" w:lineRule="auto"/>
              <w:jc w:val="both"/>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7.</w:t>
            </w:r>
          </w:p>
        </w:tc>
        <w:tc>
          <w:tcPr>
            <w:tcW w:w="2738" w:type="dxa"/>
            <w:tcBorders>
              <w:top w:val="outset" w:sz="6" w:space="0" w:color="auto"/>
              <w:left w:val="outset" w:sz="6" w:space="0" w:color="auto"/>
              <w:bottom w:val="outset" w:sz="6" w:space="0" w:color="auto"/>
              <w:right w:val="outset" w:sz="6" w:space="0" w:color="auto"/>
            </w:tcBorders>
          </w:tcPr>
          <w:p w:rsidR="009662AC" w:rsidRPr="00A37919" w:rsidRDefault="009662AC" w:rsidP="00EA1B26">
            <w:pPr>
              <w:spacing w:after="0" w:line="240" w:lineRule="auto"/>
              <w:jc w:val="both"/>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Cita informācija</w:t>
            </w:r>
          </w:p>
        </w:tc>
        <w:tc>
          <w:tcPr>
            <w:tcW w:w="6520" w:type="dxa"/>
            <w:tcBorders>
              <w:top w:val="outset" w:sz="6" w:space="0" w:color="auto"/>
              <w:left w:val="outset" w:sz="6" w:space="0" w:color="auto"/>
              <w:bottom w:val="outset" w:sz="6" w:space="0" w:color="auto"/>
              <w:right w:val="outset" w:sz="6" w:space="0" w:color="auto"/>
            </w:tcBorders>
          </w:tcPr>
          <w:p w:rsidR="009662AC" w:rsidRPr="00A37919" w:rsidRDefault="00A137A1" w:rsidP="00390118">
            <w:pPr>
              <w:spacing w:after="0" w:line="240" w:lineRule="auto"/>
              <w:jc w:val="both"/>
              <w:rPr>
                <w:rFonts w:ascii="Times New Roman" w:eastAsia="Times New Roman" w:hAnsi="Times New Roman"/>
                <w:sz w:val="28"/>
                <w:szCs w:val="28"/>
                <w:lang w:val="lv-LV" w:eastAsia="lv-LV"/>
              </w:rPr>
            </w:pPr>
            <w:r w:rsidRPr="00A37919">
              <w:rPr>
                <w:rFonts w:ascii="Times New Roman" w:hAnsi="Times New Roman"/>
                <w:sz w:val="28"/>
                <w:szCs w:val="28"/>
                <w:lang w:val="lv-LV"/>
              </w:rPr>
              <w:t>Nav attiecināms.</w:t>
            </w:r>
            <w:r w:rsidR="00390118" w:rsidRPr="00A37919">
              <w:rPr>
                <w:rFonts w:ascii="Tms Rmn" w:eastAsia="Times New Roman" w:hAnsi="Tms Rmn" w:cs="Tms Rmn"/>
                <w:sz w:val="28"/>
                <w:szCs w:val="28"/>
                <w:lang w:val="lv-LV"/>
              </w:rPr>
              <w:t xml:space="preserve">  </w:t>
            </w:r>
          </w:p>
        </w:tc>
      </w:tr>
    </w:tbl>
    <w:p w:rsidR="0084528E" w:rsidRPr="00A37919" w:rsidRDefault="0084528E" w:rsidP="00410DD8">
      <w:pPr>
        <w:spacing w:after="0" w:line="240" w:lineRule="auto"/>
        <w:ind w:firstLine="375"/>
        <w:jc w:val="center"/>
        <w:rPr>
          <w:rFonts w:ascii="Times New Roman" w:hAnsi="Times New Roman"/>
          <w:b/>
          <w:sz w:val="28"/>
          <w:szCs w:val="28"/>
          <w:lang w:val="lv-LV"/>
        </w:rPr>
      </w:pPr>
    </w:p>
    <w:p w:rsidR="006C1AE2" w:rsidRPr="00A37919" w:rsidRDefault="006C1AE2" w:rsidP="00410DD8">
      <w:pPr>
        <w:spacing w:after="0" w:line="240" w:lineRule="auto"/>
        <w:ind w:firstLine="375"/>
        <w:jc w:val="center"/>
        <w:rPr>
          <w:rFonts w:ascii="Times New Roman" w:hAnsi="Times New Roman"/>
          <w:b/>
          <w:sz w:val="28"/>
          <w:szCs w:val="28"/>
          <w:lang w:val="lv-LV"/>
        </w:rPr>
      </w:pPr>
    </w:p>
    <w:p w:rsidR="00463F68" w:rsidRPr="00A37919" w:rsidRDefault="00463F68" w:rsidP="00410DD8">
      <w:pPr>
        <w:spacing w:after="0" w:line="240" w:lineRule="auto"/>
        <w:ind w:firstLine="375"/>
        <w:jc w:val="center"/>
        <w:rPr>
          <w:rFonts w:ascii="Times New Roman" w:hAnsi="Times New Roman"/>
          <w:b/>
          <w:sz w:val="28"/>
          <w:szCs w:val="28"/>
          <w:lang w:val="lv-LV"/>
        </w:rPr>
      </w:pPr>
    </w:p>
    <w:p w:rsidR="00463F68" w:rsidRPr="00A37919" w:rsidRDefault="00463F68" w:rsidP="00410DD8">
      <w:pPr>
        <w:spacing w:after="0" w:line="240" w:lineRule="auto"/>
        <w:ind w:firstLine="375"/>
        <w:jc w:val="center"/>
        <w:rPr>
          <w:rFonts w:ascii="Times New Roman" w:hAnsi="Times New Roman"/>
          <w:b/>
          <w:sz w:val="28"/>
          <w:szCs w:val="28"/>
          <w:lang w:val="lv-LV"/>
        </w:rPr>
      </w:pPr>
    </w:p>
    <w:p w:rsidR="00463F68" w:rsidRPr="00A37919" w:rsidRDefault="00463F68" w:rsidP="00410DD8">
      <w:pPr>
        <w:spacing w:after="0" w:line="240" w:lineRule="auto"/>
        <w:ind w:firstLine="375"/>
        <w:jc w:val="center"/>
        <w:rPr>
          <w:rFonts w:ascii="Times New Roman" w:hAnsi="Times New Roman"/>
          <w:b/>
          <w:sz w:val="28"/>
          <w:szCs w:val="28"/>
          <w:lang w:val="lv-LV"/>
        </w:rPr>
      </w:pPr>
    </w:p>
    <w:p w:rsidR="00463F68" w:rsidRPr="00A37919" w:rsidRDefault="00463F68" w:rsidP="00410DD8">
      <w:pPr>
        <w:spacing w:after="0" w:line="240" w:lineRule="auto"/>
        <w:ind w:firstLine="375"/>
        <w:jc w:val="center"/>
        <w:rPr>
          <w:rFonts w:ascii="Times New Roman" w:hAnsi="Times New Roman"/>
          <w:b/>
          <w:sz w:val="28"/>
          <w:szCs w:val="28"/>
          <w:lang w:val="lv-LV"/>
        </w:rPr>
      </w:pPr>
    </w:p>
    <w:tbl>
      <w:tblPr>
        <w:tblW w:w="5267" w:type="pct"/>
        <w:tblInd w:w="-11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30" w:type="dxa"/>
          <w:left w:w="30" w:type="dxa"/>
          <w:bottom w:w="30" w:type="dxa"/>
          <w:right w:w="30" w:type="dxa"/>
        </w:tblCellMar>
        <w:tblLook w:val="0000"/>
      </w:tblPr>
      <w:tblGrid>
        <w:gridCol w:w="3404"/>
        <w:gridCol w:w="1276"/>
        <w:gridCol w:w="1276"/>
        <w:gridCol w:w="1415"/>
        <w:gridCol w:w="1276"/>
        <w:gridCol w:w="1276"/>
      </w:tblGrid>
      <w:tr w:rsidR="0084528E" w:rsidRPr="00A37919" w:rsidTr="00A137A1">
        <w:tc>
          <w:tcPr>
            <w:tcW w:w="5000" w:type="pct"/>
            <w:gridSpan w:val="6"/>
          </w:tcPr>
          <w:p w:rsidR="0084528E" w:rsidRPr="00A37919" w:rsidRDefault="0084528E" w:rsidP="0084528E">
            <w:pPr>
              <w:pStyle w:val="NormalWeb"/>
              <w:spacing w:before="0" w:beforeAutospacing="0" w:after="0" w:afterAutospacing="0"/>
              <w:jc w:val="center"/>
              <w:rPr>
                <w:b/>
                <w:bCs/>
                <w:sz w:val="28"/>
                <w:szCs w:val="28"/>
              </w:rPr>
            </w:pPr>
            <w:r w:rsidRPr="00A37919">
              <w:rPr>
                <w:b/>
                <w:bCs/>
                <w:sz w:val="28"/>
                <w:szCs w:val="28"/>
              </w:rPr>
              <w:t>III. Tiesību akta projekta ietekme uz valsts budžetu un pašvaldību budžetiem</w:t>
            </w:r>
          </w:p>
        </w:tc>
      </w:tr>
      <w:tr w:rsidR="0084528E" w:rsidRPr="00A37919" w:rsidTr="00A137A1">
        <w:tc>
          <w:tcPr>
            <w:tcW w:w="1715" w:type="pct"/>
            <w:vMerge w:val="restart"/>
            <w:vAlign w:val="center"/>
          </w:tcPr>
          <w:p w:rsidR="0084528E" w:rsidRPr="00A37919" w:rsidRDefault="0084528E" w:rsidP="0084528E">
            <w:pPr>
              <w:pStyle w:val="NormalWeb"/>
              <w:spacing w:before="0" w:beforeAutospacing="0" w:after="0" w:afterAutospacing="0"/>
              <w:jc w:val="center"/>
              <w:rPr>
                <w:b/>
                <w:bCs/>
                <w:sz w:val="28"/>
                <w:szCs w:val="28"/>
              </w:rPr>
            </w:pPr>
            <w:r w:rsidRPr="00A37919">
              <w:rPr>
                <w:b/>
                <w:bCs/>
                <w:sz w:val="28"/>
                <w:szCs w:val="28"/>
              </w:rPr>
              <w:t>Rādītāji</w:t>
            </w:r>
          </w:p>
        </w:tc>
        <w:tc>
          <w:tcPr>
            <w:tcW w:w="1286" w:type="pct"/>
            <w:gridSpan w:val="2"/>
            <w:vMerge w:val="restart"/>
            <w:vAlign w:val="center"/>
          </w:tcPr>
          <w:p w:rsidR="0084528E" w:rsidRPr="00A37919" w:rsidRDefault="00A137A1" w:rsidP="00CB62CD">
            <w:pPr>
              <w:pStyle w:val="NormalWeb"/>
              <w:spacing w:before="0" w:beforeAutospacing="0" w:after="0" w:afterAutospacing="0"/>
              <w:jc w:val="center"/>
              <w:rPr>
                <w:b/>
                <w:bCs/>
                <w:sz w:val="28"/>
                <w:szCs w:val="28"/>
              </w:rPr>
            </w:pPr>
            <w:r w:rsidRPr="00A37919">
              <w:rPr>
                <w:b/>
                <w:bCs/>
                <w:sz w:val="28"/>
                <w:szCs w:val="28"/>
              </w:rPr>
              <w:t>201</w:t>
            </w:r>
            <w:r w:rsidR="00CB62CD" w:rsidRPr="00A37919">
              <w:rPr>
                <w:b/>
                <w:bCs/>
                <w:sz w:val="28"/>
                <w:szCs w:val="28"/>
              </w:rPr>
              <w:t>3</w:t>
            </w:r>
            <w:r w:rsidR="0084528E" w:rsidRPr="00A37919">
              <w:rPr>
                <w:b/>
                <w:bCs/>
                <w:sz w:val="28"/>
                <w:szCs w:val="28"/>
              </w:rPr>
              <w:t>.gads</w:t>
            </w:r>
          </w:p>
        </w:tc>
        <w:tc>
          <w:tcPr>
            <w:tcW w:w="1999" w:type="pct"/>
            <w:gridSpan w:val="3"/>
            <w:vAlign w:val="center"/>
          </w:tcPr>
          <w:p w:rsidR="0084528E" w:rsidRPr="00A37919" w:rsidRDefault="0084528E" w:rsidP="00376013">
            <w:pPr>
              <w:pStyle w:val="NormalWeb"/>
              <w:spacing w:before="0" w:beforeAutospacing="0" w:after="0" w:afterAutospacing="0"/>
              <w:jc w:val="center"/>
              <w:rPr>
                <w:sz w:val="28"/>
                <w:szCs w:val="28"/>
              </w:rPr>
            </w:pPr>
            <w:r w:rsidRPr="00A37919">
              <w:rPr>
                <w:sz w:val="28"/>
                <w:szCs w:val="28"/>
              </w:rPr>
              <w:t xml:space="preserve">Turpmākie trīs gadi (tūkst. </w:t>
            </w:r>
            <w:r w:rsidR="00376013" w:rsidRPr="00A37919">
              <w:rPr>
                <w:sz w:val="28"/>
                <w:szCs w:val="28"/>
              </w:rPr>
              <w:t>latu</w:t>
            </w:r>
            <w:r w:rsidRPr="00A37919">
              <w:rPr>
                <w:sz w:val="28"/>
                <w:szCs w:val="28"/>
              </w:rPr>
              <w:t>)</w:t>
            </w:r>
          </w:p>
        </w:tc>
      </w:tr>
      <w:tr w:rsidR="0084528E" w:rsidRPr="00A37919" w:rsidTr="00A137A1">
        <w:tc>
          <w:tcPr>
            <w:tcW w:w="1715" w:type="pct"/>
            <w:vMerge/>
            <w:vAlign w:val="center"/>
          </w:tcPr>
          <w:p w:rsidR="0084528E" w:rsidRPr="00A37919" w:rsidRDefault="0084528E" w:rsidP="0084528E">
            <w:pPr>
              <w:spacing w:after="0" w:line="240" w:lineRule="auto"/>
              <w:rPr>
                <w:rFonts w:ascii="Times New Roman" w:hAnsi="Times New Roman"/>
                <w:b/>
                <w:bCs/>
                <w:sz w:val="28"/>
                <w:szCs w:val="28"/>
                <w:lang w:val="lv-LV"/>
              </w:rPr>
            </w:pPr>
          </w:p>
        </w:tc>
        <w:tc>
          <w:tcPr>
            <w:tcW w:w="1286" w:type="pct"/>
            <w:gridSpan w:val="2"/>
            <w:vMerge/>
            <w:vAlign w:val="center"/>
          </w:tcPr>
          <w:p w:rsidR="0084528E" w:rsidRPr="00A37919" w:rsidRDefault="0084528E" w:rsidP="0084528E">
            <w:pPr>
              <w:spacing w:after="0" w:line="240" w:lineRule="auto"/>
              <w:rPr>
                <w:rFonts w:ascii="Times New Roman" w:hAnsi="Times New Roman"/>
                <w:b/>
                <w:bCs/>
                <w:sz w:val="28"/>
                <w:szCs w:val="28"/>
                <w:lang w:val="lv-LV"/>
              </w:rPr>
            </w:pPr>
          </w:p>
        </w:tc>
        <w:tc>
          <w:tcPr>
            <w:tcW w:w="713" w:type="pct"/>
            <w:vAlign w:val="center"/>
          </w:tcPr>
          <w:p w:rsidR="0084528E" w:rsidRPr="00A37919" w:rsidRDefault="00A137A1" w:rsidP="00CB62CD">
            <w:pPr>
              <w:pStyle w:val="NormalWeb"/>
              <w:spacing w:before="0" w:beforeAutospacing="0" w:after="0" w:afterAutospacing="0"/>
              <w:jc w:val="center"/>
              <w:rPr>
                <w:b/>
                <w:bCs/>
                <w:sz w:val="28"/>
                <w:szCs w:val="28"/>
              </w:rPr>
            </w:pPr>
            <w:r w:rsidRPr="00A37919">
              <w:rPr>
                <w:b/>
                <w:bCs/>
                <w:sz w:val="28"/>
                <w:szCs w:val="28"/>
              </w:rPr>
              <w:t>201</w:t>
            </w:r>
            <w:r w:rsidR="00CB62CD" w:rsidRPr="00A37919">
              <w:rPr>
                <w:b/>
                <w:bCs/>
                <w:sz w:val="28"/>
                <w:szCs w:val="28"/>
              </w:rPr>
              <w:t>4</w:t>
            </w:r>
            <w:r w:rsidRPr="00A37919">
              <w:rPr>
                <w:b/>
                <w:bCs/>
                <w:sz w:val="28"/>
                <w:szCs w:val="28"/>
              </w:rPr>
              <w:t>.</w:t>
            </w:r>
          </w:p>
        </w:tc>
        <w:tc>
          <w:tcPr>
            <w:tcW w:w="643" w:type="pct"/>
            <w:vAlign w:val="center"/>
          </w:tcPr>
          <w:p w:rsidR="0084528E" w:rsidRPr="00A37919" w:rsidRDefault="00A137A1" w:rsidP="00CB62CD">
            <w:pPr>
              <w:pStyle w:val="NormalWeb"/>
              <w:spacing w:before="0" w:beforeAutospacing="0" w:after="0" w:afterAutospacing="0"/>
              <w:jc w:val="center"/>
              <w:rPr>
                <w:b/>
                <w:bCs/>
                <w:sz w:val="28"/>
                <w:szCs w:val="28"/>
              </w:rPr>
            </w:pPr>
            <w:r w:rsidRPr="00A37919">
              <w:rPr>
                <w:b/>
                <w:bCs/>
                <w:sz w:val="28"/>
                <w:szCs w:val="28"/>
              </w:rPr>
              <w:t>201</w:t>
            </w:r>
            <w:r w:rsidR="00CB62CD" w:rsidRPr="00A37919">
              <w:rPr>
                <w:b/>
                <w:bCs/>
                <w:sz w:val="28"/>
                <w:szCs w:val="28"/>
              </w:rPr>
              <w:t>5</w:t>
            </w:r>
            <w:r w:rsidRPr="00A37919">
              <w:rPr>
                <w:b/>
                <w:bCs/>
                <w:sz w:val="28"/>
                <w:szCs w:val="28"/>
              </w:rPr>
              <w:t>.</w:t>
            </w:r>
          </w:p>
        </w:tc>
        <w:tc>
          <w:tcPr>
            <w:tcW w:w="643" w:type="pct"/>
            <w:vAlign w:val="center"/>
          </w:tcPr>
          <w:p w:rsidR="0084528E" w:rsidRPr="00A37919" w:rsidRDefault="00A137A1" w:rsidP="00CB62CD">
            <w:pPr>
              <w:pStyle w:val="NormalWeb"/>
              <w:spacing w:before="0" w:beforeAutospacing="0" w:after="0" w:afterAutospacing="0"/>
              <w:jc w:val="center"/>
              <w:rPr>
                <w:b/>
                <w:bCs/>
                <w:sz w:val="28"/>
                <w:szCs w:val="28"/>
              </w:rPr>
            </w:pPr>
            <w:r w:rsidRPr="00A37919">
              <w:rPr>
                <w:b/>
                <w:bCs/>
                <w:sz w:val="28"/>
                <w:szCs w:val="28"/>
              </w:rPr>
              <w:t>201</w:t>
            </w:r>
            <w:r w:rsidR="00CB62CD" w:rsidRPr="00A37919">
              <w:rPr>
                <w:b/>
                <w:bCs/>
                <w:sz w:val="28"/>
                <w:szCs w:val="28"/>
              </w:rPr>
              <w:t>6</w:t>
            </w:r>
            <w:r w:rsidRPr="00A37919">
              <w:rPr>
                <w:b/>
                <w:bCs/>
                <w:sz w:val="28"/>
                <w:szCs w:val="28"/>
              </w:rPr>
              <w:t>.</w:t>
            </w:r>
          </w:p>
        </w:tc>
      </w:tr>
      <w:tr w:rsidR="0084528E" w:rsidRPr="00A37919" w:rsidTr="00A137A1">
        <w:tc>
          <w:tcPr>
            <w:tcW w:w="1715" w:type="pct"/>
            <w:vMerge/>
            <w:vAlign w:val="center"/>
          </w:tcPr>
          <w:p w:rsidR="0084528E" w:rsidRPr="00A37919" w:rsidRDefault="0084528E" w:rsidP="0084528E">
            <w:pPr>
              <w:spacing w:after="0" w:line="240" w:lineRule="auto"/>
              <w:rPr>
                <w:rFonts w:ascii="Times New Roman" w:hAnsi="Times New Roman"/>
                <w:b/>
                <w:bCs/>
                <w:sz w:val="28"/>
                <w:szCs w:val="28"/>
                <w:lang w:val="lv-LV"/>
              </w:rPr>
            </w:pPr>
          </w:p>
        </w:tc>
        <w:tc>
          <w:tcPr>
            <w:tcW w:w="643" w:type="pct"/>
            <w:vAlign w:val="center"/>
          </w:tcPr>
          <w:p w:rsidR="0084528E" w:rsidRPr="00A37919" w:rsidRDefault="0084528E" w:rsidP="0084528E">
            <w:pPr>
              <w:pStyle w:val="NormalWeb"/>
              <w:spacing w:before="0" w:beforeAutospacing="0" w:after="0" w:afterAutospacing="0"/>
              <w:jc w:val="center"/>
              <w:rPr>
                <w:sz w:val="28"/>
                <w:szCs w:val="28"/>
              </w:rPr>
            </w:pPr>
            <w:r w:rsidRPr="00A37919">
              <w:rPr>
                <w:sz w:val="28"/>
                <w:szCs w:val="28"/>
              </w:rPr>
              <w:t>Saskaņā ar valsts budžetu kārtējam gadam</w:t>
            </w:r>
          </w:p>
        </w:tc>
        <w:tc>
          <w:tcPr>
            <w:tcW w:w="643" w:type="pct"/>
            <w:vAlign w:val="center"/>
          </w:tcPr>
          <w:p w:rsidR="0084528E" w:rsidRPr="00A37919" w:rsidRDefault="0084528E" w:rsidP="0084528E">
            <w:pPr>
              <w:pStyle w:val="NormalWeb"/>
              <w:spacing w:before="0" w:beforeAutospacing="0" w:after="0" w:afterAutospacing="0"/>
              <w:jc w:val="center"/>
              <w:rPr>
                <w:sz w:val="28"/>
                <w:szCs w:val="28"/>
              </w:rPr>
            </w:pPr>
            <w:r w:rsidRPr="00A37919">
              <w:rPr>
                <w:sz w:val="28"/>
                <w:szCs w:val="28"/>
              </w:rPr>
              <w:t>Izmaiņas kārtējā gadā, salīdzinot ar budžetu kārtējam gadam</w:t>
            </w:r>
          </w:p>
        </w:tc>
        <w:tc>
          <w:tcPr>
            <w:tcW w:w="713" w:type="pct"/>
            <w:vAlign w:val="center"/>
          </w:tcPr>
          <w:p w:rsidR="0084528E" w:rsidRPr="00A37919" w:rsidRDefault="0084528E" w:rsidP="0084528E">
            <w:pPr>
              <w:pStyle w:val="NormalWeb"/>
              <w:spacing w:before="0" w:beforeAutospacing="0" w:after="0" w:afterAutospacing="0"/>
              <w:jc w:val="center"/>
              <w:rPr>
                <w:sz w:val="28"/>
                <w:szCs w:val="28"/>
              </w:rPr>
            </w:pPr>
            <w:r w:rsidRPr="00A37919">
              <w:rPr>
                <w:sz w:val="28"/>
                <w:szCs w:val="28"/>
              </w:rPr>
              <w:t>Izmaiņas, salīdzinot ar kārtējo (n) gadu</w:t>
            </w:r>
          </w:p>
        </w:tc>
        <w:tc>
          <w:tcPr>
            <w:tcW w:w="643" w:type="pct"/>
            <w:vAlign w:val="center"/>
          </w:tcPr>
          <w:p w:rsidR="0084528E" w:rsidRPr="00A37919" w:rsidRDefault="0084528E" w:rsidP="0084528E">
            <w:pPr>
              <w:pStyle w:val="NormalWeb"/>
              <w:spacing w:before="0" w:beforeAutospacing="0" w:after="0" w:afterAutospacing="0"/>
              <w:jc w:val="center"/>
              <w:rPr>
                <w:sz w:val="28"/>
                <w:szCs w:val="28"/>
              </w:rPr>
            </w:pPr>
            <w:r w:rsidRPr="00A37919">
              <w:rPr>
                <w:sz w:val="28"/>
                <w:szCs w:val="28"/>
              </w:rPr>
              <w:t>Izmaiņas, salīdzinot ar kārtējo (n) gadu</w:t>
            </w:r>
          </w:p>
        </w:tc>
        <w:tc>
          <w:tcPr>
            <w:tcW w:w="643" w:type="pct"/>
            <w:vAlign w:val="center"/>
          </w:tcPr>
          <w:p w:rsidR="0084528E" w:rsidRPr="00A37919" w:rsidRDefault="0084528E" w:rsidP="0084528E">
            <w:pPr>
              <w:pStyle w:val="NormalWeb"/>
              <w:spacing w:before="0" w:beforeAutospacing="0" w:after="0" w:afterAutospacing="0"/>
              <w:jc w:val="center"/>
              <w:rPr>
                <w:sz w:val="28"/>
                <w:szCs w:val="28"/>
              </w:rPr>
            </w:pPr>
            <w:r w:rsidRPr="00A37919">
              <w:rPr>
                <w:sz w:val="28"/>
                <w:szCs w:val="28"/>
              </w:rPr>
              <w:t>Izmaiņas, salīdzinot ar kārtējo (n) gadu</w:t>
            </w:r>
          </w:p>
        </w:tc>
      </w:tr>
      <w:tr w:rsidR="0084528E" w:rsidRPr="00A37919" w:rsidTr="00A137A1">
        <w:tc>
          <w:tcPr>
            <w:tcW w:w="1715" w:type="pct"/>
            <w:vAlign w:val="center"/>
          </w:tcPr>
          <w:p w:rsidR="0084528E" w:rsidRPr="00A37919" w:rsidRDefault="0084528E" w:rsidP="0084528E">
            <w:pPr>
              <w:pStyle w:val="NormalWeb"/>
              <w:spacing w:before="0" w:beforeAutospacing="0" w:after="0" w:afterAutospacing="0"/>
              <w:jc w:val="center"/>
            </w:pPr>
            <w:r w:rsidRPr="00A37919">
              <w:lastRenderedPageBreak/>
              <w:t>1</w:t>
            </w:r>
          </w:p>
        </w:tc>
        <w:tc>
          <w:tcPr>
            <w:tcW w:w="643" w:type="pct"/>
            <w:vAlign w:val="center"/>
          </w:tcPr>
          <w:p w:rsidR="0084528E" w:rsidRPr="00A37919" w:rsidRDefault="0084528E" w:rsidP="0084528E">
            <w:pPr>
              <w:pStyle w:val="NormalWeb"/>
              <w:spacing w:before="0" w:beforeAutospacing="0" w:after="0" w:afterAutospacing="0"/>
              <w:jc w:val="center"/>
            </w:pPr>
            <w:r w:rsidRPr="00A37919">
              <w:t>2</w:t>
            </w:r>
          </w:p>
        </w:tc>
        <w:tc>
          <w:tcPr>
            <w:tcW w:w="643" w:type="pct"/>
            <w:vAlign w:val="center"/>
          </w:tcPr>
          <w:p w:rsidR="0084528E" w:rsidRPr="00A37919" w:rsidRDefault="0084528E" w:rsidP="0084528E">
            <w:pPr>
              <w:pStyle w:val="NormalWeb"/>
              <w:spacing w:before="0" w:beforeAutospacing="0" w:after="0" w:afterAutospacing="0"/>
              <w:jc w:val="center"/>
            </w:pPr>
            <w:r w:rsidRPr="00A37919">
              <w:t>3</w:t>
            </w:r>
          </w:p>
        </w:tc>
        <w:tc>
          <w:tcPr>
            <w:tcW w:w="713" w:type="pct"/>
            <w:vAlign w:val="center"/>
          </w:tcPr>
          <w:p w:rsidR="0084528E" w:rsidRPr="00A37919" w:rsidRDefault="0084528E" w:rsidP="0084528E">
            <w:pPr>
              <w:pStyle w:val="NormalWeb"/>
              <w:spacing w:before="0" w:beforeAutospacing="0" w:after="0" w:afterAutospacing="0"/>
              <w:jc w:val="center"/>
            </w:pPr>
            <w:r w:rsidRPr="00A37919">
              <w:t>4</w:t>
            </w:r>
          </w:p>
        </w:tc>
        <w:tc>
          <w:tcPr>
            <w:tcW w:w="643" w:type="pct"/>
            <w:vAlign w:val="center"/>
          </w:tcPr>
          <w:p w:rsidR="0084528E" w:rsidRPr="00A37919" w:rsidRDefault="0084528E" w:rsidP="0084528E">
            <w:pPr>
              <w:pStyle w:val="NormalWeb"/>
              <w:spacing w:before="0" w:beforeAutospacing="0" w:after="0" w:afterAutospacing="0"/>
              <w:jc w:val="center"/>
            </w:pPr>
            <w:r w:rsidRPr="00A37919">
              <w:t>5</w:t>
            </w:r>
          </w:p>
        </w:tc>
        <w:tc>
          <w:tcPr>
            <w:tcW w:w="643" w:type="pct"/>
            <w:vAlign w:val="center"/>
          </w:tcPr>
          <w:p w:rsidR="0084528E" w:rsidRPr="00A37919" w:rsidRDefault="0084528E" w:rsidP="0084528E">
            <w:pPr>
              <w:pStyle w:val="NormalWeb"/>
              <w:spacing w:before="0" w:beforeAutospacing="0" w:after="0" w:afterAutospacing="0"/>
              <w:jc w:val="center"/>
            </w:pPr>
            <w:r w:rsidRPr="00A37919">
              <w:t>6</w:t>
            </w:r>
          </w:p>
        </w:tc>
      </w:tr>
      <w:tr w:rsidR="003D2643" w:rsidRPr="00A37919" w:rsidTr="003D2643">
        <w:tc>
          <w:tcPr>
            <w:tcW w:w="1715" w:type="pct"/>
          </w:tcPr>
          <w:p w:rsidR="003D2643" w:rsidRPr="00A37919" w:rsidRDefault="003D2643" w:rsidP="0084528E">
            <w:pPr>
              <w:pStyle w:val="NormalWeb"/>
              <w:spacing w:before="0" w:beforeAutospacing="0" w:after="0" w:afterAutospacing="0"/>
              <w:rPr>
                <w:b/>
              </w:rPr>
            </w:pPr>
            <w:r w:rsidRPr="00A37919">
              <w:rPr>
                <w:b/>
              </w:rPr>
              <w:t>1. Budžeta ieņēmumi:</w:t>
            </w:r>
          </w:p>
        </w:tc>
        <w:tc>
          <w:tcPr>
            <w:tcW w:w="643" w:type="pct"/>
            <w:vAlign w:val="center"/>
          </w:tcPr>
          <w:p w:rsidR="003D2643" w:rsidRPr="00A37919" w:rsidRDefault="00B04A03" w:rsidP="00516264">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2 735,5</w:t>
            </w:r>
          </w:p>
        </w:tc>
        <w:tc>
          <w:tcPr>
            <w:tcW w:w="643" w:type="pct"/>
            <w:vAlign w:val="center"/>
          </w:tcPr>
          <w:p w:rsidR="00D22021" w:rsidRPr="00A37919" w:rsidRDefault="002F02E2" w:rsidP="00D22021">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c>
          <w:tcPr>
            <w:tcW w:w="713" w:type="pct"/>
            <w:vAlign w:val="center"/>
          </w:tcPr>
          <w:p w:rsidR="003D2643" w:rsidRPr="00A37919" w:rsidRDefault="003D2643"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c>
          <w:tcPr>
            <w:tcW w:w="643" w:type="pct"/>
            <w:vAlign w:val="center"/>
          </w:tcPr>
          <w:p w:rsidR="003D2643" w:rsidRPr="00A37919" w:rsidRDefault="003D2643"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c>
          <w:tcPr>
            <w:tcW w:w="643" w:type="pct"/>
            <w:vAlign w:val="center"/>
          </w:tcPr>
          <w:p w:rsidR="003D2643" w:rsidRPr="00A37919" w:rsidRDefault="003D2643"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r>
      <w:tr w:rsidR="003D2643" w:rsidRPr="00A37919" w:rsidTr="003D2643">
        <w:tc>
          <w:tcPr>
            <w:tcW w:w="1715" w:type="pct"/>
          </w:tcPr>
          <w:p w:rsidR="003D2643" w:rsidRPr="00A37919" w:rsidRDefault="003D2643" w:rsidP="003771B7">
            <w:pPr>
              <w:pStyle w:val="NormalWeb"/>
              <w:numPr>
                <w:ilvl w:val="1"/>
                <w:numId w:val="9"/>
              </w:numPr>
              <w:spacing w:before="0" w:beforeAutospacing="0" w:after="0" w:afterAutospacing="0"/>
              <w:ind w:left="0" w:firstLine="0"/>
              <w:jc w:val="both"/>
              <w:rPr>
                <w:sz w:val="28"/>
                <w:szCs w:val="28"/>
              </w:rPr>
            </w:pPr>
            <w:r w:rsidRPr="00A37919">
              <w:rPr>
                <w:sz w:val="28"/>
                <w:szCs w:val="28"/>
              </w:rPr>
              <w:t>valsts pamatbudžets, tai skaitā ieņēmumi no maksas pakalpojumiem un citi pašu ieņēmumi</w:t>
            </w:r>
          </w:p>
        </w:tc>
        <w:tc>
          <w:tcPr>
            <w:tcW w:w="643" w:type="pct"/>
            <w:vAlign w:val="center"/>
          </w:tcPr>
          <w:p w:rsidR="001762F9" w:rsidRPr="00A37919" w:rsidRDefault="001762F9" w:rsidP="00736C74">
            <w:pPr>
              <w:spacing w:after="0" w:line="240" w:lineRule="auto"/>
              <w:jc w:val="center"/>
              <w:rPr>
                <w:rFonts w:ascii="Times New Roman" w:hAnsi="Times New Roman"/>
                <w:sz w:val="28"/>
                <w:szCs w:val="28"/>
                <w:lang w:val="lv-LV"/>
              </w:rPr>
            </w:pPr>
          </w:p>
          <w:p w:rsidR="001762F9" w:rsidRPr="00A37919" w:rsidRDefault="001762F9" w:rsidP="00736C74">
            <w:pPr>
              <w:spacing w:after="0" w:line="240" w:lineRule="auto"/>
              <w:jc w:val="center"/>
              <w:rPr>
                <w:rFonts w:ascii="Times New Roman" w:hAnsi="Times New Roman"/>
                <w:sz w:val="28"/>
                <w:szCs w:val="28"/>
                <w:lang w:val="lv-LV"/>
              </w:rPr>
            </w:pPr>
          </w:p>
          <w:p w:rsidR="003D2643" w:rsidRPr="00A37919" w:rsidRDefault="00B04A03" w:rsidP="00736C74">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2 735,5</w:t>
            </w:r>
          </w:p>
          <w:p w:rsidR="004E605D" w:rsidRPr="00A37919" w:rsidRDefault="004E605D" w:rsidP="002D61A7">
            <w:pPr>
              <w:spacing w:after="0" w:line="240" w:lineRule="auto"/>
              <w:jc w:val="center"/>
              <w:rPr>
                <w:rFonts w:ascii="Times New Roman" w:hAnsi="Times New Roman"/>
                <w:sz w:val="28"/>
                <w:szCs w:val="28"/>
                <w:lang w:val="lv-LV"/>
              </w:rPr>
            </w:pPr>
          </w:p>
          <w:p w:rsidR="004E605D" w:rsidRPr="00A37919" w:rsidRDefault="004E605D" w:rsidP="002D61A7">
            <w:pPr>
              <w:spacing w:after="0" w:line="240" w:lineRule="auto"/>
              <w:jc w:val="center"/>
              <w:rPr>
                <w:rFonts w:ascii="Times New Roman" w:hAnsi="Times New Roman"/>
                <w:sz w:val="28"/>
                <w:szCs w:val="28"/>
                <w:lang w:val="lv-LV"/>
              </w:rPr>
            </w:pPr>
          </w:p>
        </w:tc>
        <w:tc>
          <w:tcPr>
            <w:tcW w:w="643" w:type="pct"/>
            <w:vAlign w:val="center"/>
          </w:tcPr>
          <w:p w:rsidR="003D2643" w:rsidRPr="00A37919" w:rsidRDefault="002F02E2" w:rsidP="003D2643">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713" w:type="pct"/>
            <w:vAlign w:val="center"/>
          </w:tcPr>
          <w:p w:rsidR="003D2643" w:rsidRPr="00A37919" w:rsidRDefault="003D2643" w:rsidP="00057E42">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3D2643" w:rsidRPr="00A37919" w:rsidRDefault="003D2643" w:rsidP="00057E42">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3D2643" w:rsidRPr="00A37919" w:rsidRDefault="003D2643" w:rsidP="00057E42">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r>
      <w:tr w:rsidR="0022704F" w:rsidRPr="00A37919" w:rsidTr="00A137A1">
        <w:tc>
          <w:tcPr>
            <w:tcW w:w="1715" w:type="pct"/>
          </w:tcPr>
          <w:p w:rsidR="0022704F" w:rsidRPr="00A37919" w:rsidRDefault="0022704F" w:rsidP="0084528E">
            <w:pPr>
              <w:pStyle w:val="NormalWeb"/>
              <w:spacing w:before="0" w:beforeAutospacing="0" w:after="0" w:afterAutospacing="0"/>
              <w:jc w:val="both"/>
              <w:rPr>
                <w:sz w:val="28"/>
                <w:szCs w:val="28"/>
              </w:rPr>
            </w:pPr>
            <w:r w:rsidRPr="00A37919">
              <w:rPr>
                <w:sz w:val="28"/>
                <w:szCs w:val="28"/>
              </w:rPr>
              <w:t>1.2. valsts speciālais budžets</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71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r>
      <w:tr w:rsidR="0022704F" w:rsidRPr="00A37919" w:rsidTr="00A137A1">
        <w:tc>
          <w:tcPr>
            <w:tcW w:w="1715" w:type="pct"/>
          </w:tcPr>
          <w:p w:rsidR="0022704F" w:rsidRPr="00A37919" w:rsidRDefault="0022704F" w:rsidP="0084528E">
            <w:pPr>
              <w:pStyle w:val="NormalWeb"/>
              <w:spacing w:before="0" w:beforeAutospacing="0" w:after="0" w:afterAutospacing="0"/>
              <w:rPr>
                <w:sz w:val="28"/>
                <w:szCs w:val="28"/>
              </w:rPr>
            </w:pPr>
            <w:r w:rsidRPr="00A37919">
              <w:rPr>
                <w:sz w:val="28"/>
                <w:szCs w:val="28"/>
              </w:rPr>
              <w:t>1.3. pašvaldību budžets</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71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r>
      <w:tr w:rsidR="002F02E2" w:rsidRPr="00A37919" w:rsidTr="00A137A1">
        <w:tc>
          <w:tcPr>
            <w:tcW w:w="1715" w:type="pct"/>
          </w:tcPr>
          <w:p w:rsidR="002F02E2" w:rsidRPr="00A37919" w:rsidRDefault="002F02E2" w:rsidP="0084528E">
            <w:pPr>
              <w:pStyle w:val="NormalWeb"/>
              <w:spacing w:before="0" w:beforeAutospacing="0" w:after="0" w:afterAutospacing="0"/>
              <w:rPr>
                <w:b/>
                <w:sz w:val="28"/>
                <w:szCs w:val="28"/>
              </w:rPr>
            </w:pPr>
            <w:r w:rsidRPr="00A37919">
              <w:rPr>
                <w:b/>
                <w:sz w:val="28"/>
                <w:szCs w:val="28"/>
              </w:rPr>
              <w:t>2. Budžeta izdevumi:</w:t>
            </w:r>
          </w:p>
        </w:tc>
        <w:tc>
          <w:tcPr>
            <w:tcW w:w="643" w:type="pct"/>
            <w:vAlign w:val="center"/>
          </w:tcPr>
          <w:p w:rsidR="002F02E2" w:rsidRPr="00A37919" w:rsidRDefault="00B04A03" w:rsidP="002E7989">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2 735,5</w:t>
            </w:r>
          </w:p>
        </w:tc>
        <w:tc>
          <w:tcPr>
            <w:tcW w:w="643" w:type="pct"/>
            <w:vAlign w:val="center"/>
          </w:tcPr>
          <w:p w:rsidR="002F02E2" w:rsidRPr="00A37919" w:rsidRDefault="00592229" w:rsidP="00A954A9">
            <w:pPr>
              <w:spacing w:after="0" w:line="240" w:lineRule="auto"/>
              <w:jc w:val="center"/>
              <w:rPr>
                <w:rFonts w:ascii="Times New Roman" w:hAnsi="Times New Roman"/>
                <w:b/>
                <w:sz w:val="28"/>
                <w:szCs w:val="28"/>
                <w:lang w:val="lv-LV"/>
              </w:rPr>
            </w:pPr>
            <w:r>
              <w:rPr>
                <w:rFonts w:ascii="Times New Roman" w:hAnsi="Times New Roman"/>
                <w:b/>
                <w:sz w:val="28"/>
                <w:szCs w:val="28"/>
                <w:lang w:val="lv-LV"/>
              </w:rPr>
              <w:t>5 664,9</w:t>
            </w:r>
          </w:p>
        </w:tc>
        <w:tc>
          <w:tcPr>
            <w:tcW w:w="713" w:type="pct"/>
            <w:vAlign w:val="center"/>
          </w:tcPr>
          <w:p w:rsidR="002F02E2" w:rsidRPr="00A37919" w:rsidRDefault="002F02E2"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c>
          <w:tcPr>
            <w:tcW w:w="643" w:type="pct"/>
            <w:vAlign w:val="center"/>
          </w:tcPr>
          <w:p w:rsidR="002F02E2" w:rsidRPr="00A37919" w:rsidRDefault="002F02E2"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c>
          <w:tcPr>
            <w:tcW w:w="643" w:type="pct"/>
            <w:vAlign w:val="center"/>
          </w:tcPr>
          <w:p w:rsidR="002F02E2" w:rsidRPr="00A37919" w:rsidRDefault="002F02E2"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r>
      <w:tr w:rsidR="002F02E2" w:rsidRPr="00A37919" w:rsidTr="00F52674">
        <w:tc>
          <w:tcPr>
            <w:tcW w:w="1715" w:type="pct"/>
          </w:tcPr>
          <w:p w:rsidR="002F02E2" w:rsidRPr="00A37919" w:rsidRDefault="002F02E2" w:rsidP="007F38CD">
            <w:pPr>
              <w:pStyle w:val="NormalWeb"/>
              <w:spacing w:before="0" w:beforeAutospacing="0" w:after="0" w:afterAutospacing="0"/>
              <w:jc w:val="both"/>
              <w:rPr>
                <w:sz w:val="28"/>
                <w:szCs w:val="28"/>
              </w:rPr>
            </w:pPr>
            <w:r w:rsidRPr="00A37919">
              <w:rPr>
                <w:sz w:val="28"/>
                <w:szCs w:val="28"/>
              </w:rPr>
              <w:t>2.1. valsts pamatbudžets</w:t>
            </w:r>
          </w:p>
        </w:tc>
        <w:tc>
          <w:tcPr>
            <w:tcW w:w="643" w:type="pct"/>
          </w:tcPr>
          <w:p w:rsidR="002F02E2" w:rsidRPr="00A37919" w:rsidRDefault="00B04A03" w:rsidP="002E7989">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2 735,5</w:t>
            </w:r>
          </w:p>
        </w:tc>
        <w:tc>
          <w:tcPr>
            <w:tcW w:w="643" w:type="pct"/>
            <w:vAlign w:val="center"/>
          </w:tcPr>
          <w:p w:rsidR="002F02E2" w:rsidRPr="00A37919" w:rsidRDefault="00592229" w:rsidP="00F52674">
            <w:pPr>
              <w:spacing w:after="0" w:line="240" w:lineRule="auto"/>
              <w:jc w:val="center"/>
              <w:rPr>
                <w:rFonts w:ascii="Times New Roman" w:hAnsi="Times New Roman"/>
                <w:sz w:val="28"/>
                <w:szCs w:val="28"/>
                <w:lang w:val="lv-LV"/>
              </w:rPr>
            </w:pPr>
            <w:r>
              <w:rPr>
                <w:rFonts w:ascii="Times New Roman" w:hAnsi="Times New Roman"/>
                <w:sz w:val="28"/>
                <w:szCs w:val="28"/>
                <w:lang w:val="lv-LV"/>
              </w:rPr>
              <w:t>5 664,9</w:t>
            </w:r>
          </w:p>
        </w:tc>
        <w:tc>
          <w:tcPr>
            <w:tcW w:w="713" w:type="pct"/>
          </w:tcPr>
          <w:p w:rsidR="002F02E2" w:rsidRPr="00A37919" w:rsidRDefault="002F02E2" w:rsidP="00DF44E8">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tcPr>
          <w:p w:rsidR="002F02E2" w:rsidRPr="00A37919" w:rsidRDefault="002F02E2" w:rsidP="00DF44E8">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tcPr>
          <w:p w:rsidR="002F02E2" w:rsidRPr="00A37919" w:rsidRDefault="002F02E2" w:rsidP="00DF44E8">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r>
      <w:tr w:rsidR="0022704F" w:rsidRPr="00A37919" w:rsidTr="00A137A1">
        <w:tc>
          <w:tcPr>
            <w:tcW w:w="1715" w:type="pct"/>
          </w:tcPr>
          <w:p w:rsidR="0022704F" w:rsidRPr="00A37919" w:rsidRDefault="0022704F" w:rsidP="0084528E">
            <w:pPr>
              <w:pStyle w:val="NormalWeb"/>
              <w:spacing w:before="0" w:beforeAutospacing="0" w:after="0" w:afterAutospacing="0"/>
              <w:rPr>
                <w:sz w:val="28"/>
                <w:szCs w:val="28"/>
              </w:rPr>
            </w:pPr>
            <w:r w:rsidRPr="00A37919">
              <w:rPr>
                <w:sz w:val="28"/>
                <w:szCs w:val="28"/>
              </w:rPr>
              <w:t>2.2. valsts speciālais budžets</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71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r>
      <w:tr w:rsidR="0022704F" w:rsidRPr="00A37919" w:rsidTr="00A137A1">
        <w:tc>
          <w:tcPr>
            <w:tcW w:w="1715" w:type="pct"/>
          </w:tcPr>
          <w:p w:rsidR="0022704F" w:rsidRPr="00A37919" w:rsidRDefault="0022704F" w:rsidP="0084528E">
            <w:pPr>
              <w:pStyle w:val="NormalWeb"/>
              <w:spacing w:before="0" w:beforeAutospacing="0" w:after="0" w:afterAutospacing="0"/>
              <w:rPr>
                <w:sz w:val="28"/>
                <w:szCs w:val="28"/>
              </w:rPr>
            </w:pPr>
            <w:r w:rsidRPr="00A37919">
              <w:rPr>
                <w:sz w:val="28"/>
                <w:szCs w:val="28"/>
              </w:rPr>
              <w:t>2.3. pašvaldību budžets</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71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r>
      <w:tr w:rsidR="0022704F" w:rsidRPr="00A37919" w:rsidTr="00A137A1">
        <w:tc>
          <w:tcPr>
            <w:tcW w:w="1715" w:type="pct"/>
          </w:tcPr>
          <w:p w:rsidR="0022704F" w:rsidRPr="00A37919" w:rsidRDefault="0022704F" w:rsidP="0084528E">
            <w:pPr>
              <w:pStyle w:val="NormalWeb"/>
              <w:spacing w:before="0" w:beforeAutospacing="0" w:after="0" w:afterAutospacing="0"/>
              <w:rPr>
                <w:b/>
                <w:sz w:val="28"/>
                <w:szCs w:val="28"/>
              </w:rPr>
            </w:pPr>
            <w:r w:rsidRPr="00A37919">
              <w:rPr>
                <w:b/>
                <w:sz w:val="28"/>
                <w:szCs w:val="28"/>
              </w:rPr>
              <w:t>3. Finansiālā ietekme:</w:t>
            </w:r>
          </w:p>
        </w:tc>
        <w:tc>
          <w:tcPr>
            <w:tcW w:w="643" w:type="pct"/>
            <w:vAlign w:val="center"/>
          </w:tcPr>
          <w:p w:rsidR="0022704F" w:rsidRPr="00A37919" w:rsidRDefault="001762F9"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c>
          <w:tcPr>
            <w:tcW w:w="643" w:type="pct"/>
            <w:vAlign w:val="center"/>
          </w:tcPr>
          <w:p w:rsidR="0022704F" w:rsidRPr="00A37919" w:rsidRDefault="006C5550" w:rsidP="00592229">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w:t>
            </w:r>
            <w:r w:rsidR="00592229">
              <w:rPr>
                <w:rFonts w:ascii="Times New Roman" w:hAnsi="Times New Roman"/>
                <w:b/>
                <w:sz w:val="28"/>
                <w:szCs w:val="28"/>
                <w:lang w:val="lv-LV"/>
              </w:rPr>
              <w:t>5 664,9</w:t>
            </w:r>
          </w:p>
        </w:tc>
        <w:tc>
          <w:tcPr>
            <w:tcW w:w="713" w:type="pct"/>
            <w:vAlign w:val="center"/>
          </w:tcPr>
          <w:p w:rsidR="0022704F" w:rsidRPr="00A37919" w:rsidRDefault="0022704F"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r>
      <w:tr w:rsidR="0022704F" w:rsidRPr="00A37919" w:rsidTr="00A137A1">
        <w:tc>
          <w:tcPr>
            <w:tcW w:w="1715" w:type="pct"/>
          </w:tcPr>
          <w:p w:rsidR="0022704F" w:rsidRPr="00A37919" w:rsidRDefault="0022704F" w:rsidP="0084528E">
            <w:pPr>
              <w:pStyle w:val="NormalWeb"/>
              <w:spacing w:before="0" w:beforeAutospacing="0" w:after="0" w:afterAutospacing="0"/>
              <w:rPr>
                <w:sz w:val="28"/>
                <w:szCs w:val="28"/>
              </w:rPr>
            </w:pPr>
            <w:r w:rsidRPr="00A37919">
              <w:rPr>
                <w:sz w:val="28"/>
                <w:szCs w:val="28"/>
              </w:rPr>
              <w:t>3.1. valsts pamatbudžets</w:t>
            </w:r>
          </w:p>
        </w:tc>
        <w:tc>
          <w:tcPr>
            <w:tcW w:w="643" w:type="pct"/>
          </w:tcPr>
          <w:p w:rsidR="0022704F" w:rsidRPr="00A37919" w:rsidRDefault="0022704F" w:rsidP="007318C1">
            <w:pPr>
              <w:spacing w:after="0" w:line="240" w:lineRule="auto"/>
              <w:jc w:val="center"/>
              <w:rPr>
                <w:rFonts w:ascii="Times New Roman" w:hAnsi="Times New Roman"/>
                <w:sz w:val="28"/>
                <w:szCs w:val="28"/>
                <w:lang w:val="lv-LV"/>
              </w:rPr>
            </w:pPr>
          </w:p>
          <w:p w:rsidR="0022704F" w:rsidRPr="00A37919" w:rsidRDefault="001762F9" w:rsidP="00EF7399">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tcPr>
          <w:p w:rsidR="0022704F" w:rsidRPr="00A37919" w:rsidRDefault="0022704F" w:rsidP="007318C1">
            <w:pPr>
              <w:spacing w:after="0" w:line="240" w:lineRule="auto"/>
              <w:jc w:val="center"/>
              <w:rPr>
                <w:rFonts w:ascii="Times New Roman" w:hAnsi="Times New Roman"/>
                <w:sz w:val="28"/>
                <w:szCs w:val="28"/>
                <w:lang w:val="lv-LV"/>
              </w:rPr>
            </w:pPr>
          </w:p>
          <w:p w:rsidR="0022704F" w:rsidRPr="00A37919" w:rsidRDefault="00D24B12" w:rsidP="00FB37A8">
            <w:pPr>
              <w:spacing w:after="0" w:line="240" w:lineRule="auto"/>
              <w:jc w:val="center"/>
              <w:rPr>
                <w:rFonts w:ascii="Times New Roman" w:hAnsi="Times New Roman"/>
                <w:sz w:val="28"/>
                <w:szCs w:val="28"/>
                <w:lang w:val="lv-LV"/>
              </w:rPr>
            </w:pPr>
            <w:r w:rsidRPr="00A37919">
              <w:rPr>
                <w:rFonts w:ascii="Times New Roman" w:hAnsi="Times New Roman"/>
                <w:b/>
                <w:sz w:val="28"/>
                <w:szCs w:val="28"/>
                <w:lang w:val="lv-LV"/>
              </w:rPr>
              <w:t>-</w:t>
            </w:r>
            <w:r w:rsidR="00592229">
              <w:rPr>
                <w:rFonts w:ascii="Times New Roman" w:hAnsi="Times New Roman"/>
                <w:sz w:val="28"/>
                <w:szCs w:val="28"/>
                <w:lang w:val="lv-LV"/>
              </w:rPr>
              <w:t>5 664,9</w:t>
            </w:r>
          </w:p>
        </w:tc>
        <w:tc>
          <w:tcPr>
            <w:tcW w:w="713" w:type="pct"/>
          </w:tcPr>
          <w:p w:rsidR="0022704F" w:rsidRPr="00A37919" w:rsidRDefault="0022704F" w:rsidP="007318C1">
            <w:pPr>
              <w:spacing w:after="0" w:line="240" w:lineRule="auto"/>
              <w:jc w:val="center"/>
              <w:rPr>
                <w:rFonts w:ascii="Times New Roman" w:hAnsi="Times New Roman"/>
                <w:sz w:val="28"/>
                <w:szCs w:val="28"/>
                <w:lang w:val="lv-LV"/>
              </w:rPr>
            </w:pPr>
          </w:p>
          <w:p w:rsidR="0022704F" w:rsidRPr="00A37919" w:rsidRDefault="0022704F" w:rsidP="00EF7399">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tcPr>
          <w:p w:rsidR="0022704F" w:rsidRPr="00A37919" w:rsidRDefault="0022704F" w:rsidP="007318C1">
            <w:pPr>
              <w:spacing w:after="0" w:line="240" w:lineRule="auto"/>
              <w:jc w:val="center"/>
              <w:rPr>
                <w:rFonts w:ascii="Times New Roman" w:hAnsi="Times New Roman"/>
                <w:sz w:val="28"/>
                <w:szCs w:val="28"/>
                <w:lang w:val="lv-LV"/>
              </w:rPr>
            </w:pPr>
          </w:p>
          <w:p w:rsidR="0022704F" w:rsidRPr="00A37919" w:rsidRDefault="0022704F" w:rsidP="007318C1">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tcPr>
          <w:p w:rsidR="0022704F" w:rsidRPr="00A37919" w:rsidRDefault="0022704F" w:rsidP="007318C1">
            <w:pPr>
              <w:spacing w:after="0" w:line="240" w:lineRule="auto"/>
              <w:jc w:val="center"/>
              <w:rPr>
                <w:rFonts w:ascii="Times New Roman" w:hAnsi="Times New Roman"/>
                <w:sz w:val="28"/>
                <w:szCs w:val="28"/>
                <w:lang w:val="lv-LV"/>
              </w:rPr>
            </w:pPr>
          </w:p>
          <w:p w:rsidR="0022704F" w:rsidRPr="00A37919" w:rsidRDefault="0022704F" w:rsidP="007318C1">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r>
      <w:tr w:rsidR="0022704F" w:rsidRPr="00A37919" w:rsidTr="00A137A1">
        <w:tc>
          <w:tcPr>
            <w:tcW w:w="1715" w:type="pct"/>
          </w:tcPr>
          <w:p w:rsidR="0022704F" w:rsidRPr="00A37919" w:rsidRDefault="0022704F" w:rsidP="0084528E">
            <w:pPr>
              <w:pStyle w:val="NormalWeb"/>
              <w:spacing w:before="0" w:beforeAutospacing="0" w:after="0" w:afterAutospacing="0"/>
              <w:rPr>
                <w:sz w:val="28"/>
                <w:szCs w:val="28"/>
              </w:rPr>
            </w:pPr>
            <w:r w:rsidRPr="00A37919">
              <w:rPr>
                <w:sz w:val="28"/>
                <w:szCs w:val="28"/>
              </w:rPr>
              <w:t>3.2. speciālais budžets</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71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p>
        </w:tc>
      </w:tr>
      <w:tr w:rsidR="0022704F" w:rsidRPr="00A37919" w:rsidTr="00A137A1">
        <w:tc>
          <w:tcPr>
            <w:tcW w:w="1715" w:type="pct"/>
          </w:tcPr>
          <w:p w:rsidR="0022704F" w:rsidRPr="00A37919" w:rsidRDefault="0022704F" w:rsidP="0084528E">
            <w:pPr>
              <w:pStyle w:val="NormalWeb"/>
              <w:spacing w:before="0" w:beforeAutospacing="0" w:after="0" w:afterAutospacing="0"/>
              <w:rPr>
                <w:sz w:val="28"/>
                <w:szCs w:val="28"/>
              </w:rPr>
            </w:pPr>
            <w:r w:rsidRPr="00A37919">
              <w:rPr>
                <w:sz w:val="28"/>
                <w:szCs w:val="28"/>
              </w:rPr>
              <w:t>3.3. pašvaldību budžets</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71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r>
      <w:tr w:rsidR="00350B97" w:rsidRPr="00A37919" w:rsidTr="00A137A1">
        <w:tc>
          <w:tcPr>
            <w:tcW w:w="1715" w:type="pct"/>
            <w:vMerge w:val="restart"/>
          </w:tcPr>
          <w:p w:rsidR="00350B97" w:rsidRPr="00A37919" w:rsidRDefault="00350B97" w:rsidP="0084528E">
            <w:pPr>
              <w:pStyle w:val="NormalWeb"/>
              <w:spacing w:before="0" w:beforeAutospacing="0" w:after="0" w:afterAutospacing="0"/>
              <w:rPr>
                <w:sz w:val="28"/>
                <w:szCs w:val="28"/>
              </w:rPr>
            </w:pPr>
            <w:r w:rsidRPr="00A37919">
              <w:rPr>
                <w:sz w:val="28"/>
                <w:szCs w:val="28"/>
              </w:rPr>
              <w:t>4. Finanšu līdzekļi papildu izdevumu finansēšanai (kompensējošu izdevumu samazinājumu norāda ar "+" zīmi)</w:t>
            </w:r>
          </w:p>
        </w:tc>
        <w:tc>
          <w:tcPr>
            <w:tcW w:w="643" w:type="pct"/>
            <w:vMerge w:val="restart"/>
            <w:vAlign w:val="center"/>
          </w:tcPr>
          <w:p w:rsidR="00350B97" w:rsidRPr="00A37919" w:rsidRDefault="00350B97" w:rsidP="0084528E">
            <w:pPr>
              <w:pStyle w:val="NormalWeb"/>
              <w:spacing w:before="0" w:beforeAutospacing="0" w:after="0" w:afterAutospacing="0"/>
              <w:jc w:val="center"/>
              <w:rPr>
                <w:b/>
                <w:sz w:val="28"/>
                <w:szCs w:val="28"/>
              </w:rPr>
            </w:pPr>
            <w:r w:rsidRPr="00A37919">
              <w:rPr>
                <w:b/>
                <w:sz w:val="28"/>
                <w:szCs w:val="28"/>
              </w:rPr>
              <w:t>X</w:t>
            </w:r>
          </w:p>
        </w:tc>
        <w:tc>
          <w:tcPr>
            <w:tcW w:w="643" w:type="pct"/>
            <w:vMerge w:val="restart"/>
            <w:vAlign w:val="center"/>
          </w:tcPr>
          <w:p w:rsidR="00350B97" w:rsidRPr="00A37919" w:rsidRDefault="00592229" w:rsidP="00FB37A8">
            <w:pPr>
              <w:jc w:val="center"/>
              <w:rPr>
                <w:rFonts w:ascii="Times New Roman" w:hAnsi="Times New Roman"/>
                <w:sz w:val="28"/>
                <w:szCs w:val="28"/>
                <w:lang w:val="lv-LV"/>
              </w:rPr>
            </w:pPr>
            <w:r>
              <w:rPr>
                <w:rFonts w:ascii="Times New Roman" w:hAnsi="Times New Roman"/>
                <w:sz w:val="28"/>
                <w:szCs w:val="28"/>
                <w:lang w:val="lv-LV"/>
              </w:rPr>
              <w:t>5 664,9</w:t>
            </w:r>
          </w:p>
        </w:tc>
        <w:tc>
          <w:tcPr>
            <w:tcW w:w="713" w:type="pct"/>
            <w:vAlign w:val="center"/>
          </w:tcPr>
          <w:p w:rsidR="00350B97" w:rsidRPr="00A37919" w:rsidRDefault="00350B97"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c>
          <w:tcPr>
            <w:tcW w:w="643" w:type="pct"/>
            <w:vAlign w:val="center"/>
          </w:tcPr>
          <w:p w:rsidR="00350B97" w:rsidRPr="00A37919" w:rsidRDefault="00350B97"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c>
          <w:tcPr>
            <w:tcW w:w="643" w:type="pct"/>
            <w:vAlign w:val="center"/>
          </w:tcPr>
          <w:p w:rsidR="00350B97" w:rsidRPr="00A37919" w:rsidRDefault="00350B97"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r>
      <w:tr w:rsidR="00350B97" w:rsidRPr="00A37919" w:rsidTr="00A137A1">
        <w:tc>
          <w:tcPr>
            <w:tcW w:w="1715" w:type="pct"/>
            <w:vMerge/>
            <w:vAlign w:val="center"/>
          </w:tcPr>
          <w:p w:rsidR="00350B97" w:rsidRPr="00A37919" w:rsidRDefault="00350B97" w:rsidP="0084528E">
            <w:pPr>
              <w:spacing w:after="0" w:line="240" w:lineRule="auto"/>
              <w:rPr>
                <w:rFonts w:ascii="Times New Roman" w:hAnsi="Times New Roman"/>
                <w:sz w:val="28"/>
                <w:szCs w:val="28"/>
                <w:lang w:val="lv-LV"/>
              </w:rPr>
            </w:pPr>
          </w:p>
        </w:tc>
        <w:tc>
          <w:tcPr>
            <w:tcW w:w="643" w:type="pct"/>
            <w:vMerge/>
            <w:vAlign w:val="center"/>
          </w:tcPr>
          <w:p w:rsidR="00350B97" w:rsidRPr="00A37919" w:rsidRDefault="00350B97" w:rsidP="0084528E">
            <w:pPr>
              <w:spacing w:after="0" w:line="240" w:lineRule="auto"/>
              <w:jc w:val="center"/>
              <w:rPr>
                <w:rFonts w:ascii="Times New Roman" w:hAnsi="Times New Roman"/>
                <w:b/>
                <w:sz w:val="28"/>
                <w:szCs w:val="28"/>
                <w:lang w:val="lv-LV"/>
              </w:rPr>
            </w:pPr>
          </w:p>
        </w:tc>
        <w:tc>
          <w:tcPr>
            <w:tcW w:w="643" w:type="pct"/>
            <w:vMerge/>
            <w:vAlign w:val="center"/>
          </w:tcPr>
          <w:p w:rsidR="00350B97" w:rsidRPr="00A37919" w:rsidRDefault="00350B97" w:rsidP="00FB37A8">
            <w:pPr>
              <w:jc w:val="center"/>
              <w:rPr>
                <w:rFonts w:ascii="Times New Roman" w:hAnsi="Times New Roman"/>
                <w:sz w:val="28"/>
                <w:szCs w:val="28"/>
                <w:lang w:val="lv-LV"/>
              </w:rPr>
            </w:pPr>
          </w:p>
        </w:tc>
        <w:tc>
          <w:tcPr>
            <w:tcW w:w="713" w:type="pct"/>
            <w:vAlign w:val="center"/>
          </w:tcPr>
          <w:p w:rsidR="00350B97" w:rsidRPr="00A37919" w:rsidRDefault="00350B97"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350B97" w:rsidRPr="00A37919" w:rsidRDefault="00350B97"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350B97" w:rsidRPr="00A37919" w:rsidRDefault="00350B97"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r>
      <w:tr w:rsidR="00350B97" w:rsidRPr="00A37919" w:rsidTr="00A137A1">
        <w:trPr>
          <w:trHeight w:val="308"/>
        </w:trPr>
        <w:tc>
          <w:tcPr>
            <w:tcW w:w="1715" w:type="pct"/>
            <w:vMerge/>
            <w:vAlign w:val="center"/>
          </w:tcPr>
          <w:p w:rsidR="00350B97" w:rsidRPr="00A37919" w:rsidRDefault="00350B97" w:rsidP="0084528E">
            <w:pPr>
              <w:spacing w:after="0" w:line="240" w:lineRule="auto"/>
              <w:rPr>
                <w:rFonts w:ascii="Times New Roman" w:hAnsi="Times New Roman"/>
                <w:sz w:val="28"/>
                <w:szCs w:val="28"/>
                <w:lang w:val="lv-LV"/>
              </w:rPr>
            </w:pPr>
          </w:p>
        </w:tc>
        <w:tc>
          <w:tcPr>
            <w:tcW w:w="643" w:type="pct"/>
            <w:vMerge/>
            <w:vAlign w:val="center"/>
          </w:tcPr>
          <w:p w:rsidR="00350B97" w:rsidRPr="00A37919" w:rsidRDefault="00350B97" w:rsidP="0084528E">
            <w:pPr>
              <w:spacing w:after="0" w:line="240" w:lineRule="auto"/>
              <w:jc w:val="center"/>
              <w:rPr>
                <w:rFonts w:ascii="Times New Roman" w:hAnsi="Times New Roman"/>
                <w:b/>
                <w:sz w:val="28"/>
                <w:szCs w:val="28"/>
                <w:lang w:val="lv-LV"/>
              </w:rPr>
            </w:pPr>
          </w:p>
        </w:tc>
        <w:tc>
          <w:tcPr>
            <w:tcW w:w="643" w:type="pct"/>
            <w:vMerge/>
            <w:vAlign w:val="center"/>
          </w:tcPr>
          <w:p w:rsidR="00350B97" w:rsidRPr="00A37919" w:rsidRDefault="00350B97" w:rsidP="0084528E">
            <w:pPr>
              <w:spacing w:after="0" w:line="240" w:lineRule="auto"/>
              <w:jc w:val="center"/>
              <w:rPr>
                <w:rFonts w:ascii="Times New Roman" w:hAnsi="Times New Roman"/>
                <w:sz w:val="28"/>
                <w:szCs w:val="28"/>
                <w:lang w:val="lv-LV"/>
              </w:rPr>
            </w:pPr>
          </w:p>
        </w:tc>
        <w:tc>
          <w:tcPr>
            <w:tcW w:w="713" w:type="pct"/>
            <w:vAlign w:val="center"/>
          </w:tcPr>
          <w:p w:rsidR="00350B97" w:rsidRPr="00A37919" w:rsidRDefault="00350B97"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350B97" w:rsidRPr="00A37919" w:rsidRDefault="00350B97"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350B97" w:rsidRPr="00A37919" w:rsidRDefault="00350B97"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r>
      <w:tr w:rsidR="00350B97" w:rsidRPr="00A37919" w:rsidTr="00A137A1">
        <w:tc>
          <w:tcPr>
            <w:tcW w:w="1715" w:type="pct"/>
            <w:vMerge/>
            <w:vAlign w:val="center"/>
          </w:tcPr>
          <w:p w:rsidR="00350B97" w:rsidRPr="00A37919" w:rsidRDefault="00350B97" w:rsidP="0084528E">
            <w:pPr>
              <w:spacing w:after="0" w:line="240" w:lineRule="auto"/>
              <w:rPr>
                <w:rFonts w:ascii="Times New Roman" w:hAnsi="Times New Roman"/>
                <w:sz w:val="28"/>
                <w:szCs w:val="28"/>
                <w:lang w:val="lv-LV"/>
              </w:rPr>
            </w:pPr>
          </w:p>
        </w:tc>
        <w:tc>
          <w:tcPr>
            <w:tcW w:w="643" w:type="pct"/>
            <w:vMerge/>
            <w:vAlign w:val="center"/>
          </w:tcPr>
          <w:p w:rsidR="00350B97" w:rsidRPr="00A37919" w:rsidRDefault="00350B97" w:rsidP="0084528E">
            <w:pPr>
              <w:spacing w:after="0" w:line="240" w:lineRule="auto"/>
              <w:jc w:val="center"/>
              <w:rPr>
                <w:rFonts w:ascii="Times New Roman" w:hAnsi="Times New Roman"/>
                <w:b/>
                <w:sz w:val="28"/>
                <w:szCs w:val="28"/>
                <w:lang w:val="lv-LV"/>
              </w:rPr>
            </w:pPr>
          </w:p>
        </w:tc>
        <w:tc>
          <w:tcPr>
            <w:tcW w:w="643" w:type="pct"/>
            <w:vMerge/>
            <w:vAlign w:val="center"/>
          </w:tcPr>
          <w:p w:rsidR="00350B97" w:rsidRPr="00A37919" w:rsidRDefault="00350B97" w:rsidP="0084528E">
            <w:pPr>
              <w:spacing w:after="0" w:line="240" w:lineRule="auto"/>
              <w:jc w:val="center"/>
              <w:rPr>
                <w:rFonts w:ascii="Times New Roman" w:hAnsi="Times New Roman"/>
                <w:sz w:val="28"/>
                <w:szCs w:val="28"/>
                <w:lang w:val="lv-LV"/>
              </w:rPr>
            </w:pPr>
          </w:p>
        </w:tc>
        <w:tc>
          <w:tcPr>
            <w:tcW w:w="713" w:type="pct"/>
            <w:vAlign w:val="center"/>
          </w:tcPr>
          <w:p w:rsidR="00350B97" w:rsidRPr="00A37919" w:rsidRDefault="00350B97"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350B97" w:rsidRPr="00A37919" w:rsidRDefault="00350B97"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350B97" w:rsidRPr="00A37919" w:rsidRDefault="00350B97"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r>
      <w:tr w:rsidR="0022704F" w:rsidRPr="00A37919" w:rsidTr="00A137A1">
        <w:tc>
          <w:tcPr>
            <w:tcW w:w="1715" w:type="pct"/>
          </w:tcPr>
          <w:p w:rsidR="0022704F" w:rsidRPr="00A37919" w:rsidRDefault="0022704F" w:rsidP="0084528E">
            <w:pPr>
              <w:pStyle w:val="NormalWeb"/>
              <w:spacing w:before="0" w:beforeAutospacing="0" w:after="0" w:afterAutospacing="0"/>
              <w:rPr>
                <w:sz w:val="28"/>
                <w:szCs w:val="28"/>
              </w:rPr>
            </w:pPr>
            <w:r w:rsidRPr="00A37919">
              <w:rPr>
                <w:sz w:val="28"/>
                <w:szCs w:val="28"/>
              </w:rPr>
              <w:t>5. Precizēta finansiālā ietekme:</w:t>
            </w:r>
          </w:p>
        </w:tc>
        <w:tc>
          <w:tcPr>
            <w:tcW w:w="643" w:type="pct"/>
            <w:vMerge w:val="restart"/>
            <w:vAlign w:val="center"/>
          </w:tcPr>
          <w:p w:rsidR="0022704F" w:rsidRPr="00A37919" w:rsidRDefault="0022704F" w:rsidP="0084528E">
            <w:pPr>
              <w:pStyle w:val="NormalWeb"/>
              <w:spacing w:before="0" w:beforeAutospacing="0" w:after="0" w:afterAutospacing="0"/>
              <w:jc w:val="center"/>
              <w:rPr>
                <w:b/>
                <w:sz w:val="28"/>
                <w:szCs w:val="28"/>
              </w:rPr>
            </w:pPr>
            <w:r w:rsidRPr="00A37919">
              <w:rPr>
                <w:b/>
                <w:sz w:val="28"/>
                <w:szCs w:val="28"/>
              </w:rPr>
              <w:t>X</w:t>
            </w:r>
          </w:p>
        </w:tc>
        <w:tc>
          <w:tcPr>
            <w:tcW w:w="643" w:type="pct"/>
            <w:vAlign w:val="center"/>
          </w:tcPr>
          <w:p w:rsidR="0022704F" w:rsidRPr="00A37919" w:rsidRDefault="0022704F"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c>
          <w:tcPr>
            <w:tcW w:w="713" w:type="pct"/>
            <w:vAlign w:val="center"/>
          </w:tcPr>
          <w:p w:rsidR="0022704F" w:rsidRPr="00A37919" w:rsidRDefault="0022704F"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b/>
                <w:sz w:val="28"/>
                <w:szCs w:val="28"/>
                <w:lang w:val="lv-LV"/>
              </w:rPr>
            </w:pPr>
            <w:r w:rsidRPr="00A37919">
              <w:rPr>
                <w:rFonts w:ascii="Times New Roman" w:hAnsi="Times New Roman"/>
                <w:b/>
                <w:sz w:val="28"/>
                <w:szCs w:val="28"/>
                <w:lang w:val="lv-LV"/>
              </w:rPr>
              <w:t>0</w:t>
            </w:r>
          </w:p>
        </w:tc>
      </w:tr>
      <w:tr w:rsidR="0022704F" w:rsidRPr="00A37919" w:rsidTr="00A137A1">
        <w:tc>
          <w:tcPr>
            <w:tcW w:w="1715" w:type="pct"/>
          </w:tcPr>
          <w:p w:rsidR="0022704F" w:rsidRPr="00A37919" w:rsidRDefault="0022704F" w:rsidP="0084528E">
            <w:pPr>
              <w:pStyle w:val="NormalWeb"/>
              <w:spacing w:before="0" w:beforeAutospacing="0" w:after="0" w:afterAutospacing="0"/>
              <w:rPr>
                <w:sz w:val="28"/>
                <w:szCs w:val="28"/>
              </w:rPr>
            </w:pPr>
            <w:r w:rsidRPr="00A37919">
              <w:rPr>
                <w:sz w:val="28"/>
                <w:szCs w:val="28"/>
              </w:rPr>
              <w:t>5.1. valsts pamatbudžets</w:t>
            </w:r>
          </w:p>
        </w:tc>
        <w:tc>
          <w:tcPr>
            <w:tcW w:w="643" w:type="pct"/>
            <w:vMerge/>
            <w:vAlign w:val="center"/>
          </w:tcPr>
          <w:p w:rsidR="0022704F" w:rsidRPr="00A37919" w:rsidRDefault="0022704F" w:rsidP="0084528E">
            <w:pPr>
              <w:spacing w:after="0" w:line="240" w:lineRule="auto"/>
              <w:jc w:val="center"/>
              <w:rPr>
                <w:rFonts w:ascii="Times New Roman" w:hAnsi="Times New Roman"/>
                <w:sz w:val="28"/>
                <w:szCs w:val="28"/>
                <w:lang w:val="lv-LV"/>
              </w:rPr>
            </w:pP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71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r>
      <w:tr w:rsidR="0022704F" w:rsidRPr="00A37919" w:rsidTr="00A137A1">
        <w:tc>
          <w:tcPr>
            <w:tcW w:w="1715" w:type="pct"/>
          </w:tcPr>
          <w:p w:rsidR="0022704F" w:rsidRPr="00A37919" w:rsidRDefault="0022704F" w:rsidP="0084528E">
            <w:pPr>
              <w:pStyle w:val="NormalWeb"/>
              <w:spacing w:before="0" w:beforeAutospacing="0" w:after="0" w:afterAutospacing="0"/>
              <w:rPr>
                <w:sz w:val="28"/>
                <w:szCs w:val="28"/>
              </w:rPr>
            </w:pPr>
            <w:r w:rsidRPr="00A37919">
              <w:rPr>
                <w:sz w:val="28"/>
                <w:szCs w:val="28"/>
              </w:rPr>
              <w:t>5.2. speciālais budžets</w:t>
            </w:r>
          </w:p>
        </w:tc>
        <w:tc>
          <w:tcPr>
            <w:tcW w:w="643" w:type="pct"/>
            <w:vMerge/>
            <w:vAlign w:val="center"/>
          </w:tcPr>
          <w:p w:rsidR="0022704F" w:rsidRPr="00A37919" w:rsidRDefault="0022704F" w:rsidP="0084528E">
            <w:pPr>
              <w:spacing w:after="0" w:line="240" w:lineRule="auto"/>
              <w:jc w:val="center"/>
              <w:rPr>
                <w:rFonts w:ascii="Times New Roman" w:hAnsi="Times New Roman"/>
                <w:sz w:val="28"/>
                <w:szCs w:val="28"/>
                <w:lang w:val="lv-LV"/>
              </w:rPr>
            </w:pP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71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r>
      <w:tr w:rsidR="0022704F" w:rsidRPr="00A37919" w:rsidTr="00A137A1">
        <w:tc>
          <w:tcPr>
            <w:tcW w:w="1715" w:type="pct"/>
          </w:tcPr>
          <w:p w:rsidR="0022704F" w:rsidRPr="00A37919" w:rsidRDefault="0022704F" w:rsidP="0084528E">
            <w:pPr>
              <w:pStyle w:val="NormalWeb"/>
              <w:spacing w:before="0" w:beforeAutospacing="0" w:after="0" w:afterAutospacing="0"/>
              <w:rPr>
                <w:sz w:val="28"/>
                <w:szCs w:val="28"/>
              </w:rPr>
            </w:pPr>
            <w:r w:rsidRPr="00A37919">
              <w:rPr>
                <w:sz w:val="28"/>
                <w:szCs w:val="28"/>
              </w:rPr>
              <w:t>5.3. pašvaldību budžets</w:t>
            </w:r>
          </w:p>
        </w:tc>
        <w:tc>
          <w:tcPr>
            <w:tcW w:w="643" w:type="pct"/>
            <w:vMerge/>
            <w:vAlign w:val="center"/>
          </w:tcPr>
          <w:p w:rsidR="0022704F" w:rsidRPr="00A37919" w:rsidRDefault="0022704F" w:rsidP="0084528E">
            <w:pPr>
              <w:spacing w:after="0" w:line="240" w:lineRule="auto"/>
              <w:jc w:val="center"/>
              <w:rPr>
                <w:rFonts w:ascii="Times New Roman" w:hAnsi="Times New Roman"/>
                <w:sz w:val="28"/>
                <w:szCs w:val="28"/>
                <w:lang w:val="lv-LV"/>
              </w:rPr>
            </w:pP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71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c>
          <w:tcPr>
            <w:tcW w:w="643" w:type="pct"/>
            <w:vAlign w:val="center"/>
          </w:tcPr>
          <w:p w:rsidR="0022704F" w:rsidRPr="00A37919" w:rsidRDefault="0022704F" w:rsidP="0084528E">
            <w:pPr>
              <w:spacing w:after="0" w:line="240" w:lineRule="auto"/>
              <w:jc w:val="center"/>
              <w:rPr>
                <w:rFonts w:ascii="Times New Roman" w:hAnsi="Times New Roman"/>
                <w:sz w:val="28"/>
                <w:szCs w:val="28"/>
                <w:lang w:val="lv-LV"/>
              </w:rPr>
            </w:pPr>
            <w:r w:rsidRPr="00A37919">
              <w:rPr>
                <w:rFonts w:ascii="Times New Roman" w:hAnsi="Times New Roman"/>
                <w:sz w:val="28"/>
                <w:szCs w:val="28"/>
                <w:lang w:val="lv-LV"/>
              </w:rPr>
              <w:t>0</w:t>
            </w:r>
          </w:p>
        </w:tc>
      </w:tr>
      <w:tr w:rsidR="0022704F" w:rsidRPr="00A37919" w:rsidTr="00B5034D">
        <w:tc>
          <w:tcPr>
            <w:tcW w:w="1715" w:type="pct"/>
            <w:shd w:val="clear" w:color="auto" w:fill="auto"/>
          </w:tcPr>
          <w:p w:rsidR="0022704F" w:rsidRPr="00A37919" w:rsidRDefault="0022704F" w:rsidP="0084528E">
            <w:pPr>
              <w:pStyle w:val="NormalWeb"/>
              <w:spacing w:before="0" w:beforeAutospacing="0" w:after="0" w:afterAutospacing="0"/>
              <w:rPr>
                <w:sz w:val="28"/>
                <w:szCs w:val="28"/>
              </w:rPr>
            </w:pPr>
            <w:r w:rsidRPr="00A37919">
              <w:rPr>
                <w:sz w:val="28"/>
                <w:szCs w:val="28"/>
              </w:rPr>
              <w:t>6. Detalizēts ieņēmumu un izdevumu aprēķins (ja nepieciešams, detalizētu ieņēmumu un izdevumu aprēķinu var pievienot anotācijas pielikumā):</w:t>
            </w:r>
          </w:p>
        </w:tc>
        <w:tc>
          <w:tcPr>
            <w:tcW w:w="3285" w:type="pct"/>
            <w:gridSpan w:val="5"/>
            <w:vMerge w:val="restart"/>
            <w:vAlign w:val="center"/>
          </w:tcPr>
          <w:p w:rsidR="009E505E" w:rsidRPr="00A37919" w:rsidRDefault="0022704F" w:rsidP="009E505E">
            <w:pPr>
              <w:pStyle w:val="NoSpacing"/>
              <w:jc w:val="both"/>
              <w:rPr>
                <w:bCs/>
                <w:sz w:val="28"/>
                <w:szCs w:val="28"/>
                <w:lang w:eastAsia="lv-LV"/>
              </w:rPr>
            </w:pPr>
            <w:r w:rsidRPr="00A37919">
              <w:rPr>
                <w:sz w:val="28"/>
                <w:szCs w:val="28"/>
              </w:rPr>
              <w:t xml:space="preserve">   Atbilstoši </w:t>
            </w:r>
            <w:r w:rsidR="000D3A5C" w:rsidRPr="00A37919">
              <w:rPr>
                <w:sz w:val="28"/>
                <w:szCs w:val="28"/>
              </w:rPr>
              <w:t xml:space="preserve">Ministru kabineta un </w:t>
            </w:r>
            <w:r w:rsidRPr="00A37919">
              <w:rPr>
                <w:sz w:val="28"/>
                <w:szCs w:val="28"/>
              </w:rPr>
              <w:t>Finanšu ministrijas rīkojumiem</w:t>
            </w:r>
            <w:r w:rsidR="009E505E" w:rsidRPr="00A37919">
              <w:rPr>
                <w:sz w:val="28"/>
                <w:szCs w:val="28"/>
              </w:rPr>
              <w:t xml:space="preserve"> budžeta </w:t>
            </w:r>
            <w:r w:rsidR="00AC296A" w:rsidRPr="00A37919">
              <w:rPr>
                <w:bCs/>
                <w:sz w:val="28"/>
                <w:szCs w:val="28"/>
                <w:lang w:eastAsia="lv-LV"/>
              </w:rPr>
              <w:t>programmā 99.00</w:t>
            </w:r>
            <w:r w:rsidR="00350B97" w:rsidRPr="00A37919">
              <w:rPr>
                <w:bCs/>
                <w:sz w:val="28"/>
                <w:szCs w:val="28"/>
                <w:lang w:eastAsia="lv-LV"/>
              </w:rPr>
              <w:t>.00 „</w:t>
            </w:r>
            <w:r w:rsidR="00A6266C" w:rsidRPr="00A37919">
              <w:rPr>
                <w:bCs/>
                <w:sz w:val="28"/>
                <w:szCs w:val="28"/>
                <w:lang w:eastAsia="lv-LV"/>
              </w:rPr>
              <w:t>Līdzekļu neparedzēt</w:t>
            </w:r>
            <w:r w:rsidR="00AC296A" w:rsidRPr="00A37919">
              <w:rPr>
                <w:bCs/>
                <w:sz w:val="28"/>
                <w:szCs w:val="28"/>
                <w:lang w:eastAsia="lv-LV"/>
              </w:rPr>
              <w:t>iem gadījumiem izlietojums</w:t>
            </w:r>
            <w:r w:rsidR="009E505E" w:rsidRPr="00A37919">
              <w:rPr>
                <w:bCs/>
                <w:sz w:val="28"/>
                <w:szCs w:val="28"/>
                <w:lang w:eastAsia="lv-LV"/>
              </w:rPr>
              <w:t>”</w:t>
            </w:r>
            <w:r w:rsidR="00AC296A" w:rsidRPr="00A37919">
              <w:rPr>
                <w:bCs/>
                <w:sz w:val="28"/>
                <w:szCs w:val="28"/>
                <w:lang w:eastAsia="lv-LV"/>
              </w:rPr>
              <w:t>:</w:t>
            </w:r>
          </w:p>
          <w:p w:rsidR="009E505E" w:rsidRPr="00A37919" w:rsidRDefault="00350B97" w:rsidP="00AC296A">
            <w:pPr>
              <w:pStyle w:val="NoSpacing"/>
              <w:jc w:val="both"/>
              <w:rPr>
                <w:bCs/>
                <w:sz w:val="28"/>
                <w:szCs w:val="28"/>
                <w:lang w:eastAsia="lv-LV"/>
              </w:rPr>
            </w:pPr>
            <w:r w:rsidRPr="00A37919">
              <w:rPr>
                <w:bCs/>
                <w:sz w:val="28"/>
                <w:szCs w:val="28"/>
                <w:lang w:eastAsia="lv-LV"/>
              </w:rPr>
              <w:t>resursi izdevumu segšanai</w:t>
            </w:r>
            <w:r w:rsidR="009E505E" w:rsidRPr="00A37919">
              <w:rPr>
                <w:bCs/>
                <w:sz w:val="28"/>
                <w:szCs w:val="28"/>
                <w:lang w:eastAsia="lv-LV"/>
              </w:rPr>
              <w:t>:</w:t>
            </w:r>
            <w:r w:rsidRPr="00A37919">
              <w:rPr>
                <w:bCs/>
                <w:sz w:val="28"/>
                <w:szCs w:val="28"/>
                <w:lang w:eastAsia="lv-LV"/>
              </w:rPr>
              <w:t xml:space="preserve"> </w:t>
            </w:r>
            <w:r w:rsidR="005217E2" w:rsidRPr="00A37919">
              <w:rPr>
                <w:bCs/>
                <w:sz w:val="28"/>
                <w:szCs w:val="28"/>
                <w:lang w:eastAsia="lv-LV"/>
              </w:rPr>
              <w:t>2 735 482</w:t>
            </w:r>
            <w:r w:rsidRPr="00A37919">
              <w:rPr>
                <w:bCs/>
                <w:sz w:val="28"/>
                <w:szCs w:val="28"/>
                <w:lang w:eastAsia="lv-LV"/>
              </w:rPr>
              <w:t xml:space="preserve"> </w:t>
            </w:r>
            <w:r w:rsidR="009E505E" w:rsidRPr="00A37919">
              <w:rPr>
                <w:bCs/>
                <w:sz w:val="28"/>
                <w:szCs w:val="28"/>
                <w:lang w:eastAsia="lv-LV"/>
              </w:rPr>
              <w:t>lati</w:t>
            </w:r>
            <w:r w:rsidR="00AC296A" w:rsidRPr="00A37919">
              <w:rPr>
                <w:bCs/>
                <w:sz w:val="28"/>
                <w:szCs w:val="28"/>
                <w:lang w:eastAsia="lv-LV"/>
              </w:rPr>
              <w:t xml:space="preserve"> (</w:t>
            </w:r>
            <w:r w:rsidRPr="00A37919">
              <w:rPr>
                <w:bCs/>
                <w:sz w:val="28"/>
                <w:szCs w:val="28"/>
                <w:lang w:eastAsia="lv-LV"/>
              </w:rPr>
              <w:t>dotācija no vispārējiem ieņēmumiem</w:t>
            </w:r>
            <w:r w:rsidR="00AC296A" w:rsidRPr="00A37919">
              <w:rPr>
                <w:bCs/>
                <w:sz w:val="28"/>
                <w:szCs w:val="28"/>
                <w:lang w:eastAsia="lv-LV"/>
              </w:rPr>
              <w:t>);</w:t>
            </w:r>
          </w:p>
          <w:p w:rsidR="009E505E" w:rsidRPr="00A37919" w:rsidRDefault="009E505E" w:rsidP="009E505E">
            <w:pPr>
              <w:pStyle w:val="NoSpacing"/>
              <w:jc w:val="both"/>
              <w:rPr>
                <w:bCs/>
                <w:sz w:val="28"/>
                <w:szCs w:val="28"/>
                <w:lang w:eastAsia="lv-LV"/>
              </w:rPr>
            </w:pPr>
            <w:r w:rsidRPr="00A37919">
              <w:rPr>
                <w:bCs/>
                <w:sz w:val="28"/>
                <w:szCs w:val="28"/>
                <w:lang w:eastAsia="lv-LV"/>
              </w:rPr>
              <w:t>i</w:t>
            </w:r>
            <w:r w:rsidR="00350B97" w:rsidRPr="00A37919">
              <w:rPr>
                <w:bCs/>
                <w:sz w:val="28"/>
                <w:szCs w:val="28"/>
                <w:lang w:eastAsia="lv-LV"/>
              </w:rPr>
              <w:t>zdevumi</w:t>
            </w:r>
            <w:r w:rsidRPr="00A37919">
              <w:rPr>
                <w:bCs/>
                <w:sz w:val="28"/>
                <w:szCs w:val="28"/>
                <w:lang w:eastAsia="lv-LV"/>
              </w:rPr>
              <w:t>:</w:t>
            </w:r>
            <w:r w:rsidR="00350B97" w:rsidRPr="00A37919">
              <w:rPr>
                <w:bCs/>
                <w:sz w:val="28"/>
                <w:szCs w:val="28"/>
                <w:lang w:eastAsia="lv-LV"/>
              </w:rPr>
              <w:t xml:space="preserve"> </w:t>
            </w:r>
            <w:r w:rsidR="005217E2" w:rsidRPr="00A37919">
              <w:rPr>
                <w:bCs/>
                <w:sz w:val="28"/>
                <w:szCs w:val="28"/>
                <w:lang w:eastAsia="lv-LV"/>
              </w:rPr>
              <w:t>2 735 482</w:t>
            </w:r>
            <w:r w:rsidR="00AC296A" w:rsidRPr="00A37919">
              <w:rPr>
                <w:bCs/>
                <w:sz w:val="28"/>
                <w:szCs w:val="28"/>
                <w:lang w:eastAsia="lv-LV"/>
              </w:rPr>
              <w:t xml:space="preserve"> lati t.sk.:</w:t>
            </w:r>
          </w:p>
          <w:p w:rsidR="00AC296A" w:rsidRPr="00A37919" w:rsidRDefault="00AC296A" w:rsidP="009E505E">
            <w:pPr>
              <w:pStyle w:val="NoSpacing"/>
              <w:jc w:val="both"/>
              <w:rPr>
                <w:bCs/>
                <w:sz w:val="28"/>
                <w:szCs w:val="28"/>
                <w:lang w:eastAsia="lv-LV"/>
              </w:rPr>
            </w:pPr>
            <w:r w:rsidRPr="00A37919">
              <w:rPr>
                <w:bCs/>
                <w:sz w:val="28"/>
                <w:szCs w:val="28"/>
                <w:lang w:eastAsia="lv-LV"/>
              </w:rPr>
              <w:lastRenderedPageBreak/>
              <w:t>Precēs un pakalpojumi (EKK 2000) 30 791 lati;</w:t>
            </w:r>
          </w:p>
          <w:p w:rsidR="00AC296A" w:rsidRPr="00A37919" w:rsidRDefault="00AC296A" w:rsidP="009E505E">
            <w:pPr>
              <w:pStyle w:val="NoSpacing"/>
              <w:jc w:val="both"/>
              <w:rPr>
                <w:bCs/>
                <w:sz w:val="28"/>
                <w:szCs w:val="28"/>
                <w:lang w:eastAsia="lv-LV"/>
              </w:rPr>
            </w:pPr>
            <w:r w:rsidRPr="00A37919">
              <w:rPr>
                <w:bCs/>
                <w:sz w:val="28"/>
                <w:szCs w:val="28"/>
                <w:lang w:eastAsia="lv-LV"/>
              </w:rPr>
              <w:t>Subsīdijas un dotācijas</w:t>
            </w:r>
            <w:r w:rsidR="004A58D9" w:rsidRPr="00A37919">
              <w:rPr>
                <w:bCs/>
                <w:sz w:val="28"/>
                <w:szCs w:val="28"/>
                <w:lang w:eastAsia="lv-LV"/>
              </w:rPr>
              <w:t xml:space="preserve"> (EKK 3000) </w:t>
            </w:r>
            <w:r w:rsidR="005217E2" w:rsidRPr="00A37919">
              <w:rPr>
                <w:bCs/>
                <w:sz w:val="28"/>
                <w:szCs w:val="28"/>
                <w:lang w:eastAsia="lv-LV"/>
              </w:rPr>
              <w:t>2 700 024</w:t>
            </w:r>
            <w:r w:rsidR="004A58D9" w:rsidRPr="00A37919">
              <w:rPr>
                <w:bCs/>
                <w:sz w:val="28"/>
                <w:szCs w:val="28"/>
                <w:lang w:eastAsia="lv-LV"/>
              </w:rPr>
              <w:t xml:space="preserve"> lati;</w:t>
            </w:r>
          </w:p>
          <w:p w:rsidR="004A58D9" w:rsidRPr="00A37919" w:rsidRDefault="004A58D9" w:rsidP="009E505E">
            <w:pPr>
              <w:pStyle w:val="NoSpacing"/>
              <w:jc w:val="both"/>
              <w:rPr>
                <w:bCs/>
                <w:sz w:val="28"/>
                <w:szCs w:val="28"/>
                <w:lang w:eastAsia="lv-LV"/>
              </w:rPr>
            </w:pPr>
            <w:r w:rsidRPr="00A37919">
              <w:rPr>
                <w:bCs/>
                <w:sz w:val="28"/>
                <w:szCs w:val="28"/>
                <w:lang w:eastAsia="lv-LV"/>
              </w:rPr>
              <w:t>Kapitālie izdevumi (EKK 5000) 4 667 lati.</w:t>
            </w:r>
          </w:p>
          <w:p w:rsidR="005217E2" w:rsidRPr="00A37919" w:rsidRDefault="005217E2" w:rsidP="00205761">
            <w:pPr>
              <w:spacing w:after="0" w:line="240" w:lineRule="auto"/>
              <w:jc w:val="both"/>
              <w:rPr>
                <w:rFonts w:ascii="Times New Roman" w:hAnsi="Times New Roman"/>
                <w:sz w:val="28"/>
                <w:szCs w:val="28"/>
                <w:lang w:val="lv-LV"/>
              </w:rPr>
            </w:pPr>
          </w:p>
          <w:p w:rsidR="00EE30ED" w:rsidRPr="00A37919" w:rsidRDefault="00B04A03" w:rsidP="00EE30ED">
            <w:pPr>
              <w:spacing w:after="0" w:line="240" w:lineRule="auto"/>
              <w:ind w:firstLine="252"/>
              <w:jc w:val="both"/>
              <w:rPr>
                <w:rFonts w:ascii="Times New Roman" w:hAnsi="Times New Roman"/>
                <w:sz w:val="28"/>
                <w:szCs w:val="28"/>
                <w:lang w:val="lv-LV"/>
              </w:rPr>
            </w:pPr>
            <w:r w:rsidRPr="00A37919">
              <w:rPr>
                <w:rFonts w:ascii="Times New Roman" w:hAnsi="Times New Roman"/>
                <w:sz w:val="28"/>
                <w:szCs w:val="28"/>
                <w:lang w:val="lv-LV"/>
              </w:rPr>
              <w:t xml:space="preserve">Atbilstoši </w:t>
            </w:r>
            <w:r w:rsidR="005217E2" w:rsidRPr="00A37919">
              <w:rPr>
                <w:rFonts w:ascii="Times New Roman" w:hAnsi="Times New Roman"/>
                <w:sz w:val="28"/>
                <w:szCs w:val="28"/>
                <w:lang w:val="lv-LV"/>
              </w:rPr>
              <w:t xml:space="preserve">2013.gada </w:t>
            </w:r>
            <w:r w:rsidRPr="00A37919">
              <w:rPr>
                <w:rFonts w:ascii="Times New Roman" w:hAnsi="Times New Roman"/>
                <w:sz w:val="28"/>
                <w:szCs w:val="28"/>
                <w:lang w:val="lv-LV"/>
              </w:rPr>
              <w:t xml:space="preserve">13.decembra Ministru kabineta rīkojumam Nr.628 Veselības ministrijas padotības iestādēm tika piešķirti 120 757 lati, tai skaitā </w:t>
            </w:r>
            <w:r w:rsidR="003C069D" w:rsidRPr="00A37919">
              <w:rPr>
                <w:rFonts w:ascii="Times New Roman" w:hAnsi="Times New Roman"/>
                <w:sz w:val="28"/>
                <w:szCs w:val="28"/>
                <w:lang w:val="lv-LV"/>
              </w:rPr>
              <w:t>NMPD</w:t>
            </w:r>
            <w:r w:rsidRPr="00A37919">
              <w:rPr>
                <w:rFonts w:ascii="Times New Roman" w:hAnsi="Times New Roman"/>
                <w:sz w:val="28"/>
                <w:szCs w:val="28"/>
                <w:lang w:val="lv-LV"/>
              </w:rPr>
              <w:t xml:space="preserve"> 91 577 lati un Valsts tiesu medicīniskās ekspertīzes centram 29 180 lati, lai nodrošinātu atlīdzības (vienreizējo prēmiju, samaksu par virsstundu darbu un piemaksu par nakts darbu) izmaksas </w:t>
            </w:r>
            <w:r w:rsidR="003C069D" w:rsidRPr="00A37919">
              <w:rPr>
                <w:rFonts w:ascii="Times New Roman" w:hAnsi="Times New Roman"/>
                <w:sz w:val="28"/>
                <w:szCs w:val="28"/>
                <w:lang w:val="lv-LV"/>
              </w:rPr>
              <w:t>NMPD</w:t>
            </w:r>
            <w:r w:rsidRPr="00A37919">
              <w:rPr>
                <w:rFonts w:ascii="Times New Roman" w:hAnsi="Times New Roman"/>
                <w:sz w:val="28"/>
                <w:szCs w:val="28"/>
                <w:lang w:val="lv-LV"/>
              </w:rPr>
              <w:t xml:space="preserve"> un Valsts tiesu medicīniskās ekspertīzes centra amatpersonām (darbiniekiem) saistībā ar traģēdiju Rīgā, Priedaines ielā 20.</w:t>
            </w:r>
          </w:p>
          <w:p w:rsidR="00ED62AD" w:rsidRPr="00A37919" w:rsidRDefault="00ED62AD" w:rsidP="00ED62AD">
            <w:pPr>
              <w:autoSpaceDE w:val="0"/>
              <w:autoSpaceDN w:val="0"/>
              <w:adjustRightInd w:val="0"/>
              <w:spacing w:after="0" w:line="240" w:lineRule="auto"/>
              <w:jc w:val="both"/>
              <w:rPr>
                <w:rFonts w:ascii="Times New Roman" w:hAnsi="Times New Roman"/>
                <w:sz w:val="28"/>
                <w:szCs w:val="28"/>
                <w:lang w:val="lv-LV"/>
              </w:rPr>
            </w:pPr>
          </w:p>
          <w:p w:rsidR="003A01E5" w:rsidRPr="00A37919" w:rsidRDefault="003A01E5" w:rsidP="00CB773E">
            <w:pPr>
              <w:autoSpaceDE w:val="0"/>
              <w:autoSpaceDN w:val="0"/>
              <w:adjustRightInd w:val="0"/>
              <w:spacing w:after="0" w:line="240" w:lineRule="auto"/>
              <w:ind w:firstLine="252"/>
              <w:jc w:val="both"/>
              <w:rPr>
                <w:sz w:val="28"/>
                <w:szCs w:val="28"/>
              </w:rPr>
            </w:pPr>
            <w:r w:rsidRPr="00A37919">
              <w:rPr>
                <w:rFonts w:ascii="Times New Roman" w:eastAsia="Times New Roman" w:hAnsi="Times New Roman"/>
                <w:bCs/>
                <w:sz w:val="28"/>
                <w:szCs w:val="28"/>
                <w:lang w:val="lv-LV" w:eastAsia="lv-LV"/>
              </w:rPr>
              <w:t xml:space="preserve">Rīkojuma </w:t>
            </w:r>
            <w:r w:rsidRPr="00A37919">
              <w:rPr>
                <w:rFonts w:ascii="Times New Roman" w:hAnsi="Times New Roman"/>
                <w:sz w:val="28"/>
                <w:szCs w:val="28"/>
                <w:lang w:val="lv-LV"/>
              </w:rPr>
              <w:t>projekts „Par finanšu līdzekļu piešķiršanu no valsts budžeta programmas „Līdzekļi neparedzētiem gadījumiem”” paredz piešķ</w:t>
            </w:r>
            <w:r w:rsidR="0090362E" w:rsidRPr="00A37919">
              <w:rPr>
                <w:rFonts w:ascii="Times New Roman" w:hAnsi="Times New Roman"/>
                <w:sz w:val="28"/>
                <w:szCs w:val="28"/>
                <w:lang w:val="lv-LV"/>
              </w:rPr>
              <w:t>irt Veselības ministrijai 5</w:t>
            </w:r>
            <w:r w:rsidR="00592229">
              <w:rPr>
                <w:rFonts w:ascii="Times New Roman" w:hAnsi="Times New Roman"/>
                <w:sz w:val="28"/>
                <w:szCs w:val="28"/>
                <w:lang w:val="lv-LV"/>
              </w:rPr>
              <w:t xml:space="preserve">664920 </w:t>
            </w:r>
            <w:r w:rsidRPr="00A37919">
              <w:rPr>
                <w:rFonts w:ascii="Times New Roman" w:hAnsi="Times New Roman"/>
                <w:sz w:val="28"/>
                <w:szCs w:val="28"/>
                <w:lang w:val="lv-LV"/>
              </w:rPr>
              <w:t>latus tai skaitā vienreizējiem maksājumiem ārstniecības iestādēm</w:t>
            </w:r>
            <w:r w:rsidR="00FB2CD7" w:rsidRPr="00A37919">
              <w:rPr>
                <w:rFonts w:ascii="Times New Roman" w:hAnsi="Times New Roman"/>
                <w:sz w:val="28"/>
                <w:szCs w:val="28"/>
                <w:lang w:val="lv-LV"/>
              </w:rPr>
              <w:t xml:space="preserve">, kuras sniedz stacionāros ārstniecības </w:t>
            </w:r>
            <w:r w:rsidR="00FB2CD7" w:rsidRPr="00592229">
              <w:rPr>
                <w:rFonts w:ascii="Times New Roman" w:hAnsi="Times New Roman"/>
                <w:sz w:val="28"/>
                <w:szCs w:val="28"/>
                <w:lang w:val="lv-LV"/>
              </w:rPr>
              <w:t xml:space="preserve">pakalpojumus, </w:t>
            </w:r>
            <w:r w:rsidRPr="00592229">
              <w:rPr>
                <w:rFonts w:ascii="Times New Roman" w:hAnsi="Times New Roman"/>
                <w:sz w:val="28"/>
                <w:szCs w:val="28"/>
                <w:lang w:val="lv-LV"/>
              </w:rPr>
              <w:t xml:space="preserve"> infrastruktūras uzturēšanas izdevumu defi</w:t>
            </w:r>
            <w:r w:rsidR="0090362E" w:rsidRPr="00592229">
              <w:rPr>
                <w:rFonts w:ascii="Times New Roman" w:hAnsi="Times New Roman"/>
                <w:sz w:val="28"/>
                <w:szCs w:val="28"/>
                <w:lang w:val="lv-LV"/>
              </w:rPr>
              <w:t xml:space="preserve">cīta segšanai 5 332 132 latus, </w:t>
            </w:r>
            <w:r w:rsidRPr="00592229">
              <w:rPr>
                <w:rFonts w:ascii="Times New Roman" w:hAnsi="Times New Roman"/>
                <w:sz w:val="28"/>
                <w:szCs w:val="28"/>
                <w:lang w:val="lv-LV"/>
              </w:rPr>
              <w:t xml:space="preserve">neatliekamās medicīniskās palīdzības transportlīdzekļu nomu un autovadītāju pakalpojuma nodrošināšanai </w:t>
            </w:r>
            <w:r w:rsidR="00592229" w:rsidRPr="00592229">
              <w:rPr>
                <w:rFonts w:ascii="Times New Roman" w:hAnsi="Times New Roman"/>
                <w:sz w:val="28"/>
                <w:szCs w:val="28"/>
                <w:lang w:val="lv-LV"/>
              </w:rPr>
              <w:t>332 788</w:t>
            </w:r>
            <w:r w:rsidRPr="00592229">
              <w:rPr>
                <w:rFonts w:ascii="Times New Roman" w:hAnsi="Times New Roman"/>
                <w:sz w:val="28"/>
                <w:szCs w:val="28"/>
                <w:lang w:val="lv-LV"/>
              </w:rPr>
              <w:t xml:space="preserve"> latus un individuālajiem aizsardzības līdzekļiem - darba apaviem ar purngala daļas aizsardzību Neatliekamās</w:t>
            </w:r>
            <w:r w:rsidRPr="00A37919">
              <w:rPr>
                <w:rFonts w:ascii="Times New Roman" w:hAnsi="Times New Roman"/>
                <w:sz w:val="28"/>
                <w:szCs w:val="28"/>
                <w:lang w:val="lv-LV"/>
              </w:rPr>
              <w:t xml:space="preserve"> medicīniskās palīdzības dienesta ārstniecības personām 14 171 latus.</w:t>
            </w:r>
          </w:p>
          <w:p w:rsidR="003C069D" w:rsidRPr="00A37919" w:rsidRDefault="003C069D" w:rsidP="00CB773E">
            <w:pPr>
              <w:autoSpaceDE w:val="0"/>
              <w:autoSpaceDN w:val="0"/>
              <w:adjustRightInd w:val="0"/>
              <w:spacing w:after="0" w:line="240" w:lineRule="auto"/>
              <w:ind w:firstLine="252"/>
              <w:jc w:val="both"/>
              <w:rPr>
                <w:sz w:val="28"/>
                <w:szCs w:val="28"/>
              </w:rPr>
            </w:pPr>
            <w:r w:rsidRPr="00A37919">
              <w:rPr>
                <w:rFonts w:ascii="Times New Roman" w:hAnsi="Times New Roman"/>
                <w:sz w:val="28"/>
                <w:szCs w:val="28"/>
                <w:lang w:val="lv-LV"/>
              </w:rPr>
              <w:t>Sadalījumā pa Veselības ministrijas padotības iestādēm papildus nepieciešams finansējums 2013.gadā</w:t>
            </w:r>
            <w:r w:rsidR="00C70CAB" w:rsidRPr="00A37919">
              <w:rPr>
                <w:rFonts w:ascii="Times New Roman" w:hAnsi="Times New Roman"/>
                <w:sz w:val="28"/>
                <w:szCs w:val="28"/>
                <w:lang w:val="lv-LV"/>
              </w:rPr>
              <w:t xml:space="preserve"> 5</w:t>
            </w:r>
            <w:r w:rsidR="00592229">
              <w:rPr>
                <w:rFonts w:ascii="Times New Roman" w:hAnsi="Times New Roman"/>
                <w:sz w:val="28"/>
                <w:szCs w:val="28"/>
                <w:lang w:val="lv-LV"/>
              </w:rPr>
              <w:t> 664 920</w:t>
            </w:r>
            <w:r w:rsidR="00C70CAB" w:rsidRPr="00A37919">
              <w:rPr>
                <w:rFonts w:ascii="Times New Roman" w:hAnsi="Times New Roman"/>
                <w:sz w:val="28"/>
                <w:szCs w:val="28"/>
                <w:lang w:val="lv-LV"/>
              </w:rPr>
              <w:t xml:space="preserve"> lati t.sk.</w:t>
            </w:r>
            <w:r w:rsidRPr="00A37919">
              <w:rPr>
                <w:rFonts w:ascii="Times New Roman" w:hAnsi="Times New Roman"/>
                <w:sz w:val="28"/>
                <w:szCs w:val="28"/>
                <w:lang w:val="lv-LV"/>
              </w:rPr>
              <w:t>:</w:t>
            </w:r>
          </w:p>
          <w:p w:rsidR="003C069D" w:rsidRPr="00A37919" w:rsidRDefault="003C069D" w:rsidP="003C069D">
            <w:pPr>
              <w:autoSpaceDE w:val="0"/>
              <w:autoSpaceDN w:val="0"/>
              <w:adjustRightInd w:val="0"/>
              <w:spacing w:after="0" w:line="240" w:lineRule="auto"/>
              <w:jc w:val="both"/>
              <w:rPr>
                <w:rFonts w:ascii="Times New Roman" w:hAnsi="Times New Roman"/>
                <w:sz w:val="28"/>
                <w:szCs w:val="28"/>
                <w:lang w:val="lv-LV"/>
              </w:rPr>
            </w:pPr>
            <w:r w:rsidRPr="00A37919">
              <w:rPr>
                <w:rFonts w:ascii="Times New Roman" w:hAnsi="Times New Roman"/>
                <w:sz w:val="28"/>
                <w:szCs w:val="28"/>
                <w:lang w:val="lv-LV"/>
              </w:rPr>
              <w:t>NVD – 5 332 132 lati (EKK 3000);</w:t>
            </w:r>
          </w:p>
          <w:p w:rsidR="003C069D" w:rsidRPr="00A37919" w:rsidRDefault="003C069D" w:rsidP="00592229">
            <w:pPr>
              <w:autoSpaceDE w:val="0"/>
              <w:autoSpaceDN w:val="0"/>
              <w:adjustRightInd w:val="0"/>
              <w:spacing w:after="0" w:line="240" w:lineRule="auto"/>
              <w:jc w:val="both"/>
              <w:rPr>
                <w:rFonts w:ascii="Times New Roman" w:hAnsi="Times New Roman"/>
                <w:sz w:val="28"/>
                <w:szCs w:val="28"/>
                <w:lang w:val="lv-LV"/>
              </w:rPr>
            </w:pPr>
            <w:r w:rsidRPr="00A37919">
              <w:rPr>
                <w:rFonts w:ascii="Times New Roman" w:hAnsi="Times New Roman"/>
                <w:sz w:val="28"/>
                <w:szCs w:val="28"/>
                <w:lang w:val="lv-LV"/>
              </w:rPr>
              <w:t xml:space="preserve">NMPD – </w:t>
            </w:r>
            <w:r w:rsidR="00592229">
              <w:rPr>
                <w:rFonts w:ascii="Times New Roman" w:hAnsi="Times New Roman"/>
                <w:sz w:val="28"/>
                <w:szCs w:val="28"/>
                <w:lang w:val="lv-LV"/>
              </w:rPr>
              <w:t>332 788</w:t>
            </w:r>
            <w:r w:rsidRPr="00A37919">
              <w:rPr>
                <w:rFonts w:ascii="Times New Roman" w:hAnsi="Times New Roman"/>
                <w:sz w:val="28"/>
                <w:szCs w:val="28"/>
                <w:lang w:val="lv-LV"/>
              </w:rPr>
              <w:t xml:space="preserve"> lati (EKK 2000).</w:t>
            </w:r>
            <w:r w:rsidR="00521E84" w:rsidRPr="00A37919">
              <w:rPr>
                <w:rFonts w:ascii="Times New Roman" w:hAnsi="Times New Roman"/>
                <w:sz w:val="28"/>
                <w:szCs w:val="28"/>
                <w:lang w:val="lv-LV"/>
              </w:rPr>
              <w:t xml:space="preserve"> </w:t>
            </w:r>
          </w:p>
        </w:tc>
      </w:tr>
      <w:tr w:rsidR="00350B97" w:rsidRPr="00A37919" w:rsidTr="00350B97">
        <w:trPr>
          <w:trHeight w:val="617"/>
        </w:trPr>
        <w:tc>
          <w:tcPr>
            <w:tcW w:w="1715" w:type="pct"/>
            <w:shd w:val="clear" w:color="auto" w:fill="auto"/>
          </w:tcPr>
          <w:p w:rsidR="00350B97" w:rsidRPr="00A37919" w:rsidRDefault="00350B97" w:rsidP="0084528E">
            <w:pPr>
              <w:pStyle w:val="NormalWeb"/>
              <w:spacing w:before="0" w:beforeAutospacing="0" w:after="0" w:afterAutospacing="0"/>
              <w:rPr>
                <w:sz w:val="28"/>
                <w:szCs w:val="28"/>
              </w:rPr>
            </w:pPr>
            <w:r w:rsidRPr="00A37919">
              <w:rPr>
                <w:sz w:val="28"/>
                <w:szCs w:val="28"/>
              </w:rPr>
              <w:lastRenderedPageBreak/>
              <w:t>6.1. detalizēts ieņēmumu aprēķins</w:t>
            </w:r>
          </w:p>
          <w:p w:rsidR="00350B97" w:rsidRPr="00A37919" w:rsidRDefault="00350B97" w:rsidP="0084528E">
            <w:pPr>
              <w:pStyle w:val="NormalWeb"/>
              <w:rPr>
                <w:sz w:val="28"/>
                <w:szCs w:val="28"/>
              </w:rPr>
            </w:pPr>
            <w:r w:rsidRPr="00A37919">
              <w:rPr>
                <w:sz w:val="28"/>
                <w:szCs w:val="28"/>
              </w:rPr>
              <w:t>6.2. detalizēts izdevumu aprēķins</w:t>
            </w:r>
          </w:p>
        </w:tc>
        <w:tc>
          <w:tcPr>
            <w:tcW w:w="3285" w:type="pct"/>
            <w:gridSpan w:val="5"/>
            <w:vMerge/>
            <w:vAlign w:val="center"/>
          </w:tcPr>
          <w:p w:rsidR="00350B97" w:rsidRPr="00A37919" w:rsidRDefault="00350B97" w:rsidP="0084528E">
            <w:pPr>
              <w:spacing w:after="0" w:line="240" w:lineRule="auto"/>
              <w:rPr>
                <w:rFonts w:ascii="Times New Roman" w:hAnsi="Times New Roman"/>
                <w:sz w:val="28"/>
                <w:szCs w:val="28"/>
                <w:lang w:val="lv-LV"/>
              </w:rPr>
            </w:pPr>
          </w:p>
        </w:tc>
      </w:tr>
      <w:tr w:rsidR="0022704F" w:rsidRPr="00A37919" w:rsidTr="00A137A1">
        <w:tc>
          <w:tcPr>
            <w:tcW w:w="1715" w:type="pct"/>
          </w:tcPr>
          <w:p w:rsidR="0022704F" w:rsidRPr="00A37919" w:rsidRDefault="0022704F" w:rsidP="0084528E">
            <w:pPr>
              <w:pStyle w:val="NormalWeb"/>
              <w:spacing w:before="0" w:beforeAutospacing="0" w:after="0" w:afterAutospacing="0"/>
              <w:rPr>
                <w:sz w:val="28"/>
                <w:szCs w:val="28"/>
              </w:rPr>
            </w:pPr>
            <w:r w:rsidRPr="00A37919">
              <w:rPr>
                <w:sz w:val="28"/>
                <w:szCs w:val="28"/>
              </w:rPr>
              <w:lastRenderedPageBreak/>
              <w:t>7. Cita informācija</w:t>
            </w:r>
          </w:p>
        </w:tc>
        <w:tc>
          <w:tcPr>
            <w:tcW w:w="3285" w:type="pct"/>
            <w:gridSpan w:val="5"/>
          </w:tcPr>
          <w:p w:rsidR="0022704F" w:rsidRPr="00A37919" w:rsidRDefault="0022704F" w:rsidP="00C130FE">
            <w:pPr>
              <w:spacing w:before="100" w:beforeAutospacing="1" w:after="100" w:afterAutospacing="1"/>
              <w:jc w:val="both"/>
              <w:rPr>
                <w:rFonts w:ascii="Times New Roman" w:hAnsi="Times New Roman"/>
                <w:sz w:val="28"/>
                <w:szCs w:val="28"/>
                <w:lang w:val="lv-LV"/>
              </w:rPr>
            </w:pPr>
            <w:r w:rsidRPr="00A37919">
              <w:rPr>
                <w:sz w:val="28"/>
                <w:szCs w:val="28"/>
                <w:lang w:val="lv-LV"/>
              </w:rPr>
              <w:t xml:space="preserve">   </w:t>
            </w:r>
            <w:r w:rsidR="00C130FE" w:rsidRPr="00A37919">
              <w:rPr>
                <w:rFonts w:ascii="Times New Roman" w:hAnsi="Times New Roman"/>
                <w:sz w:val="28"/>
                <w:szCs w:val="28"/>
                <w:lang w:val="lv-LV"/>
              </w:rPr>
              <w:t>Izdevumi tiks veikti</w:t>
            </w:r>
            <w:r w:rsidR="00205761" w:rsidRPr="00A37919">
              <w:rPr>
                <w:rFonts w:ascii="Times New Roman" w:hAnsi="Times New Roman"/>
                <w:sz w:val="28"/>
                <w:szCs w:val="28"/>
                <w:lang w:val="lv-LV"/>
              </w:rPr>
              <w:t xml:space="preserve"> </w:t>
            </w:r>
            <w:r w:rsidR="00C130FE" w:rsidRPr="00A37919">
              <w:rPr>
                <w:rFonts w:ascii="Times New Roman" w:eastAsia="Times New Roman" w:hAnsi="Times New Roman"/>
                <w:bCs/>
                <w:sz w:val="28"/>
                <w:szCs w:val="28"/>
                <w:lang w:val="lv-LV" w:eastAsia="lv-LV"/>
              </w:rPr>
              <w:t xml:space="preserve">Veselības </w:t>
            </w:r>
            <w:r w:rsidR="00C130FE" w:rsidRPr="00A37919">
              <w:rPr>
                <w:rFonts w:ascii="Times New Roman" w:hAnsi="Times New Roman"/>
                <w:bCs/>
                <w:sz w:val="28"/>
                <w:szCs w:val="28"/>
                <w:lang w:val="lv-LV" w:eastAsia="lv-LV"/>
              </w:rPr>
              <w:t xml:space="preserve">ministrijas budžeta </w:t>
            </w:r>
            <w:r w:rsidR="00C130FE" w:rsidRPr="00A37919">
              <w:rPr>
                <w:rFonts w:ascii="Times New Roman" w:hAnsi="Times New Roman"/>
                <w:sz w:val="28"/>
                <w:szCs w:val="28"/>
                <w:lang w:val="lv-LV"/>
              </w:rPr>
              <w:t xml:space="preserve">programmas </w:t>
            </w:r>
            <w:r w:rsidR="00A6266C" w:rsidRPr="00A37919">
              <w:rPr>
                <w:rFonts w:ascii="Times New Roman" w:hAnsi="Times New Roman"/>
                <w:sz w:val="28"/>
                <w:szCs w:val="28"/>
                <w:lang w:val="lv-LV"/>
              </w:rPr>
              <w:t>99.00.00 „Līdzekļu neparedzēt</w:t>
            </w:r>
            <w:r w:rsidR="00C130FE" w:rsidRPr="00A37919">
              <w:rPr>
                <w:rFonts w:ascii="Times New Roman" w:hAnsi="Times New Roman"/>
                <w:sz w:val="28"/>
                <w:szCs w:val="28"/>
                <w:lang w:val="lv-LV"/>
              </w:rPr>
              <w:t>iem gadījumiem izlietojums” ietvaros.</w:t>
            </w:r>
          </w:p>
        </w:tc>
      </w:tr>
    </w:tbl>
    <w:p w:rsidR="00817EEE" w:rsidRPr="00A37919" w:rsidRDefault="00817EEE" w:rsidP="00C97F6B">
      <w:pPr>
        <w:spacing w:after="0" w:line="240" w:lineRule="auto"/>
        <w:rPr>
          <w:rFonts w:ascii="Times New Roman" w:hAnsi="Times New Roman"/>
          <w:sz w:val="28"/>
          <w:szCs w:val="28"/>
          <w:highlight w:val="yellow"/>
          <w:lang w:val="lv-LV"/>
        </w:rPr>
      </w:pPr>
    </w:p>
    <w:p w:rsidR="00D12229" w:rsidRPr="00A37919" w:rsidRDefault="00C91A14" w:rsidP="00817EEE">
      <w:pPr>
        <w:spacing w:after="0" w:line="240" w:lineRule="auto"/>
        <w:jc w:val="center"/>
        <w:rPr>
          <w:rFonts w:ascii="Times New Roman" w:eastAsia="Times New Roman" w:hAnsi="Times New Roman"/>
          <w:i/>
          <w:sz w:val="28"/>
          <w:szCs w:val="28"/>
          <w:lang w:val="lv-LV" w:eastAsia="lv-LV"/>
        </w:rPr>
      </w:pPr>
      <w:r w:rsidRPr="00A37919">
        <w:rPr>
          <w:rFonts w:ascii="Times New Roman" w:hAnsi="Times New Roman"/>
          <w:sz w:val="28"/>
          <w:szCs w:val="28"/>
          <w:lang w:val="lv-LV"/>
        </w:rPr>
        <w:t>Anotācijas II</w:t>
      </w:r>
      <w:r w:rsidR="0084528E" w:rsidRPr="00A37919">
        <w:rPr>
          <w:rFonts w:ascii="Times New Roman" w:hAnsi="Times New Roman"/>
          <w:sz w:val="28"/>
          <w:szCs w:val="28"/>
          <w:lang w:val="lv-LV"/>
        </w:rPr>
        <w:t>, IV</w:t>
      </w:r>
      <w:r w:rsidR="00D12229" w:rsidRPr="00A37919">
        <w:rPr>
          <w:rFonts w:ascii="Times New Roman" w:hAnsi="Times New Roman"/>
          <w:sz w:val="28"/>
          <w:szCs w:val="28"/>
          <w:lang w:val="lv-LV"/>
        </w:rPr>
        <w:t xml:space="preserve"> – VI</w:t>
      </w:r>
      <w:r w:rsidRPr="00A37919">
        <w:rPr>
          <w:rFonts w:ascii="Times New Roman" w:hAnsi="Times New Roman"/>
          <w:sz w:val="28"/>
          <w:szCs w:val="28"/>
          <w:lang w:val="lv-LV"/>
        </w:rPr>
        <w:t xml:space="preserve"> sadaļa – </w:t>
      </w:r>
      <w:r w:rsidR="00D0779A" w:rsidRPr="00A37919">
        <w:rPr>
          <w:rFonts w:ascii="Times New Roman" w:eastAsia="Times New Roman" w:hAnsi="Times New Roman"/>
          <w:sz w:val="28"/>
          <w:szCs w:val="28"/>
          <w:lang w:val="lv-LV" w:eastAsia="lv-LV"/>
        </w:rPr>
        <w:t>projekts šīs jomas neskar</w:t>
      </w:r>
      <w:r w:rsidR="00D0779A" w:rsidRPr="00A37919">
        <w:rPr>
          <w:rFonts w:ascii="Times New Roman" w:eastAsia="Times New Roman" w:hAnsi="Times New Roman"/>
          <w:i/>
          <w:sz w:val="28"/>
          <w:szCs w:val="28"/>
          <w:lang w:val="lv-LV" w:eastAsia="lv-LV"/>
        </w:rPr>
        <w:t>.</w:t>
      </w:r>
    </w:p>
    <w:p w:rsidR="00817EEE" w:rsidRPr="00A37919" w:rsidRDefault="00817EEE" w:rsidP="00817EEE">
      <w:pPr>
        <w:spacing w:after="0" w:line="240" w:lineRule="auto"/>
        <w:jc w:val="center"/>
        <w:rPr>
          <w:rFonts w:ascii="Times New Roman" w:eastAsia="Times New Roman" w:hAnsi="Times New Roman"/>
          <w:i/>
          <w:sz w:val="28"/>
          <w:szCs w:val="28"/>
          <w:highlight w:val="yellow"/>
          <w:lang w:val="lv-LV" w:eastAsia="lv-LV"/>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D12229" w:rsidRPr="00A37919" w:rsidTr="00D12229">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jc w:val="center"/>
              <w:rPr>
                <w:rFonts w:ascii="Times New Roman" w:eastAsia="Times New Roman" w:hAnsi="Times New Roman"/>
                <w:sz w:val="24"/>
                <w:szCs w:val="24"/>
                <w:lang w:val="lv-LV" w:eastAsia="lv-LV"/>
              </w:rPr>
            </w:pPr>
            <w:r w:rsidRPr="00A37919">
              <w:rPr>
                <w:rFonts w:ascii="Times New Roman" w:eastAsia="Times New Roman" w:hAnsi="Times New Roman"/>
                <w:b/>
                <w:bCs/>
                <w:sz w:val="24"/>
                <w:szCs w:val="24"/>
                <w:lang w:val="lv-LV" w:eastAsia="lv-LV"/>
              </w:rPr>
              <w:t> VII. Tiesību akta projekta izpildes nodrošināšana un tās ietekme uz institūcijām</w:t>
            </w:r>
          </w:p>
        </w:tc>
      </w:tr>
      <w:tr w:rsidR="00D12229" w:rsidRPr="00A37919" w:rsidTr="00D12229">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rPr>
                <w:rFonts w:ascii="Times New Roman" w:eastAsia="Times New Roman" w:hAnsi="Times New Roman"/>
                <w:sz w:val="28"/>
                <w:szCs w:val="28"/>
                <w:highlight w:val="yellow"/>
                <w:lang w:val="lv-LV" w:eastAsia="lv-LV"/>
              </w:rPr>
            </w:pPr>
            <w:r w:rsidRPr="00A37919">
              <w:rPr>
                <w:rFonts w:ascii="Times New Roman" w:eastAsia="Times New Roman" w:hAnsi="Times New Roman"/>
                <w:sz w:val="28"/>
                <w:szCs w:val="28"/>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D12229" w:rsidRPr="00A37919" w:rsidRDefault="00D12229" w:rsidP="007068BB">
            <w:pPr>
              <w:spacing w:before="75" w:after="75" w:line="240" w:lineRule="auto"/>
              <w:jc w:val="both"/>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xml:space="preserve">Ministru kabineta rīkojuma projekta izpildi nodrošinās </w:t>
            </w:r>
            <w:r w:rsidR="007068BB" w:rsidRPr="00A37919">
              <w:rPr>
                <w:rFonts w:ascii="Times New Roman" w:eastAsia="Times New Roman" w:hAnsi="Times New Roman"/>
                <w:sz w:val="28"/>
                <w:szCs w:val="28"/>
                <w:lang w:val="lv-LV" w:eastAsia="lv-LV"/>
              </w:rPr>
              <w:t>NVD un NMPD</w:t>
            </w:r>
            <w:r w:rsidR="0000681E" w:rsidRPr="00A37919">
              <w:rPr>
                <w:rFonts w:ascii="Times New Roman" w:eastAsia="Times New Roman" w:hAnsi="Times New Roman"/>
                <w:sz w:val="28"/>
                <w:szCs w:val="28"/>
                <w:lang w:val="lv-LV" w:eastAsia="lv-LV"/>
              </w:rPr>
              <w:t>.</w:t>
            </w:r>
          </w:p>
        </w:tc>
      </w:tr>
      <w:tr w:rsidR="00D12229" w:rsidRPr="00A37919" w:rsidTr="00D12229">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D12229" w:rsidRPr="00A37919" w:rsidRDefault="007068BB" w:rsidP="001F5337">
            <w:pPr>
              <w:jc w:val="both"/>
              <w:rPr>
                <w:rFonts w:ascii="Times New Roman" w:hAnsi="Times New Roman"/>
                <w:sz w:val="28"/>
                <w:szCs w:val="28"/>
                <w:lang w:val="lv-LV"/>
              </w:rPr>
            </w:pPr>
            <w:r w:rsidRPr="00A37919">
              <w:rPr>
                <w:rFonts w:ascii="Times New Roman" w:eastAsia="Times New Roman" w:hAnsi="Times New Roman"/>
                <w:sz w:val="28"/>
                <w:szCs w:val="28"/>
                <w:lang w:val="lv-LV" w:eastAsia="lv-LV"/>
              </w:rPr>
              <w:t>NVD un NMPD</w:t>
            </w:r>
            <w:r w:rsidR="001F5337" w:rsidRPr="00A37919">
              <w:rPr>
                <w:rFonts w:ascii="Times New Roman" w:eastAsia="Times New Roman" w:hAnsi="Times New Roman"/>
                <w:sz w:val="28"/>
                <w:szCs w:val="28"/>
                <w:lang w:val="lv-LV" w:eastAsia="lv-LV"/>
              </w:rPr>
              <w:t xml:space="preserve"> </w:t>
            </w:r>
            <w:r w:rsidR="0000681E" w:rsidRPr="00A37919">
              <w:rPr>
                <w:rFonts w:ascii="Times New Roman" w:eastAsia="Times New Roman" w:hAnsi="Times New Roman"/>
                <w:sz w:val="28"/>
                <w:szCs w:val="28"/>
                <w:lang w:val="lv-LV" w:eastAsia="lv-LV"/>
              </w:rPr>
              <w:t xml:space="preserve">Ministru kabineta rīkojuma projekta </w:t>
            </w:r>
            <w:r w:rsidR="0000681E" w:rsidRPr="00A37919">
              <w:rPr>
                <w:rFonts w:ascii="Times New Roman" w:hAnsi="Times New Roman"/>
                <w:sz w:val="28"/>
                <w:szCs w:val="28"/>
                <w:lang w:val="lv-LV" w:eastAsia="lv-LV"/>
              </w:rPr>
              <w:t>izpildi nodrošinās esošo funkciju ietvaros.</w:t>
            </w:r>
          </w:p>
        </w:tc>
      </w:tr>
      <w:tr w:rsidR="00D12229" w:rsidRPr="00A37919" w:rsidTr="00D12229">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Projekta izpildes ietekme uz pārvaldes institucionālo struktūru.</w:t>
            </w:r>
          </w:p>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hAnsi="Times New Roman"/>
                <w:sz w:val="28"/>
                <w:szCs w:val="28"/>
                <w:lang w:val="lv-LV"/>
              </w:rPr>
              <w:t>Projekts šo jomu neskar.</w:t>
            </w:r>
          </w:p>
        </w:tc>
      </w:tr>
      <w:tr w:rsidR="00D12229" w:rsidRPr="00A37919" w:rsidTr="00D12229">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4.</w:t>
            </w:r>
          </w:p>
        </w:tc>
        <w:tc>
          <w:tcPr>
            <w:tcW w:w="2954" w:type="dxa"/>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Projekta izpildes ietekme uz pārvaldes institucionālo struktūru.</w:t>
            </w:r>
          </w:p>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hAnsi="Times New Roman"/>
                <w:sz w:val="28"/>
                <w:szCs w:val="28"/>
                <w:lang w:val="lv-LV"/>
              </w:rPr>
              <w:t>Projekts šo jomu neskar.</w:t>
            </w:r>
          </w:p>
        </w:tc>
      </w:tr>
      <w:tr w:rsidR="00D12229" w:rsidRPr="00A37919" w:rsidTr="00D12229">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Projekta izpildes ietekme uz pārvaldes institucionālo struktūru.</w:t>
            </w:r>
          </w:p>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hAnsi="Times New Roman"/>
                <w:sz w:val="28"/>
                <w:szCs w:val="28"/>
                <w:lang w:val="lv-LV"/>
              </w:rPr>
              <w:t>Projekts šo jomu neskar.</w:t>
            </w:r>
          </w:p>
        </w:tc>
      </w:tr>
      <w:tr w:rsidR="00D12229" w:rsidRPr="00A37919" w:rsidTr="00D12229">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D12229" w:rsidRPr="00A37919" w:rsidRDefault="00D12229" w:rsidP="00D12229">
            <w:pPr>
              <w:spacing w:before="75" w:after="75" w:line="240" w:lineRule="auto"/>
              <w:rPr>
                <w:rFonts w:ascii="Times New Roman" w:eastAsia="Times New Roman" w:hAnsi="Times New Roman"/>
                <w:sz w:val="28"/>
                <w:szCs w:val="28"/>
                <w:lang w:val="lv-LV" w:eastAsia="lv-LV"/>
              </w:rPr>
            </w:pPr>
            <w:r w:rsidRPr="00A37919">
              <w:rPr>
                <w:rFonts w:ascii="Times New Roman" w:eastAsia="Times New Roman" w:hAnsi="Times New Roman"/>
                <w:sz w:val="28"/>
                <w:szCs w:val="28"/>
                <w:lang w:val="lv-LV" w:eastAsia="lv-LV"/>
              </w:rPr>
              <w:t> Nav</w:t>
            </w:r>
          </w:p>
        </w:tc>
      </w:tr>
    </w:tbl>
    <w:p w:rsidR="006C1AE2" w:rsidRPr="00A37919" w:rsidRDefault="006C1AE2" w:rsidP="00C97F6B">
      <w:pPr>
        <w:rPr>
          <w:rFonts w:ascii="Times New Roman" w:hAnsi="Times New Roman"/>
          <w:sz w:val="28"/>
          <w:szCs w:val="28"/>
          <w:lang w:val="lv-LV"/>
        </w:rPr>
      </w:pPr>
    </w:p>
    <w:p w:rsidR="00F52674" w:rsidRPr="00A37919" w:rsidRDefault="00F52674" w:rsidP="00F52674">
      <w:pPr>
        <w:autoSpaceDE w:val="0"/>
        <w:autoSpaceDN w:val="0"/>
        <w:adjustRightInd w:val="0"/>
        <w:spacing w:after="0"/>
        <w:rPr>
          <w:rFonts w:ascii="Times New Roman" w:hAnsi="Times New Roman"/>
          <w:sz w:val="28"/>
          <w:szCs w:val="28"/>
          <w:lang w:val="lv-LV"/>
        </w:rPr>
      </w:pPr>
      <w:r w:rsidRPr="00A37919">
        <w:rPr>
          <w:rFonts w:ascii="Times New Roman" w:hAnsi="Times New Roman"/>
          <w:sz w:val="28"/>
          <w:szCs w:val="28"/>
          <w:lang w:val="lv-LV"/>
        </w:rPr>
        <w:t>Veselības ministra vietā</w:t>
      </w:r>
    </w:p>
    <w:p w:rsidR="00F52674" w:rsidRPr="00A37919" w:rsidRDefault="00F52674" w:rsidP="00F52674">
      <w:pPr>
        <w:autoSpaceDE w:val="0"/>
        <w:autoSpaceDN w:val="0"/>
        <w:adjustRightInd w:val="0"/>
        <w:spacing w:after="0"/>
        <w:rPr>
          <w:rFonts w:ascii="Times New Roman" w:hAnsi="Times New Roman"/>
          <w:sz w:val="28"/>
          <w:szCs w:val="28"/>
          <w:lang w:val="lv-LV"/>
        </w:rPr>
      </w:pPr>
      <w:r w:rsidRPr="00A37919">
        <w:rPr>
          <w:rFonts w:ascii="Times New Roman" w:hAnsi="Times New Roman"/>
          <w:sz w:val="28"/>
          <w:szCs w:val="28"/>
          <w:lang w:val="lv-LV"/>
        </w:rPr>
        <w:t>kultūras ministre</w:t>
      </w:r>
      <w:r w:rsidRPr="00A37919">
        <w:rPr>
          <w:rFonts w:ascii="Times New Roman" w:hAnsi="Times New Roman"/>
          <w:sz w:val="28"/>
          <w:szCs w:val="28"/>
          <w:lang w:val="lv-LV"/>
        </w:rPr>
        <w:tab/>
      </w:r>
      <w:r w:rsidRPr="00A37919">
        <w:rPr>
          <w:rFonts w:ascii="Times New Roman" w:hAnsi="Times New Roman"/>
          <w:sz w:val="28"/>
          <w:szCs w:val="28"/>
          <w:lang w:val="lv-LV"/>
        </w:rPr>
        <w:tab/>
      </w:r>
      <w:r w:rsidRPr="00A37919">
        <w:rPr>
          <w:rFonts w:ascii="Times New Roman" w:hAnsi="Times New Roman"/>
          <w:sz w:val="28"/>
          <w:szCs w:val="28"/>
          <w:lang w:val="lv-LV"/>
        </w:rPr>
        <w:tab/>
        <w:t xml:space="preserve">                                                   Dace </w:t>
      </w:r>
      <w:proofErr w:type="spellStart"/>
      <w:r w:rsidRPr="00A37919">
        <w:rPr>
          <w:rFonts w:ascii="Times New Roman" w:hAnsi="Times New Roman"/>
          <w:sz w:val="28"/>
          <w:szCs w:val="28"/>
          <w:lang w:val="lv-LV"/>
        </w:rPr>
        <w:t>Melbārde</w:t>
      </w:r>
      <w:proofErr w:type="spellEnd"/>
    </w:p>
    <w:p w:rsidR="00F52674" w:rsidRPr="00A37919" w:rsidRDefault="00F52674" w:rsidP="00F96C73">
      <w:pPr>
        <w:pStyle w:val="NormalWeb"/>
        <w:spacing w:before="0" w:beforeAutospacing="0" w:after="0" w:afterAutospacing="0"/>
      </w:pPr>
    </w:p>
    <w:p w:rsidR="00F96C73" w:rsidRPr="00F96C73" w:rsidRDefault="00A37919" w:rsidP="00F96C73">
      <w:pPr>
        <w:pStyle w:val="NormalWeb"/>
        <w:spacing w:before="0" w:beforeAutospacing="0" w:after="0" w:afterAutospacing="0"/>
      </w:pPr>
      <w:r>
        <w:t>17</w:t>
      </w:r>
      <w:r w:rsidR="00F96C73" w:rsidRPr="00F96C73">
        <w:t>.1</w:t>
      </w:r>
      <w:r w:rsidR="00F52674">
        <w:t>2</w:t>
      </w:r>
      <w:r w:rsidR="00392674">
        <w:t>.2013</w:t>
      </w:r>
      <w:r w:rsidR="00BB685E">
        <w:t xml:space="preserve">   </w:t>
      </w:r>
      <w:r w:rsidR="00592229">
        <w:t>10:09</w:t>
      </w:r>
    </w:p>
    <w:p w:rsidR="00F96C73" w:rsidRPr="00F96C73" w:rsidRDefault="00392674" w:rsidP="00F96C73">
      <w:pPr>
        <w:pStyle w:val="NormalWeb"/>
        <w:spacing w:before="0" w:beforeAutospacing="0" w:after="0" w:afterAutospacing="0"/>
      </w:pPr>
      <w:r>
        <w:t xml:space="preserve">1 </w:t>
      </w:r>
      <w:r w:rsidR="00592229">
        <w:t>541</w:t>
      </w:r>
    </w:p>
    <w:p w:rsidR="00F96C73" w:rsidRPr="00F96C73" w:rsidRDefault="00F96C73" w:rsidP="00F96C73">
      <w:pPr>
        <w:pStyle w:val="NormalWeb"/>
        <w:spacing w:before="0" w:beforeAutospacing="0" w:after="0" w:afterAutospacing="0"/>
      </w:pPr>
      <w:proofErr w:type="spellStart"/>
      <w:r w:rsidRPr="00F96C73">
        <w:t>S.Dreimane</w:t>
      </w:r>
      <w:proofErr w:type="spellEnd"/>
    </w:p>
    <w:p w:rsidR="00F96C73" w:rsidRPr="00F96C73" w:rsidRDefault="00F96C73" w:rsidP="00F96C73">
      <w:pPr>
        <w:pStyle w:val="NormalWeb"/>
        <w:spacing w:before="0" w:beforeAutospacing="0" w:after="0" w:afterAutospacing="0"/>
      </w:pPr>
      <w:r w:rsidRPr="00F96C73">
        <w:t xml:space="preserve">67876147, </w:t>
      </w:r>
      <w:hyperlink r:id="rId8" w:history="1">
        <w:r w:rsidRPr="00F96C73">
          <w:t>Sandra.Dreimane@vm.gov.lv</w:t>
        </w:r>
      </w:hyperlink>
    </w:p>
    <w:p w:rsidR="00430A99" w:rsidRPr="006C1AE2" w:rsidRDefault="00430A99" w:rsidP="00EA1B26">
      <w:pPr>
        <w:spacing w:after="0" w:line="240" w:lineRule="auto"/>
        <w:jc w:val="both"/>
        <w:rPr>
          <w:rFonts w:ascii="Times New Roman" w:hAnsi="Times New Roman"/>
          <w:sz w:val="24"/>
          <w:szCs w:val="24"/>
          <w:lang w:val="lv-LV"/>
        </w:rPr>
      </w:pPr>
    </w:p>
    <w:sectPr w:rsidR="00430A99" w:rsidRPr="006C1AE2" w:rsidSect="00410DD8">
      <w:headerReference w:type="default" r:id="rId9"/>
      <w:footerReference w:type="even" r:id="rId10"/>
      <w:footerReference w:type="default" r:id="rId11"/>
      <w:footerReference w:type="first" r:id="rId12"/>
      <w:pgSz w:w="12240" w:h="15840"/>
      <w:pgMar w:top="1135" w:right="1440" w:bottom="1440" w:left="1440"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73E" w:rsidRDefault="00CB773E">
      <w:r>
        <w:separator/>
      </w:r>
    </w:p>
  </w:endnote>
  <w:endnote w:type="continuationSeparator" w:id="0">
    <w:p w:rsidR="00CB773E" w:rsidRDefault="00CB7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3E" w:rsidRDefault="00D42F77" w:rsidP="00376E97">
    <w:pPr>
      <w:pStyle w:val="Footer"/>
      <w:framePr w:wrap="around" w:vAnchor="text" w:hAnchor="margin" w:xAlign="center" w:y="1"/>
      <w:rPr>
        <w:rStyle w:val="PageNumber"/>
      </w:rPr>
    </w:pPr>
    <w:r>
      <w:rPr>
        <w:rStyle w:val="PageNumber"/>
      </w:rPr>
      <w:fldChar w:fldCharType="begin"/>
    </w:r>
    <w:r w:rsidR="00CB773E">
      <w:rPr>
        <w:rStyle w:val="PageNumber"/>
      </w:rPr>
      <w:instrText xml:space="preserve">PAGE  </w:instrText>
    </w:r>
    <w:r>
      <w:rPr>
        <w:rStyle w:val="PageNumber"/>
      </w:rPr>
      <w:fldChar w:fldCharType="end"/>
    </w:r>
  </w:p>
  <w:p w:rsidR="00CB773E" w:rsidRDefault="00CB77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3E" w:rsidRPr="00900A73" w:rsidRDefault="00A37919" w:rsidP="00795FA4">
    <w:pPr>
      <w:spacing w:before="75" w:after="75"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VMAnot_17</w:t>
    </w:r>
    <w:r w:rsidR="00CB773E">
      <w:rPr>
        <w:rFonts w:ascii="Times New Roman" w:hAnsi="Times New Roman"/>
        <w:sz w:val="24"/>
        <w:szCs w:val="24"/>
        <w:lang w:val="lv-LV"/>
      </w:rPr>
      <w:t>1213_papild</w:t>
    </w:r>
    <w:r w:rsidR="00CB773E" w:rsidRPr="00900A73">
      <w:rPr>
        <w:rFonts w:ascii="Times New Roman" w:hAnsi="Times New Roman"/>
        <w:sz w:val="24"/>
        <w:szCs w:val="24"/>
        <w:lang w:val="lv-LV"/>
      </w:rPr>
      <w:t xml:space="preserve">; Ministru kabineta rīkojuma projekta </w:t>
    </w:r>
    <w:r w:rsidR="00CB773E" w:rsidRPr="00795FA4">
      <w:rPr>
        <w:rFonts w:ascii="Times New Roman" w:hAnsi="Times New Roman"/>
        <w:sz w:val="24"/>
        <w:szCs w:val="24"/>
        <w:lang w:val="lv-LV"/>
      </w:rPr>
      <w:t>„Par finanšu līdzekļu piešķiršanu no valsts budžeta programmas „Līdzekļi neparedzētiem gadījumiem”” sākotnējās ietekmes novērtējuma ziņojums (anotācija)</w:t>
    </w:r>
  </w:p>
  <w:p w:rsidR="00CB773E" w:rsidRPr="00B27791" w:rsidRDefault="00CB773E" w:rsidP="00B27791">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3E" w:rsidRPr="00900A73" w:rsidRDefault="00A37919" w:rsidP="000202B4">
    <w:pPr>
      <w:spacing w:before="75" w:after="75" w:line="240" w:lineRule="auto"/>
      <w:jc w:val="both"/>
      <w:rPr>
        <w:rFonts w:ascii="Times New Roman" w:eastAsia="Times New Roman" w:hAnsi="Times New Roman"/>
        <w:sz w:val="24"/>
        <w:szCs w:val="24"/>
        <w:lang w:val="lv-LV" w:eastAsia="lv-LV"/>
      </w:rPr>
    </w:pPr>
    <w:bookmarkStart w:id="14" w:name="OLE_LINK18"/>
    <w:bookmarkStart w:id="15" w:name="OLE_LINK19"/>
    <w:bookmarkStart w:id="16" w:name="_Hlk287613978"/>
    <w:r>
      <w:rPr>
        <w:rFonts w:ascii="Times New Roman" w:hAnsi="Times New Roman"/>
        <w:sz w:val="24"/>
        <w:szCs w:val="24"/>
        <w:lang w:val="lv-LV"/>
      </w:rPr>
      <w:t>VMAnot_17</w:t>
    </w:r>
    <w:r w:rsidR="00CB773E">
      <w:rPr>
        <w:rFonts w:ascii="Times New Roman" w:hAnsi="Times New Roman"/>
        <w:sz w:val="24"/>
        <w:szCs w:val="24"/>
        <w:lang w:val="lv-LV"/>
      </w:rPr>
      <w:t>1213_papild</w:t>
    </w:r>
    <w:r w:rsidR="00CB773E" w:rsidRPr="00900A73">
      <w:rPr>
        <w:rFonts w:ascii="Times New Roman" w:hAnsi="Times New Roman"/>
        <w:sz w:val="24"/>
        <w:szCs w:val="24"/>
        <w:lang w:val="lv-LV"/>
      </w:rPr>
      <w:t xml:space="preserve">; </w:t>
    </w:r>
    <w:bookmarkStart w:id="17" w:name="OLE_LINK20"/>
    <w:bookmarkStart w:id="18" w:name="OLE_LINK21"/>
    <w:bookmarkStart w:id="19" w:name="_Hlk264295600"/>
    <w:bookmarkStart w:id="20" w:name="OLE_LINK11"/>
    <w:bookmarkStart w:id="21" w:name="OLE_LINK14"/>
    <w:bookmarkStart w:id="22" w:name="_Hlk354061682"/>
    <w:bookmarkStart w:id="23" w:name="OLE_LINK9"/>
    <w:bookmarkStart w:id="24" w:name="OLE_LINK10"/>
    <w:bookmarkStart w:id="25" w:name="_Hlk373480426"/>
    <w:r w:rsidR="00CB773E" w:rsidRPr="00900A73">
      <w:rPr>
        <w:rFonts w:ascii="Times New Roman" w:hAnsi="Times New Roman"/>
        <w:sz w:val="24"/>
        <w:szCs w:val="24"/>
        <w:lang w:val="lv-LV"/>
      </w:rPr>
      <w:t xml:space="preserve">Ministru kabineta rīkojuma projekta </w:t>
    </w:r>
    <w:r w:rsidR="00CB773E" w:rsidRPr="00795FA4">
      <w:rPr>
        <w:rFonts w:ascii="Times New Roman" w:hAnsi="Times New Roman"/>
        <w:sz w:val="24"/>
        <w:szCs w:val="24"/>
        <w:lang w:val="lv-LV"/>
      </w:rPr>
      <w:t>„Par finanšu līdzekļu piešķiršanu no valsts budžeta programmas „Līdzekļi neparedzētiem gadījumiem”” sākotnējās ietekmes novērtējuma ziņojums (anotācija)</w:t>
    </w:r>
    <w:bookmarkEnd w:id="14"/>
    <w:bookmarkEnd w:id="15"/>
    <w:bookmarkEnd w:id="16"/>
    <w:bookmarkEnd w:id="17"/>
    <w:bookmarkEnd w:id="18"/>
    <w:bookmarkEnd w:id="19"/>
    <w:bookmarkEnd w:id="20"/>
    <w:bookmarkEnd w:id="21"/>
    <w:bookmarkEnd w:id="22"/>
    <w:bookmarkEnd w:id="23"/>
    <w:bookmarkEnd w:id="24"/>
    <w:bookmarkEnd w:id="2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73E" w:rsidRDefault="00CB773E">
      <w:r>
        <w:separator/>
      </w:r>
    </w:p>
  </w:footnote>
  <w:footnote w:type="continuationSeparator" w:id="0">
    <w:p w:rsidR="00CB773E" w:rsidRDefault="00CB7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3E" w:rsidRPr="000202B4" w:rsidRDefault="00D42F77">
    <w:pPr>
      <w:pStyle w:val="Header"/>
      <w:jc w:val="center"/>
      <w:rPr>
        <w:rFonts w:ascii="Times New Roman" w:hAnsi="Times New Roman"/>
        <w:sz w:val="24"/>
        <w:szCs w:val="24"/>
      </w:rPr>
    </w:pPr>
    <w:r w:rsidRPr="000202B4">
      <w:rPr>
        <w:rFonts w:ascii="Times New Roman" w:hAnsi="Times New Roman"/>
        <w:sz w:val="24"/>
        <w:szCs w:val="24"/>
      </w:rPr>
      <w:fldChar w:fldCharType="begin"/>
    </w:r>
    <w:r w:rsidR="00CB773E" w:rsidRPr="000202B4">
      <w:rPr>
        <w:rFonts w:ascii="Times New Roman" w:hAnsi="Times New Roman"/>
        <w:sz w:val="24"/>
        <w:szCs w:val="24"/>
      </w:rPr>
      <w:instrText xml:space="preserve"> PAGE   \* MERGEFORMAT </w:instrText>
    </w:r>
    <w:r w:rsidRPr="000202B4">
      <w:rPr>
        <w:rFonts w:ascii="Times New Roman" w:hAnsi="Times New Roman"/>
        <w:sz w:val="24"/>
        <w:szCs w:val="24"/>
      </w:rPr>
      <w:fldChar w:fldCharType="separate"/>
    </w:r>
    <w:r w:rsidR="00592229">
      <w:rPr>
        <w:rFonts w:ascii="Times New Roman" w:hAnsi="Times New Roman"/>
        <w:noProof/>
        <w:sz w:val="24"/>
        <w:szCs w:val="24"/>
      </w:rPr>
      <w:t>8</w:t>
    </w:r>
    <w:r w:rsidRPr="000202B4">
      <w:rPr>
        <w:rFonts w:ascii="Times New Roman" w:hAnsi="Times New Roman"/>
        <w:sz w:val="24"/>
        <w:szCs w:val="24"/>
      </w:rPr>
      <w:fldChar w:fldCharType="end"/>
    </w:r>
  </w:p>
  <w:p w:rsidR="00CB773E" w:rsidRDefault="00CB7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C6"/>
    <w:multiLevelType w:val="multilevel"/>
    <w:tmpl w:val="0F4AC88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606205"/>
    <w:multiLevelType w:val="hybridMultilevel"/>
    <w:tmpl w:val="3830F6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D743ADE"/>
    <w:multiLevelType w:val="hybridMultilevel"/>
    <w:tmpl w:val="2A02ECFE"/>
    <w:lvl w:ilvl="0" w:tplc="8F0A1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B755C"/>
    <w:multiLevelType w:val="hybridMultilevel"/>
    <w:tmpl w:val="A9F0CDA0"/>
    <w:lvl w:ilvl="0" w:tplc="2D38055A">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09C45A7"/>
    <w:multiLevelType w:val="hybridMultilevel"/>
    <w:tmpl w:val="FE50D74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290166"/>
    <w:multiLevelType w:val="hybridMultilevel"/>
    <w:tmpl w:val="FBDA6204"/>
    <w:lvl w:ilvl="0" w:tplc="B9183B6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330D6"/>
    <w:multiLevelType w:val="multilevel"/>
    <w:tmpl w:val="C55A9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14B48BF"/>
    <w:multiLevelType w:val="hybridMultilevel"/>
    <w:tmpl w:val="C3344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D8B499A"/>
    <w:multiLevelType w:val="hybridMultilevel"/>
    <w:tmpl w:val="BCE8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F0A16CD"/>
    <w:multiLevelType w:val="multilevel"/>
    <w:tmpl w:val="E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73446F"/>
    <w:multiLevelType w:val="hybridMultilevel"/>
    <w:tmpl w:val="28CEB34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46E75C09"/>
    <w:multiLevelType w:val="multilevel"/>
    <w:tmpl w:val="408001D4"/>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4">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0935378"/>
    <w:multiLevelType w:val="hybridMultilevel"/>
    <w:tmpl w:val="C1D45F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578436CE"/>
    <w:multiLevelType w:val="hybridMultilevel"/>
    <w:tmpl w:val="AE26642A"/>
    <w:lvl w:ilvl="0" w:tplc="5AD86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FB44658"/>
    <w:multiLevelType w:val="hybridMultilevel"/>
    <w:tmpl w:val="E71CD1F2"/>
    <w:lvl w:ilvl="0" w:tplc="A692E35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607666B8"/>
    <w:multiLevelType w:val="multilevel"/>
    <w:tmpl w:val="EB4E9D70"/>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9">
    <w:nsid w:val="63226B3D"/>
    <w:multiLevelType w:val="hybridMultilevel"/>
    <w:tmpl w:val="98C07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C5E90"/>
    <w:multiLevelType w:val="hybridMultilevel"/>
    <w:tmpl w:val="EE6A00A0"/>
    <w:lvl w:ilvl="0" w:tplc="8F38ECB2">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02A5818"/>
    <w:multiLevelType w:val="hybridMultilevel"/>
    <w:tmpl w:val="BA9201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2">
    <w:nsid w:val="71866AA7"/>
    <w:multiLevelType w:val="hybridMultilevel"/>
    <w:tmpl w:val="DC8C69B2"/>
    <w:lvl w:ilvl="0" w:tplc="FFD8C7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093231"/>
    <w:multiLevelType w:val="hybridMultilevel"/>
    <w:tmpl w:val="6824934C"/>
    <w:lvl w:ilvl="0" w:tplc="591E596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0"/>
  </w:num>
  <w:num w:numId="2">
    <w:abstractNumId w:val="4"/>
  </w:num>
  <w:num w:numId="3">
    <w:abstractNumId w:val="9"/>
  </w:num>
  <w:num w:numId="4">
    <w:abstractNumId w:val="11"/>
  </w:num>
  <w:num w:numId="5">
    <w:abstractNumId w:val="0"/>
  </w:num>
  <w:num w:numId="6">
    <w:abstractNumId w:val="10"/>
  </w:num>
  <w:num w:numId="7">
    <w:abstractNumId w:val="15"/>
  </w:num>
  <w:num w:numId="8">
    <w:abstractNumId w:val="17"/>
  </w:num>
  <w:num w:numId="9">
    <w:abstractNumId w:val="7"/>
  </w:num>
  <w:num w:numId="10">
    <w:abstractNumId w:val="18"/>
  </w:num>
  <w:num w:numId="11">
    <w:abstractNumId w:val="8"/>
  </w:num>
  <w:num w:numId="12">
    <w:abstractNumId w:val="5"/>
  </w:num>
  <w:num w:numId="13">
    <w:abstractNumId w:val="2"/>
  </w:num>
  <w:num w:numId="14">
    <w:abstractNumId w:val="16"/>
  </w:num>
  <w:num w:numId="15">
    <w:abstractNumId w:val="1"/>
  </w:num>
  <w:num w:numId="16">
    <w:abstractNumId w:val="21"/>
  </w:num>
  <w:num w:numId="17">
    <w:abstractNumId w:val="13"/>
  </w:num>
  <w:num w:numId="18">
    <w:abstractNumId w:val="24"/>
  </w:num>
  <w:num w:numId="19">
    <w:abstractNumId w:val="3"/>
  </w:num>
  <w:num w:numId="20">
    <w:abstractNumId w:val="14"/>
  </w:num>
  <w:num w:numId="21">
    <w:abstractNumId w:val="23"/>
  </w:num>
  <w:num w:numId="22">
    <w:abstractNumId w:val="19"/>
  </w:num>
  <w:num w:numId="23">
    <w:abstractNumId w:val="12"/>
  </w:num>
  <w:num w:numId="24">
    <w:abstractNumId w:val="2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2AC"/>
    <w:rsid w:val="0000332C"/>
    <w:rsid w:val="0000681E"/>
    <w:rsid w:val="00010853"/>
    <w:rsid w:val="00011AD1"/>
    <w:rsid w:val="00012742"/>
    <w:rsid w:val="000202B4"/>
    <w:rsid w:val="000253B6"/>
    <w:rsid w:val="00026D34"/>
    <w:rsid w:val="00027211"/>
    <w:rsid w:val="00027E10"/>
    <w:rsid w:val="00030160"/>
    <w:rsid w:val="00031384"/>
    <w:rsid w:val="0003237B"/>
    <w:rsid w:val="00041FBC"/>
    <w:rsid w:val="000453AE"/>
    <w:rsid w:val="00045DEC"/>
    <w:rsid w:val="000522C4"/>
    <w:rsid w:val="00052B7C"/>
    <w:rsid w:val="00052EC8"/>
    <w:rsid w:val="00052FF6"/>
    <w:rsid w:val="000539B8"/>
    <w:rsid w:val="00057E42"/>
    <w:rsid w:val="00061F88"/>
    <w:rsid w:val="00062BCD"/>
    <w:rsid w:val="000633F1"/>
    <w:rsid w:val="00066101"/>
    <w:rsid w:val="000665CB"/>
    <w:rsid w:val="000713BD"/>
    <w:rsid w:val="00071BD6"/>
    <w:rsid w:val="000767D4"/>
    <w:rsid w:val="00077686"/>
    <w:rsid w:val="00081566"/>
    <w:rsid w:val="00083D88"/>
    <w:rsid w:val="00087371"/>
    <w:rsid w:val="000876AD"/>
    <w:rsid w:val="0009409A"/>
    <w:rsid w:val="000966C4"/>
    <w:rsid w:val="00096DCF"/>
    <w:rsid w:val="000A204B"/>
    <w:rsid w:val="000B0939"/>
    <w:rsid w:val="000B381B"/>
    <w:rsid w:val="000B51AD"/>
    <w:rsid w:val="000C5B80"/>
    <w:rsid w:val="000C64AA"/>
    <w:rsid w:val="000D0823"/>
    <w:rsid w:val="000D3A5C"/>
    <w:rsid w:val="000D4144"/>
    <w:rsid w:val="000E2786"/>
    <w:rsid w:val="000E2DF9"/>
    <w:rsid w:val="000E5037"/>
    <w:rsid w:val="000E564A"/>
    <w:rsid w:val="000F2957"/>
    <w:rsid w:val="000F685B"/>
    <w:rsid w:val="0010488E"/>
    <w:rsid w:val="00106509"/>
    <w:rsid w:val="00116477"/>
    <w:rsid w:val="0011760E"/>
    <w:rsid w:val="00117761"/>
    <w:rsid w:val="001200B5"/>
    <w:rsid w:val="001208F9"/>
    <w:rsid w:val="00120B2D"/>
    <w:rsid w:val="001321AF"/>
    <w:rsid w:val="001343DB"/>
    <w:rsid w:val="00136045"/>
    <w:rsid w:val="00136191"/>
    <w:rsid w:val="00146B40"/>
    <w:rsid w:val="0015355F"/>
    <w:rsid w:val="0015607D"/>
    <w:rsid w:val="00166AD1"/>
    <w:rsid w:val="001678FF"/>
    <w:rsid w:val="00175680"/>
    <w:rsid w:val="001762F9"/>
    <w:rsid w:val="00176676"/>
    <w:rsid w:val="00176FFF"/>
    <w:rsid w:val="001827F4"/>
    <w:rsid w:val="0019082C"/>
    <w:rsid w:val="001932AD"/>
    <w:rsid w:val="001B21ED"/>
    <w:rsid w:val="001B5AA7"/>
    <w:rsid w:val="001C1729"/>
    <w:rsid w:val="001C2901"/>
    <w:rsid w:val="001C7116"/>
    <w:rsid w:val="001D0601"/>
    <w:rsid w:val="001D284A"/>
    <w:rsid w:val="001D79A7"/>
    <w:rsid w:val="001E3211"/>
    <w:rsid w:val="001E32E5"/>
    <w:rsid w:val="001E5342"/>
    <w:rsid w:val="001E53D4"/>
    <w:rsid w:val="001E712A"/>
    <w:rsid w:val="001E74D9"/>
    <w:rsid w:val="001F3E08"/>
    <w:rsid w:val="001F4D14"/>
    <w:rsid w:val="001F5337"/>
    <w:rsid w:val="00200495"/>
    <w:rsid w:val="00205761"/>
    <w:rsid w:val="00206F8F"/>
    <w:rsid w:val="002160C0"/>
    <w:rsid w:val="00216694"/>
    <w:rsid w:val="00222188"/>
    <w:rsid w:val="00222D59"/>
    <w:rsid w:val="00225451"/>
    <w:rsid w:val="0022628A"/>
    <w:rsid w:val="0022704F"/>
    <w:rsid w:val="002272F9"/>
    <w:rsid w:val="00240174"/>
    <w:rsid w:val="00242AB9"/>
    <w:rsid w:val="00245710"/>
    <w:rsid w:val="00245A45"/>
    <w:rsid w:val="0024685D"/>
    <w:rsid w:val="00255805"/>
    <w:rsid w:val="00267DDB"/>
    <w:rsid w:val="00270A03"/>
    <w:rsid w:val="00283916"/>
    <w:rsid w:val="00285135"/>
    <w:rsid w:val="00285FA7"/>
    <w:rsid w:val="00287BFE"/>
    <w:rsid w:val="00287EA1"/>
    <w:rsid w:val="00290AF4"/>
    <w:rsid w:val="00290EA2"/>
    <w:rsid w:val="002A6297"/>
    <w:rsid w:val="002B0F28"/>
    <w:rsid w:val="002B2418"/>
    <w:rsid w:val="002B5729"/>
    <w:rsid w:val="002B6E46"/>
    <w:rsid w:val="002C31C9"/>
    <w:rsid w:val="002C4AEB"/>
    <w:rsid w:val="002D39A8"/>
    <w:rsid w:val="002D4B45"/>
    <w:rsid w:val="002D61A7"/>
    <w:rsid w:val="002E03BF"/>
    <w:rsid w:val="002E5695"/>
    <w:rsid w:val="002E6C6C"/>
    <w:rsid w:val="002E7989"/>
    <w:rsid w:val="002F02E2"/>
    <w:rsid w:val="002F0F29"/>
    <w:rsid w:val="002F1440"/>
    <w:rsid w:val="002F4E4D"/>
    <w:rsid w:val="00302503"/>
    <w:rsid w:val="00302EAB"/>
    <w:rsid w:val="003344D2"/>
    <w:rsid w:val="003360DE"/>
    <w:rsid w:val="00342CD2"/>
    <w:rsid w:val="00344C7B"/>
    <w:rsid w:val="003455C8"/>
    <w:rsid w:val="003503B5"/>
    <w:rsid w:val="00350B97"/>
    <w:rsid w:val="00355BEB"/>
    <w:rsid w:val="0035697F"/>
    <w:rsid w:val="00357FCE"/>
    <w:rsid w:val="00363A47"/>
    <w:rsid w:val="003707D1"/>
    <w:rsid w:val="00376013"/>
    <w:rsid w:val="00376E97"/>
    <w:rsid w:val="0037700D"/>
    <w:rsid w:val="003771B7"/>
    <w:rsid w:val="0038284E"/>
    <w:rsid w:val="0038614E"/>
    <w:rsid w:val="003861FC"/>
    <w:rsid w:val="00390118"/>
    <w:rsid w:val="00392674"/>
    <w:rsid w:val="003930BF"/>
    <w:rsid w:val="0039663A"/>
    <w:rsid w:val="003A01E5"/>
    <w:rsid w:val="003A16EF"/>
    <w:rsid w:val="003A20C5"/>
    <w:rsid w:val="003A7053"/>
    <w:rsid w:val="003B0F8D"/>
    <w:rsid w:val="003B1E6B"/>
    <w:rsid w:val="003B7C12"/>
    <w:rsid w:val="003C069D"/>
    <w:rsid w:val="003C27B3"/>
    <w:rsid w:val="003C2B49"/>
    <w:rsid w:val="003C354E"/>
    <w:rsid w:val="003D186C"/>
    <w:rsid w:val="003D2643"/>
    <w:rsid w:val="003D5DE8"/>
    <w:rsid w:val="003E31C7"/>
    <w:rsid w:val="003E50D3"/>
    <w:rsid w:val="003E5A89"/>
    <w:rsid w:val="003F0972"/>
    <w:rsid w:val="003F6534"/>
    <w:rsid w:val="00401237"/>
    <w:rsid w:val="004052DA"/>
    <w:rsid w:val="00410665"/>
    <w:rsid w:val="00410DD8"/>
    <w:rsid w:val="00410ECB"/>
    <w:rsid w:val="004273D9"/>
    <w:rsid w:val="00427672"/>
    <w:rsid w:val="00430A99"/>
    <w:rsid w:val="004320EE"/>
    <w:rsid w:val="00443007"/>
    <w:rsid w:val="00446FE6"/>
    <w:rsid w:val="00447583"/>
    <w:rsid w:val="0045234A"/>
    <w:rsid w:val="00456B93"/>
    <w:rsid w:val="00460382"/>
    <w:rsid w:val="00462657"/>
    <w:rsid w:val="00463F68"/>
    <w:rsid w:val="0046449A"/>
    <w:rsid w:val="004654F4"/>
    <w:rsid w:val="00472001"/>
    <w:rsid w:val="004743F6"/>
    <w:rsid w:val="0047667C"/>
    <w:rsid w:val="00483EF1"/>
    <w:rsid w:val="0048456B"/>
    <w:rsid w:val="00496923"/>
    <w:rsid w:val="004A58D9"/>
    <w:rsid w:val="004A64DD"/>
    <w:rsid w:val="004A6F73"/>
    <w:rsid w:val="004A709C"/>
    <w:rsid w:val="004C5DE4"/>
    <w:rsid w:val="004D328D"/>
    <w:rsid w:val="004E3BAD"/>
    <w:rsid w:val="004E605D"/>
    <w:rsid w:val="004F303A"/>
    <w:rsid w:val="004F415D"/>
    <w:rsid w:val="004F4C90"/>
    <w:rsid w:val="004F6B73"/>
    <w:rsid w:val="00510305"/>
    <w:rsid w:val="00511D96"/>
    <w:rsid w:val="00515876"/>
    <w:rsid w:val="00516264"/>
    <w:rsid w:val="005168CB"/>
    <w:rsid w:val="0052026A"/>
    <w:rsid w:val="005217E2"/>
    <w:rsid w:val="00521E84"/>
    <w:rsid w:val="005241FF"/>
    <w:rsid w:val="0052636F"/>
    <w:rsid w:val="005347BF"/>
    <w:rsid w:val="00537BD1"/>
    <w:rsid w:val="005405C2"/>
    <w:rsid w:val="00544549"/>
    <w:rsid w:val="0055174D"/>
    <w:rsid w:val="00553C2C"/>
    <w:rsid w:val="00553CDA"/>
    <w:rsid w:val="00556E62"/>
    <w:rsid w:val="00560016"/>
    <w:rsid w:val="00560C7E"/>
    <w:rsid w:val="00581FE3"/>
    <w:rsid w:val="00582278"/>
    <w:rsid w:val="00592229"/>
    <w:rsid w:val="005932FC"/>
    <w:rsid w:val="00594527"/>
    <w:rsid w:val="005969AC"/>
    <w:rsid w:val="00596B14"/>
    <w:rsid w:val="005A052E"/>
    <w:rsid w:val="005A254C"/>
    <w:rsid w:val="005A57A2"/>
    <w:rsid w:val="005B4819"/>
    <w:rsid w:val="005D3EE3"/>
    <w:rsid w:val="005E11D7"/>
    <w:rsid w:val="005E2237"/>
    <w:rsid w:val="005E3821"/>
    <w:rsid w:val="005F2D51"/>
    <w:rsid w:val="005F6709"/>
    <w:rsid w:val="005F74EF"/>
    <w:rsid w:val="005F7F1F"/>
    <w:rsid w:val="00613464"/>
    <w:rsid w:val="006226A5"/>
    <w:rsid w:val="00624F83"/>
    <w:rsid w:val="00630CAA"/>
    <w:rsid w:val="00633B71"/>
    <w:rsid w:val="00633CB4"/>
    <w:rsid w:val="006345C7"/>
    <w:rsid w:val="006363B0"/>
    <w:rsid w:val="00645AFA"/>
    <w:rsid w:val="00652036"/>
    <w:rsid w:val="006532D7"/>
    <w:rsid w:val="00655437"/>
    <w:rsid w:val="00656556"/>
    <w:rsid w:val="006652E0"/>
    <w:rsid w:val="006668D4"/>
    <w:rsid w:val="00666D68"/>
    <w:rsid w:val="00674430"/>
    <w:rsid w:val="006841ED"/>
    <w:rsid w:val="00684F30"/>
    <w:rsid w:val="0068736A"/>
    <w:rsid w:val="0069374F"/>
    <w:rsid w:val="00694B10"/>
    <w:rsid w:val="00694B6E"/>
    <w:rsid w:val="006A4CB5"/>
    <w:rsid w:val="006B5030"/>
    <w:rsid w:val="006C05B7"/>
    <w:rsid w:val="006C1AE2"/>
    <w:rsid w:val="006C5550"/>
    <w:rsid w:val="006C7E86"/>
    <w:rsid w:val="006D65FA"/>
    <w:rsid w:val="006E053D"/>
    <w:rsid w:val="006E194C"/>
    <w:rsid w:val="006E3ED8"/>
    <w:rsid w:val="006E4ED7"/>
    <w:rsid w:val="006E4FD1"/>
    <w:rsid w:val="006F1768"/>
    <w:rsid w:val="006F4FE2"/>
    <w:rsid w:val="006F5BF4"/>
    <w:rsid w:val="00700CC3"/>
    <w:rsid w:val="00702DA1"/>
    <w:rsid w:val="00705315"/>
    <w:rsid w:val="0070631E"/>
    <w:rsid w:val="007068BB"/>
    <w:rsid w:val="00711EE3"/>
    <w:rsid w:val="00714A99"/>
    <w:rsid w:val="0072012A"/>
    <w:rsid w:val="00721E6D"/>
    <w:rsid w:val="00722CEF"/>
    <w:rsid w:val="00723137"/>
    <w:rsid w:val="00727106"/>
    <w:rsid w:val="007307AF"/>
    <w:rsid w:val="007318C1"/>
    <w:rsid w:val="007338D0"/>
    <w:rsid w:val="007341E7"/>
    <w:rsid w:val="00736C74"/>
    <w:rsid w:val="0074764F"/>
    <w:rsid w:val="00750485"/>
    <w:rsid w:val="00751774"/>
    <w:rsid w:val="00757918"/>
    <w:rsid w:val="00760406"/>
    <w:rsid w:val="00765707"/>
    <w:rsid w:val="007666C6"/>
    <w:rsid w:val="00767B41"/>
    <w:rsid w:val="00767F67"/>
    <w:rsid w:val="007710AB"/>
    <w:rsid w:val="00773254"/>
    <w:rsid w:val="00776E07"/>
    <w:rsid w:val="00782CA4"/>
    <w:rsid w:val="007833DA"/>
    <w:rsid w:val="0079233D"/>
    <w:rsid w:val="00795A9F"/>
    <w:rsid w:val="00795CF3"/>
    <w:rsid w:val="00795FA4"/>
    <w:rsid w:val="007A0C70"/>
    <w:rsid w:val="007A51E0"/>
    <w:rsid w:val="007A7565"/>
    <w:rsid w:val="007B4BDF"/>
    <w:rsid w:val="007B74F9"/>
    <w:rsid w:val="007B7E23"/>
    <w:rsid w:val="007C27F3"/>
    <w:rsid w:val="007C488C"/>
    <w:rsid w:val="007C4C76"/>
    <w:rsid w:val="007C70BA"/>
    <w:rsid w:val="007D0850"/>
    <w:rsid w:val="007D6C20"/>
    <w:rsid w:val="007E243D"/>
    <w:rsid w:val="007E2875"/>
    <w:rsid w:val="007E3926"/>
    <w:rsid w:val="007F037F"/>
    <w:rsid w:val="007F25EC"/>
    <w:rsid w:val="007F38CD"/>
    <w:rsid w:val="007F503D"/>
    <w:rsid w:val="008066F2"/>
    <w:rsid w:val="008075CF"/>
    <w:rsid w:val="00807A59"/>
    <w:rsid w:val="00816D72"/>
    <w:rsid w:val="00817EEE"/>
    <w:rsid w:val="008256F2"/>
    <w:rsid w:val="00827B61"/>
    <w:rsid w:val="008300A1"/>
    <w:rsid w:val="00832E74"/>
    <w:rsid w:val="00833C9C"/>
    <w:rsid w:val="008344C4"/>
    <w:rsid w:val="00842E70"/>
    <w:rsid w:val="00843C4A"/>
    <w:rsid w:val="00845003"/>
    <w:rsid w:val="0084528E"/>
    <w:rsid w:val="00845D65"/>
    <w:rsid w:val="0084749C"/>
    <w:rsid w:val="0085266E"/>
    <w:rsid w:val="00854133"/>
    <w:rsid w:val="0086496B"/>
    <w:rsid w:val="00865E68"/>
    <w:rsid w:val="00882A13"/>
    <w:rsid w:val="00885A70"/>
    <w:rsid w:val="00886702"/>
    <w:rsid w:val="00890DB0"/>
    <w:rsid w:val="00890F11"/>
    <w:rsid w:val="00891B26"/>
    <w:rsid w:val="008954AE"/>
    <w:rsid w:val="00896BDA"/>
    <w:rsid w:val="008B0868"/>
    <w:rsid w:val="008B39E7"/>
    <w:rsid w:val="008C38C3"/>
    <w:rsid w:val="008D4436"/>
    <w:rsid w:val="008E5AD1"/>
    <w:rsid w:val="008F0BCB"/>
    <w:rsid w:val="008F5FD6"/>
    <w:rsid w:val="00900A73"/>
    <w:rsid w:val="00901608"/>
    <w:rsid w:val="0090362E"/>
    <w:rsid w:val="00924E42"/>
    <w:rsid w:val="00925424"/>
    <w:rsid w:val="0093722D"/>
    <w:rsid w:val="00937BF0"/>
    <w:rsid w:val="0094295B"/>
    <w:rsid w:val="009514AA"/>
    <w:rsid w:val="00954EC5"/>
    <w:rsid w:val="0095571F"/>
    <w:rsid w:val="00961F8A"/>
    <w:rsid w:val="009662AC"/>
    <w:rsid w:val="009666FA"/>
    <w:rsid w:val="0096722A"/>
    <w:rsid w:val="00967BFD"/>
    <w:rsid w:val="00971847"/>
    <w:rsid w:val="009729D2"/>
    <w:rsid w:val="00972B65"/>
    <w:rsid w:val="0097472C"/>
    <w:rsid w:val="00976B51"/>
    <w:rsid w:val="00985352"/>
    <w:rsid w:val="00987EEF"/>
    <w:rsid w:val="009908AC"/>
    <w:rsid w:val="009944B5"/>
    <w:rsid w:val="009A1827"/>
    <w:rsid w:val="009A1C85"/>
    <w:rsid w:val="009A505B"/>
    <w:rsid w:val="009A6CAF"/>
    <w:rsid w:val="009B4CFC"/>
    <w:rsid w:val="009B59A1"/>
    <w:rsid w:val="009C1441"/>
    <w:rsid w:val="009C593E"/>
    <w:rsid w:val="009C6AB6"/>
    <w:rsid w:val="009C7E39"/>
    <w:rsid w:val="009D07DB"/>
    <w:rsid w:val="009D3E04"/>
    <w:rsid w:val="009D59E9"/>
    <w:rsid w:val="009E505E"/>
    <w:rsid w:val="009F4146"/>
    <w:rsid w:val="00A0169E"/>
    <w:rsid w:val="00A06980"/>
    <w:rsid w:val="00A07E4B"/>
    <w:rsid w:val="00A137A1"/>
    <w:rsid w:val="00A20B8F"/>
    <w:rsid w:val="00A20E02"/>
    <w:rsid w:val="00A2440F"/>
    <w:rsid w:val="00A31885"/>
    <w:rsid w:val="00A33425"/>
    <w:rsid w:val="00A37919"/>
    <w:rsid w:val="00A41303"/>
    <w:rsid w:val="00A41C38"/>
    <w:rsid w:val="00A44FC1"/>
    <w:rsid w:val="00A462C6"/>
    <w:rsid w:val="00A46C5F"/>
    <w:rsid w:val="00A47515"/>
    <w:rsid w:val="00A51E35"/>
    <w:rsid w:val="00A610B1"/>
    <w:rsid w:val="00A61434"/>
    <w:rsid w:val="00A61EA2"/>
    <w:rsid w:val="00A6266C"/>
    <w:rsid w:val="00A631F3"/>
    <w:rsid w:val="00A67124"/>
    <w:rsid w:val="00A728BE"/>
    <w:rsid w:val="00A8297F"/>
    <w:rsid w:val="00A86AFF"/>
    <w:rsid w:val="00A954A9"/>
    <w:rsid w:val="00A95C08"/>
    <w:rsid w:val="00AA1CE9"/>
    <w:rsid w:val="00AA1F50"/>
    <w:rsid w:val="00AA4D60"/>
    <w:rsid w:val="00AA58E5"/>
    <w:rsid w:val="00AB0154"/>
    <w:rsid w:val="00AB0F32"/>
    <w:rsid w:val="00AB24DC"/>
    <w:rsid w:val="00AB4F6C"/>
    <w:rsid w:val="00AB6318"/>
    <w:rsid w:val="00AC296A"/>
    <w:rsid w:val="00AC3131"/>
    <w:rsid w:val="00AC4E22"/>
    <w:rsid w:val="00AC61E8"/>
    <w:rsid w:val="00AD037B"/>
    <w:rsid w:val="00AD1FE6"/>
    <w:rsid w:val="00AE1E0D"/>
    <w:rsid w:val="00AE2592"/>
    <w:rsid w:val="00AE7AFE"/>
    <w:rsid w:val="00AF1B40"/>
    <w:rsid w:val="00AF36BC"/>
    <w:rsid w:val="00AF40C6"/>
    <w:rsid w:val="00B02593"/>
    <w:rsid w:val="00B04A03"/>
    <w:rsid w:val="00B10484"/>
    <w:rsid w:val="00B140E7"/>
    <w:rsid w:val="00B2167A"/>
    <w:rsid w:val="00B23401"/>
    <w:rsid w:val="00B23CC2"/>
    <w:rsid w:val="00B26DC7"/>
    <w:rsid w:val="00B27791"/>
    <w:rsid w:val="00B3130D"/>
    <w:rsid w:val="00B33AB8"/>
    <w:rsid w:val="00B342A6"/>
    <w:rsid w:val="00B34E3F"/>
    <w:rsid w:val="00B44EFB"/>
    <w:rsid w:val="00B45403"/>
    <w:rsid w:val="00B5034D"/>
    <w:rsid w:val="00B5116C"/>
    <w:rsid w:val="00B51DD3"/>
    <w:rsid w:val="00B53B28"/>
    <w:rsid w:val="00B53F2C"/>
    <w:rsid w:val="00B60BC8"/>
    <w:rsid w:val="00B61D2D"/>
    <w:rsid w:val="00B72122"/>
    <w:rsid w:val="00B769E0"/>
    <w:rsid w:val="00B77D44"/>
    <w:rsid w:val="00B808BF"/>
    <w:rsid w:val="00B91638"/>
    <w:rsid w:val="00B91846"/>
    <w:rsid w:val="00B92458"/>
    <w:rsid w:val="00BA42D2"/>
    <w:rsid w:val="00BB4C15"/>
    <w:rsid w:val="00BB685E"/>
    <w:rsid w:val="00BC4CA5"/>
    <w:rsid w:val="00BD41C0"/>
    <w:rsid w:val="00BD6F6B"/>
    <w:rsid w:val="00BE4423"/>
    <w:rsid w:val="00BE6D8E"/>
    <w:rsid w:val="00BE7D56"/>
    <w:rsid w:val="00BF1E9D"/>
    <w:rsid w:val="00C01C53"/>
    <w:rsid w:val="00C02B3F"/>
    <w:rsid w:val="00C04CBF"/>
    <w:rsid w:val="00C054F2"/>
    <w:rsid w:val="00C106A9"/>
    <w:rsid w:val="00C11C3F"/>
    <w:rsid w:val="00C130FE"/>
    <w:rsid w:val="00C15246"/>
    <w:rsid w:val="00C15FEE"/>
    <w:rsid w:val="00C302C3"/>
    <w:rsid w:val="00C31F6C"/>
    <w:rsid w:val="00C32B9A"/>
    <w:rsid w:val="00C36084"/>
    <w:rsid w:val="00C41035"/>
    <w:rsid w:val="00C626F0"/>
    <w:rsid w:val="00C62817"/>
    <w:rsid w:val="00C62D46"/>
    <w:rsid w:val="00C63944"/>
    <w:rsid w:val="00C66AFA"/>
    <w:rsid w:val="00C70105"/>
    <w:rsid w:val="00C70CAB"/>
    <w:rsid w:val="00C724DF"/>
    <w:rsid w:val="00C73804"/>
    <w:rsid w:val="00C7715D"/>
    <w:rsid w:val="00C83328"/>
    <w:rsid w:val="00C83942"/>
    <w:rsid w:val="00C91A14"/>
    <w:rsid w:val="00C95A03"/>
    <w:rsid w:val="00C97F6B"/>
    <w:rsid w:val="00CA10D7"/>
    <w:rsid w:val="00CA755E"/>
    <w:rsid w:val="00CB1379"/>
    <w:rsid w:val="00CB5941"/>
    <w:rsid w:val="00CB62CD"/>
    <w:rsid w:val="00CB773E"/>
    <w:rsid w:val="00CC0B6C"/>
    <w:rsid w:val="00CC0E21"/>
    <w:rsid w:val="00CD2149"/>
    <w:rsid w:val="00CD2753"/>
    <w:rsid w:val="00CD286B"/>
    <w:rsid w:val="00CD329B"/>
    <w:rsid w:val="00CE2CFB"/>
    <w:rsid w:val="00CE3F23"/>
    <w:rsid w:val="00CE59AE"/>
    <w:rsid w:val="00CF331E"/>
    <w:rsid w:val="00CF6C8E"/>
    <w:rsid w:val="00CF6CF0"/>
    <w:rsid w:val="00CF7996"/>
    <w:rsid w:val="00D0779A"/>
    <w:rsid w:val="00D104F2"/>
    <w:rsid w:val="00D11D43"/>
    <w:rsid w:val="00D12229"/>
    <w:rsid w:val="00D150F1"/>
    <w:rsid w:val="00D17AFB"/>
    <w:rsid w:val="00D22021"/>
    <w:rsid w:val="00D24A66"/>
    <w:rsid w:val="00D24B12"/>
    <w:rsid w:val="00D34D70"/>
    <w:rsid w:val="00D37FAE"/>
    <w:rsid w:val="00D41214"/>
    <w:rsid w:val="00D42F77"/>
    <w:rsid w:val="00D455EC"/>
    <w:rsid w:val="00D53251"/>
    <w:rsid w:val="00D54D9D"/>
    <w:rsid w:val="00D639B5"/>
    <w:rsid w:val="00D63F9F"/>
    <w:rsid w:val="00D6649D"/>
    <w:rsid w:val="00D66AEE"/>
    <w:rsid w:val="00D71A4F"/>
    <w:rsid w:val="00D75F71"/>
    <w:rsid w:val="00D768C0"/>
    <w:rsid w:val="00D81399"/>
    <w:rsid w:val="00D87C37"/>
    <w:rsid w:val="00D949FB"/>
    <w:rsid w:val="00D96CDD"/>
    <w:rsid w:val="00DA28EA"/>
    <w:rsid w:val="00DA3944"/>
    <w:rsid w:val="00DA57AB"/>
    <w:rsid w:val="00DA6240"/>
    <w:rsid w:val="00DB2504"/>
    <w:rsid w:val="00DC52FB"/>
    <w:rsid w:val="00DD0F45"/>
    <w:rsid w:val="00DD638C"/>
    <w:rsid w:val="00DE03B6"/>
    <w:rsid w:val="00DF0681"/>
    <w:rsid w:val="00DF34E9"/>
    <w:rsid w:val="00DF3519"/>
    <w:rsid w:val="00DF44E8"/>
    <w:rsid w:val="00DF4790"/>
    <w:rsid w:val="00DF4D82"/>
    <w:rsid w:val="00DF5610"/>
    <w:rsid w:val="00E024EE"/>
    <w:rsid w:val="00E030B7"/>
    <w:rsid w:val="00E056F0"/>
    <w:rsid w:val="00E066F4"/>
    <w:rsid w:val="00E11176"/>
    <w:rsid w:val="00E12EB6"/>
    <w:rsid w:val="00E1756E"/>
    <w:rsid w:val="00E26E63"/>
    <w:rsid w:val="00E27935"/>
    <w:rsid w:val="00E30A9A"/>
    <w:rsid w:val="00E30D78"/>
    <w:rsid w:val="00E31D1F"/>
    <w:rsid w:val="00E36E55"/>
    <w:rsid w:val="00E411C5"/>
    <w:rsid w:val="00E450D5"/>
    <w:rsid w:val="00E51159"/>
    <w:rsid w:val="00E563EE"/>
    <w:rsid w:val="00E579A5"/>
    <w:rsid w:val="00E64D1E"/>
    <w:rsid w:val="00E64F9C"/>
    <w:rsid w:val="00E71AAF"/>
    <w:rsid w:val="00E81329"/>
    <w:rsid w:val="00E8298C"/>
    <w:rsid w:val="00E860B6"/>
    <w:rsid w:val="00E950C6"/>
    <w:rsid w:val="00EA1B26"/>
    <w:rsid w:val="00EA4258"/>
    <w:rsid w:val="00EB2752"/>
    <w:rsid w:val="00EB4E0C"/>
    <w:rsid w:val="00EC7B8A"/>
    <w:rsid w:val="00EC7ED1"/>
    <w:rsid w:val="00ED0623"/>
    <w:rsid w:val="00ED1331"/>
    <w:rsid w:val="00ED38AF"/>
    <w:rsid w:val="00ED5DE7"/>
    <w:rsid w:val="00ED629C"/>
    <w:rsid w:val="00ED62AD"/>
    <w:rsid w:val="00ED6A88"/>
    <w:rsid w:val="00ED7BDC"/>
    <w:rsid w:val="00EE2BB3"/>
    <w:rsid w:val="00EE30ED"/>
    <w:rsid w:val="00EE46B0"/>
    <w:rsid w:val="00EE62ED"/>
    <w:rsid w:val="00EE6BB9"/>
    <w:rsid w:val="00EF08B3"/>
    <w:rsid w:val="00EF7399"/>
    <w:rsid w:val="00F07320"/>
    <w:rsid w:val="00F0741C"/>
    <w:rsid w:val="00F11552"/>
    <w:rsid w:val="00F1315D"/>
    <w:rsid w:val="00F140BB"/>
    <w:rsid w:val="00F14557"/>
    <w:rsid w:val="00F15283"/>
    <w:rsid w:val="00F174E9"/>
    <w:rsid w:val="00F221F8"/>
    <w:rsid w:val="00F22E00"/>
    <w:rsid w:val="00F24A93"/>
    <w:rsid w:val="00F26885"/>
    <w:rsid w:val="00F3052A"/>
    <w:rsid w:val="00F30C42"/>
    <w:rsid w:val="00F33948"/>
    <w:rsid w:val="00F3713F"/>
    <w:rsid w:val="00F428AF"/>
    <w:rsid w:val="00F45839"/>
    <w:rsid w:val="00F46F8E"/>
    <w:rsid w:val="00F52674"/>
    <w:rsid w:val="00F55D0E"/>
    <w:rsid w:val="00F61D63"/>
    <w:rsid w:val="00F64AF7"/>
    <w:rsid w:val="00F777B0"/>
    <w:rsid w:val="00F83EB8"/>
    <w:rsid w:val="00F84395"/>
    <w:rsid w:val="00F9434A"/>
    <w:rsid w:val="00F96C73"/>
    <w:rsid w:val="00FA133A"/>
    <w:rsid w:val="00FA41E0"/>
    <w:rsid w:val="00FA540B"/>
    <w:rsid w:val="00FB2CD7"/>
    <w:rsid w:val="00FB37A8"/>
    <w:rsid w:val="00FD1C21"/>
    <w:rsid w:val="00FD26D3"/>
    <w:rsid w:val="00FD4DF3"/>
    <w:rsid w:val="00FD4F3C"/>
    <w:rsid w:val="00FD5E6A"/>
    <w:rsid w:val="00FE398B"/>
    <w:rsid w:val="00FE6364"/>
    <w:rsid w:val="00FF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rsid w:val="00D96CDD"/>
    <w:pPr>
      <w:tabs>
        <w:tab w:val="center" w:pos="4153"/>
        <w:tab w:val="right" w:pos="8306"/>
      </w:tabs>
    </w:pPr>
  </w:style>
  <w:style w:type="character" w:styleId="PageNumber">
    <w:name w:val="page number"/>
    <w:basedOn w:val="DefaultParagraphFont"/>
    <w:rsid w:val="00D96CDD"/>
  </w:style>
  <w:style w:type="character" w:styleId="Hyperlink">
    <w:name w:val="Hyperlink"/>
    <w:basedOn w:val="DefaultParagraphFont"/>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uiPriority w:val="99"/>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 w:type="paragraph" w:customStyle="1" w:styleId="tv2131">
    <w:name w:val="tv2131"/>
    <w:basedOn w:val="Normal"/>
    <w:rsid w:val="009666FA"/>
    <w:pPr>
      <w:spacing w:before="240" w:after="0" w:line="360" w:lineRule="auto"/>
      <w:ind w:firstLine="300"/>
      <w:jc w:val="both"/>
    </w:pPr>
    <w:rPr>
      <w:rFonts w:ascii="Verdana" w:eastAsia="Times New Roman" w:hAnsi="Verdana"/>
      <w:sz w:val="18"/>
      <w:szCs w:val="18"/>
    </w:rPr>
  </w:style>
  <w:style w:type="paragraph" w:customStyle="1" w:styleId="naiskr">
    <w:name w:val="naiskr"/>
    <w:basedOn w:val="Normal"/>
    <w:rsid w:val="006C05B7"/>
    <w:pPr>
      <w:spacing w:before="75" w:after="75" w:line="240" w:lineRule="auto"/>
    </w:pPr>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rsid w:val="00D96CDD"/>
    <w:pPr>
      <w:tabs>
        <w:tab w:val="center" w:pos="4153"/>
        <w:tab w:val="right" w:pos="8306"/>
      </w:tabs>
    </w:pPr>
  </w:style>
  <w:style w:type="character" w:styleId="PageNumber">
    <w:name w:val="page number"/>
    <w:basedOn w:val="DefaultParagraphFont"/>
    <w:rsid w:val="00D96CDD"/>
  </w:style>
  <w:style w:type="character" w:styleId="Hyperlink">
    <w:name w:val="Hyperlink"/>
    <w:basedOn w:val="DefaultParagraphFont"/>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 w:type="paragraph" w:customStyle="1" w:styleId="tv2131">
    <w:name w:val="tv2131"/>
    <w:basedOn w:val="Normal"/>
    <w:rsid w:val="009666FA"/>
    <w:pPr>
      <w:spacing w:before="240" w:after="0" w:line="360" w:lineRule="auto"/>
      <w:ind w:firstLine="300"/>
      <w:jc w:val="both"/>
    </w:pPr>
    <w:rPr>
      <w:rFonts w:ascii="Verdana" w:eastAsia="Times New Roman" w:hAnsi="Verdana"/>
      <w:sz w:val="18"/>
      <w:szCs w:val="18"/>
    </w:rPr>
  </w:style>
</w:styles>
</file>

<file path=word/webSettings.xml><?xml version="1.0" encoding="utf-8"?>
<w:webSettings xmlns:r="http://schemas.openxmlformats.org/officeDocument/2006/relationships" xmlns:w="http://schemas.openxmlformats.org/wordprocessingml/2006/main">
  <w:divs>
    <w:div w:id="136992473">
      <w:bodyDiv w:val="1"/>
      <w:marLeft w:val="0"/>
      <w:marRight w:val="0"/>
      <w:marTop w:val="0"/>
      <w:marBottom w:val="0"/>
      <w:divBdr>
        <w:top w:val="none" w:sz="0" w:space="0" w:color="auto"/>
        <w:left w:val="none" w:sz="0" w:space="0" w:color="auto"/>
        <w:bottom w:val="none" w:sz="0" w:space="0" w:color="auto"/>
        <w:right w:val="none" w:sz="0" w:space="0" w:color="auto"/>
      </w:divBdr>
    </w:div>
    <w:div w:id="280847995">
      <w:bodyDiv w:val="1"/>
      <w:marLeft w:val="0"/>
      <w:marRight w:val="0"/>
      <w:marTop w:val="0"/>
      <w:marBottom w:val="0"/>
      <w:divBdr>
        <w:top w:val="none" w:sz="0" w:space="0" w:color="auto"/>
        <w:left w:val="none" w:sz="0" w:space="0" w:color="auto"/>
        <w:bottom w:val="none" w:sz="0" w:space="0" w:color="auto"/>
        <w:right w:val="none" w:sz="0" w:space="0" w:color="auto"/>
      </w:divBdr>
    </w:div>
    <w:div w:id="482743646">
      <w:bodyDiv w:val="1"/>
      <w:marLeft w:val="0"/>
      <w:marRight w:val="0"/>
      <w:marTop w:val="0"/>
      <w:marBottom w:val="0"/>
      <w:divBdr>
        <w:top w:val="none" w:sz="0" w:space="0" w:color="auto"/>
        <w:left w:val="none" w:sz="0" w:space="0" w:color="auto"/>
        <w:bottom w:val="none" w:sz="0" w:space="0" w:color="auto"/>
        <w:right w:val="none" w:sz="0" w:space="0" w:color="auto"/>
      </w:divBdr>
      <w:divsChild>
        <w:div w:id="345594757">
          <w:marLeft w:val="0"/>
          <w:marRight w:val="0"/>
          <w:marTop w:val="0"/>
          <w:marBottom w:val="0"/>
          <w:divBdr>
            <w:top w:val="none" w:sz="0" w:space="0" w:color="auto"/>
            <w:left w:val="none" w:sz="0" w:space="0" w:color="auto"/>
            <w:bottom w:val="none" w:sz="0" w:space="0" w:color="auto"/>
            <w:right w:val="none" w:sz="0" w:space="0" w:color="auto"/>
          </w:divBdr>
        </w:div>
      </w:divsChild>
    </w:div>
    <w:div w:id="527372153">
      <w:bodyDiv w:val="1"/>
      <w:marLeft w:val="0"/>
      <w:marRight w:val="0"/>
      <w:marTop w:val="0"/>
      <w:marBottom w:val="0"/>
      <w:divBdr>
        <w:top w:val="none" w:sz="0" w:space="0" w:color="auto"/>
        <w:left w:val="none" w:sz="0" w:space="0" w:color="auto"/>
        <w:bottom w:val="none" w:sz="0" w:space="0" w:color="auto"/>
        <w:right w:val="none" w:sz="0" w:space="0" w:color="auto"/>
      </w:divBdr>
    </w:div>
    <w:div w:id="915868452">
      <w:bodyDiv w:val="1"/>
      <w:marLeft w:val="0"/>
      <w:marRight w:val="0"/>
      <w:marTop w:val="0"/>
      <w:marBottom w:val="0"/>
      <w:divBdr>
        <w:top w:val="none" w:sz="0" w:space="0" w:color="auto"/>
        <w:left w:val="none" w:sz="0" w:space="0" w:color="auto"/>
        <w:bottom w:val="none" w:sz="0" w:space="0" w:color="auto"/>
        <w:right w:val="none" w:sz="0" w:space="0" w:color="auto"/>
      </w:divBdr>
    </w:div>
    <w:div w:id="1564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Dreima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2D9B-CE2D-4494-8919-37887F62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1541</Words>
  <Characters>10892</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Veselības ministrija</Company>
  <LinksUpToDate>false</LinksUpToDate>
  <CharactersWithSpaces>12409</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Sandra Dreimane</dc:creator>
  <dc:description>Budžeta un investīciju departamenta Budžeta plānošanas nodaļa, 67876147, Sandra.Dreimane@vm.gov.lv</dc:description>
  <cp:lastModifiedBy>sdreimane</cp:lastModifiedBy>
  <cp:revision>79</cp:revision>
  <cp:lastPrinted>2013-12-17T07:51:00Z</cp:lastPrinted>
  <dcterms:created xsi:type="dcterms:W3CDTF">2013-11-29T10:41:00Z</dcterms:created>
  <dcterms:modified xsi:type="dcterms:W3CDTF">2013-12-17T08:09:00Z</dcterms:modified>
</cp:coreProperties>
</file>