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EF2C27" w:rsidRDefault="009F0273" w:rsidP="006D6377">
      <w:pPr>
        <w:jc w:val="center"/>
        <w:rPr>
          <w:bCs/>
          <w:sz w:val="28"/>
          <w:szCs w:val="28"/>
        </w:rPr>
      </w:pPr>
      <w:r w:rsidRPr="00EF2C27">
        <w:rPr>
          <w:bCs/>
          <w:sz w:val="28"/>
          <w:szCs w:val="28"/>
        </w:rPr>
        <w:t xml:space="preserve">Ministru kabineta </w:t>
      </w:r>
      <w:r w:rsidR="008F55E3">
        <w:rPr>
          <w:bCs/>
          <w:sz w:val="28"/>
          <w:szCs w:val="28"/>
        </w:rPr>
        <w:t>noteikumu</w:t>
      </w:r>
      <w:r w:rsidRPr="00EF2C27">
        <w:rPr>
          <w:bCs/>
          <w:sz w:val="28"/>
          <w:szCs w:val="28"/>
        </w:rPr>
        <w:t xml:space="preserve"> </w:t>
      </w:r>
    </w:p>
    <w:p w:rsidR="00332CA2" w:rsidRDefault="008F55E3" w:rsidP="00AB6EB1">
      <w:pPr>
        <w:jc w:val="center"/>
        <w:rPr>
          <w:bCs/>
          <w:sz w:val="28"/>
          <w:szCs w:val="28"/>
        </w:rPr>
      </w:pPr>
      <w:r>
        <w:rPr>
          <w:b/>
          <w:bCs/>
          <w:sz w:val="28"/>
          <w:szCs w:val="28"/>
        </w:rPr>
        <w:t>„</w:t>
      </w:r>
      <w:r w:rsidR="006B7A13">
        <w:rPr>
          <w:b/>
          <w:sz w:val="28"/>
          <w:szCs w:val="28"/>
        </w:rPr>
        <w:t xml:space="preserve">Zāļu valsts aģentūras </w:t>
      </w:r>
      <w:r w:rsidRPr="008F55E3">
        <w:rPr>
          <w:b/>
          <w:sz w:val="28"/>
          <w:szCs w:val="28"/>
        </w:rPr>
        <w:t>maksas pakalpojumu cenrādi</w:t>
      </w:r>
      <w:r w:rsidR="006B7A13">
        <w:rPr>
          <w:b/>
          <w:sz w:val="28"/>
          <w:szCs w:val="28"/>
        </w:rPr>
        <w:t>s</w:t>
      </w:r>
      <w:r w:rsidR="0048135E" w:rsidRPr="008F55E3">
        <w:rPr>
          <w:b/>
          <w:sz w:val="28"/>
          <w:szCs w:val="28"/>
        </w:rPr>
        <w:t>”</w:t>
      </w:r>
      <w:r w:rsidRPr="008F55E3">
        <w:rPr>
          <w:bCs/>
          <w:sz w:val="28"/>
          <w:szCs w:val="28"/>
        </w:rPr>
        <w:t xml:space="preserve"> </w:t>
      </w:r>
      <w:r w:rsidRPr="00EF2C27">
        <w:rPr>
          <w:bCs/>
          <w:sz w:val="28"/>
          <w:szCs w:val="28"/>
        </w:rPr>
        <w:t xml:space="preserve">projekta </w:t>
      </w:r>
      <w:r w:rsidR="009F0273" w:rsidRPr="00EF2C27">
        <w:rPr>
          <w:bCs/>
          <w:sz w:val="28"/>
          <w:szCs w:val="28"/>
        </w:rPr>
        <w:t>sākotnējā</w:t>
      </w:r>
      <w:r>
        <w:rPr>
          <w:bCs/>
          <w:sz w:val="28"/>
          <w:szCs w:val="28"/>
        </w:rPr>
        <w:t>s ietekmes novērtējuma ziņojums</w:t>
      </w:r>
    </w:p>
    <w:p w:rsidR="0048135E" w:rsidRDefault="009F0273" w:rsidP="00AB6EB1">
      <w:pPr>
        <w:jc w:val="center"/>
        <w:rPr>
          <w:sz w:val="28"/>
          <w:szCs w:val="28"/>
        </w:rPr>
      </w:pPr>
      <w:r w:rsidRPr="00EF2C27">
        <w:rPr>
          <w:bCs/>
          <w:sz w:val="28"/>
          <w:szCs w:val="28"/>
        </w:rPr>
        <w:t>(</w:t>
      </w:r>
      <w:r w:rsidRPr="004A5E75">
        <w:rPr>
          <w:bCs/>
          <w:i/>
          <w:sz w:val="28"/>
          <w:szCs w:val="28"/>
        </w:rPr>
        <w:t>anotācija</w:t>
      </w:r>
      <w:r w:rsidRPr="00EF2C27">
        <w:rPr>
          <w:bCs/>
          <w:sz w:val="28"/>
          <w:szCs w:val="28"/>
        </w:rPr>
        <w:t>)</w:t>
      </w:r>
      <w:r w:rsidRPr="00EF2C27">
        <w:rPr>
          <w:sz w:val="28"/>
          <w:szCs w:val="28"/>
        </w:rPr>
        <w:t> </w:t>
      </w:r>
    </w:p>
    <w:p w:rsidR="006A153A" w:rsidRPr="00AB6EB1" w:rsidRDefault="006A153A" w:rsidP="00AB6EB1">
      <w:pPr>
        <w:jc w:val="center"/>
        <w:rPr>
          <w:bCs/>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2306"/>
        <w:gridCol w:w="6590"/>
      </w:tblGrid>
      <w:tr w:rsidR="0048135E" w:rsidRPr="003F5D43" w:rsidTr="008D2A7D">
        <w:tc>
          <w:tcPr>
            <w:tcW w:w="9498" w:type="dxa"/>
            <w:gridSpan w:val="3"/>
          </w:tcPr>
          <w:p w:rsidR="0048135E" w:rsidRPr="003F5D43" w:rsidRDefault="0048135E" w:rsidP="0048135E">
            <w:pPr>
              <w:jc w:val="center"/>
              <w:rPr>
                <w:b/>
              </w:rPr>
            </w:pPr>
            <w:r w:rsidRPr="003F5D43">
              <w:rPr>
                <w:b/>
              </w:rPr>
              <w:t xml:space="preserve">I. Tiesību </w:t>
            </w:r>
            <w:smartTag w:uri="schemas-tilde-lv/tildestengine" w:element="veidnes">
              <w:smartTagPr>
                <w:attr w:name="baseform" w:val="akt|s"/>
                <w:attr w:name="id" w:val="-1"/>
                <w:attr w:name="text" w:val="akta"/>
              </w:smartTagPr>
              <w:r w:rsidRPr="003F5D43">
                <w:rPr>
                  <w:b/>
                </w:rPr>
                <w:t>akta</w:t>
              </w:r>
            </w:smartTag>
            <w:r w:rsidRPr="003F5D43">
              <w:rPr>
                <w:b/>
              </w:rPr>
              <w:t xml:space="preserve"> projekta izstrādes nepieciešamība</w:t>
            </w:r>
          </w:p>
        </w:tc>
      </w:tr>
      <w:tr w:rsidR="0048135E" w:rsidRPr="003F5D43" w:rsidTr="008D2A7D">
        <w:tc>
          <w:tcPr>
            <w:tcW w:w="602" w:type="dxa"/>
          </w:tcPr>
          <w:p w:rsidR="0048135E" w:rsidRPr="003F5D43" w:rsidRDefault="0048135E" w:rsidP="0048135E">
            <w:r w:rsidRPr="003F5D43">
              <w:t>1.</w:t>
            </w:r>
          </w:p>
        </w:tc>
        <w:tc>
          <w:tcPr>
            <w:tcW w:w="2306" w:type="dxa"/>
          </w:tcPr>
          <w:p w:rsidR="0048135E" w:rsidRPr="003F5D43" w:rsidRDefault="0048135E" w:rsidP="0048135E">
            <w:pPr>
              <w:jc w:val="both"/>
            </w:pPr>
            <w:r w:rsidRPr="003F5D43">
              <w:t>Pamatojums</w:t>
            </w:r>
          </w:p>
        </w:tc>
        <w:tc>
          <w:tcPr>
            <w:tcW w:w="6590" w:type="dxa"/>
          </w:tcPr>
          <w:p w:rsidR="00754FF6" w:rsidRPr="003F5D43" w:rsidRDefault="008F55E3" w:rsidP="008F55E3">
            <w:pPr>
              <w:jc w:val="both"/>
            </w:pPr>
            <w:r w:rsidRPr="003F5D43">
              <w:t>Publisko aģentūru likuma 5</w:t>
            </w:r>
            <w:r w:rsidR="00F63756" w:rsidRPr="003F5D43">
              <w:t xml:space="preserve">.panta </w:t>
            </w:r>
            <w:r w:rsidRPr="003F5D43">
              <w:t>pirmā daļa nosaka, ka valsts aģentūra sniedz maksas pakalpojumus, nodrošinot valsts pārvaldes uzdevumu īstenošanu saskaņā ar Ministru kabineta apstiprinātu cenrādi. Ministru kabineta noteikumos par pakalpojumu cenrādi nosaka maksāšanas kārtību, likmes un atvieglojumus, ja citos likumos nav noteikts citādi.</w:t>
            </w:r>
          </w:p>
          <w:p w:rsidR="00235D53" w:rsidRPr="003F5D43" w:rsidRDefault="00235D53" w:rsidP="008F55E3">
            <w:pPr>
              <w:jc w:val="both"/>
            </w:pPr>
            <w:r w:rsidRPr="003F5D43">
              <w:t xml:space="preserve">Publisko aģentūru likuma Pārejas noteikumu 4.punkts nosaka, ka </w:t>
            </w:r>
            <w:bookmarkStart w:id="0" w:name="bkm5"/>
            <w:r w:rsidRPr="003F5D43">
              <w:t>Ministru kabinets līdz 2013.gada 1.janvārim nodrošina nepieciešamo normatīvo aktu projektu izstrādi atbilstoši šā likuma prasībām</w:t>
            </w:r>
            <w:bookmarkEnd w:id="0"/>
            <w:r w:rsidRPr="003F5D43">
              <w:t>.</w:t>
            </w:r>
          </w:p>
          <w:p w:rsidR="00C00B84" w:rsidRDefault="00754FF6" w:rsidP="00235D53">
            <w:pPr>
              <w:jc w:val="both"/>
            </w:pPr>
            <w:r w:rsidRPr="003F5D43">
              <w:t>Saskaņā ar Ministru kabineta 2012.gada 31.jūlija noteikumu Nr.537 „Zāļu valsts aģentūras nolikums”</w:t>
            </w:r>
            <w:r w:rsidR="00D249FB" w:rsidRPr="003F5D43">
              <w:t xml:space="preserve"> (turpmāk – noteikumi Nr.537)</w:t>
            </w:r>
            <w:r w:rsidRPr="003F5D43">
              <w:t>, kas stā</w:t>
            </w:r>
            <w:r w:rsidR="00106CE1">
              <w:t>jās</w:t>
            </w:r>
            <w:r w:rsidRPr="003F5D43">
              <w:t xml:space="preserve"> spē</w:t>
            </w:r>
            <w:r w:rsidR="00106CE1">
              <w:t>kā 2013.gada 1.janvārī un izdoti</w:t>
            </w:r>
            <w:r w:rsidRPr="003F5D43">
              <w:t xml:space="preserve"> saskaņā ar Publisko aģentūru likumu, kas stājās spēkā 2010.gada 1.janvārī, 5.2.apakšpunktu Zāļu valsts aģentūrai </w:t>
            </w:r>
            <w:r w:rsidR="004C7D55" w:rsidRPr="003F5D43">
              <w:t xml:space="preserve">(turpmāk – aģentūra) </w:t>
            </w:r>
            <w:r w:rsidRPr="003F5D43">
              <w:t xml:space="preserve">ir tiesības iekasēt maksu par sniegtajiem publiskajiem pakalpojumiem Ministru kabineta noteiktajā apmērā. </w:t>
            </w:r>
            <w:r w:rsidR="008F55E3" w:rsidRPr="003F5D43">
              <w:t xml:space="preserve">Tādējādi </w:t>
            </w:r>
          </w:p>
          <w:p w:rsidR="00235D53" w:rsidRPr="003F5D43" w:rsidRDefault="008F55E3" w:rsidP="00235D53">
            <w:pPr>
              <w:jc w:val="both"/>
            </w:pPr>
            <w:r w:rsidRPr="003F5D43">
              <w:t xml:space="preserve">atbilstoši Ministru kabineta 2009.gada 7.aprīļa noteikumu Nr.300 „Ministru kabineta kārtības rullis” 26.punktam vienlaikus nepieciešams izstrādāt hierarhiski tāda paša līmeņa tiesību aktu, t.i., Ministru kabineta noteikumu „Noteikumi par </w:t>
            </w:r>
            <w:r w:rsidR="0058758B" w:rsidRPr="003F5D43">
              <w:t>Zāļu valsts aģentūras publisko</w:t>
            </w:r>
            <w:r w:rsidRPr="003F5D43">
              <w:t xml:space="preserve"> maksas pakalpojumu cenrādi” projektu, un iesniegt izskatīšanai Ministru kabineta sēdē.</w:t>
            </w:r>
            <w:r w:rsidR="00235D53" w:rsidRPr="003F5D43">
              <w:t xml:space="preserve"> </w:t>
            </w:r>
          </w:p>
          <w:p w:rsidR="00235D53" w:rsidRPr="003F5D43" w:rsidRDefault="00235D53" w:rsidP="00235D53">
            <w:pPr>
              <w:jc w:val="both"/>
              <w:rPr>
                <w:color w:val="000000"/>
              </w:rPr>
            </w:pPr>
            <w:r w:rsidRPr="003F5D43">
              <w:t>Likuma "Par miruša cilvēka ķermeņa aizsardzību un cilvēka audu un orgānu izmantošanu medicīnā” (ar grozījumiem, kas pieņemti 2012.gada 21.jūnijā) 4.</w:t>
            </w:r>
            <w:r w:rsidRPr="003F5D43">
              <w:rPr>
                <w:vertAlign w:val="superscript"/>
              </w:rPr>
              <w:t>1 </w:t>
            </w:r>
            <w:r w:rsidRPr="003F5D43">
              <w:t>pants nosaka, ka aģentūra saskaņā ar publisko maksas pakalpojumu</w:t>
            </w:r>
            <w:r w:rsidRPr="003F5D43">
              <w:rPr>
                <w:color w:val="000000"/>
              </w:rPr>
              <w:t xml:space="preserve"> cenrādi novērtē ārstniecības iestādes un augstskolas, kuras īsteno akreditētu medicīnas studiju programmu atbilstību prasībām, kas noteiktas audu vai orgānu izmantošanai, kā arī izsniedz audu vai orgānu izm</w:t>
            </w:r>
            <w:r w:rsidR="004C7D55" w:rsidRPr="003F5D43">
              <w:rPr>
                <w:color w:val="000000"/>
              </w:rPr>
              <w:t xml:space="preserve">antošanas atļauju. </w:t>
            </w:r>
            <w:r w:rsidRPr="003F5D43">
              <w:rPr>
                <w:color w:val="000000"/>
              </w:rPr>
              <w:t>Ja audu vai orgānu izmantošanas atļauja ir bojāta, iznīcināta, nozaudēta vai nolaupīta, juridiskās personas aģentūrā saņem atļaujas dublikātu.</w:t>
            </w:r>
          </w:p>
          <w:p w:rsidR="004C7D55" w:rsidRPr="003F5D43" w:rsidRDefault="004C7D55" w:rsidP="00235D53">
            <w:pPr>
              <w:jc w:val="both"/>
            </w:pPr>
            <w:r w:rsidRPr="003F5D43">
              <w:t>Noteikumi Nr.537 nosaka, ka aģentūras uzdevumi ir novērtēt un reģistrēt zāles, veikt zāļu kvalitātes ekspertīzi, veidot un aktualizēt Latvijas zāļu reģistru, izsniegt atbilstības sertifikātus audu, šūnu un orgānu ieguves (izmantošanas) vietām, ārstniecības iestāžu asins kabinetiem, asins sagatavošanas nodaļām un Valsts asinsdonoru centram, u.c.</w:t>
            </w:r>
          </w:p>
          <w:p w:rsidR="00235D53" w:rsidRPr="003F5D43" w:rsidRDefault="00235D53" w:rsidP="00235D53">
            <w:pPr>
              <w:jc w:val="both"/>
            </w:pPr>
            <w:r w:rsidRPr="003F5D43">
              <w:rPr>
                <w:color w:val="000000"/>
              </w:rPr>
              <w:t>Ministru kabineta 2011.gada 19.oktobra noteikumu Nr.800 „Farmaceitiskās darbības licencēšanas kārtība” 16. un 42.punkts.</w:t>
            </w:r>
          </w:p>
          <w:p w:rsidR="00D249FB" w:rsidRPr="003F5D43" w:rsidRDefault="00D249FB" w:rsidP="006F03FD">
            <w:pPr>
              <w:jc w:val="both"/>
            </w:pPr>
            <w:r w:rsidRPr="003F5D43">
              <w:t xml:space="preserve">Ministru kabineta 2011.gada 8.novembra sēdē (prot.Nr.66 20.§)  Veselības ministrijai tika dots uzdevums izstrādāt un veselības ministram līdz 2011.gada 15.decembrim noteiktā kārtībā iesniegt </w:t>
            </w:r>
            <w:r w:rsidRPr="003F5D43">
              <w:lastRenderedPageBreak/>
              <w:t>Ministru kabinetā noteikumu projektu „Grozījumi Ministru kabineta 2006.gada 17.janvāra noteikumos Nr.61 „Noteikumi par Zāļu valsts aģentūras publisko maksas pakalpojumu cenrādi””, saskaņojot aģentūras publisko maksas pakalpojumu apmēru ar maksu par atbilstošiem pakalpojumiem Igaunijā un Lietuvā.</w:t>
            </w:r>
          </w:p>
        </w:tc>
      </w:tr>
      <w:tr w:rsidR="0048135E" w:rsidRPr="003F5D43" w:rsidTr="008D2A7D">
        <w:tc>
          <w:tcPr>
            <w:tcW w:w="602" w:type="dxa"/>
          </w:tcPr>
          <w:p w:rsidR="0048135E" w:rsidRPr="003F5D43" w:rsidRDefault="0048135E" w:rsidP="0048135E">
            <w:r w:rsidRPr="003F5D43">
              <w:lastRenderedPageBreak/>
              <w:t xml:space="preserve">2. </w:t>
            </w:r>
          </w:p>
        </w:tc>
        <w:tc>
          <w:tcPr>
            <w:tcW w:w="2306" w:type="dxa"/>
          </w:tcPr>
          <w:p w:rsidR="0048135E" w:rsidRPr="003F5D43" w:rsidRDefault="0048135E" w:rsidP="0048135E">
            <w:pPr>
              <w:jc w:val="both"/>
            </w:pPr>
            <w:r w:rsidRPr="003F5D43">
              <w:t>Pašreizējā situācija un problēmas</w:t>
            </w:r>
          </w:p>
        </w:tc>
        <w:tc>
          <w:tcPr>
            <w:tcW w:w="6590" w:type="dxa"/>
          </w:tcPr>
          <w:p w:rsidR="00235D53" w:rsidRPr="003F5D43" w:rsidRDefault="0048135E" w:rsidP="007174E1">
            <w:pPr>
              <w:autoSpaceDE w:val="0"/>
              <w:autoSpaceDN w:val="0"/>
              <w:adjustRightInd w:val="0"/>
              <w:jc w:val="both"/>
            </w:pPr>
            <w:r w:rsidRPr="003F5D43">
              <w:rPr>
                <w:bCs/>
              </w:rPr>
              <w:t xml:space="preserve">    </w:t>
            </w:r>
            <w:r w:rsidR="00235D53" w:rsidRPr="003F5D43">
              <w:rPr>
                <w:rFonts w:eastAsia="Batang"/>
              </w:rPr>
              <w:t>Šobrīd aģentūra sniedz maksas pakalpojumus, piemērojot Ministru kabineta 2006.gada 17.janvāra noteikumus Nr.61 „Noteikumi par Zāļu valsts aģentūras publisko maksas pakalpojumu cenrādi”</w:t>
            </w:r>
            <w:r w:rsidR="00FF7453" w:rsidRPr="003F5D43">
              <w:rPr>
                <w:rFonts w:eastAsia="Batang"/>
              </w:rPr>
              <w:t xml:space="preserve"> (turpmāk – noteikumi Nr.61)</w:t>
            </w:r>
            <w:r w:rsidR="00235D53" w:rsidRPr="003F5D43">
              <w:rPr>
                <w:rFonts w:eastAsia="Batang"/>
              </w:rPr>
              <w:t xml:space="preserve">, kas izdoti saskaņā ar Likuma par budžetu un finanšu vadību 5.panta devīto daļu. </w:t>
            </w:r>
            <w:r w:rsidR="006F03FD" w:rsidRPr="003F5D43">
              <w:t>A</w:t>
            </w:r>
            <w:r w:rsidR="00235D53" w:rsidRPr="003F5D43">
              <w:t>ģentūras pakalpojumu izcenojumi ir izstrādāti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w:t>
            </w:r>
          </w:p>
          <w:p w:rsidR="007174E1" w:rsidRPr="003F5D43" w:rsidRDefault="00235D53" w:rsidP="007174E1">
            <w:pPr>
              <w:autoSpaceDE w:val="0"/>
              <w:autoSpaceDN w:val="0"/>
              <w:adjustRightInd w:val="0"/>
              <w:jc w:val="both"/>
            </w:pPr>
            <w:r w:rsidRPr="003F5D43">
              <w:t xml:space="preserve">   </w:t>
            </w:r>
            <w:r w:rsidR="0048135E" w:rsidRPr="003F5D43">
              <w:rPr>
                <w:bCs/>
              </w:rPr>
              <w:t xml:space="preserve">Atbilstoši noteikumiem Nr.537 </w:t>
            </w:r>
            <w:r w:rsidR="0048135E" w:rsidRPr="003F5D43">
              <w:rPr>
                <w:color w:val="2A2A2A"/>
              </w:rPr>
              <w:t xml:space="preserve">Veselības ministrijas padotībā esošā aģentūra </w:t>
            </w:r>
            <w:r w:rsidR="00106CE1">
              <w:rPr>
                <w:color w:val="2A2A2A"/>
              </w:rPr>
              <w:t>no</w:t>
            </w:r>
            <w:r w:rsidR="0048135E" w:rsidRPr="003F5D43">
              <w:rPr>
                <w:color w:val="2A2A2A"/>
              </w:rPr>
              <w:t xml:space="preserve"> 2013.gada </w:t>
            </w:r>
            <w:r w:rsidR="00106CE1">
              <w:rPr>
                <w:color w:val="2A2A2A"/>
              </w:rPr>
              <w:t>1.janvāri darbojas</w:t>
            </w:r>
            <w:r w:rsidR="0048135E" w:rsidRPr="003F5D43">
              <w:rPr>
                <w:color w:val="2A2A2A"/>
              </w:rPr>
              <w:t xml:space="preserve"> saskaņā ar Publisko aģentūru likuma prasībām</w:t>
            </w:r>
            <w:r w:rsidR="0048135E" w:rsidRPr="003F5D43">
              <w:rPr>
                <w:bCs/>
              </w:rPr>
              <w:t xml:space="preserve"> </w:t>
            </w:r>
            <w:r w:rsidR="0048135E" w:rsidRPr="003F5D43">
              <w:t xml:space="preserve">kā budžeta nefinansēta iestāde pakalpojumu sniegšanas jomā un </w:t>
            </w:r>
            <w:r w:rsidR="0058758B" w:rsidRPr="003F5D43">
              <w:t xml:space="preserve">valsts pārvaldes </w:t>
            </w:r>
            <w:r w:rsidR="0048135E" w:rsidRPr="003F5D43">
              <w:t>uzdevumu nodroši</w:t>
            </w:r>
            <w:r w:rsidR="00106CE1">
              <w:t>nāšanai saistītos izdevumus sedz</w:t>
            </w:r>
            <w:r w:rsidR="0048135E" w:rsidRPr="003F5D43">
              <w:t xml:space="preserve"> no ieņēmumiem no maksas pakalpojumu sniegšanas.</w:t>
            </w:r>
            <w:r w:rsidR="0058758B" w:rsidRPr="003F5D43">
              <w:t xml:space="preserve"> </w:t>
            </w:r>
            <w:r w:rsidR="006F03FD" w:rsidRPr="003F5D43">
              <w:t>A</w:t>
            </w:r>
            <w:r w:rsidR="0058758B" w:rsidRPr="003F5D43">
              <w:t>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w:t>
            </w:r>
          </w:p>
          <w:p w:rsidR="007174E1" w:rsidRPr="003F5D43" w:rsidRDefault="007174E1" w:rsidP="0048135E">
            <w:pPr>
              <w:autoSpaceDE w:val="0"/>
              <w:autoSpaceDN w:val="0"/>
              <w:adjustRightInd w:val="0"/>
              <w:jc w:val="both"/>
            </w:pPr>
            <w:r w:rsidRPr="003F5D43">
              <w:t xml:space="preserve">   </w:t>
            </w:r>
            <w:r w:rsidR="0048135E" w:rsidRPr="003F5D43">
              <w:t>Saskaņā ar Likuma par budžetu un finanšu vadību 41.panta (1</w:t>
            </w:r>
            <w:r w:rsidR="0048135E" w:rsidRPr="003F5D43">
              <w:rPr>
                <w:vertAlign w:val="superscript"/>
              </w:rPr>
              <w:t>1</w:t>
            </w:r>
            <w:r w:rsidR="0048135E" w:rsidRPr="003F5D43">
              <w:t xml:space="preserve">) daļu </w:t>
            </w:r>
            <w:r w:rsidRPr="003F5D43">
              <w:t>aģentūras kā budžeta nefinansētas iestādes 2013.gada budžets apstiprināts ar Ministru kabineta 2012.gada 30.oktobra rīkojumu Nr.521 „</w:t>
            </w:r>
            <w:r w:rsidRPr="003F5D43">
              <w:rPr>
                <w:bCs/>
                <w:lang w:eastAsia="en-US"/>
              </w:rPr>
              <w:t xml:space="preserve">Par Zāļu valsts aģentūras 2013.gada budžeta apstiprināšanu” </w:t>
            </w:r>
            <w:r w:rsidRPr="003F5D43">
              <w:t>ieņēmumu daļā 3 239 728 latu apmērā un izdevumu daļā 3 509 705 latu apmērā.</w:t>
            </w:r>
          </w:p>
          <w:p w:rsidR="0048135E" w:rsidRPr="003F5D43" w:rsidRDefault="00C326BE" w:rsidP="0048135E">
            <w:pPr>
              <w:autoSpaceDE w:val="0"/>
              <w:autoSpaceDN w:val="0"/>
              <w:adjustRightInd w:val="0"/>
              <w:jc w:val="both"/>
              <w:rPr>
                <w:color w:val="000000"/>
              </w:rPr>
            </w:pPr>
            <w:r w:rsidRPr="003F5D43">
              <w:t xml:space="preserve">   </w:t>
            </w:r>
            <w:r w:rsidR="0048135E" w:rsidRPr="003F5D43">
              <w:rPr>
                <w:color w:val="000000"/>
              </w:rPr>
              <w:t xml:space="preserve">Atbilstoši Ministru kabineta 2012.gada 21.augusta protokola Nr.48 36.§ </w:t>
            </w:r>
            <w:r w:rsidR="007174E1" w:rsidRPr="003F5D43">
              <w:rPr>
                <w:color w:val="000000"/>
              </w:rPr>
              <w:t>4.punktam, Veselības ministrija ir iesniegusi</w:t>
            </w:r>
            <w:r w:rsidR="0048135E" w:rsidRPr="003F5D43">
              <w:rPr>
                <w:color w:val="000000"/>
              </w:rPr>
              <w:t xml:space="preserve"> priekšlikumu par ieņēmumu no maksas pakalpojumiem un citu pašu ieņēmumu un tiem atbilstošo izdevumu samazinājumu 3 327 889 latu apmērā </w:t>
            </w:r>
            <w:r w:rsidR="007174E1" w:rsidRPr="003F5D43">
              <w:rPr>
                <w:color w:val="000000"/>
              </w:rPr>
              <w:t>Veselības ministrijas</w:t>
            </w:r>
            <w:r w:rsidR="0048135E" w:rsidRPr="003F5D43">
              <w:rPr>
                <w:color w:val="000000"/>
              </w:rPr>
              <w:t xml:space="preserve"> budžeta programmā 48.00.00 „Medikamentu un medicīnas preču novērtēšana un reģistrācija” 2013.gadā un turpmākajos gados</w:t>
            </w:r>
            <w:r w:rsidR="007174E1" w:rsidRPr="003F5D43">
              <w:rPr>
                <w:color w:val="000000"/>
              </w:rPr>
              <w:t xml:space="preserve">, kas ir atbalstīts Saeimā otrajā lasījumā, </w:t>
            </w:r>
            <w:r w:rsidR="00D249FB" w:rsidRPr="003F5D43">
              <w:rPr>
                <w:color w:val="000000"/>
              </w:rPr>
              <w:t xml:space="preserve">2012.gada 15.novembrī </w:t>
            </w:r>
            <w:r w:rsidR="007174E1" w:rsidRPr="003F5D43">
              <w:rPr>
                <w:color w:val="000000"/>
              </w:rPr>
              <w:t>izskatot likumprojektu</w:t>
            </w:r>
            <w:r w:rsidR="0048135E" w:rsidRPr="003F5D43">
              <w:rPr>
                <w:color w:val="000000"/>
              </w:rPr>
              <w:t xml:space="preserve"> „Par valsts budžetu 2013.gadam”</w:t>
            </w:r>
            <w:r w:rsidR="006F03FD" w:rsidRPr="003F5D43">
              <w:rPr>
                <w:color w:val="000000"/>
              </w:rPr>
              <w:t xml:space="preserve"> un likumprojektu „Par vidēja termiņa budžeta ietvaru 2013.-2015.gadam”</w:t>
            </w:r>
            <w:r w:rsidR="0048135E" w:rsidRPr="003F5D43">
              <w:rPr>
                <w:color w:val="000000"/>
              </w:rPr>
              <w:t>.</w:t>
            </w:r>
          </w:p>
          <w:p w:rsidR="00187163" w:rsidRPr="00C00B84" w:rsidRDefault="0048135E" w:rsidP="00FF7453">
            <w:pPr>
              <w:jc w:val="both"/>
              <w:rPr>
                <w:color w:val="000000"/>
              </w:rPr>
            </w:pPr>
            <w:r w:rsidRPr="003F5D43">
              <w:rPr>
                <w:color w:val="000000"/>
              </w:rPr>
              <w:t xml:space="preserve">   </w:t>
            </w:r>
            <w:r w:rsidR="00D249FB" w:rsidRPr="003F5D43">
              <w:rPr>
                <w:color w:val="000000"/>
              </w:rPr>
              <w:t xml:space="preserve">Tā kā </w:t>
            </w:r>
            <w:r w:rsidR="00106CE1">
              <w:rPr>
                <w:color w:val="000000"/>
              </w:rPr>
              <w:t>no 2013.gada 1.janvāra</w:t>
            </w:r>
            <w:r w:rsidR="00D249FB" w:rsidRPr="003F5D43">
              <w:rPr>
                <w:color w:val="000000"/>
              </w:rPr>
              <w:t xml:space="preserve"> aģentūra dar</w:t>
            </w:r>
            <w:r w:rsidR="00106CE1">
              <w:rPr>
                <w:color w:val="000000"/>
              </w:rPr>
              <w:t>bojas</w:t>
            </w:r>
            <w:r w:rsidR="00D249FB" w:rsidRPr="003F5D43">
              <w:rPr>
                <w:color w:val="000000"/>
              </w:rPr>
              <w:t xml:space="preserve"> saskaņā ar Publisko aģentūru likuma prasībām un atbilstoši jaunajam nolikumam – noteikumiem Nr.537, aģentūrai ir tiesības sniegt maksas pakalpojumus Ministru kabineta noteiktajā apmērā, tad ir nepieciešams izstrādāt Ministru kabineta noteikumu „Noteikumi par aģentūras maksas pakalpojumu cenrādi”</w:t>
            </w:r>
            <w:r w:rsidR="00FF7453" w:rsidRPr="003F5D43">
              <w:rPr>
                <w:color w:val="000000"/>
              </w:rPr>
              <w:t xml:space="preserve"> </w:t>
            </w:r>
            <w:r w:rsidR="008A495D">
              <w:rPr>
                <w:color w:val="000000"/>
              </w:rPr>
              <w:t xml:space="preserve">projektu </w:t>
            </w:r>
            <w:r w:rsidR="00FF7453" w:rsidRPr="003F5D43">
              <w:rPr>
                <w:color w:val="000000"/>
              </w:rPr>
              <w:t>(turpmāk – noteikumu projekts)</w:t>
            </w:r>
            <w:r w:rsidR="002B2762">
              <w:rPr>
                <w:color w:val="000000"/>
              </w:rPr>
              <w:t>, kas izdodams</w:t>
            </w:r>
            <w:r w:rsidR="00C00B84">
              <w:rPr>
                <w:color w:val="000000"/>
              </w:rPr>
              <w:t xml:space="preserve"> </w:t>
            </w:r>
            <w:r w:rsidR="002B2762">
              <w:rPr>
                <w:color w:val="000000"/>
              </w:rPr>
              <w:t>uz</w:t>
            </w:r>
            <w:r w:rsidR="00C00B84">
              <w:rPr>
                <w:color w:val="000000"/>
              </w:rPr>
              <w:t xml:space="preserve"> Publisko </w:t>
            </w:r>
            <w:r w:rsidR="002B2762">
              <w:rPr>
                <w:color w:val="000000"/>
              </w:rPr>
              <w:t>aģentūru likuma 5.panta pirmās daļas pamata</w:t>
            </w:r>
            <w:r w:rsidR="00C00B84">
              <w:rPr>
                <w:color w:val="000000"/>
              </w:rPr>
              <w:t xml:space="preserve">. </w:t>
            </w:r>
            <w:r w:rsidR="00D227CB" w:rsidRPr="00AF1DD9">
              <w:t xml:space="preserve">Vienlaicīgi, lai pildītu Ministru </w:t>
            </w:r>
            <w:r w:rsidR="00D227CB" w:rsidRPr="00AF1DD9">
              <w:lastRenderedPageBreak/>
              <w:t>kabineta 2011.gada 8.novembra sēdē (prot.Nr.66 20.§) Veselības ministrijai doto uzdevumu, Zāļu valsts aģentūra ir izvērtējusi iespējas veikt cenu samazinājumu zāļu reģistrācijas pakalpojumiem.</w:t>
            </w:r>
            <w:r w:rsidR="00D227CB" w:rsidRPr="003F5D43">
              <w:rPr>
                <w:color w:val="FF0000"/>
              </w:rPr>
              <w:t xml:space="preserve">  </w:t>
            </w:r>
            <w:r w:rsidR="00FF7453" w:rsidRPr="003F5D43">
              <w:rPr>
                <w:rFonts w:eastAsia="Batang"/>
              </w:rPr>
              <w:t>A</w:t>
            </w:r>
            <w:r w:rsidR="00187163" w:rsidRPr="003F5D43">
              <w:rPr>
                <w:rFonts w:eastAsia="Batang"/>
              </w:rPr>
              <w:t>ģentūras jaunais cenrādis tiks izstrādāts uz vecā cenrāža (noteikumu Nr.61 pielikums) bāzes, vienlaikus to aktualizējot un papildinot atbilstoši spēkā esošajiem normatīvajiem aktiem un faktiskajai situācijai:</w:t>
            </w:r>
          </w:p>
          <w:p w:rsidR="00187163" w:rsidRPr="003F5D43" w:rsidRDefault="00187163" w:rsidP="00187163">
            <w:pPr>
              <w:pStyle w:val="NoSpacing"/>
              <w:numPr>
                <w:ilvl w:val="0"/>
                <w:numId w:val="29"/>
              </w:numPr>
              <w:tabs>
                <w:tab w:val="left" w:pos="430"/>
              </w:tabs>
              <w:ind w:left="146" w:firstLine="0"/>
              <w:jc w:val="both"/>
              <w:rPr>
                <w:rFonts w:ascii="Times New Roman" w:hAnsi="Times New Roman"/>
                <w:sz w:val="24"/>
                <w:szCs w:val="24"/>
                <w:lang w:val="lv-LV"/>
              </w:rPr>
            </w:pPr>
            <w:r w:rsidRPr="003F5D43">
              <w:rPr>
                <w:rFonts w:ascii="Times New Roman" w:eastAsia="Batang" w:hAnsi="Times New Roman"/>
                <w:sz w:val="24"/>
                <w:szCs w:val="24"/>
                <w:lang w:val="lv-LV"/>
              </w:rPr>
              <w:t xml:space="preserve"> saskaņā ar noteikumu Nr. 61 4.punktu „</w:t>
            </w:r>
            <w:r w:rsidRPr="003F5D43">
              <w:rPr>
                <w:rFonts w:ascii="Times New Roman" w:hAnsi="Times New Roman"/>
                <w:sz w:val="24"/>
                <w:szCs w:val="24"/>
                <w:lang w:val="lv-LV"/>
              </w:rPr>
              <w:t xml:space="preserve">Zāļu valsts aģentūra, pamatojoties uz zāļu reģistrācijas īpašnieka vai reģistrācijas iesniedzēja iesniegumu, ir tiesīga pieņemt lēmumu par iesniedzēja atbrīvošanu no zāļu pēcreģistrācijas uzraudzības gada maksas, ja attiecīgo zāļu apgrozījums iepriekšējā kalendāra gadā nepārsniedza 1500 latu un tās ir nepieciešamas ārstniecības procesa nodrošināšanai”. Zāļu pēcreģistrācijas </w:t>
            </w:r>
            <w:r w:rsidR="00106CE1">
              <w:rPr>
                <w:rFonts w:ascii="Times New Roman" w:hAnsi="Times New Roman"/>
                <w:sz w:val="24"/>
                <w:szCs w:val="24"/>
                <w:lang w:val="lv-LV"/>
              </w:rPr>
              <w:t>uzturēšana</w:t>
            </w:r>
            <w:r w:rsidRPr="003F5D43">
              <w:rPr>
                <w:rFonts w:ascii="Times New Roman" w:hAnsi="Times New Roman"/>
                <w:sz w:val="24"/>
                <w:szCs w:val="24"/>
                <w:lang w:val="lv-LV"/>
              </w:rPr>
              <w:t xml:space="preserve"> ietver, piemēram,</w:t>
            </w:r>
            <w:r w:rsidRPr="003F5D43">
              <w:rPr>
                <w:rFonts w:ascii="Times New Roman" w:hAnsi="Times New Roman"/>
                <w:color w:val="000000"/>
                <w:sz w:val="24"/>
                <w:szCs w:val="24"/>
                <w:lang w:val="lv-LV"/>
              </w:rPr>
              <w:t xml:space="preserve"> informācijas vākšanu par aktualitātēm zāļu kvalitātes   jomā, datu bāzu veidošanu un aktualizēšanu par Latvijas Republikā reģistrētajām zālēm, to produktu informāciju (zāļu aprakstu, lietošanas instrukciju un marķējumu), zāļu izraisītajām blakusparādībām, zāļu patēriņa statistiku, zāļu ievešanas, izvešanas un izplatīšanas atļaujām, narkotisko un psihotropo vielu un prekursoru aprites uzskaiti, zāļu lietošanas novērojumiem, zāļu pieejamību tirgū, un datu reģistru uzturēšanu, labas izplatīšanas prakses pārbaužu laikā iegūtās informācijas analizēšanu un novērtēšanu, zāļu ekspertīzes laboratorijas uzturēšanu, decentralizētās un savstarpējas atzīšanas procedūru gadījumā  tiek nodrošināta informācijas par katru iesniegumu reģistrācijai, pārreģistrācijai vai izmaiņām ievadīšana pirms procedūras sākuma un papildināšana procedūras laikā un beigās CTS (Communication and tracking system) datu bāzē, kas nav uzskatāms par uzraudzību, ko veic aģentūra. Ņemot vērā augstāk minēto, kā arī pamatojoties uz </w:t>
            </w:r>
            <w:r w:rsidR="00FF7453" w:rsidRPr="003F5D43">
              <w:rPr>
                <w:rFonts w:ascii="Times New Roman" w:hAnsi="Times New Roman"/>
                <w:color w:val="000000"/>
                <w:sz w:val="24"/>
                <w:szCs w:val="24"/>
                <w:lang w:val="lv-LV"/>
              </w:rPr>
              <w:t>noteikumiem Nr.</w:t>
            </w:r>
            <w:r w:rsidRPr="003F5D43">
              <w:rPr>
                <w:rFonts w:ascii="Times New Roman" w:hAnsi="Times New Roman"/>
                <w:color w:val="000000"/>
                <w:sz w:val="24"/>
                <w:szCs w:val="24"/>
                <w:lang w:val="lv-LV"/>
              </w:rPr>
              <w:t>537, nepieciešams precizēt vārdu savienojumu „zāļu pēcreģistr</w:t>
            </w:r>
            <w:r w:rsidR="00FF7453" w:rsidRPr="003F5D43">
              <w:rPr>
                <w:rFonts w:ascii="Times New Roman" w:hAnsi="Times New Roman"/>
                <w:color w:val="000000"/>
                <w:sz w:val="24"/>
                <w:szCs w:val="24"/>
                <w:lang w:val="lv-LV"/>
              </w:rPr>
              <w:t xml:space="preserve">ācijas uzraudzības gada maksa”, </w:t>
            </w:r>
            <w:r w:rsidRPr="003F5D43">
              <w:rPr>
                <w:rFonts w:ascii="Times New Roman" w:hAnsi="Times New Roman"/>
                <w:color w:val="000000"/>
                <w:sz w:val="24"/>
                <w:szCs w:val="24"/>
                <w:lang w:val="lv-LV"/>
              </w:rPr>
              <w:t>aizvietojot to ar vārdiem „zāļu pēcreģistrācijas uzturēšanas gada maksa”;</w:t>
            </w:r>
          </w:p>
          <w:p w:rsidR="00FF7453" w:rsidRPr="003F5D43" w:rsidRDefault="00187163" w:rsidP="00187163">
            <w:pPr>
              <w:pStyle w:val="NoSpacing"/>
              <w:numPr>
                <w:ilvl w:val="0"/>
                <w:numId w:val="29"/>
              </w:numPr>
              <w:tabs>
                <w:tab w:val="left" w:pos="430"/>
              </w:tabs>
              <w:ind w:left="146" w:firstLine="0"/>
              <w:jc w:val="both"/>
              <w:rPr>
                <w:rFonts w:ascii="Times New Roman" w:hAnsi="Times New Roman"/>
                <w:sz w:val="24"/>
                <w:szCs w:val="24"/>
                <w:lang w:val="lv-LV"/>
              </w:rPr>
            </w:pPr>
            <w:bookmarkStart w:id="1" w:name="bkm8"/>
            <w:r w:rsidRPr="003F5D43">
              <w:rPr>
                <w:rFonts w:ascii="Times New Roman" w:hAnsi="Times New Roman"/>
                <w:sz w:val="24"/>
                <w:szCs w:val="24"/>
                <w:lang w:val="lv-LV"/>
              </w:rPr>
              <w:t xml:space="preserve">saskaņā ar Ministru kabineta 2011.gada 27.oktobra noteikumiem Nr.800 „Farmaceitiskās darbības licencēšanas kārtība”  (turpmāk – noteikumi Nr.800) 42.punktu, ja ir izmaiņas licencē vai tās pielikumos norādītajā informācijā, licences turētājs piecu darba dienu laikā pēc izmaiņu ieviešanas iesniedz aģentūrā iesniegumu par licences pārreģistrāciju. </w:t>
            </w:r>
            <w:r w:rsidR="00FF7453" w:rsidRPr="003F5D43">
              <w:rPr>
                <w:rFonts w:ascii="Times New Roman" w:hAnsi="Times New Roman"/>
                <w:sz w:val="24"/>
                <w:szCs w:val="24"/>
                <w:lang w:val="lv-LV"/>
              </w:rPr>
              <w:t>A</w:t>
            </w:r>
            <w:r w:rsidRPr="003F5D43">
              <w:rPr>
                <w:rFonts w:ascii="Times New Roman" w:hAnsi="Times New Roman"/>
                <w:sz w:val="24"/>
                <w:szCs w:val="24"/>
                <w:lang w:val="lv-LV"/>
              </w:rPr>
              <w:t>ģentūrā tiek saņemti iesniegumi, kuru izvērtēšanas laikā tiek konstatēts, ka saskaņā ar licencēšanas lietā esošajiem materiāliem ir notikušas izmaiņas farmaceitiskās darbības uzņēmuma adresē, piemēram, Valsts zemes dienesta Valsts adrešu reģistrā ir norādīta cita adrese.</w:t>
            </w:r>
            <w:r w:rsidRPr="003F5D43">
              <w:rPr>
                <w:rFonts w:ascii="Times New Roman" w:hAnsi="Times New Roman"/>
                <w:noProof/>
                <w:sz w:val="24"/>
                <w:szCs w:val="24"/>
                <w:lang w:val="lv-LV"/>
              </w:rPr>
              <w:t xml:space="preserve"> </w:t>
            </w:r>
            <w:r w:rsidRPr="003F5D43">
              <w:rPr>
                <w:rFonts w:ascii="Times New Roman" w:hAnsi="Times New Roman"/>
                <w:sz w:val="24"/>
                <w:szCs w:val="24"/>
                <w:lang w:val="lv-LV"/>
              </w:rPr>
              <w:t xml:space="preserve">Ņemot vērā iepriekš minēto, nepieciešams precizēt </w:t>
            </w:r>
            <w:r w:rsidRPr="003F5D43">
              <w:rPr>
                <w:rFonts w:ascii="Times New Roman" w:hAnsi="Times New Roman"/>
                <w:bCs/>
                <w:sz w:val="24"/>
                <w:szCs w:val="24"/>
                <w:lang w:val="lv-LV"/>
              </w:rPr>
              <w:t>pielikuma 18.4. un 18.9.apakšpunkta pakalpojuma nosaukumu.</w:t>
            </w:r>
            <w:r w:rsidR="00FF7453" w:rsidRPr="003F5D43">
              <w:rPr>
                <w:rFonts w:ascii="Times New Roman" w:hAnsi="Times New Roman"/>
                <w:bCs/>
                <w:sz w:val="24"/>
                <w:szCs w:val="24"/>
                <w:lang w:val="lv-LV"/>
              </w:rPr>
              <w:t xml:space="preserve"> </w:t>
            </w:r>
            <w:r w:rsidRPr="003F5D43">
              <w:rPr>
                <w:rFonts w:ascii="Times New Roman" w:hAnsi="Times New Roman"/>
                <w:sz w:val="24"/>
                <w:szCs w:val="24"/>
                <w:lang w:val="lv-LV"/>
              </w:rPr>
              <w:t xml:space="preserve">Savukārt, noteikumu Nr.800 16.punkts nosaka, ja vispārēja tipa aptieku vai aptiekas filiāli atver no jauna vai pārvieto, licences pretendents pirms šo noteikumu 15.punktā minētā iesnieguma iesniegšanas aģentūrā iesniedz iesniegumu, kurā norāda aptieku </w:t>
            </w:r>
            <w:r w:rsidRPr="003F5D43">
              <w:rPr>
                <w:rFonts w:ascii="Times New Roman" w:hAnsi="Times New Roman"/>
                <w:sz w:val="24"/>
                <w:szCs w:val="24"/>
                <w:lang w:val="lv-LV"/>
              </w:rPr>
              <w:lastRenderedPageBreak/>
              <w:t xml:space="preserve">un aptiekas filiāli, kurai mainīsies farmaceitiskās darbības vieta, un jauno farmaceitiskās darbības vietas adresi, kā arī norāda, vai paredzama zāļu izgatavošana un diennakts darbs. Ja aptieku pārvieto, iesniegumam pielikumā pievieno normatīvajos aktos par aptieku izvietojuma kritērijiem minēto teritorijas plānojuma karti, kurā norādītas tuvāko aptieku atrašanās vietas un kurā iesniedzējs atzīmējis apli (ar rādiusu </w:t>
            </w:r>
            <w:smartTag w:uri="urn:schemas-microsoft-com:office:smarttags" w:element="metricconverter">
              <w:smartTagPr>
                <w:attr w:name="ProductID" w:val="500 m"/>
              </w:smartTagPr>
              <w:r w:rsidRPr="003F5D43">
                <w:rPr>
                  <w:rFonts w:ascii="Times New Roman" w:hAnsi="Times New Roman"/>
                  <w:sz w:val="24"/>
                  <w:szCs w:val="24"/>
                  <w:lang w:val="lv-LV"/>
                </w:rPr>
                <w:t>500 m</w:t>
              </w:r>
            </w:smartTag>
            <w:r w:rsidRPr="003F5D43">
              <w:rPr>
                <w:rFonts w:ascii="Times New Roman" w:hAnsi="Times New Roman"/>
                <w:sz w:val="24"/>
                <w:szCs w:val="24"/>
                <w:lang w:val="lv-LV"/>
              </w:rPr>
              <w:t xml:space="preserve">), kura centrā atrodas pārvietojamā jaunatveramā aptieka. Šāda kārtība tika noteikta, lai nerastos gadījumi, kad uz vienu un to pašu vietu (telpu vai juridisko adresi) tiek iesniegti dokumenti vai atvērtas vienlaicīgi vairākas aptiekas. Komersants, pirms iesniedz dokumentus speciālās atļaujas (licences) saņemšanai jaunā farmaceitiskā vietā, aģentūrā iesniedz </w:t>
            </w:r>
            <w:r w:rsidR="00C55053">
              <w:rPr>
                <w:rFonts w:ascii="Times New Roman" w:hAnsi="Times New Roman"/>
                <w:sz w:val="24"/>
                <w:szCs w:val="24"/>
                <w:lang w:val="lv-LV"/>
              </w:rPr>
              <w:t>iesniegumu</w:t>
            </w:r>
            <w:r w:rsidRPr="003F5D43">
              <w:rPr>
                <w:rFonts w:ascii="Times New Roman" w:hAnsi="Times New Roman"/>
                <w:sz w:val="24"/>
                <w:szCs w:val="24"/>
                <w:lang w:val="lv-LV"/>
              </w:rPr>
              <w:t xml:space="preserve">, kurā informē par jauno farmaceitiskās darbības vietas adresi. </w:t>
            </w:r>
            <w:r w:rsidR="00FF7453" w:rsidRPr="003F5D43">
              <w:rPr>
                <w:rFonts w:ascii="Times New Roman" w:hAnsi="Times New Roman"/>
                <w:sz w:val="24"/>
                <w:szCs w:val="24"/>
                <w:lang w:val="lv-LV"/>
              </w:rPr>
              <w:t>A</w:t>
            </w:r>
            <w:r w:rsidRPr="003F5D43">
              <w:rPr>
                <w:rFonts w:ascii="Times New Roman" w:hAnsi="Times New Roman"/>
                <w:sz w:val="24"/>
                <w:szCs w:val="24"/>
                <w:lang w:val="lv-LV"/>
              </w:rPr>
              <w:t xml:space="preserve">ģentūrai šādi iesniegumi ir jāizskata īsā laikā (5 darba dienu laikā) un jāpieņem attiecīgs lēmums par vietas apstiprināšanu. Vietas adreses apstiprināšanai nepieciešams veikt pārbaudi dažādās informācijas sistēmās (piemēram, Valsts zemes dienesta Valsts adrešu reģistrā, Latvijas Republikas Centrālās statistikas pārvaldes datu bāzē u.c.), nepieciešamības gadījumā, jālūdz palīdzība citām kompetentām iestādēm (piemēram, </w:t>
            </w:r>
            <w:r w:rsidRPr="003F5D43">
              <w:rPr>
                <w:rStyle w:val="lbldescriptioncl"/>
                <w:rFonts w:ascii="Times New Roman" w:hAnsi="Times New Roman"/>
                <w:sz w:val="24"/>
                <w:szCs w:val="24"/>
                <w:lang w:val="lv-LV"/>
              </w:rPr>
              <w:t>valsts aģentūrai "Latvijas Ģeotelpiskās informācijas aģentūra", attiecīgās teritorijas pašvaldībai</w:t>
            </w:r>
            <w:r w:rsidRPr="003F5D43">
              <w:rPr>
                <w:rFonts w:ascii="Times New Roman" w:hAnsi="Times New Roman"/>
                <w:sz w:val="24"/>
                <w:szCs w:val="24"/>
                <w:lang w:val="lv-LV"/>
              </w:rPr>
              <w:t>), lai vietas izvērtēšanas lēmums būtu pamatots un tiesisks.  Saskaņā ar noteikumu Nr.800 23., 24.punktu, 77.11., 77.12.apakšpunktu</w:t>
            </w:r>
            <w:r w:rsidRPr="003F5D43">
              <w:rPr>
                <w:rFonts w:ascii="Times New Roman" w:hAnsi="Times New Roman"/>
                <w:b/>
                <w:sz w:val="24"/>
                <w:szCs w:val="24"/>
                <w:lang w:val="lv-LV"/>
              </w:rPr>
              <w:t xml:space="preserve"> </w:t>
            </w:r>
            <w:r w:rsidRPr="003F5D43">
              <w:rPr>
                <w:rFonts w:ascii="Times New Roman" w:hAnsi="Times New Roman"/>
                <w:sz w:val="24"/>
                <w:szCs w:val="24"/>
                <w:lang w:val="lv-LV"/>
              </w:rPr>
              <w:t>aģentūras</w:t>
            </w:r>
            <w:r w:rsidRPr="003F5D43">
              <w:rPr>
                <w:rFonts w:ascii="Times New Roman" w:hAnsi="Times New Roman"/>
                <w:b/>
                <w:sz w:val="24"/>
                <w:szCs w:val="24"/>
                <w:lang w:val="lv-LV"/>
              </w:rPr>
              <w:t xml:space="preserve"> </w:t>
            </w:r>
            <w:r w:rsidRPr="003F5D43">
              <w:rPr>
                <w:rFonts w:ascii="Times New Roman" w:hAnsi="Times New Roman"/>
                <w:bCs/>
                <w:sz w:val="24"/>
                <w:szCs w:val="24"/>
                <w:lang w:val="lv-LV"/>
              </w:rPr>
              <w:t>lēmumu nosūta komersant</w:t>
            </w:r>
            <w:r w:rsidR="00FF7453" w:rsidRPr="003F5D43">
              <w:rPr>
                <w:rFonts w:ascii="Times New Roman" w:hAnsi="Times New Roman"/>
                <w:bCs/>
                <w:sz w:val="24"/>
                <w:szCs w:val="24"/>
                <w:lang w:val="lv-LV"/>
              </w:rPr>
              <w:t xml:space="preserve">am pa </w:t>
            </w:r>
            <w:r w:rsidR="00FF7453" w:rsidRPr="003E43A4">
              <w:rPr>
                <w:rFonts w:ascii="Times New Roman" w:hAnsi="Times New Roman"/>
                <w:bCs/>
                <w:sz w:val="24"/>
                <w:szCs w:val="24"/>
                <w:lang w:val="lv-LV"/>
              </w:rPr>
              <w:t xml:space="preserve">pastu un faksu, publisko </w:t>
            </w:r>
            <w:r w:rsidRPr="003E43A4">
              <w:rPr>
                <w:rFonts w:ascii="Times New Roman" w:hAnsi="Times New Roman"/>
                <w:bCs/>
                <w:sz w:val="24"/>
                <w:szCs w:val="24"/>
                <w:lang w:val="lv-LV"/>
              </w:rPr>
              <w:t xml:space="preserve">aģentūras tīmekļa vietnē </w:t>
            </w:r>
            <w:hyperlink r:id="rId8" w:history="1">
              <w:r w:rsidRPr="003E43A4">
                <w:rPr>
                  <w:rStyle w:val="Hyperlink"/>
                  <w:rFonts w:ascii="Times New Roman" w:hAnsi="Times New Roman"/>
                  <w:bCs/>
                  <w:color w:val="auto"/>
                  <w:sz w:val="24"/>
                  <w:szCs w:val="24"/>
                  <w:lang w:val="lv-LV"/>
                </w:rPr>
                <w:t>www.zva.gov.lv</w:t>
              </w:r>
            </w:hyperlink>
            <w:r w:rsidR="003E43A4" w:rsidRPr="003E43A4">
              <w:rPr>
                <w:rFonts w:ascii="Times New Roman" w:hAnsi="Times New Roman"/>
                <w:bCs/>
                <w:sz w:val="24"/>
                <w:szCs w:val="24"/>
                <w:lang w:val="lv-LV"/>
              </w:rPr>
              <w:t>.</w:t>
            </w:r>
            <w:r w:rsidR="003E43A4">
              <w:rPr>
                <w:rFonts w:ascii="Times New Roman" w:hAnsi="Times New Roman"/>
                <w:bCs/>
                <w:sz w:val="24"/>
                <w:szCs w:val="24"/>
                <w:lang w:val="lv-LV"/>
              </w:rPr>
              <w:t xml:space="preserve"> </w:t>
            </w:r>
            <w:r w:rsidRPr="003F5D43">
              <w:rPr>
                <w:rFonts w:ascii="Times New Roman" w:hAnsi="Times New Roman"/>
                <w:sz w:val="24"/>
                <w:szCs w:val="24"/>
                <w:lang w:val="lv-LV"/>
              </w:rPr>
              <w:t xml:space="preserve">Ņemot vērā iepriekš minēto, nepieciešams papildināt </w:t>
            </w:r>
            <w:r w:rsidR="00FF7453" w:rsidRPr="003F5D43">
              <w:rPr>
                <w:rFonts w:ascii="Times New Roman" w:hAnsi="Times New Roman"/>
                <w:sz w:val="24"/>
                <w:szCs w:val="24"/>
                <w:lang w:val="lv-LV"/>
              </w:rPr>
              <w:t>n</w:t>
            </w:r>
            <w:r w:rsidRPr="003F5D43">
              <w:rPr>
                <w:rFonts w:ascii="Times New Roman" w:hAnsi="Times New Roman"/>
                <w:sz w:val="24"/>
                <w:szCs w:val="24"/>
                <w:lang w:val="lv-LV"/>
              </w:rPr>
              <w:t>oteikumu projekta pielikumu ar jaunu maksas pakalpojumu, t.i., 18.14.apakšpunktu „Komersanta iesnieguma par farmaceitiskās darbības vietas (adreses) apstiprināšanu izskatīšana”;</w:t>
            </w:r>
          </w:p>
          <w:p w:rsidR="00D9105D" w:rsidRPr="003F5D43" w:rsidRDefault="00187163" w:rsidP="00D9105D">
            <w:pPr>
              <w:pStyle w:val="NoSpacing"/>
              <w:tabs>
                <w:tab w:val="left" w:pos="430"/>
              </w:tabs>
              <w:ind w:left="146"/>
              <w:jc w:val="both"/>
              <w:rPr>
                <w:rFonts w:ascii="Times New Roman" w:hAnsi="Times New Roman"/>
                <w:color w:val="000000"/>
                <w:sz w:val="24"/>
                <w:szCs w:val="24"/>
                <w:lang w:val="lv-LV"/>
              </w:rPr>
            </w:pPr>
            <w:r w:rsidRPr="003F5D43">
              <w:rPr>
                <w:rFonts w:ascii="Times New Roman" w:hAnsi="Times New Roman"/>
                <w:sz w:val="24"/>
                <w:szCs w:val="24"/>
                <w:lang w:val="lv-LV"/>
              </w:rPr>
              <w:t xml:space="preserve">3) </w:t>
            </w:r>
            <w:bookmarkEnd w:id="1"/>
            <w:r w:rsidRPr="003F5D43">
              <w:rPr>
                <w:rFonts w:ascii="Times New Roman" w:hAnsi="Times New Roman"/>
                <w:sz w:val="24"/>
                <w:szCs w:val="24"/>
                <w:lang w:val="lv-LV"/>
              </w:rPr>
              <w:t xml:space="preserve">miruša cilvēka ķermeņa aizsardzību un cilvēka audu un orgānu izmantošanu medicīnā regulē likums „Par </w:t>
            </w:r>
            <w:r w:rsidRPr="003F5D43">
              <w:rPr>
                <w:rFonts w:ascii="Times New Roman" w:hAnsi="Times New Roman"/>
                <w:bCs/>
                <w:sz w:val="24"/>
                <w:szCs w:val="24"/>
                <w:lang w:val="lv-LV"/>
              </w:rPr>
              <w:t xml:space="preserve">miruša cilvēka ķermeņa aizsardzību un cilvēka audu un orgānu izmantošanu medicīnā” (turpmāk - likums). </w:t>
            </w:r>
            <w:r w:rsidRPr="003F5D43">
              <w:rPr>
                <w:rFonts w:ascii="Times New Roman" w:hAnsi="Times New Roman"/>
                <w:sz w:val="24"/>
                <w:szCs w:val="24"/>
                <w:lang w:val="lv-LV"/>
              </w:rPr>
              <w:t>Likuma 4.</w:t>
            </w:r>
            <w:r w:rsidRPr="003F5D43">
              <w:rPr>
                <w:rFonts w:ascii="Times New Roman" w:hAnsi="Times New Roman"/>
                <w:sz w:val="24"/>
                <w:szCs w:val="24"/>
                <w:vertAlign w:val="superscript"/>
                <w:lang w:val="lv-LV"/>
              </w:rPr>
              <w:t>1 </w:t>
            </w:r>
            <w:r w:rsidRPr="003F5D43">
              <w:rPr>
                <w:rFonts w:ascii="Times New Roman" w:hAnsi="Times New Roman"/>
                <w:sz w:val="24"/>
                <w:szCs w:val="24"/>
                <w:lang w:val="lv-LV"/>
              </w:rPr>
              <w:t>pants  nosaka, ka aģentūra saskaņā ar publisko maksas pakalpojumu cenrādi novērtē ārstniecības iestādes</w:t>
            </w:r>
            <w:r w:rsidRPr="003F5D43">
              <w:rPr>
                <w:rFonts w:ascii="Times New Roman" w:hAnsi="Times New Roman"/>
                <w:color w:val="000000"/>
                <w:sz w:val="24"/>
                <w:szCs w:val="24"/>
                <w:lang w:val="lv-LV"/>
              </w:rPr>
              <w:t xml:space="preserve"> un augstskolas (kura īsteno akreditētu medicīnas studiju programmu) </w:t>
            </w:r>
            <w:r w:rsidRPr="003F5D43">
              <w:rPr>
                <w:rFonts w:ascii="Times New Roman" w:hAnsi="Times New Roman"/>
                <w:sz w:val="24"/>
                <w:szCs w:val="24"/>
                <w:lang w:val="lv-LV"/>
              </w:rPr>
              <w:t>atbilstību prasībām, kas noteiktas audu un (vai) orgānu izmantošanai, kā a</w:t>
            </w:r>
            <w:r w:rsidRPr="003F5D43">
              <w:rPr>
                <w:rFonts w:ascii="Times New Roman" w:hAnsi="Times New Roman"/>
                <w:color w:val="000000"/>
                <w:sz w:val="24"/>
                <w:szCs w:val="24"/>
                <w:lang w:val="lv-LV"/>
              </w:rPr>
              <w:t xml:space="preserve">rī izsniedz audu un (vai) orgānu izmantošanas atļauju. </w:t>
            </w:r>
            <w:r w:rsidRPr="003F5D43">
              <w:rPr>
                <w:rFonts w:ascii="Times New Roman" w:hAnsi="Times New Roman"/>
                <w:sz w:val="24"/>
                <w:szCs w:val="24"/>
                <w:lang w:val="lv-LV"/>
              </w:rPr>
              <w:t>Ja audu vai orgānu izmantošanas atļauja ir bojāta, iznīcināta, nozaudēta vai nolaupīta, juridiskās personas</w:t>
            </w:r>
            <w:r w:rsidR="00D9105D" w:rsidRPr="003F5D43">
              <w:rPr>
                <w:rFonts w:ascii="Times New Roman" w:hAnsi="Times New Roman"/>
                <w:sz w:val="24"/>
                <w:szCs w:val="24"/>
                <w:lang w:val="lv-LV"/>
              </w:rPr>
              <w:t xml:space="preserve"> </w:t>
            </w:r>
            <w:r w:rsidRPr="003F5D43">
              <w:rPr>
                <w:rFonts w:ascii="Times New Roman" w:hAnsi="Times New Roman"/>
                <w:sz w:val="24"/>
                <w:szCs w:val="24"/>
                <w:lang w:val="lv-LV"/>
              </w:rPr>
              <w:t>aģentūrā saņem atļaujas dublikātu. Likumā iekļautas tiesību normas, kas izriet no  Padomes 2010.gada 7.jūlija direktīvas 2010/53/ES par transplantācijai paredzētu cilvēka orgānu kvalitātes un drošības standartiem, kas nosaka transplantācijai paredzētu cilvēka orgānu kvalitātes un drošības standartus. Līdz ar to nepieciešams pr</w:t>
            </w:r>
            <w:r w:rsidR="00C55053">
              <w:rPr>
                <w:rFonts w:ascii="Times New Roman" w:hAnsi="Times New Roman"/>
                <w:sz w:val="24"/>
                <w:szCs w:val="24"/>
                <w:lang w:val="lv-LV"/>
              </w:rPr>
              <w:t>ecizēt noteikumu Nr.61 pielikumu</w:t>
            </w:r>
            <w:r w:rsidRPr="003F5D43">
              <w:rPr>
                <w:rFonts w:ascii="Times New Roman" w:hAnsi="Times New Roman"/>
                <w:sz w:val="24"/>
                <w:szCs w:val="24"/>
                <w:lang w:val="lv-LV"/>
              </w:rPr>
              <w:t>,</w:t>
            </w:r>
            <w:r w:rsidRPr="003F5D43">
              <w:rPr>
                <w:rFonts w:ascii="Times New Roman" w:hAnsi="Times New Roman"/>
                <w:bCs/>
                <w:sz w:val="24"/>
                <w:szCs w:val="24"/>
                <w:lang w:val="lv-LV"/>
              </w:rPr>
              <w:t xml:space="preserve"> papildinot ar jaunu maksas pakalpojumu „</w:t>
            </w:r>
            <w:r w:rsidRPr="003F5D43">
              <w:rPr>
                <w:rFonts w:ascii="Times New Roman" w:hAnsi="Times New Roman"/>
                <w:sz w:val="24"/>
                <w:szCs w:val="24"/>
                <w:lang w:val="lv-LV"/>
              </w:rPr>
              <w:t>Audu, šūnu un orgānu izmantošanas vietas atbilstības novērtēšana augstskolā, kas realizē akreditētu medicīnas vai bioloģijas studiju programmu</w:t>
            </w:r>
            <w:r w:rsidRPr="003F5D43">
              <w:rPr>
                <w:rFonts w:ascii="Times New Roman" w:hAnsi="Times New Roman"/>
                <w:bCs/>
                <w:sz w:val="24"/>
                <w:szCs w:val="24"/>
                <w:lang w:val="lv-LV"/>
              </w:rPr>
              <w:t xml:space="preserve">”. </w:t>
            </w:r>
            <w:r w:rsidRPr="003F5D43">
              <w:rPr>
                <w:rFonts w:ascii="Times New Roman" w:hAnsi="Times New Roman"/>
                <w:sz w:val="24"/>
                <w:szCs w:val="24"/>
                <w:lang w:val="lv-LV"/>
              </w:rPr>
              <w:t xml:space="preserve">Tāpat nepieciešams precizēt </w:t>
            </w:r>
            <w:r w:rsidR="00D9105D" w:rsidRPr="003F5D43">
              <w:rPr>
                <w:rFonts w:ascii="Times New Roman" w:hAnsi="Times New Roman"/>
                <w:sz w:val="24"/>
                <w:szCs w:val="24"/>
                <w:lang w:val="lv-LV"/>
              </w:rPr>
              <w:lastRenderedPageBreak/>
              <w:t xml:space="preserve">noteikumu Nr.61 </w:t>
            </w:r>
            <w:r w:rsidRPr="003F5D43">
              <w:rPr>
                <w:rFonts w:ascii="Times New Roman" w:hAnsi="Times New Roman"/>
                <w:sz w:val="24"/>
                <w:szCs w:val="24"/>
                <w:lang w:val="lv-LV"/>
              </w:rPr>
              <w:t xml:space="preserve">pielikuma 108.punktu, kas paredzētu </w:t>
            </w:r>
            <w:r w:rsidRPr="003F5D43">
              <w:rPr>
                <w:rFonts w:ascii="Times New Roman" w:hAnsi="Times New Roman"/>
                <w:color w:val="000000"/>
                <w:sz w:val="24"/>
                <w:szCs w:val="24"/>
                <w:lang w:val="lv-LV"/>
              </w:rPr>
              <w:t xml:space="preserve">arī </w:t>
            </w:r>
            <w:r w:rsidRPr="003F5D43">
              <w:rPr>
                <w:rFonts w:ascii="Times New Roman" w:hAnsi="Times New Roman"/>
                <w:sz w:val="24"/>
                <w:szCs w:val="24"/>
                <w:lang w:val="lv-LV"/>
              </w:rPr>
              <w:t xml:space="preserve">asins, audu, šūnu un orgānu ieguves (izmantošanas) vietas </w:t>
            </w:r>
            <w:r w:rsidRPr="003F5D43">
              <w:rPr>
                <w:rFonts w:ascii="Times New Roman" w:hAnsi="Times New Roman"/>
                <w:color w:val="000000"/>
                <w:sz w:val="24"/>
                <w:szCs w:val="24"/>
                <w:lang w:val="lv-LV"/>
              </w:rPr>
              <w:t>dublikāta izsniegšanu;</w:t>
            </w:r>
          </w:p>
          <w:p w:rsidR="003C7C92" w:rsidRPr="003F5D43" w:rsidRDefault="00187163" w:rsidP="00D9105D">
            <w:pPr>
              <w:pStyle w:val="NoSpacing"/>
              <w:tabs>
                <w:tab w:val="left" w:pos="430"/>
              </w:tabs>
              <w:ind w:left="146"/>
              <w:jc w:val="both"/>
              <w:rPr>
                <w:rFonts w:ascii="Times New Roman" w:hAnsi="Times New Roman"/>
                <w:sz w:val="24"/>
                <w:szCs w:val="24"/>
                <w:lang w:val="lv-LV"/>
              </w:rPr>
            </w:pPr>
            <w:r w:rsidRPr="003F5D43">
              <w:rPr>
                <w:rFonts w:ascii="Times New Roman" w:hAnsi="Times New Roman"/>
                <w:color w:val="000000"/>
                <w:sz w:val="24"/>
                <w:szCs w:val="24"/>
                <w:lang w:val="lv-LV"/>
              </w:rPr>
              <w:t>4) s</w:t>
            </w:r>
            <w:r w:rsidRPr="003F5D43">
              <w:rPr>
                <w:rFonts w:ascii="Times New Roman" w:hAnsi="Times New Roman"/>
                <w:sz w:val="24"/>
                <w:szCs w:val="24"/>
                <w:lang w:val="lv-LV"/>
              </w:rPr>
              <w:t>agatavojot Latvijas zāļu reģistra oficiālo izdevumu aģentūra nodrošina tipogrāfisko un citu ar izdevuma sagatavošanu saistīto pakalpojumu apmaksu atbilstoši esoša</w:t>
            </w:r>
            <w:r w:rsidR="00D9105D" w:rsidRPr="003F5D43">
              <w:rPr>
                <w:rFonts w:ascii="Times New Roman" w:hAnsi="Times New Roman"/>
                <w:sz w:val="24"/>
                <w:szCs w:val="24"/>
                <w:lang w:val="lv-LV"/>
              </w:rPr>
              <w:t xml:space="preserve">jam tirgus izcenojumam. </w:t>
            </w:r>
            <w:r w:rsidRPr="003F5D43">
              <w:rPr>
                <w:rFonts w:ascii="Times New Roman" w:hAnsi="Times New Roman"/>
                <w:sz w:val="24"/>
                <w:szCs w:val="24"/>
                <w:lang w:val="lv-LV"/>
              </w:rPr>
              <w:t>Tā kā ir pieaugušas ar izdevuma iespiešanu saistītās izmaksas (samazinājusies grāmatu tirāža), tad viena šī brīža Latvijas zāļu reģistra oficiālā izdevuma cena neatbilst noteikumos Nr.61 noteiktajai pakalpojuma cenai – 4,51 Ls (pielikuma 86.punkts). Līdz ar to nepieciešams precizēt Latvijas zāļu reģistra oficiālā izdevuma cenu.</w:t>
            </w:r>
          </w:p>
        </w:tc>
      </w:tr>
      <w:tr w:rsidR="0048135E" w:rsidRPr="003F5D43" w:rsidTr="008D2A7D">
        <w:tc>
          <w:tcPr>
            <w:tcW w:w="602" w:type="dxa"/>
          </w:tcPr>
          <w:p w:rsidR="0048135E" w:rsidRPr="003F5D43" w:rsidRDefault="0048135E" w:rsidP="0048135E">
            <w:r w:rsidRPr="003F5D43">
              <w:lastRenderedPageBreak/>
              <w:t xml:space="preserve">3. </w:t>
            </w:r>
          </w:p>
        </w:tc>
        <w:tc>
          <w:tcPr>
            <w:tcW w:w="2306" w:type="dxa"/>
          </w:tcPr>
          <w:p w:rsidR="0048135E" w:rsidRPr="003F5D43" w:rsidRDefault="0048135E" w:rsidP="0048135E">
            <w:pPr>
              <w:jc w:val="both"/>
            </w:pPr>
            <w:r w:rsidRPr="003F5D43">
              <w:t>Saistītie politikas ietekmes novērtējumi un pētījumi</w:t>
            </w:r>
          </w:p>
        </w:tc>
        <w:tc>
          <w:tcPr>
            <w:tcW w:w="6590" w:type="dxa"/>
          </w:tcPr>
          <w:p w:rsidR="0048135E" w:rsidRPr="003F5D43" w:rsidRDefault="0048135E" w:rsidP="0048135E">
            <w:pPr>
              <w:autoSpaceDE w:val="0"/>
              <w:autoSpaceDN w:val="0"/>
              <w:adjustRightInd w:val="0"/>
              <w:jc w:val="both"/>
            </w:pPr>
            <w:r w:rsidRPr="003F5D43">
              <w:t>Projekts šo jomu neskar.</w:t>
            </w:r>
          </w:p>
        </w:tc>
      </w:tr>
      <w:tr w:rsidR="0048135E" w:rsidRPr="00AF1DD9" w:rsidTr="008D2A7D">
        <w:tc>
          <w:tcPr>
            <w:tcW w:w="602" w:type="dxa"/>
          </w:tcPr>
          <w:p w:rsidR="0048135E" w:rsidRPr="00AF1DD9" w:rsidRDefault="0048135E" w:rsidP="0048135E">
            <w:r w:rsidRPr="00AF1DD9">
              <w:t>4.</w:t>
            </w:r>
          </w:p>
        </w:tc>
        <w:tc>
          <w:tcPr>
            <w:tcW w:w="2306" w:type="dxa"/>
          </w:tcPr>
          <w:p w:rsidR="0048135E" w:rsidRPr="00AF1DD9" w:rsidRDefault="0048135E" w:rsidP="0048135E">
            <w:pPr>
              <w:jc w:val="both"/>
            </w:pPr>
            <w:r w:rsidRPr="00AF1DD9">
              <w:t>Tiesiskā regulējuma mērķis un būtība</w:t>
            </w:r>
          </w:p>
        </w:tc>
        <w:tc>
          <w:tcPr>
            <w:tcW w:w="6590" w:type="dxa"/>
          </w:tcPr>
          <w:p w:rsidR="004A5E75" w:rsidRPr="00AF1DD9" w:rsidRDefault="006A153A" w:rsidP="004A5E75">
            <w:pPr>
              <w:pStyle w:val="NoSpacing"/>
              <w:jc w:val="both"/>
              <w:rPr>
                <w:rFonts w:ascii="Times New Roman" w:hAnsi="Times New Roman"/>
                <w:sz w:val="24"/>
                <w:szCs w:val="24"/>
                <w:lang w:val="lv-LV"/>
              </w:rPr>
            </w:pPr>
            <w:r>
              <w:rPr>
                <w:rFonts w:ascii="Times New Roman" w:hAnsi="Times New Roman"/>
                <w:sz w:val="24"/>
                <w:szCs w:val="24"/>
                <w:lang w:val="lv-LV"/>
              </w:rPr>
              <w:t xml:space="preserve">   </w:t>
            </w:r>
            <w:r w:rsidR="004A5E75" w:rsidRPr="00AF1DD9">
              <w:rPr>
                <w:rFonts w:ascii="Times New Roman" w:hAnsi="Times New Roman"/>
                <w:sz w:val="24"/>
                <w:szCs w:val="24"/>
                <w:lang w:val="lv-LV"/>
              </w:rPr>
              <w:t>Noteikumu projekts paredz izteikt aģentūras cenrādi jaunā redakcijā, veicot šādas izmaiņas:</w:t>
            </w:r>
          </w:p>
          <w:p w:rsidR="004D4CE2" w:rsidRPr="00AF1DD9" w:rsidRDefault="004A5E75" w:rsidP="004D4CE2">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maksas pakalpojumi, kas tiek pārņemti tādā pašā redakcijā no šobrīd spēkā esošo noteikumu Nr.61 pielikuma (1.- 11.; 12.1.- 18.3;  18.5.- 18.8.; 18.10.- 18.13.; 19.-56.; 59.- 68.; 71.- 74.);</w:t>
            </w:r>
          </w:p>
          <w:p w:rsidR="004D4CE2" w:rsidRPr="00AF1DD9" w:rsidRDefault="004A5E75" w:rsidP="004D4CE2">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pielikuma 1.7.apakšpunktā vārdu „antopozofām” aizstāt ar vārdu „antropozofām”;</w:t>
            </w:r>
          </w:p>
          <w:p w:rsidR="004D4CE2" w:rsidRPr="00AF1DD9" w:rsidRDefault="004D4CE2" w:rsidP="004D4CE2">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precizēt</w:t>
            </w:r>
            <w:r w:rsidR="004A5E75" w:rsidRPr="00AF1DD9">
              <w:rPr>
                <w:rFonts w:ascii="Times New Roman" w:hAnsi="Times New Roman"/>
                <w:sz w:val="24"/>
                <w:szCs w:val="24"/>
                <w:lang w:val="lv-LV"/>
              </w:rPr>
              <w:t xml:space="preserve"> pielikuma 12.punkt</w:t>
            </w:r>
            <w:r w:rsidRPr="00AF1DD9">
              <w:rPr>
                <w:rFonts w:ascii="Times New Roman" w:hAnsi="Times New Roman"/>
                <w:sz w:val="24"/>
                <w:szCs w:val="24"/>
                <w:lang w:val="lv-LV"/>
              </w:rPr>
              <w:t>a nosaukumu</w:t>
            </w:r>
            <w:r w:rsidR="004A5E75" w:rsidRPr="00AF1DD9">
              <w:rPr>
                <w:rFonts w:ascii="Times New Roman" w:hAnsi="Times New Roman"/>
                <w:sz w:val="24"/>
                <w:szCs w:val="24"/>
                <w:lang w:val="lv-LV"/>
              </w:rPr>
              <w:t xml:space="preserve">, </w:t>
            </w:r>
            <w:r w:rsidRPr="00AF1DD9">
              <w:rPr>
                <w:rFonts w:ascii="Times New Roman" w:hAnsi="Times New Roman"/>
                <w:sz w:val="24"/>
                <w:szCs w:val="24"/>
                <w:lang w:val="lv-LV"/>
              </w:rPr>
              <w:t xml:space="preserve">aizvietojot vārdu „uzraudzības” </w:t>
            </w:r>
            <w:r w:rsidR="004A5E75" w:rsidRPr="00AF1DD9">
              <w:rPr>
                <w:rFonts w:ascii="Times New Roman" w:hAnsi="Times New Roman"/>
                <w:sz w:val="24"/>
                <w:szCs w:val="24"/>
                <w:lang w:val="lv-LV"/>
              </w:rPr>
              <w:t>ar vārdu „uzturēšanas”, ņemot vērā to, ka aģentūra saskaņā ar normatīvajos aktos notei</w:t>
            </w:r>
            <w:r w:rsidRPr="00AF1DD9">
              <w:rPr>
                <w:rFonts w:ascii="Times New Roman" w:hAnsi="Times New Roman"/>
                <w:sz w:val="24"/>
                <w:szCs w:val="24"/>
                <w:lang w:val="lv-LV"/>
              </w:rPr>
              <w:t>kto neveic uzraudzības funkciju;</w:t>
            </w:r>
          </w:p>
          <w:p w:rsidR="004A5E75" w:rsidRPr="00AF1DD9" w:rsidRDefault="004D4CE2" w:rsidP="004D4CE2">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precizēt pielikuma 18.4.apakšpunkta otro aili „Pakalpojuma veids” attiecībā uz  komersanta juridiskās adreses vai farmaceitiskās darbības uzņēmuma adreses maiņu un 18.9.apakšpunkta otro aili „Pakalpojuma veids” attiecībā uz izmaiņām speciālajā atļaujā (licencē) farmaceitiskai darbībai (tai skaitā, derīguma termiņā) un pielikumā, ja nav nepieciešama farmaceitiskās darbības uzņēmuma atbilstības novērtēšana. Cena par abiem publiskajiem maksas pakalpojumiem paliek tādā pašā apmērā, tiek paplašināts veicamo darbību apraksts, kas ietilpst katrā no pakalpojumiem. Saskaņā ar Noteikumu Nr.800 42.punktu, ja ir izmaiņas licencē vai tās pielikumos norādītajā informācijā, licences turētājs piecu darbdienu laikā pēc izmaiņu ieviešanas iesniedz Aģentūrā iesniegumu par licences pārreģistrāciju. Aģentūrā tiek saņemti iesniegumi, kuru izvērtēšanas laikā tiek konstatēts, ka saskaņā ar licencēšanas lietā esošajiem materiāliem ir notikušas izmaiņas farmaceitiskās darbības uzņēmuma adresē, piemēram, Valsts zemes dienesta Valsts adrešu reģistrā ir norādīta cita adrese</w:t>
            </w:r>
            <w:r w:rsidR="00723AE3" w:rsidRPr="00AF1DD9">
              <w:rPr>
                <w:rFonts w:ascii="Times New Roman" w:hAnsi="Times New Roman"/>
                <w:sz w:val="24"/>
                <w:szCs w:val="24"/>
                <w:lang w:val="lv-LV"/>
              </w:rPr>
              <w:t>. Grozījums nepieciešams, lai nerastos gadījumi, kad klients veic darbības, lai saņemtu lēmumu par adreses apstiprināšanu, bet šajā adresē neturpina veikt darbības, lai tiktu atvērta vispārēja tipa aptieka vai aptiekas filiāle</w:t>
            </w:r>
            <w:r w:rsidRPr="00AF1DD9">
              <w:rPr>
                <w:rFonts w:ascii="Times New Roman" w:hAnsi="Times New Roman"/>
                <w:sz w:val="24"/>
                <w:szCs w:val="24"/>
                <w:lang w:val="lv-LV"/>
              </w:rPr>
              <w:t>;</w:t>
            </w:r>
          </w:p>
          <w:p w:rsidR="004A5E75" w:rsidRPr="00AF1DD9" w:rsidRDefault="004D4CE2" w:rsidP="004D4CE2">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lastRenderedPageBreak/>
              <w:t>papildināt pielikumu</w:t>
            </w:r>
            <w:r w:rsidR="004A5E75" w:rsidRPr="00AF1DD9">
              <w:rPr>
                <w:rFonts w:ascii="Times New Roman" w:hAnsi="Times New Roman"/>
                <w:sz w:val="24"/>
                <w:szCs w:val="24"/>
                <w:lang w:val="lv-LV"/>
              </w:rPr>
              <w:t xml:space="preserve"> </w:t>
            </w:r>
            <w:r w:rsidRPr="00AF1DD9">
              <w:rPr>
                <w:rFonts w:ascii="Times New Roman" w:hAnsi="Times New Roman"/>
                <w:sz w:val="24"/>
                <w:szCs w:val="24"/>
                <w:lang w:val="lv-LV"/>
              </w:rPr>
              <w:t>ar jaunu maksas pakalpojumu</w:t>
            </w:r>
            <w:r w:rsidR="004A5E75" w:rsidRPr="00AF1DD9">
              <w:rPr>
                <w:rFonts w:ascii="Times New Roman" w:hAnsi="Times New Roman"/>
                <w:sz w:val="24"/>
                <w:szCs w:val="24"/>
                <w:lang w:val="lv-LV"/>
              </w:rPr>
              <w:t xml:space="preserve"> </w:t>
            </w:r>
            <w:r w:rsidRPr="00AF1DD9">
              <w:rPr>
                <w:rFonts w:ascii="Times New Roman" w:hAnsi="Times New Roman"/>
                <w:sz w:val="24"/>
                <w:szCs w:val="24"/>
                <w:lang w:val="lv-LV"/>
              </w:rPr>
              <w:t xml:space="preserve">18.14.apakšpunktu </w:t>
            </w:r>
            <w:r w:rsidR="004A5E75" w:rsidRPr="00AF1DD9">
              <w:rPr>
                <w:rFonts w:ascii="Times New Roman" w:hAnsi="Times New Roman"/>
                <w:sz w:val="24"/>
                <w:szCs w:val="24"/>
                <w:lang w:val="lv-LV"/>
              </w:rPr>
              <w:t>„Komersanta iesnieguma par farmaceitiskās darbības vietas (adreses) apstiprināšanu izskatīšana</w:t>
            </w:r>
            <w:r w:rsidRPr="00AF1DD9">
              <w:rPr>
                <w:rFonts w:ascii="Times New Roman" w:hAnsi="Times New Roman"/>
                <w:sz w:val="24"/>
                <w:szCs w:val="24"/>
                <w:lang w:val="lv-LV"/>
              </w:rPr>
              <w:t xml:space="preserve"> 50,00 Ls</w:t>
            </w:r>
            <w:r w:rsidR="004A5E75" w:rsidRPr="00AF1DD9">
              <w:rPr>
                <w:rFonts w:ascii="Times New Roman" w:hAnsi="Times New Roman"/>
                <w:sz w:val="24"/>
                <w:szCs w:val="24"/>
                <w:lang w:val="lv-LV"/>
              </w:rPr>
              <w:t>” saskaņā ar Noteikumu Nr. 800  16.punktu;</w:t>
            </w:r>
          </w:p>
          <w:p w:rsidR="00723AE3" w:rsidRPr="00AF1DD9" w:rsidRDefault="003E43A4" w:rsidP="00723AE3">
            <w:pPr>
              <w:pStyle w:val="NoSpacing"/>
              <w:numPr>
                <w:ilvl w:val="0"/>
                <w:numId w:val="31"/>
              </w:numPr>
              <w:tabs>
                <w:tab w:val="left" w:pos="430"/>
              </w:tabs>
              <w:jc w:val="both"/>
              <w:rPr>
                <w:rFonts w:ascii="Times New Roman" w:hAnsi="Times New Roman"/>
                <w:sz w:val="24"/>
                <w:szCs w:val="24"/>
                <w:lang w:val="lv-LV"/>
              </w:rPr>
            </w:pPr>
            <w:r>
              <w:rPr>
                <w:rFonts w:ascii="Times New Roman" w:hAnsi="Times New Roman"/>
                <w:iCs/>
                <w:sz w:val="24"/>
                <w:szCs w:val="24"/>
                <w:lang w:val="lv-LV"/>
              </w:rPr>
              <w:t>precizēt pielikuma 57</w:t>
            </w:r>
            <w:r w:rsidR="00723AE3" w:rsidRPr="00AF1DD9">
              <w:rPr>
                <w:rFonts w:ascii="Times New Roman" w:hAnsi="Times New Roman"/>
                <w:iCs/>
                <w:sz w:val="24"/>
                <w:szCs w:val="24"/>
                <w:lang w:val="lv-LV"/>
              </w:rPr>
              <w:t xml:space="preserve">.punkta </w:t>
            </w:r>
            <w:r>
              <w:rPr>
                <w:rFonts w:ascii="Times New Roman" w:hAnsi="Times New Roman"/>
                <w:iCs/>
                <w:sz w:val="24"/>
                <w:szCs w:val="24"/>
                <w:lang w:val="lv-LV"/>
              </w:rPr>
              <w:t xml:space="preserve">(noteikumu Nr.61 pielikuma 86.punkta) </w:t>
            </w:r>
            <w:r w:rsidR="00723AE3" w:rsidRPr="00AF1DD9">
              <w:rPr>
                <w:rFonts w:ascii="Times New Roman" w:hAnsi="Times New Roman"/>
                <w:iCs/>
                <w:sz w:val="24"/>
                <w:szCs w:val="24"/>
                <w:lang w:val="lv-LV"/>
              </w:rPr>
              <w:t>esošās izmaksas Latvijas zāļu reģistra oficiāla</w:t>
            </w:r>
            <w:r>
              <w:rPr>
                <w:rFonts w:ascii="Times New Roman" w:hAnsi="Times New Roman"/>
                <w:iCs/>
                <w:sz w:val="24"/>
                <w:szCs w:val="24"/>
                <w:lang w:val="lv-LV"/>
              </w:rPr>
              <w:t>jam izdevumam no 4,51 Ls uz 9,50</w:t>
            </w:r>
            <w:r w:rsidR="00723AE3" w:rsidRPr="00AF1DD9">
              <w:rPr>
                <w:rFonts w:ascii="Times New Roman" w:hAnsi="Times New Roman"/>
                <w:iCs/>
                <w:sz w:val="24"/>
                <w:szCs w:val="24"/>
                <w:lang w:val="lv-LV"/>
              </w:rPr>
              <w:t xml:space="preserve"> Ls, ieskaitot PVN 21%, un papildināt pielikumu ar jaunu maksas pakalpojumu „</w:t>
            </w:r>
            <w:r w:rsidR="00723AE3" w:rsidRPr="00AF1DD9">
              <w:rPr>
                <w:rFonts w:ascii="Times New Roman" w:hAnsi="Times New Roman"/>
                <w:sz w:val="24"/>
                <w:szCs w:val="24"/>
                <w:lang w:val="lv-LV"/>
              </w:rPr>
              <w:t>Latvijas zāļu reģistra oficiālais elektroniskais izdevums ar zāļu aprakstiem un</w:t>
            </w:r>
            <w:r>
              <w:rPr>
                <w:rFonts w:ascii="Times New Roman" w:hAnsi="Times New Roman"/>
                <w:sz w:val="24"/>
                <w:szCs w:val="24"/>
                <w:lang w:val="lv-LV"/>
              </w:rPr>
              <w:t xml:space="preserve"> lietošanas instrukcijām Ls 5,50</w:t>
            </w:r>
            <w:r w:rsidR="00723AE3" w:rsidRPr="00AF1DD9">
              <w:rPr>
                <w:rFonts w:ascii="Times New Roman" w:hAnsi="Times New Roman"/>
                <w:sz w:val="24"/>
                <w:szCs w:val="24"/>
                <w:lang w:val="lv-LV"/>
              </w:rPr>
              <w:t>”</w:t>
            </w:r>
            <w:r>
              <w:rPr>
                <w:rFonts w:ascii="Times New Roman" w:hAnsi="Times New Roman"/>
                <w:sz w:val="24"/>
                <w:szCs w:val="24"/>
                <w:lang w:val="lv-LV"/>
              </w:rPr>
              <w:t xml:space="preserve"> (ieskaitot PVN 21%)</w:t>
            </w:r>
            <w:r w:rsidR="00723AE3" w:rsidRPr="00AF1DD9">
              <w:rPr>
                <w:rFonts w:ascii="Times New Roman" w:hAnsi="Times New Roman"/>
                <w:sz w:val="24"/>
                <w:szCs w:val="24"/>
                <w:lang w:val="lv-LV"/>
              </w:rPr>
              <w:t xml:space="preserve">. Tādējādi tiks nodrošināts informatīvs atbalsts ārstiem, farmaceitiem un citiem veselības nozares speciālistiem.  Aģentūra sagatavos komplicētāku pēc uzbūves un pilnīgāku pēc satura </w:t>
            </w:r>
            <w:r w:rsidR="00723AE3" w:rsidRPr="00AF1DD9">
              <w:rPr>
                <w:rFonts w:ascii="Times New Roman" w:hAnsi="Times New Roman"/>
                <w:bCs/>
                <w:sz w:val="24"/>
                <w:szCs w:val="24"/>
                <w:lang w:val="lv-LV"/>
              </w:rPr>
              <w:t xml:space="preserve"> Latvijas </w:t>
            </w:r>
            <w:r w:rsidR="00723AE3" w:rsidRPr="00AF1DD9">
              <w:rPr>
                <w:rFonts w:ascii="Times New Roman" w:hAnsi="Times New Roman"/>
                <w:sz w:val="24"/>
                <w:szCs w:val="24"/>
                <w:lang w:val="lv-LV"/>
              </w:rPr>
              <w:t xml:space="preserve">Zāļu reģistra oficiālo elektronisko izdevumu ar zaļu aprakstiem un lietošanas instrukcijām par Latvijas Republikā (nacionālā, savstarpējās atzīšanas un decentralizētajā zāļu reģistrācijas procedūrā) reģistrētām zālēm. Latvijas zāļu reģistra oficiālo elektronisko izdevumu ar zāļu aprakstiem un lietošanas instrukcijām izdos USB flash atmiņas kartes veidā. Ikviens lietotājs varēs atrast visu Latvijā pieejamo zāļu vispārīgos nosaukumus, kā arī zāļu aprakstus. Ārstam būs nepieciešams </w:t>
            </w:r>
            <w:r w:rsidR="005E75D2">
              <w:rPr>
                <w:rFonts w:ascii="Times New Roman" w:hAnsi="Times New Roman"/>
                <w:sz w:val="24"/>
                <w:szCs w:val="24"/>
                <w:lang w:val="lv-LV"/>
              </w:rPr>
              <w:t>tikai</w:t>
            </w:r>
            <w:r w:rsidR="00723AE3" w:rsidRPr="00AF1DD9">
              <w:rPr>
                <w:rFonts w:ascii="Times New Roman" w:hAnsi="Times New Roman"/>
                <w:sz w:val="24"/>
                <w:szCs w:val="24"/>
                <w:lang w:val="lv-LV"/>
              </w:rPr>
              <w:t xml:space="preserve"> dators ar </w:t>
            </w:r>
            <w:r w:rsidR="005E75D2">
              <w:rPr>
                <w:rFonts w:ascii="Times New Roman" w:hAnsi="Times New Roman"/>
                <w:sz w:val="24"/>
                <w:szCs w:val="24"/>
                <w:lang w:val="lv-LV"/>
              </w:rPr>
              <w:t>USB</w:t>
            </w:r>
            <w:r w:rsidR="00723AE3" w:rsidRPr="00AF1DD9">
              <w:rPr>
                <w:rFonts w:ascii="Times New Roman" w:hAnsi="Times New Roman"/>
                <w:sz w:val="24"/>
                <w:szCs w:val="24"/>
                <w:lang w:val="lv-LV"/>
              </w:rPr>
              <w:t xml:space="preserve"> lasīšanas iespējām, tādējādi tiks nodrošināta objektīva, neatkarīga, pilnīga un detalizēta informācija par zālēm arī tiem veselības nozares speciālistiem, kuriem tehnisku, finansiālu vai citu iemeslu dēļ ir problemātiska piekļuve internetam</w:t>
            </w:r>
            <w:r w:rsidR="004A5E75" w:rsidRPr="00AF1DD9">
              <w:rPr>
                <w:rFonts w:ascii="Times New Roman" w:hAnsi="Times New Roman"/>
                <w:sz w:val="24"/>
                <w:szCs w:val="24"/>
                <w:lang w:val="lv-LV"/>
              </w:rPr>
              <w:t>;</w:t>
            </w:r>
          </w:p>
          <w:p w:rsidR="000F4314" w:rsidRPr="00AF1DD9" w:rsidRDefault="00723AE3" w:rsidP="000F4314">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precizēt pielikuma</w:t>
            </w:r>
            <w:r w:rsidR="003E43A4">
              <w:rPr>
                <w:rFonts w:ascii="Times New Roman" w:hAnsi="Times New Roman"/>
                <w:sz w:val="24"/>
                <w:szCs w:val="24"/>
                <w:lang w:val="lv-LV"/>
              </w:rPr>
              <w:t xml:space="preserve"> 69.1.apakšpunktu (noteikumu Nr.61 pielikuma </w:t>
            </w:r>
            <w:r w:rsidRPr="00AF1DD9">
              <w:rPr>
                <w:rFonts w:ascii="Times New Roman" w:hAnsi="Times New Roman"/>
                <w:sz w:val="24"/>
                <w:szCs w:val="24"/>
                <w:lang w:val="lv-LV"/>
              </w:rPr>
              <w:t>108.1.apakšpunkt</w:t>
            </w:r>
            <w:r w:rsidR="000F4314" w:rsidRPr="00AF1DD9">
              <w:rPr>
                <w:rFonts w:ascii="Times New Roman" w:hAnsi="Times New Roman"/>
                <w:sz w:val="24"/>
                <w:szCs w:val="24"/>
                <w:lang w:val="lv-LV"/>
              </w:rPr>
              <w:t>a</w:t>
            </w:r>
            <w:r w:rsidR="003E43A4">
              <w:rPr>
                <w:rFonts w:ascii="Times New Roman" w:hAnsi="Times New Roman"/>
                <w:sz w:val="24"/>
                <w:szCs w:val="24"/>
                <w:lang w:val="lv-LV"/>
              </w:rPr>
              <w:t>)</w:t>
            </w:r>
            <w:r w:rsidR="000F4314" w:rsidRPr="00AF1DD9">
              <w:rPr>
                <w:rFonts w:ascii="Times New Roman" w:hAnsi="Times New Roman"/>
                <w:sz w:val="24"/>
                <w:szCs w:val="24"/>
                <w:lang w:val="lv-LV"/>
              </w:rPr>
              <w:t xml:space="preserve"> nosaukumu</w:t>
            </w:r>
            <w:r w:rsidRPr="00AF1DD9">
              <w:rPr>
                <w:rFonts w:ascii="Times New Roman" w:hAnsi="Times New Roman"/>
                <w:sz w:val="24"/>
                <w:szCs w:val="24"/>
                <w:lang w:val="lv-LV"/>
              </w:rPr>
              <w:t xml:space="preserve">, jo atbilstoši </w:t>
            </w:r>
            <w:r w:rsidR="000F4314" w:rsidRPr="00AF1DD9">
              <w:rPr>
                <w:rFonts w:ascii="Times New Roman" w:hAnsi="Times New Roman"/>
                <w:sz w:val="24"/>
                <w:szCs w:val="24"/>
                <w:lang w:val="lv-LV"/>
              </w:rPr>
              <w:t>Ministru kabineta 2005.gada 27.decembra noteikumu Nr.1037 „</w:t>
            </w:r>
            <w:r w:rsidR="000F4314" w:rsidRPr="00AF1DD9">
              <w:rPr>
                <w:rFonts w:ascii="Times New Roman" w:eastAsia="Times New Roman" w:hAnsi="Times New Roman"/>
                <w:bCs/>
                <w:sz w:val="24"/>
                <w:szCs w:val="24"/>
                <w:lang w:val="lv-LV" w:eastAsia="lv-LV"/>
              </w:rPr>
              <w:t>Noteikumi par cilvēka asiņu un asins komponentu savākšanas, testēšanas, apstrādes, uzglabāšanas un izplatīšanas kvalitātes un drošības standartiem un kompensāciju par izdevumiem zaudētā asins apjoma atjaunošanai</w:t>
            </w:r>
            <w:r w:rsidR="000F4314" w:rsidRPr="00AF1DD9">
              <w:rPr>
                <w:rFonts w:ascii="Times New Roman" w:hAnsi="Times New Roman"/>
                <w:bCs/>
                <w:sz w:val="24"/>
                <w:szCs w:val="24"/>
                <w:lang w:val="lv-LV"/>
              </w:rPr>
              <w:t>” 23.punktā paredzētajam aģentūra</w:t>
            </w:r>
            <w:r w:rsidR="000F4314" w:rsidRPr="00AF1DD9">
              <w:rPr>
                <w:rFonts w:ascii="Times New Roman" w:eastAsia="Times New Roman" w:hAnsi="Times New Roman"/>
                <w:sz w:val="24"/>
                <w:szCs w:val="24"/>
                <w:lang w:val="lv-LV" w:eastAsia="lv-LV"/>
              </w:rPr>
              <w:t xml:space="preserve"> izsniedz atbilstības sertifikātu, ja Valsts asinsdonoru centrs, asins sagatavošanas nodaļa vai asins kabinets atbilst šo noteikumu prasībām;</w:t>
            </w:r>
          </w:p>
          <w:p w:rsidR="000F4314" w:rsidRPr="00AF1DD9" w:rsidRDefault="000F4314" w:rsidP="000F4314">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 xml:space="preserve">papildināt </w:t>
            </w:r>
            <w:r w:rsidR="003E43A4">
              <w:rPr>
                <w:rFonts w:ascii="Times New Roman" w:hAnsi="Times New Roman"/>
                <w:sz w:val="24"/>
                <w:szCs w:val="24"/>
                <w:lang w:val="lv-LV"/>
              </w:rPr>
              <w:t xml:space="preserve">69.2.apakšpunktu (noteikumu Nr.61 pielikuma </w:t>
            </w:r>
            <w:r w:rsidRPr="00AF1DD9">
              <w:rPr>
                <w:rFonts w:ascii="Times New Roman" w:hAnsi="Times New Roman"/>
                <w:sz w:val="24"/>
                <w:szCs w:val="24"/>
                <w:lang w:val="lv-LV"/>
              </w:rPr>
              <w:t>108.2.apakšpunkta</w:t>
            </w:r>
            <w:r w:rsidR="003E43A4">
              <w:rPr>
                <w:rFonts w:ascii="Times New Roman" w:hAnsi="Times New Roman"/>
                <w:sz w:val="24"/>
                <w:szCs w:val="24"/>
                <w:lang w:val="lv-LV"/>
              </w:rPr>
              <w:t xml:space="preserve">) </w:t>
            </w:r>
            <w:r w:rsidRPr="00AF1DD9">
              <w:rPr>
                <w:rFonts w:ascii="Times New Roman" w:hAnsi="Times New Roman"/>
                <w:sz w:val="24"/>
                <w:szCs w:val="24"/>
                <w:lang w:val="lv-LV"/>
              </w:rPr>
              <w:t>otro aili „Pakalpojuma veids” ar vārdiem „atļaujas izsniegšana”, jo atbilstoši Likuma 4.</w:t>
            </w:r>
            <w:r w:rsidRPr="00AF1DD9">
              <w:rPr>
                <w:rFonts w:ascii="Times New Roman" w:hAnsi="Times New Roman"/>
                <w:sz w:val="24"/>
                <w:szCs w:val="24"/>
                <w:vertAlign w:val="superscript"/>
                <w:lang w:val="lv-LV"/>
              </w:rPr>
              <w:t xml:space="preserve">1. </w:t>
            </w:r>
            <w:r w:rsidRPr="00AF1DD9">
              <w:rPr>
                <w:rFonts w:ascii="Times New Roman" w:hAnsi="Times New Roman"/>
                <w:sz w:val="24"/>
                <w:szCs w:val="24"/>
                <w:lang w:val="lv-LV"/>
              </w:rPr>
              <w:t xml:space="preserve">pantam aģentūra novērtē ārstniecības iestādes un augstskolas (kura īsteno akreditētu medicīnas studiju programmu) atbilstību prasībām, kas noteiktas audu un (vai) orgānu izmantošanai, kā arī izsniedz audu un (vai) orgānu izmantošanas atļauju. Ja audu un (vai) orgānu izmantošanas atļauja ir bojāta, iznīcināta, nozaudēta vai nolaupīta, juridiskās personas Aģentūrā varēs saņemt atļaujas dublikātu, tādēļ pielikums jāpapildina ar jaunu </w:t>
            </w:r>
            <w:r w:rsidRPr="00AF1DD9">
              <w:rPr>
                <w:rFonts w:ascii="Times New Roman" w:hAnsi="Times New Roman"/>
                <w:sz w:val="24"/>
                <w:szCs w:val="24"/>
                <w:lang w:val="lv-LV"/>
              </w:rPr>
              <w:lastRenderedPageBreak/>
              <w:t>108.3.apakšpunktu „Asins, audu, šūnu un orgānu ieguves un uzglabāšanas centra (izmantošanas vietas) atļaujas dublikāta izsniegšana Ls 10,00”;</w:t>
            </w:r>
          </w:p>
          <w:p w:rsidR="004A5E75" w:rsidRPr="00AF1DD9" w:rsidRDefault="00106CE1" w:rsidP="006675CA">
            <w:pPr>
              <w:pStyle w:val="NoSpacing"/>
              <w:numPr>
                <w:ilvl w:val="0"/>
                <w:numId w:val="31"/>
              </w:numPr>
              <w:tabs>
                <w:tab w:val="left" w:pos="430"/>
              </w:tabs>
              <w:jc w:val="both"/>
              <w:rPr>
                <w:rFonts w:ascii="Times New Roman" w:hAnsi="Times New Roman"/>
                <w:sz w:val="24"/>
                <w:szCs w:val="24"/>
                <w:lang w:val="lv-LV"/>
              </w:rPr>
            </w:pPr>
            <w:r>
              <w:rPr>
                <w:rFonts w:ascii="Times New Roman" w:hAnsi="Times New Roman"/>
                <w:sz w:val="24"/>
                <w:szCs w:val="24"/>
                <w:lang w:val="lv-LV"/>
              </w:rPr>
              <w:t>šobrīd a</w:t>
            </w:r>
            <w:r w:rsidR="000F4314" w:rsidRPr="00AF1DD9">
              <w:rPr>
                <w:rFonts w:ascii="Times New Roman" w:hAnsi="Times New Roman"/>
                <w:sz w:val="24"/>
                <w:szCs w:val="24"/>
                <w:lang w:val="lv-LV"/>
              </w:rPr>
              <w:t xml:space="preserve">ģentūras cenrādis neparedz audu, šūnu un orgānu izmantošanas vietas atbilstības novērtēšanu augstskolā, tādēļ pielikums papildināts ar jaunu apakšpunktu, kas paredz „Audu, šūnu un orgānu izmantošanas vietas atbilstības novērtēšana un atļaujas izsniegšana Ls 450,00” un „Audu, šūnu un orgānu izmantošanas vietas darbības un darbību standartprocedūru izmaiņu dokumentācijas izvērtēšana Ls 50,00” un “Audu, šūnu, orgānu un miruša cilvēka ķermeņa izmantošanas   atļaujas </w:t>
            </w:r>
            <w:r w:rsidR="00D227CB" w:rsidRPr="00AF1DD9">
              <w:rPr>
                <w:rFonts w:ascii="Times New Roman" w:hAnsi="Times New Roman"/>
                <w:sz w:val="24"/>
                <w:szCs w:val="24"/>
                <w:lang w:val="lv-LV"/>
              </w:rPr>
              <w:t>dublikāta izsniegšana 10,00 Ls”;</w:t>
            </w:r>
          </w:p>
          <w:p w:rsidR="00D227CB" w:rsidRPr="00AF1DD9" w:rsidRDefault="00D227CB" w:rsidP="00D227CB">
            <w:pPr>
              <w:pStyle w:val="NoSpacing"/>
              <w:numPr>
                <w:ilvl w:val="0"/>
                <w:numId w:val="31"/>
              </w:numPr>
              <w:tabs>
                <w:tab w:val="left" w:pos="430"/>
              </w:tabs>
              <w:jc w:val="both"/>
              <w:rPr>
                <w:rFonts w:ascii="Times New Roman" w:hAnsi="Times New Roman"/>
                <w:sz w:val="24"/>
                <w:szCs w:val="24"/>
                <w:lang w:val="lv-LV"/>
              </w:rPr>
            </w:pPr>
            <w:r w:rsidRPr="00AF1DD9">
              <w:rPr>
                <w:rFonts w:ascii="Times New Roman" w:hAnsi="Times New Roman"/>
                <w:sz w:val="24"/>
                <w:szCs w:val="24"/>
                <w:lang w:val="lv-LV"/>
              </w:rPr>
              <w:t>ņemot vērā Starptau</w:t>
            </w:r>
            <w:r w:rsidR="00AF1DD9">
              <w:rPr>
                <w:rFonts w:ascii="Times New Roman" w:hAnsi="Times New Roman"/>
                <w:sz w:val="24"/>
                <w:szCs w:val="24"/>
                <w:lang w:val="lv-LV"/>
              </w:rPr>
              <w:t>tisko inovatīvo farmaceitisko fi</w:t>
            </w:r>
            <w:r w:rsidRPr="00AF1DD9">
              <w:rPr>
                <w:rFonts w:ascii="Times New Roman" w:hAnsi="Times New Roman"/>
                <w:sz w:val="24"/>
                <w:szCs w:val="24"/>
                <w:lang w:val="lv-LV"/>
              </w:rPr>
              <w:t>rmu asociācijas un Latvijas Patentbrīvo Medikamentu Asociācijas viedokli, kā arī lai veicinātu zāļu reģistrācijas īpašnieku ienākšanu Latvijas zāļu tirgū</w:t>
            </w:r>
            <w:r w:rsidR="00AF1DD9">
              <w:rPr>
                <w:rFonts w:ascii="Times New Roman" w:hAnsi="Times New Roman"/>
                <w:sz w:val="24"/>
                <w:szCs w:val="24"/>
                <w:lang w:val="lv-LV"/>
              </w:rPr>
              <w:t>,</w:t>
            </w:r>
            <w:r w:rsidRPr="00AF1DD9">
              <w:rPr>
                <w:rFonts w:ascii="Times New Roman" w:hAnsi="Times New Roman"/>
                <w:sz w:val="24"/>
                <w:szCs w:val="24"/>
                <w:lang w:val="lv-LV"/>
              </w:rPr>
              <w:t xml:space="preserve"> reģistrējot jaunas zāles, </w:t>
            </w:r>
            <w:r w:rsidR="00AF1DD9">
              <w:rPr>
                <w:rFonts w:ascii="Times New Roman" w:hAnsi="Times New Roman"/>
                <w:sz w:val="24"/>
                <w:szCs w:val="24"/>
                <w:lang w:val="lv-LV"/>
              </w:rPr>
              <w:t xml:space="preserve">noteikumu projekta pielikumā </w:t>
            </w:r>
            <w:r w:rsidRPr="00AF1DD9">
              <w:rPr>
                <w:rFonts w:ascii="Times New Roman" w:hAnsi="Times New Roman"/>
                <w:sz w:val="24"/>
                <w:szCs w:val="24"/>
                <w:lang w:val="lv-LV"/>
              </w:rPr>
              <w:t>jau šobrīd tiek samazinātas zāļu reģistrācijas pakalpojumu cenas:</w:t>
            </w:r>
            <w:r w:rsidRPr="00AF1DD9">
              <w:rPr>
                <w:sz w:val="28"/>
                <w:szCs w:val="28"/>
                <w:lang w:val="lv-LV"/>
              </w:rPr>
              <w:t xml:space="preserve"> </w:t>
            </w:r>
          </w:p>
          <w:p w:rsidR="00D227CB" w:rsidRPr="00AF1DD9" w:rsidRDefault="00AF1DD9" w:rsidP="00D227CB">
            <w:pPr>
              <w:pStyle w:val="NoSpacing"/>
              <w:tabs>
                <w:tab w:val="left" w:pos="430"/>
              </w:tabs>
              <w:ind w:left="720"/>
              <w:jc w:val="both"/>
              <w:rPr>
                <w:rFonts w:ascii="Times New Roman" w:hAnsi="Times New Roman"/>
                <w:sz w:val="24"/>
                <w:szCs w:val="24"/>
                <w:lang w:val="lv-LV"/>
              </w:rPr>
            </w:pPr>
            <w:r>
              <w:rPr>
                <w:rFonts w:ascii="Times New Roman" w:hAnsi="Times New Roman"/>
                <w:sz w:val="24"/>
                <w:szCs w:val="24"/>
                <w:lang w:val="lv-LV"/>
              </w:rPr>
              <w:t>- pakalpojumam „</w:t>
            </w:r>
            <w:r w:rsidR="00D227CB" w:rsidRPr="00AF1DD9">
              <w:rPr>
                <w:rFonts w:ascii="Times New Roman" w:hAnsi="Times New Roman"/>
                <w:sz w:val="24"/>
                <w:szCs w:val="24"/>
                <w:lang w:val="lv-LV"/>
              </w:rPr>
              <w:t>Iesnieguma un pievienotās dokumentācijas ekspertīze zāļu reģistrācijai nacionālajā procedūrā  pirmajai iesniegtajai zāļu formai</w:t>
            </w:r>
            <w:r>
              <w:rPr>
                <w:rFonts w:ascii="Times New Roman" w:hAnsi="Times New Roman"/>
                <w:sz w:val="24"/>
                <w:szCs w:val="24"/>
                <w:lang w:val="lv-LV"/>
              </w:rPr>
              <w:t>”</w:t>
            </w:r>
            <w:r w:rsidR="00D227CB" w:rsidRPr="00AF1DD9">
              <w:rPr>
                <w:rFonts w:ascii="Times New Roman" w:hAnsi="Times New Roman"/>
                <w:sz w:val="24"/>
                <w:szCs w:val="24"/>
                <w:lang w:val="lv-LV"/>
              </w:rPr>
              <w:t xml:space="preserve"> cenas samazinājums - 60%; ar j</w:t>
            </w:r>
            <w:r w:rsidR="006234E9" w:rsidRPr="00AF1DD9">
              <w:rPr>
                <w:rFonts w:ascii="Times New Roman" w:hAnsi="Times New Roman"/>
                <w:sz w:val="24"/>
                <w:szCs w:val="24"/>
                <w:lang w:val="lv-LV"/>
              </w:rPr>
              <w:t>aunu aktīvo vielu (pielikuma 1.1.1. un 1.1.2</w:t>
            </w:r>
            <w:r w:rsidR="00D227CB" w:rsidRPr="00AF1DD9">
              <w:rPr>
                <w:rFonts w:ascii="Times New Roman" w:hAnsi="Times New Roman"/>
                <w:sz w:val="24"/>
                <w:szCs w:val="24"/>
                <w:lang w:val="lv-LV"/>
              </w:rPr>
              <w:t>.apakšpunkt</w:t>
            </w:r>
            <w:r w:rsidR="006234E9" w:rsidRPr="00AF1DD9">
              <w:rPr>
                <w:rFonts w:ascii="Times New Roman" w:hAnsi="Times New Roman"/>
                <w:sz w:val="24"/>
                <w:szCs w:val="24"/>
                <w:lang w:val="lv-LV"/>
              </w:rPr>
              <w:t>s</w:t>
            </w:r>
            <w:r w:rsidR="00D227CB" w:rsidRPr="00AF1DD9">
              <w:rPr>
                <w:rFonts w:ascii="Times New Roman" w:hAnsi="Times New Roman"/>
                <w:sz w:val="24"/>
                <w:szCs w:val="24"/>
                <w:lang w:val="lv-LV"/>
              </w:rPr>
              <w:t>) cenas samazinājums – 25 %;</w:t>
            </w:r>
          </w:p>
          <w:p w:rsidR="00D227CB" w:rsidRPr="00AF1DD9" w:rsidRDefault="00AF1DD9" w:rsidP="00D227CB">
            <w:pPr>
              <w:pStyle w:val="NoSpacing"/>
              <w:tabs>
                <w:tab w:val="left" w:pos="430"/>
              </w:tabs>
              <w:ind w:left="720"/>
              <w:jc w:val="both"/>
              <w:rPr>
                <w:rFonts w:ascii="Times New Roman" w:hAnsi="Times New Roman"/>
                <w:sz w:val="24"/>
                <w:szCs w:val="24"/>
                <w:lang w:val="lv-LV"/>
              </w:rPr>
            </w:pPr>
            <w:r>
              <w:rPr>
                <w:rFonts w:ascii="Times New Roman" w:hAnsi="Times New Roman"/>
                <w:sz w:val="24"/>
                <w:szCs w:val="24"/>
                <w:lang w:val="lv-LV"/>
              </w:rPr>
              <w:t>- pakalpojuma</w:t>
            </w:r>
            <w:r w:rsidR="00D227CB" w:rsidRPr="00AF1DD9">
              <w:rPr>
                <w:rFonts w:ascii="Times New Roman" w:hAnsi="Times New Roman"/>
                <w:sz w:val="24"/>
                <w:szCs w:val="24"/>
                <w:lang w:val="lv-LV"/>
              </w:rPr>
              <w:t xml:space="preserve"> </w:t>
            </w:r>
            <w:r>
              <w:rPr>
                <w:rFonts w:ascii="Times New Roman" w:hAnsi="Times New Roman"/>
                <w:sz w:val="24"/>
                <w:szCs w:val="24"/>
                <w:lang w:val="lv-LV"/>
              </w:rPr>
              <w:t>„</w:t>
            </w:r>
            <w:r w:rsidR="00D227CB" w:rsidRPr="00AF1DD9">
              <w:rPr>
                <w:rFonts w:ascii="Times New Roman" w:hAnsi="Times New Roman"/>
                <w:sz w:val="24"/>
                <w:szCs w:val="24"/>
                <w:lang w:val="lv-LV"/>
              </w:rPr>
              <w:t>Iesnieguma un pievienotās dokumentācijas ekspertīze zāļu pārreģistrācijai nacionālajā procedūrā</w:t>
            </w:r>
            <w:r>
              <w:rPr>
                <w:rFonts w:ascii="Times New Roman" w:hAnsi="Times New Roman"/>
                <w:sz w:val="24"/>
                <w:szCs w:val="24"/>
                <w:lang w:val="lv-LV"/>
              </w:rPr>
              <w:t>”</w:t>
            </w:r>
            <w:r w:rsidR="00D227CB" w:rsidRPr="00AF1DD9">
              <w:rPr>
                <w:rFonts w:ascii="Times New Roman" w:hAnsi="Times New Roman"/>
                <w:sz w:val="24"/>
                <w:szCs w:val="24"/>
                <w:lang w:val="lv-LV"/>
              </w:rPr>
              <w:t xml:space="preserve"> vienai zāļu formai cenas samazinājums – </w:t>
            </w:r>
            <w:r>
              <w:rPr>
                <w:rFonts w:ascii="Times New Roman" w:hAnsi="Times New Roman"/>
                <w:sz w:val="24"/>
                <w:szCs w:val="24"/>
                <w:lang w:val="lv-LV"/>
              </w:rPr>
              <w:t>25%; katrai papildu zāļu formai</w:t>
            </w:r>
            <w:r w:rsidR="006234E9" w:rsidRPr="00AF1DD9">
              <w:rPr>
                <w:rFonts w:ascii="Times New Roman" w:hAnsi="Times New Roman"/>
                <w:sz w:val="24"/>
                <w:szCs w:val="24"/>
                <w:lang w:val="lv-LV"/>
              </w:rPr>
              <w:t xml:space="preserve"> </w:t>
            </w:r>
            <w:r w:rsidR="00D227CB" w:rsidRPr="00AF1DD9">
              <w:rPr>
                <w:rFonts w:ascii="Times New Roman" w:hAnsi="Times New Roman"/>
                <w:sz w:val="24"/>
                <w:szCs w:val="24"/>
                <w:lang w:val="lv-LV"/>
              </w:rPr>
              <w:t>cenas samazinājums – 20%</w:t>
            </w:r>
            <w:r>
              <w:rPr>
                <w:rFonts w:ascii="Times New Roman" w:hAnsi="Times New Roman"/>
                <w:sz w:val="24"/>
                <w:szCs w:val="24"/>
                <w:lang w:val="lv-LV"/>
              </w:rPr>
              <w:t xml:space="preserve"> </w:t>
            </w:r>
            <w:r w:rsidRPr="00AF1DD9">
              <w:rPr>
                <w:rFonts w:ascii="Times New Roman" w:hAnsi="Times New Roman"/>
                <w:sz w:val="24"/>
                <w:szCs w:val="24"/>
                <w:lang w:val="lv-LV"/>
              </w:rPr>
              <w:t>(pielikuma 2.1. un 2.1.1.apakšpunkts)</w:t>
            </w:r>
            <w:r w:rsidR="00D227CB" w:rsidRPr="00AF1DD9">
              <w:rPr>
                <w:rFonts w:ascii="Times New Roman" w:hAnsi="Times New Roman"/>
                <w:sz w:val="24"/>
                <w:szCs w:val="24"/>
                <w:lang w:val="lv-LV"/>
              </w:rPr>
              <w:t>;</w:t>
            </w:r>
          </w:p>
          <w:p w:rsidR="00D227CB" w:rsidRPr="00AF1DD9" w:rsidRDefault="00AF1DD9" w:rsidP="00D227CB">
            <w:pPr>
              <w:pStyle w:val="NoSpacing"/>
              <w:tabs>
                <w:tab w:val="left" w:pos="430"/>
              </w:tabs>
              <w:ind w:left="720"/>
              <w:jc w:val="both"/>
              <w:rPr>
                <w:rFonts w:ascii="Times New Roman" w:hAnsi="Times New Roman"/>
                <w:sz w:val="24"/>
                <w:szCs w:val="24"/>
                <w:lang w:val="lv-LV"/>
              </w:rPr>
            </w:pPr>
            <w:r>
              <w:rPr>
                <w:rFonts w:ascii="Times New Roman" w:hAnsi="Times New Roman"/>
                <w:sz w:val="24"/>
                <w:szCs w:val="24"/>
                <w:lang w:val="lv-LV"/>
              </w:rPr>
              <w:t>-</w:t>
            </w:r>
            <w:r w:rsidR="00D227CB" w:rsidRPr="00AF1DD9">
              <w:rPr>
                <w:rFonts w:ascii="Times New Roman" w:hAnsi="Times New Roman"/>
                <w:sz w:val="24"/>
                <w:szCs w:val="24"/>
                <w:lang w:val="lv-LV"/>
              </w:rPr>
              <w:t xml:space="preserve"> </w:t>
            </w:r>
            <w:r>
              <w:rPr>
                <w:rFonts w:ascii="Times New Roman" w:hAnsi="Times New Roman"/>
                <w:sz w:val="24"/>
                <w:szCs w:val="24"/>
                <w:lang w:val="lv-LV"/>
              </w:rPr>
              <w:t>„</w:t>
            </w:r>
            <w:r w:rsidR="00D227CB" w:rsidRPr="00AF1DD9">
              <w:rPr>
                <w:rFonts w:ascii="Times New Roman" w:hAnsi="Times New Roman"/>
                <w:sz w:val="24"/>
                <w:szCs w:val="24"/>
                <w:lang w:val="lv-LV"/>
              </w:rPr>
              <w:t>Nacionālajā procedūrā reģistrēto zāļu periodiski atjaunojamā drošuma ziņojuma ekspertīze zālēm ar vienādu aktīvo vielu vai vienādām aktīvām vielām vienam reģistrācijas apliecības īpašniekam</w:t>
            </w:r>
            <w:r>
              <w:rPr>
                <w:rFonts w:ascii="Times New Roman" w:hAnsi="Times New Roman"/>
                <w:sz w:val="24"/>
                <w:szCs w:val="24"/>
                <w:lang w:val="lv-LV"/>
              </w:rPr>
              <w:t>”</w:t>
            </w:r>
            <w:r w:rsidR="00D227CB" w:rsidRPr="00AF1DD9">
              <w:rPr>
                <w:rFonts w:ascii="Times New Roman" w:hAnsi="Times New Roman"/>
                <w:sz w:val="24"/>
                <w:szCs w:val="24"/>
                <w:lang w:val="lv-LV"/>
              </w:rPr>
              <w:t xml:space="preserve"> cenas samazinājums – 70%</w:t>
            </w:r>
            <w:r>
              <w:rPr>
                <w:rFonts w:ascii="Times New Roman" w:hAnsi="Times New Roman"/>
                <w:sz w:val="24"/>
                <w:szCs w:val="24"/>
                <w:lang w:val="lv-LV"/>
              </w:rPr>
              <w:t xml:space="preserve"> </w:t>
            </w:r>
            <w:r w:rsidRPr="00AF1DD9">
              <w:rPr>
                <w:rFonts w:ascii="Times New Roman" w:hAnsi="Times New Roman"/>
                <w:sz w:val="24"/>
                <w:szCs w:val="24"/>
                <w:lang w:val="lv-LV"/>
              </w:rPr>
              <w:t>(pielikuma 3.punkts)</w:t>
            </w:r>
            <w:r w:rsidR="00D227CB" w:rsidRPr="00AF1DD9">
              <w:rPr>
                <w:rFonts w:ascii="Times New Roman" w:hAnsi="Times New Roman"/>
                <w:sz w:val="24"/>
                <w:szCs w:val="24"/>
                <w:lang w:val="lv-LV"/>
              </w:rPr>
              <w:t>.</w:t>
            </w:r>
          </w:p>
          <w:p w:rsidR="005E4A0E" w:rsidRPr="00AF1DD9" w:rsidRDefault="005E4A0E" w:rsidP="005E4A0E">
            <w:pPr>
              <w:pStyle w:val="NoSpacing"/>
              <w:tabs>
                <w:tab w:val="left" w:pos="430"/>
              </w:tabs>
              <w:jc w:val="both"/>
              <w:rPr>
                <w:rFonts w:ascii="Times New Roman" w:hAnsi="Times New Roman"/>
                <w:sz w:val="24"/>
                <w:szCs w:val="24"/>
                <w:lang w:val="lv-LV"/>
              </w:rPr>
            </w:pPr>
          </w:p>
          <w:p w:rsidR="00C75071" w:rsidRDefault="006A153A" w:rsidP="004A5E75">
            <w:pPr>
              <w:jc w:val="both"/>
            </w:pPr>
            <w:r>
              <w:t xml:space="preserve">   </w:t>
            </w:r>
            <w:r w:rsidR="00D227CB" w:rsidRPr="00AF1DD9">
              <w:t>Vienlaikus, ievērojot Starptau</w:t>
            </w:r>
            <w:r w:rsidR="00AF1DD9">
              <w:t>tisko inovatīvo farmaceitisko fi</w:t>
            </w:r>
            <w:r w:rsidR="00D227CB" w:rsidRPr="00AF1DD9">
              <w:t>rmu asociācijas un Latvijas Patentbrīvo Medikamentu Asociācijas viedokli</w:t>
            </w:r>
            <w:r w:rsidR="00AF1DD9">
              <w:t xml:space="preserve"> un pildot Veselības ministrijai ar </w:t>
            </w:r>
            <w:r w:rsidR="00AF1DD9" w:rsidRPr="003F5D43">
              <w:t>Ministru ka</w:t>
            </w:r>
            <w:r w:rsidR="00AF1DD9">
              <w:t>bineta 2011.gada 8.novembra sēdes protokola Nr.66</w:t>
            </w:r>
            <w:r w:rsidR="00AF1DD9" w:rsidRPr="003F5D43">
              <w:t xml:space="preserve"> </w:t>
            </w:r>
            <w:r w:rsidR="00AF1DD9">
              <w:t xml:space="preserve">20.§ 2.punktā doto uzdevumu, </w:t>
            </w:r>
            <w:r w:rsidR="00D227CB" w:rsidRPr="00AF1DD9">
              <w:t>Veselības ministrija ir izstrādājusi Ministru kabineta protokollēmuma „</w:t>
            </w:r>
            <w:r w:rsidR="00D227CB" w:rsidRPr="00AF1DD9">
              <w:rPr>
                <w:bCs/>
              </w:rPr>
              <w:t xml:space="preserve">Par Ministru kabineta </w:t>
            </w:r>
            <w:bookmarkStart w:id="2" w:name="OLE_LINK14"/>
            <w:r w:rsidR="00D227CB" w:rsidRPr="00AF1DD9">
              <w:rPr>
                <w:bCs/>
              </w:rPr>
              <w:t xml:space="preserve">noteikumu </w:t>
            </w:r>
            <w:r w:rsidR="00D227CB" w:rsidRPr="00AF1DD9">
              <w:t>„</w:t>
            </w:r>
            <w:r w:rsidR="00D227CB" w:rsidRPr="00AF1DD9">
              <w:rPr>
                <w:bCs/>
              </w:rPr>
              <w:t xml:space="preserve">Noteikumi par Zāļu valsts aģentūras publisko maksas pakalpojumu cenrādi” </w:t>
            </w:r>
            <w:r w:rsidR="00D227CB" w:rsidRPr="00AF1DD9">
              <w:t>projekt</w:t>
            </w:r>
            <w:bookmarkEnd w:id="2"/>
            <w:r w:rsidR="00D227CB" w:rsidRPr="00AF1DD9">
              <w:t>u””</w:t>
            </w:r>
            <w:r w:rsidR="00AF1DD9">
              <w:t xml:space="preserve"> projektu</w:t>
            </w:r>
            <w:r w:rsidR="00C75071">
              <w:t xml:space="preserve"> (turpmāk – protokollēmuma projekts)</w:t>
            </w:r>
            <w:r w:rsidR="00D227CB" w:rsidRPr="00AF1DD9">
              <w:t>, kur</w:t>
            </w:r>
            <w:r w:rsidR="00AF1DD9">
              <w:t>a 1.punkts</w:t>
            </w:r>
            <w:r w:rsidR="00D227CB" w:rsidRPr="00AF1DD9">
              <w:t xml:space="preserve"> paredz</w:t>
            </w:r>
            <w:r w:rsidR="00D227CB" w:rsidRPr="00AF1DD9">
              <w:rPr>
                <w:sz w:val="28"/>
                <w:szCs w:val="28"/>
              </w:rPr>
              <w:t xml:space="preserve"> </w:t>
            </w:r>
            <w:r w:rsidR="00D227CB" w:rsidRPr="00AF1DD9">
              <w:t>samazināt zāļu reģistrācijas pakalpojumu iz</w:t>
            </w:r>
            <w:r w:rsidR="00AF1DD9">
              <w:t xml:space="preserve">maksas 110 500 latu apmērā </w:t>
            </w:r>
            <w:r w:rsidR="005E75D2">
              <w:t>2013.</w:t>
            </w:r>
            <w:r w:rsidR="00AF1DD9">
              <w:t>gadā, savukārt,</w:t>
            </w:r>
            <w:r w:rsidR="00D227CB" w:rsidRPr="00AF1DD9">
              <w:t xml:space="preserve"> 3.punkts paredz „Veselības ministrijai pārskatīt Zāļu valsts aģentūras maksas pakalpojumu cenas saistībā ar zāļu reģistrēšanas pakalpojumiem un veselība</w:t>
            </w:r>
            <w:r w:rsidR="001E5E16">
              <w:t>s ministram līdz 2013.gada 1.jūl</w:t>
            </w:r>
            <w:r w:rsidR="00D227CB" w:rsidRPr="00AF1DD9">
              <w:t>ijam noteiktā kārtībā iesniegt grozījumus Zāļu valsts aģentūras maksas pakalpojumu cenrādī</w:t>
            </w:r>
            <w:r w:rsidR="00D227CB" w:rsidRPr="00AF1DD9">
              <w:rPr>
                <w:sz w:val="28"/>
                <w:szCs w:val="28"/>
              </w:rPr>
              <w:t>”.</w:t>
            </w:r>
            <w:r w:rsidR="00D227CB" w:rsidRPr="00AF1DD9">
              <w:t xml:space="preserve"> </w:t>
            </w:r>
            <w:r w:rsidR="00AF1DD9">
              <w:t>Tā kā jau šobrīd noteikumu projekta pielikumā ir veikts cenu samazinājums</w:t>
            </w:r>
            <w:r w:rsidR="00AC66D4">
              <w:t xml:space="preserve"> un </w:t>
            </w:r>
            <w:r w:rsidR="00AC66D4">
              <w:lastRenderedPageBreak/>
              <w:t xml:space="preserve">2013.gadā vēlreiz tiks pārskatītas aģentūras maksas pakalpojumu cenas saistībā ar zāļu reģistrēšanas pakalpojumiem, </w:t>
            </w:r>
            <w:r w:rsidR="00AF1DD9">
              <w:t xml:space="preserve">tad Veselības ministrija uzskata par atbalstāmu </w:t>
            </w:r>
            <w:r w:rsidR="00AF1DD9" w:rsidRPr="003F5D43">
              <w:t>Ministru ka</w:t>
            </w:r>
            <w:r w:rsidR="00AF1DD9">
              <w:t>bineta 2011.gada 8.novembra sēdes protokola Nr.66</w:t>
            </w:r>
            <w:r w:rsidR="00AF1DD9" w:rsidRPr="003F5D43">
              <w:t xml:space="preserve"> </w:t>
            </w:r>
            <w:r w:rsidR="00AF1DD9">
              <w:t>20.§ 2.punktā dot</w:t>
            </w:r>
            <w:r w:rsidR="00AC66D4">
              <w:t xml:space="preserve">o uzdevumu </w:t>
            </w:r>
            <w:r w:rsidR="00C75071">
              <w:t>atzīt par aktualitāti zaudējušu</w:t>
            </w:r>
            <w:r w:rsidR="00AC66D4">
              <w:t>.</w:t>
            </w:r>
          </w:p>
          <w:p w:rsidR="004A5E75" w:rsidRPr="005C47BA" w:rsidRDefault="003F5D43" w:rsidP="004A5E75">
            <w:pPr>
              <w:jc w:val="both"/>
            </w:pPr>
            <w:r w:rsidRPr="005C47BA">
              <w:t>Noteikumu projekta pielikumā</w:t>
            </w:r>
            <w:r w:rsidR="004A5E75" w:rsidRPr="005C47BA">
              <w:t xml:space="preserve"> </w:t>
            </w:r>
            <w:r w:rsidRPr="005C47BA">
              <w:t xml:space="preserve">paredzētajiem </w:t>
            </w:r>
            <w:r w:rsidR="004A5E75" w:rsidRPr="005C47BA">
              <w:t xml:space="preserve">maksas pakalpojumu veidiem </w:t>
            </w:r>
            <w:r w:rsidRPr="005C47BA">
              <w:t>ne</w:t>
            </w:r>
            <w:r w:rsidR="004A5E75" w:rsidRPr="005C47BA">
              <w:rPr>
                <w:bCs/>
              </w:rPr>
              <w:t xml:space="preserve">tiek piemērots pievienotās vērtības nodoklis </w:t>
            </w:r>
            <w:r w:rsidR="004A5E75" w:rsidRPr="005C47BA">
              <w:t xml:space="preserve">saskaņā ar </w:t>
            </w:r>
            <w:r w:rsidR="005C47BA" w:rsidRPr="005C47BA">
              <w:t>Pievienotās vērtības nodokļa likuma 3.panta astoto daļu</w:t>
            </w:r>
            <w:r w:rsidR="006675CA" w:rsidRPr="005C47BA">
              <w:t>.</w:t>
            </w:r>
            <w:r w:rsidR="005E75D2">
              <w:t xml:space="preserve"> Attiecīgie</w:t>
            </w:r>
            <w:r w:rsidR="00FB5953" w:rsidRPr="005C47BA">
              <w:t xml:space="preserve"> valsts pārvaldes </w:t>
            </w:r>
            <w:r w:rsidR="005E75D2">
              <w:t>uzdevumi</w:t>
            </w:r>
            <w:r w:rsidR="00FB5953" w:rsidRPr="005C47BA">
              <w:t xml:space="preserve"> aģentūrai ir </w:t>
            </w:r>
            <w:r w:rsidR="005E75D2">
              <w:t>noteikti</w:t>
            </w:r>
            <w:r w:rsidR="00FB5953" w:rsidRPr="005C47BA">
              <w:t xml:space="preserve"> Ministru kabineta</w:t>
            </w:r>
            <w:r w:rsidR="005E75D2">
              <w:t xml:space="preserve"> 2012.gada 31.jūlija noteikumos</w:t>
            </w:r>
            <w:r w:rsidR="00FB5953" w:rsidRPr="005C47BA">
              <w:t xml:space="preserve"> Nr.537 „Zāļu valsts aģentūras nolikums”. </w:t>
            </w:r>
          </w:p>
          <w:p w:rsidR="00EE0954" w:rsidRPr="00AF1DD9" w:rsidRDefault="00EE0954" w:rsidP="00EE0954">
            <w:pPr>
              <w:snapToGrid w:val="0"/>
              <w:jc w:val="both"/>
            </w:pPr>
            <w:r>
              <w:t xml:space="preserve">Tā kā </w:t>
            </w:r>
            <w:r w:rsidRPr="00EE0954">
              <w:t>Eiropas Savienības dalībvalstu kompetento iestāžu prioritāte ir darba optimizācija un resursu taupīšana, līdz ar to ir ieviesta izmaiņu grupēšana, kas ļauj klientiem taupīt finanšu līdzekļus, saņemot maksas atlaides, gadījumā, ja identiskas izmaiņas tiek grupētas vairāk kā vienām zālēm.</w:t>
            </w:r>
            <w:r>
              <w:t xml:space="preserve"> Lai</w:t>
            </w:r>
            <w:r w:rsidRPr="00EE0954">
              <w:t xml:space="preserve"> varētu sniegt atlaides komersantiem izmaiņu grupēšanas gadījumā, ievērojot Eiropas Komisijas 2008.gada 24.novembra Regulas (EK) Nr.1234/2008 par izmaiņu izskatīšanu cilvēkiem paredzētu zāļu un veterināro zāļu tirdzniecības atļauju nosacīj</w:t>
            </w:r>
            <w:r>
              <w:t>umu prasības, noteikumu projekta pielikumā</w:t>
            </w:r>
            <w:r w:rsidRPr="00EE0954">
              <w:t xml:space="preserve"> paredz</w:t>
            </w:r>
            <w:r>
              <w:t>ēta</w:t>
            </w:r>
            <w:r w:rsidRPr="00EE0954">
              <w:t xml:space="preserve"> </w:t>
            </w:r>
            <w:r>
              <w:t>otrā iezīme</w:t>
            </w:r>
            <w:r w:rsidRPr="00EE0954">
              <w:t>, kas nosaka zāļu reģistrācijas apliecību īpašniekiem piemērojamo atlaižu aprēķināšanas kārtību.</w:t>
            </w:r>
          </w:p>
          <w:p w:rsidR="004A5E75" w:rsidRPr="00AF1DD9" w:rsidRDefault="004A5E75" w:rsidP="004A5E75">
            <w:pPr>
              <w:autoSpaceDE w:val="0"/>
              <w:autoSpaceDN w:val="0"/>
              <w:adjustRightInd w:val="0"/>
              <w:jc w:val="both"/>
            </w:pPr>
            <w:r w:rsidRPr="00AF1DD9">
              <w:t>Šobrīd noteikumu projekts pilnībā atrisinās anotācijas I sadaļas 2.punktā minētās problēmas.</w:t>
            </w:r>
          </w:p>
          <w:p w:rsidR="00350C92" w:rsidRDefault="004A5E75" w:rsidP="005E75D2">
            <w:pPr>
              <w:pStyle w:val="ListParagraph"/>
              <w:spacing w:after="0" w:line="240" w:lineRule="auto"/>
              <w:ind w:left="0"/>
              <w:jc w:val="both"/>
              <w:rPr>
                <w:rFonts w:ascii="Times New Roman" w:hAnsi="Times New Roman"/>
                <w:sz w:val="24"/>
                <w:szCs w:val="24"/>
                <w:lang w:val="lv-LV"/>
              </w:rPr>
            </w:pPr>
            <w:r w:rsidRPr="00AF1DD9">
              <w:rPr>
                <w:rFonts w:ascii="Times New Roman" w:hAnsi="Times New Roman"/>
                <w:sz w:val="24"/>
                <w:szCs w:val="24"/>
                <w:lang w:val="lv-LV"/>
              </w:rPr>
              <w:t xml:space="preserve">Noteikumu projekta spēkā stāšanās paredzēta </w:t>
            </w:r>
            <w:r w:rsidR="005E75D2">
              <w:rPr>
                <w:rFonts w:ascii="Times New Roman" w:hAnsi="Times New Roman"/>
                <w:sz w:val="24"/>
                <w:szCs w:val="24"/>
                <w:lang w:val="lv-LV"/>
              </w:rPr>
              <w:t>ar noteikumu pieņemšanas Ministru kabinetā brīdi.</w:t>
            </w:r>
          </w:p>
          <w:p w:rsidR="006A153A" w:rsidRPr="00AF1DD9" w:rsidRDefault="006A153A" w:rsidP="005E75D2">
            <w:pPr>
              <w:pStyle w:val="ListParagraph"/>
              <w:spacing w:after="0" w:line="240" w:lineRule="auto"/>
              <w:ind w:left="0"/>
              <w:jc w:val="both"/>
              <w:rPr>
                <w:rFonts w:ascii="Times New Roman" w:hAnsi="Times New Roman"/>
                <w:sz w:val="24"/>
                <w:szCs w:val="24"/>
                <w:lang w:val="lv-LV"/>
              </w:rPr>
            </w:pPr>
          </w:p>
        </w:tc>
      </w:tr>
      <w:tr w:rsidR="0048135E" w:rsidRPr="003F5D43" w:rsidTr="008D2A7D">
        <w:tc>
          <w:tcPr>
            <w:tcW w:w="602" w:type="dxa"/>
          </w:tcPr>
          <w:p w:rsidR="0048135E" w:rsidRPr="003F5D43" w:rsidRDefault="0048135E" w:rsidP="0048135E">
            <w:r w:rsidRPr="003F5D43">
              <w:lastRenderedPageBreak/>
              <w:t>5.</w:t>
            </w:r>
          </w:p>
        </w:tc>
        <w:tc>
          <w:tcPr>
            <w:tcW w:w="2306" w:type="dxa"/>
          </w:tcPr>
          <w:p w:rsidR="0048135E" w:rsidRPr="003F5D43" w:rsidRDefault="0048135E" w:rsidP="0048135E">
            <w:pPr>
              <w:jc w:val="both"/>
            </w:pPr>
            <w:r w:rsidRPr="003F5D43">
              <w:t>Projekta izstrādē iesaistītās institūcijas</w:t>
            </w:r>
          </w:p>
        </w:tc>
        <w:tc>
          <w:tcPr>
            <w:tcW w:w="6590" w:type="dxa"/>
          </w:tcPr>
          <w:p w:rsidR="0048135E" w:rsidRPr="003F5D43" w:rsidRDefault="004A5E75" w:rsidP="0048135E">
            <w:pPr>
              <w:pStyle w:val="Heading6"/>
              <w:spacing w:before="0" w:after="0"/>
              <w:jc w:val="both"/>
              <w:rPr>
                <w:b w:val="0"/>
                <w:bCs w:val="0"/>
                <w:sz w:val="24"/>
                <w:szCs w:val="24"/>
                <w:lang w:val="lv-LV"/>
              </w:rPr>
            </w:pPr>
            <w:r w:rsidRPr="003F5D43">
              <w:rPr>
                <w:b w:val="0"/>
                <w:bCs w:val="0"/>
                <w:sz w:val="24"/>
                <w:szCs w:val="24"/>
                <w:lang w:val="lv-LV"/>
              </w:rPr>
              <w:t>A</w:t>
            </w:r>
            <w:r w:rsidR="0048135E" w:rsidRPr="003F5D43">
              <w:rPr>
                <w:b w:val="0"/>
                <w:bCs w:val="0"/>
                <w:sz w:val="24"/>
                <w:szCs w:val="24"/>
                <w:lang w:val="lv-LV"/>
              </w:rPr>
              <w:t>ģentūra</w:t>
            </w:r>
            <w:r w:rsidR="00BA384D" w:rsidRPr="003F5D43">
              <w:rPr>
                <w:b w:val="0"/>
                <w:bCs w:val="0"/>
                <w:sz w:val="24"/>
                <w:szCs w:val="24"/>
                <w:lang w:val="lv-LV"/>
              </w:rPr>
              <w:t>.</w:t>
            </w:r>
          </w:p>
        </w:tc>
      </w:tr>
      <w:tr w:rsidR="0048135E" w:rsidRPr="003F5D43" w:rsidTr="008D2A7D">
        <w:tc>
          <w:tcPr>
            <w:tcW w:w="602" w:type="dxa"/>
          </w:tcPr>
          <w:p w:rsidR="0048135E" w:rsidRPr="003F5D43" w:rsidRDefault="0048135E" w:rsidP="0048135E">
            <w:r w:rsidRPr="003F5D43">
              <w:t>6.</w:t>
            </w:r>
          </w:p>
        </w:tc>
        <w:tc>
          <w:tcPr>
            <w:tcW w:w="2306" w:type="dxa"/>
          </w:tcPr>
          <w:p w:rsidR="0048135E" w:rsidRPr="003F5D43" w:rsidRDefault="0048135E" w:rsidP="0048135E">
            <w:pPr>
              <w:jc w:val="both"/>
            </w:pPr>
            <w:r w:rsidRPr="003F5D43">
              <w:t>Iemesli, kādēļ netika nodrošināta sabiedrības līdzdalība</w:t>
            </w:r>
          </w:p>
        </w:tc>
        <w:tc>
          <w:tcPr>
            <w:tcW w:w="6590" w:type="dxa"/>
          </w:tcPr>
          <w:p w:rsidR="006A153A" w:rsidRDefault="00C55053" w:rsidP="005C47BA">
            <w:pPr>
              <w:jc w:val="both"/>
            </w:pPr>
            <w:r>
              <w:t>Sabiedrības līdzdalība netika nodrošināta, jo noteikumu projekts neparedz cenu paaugstinājumu aģentūras maksas pakalpojumiem, bet gan tieši otrādi – būtisku cenu samazinājumu iesniegumu un pievienotās dokumentācijas ekspertīzei zāļu reģistrācijai un pārreģistrācijai nacionālajā procedūrā,  n</w:t>
            </w:r>
            <w:r w:rsidRPr="00AF1DD9">
              <w:t>acionālajā procedūrā reģistrēto zāļu periodiski atjaunojamā drošuma ziņojuma ekspertīze</w:t>
            </w:r>
            <w:r>
              <w:t>i</w:t>
            </w:r>
            <w:r w:rsidRPr="00AF1DD9">
              <w:t xml:space="preserve"> zālēm ar vienādu aktīvo vielu vai vienādām aktīvām vielām vienam reģistrācijas apliecības īpašniekam</w:t>
            </w:r>
            <w:r>
              <w:t>.</w:t>
            </w:r>
          </w:p>
          <w:p w:rsidR="0048135E" w:rsidRPr="003F5D43" w:rsidRDefault="00C55053" w:rsidP="005C47BA">
            <w:pPr>
              <w:jc w:val="both"/>
            </w:pPr>
            <w:r>
              <w:t xml:space="preserve"> </w:t>
            </w:r>
          </w:p>
        </w:tc>
      </w:tr>
      <w:tr w:rsidR="0048135E" w:rsidRPr="003F5D43" w:rsidTr="008D2A7D">
        <w:tc>
          <w:tcPr>
            <w:tcW w:w="602" w:type="dxa"/>
          </w:tcPr>
          <w:p w:rsidR="0048135E" w:rsidRPr="003F5D43" w:rsidRDefault="0048135E" w:rsidP="0048135E">
            <w:r w:rsidRPr="003F5D43">
              <w:t xml:space="preserve">7. </w:t>
            </w:r>
          </w:p>
        </w:tc>
        <w:tc>
          <w:tcPr>
            <w:tcW w:w="2306" w:type="dxa"/>
          </w:tcPr>
          <w:p w:rsidR="0048135E" w:rsidRPr="003F5D43" w:rsidRDefault="0048135E" w:rsidP="0048135E">
            <w:pPr>
              <w:jc w:val="both"/>
            </w:pPr>
            <w:r w:rsidRPr="003F5D43">
              <w:t>Cita informācija</w:t>
            </w:r>
          </w:p>
        </w:tc>
        <w:tc>
          <w:tcPr>
            <w:tcW w:w="6590" w:type="dxa"/>
          </w:tcPr>
          <w:p w:rsidR="00CF69AE" w:rsidRPr="005E4A0E" w:rsidRDefault="00CF69AE" w:rsidP="00CF69AE">
            <w:pPr>
              <w:jc w:val="both"/>
            </w:pPr>
            <w:r w:rsidRPr="005E4A0E">
              <w:t xml:space="preserve">Lai nodrošinātu farmakovigilances prasības, kas noteiktas Eiropas Parlamenta un Padomes 2010.gada 15.decembra regulā Nr.1235/2010, ar kuru attiecībā uz cilvēkiem paredzēto zāļu farmakovigilanci groza Regulu (EK) Nr. 726/2004, ar ko nosaka cilvēkiem paredzēto un veterināro zāļu reģistrēšanas un uzraudzības Kopienas procedūras un izveido Eiropas Zāļu aģentūru, un Regulu (EK) Nr. 1394/2007 par uzlabotas terapijas zālēm un  Eiropas Parlamenta un Padomes 2010.gada 15.decembra Direktīvā </w:t>
            </w:r>
            <w:hyperlink r:id="rId9" w:tgtFrame="_blank" w:tooltip="DIREKTĪVA" w:history="1">
              <w:r w:rsidRPr="005E4A0E">
                <w:rPr>
                  <w:rStyle w:val="Hyperlink"/>
                  <w:color w:val="auto"/>
                </w:rPr>
                <w:t>2010/84/EK</w:t>
              </w:r>
            </w:hyperlink>
            <w:r w:rsidRPr="005E4A0E">
              <w:t xml:space="preserve">, ar kuru attiecībā uz farmakovigilanci groza Direktīvu 2001/83/EK par Kopienas kodeksu, kas attiecas uz cilvēkiem paredzētām zālēm noteikto pienākumu pārņemšanu un īstenošanu, aģentūrai būs jāveic </w:t>
            </w:r>
            <w:r w:rsidRPr="005E4A0E">
              <w:lastRenderedPageBreak/>
              <w:t>vairākas jaunas un esošās paplašinātas funkcijas farmakovigilances jomā, kā dēļ ar 2013.gadu būtu nepieciešams izveidot 6 jaunas štata vietas (nepieciešamie līdzekļi tiks segti no aģentūras ieņēmumiem):</w:t>
            </w:r>
          </w:p>
          <w:p w:rsidR="00CF69AE" w:rsidRPr="005E4A0E" w:rsidRDefault="00CF69AE" w:rsidP="00CF69AE">
            <w:pPr>
              <w:jc w:val="both"/>
            </w:pPr>
            <w:r w:rsidRPr="005E4A0E">
              <w:t>1) blakusparādību ziņošana un reģistrēšana. Kā j</w:t>
            </w:r>
            <w:r w:rsidRPr="005E4A0E">
              <w:rPr>
                <w:bCs/>
              </w:rPr>
              <w:t>auna funkcija ir pacientu iespēja ziņošanai par blakusparādībām, kas nozīmē, ka ziņotāju loks būtiski plašinās un pacientu ziņojumu vērtēšanai būs jāizstrādā un jāievieš adaptēts algoritms.</w:t>
            </w:r>
            <w:r w:rsidRPr="005E4A0E">
              <w:t xml:space="preserve"> Bez tam ziņošanas kritēriji paplašināti ārstu un reģistrācijas īpašnieku ziņošanai, tādēļ paredzama lielāka datu apjoma saņemšana validēšanai, un ziņošanai uz Eiropas Savienības (ES) zāļu blakusparādību datu bāzi EudraVigilance, ir paaugstinātas arī ziņojumu kvalitātes prasības, par kuru nodrošināšanu ir atbildīga dalībvalsts;</w:t>
            </w:r>
          </w:p>
          <w:p w:rsidR="00CF69AE" w:rsidRPr="005E4A0E" w:rsidRDefault="00CF69AE" w:rsidP="00CF69AE">
            <w:pPr>
              <w:jc w:val="both"/>
              <w:rPr>
                <w:bCs/>
              </w:rPr>
            </w:pPr>
            <w:r w:rsidRPr="005E4A0E">
              <w:t>2) periodiski atjaunināmo drošuma ziņojumu (turpmāk – PSUR) vērtēšanai ir precizētas procedūras. Ir ieviesta</w:t>
            </w:r>
            <w:r w:rsidRPr="005E4A0E">
              <w:rPr>
                <w:b/>
                <w:bCs/>
              </w:rPr>
              <w:t xml:space="preserve"> </w:t>
            </w:r>
            <w:r w:rsidRPr="005E4A0E">
              <w:rPr>
                <w:bCs/>
              </w:rPr>
              <w:t>jauna funkcija</w:t>
            </w:r>
            <w:r w:rsidRPr="005E4A0E">
              <w:rPr>
                <w:b/>
                <w:bCs/>
              </w:rPr>
              <w:t xml:space="preserve"> - </w:t>
            </w:r>
            <w:r w:rsidRPr="005E4A0E">
              <w:rPr>
                <w:bCs/>
              </w:rPr>
              <w:t>vienota periodiski atjaunināmā drošuma ziņojuma vērtēšana. Tāpat būs jāveic</w:t>
            </w:r>
            <w:r w:rsidRPr="005E4A0E">
              <w:t xml:space="preserve"> periodiski atjaunināmo drošuma ziņojumu vērtēšana, lai noteiktu, vai ir jauni riski vai riski ir mainījušies, vai ir mainījies riska un ieguvuma samērs, kā arī, lai tiktu nodrošināts vienots novērtējums saistībā ar darba dalīšanas kārtību attiecībā uz periodiski atjaunināmajiem drošuma ziņojumiem</w:t>
            </w:r>
            <w:r w:rsidRPr="005E4A0E">
              <w:rPr>
                <w:bCs/>
              </w:rPr>
              <w:t>.</w:t>
            </w:r>
          </w:p>
          <w:p w:rsidR="00CF69AE" w:rsidRPr="005E4A0E" w:rsidRDefault="00CF69AE" w:rsidP="00CF69AE">
            <w:pPr>
              <w:pStyle w:val="CM4"/>
              <w:spacing w:before="60" w:after="60"/>
              <w:jc w:val="both"/>
              <w:rPr>
                <w:lang w:val="lv-LV"/>
              </w:rPr>
            </w:pPr>
            <w:r w:rsidRPr="005E4A0E">
              <w:rPr>
                <w:lang w:val="lv-LV"/>
              </w:rPr>
              <w:t xml:space="preserve">Vienotu PSUR novērtējumu aģentūra veiks arī tad, ja Latvija ir: </w:t>
            </w:r>
          </w:p>
          <w:p w:rsidR="00CF69AE" w:rsidRPr="005E4A0E" w:rsidRDefault="00CF69AE" w:rsidP="00CF69AE">
            <w:pPr>
              <w:pStyle w:val="CM4"/>
              <w:spacing w:before="60" w:after="60"/>
              <w:jc w:val="both"/>
              <w:rPr>
                <w:lang w:val="lv-LV"/>
              </w:rPr>
            </w:pPr>
            <w:r w:rsidRPr="005E4A0E">
              <w:rPr>
                <w:lang w:val="lv-LV"/>
              </w:rPr>
              <w:t xml:space="preserve">a) savstarpējās atzīšanas procedūras un decentralizētās procedūras koordinācijas grupas (CMD(h)) norādītā dalībvalsts, ja neviena no attiecīgajām tirdzniecības atļaujām nav piešķirta saskaņā ar Regulas (EK) Nr. 726/2004 II sadaļas 1. nodaļā paredzēto centralizēto procedūru; vai arī </w:t>
            </w:r>
          </w:p>
          <w:p w:rsidR="00CF69AE" w:rsidRPr="005E4A0E" w:rsidRDefault="00CF69AE" w:rsidP="00CF69AE">
            <w:pPr>
              <w:pStyle w:val="CM4"/>
              <w:spacing w:before="60" w:after="60"/>
              <w:jc w:val="both"/>
              <w:rPr>
                <w:lang w:val="lv-LV"/>
              </w:rPr>
            </w:pPr>
            <w:r w:rsidRPr="005E4A0E">
              <w:rPr>
                <w:lang w:val="lv-LV"/>
              </w:rPr>
              <w:t>b) Farmakovigilances riska vērtēšanas komitejas iecelts referents, ja vismaz viena no attiecīgajām tirdzniecības atļaujām piešķirta saskaņā ar Regulas (EK) Nr. 726/2004 II sadaļas 1. nodaļā paredzēto centralizēto procedūru; (sākot ar 2012.gada beigām varētu būt nepieciešams nodrošināt papildus ekspertu ieguldījumu starptautiski noteikto pienākumu izpildei, jo vērtēšanas procesu pamatā ir darba dalīšana starp ES valstīm, ko būs jānodrošina plānotajiem jaunajiem, jau esošajiem štata ekspertiem, kā arī ārštata ekspertiem)</w:t>
            </w:r>
          </w:p>
          <w:p w:rsidR="00CF69AE" w:rsidRPr="005E4A0E" w:rsidRDefault="00CF69AE" w:rsidP="00CF69AE">
            <w:pPr>
              <w:pStyle w:val="naisf"/>
              <w:tabs>
                <w:tab w:val="left" w:pos="1134"/>
              </w:tabs>
              <w:spacing w:before="0" w:beforeAutospacing="0" w:after="0" w:afterAutospacing="0"/>
              <w:jc w:val="both"/>
            </w:pPr>
            <w:r w:rsidRPr="005E4A0E">
              <w:t xml:space="preserve">3) signālu atklāšana - jauna funkcija, lai veiktu signālu atklāšanu un noteiktu, vai ir jauni riski, vai riski ir mainījušies un vai šie riski ietekmē riska un guvuma samēru. </w:t>
            </w:r>
            <w:r w:rsidR="005C47BA">
              <w:t>A</w:t>
            </w:r>
            <w:r w:rsidRPr="005E4A0E">
              <w:t xml:space="preserve">ģentūras pienākums būs uzraudzīt Eudravigilances datu bāzes datus. Šī funkcija tiks veikta saskaņā ar Eiropas Zāļu aģentūras izstrādāto metodiku un veicot datu analīzi EVDAS </w:t>
            </w:r>
            <w:r w:rsidRPr="005E4A0E">
              <w:rPr>
                <w:i/>
              </w:rPr>
              <w:t>(EudraVigilance Data Analysis System)</w:t>
            </w:r>
            <w:r w:rsidRPr="005E4A0E">
              <w:t xml:space="preserve"> sistēmā;</w:t>
            </w:r>
          </w:p>
          <w:p w:rsidR="00CF69AE" w:rsidRPr="005E4A0E" w:rsidRDefault="00CF69AE" w:rsidP="00CF69AE">
            <w:pPr>
              <w:pStyle w:val="naisf"/>
              <w:tabs>
                <w:tab w:val="left" w:pos="1134"/>
              </w:tabs>
              <w:spacing w:before="0" w:beforeAutospacing="0" w:after="0" w:afterAutospacing="0"/>
              <w:jc w:val="both"/>
              <w:rPr>
                <w:b/>
              </w:rPr>
            </w:pPr>
            <w:r w:rsidRPr="005E4A0E">
              <w:t xml:space="preserve">4) reģistrācijas īpašnieka iesniegto riska pārvaldības plānu vērtēšana visu jaunu reģistrāciju gadījumā, kā arī pēcreģistrācijas procesā, ja to nosaka zāļu PSUR vērtēšanas rezultāts vai citas ar šo zāļu farmakovigilanci saistītas problēmas (piemēram, signālu uzraudzības rezultātā), un šo riska pārvaldības plānu īstenošana un uzraudzība – jauna funkcija. Bez tam .jaunie noteikumi paredz uzraudzīt reģistrācijas īpašnieka pārstāvēto zāļu riska pārvaldības </w:t>
            </w:r>
            <w:r w:rsidRPr="005E4A0E">
              <w:lastRenderedPageBreak/>
              <w:t>plānos iekļauto riska mazināšanas pasākumu rezultātus un novērtēt riska pārvaldības sistēmas atjauninājumus, kā dēļ būs jāapgūst un jāveic attiecīgās reģistrācijas īpašnieku iesniegtās dokumentācijas vērtēšana;</w:t>
            </w:r>
          </w:p>
          <w:p w:rsidR="00CF69AE" w:rsidRPr="005E4A0E" w:rsidRDefault="00CF69AE" w:rsidP="00CF69AE">
            <w:pPr>
              <w:jc w:val="both"/>
            </w:pPr>
            <w:r w:rsidRPr="005E4A0E">
              <w:t xml:space="preserve">5) pēcreģistrācijas drošuma pētījumu pārraudzība – jauna funkcija. </w:t>
            </w:r>
            <w:r w:rsidR="005E75D2">
              <w:t>Aģentūra</w:t>
            </w:r>
            <w:r w:rsidRPr="005E4A0E">
              <w:t xml:space="preserve"> būs jāveic zāļu reģistrācijas apliecības turētāja  (īpašnieka) iesniegto pēcreģistrācijas drošuma pētījumu protokolu un protokola grozījumu vērtēšana;</w:t>
            </w:r>
          </w:p>
          <w:p w:rsidR="00CF69AE" w:rsidRPr="005E4A0E" w:rsidRDefault="00CF69AE" w:rsidP="00CF69AE">
            <w:pPr>
              <w:jc w:val="both"/>
              <w:rPr>
                <w:b/>
              </w:rPr>
            </w:pPr>
            <w:r w:rsidRPr="005E4A0E">
              <w:t>6) farmakovigilances inspekcijas – jauna funkcija. Lai uzraudzītu un vērtētu zāļu reģistrācijas apliecības turētāja (īpašnieka) atbilstību labai farmakovigilances praksei, tiks veiktas pārbaudes par zāļu reģistrācijas apliecības turētāja (īpašnieka) farmakovigilances sistēmas atbilstību Farmakovigilances</w:t>
            </w:r>
            <w:r w:rsidRPr="005E4A0E">
              <w:rPr>
                <w:b/>
              </w:rPr>
              <w:t xml:space="preserve"> </w:t>
            </w:r>
            <w:r w:rsidRPr="005E4A0E">
              <w:t>noteikumos noteiktajām prasībām, veicot kārtējās pārbaudes, atkārtotās pārbaudes vai ārkārtas pārbaudes;</w:t>
            </w:r>
          </w:p>
          <w:p w:rsidR="00CF69AE" w:rsidRPr="005E4A0E" w:rsidRDefault="00CF69AE" w:rsidP="00CF69AE">
            <w:pPr>
              <w:pStyle w:val="Default"/>
              <w:jc w:val="both"/>
              <w:rPr>
                <w:rFonts w:ascii="Times New Roman" w:hAnsi="Times New Roman" w:cs="Times New Roman"/>
                <w:bCs/>
                <w:iCs/>
                <w:color w:val="auto"/>
              </w:rPr>
            </w:pPr>
            <w:r w:rsidRPr="005E4A0E">
              <w:rPr>
                <w:rFonts w:ascii="Times New Roman" w:hAnsi="Times New Roman" w:cs="Times New Roman"/>
                <w:color w:val="auto"/>
              </w:rPr>
              <w:t xml:space="preserve">7) farmakovigilances sistēmas audits – jauna funkcija. </w:t>
            </w:r>
            <w:r w:rsidRPr="005E4A0E">
              <w:rPr>
                <w:rFonts w:ascii="Times New Roman" w:hAnsi="Times New Roman" w:cs="Times New Roman"/>
                <w:bCs/>
                <w:iCs/>
                <w:color w:val="auto"/>
              </w:rPr>
              <w:t xml:space="preserve">ES dalībvalsts kompetentajai institūcijai kvalitātes sistēmas ietvaros ir jānodrošina regulārs savas farmakovigilances sistēmas audits un ziņojums par rezultātiem jāiesniedz Eiropas Komisijai vienu reizi divos gados. </w:t>
            </w:r>
          </w:p>
          <w:p w:rsidR="00CF69AE" w:rsidRPr="005E4A0E" w:rsidRDefault="00CF69AE" w:rsidP="00CF69AE">
            <w:pPr>
              <w:jc w:val="both"/>
              <w:rPr>
                <w:bCs/>
              </w:rPr>
            </w:pPr>
            <w:r w:rsidRPr="005E4A0E">
              <w:t xml:space="preserve">8) dalība Farmakovigilances vērtēšanas komitejas (PRAC) un Savstarpējās atzīšanas procedūras un decentralizētās procedūras koordinācijas grupas (CMD(h)) darbā– daļēji jaunas funkcijas. Deleģēto personu darbs Eiropas zāļu aģentūrā būs saistīts ar konkrētu darba uzdevumu veikšanu, kas prasīs ZVA darbinieku un ārštata ekspertu papildus ieguldījumu, lai </w:t>
            </w:r>
            <w:r w:rsidRPr="005E4A0E">
              <w:rPr>
                <w:bCs/>
              </w:rPr>
              <w:t>veiktu farmakovigilances datu un dokumentu vērtēšanu termiņos un lai realizētu ES saskaņotos lēmumus termiņos;</w:t>
            </w:r>
          </w:p>
          <w:p w:rsidR="00CF69AE" w:rsidRPr="005E4A0E" w:rsidRDefault="00CF69AE" w:rsidP="00CF69AE">
            <w:pPr>
              <w:jc w:val="both"/>
            </w:pPr>
            <w:r w:rsidRPr="005E4A0E">
              <w:t>9) uzlabojumu veikšana aģentūras elektroniskajās sistēmās elektroniskas ziņošanas nodrošināšanai, ārstu, pacientu, reģistrācijas apliecības īpašnieku atsūtīto blakusparādību datu apmaiņai ar Eiropas Zāļu aģentūras –</w:t>
            </w:r>
            <w:r w:rsidR="00106CE1">
              <w:t xml:space="preserve"> </w:t>
            </w:r>
            <w:r w:rsidRPr="005E4A0E">
              <w:t xml:space="preserve">aģentūras IT sistēma papildināma ar jaunu </w:t>
            </w:r>
            <w:r w:rsidRPr="005E4A0E">
              <w:rPr>
                <w:bCs/>
              </w:rPr>
              <w:t xml:space="preserve">zāļu blakusparādību </w:t>
            </w:r>
            <w:r w:rsidRPr="005E4A0E">
              <w:t>moduli, kas būtu savietojams ar EudaVigilances datu bāzi;</w:t>
            </w:r>
          </w:p>
          <w:p w:rsidR="00CF69AE" w:rsidRPr="005E4A0E" w:rsidRDefault="00CF69AE" w:rsidP="00CF69AE">
            <w:pPr>
              <w:jc w:val="both"/>
            </w:pPr>
            <w:r w:rsidRPr="005E4A0E">
              <w:t xml:space="preserve">10) zāļu tīmekļa vietnes uzturēšana; ir precizētas prasības - noteikts nodrošināt aģentūras tīmekļa vietnes sasaisti ar Eiropas zāļu tīmekļa portālu. Turklāt, iespējams, būs jāveic pasākumi, lai noteikts informācijas apjoms būtu pieejams latviešu valodā (pilnā apmērā – 2013. gadā). </w:t>
            </w:r>
          </w:p>
          <w:p w:rsidR="0048135E" w:rsidRPr="005E4A0E" w:rsidRDefault="00CF69AE" w:rsidP="00CF69AE">
            <w:pPr>
              <w:jc w:val="both"/>
            </w:pPr>
            <w:r w:rsidRPr="005E4A0E">
              <w:t xml:space="preserve">ES Farmakovigilances normatīvo aktu bāze joprojām tiek attīstīta. Vēl nav pabeigtas vadlīnijas par Labu farmakovigilances praksi </w:t>
            </w:r>
            <w:r w:rsidRPr="005E4A0E">
              <w:rPr>
                <w:i/>
              </w:rPr>
              <w:t>(Good Vigilance Practice)</w:t>
            </w:r>
            <w:r w:rsidRPr="005E4A0E">
              <w:t xml:space="preserve"> visu paredzēto moduļu izstrāde. Eiropas Zāļu aģentūrā joprojām turpinās darbs par ES dalībvalstu vienotu farmakovigilances procesu, procedūru un metodiku attīstību, kur nepieciešama sadarbība ar dalībvalstīm. Pienākums iesaistīties visu ES aptverošajās aktivitātēs radīs nepieciešamību darbiniekiem, kuri nodarbosies ar farmakovigilances prasību ieviešanu, piedalīties šajās aktivitātēs un doties komandējumos. </w:t>
            </w:r>
          </w:p>
          <w:p w:rsidR="006A153A" w:rsidRPr="00D84047" w:rsidRDefault="00CF69AE" w:rsidP="00D84047">
            <w:pPr>
              <w:jc w:val="both"/>
            </w:pPr>
            <w:r w:rsidRPr="005E4A0E">
              <w:t xml:space="preserve">Lai pārņemtu Direktīvas 2011/62/ES prasības, </w:t>
            </w:r>
            <w:r w:rsidR="005E75D2">
              <w:t>pieņemti grozījumi</w:t>
            </w:r>
            <w:r w:rsidRPr="005E4A0E">
              <w:t xml:space="preserve"> </w:t>
            </w:r>
            <w:r w:rsidR="005E75D2">
              <w:t>Farmācijas likumā, kas stājās spēkā 2013.gada 3.janvārī</w:t>
            </w:r>
            <w:r w:rsidRPr="005E4A0E">
              <w:t xml:space="preserve">. Saskaņā ar jauno regulējumu atbilstības novērtēšana, labas izplatīšanas </w:t>
            </w:r>
            <w:r w:rsidRPr="005E4A0E">
              <w:lastRenderedPageBreak/>
              <w:t>prakses nodrošinājuma pārbaude turpmāk attieksies arī uz aktīvo vielu izplatīšanas uzņēmumiem. Savukārt, lai izpildītu arī Regulas 1394/2007/EK 28.panta 2.punkta prasības, aģentūra labas izplatīšanas prakses nodrošinājuma pārbaude turpmāk attieksies arī uz jaunieviestās terapijas zāļu izgatavošanu, balstoties uz neierastu procesu, kā arī attiecīgi uz dokumentācijas ekspertīzi minētajām zālēm.</w:t>
            </w:r>
          </w:p>
        </w:tc>
      </w:tr>
    </w:tbl>
    <w:p w:rsidR="009F2A4C" w:rsidRDefault="009F2A4C" w:rsidP="00641A7A">
      <w:pPr>
        <w:rPr>
          <w:i/>
          <w:iCs/>
        </w:rPr>
      </w:pPr>
    </w:p>
    <w:p w:rsidR="006A153A" w:rsidRDefault="006A153A" w:rsidP="00641A7A">
      <w:pPr>
        <w:rPr>
          <w:i/>
          <w:iCs/>
        </w:rPr>
      </w:pPr>
    </w:p>
    <w:tbl>
      <w:tblPr>
        <w:tblW w:w="9560" w:type="dxa"/>
        <w:jc w:val="center"/>
        <w:tblCellSpacing w:w="0" w:type="dxa"/>
        <w:tblInd w:w="1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9"/>
        <w:gridCol w:w="4058"/>
        <w:gridCol w:w="4973"/>
      </w:tblGrid>
      <w:tr w:rsidR="00641A7A" w:rsidRPr="00C067A1" w:rsidTr="008D2A7D">
        <w:trPr>
          <w:tblCellSpacing w:w="0" w:type="dxa"/>
          <w:jc w:val="center"/>
        </w:trPr>
        <w:tc>
          <w:tcPr>
            <w:tcW w:w="9560" w:type="dxa"/>
            <w:gridSpan w:val="3"/>
            <w:tcBorders>
              <w:top w:val="outset" w:sz="6" w:space="0" w:color="auto"/>
              <w:left w:val="outset" w:sz="6" w:space="0" w:color="auto"/>
              <w:bottom w:val="outset" w:sz="6" w:space="0" w:color="auto"/>
              <w:right w:val="outset" w:sz="6" w:space="0" w:color="auto"/>
            </w:tcBorders>
            <w:vAlign w:val="center"/>
            <w:hideMark/>
          </w:tcPr>
          <w:p w:rsidR="00641A7A" w:rsidRPr="00C067A1" w:rsidRDefault="00641A7A" w:rsidP="004A5E75">
            <w:pPr>
              <w:spacing w:before="150" w:after="150"/>
              <w:jc w:val="center"/>
              <w:rPr>
                <w:b/>
                <w:bCs/>
              </w:rPr>
            </w:pPr>
            <w:r w:rsidRPr="00C067A1">
              <w:rPr>
                <w:b/>
                <w:bCs/>
              </w:rPr>
              <w:t> II. Tiesību akta projekta ietekme uz sabiedrību</w:t>
            </w:r>
          </w:p>
        </w:tc>
      </w:tr>
      <w:tr w:rsidR="00641A7A" w:rsidRPr="00C067A1" w:rsidTr="008D2A7D">
        <w:trPr>
          <w:trHeight w:val="467"/>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1.</w:t>
            </w:r>
          </w:p>
        </w:tc>
        <w:tc>
          <w:tcPr>
            <w:tcW w:w="4058"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Sabiedrības mērķgrupa</w:t>
            </w:r>
          </w:p>
        </w:tc>
        <w:tc>
          <w:tcPr>
            <w:tcW w:w="4973" w:type="dxa"/>
            <w:tcBorders>
              <w:top w:val="outset" w:sz="6" w:space="0" w:color="auto"/>
              <w:left w:val="outset" w:sz="6" w:space="0" w:color="auto"/>
              <w:bottom w:val="outset" w:sz="6" w:space="0" w:color="auto"/>
              <w:right w:val="outset" w:sz="6" w:space="0" w:color="auto"/>
            </w:tcBorders>
            <w:hideMark/>
          </w:tcPr>
          <w:p w:rsidR="00332CA2" w:rsidRPr="00C067A1" w:rsidRDefault="00332CA2" w:rsidP="00332CA2">
            <w:pPr>
              <w:spacing w:before="75" w:after="75"/>
              <w:jc w:val="both"/>
            </w:pPr>
            <w:r w:rsidRPr="00C067A1">
              <w:t>Noteikumu projektā paredzēto publisko maksas pakalpojumu ņēmēji būs:</w:t>
            </w:r>
          </w:p>
          <w:p w:rsidR="00332CA2" w:rsidRPr="00C067A1" w:rsidRDefault="00332CA2" w:rsidP="00332CA2">
            <w:pPr>
              <w:spacing w:before="75" w:after="75"/>
              <w:jc w:val="both"/>
            </w:pPr>
            <w:r w:rsidRPr="00C067A1">
              <w:t xml:space="preserve">- ārstniecības iestādes, kas veic audu un orgānu </w:t>
            </w:r>
            <w:r>
              <w:t xml:space="preserve">ieguvi un </w:t>
            </w:r>
            <w:r w:rsidRPr="00C067A1">
              <w:t>izmantošanu, un augstskolas, kas realizē akreditētu medicīnas vai bioloģijas studiju programmu (Latvijas Universitāte un Rīgas Stradiņa universitāte);</w:t>
            </w:r>
          </w:p>
          <w:p w:rsidR="00332CA2" w:rsidRPr="00C067A1" w:rsidRDefault="00332CA2" w:rsidP="00332CA2">
            <w:pPr>
              <w:spacing w:before="75" w:after="75"/>
              <w:jc w:val="both"/>
              <w:rPr>
                <w:iCs/>
              </w:rPr>
            </w:pPr>
            <w:r w:rsidRPr="00C067A1">
              <w:t xml:space="preserve">- </w:t>
            </w:r>
            <w:r w:rsidRPr="00C067A1">
              <w:rPr>
                <w:iCs/>
              </w:rPr>
              <w:t>farmaceitiskās darbības licences turētāji, kā arī personas, kuras uzsāks farmaceitisko darbību. Šobrīd ir izsniegtas aptuveni 900 licences (ieskaitot aptiekas, zāļu lieltirgotavas, zāļu ražošanas vai importēšanas uzņēmumus, aktīvo farmaceitisko vielu ražošanas uzņēmumus);</w:t>
            </w:r>
          </w:p>
          <w:p w:rsidR="00332CA2" w:rsidRDefault="00332CA2" w:rsidP="00332CA2">
            <w:pPr>
              <w:spacing w:before="75" w:after="75"/>
              <w:jc w:val="both"/>
              <w:rPr>
                <w:iCs/>
              </w:rPr>
            </w:pPr>
            <w:r w:rsidRPr="00C067A1">
              <w:rPr>
                <w:iCs/>
              </w:rPr>
              <w:t>- ārstniecīb</w:t>
            </w:r>
            <w:r>
              <w:rPr>
                <w:iCs/>
              </w:rPr>
              <w:t>as personas un farmaceiti, kuri</w:t>
            </w:r>
            <w:r w:rsidRPr="00C067A1">
              <w:rPr>
                <w:iCs/>
              </w:rPr>
              <w:t xml:space="preserve"> savā profesionālajā darbībā izmanto zāļu aprakstu</w:t>
            </w:r>
            <w:r>
              <w:rPr>
                <w:iCs/>
              </w:rPr>
              <w:t>s</w:t>
            </w:r>
            <w:r w:rsidRPr="00C067A1">
              <w:rPr>
                <w:iCs/>
              </w:rPr>
              <w:t xml:space="preserve">. Ar 2013.gada 1.janvāri plānots izdot zāļu reģistra oficiālā izdevuma 350 eksemplārus un </w:t>
            </w:r>
            <w:r w:rsidRPr="00C067A1">
              <w:t xml:space="preserve">zāļu reģistra un </w:t>
            </w:r>
            <w:r>
              <w:t>zāļu aprakstu</w:t>
            </w:r>
            <w:r w:rsidRPr="00C067A1">
              <w:t xml:space="preserve"> </w:t>
            </w:r>
            <w:r w:rsidRPr="00C067A1">
              <w:rPr>
                <w:iCs/>
              </w:rPr>
              <w:t xml:space="preserve">oficiālā </w:t>
            </w:r>
            <w:r w:rsidRPr="00C067A1">
              <w:t xml:space="preserve">elektroniskā </w:t>
            </w:r>
            <w:r w:rsidRPr="00C067A1">
              <w:rPr>
                <w:iCs/>
              </w:rPr>
              <w:t>izdevuma (</w:t>
            </w:r>
            <w:r w:rsidR="005E75D2">
              <w:rPr>
                <w:iCs/>
              </w:rPr>
              <w:t xml:space="preserve">USB </w:t>
            </w:r>
            <w:r w:rsidRPr="00C067A1">
              <w:rPr>
                <w:iCs/>
              </w:rPr>
              <w:t>flash atmiņu kartes) 1000 eksemplārus</w:t>
            </w:r>
            <w:r>
              <w:rPr>
                <w:iCs/>
              </w:rPr>
              <w:t>;</w:t>
            </w:r>
          </w:p>
          <w:p w:rsidR="00332CA2" w:rsidRDefault="00332CA2" w:rsidP="00332CA2">
            <w:pPr>
              <w:autoSpaceDE w:val="0"/>
              <w:autoSpaceDN w:val="0"/>
              <w:adjustRightInd w:val="0"/>
              <w:jc w:val="both"/>
              <w:rPr>
                <w:rFonts w:eastAsia="Calibri"/>
                <w:color w:val="000000"/>
                <w:lang w:eastAsia="en-US"/>
              </w:rPr>
            </w:pPr>
            <w:r>
              <w:rPr>
                <w:rFonts w:eastAsia="Calibri"/>
                <w:color w:val="000000"/>
                <w:lang w:eastAsia="en-US"/>
              </w:rPr>
              <w:t>- zāļu reģistrācijas apliecības īpašnieki, kuri veiks zāļu reģistrāciju nacionālajā procedūrā; prognozējamais zāļu reģistrācijas apliecības īpašnieku skaits 2013.gadā- 15;.</w:t>
            </w:r>
          </w:p>
          <w:p w:rsidR="00641A7A" w:rsidRPr="00C067A1" w:rsidRDefault="00332CA2" w:rsidP="00332CA2">
            <w:pPr>
              <w:spacing w:before="75" w:after="75"/>
              <w:jc w:val="both"/>
            </w:pPr>
            <w:r>
              <w:rPr>
                <w:rFonts w:eastAsia="Calibri"/>
                <w:color w:val="000000"/>
                <w:lang w:eastAsia="en-US"/>
              </w:rPr>
              <w:t>- zāļu reģistrācijas apliecības īpašnieki, kuri veiks zāļu pārreģistrāciju nacionālajā procedūrā; prognozējamais zāļu reģistrācijas apliecības  īpašnieku skaits 2013.gadā - 39.</w:t>
            </w:r>
          </w:p>
        </w:tc>
      </w:tr>
      <w:tr w:rsidR="00641A7A" w:rsidRPr="0060478F" w:rsidTr="008D2A7D">
        <w:trPr>
          <w:trHeight w:val="523"/>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60478F" w:rsidRDefault="00641A7A" w:rsidP="004A5E75">
            <w:pPr>
              <w:spacing w:before="75" w:after="75"/>
            </w:pPr>
            <w:r w:rsidRPr="0060478F">
              <w:t> 2.</w:t>
            </w:r>
          </w:p>
        </w:tc>
        <w:tc>
          <w:tcPr>
            <w:tcW w:w="4058" w:type="dxa"/>
            <w:tcBorders>
              <w:top w:val="outset" w:sz="6" w:space="0" w:color="auto"/>
              <w:left w:val="outset" w:sz="6" w:space="0" w:color="auto"/>
              <w:bottom w:val="outset" w:sz="6" w:space="0" w:color="auto"/>
              <w:right w:val="outset" w:sz="6" w:space="0" w:color="auto"/>
            </w:tcBorders>
            <w:hideMark/>
          </w:tcPr>
          <w:p w:rsidR="00641A7A" w:rsidRPr="0060478F" w:rsidRDefault="00641A7A" w:rsidP="004A5E75">
            <w:pPr>
              <w:spacing w:before="75" w:after="75"/>
            </w:pPr>
            <w:r w:rsidRPr="0060478F">
              <w:t> Citas sabiedrības grupas (bez mērķgrupas), kuras tiesiskais regulējums arī ietekmē vai varētu ietekmēt</w:t>
            </w:r>
          </w:p>
        </w:tc>
        <w:tc>
          <w:tcPr>
            <w:tcW w:w="4973" w:type="dxa"/>
            <w:tcBorders>
              <w:top w:val="outset" w:sz="6" w:space="0" w:color="auto"/>
              <w:left w:val="outset" w:sz="6" w:space="0" w:color="auto"/>
              <w:bottom w:val="outset" w:sz="6" w:space="0" w:color="auto"/>
              <w:right w:val="outset" w:sz="6" w:space="0" w:color="auto"/>
            </w:tcBorders>
            <w:hideMark/>
          </w:tcPr>
          <w:p w:rsidR="00641A7A" w:rsidRPr="0060478F" w:rsidRDefault="00641A7A" w:rsidP="004A5E75">
            <w:pPr>
              <w:pStyle w:val="NormalWeb"/>
              <w:jc w:val="both"/>
            </w:pPr>
            <w:r w:rsidRPr="0060478F">
              <w:t>Projekts šo jomu neskar.</w:t>
            </w:r>
          </w:p>
        </w:tc>
      </w:tr>
      <w:tr w:rsidR="00641A7A" w:rsidRPr="00C067A1" w:rsidTr="008D2A7D">
        <w:trPr>
          <w:trHeight w:val="517"/>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3.</w:t>
            </w:r>
          </w:p>
        </w:tc>
        <w:tc>
          <w:tcPr>
            <w:tcW w:w="4058"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Tiesiskā regulējuma finansiālā ietekme</w:t>
            </w:r>
          </w:p>
        </w:tc>
        <w:tc>
          <w:tcPr>
            <w:tcW w:w="4973"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pStyle w:val="NormalWeb"/>
              <w:spacing w:before="0" w:after="0"/>
              <w:jc w:val="both"/>
            </w:pPr>
            <w:r w:rsidRPr="00EF4063">
              <w:t>Pakalpojumu ņēmējiem pēc noteikumu projekta spēkā stāšanās, ņemot vērā cenrāža papildināšanu ar jauniem pakalpojumiem, radīsies 2013.gadā izdevumi 11 835 latu apmērā.</w:t>
            </w:r>
            <w:r w:rsidRPr="00C067A1">
              <w:t xml:space="preserve"> </w:t>
            </w:r>
          </w:p>
        </w:tc>
      </w:tr>
      <w:tr w:rsidR="00641A7A" w:rsidRPr="00C067A1" w:rsidTr="008D2A7D">
        <w:trPr>
          <w:trHeight w:val="517"/>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4.</w:t>
            </w:r>
          </w:p>
        </w:tc>
        <w:tc>
          <w:tcPr>
            <w:tcW w:w="4058"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Tiesiskā regulējuma nefinansiālā ietekme</w:t>
            </w:r>
          </w:p>
        </w:tc>
        <w:tc>
          <w:tcPr>
            <w:tcW w:w="4973" w:type="dxa"/>
            <w:tcBorders>
              <w:top w:val="outset" w:sz="6" w:space="0" w:color="auto"/>
              <w:left w:val="outset" w:sz="6" w:space="0" w:color="auto"/>
              <w:bottom w:val="outset" w:sz="6" w:space="0" w:color="auto"/>
              <w:right w:val="outset" w:sz="6" w:space="0" w:color="auto"/>
            </w:tcBorders>
            <w:hideMark/>
          </w:tcPr>
          <w:p w:rsidR="00641A7A" w:rsidRPr="00C067A1" w:rsidRDefault="00641A7A" w:rsidP="005C47BA">
            <w:pPr>
              <w:pStyle w:val="NormalWeb"/>
              <w:jc w:val="both"/>
            </w:pPr>
            <w:r>
              <w:t xml:space="preserve">Papildinot Noteikumu projektu </w:t>
            </w:r>
            <w:r w:rsidRPr="00C067A1">
              <w:t>ar Latvija</w:t>
            </w:r>
            <w:r>
              <w:t>s zāļu reģistra un zāļu aprakstu</w:t>
            </w:r>
            <w:r w:rsidRPr="00C067A1">
              <w:t xml:space="preserve"> oficiālo elektronisko izdevumu, tiks nodrošināts informatīvs atbalsts </w:t>
            </w:r>
            <w:r w:rsidRPr="00C067A1">
              <w:lastRenderedPageBreak/>
              <w:t>ārstiem, farmaceitiem un citiem ve</w:t>
            </w:r>
            <w:r>
              <w:t xml:space="preserve">selības nozares speciālistiem. </w:t>
            </w:r>
            <w:r w:rsidR="005C47BA">
              <w:t>A</w:t>
            </w:r>
            <w:r>
              <w:t>ģentūra</w:t>
            </w:r>
            <w:r w:rsidRPr="008D7760">
              <w:t xml:space="preserve"> sagatavos komplicētāku pēc uzbūves un pilnīgāku pēc satura </w:t>
            </w:r>
            <w:r w:rsidRPr="008D7760">
              <w:rPr>
                <w:bCs/>
              </w:rPr>
              <w:t xml:space="preserve"> Latvijas </w:t>
            </w:r>
            <w:r w:rsidRPr="008D7760">
              <w:t>Zāļu reģistra ofic</w:t>
            </w:r>
            <w:r w:rsidR="005E75D2">
              <w:t>iālo elektronisko izdevumu ar zā</w:t>
            </w:r>
            <w:r w:rsidRPr="008D7760">
              <w:t xml:space="preserve">ļu aprakstiem un lietošanas instrukcijām par Latvijas Republikā (nacionālā, savstarpējās atzīšanas un decentralizētajā zāļu reģistrācijas procedūrā) reģistrētām zālēm. </w:t>
            </w:r>
            <w:r>
              <w:t>Latvijas zāļu reģistra oficiālo elektronisko izdevumu ar zāļu aprakstiem un lietošanas instrukcijām izdos USB flash atmiņas kartes veidā.</w:t>
            </w:r>
          </w:p>
        </w:tc>
      </w:tr>
      <w:tr w:rsidR="00641A7A" w:rsidRPr="00C067A1" w:rsidTr="008D2A7D">
        <w:trPr>
          <w:trHeight w:val="531"/>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lastRenderedPageBreak/>
              <w:t> 5.</w:t>
            </w:r>
          </w:p>
        </w:tc>
        <w:tc>
          <w:tcPr>
            <w:tcW w:w="4058"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Administratīvās procedūras raksturojums</w:t>
            </w:r>
          </w:p>
        </w:tc>
        <w:tc>
          <w:tcPr>
            <w:tcW w:w="4973"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pStyle w:val="NormalWeb"/>
              <w:spacing w:before="0" w:after="0"/>
              <w:jc w:val="both"/>
            </w:pPr>
            <w:r w:rsidRPr="00C067A1">
              <w:t>Projekts šo jomu neskar.</w:t>
            </w:r>
          </w:p>
        </w:tc>
      </w:tr>
      <w:tr w:rsidR="00641A7A" w:rsidRPr="00C067A1" w:rsidTr="008D2A7D">
        <w:trPr>
          <w:trHeight w:val="357"/>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6.</w:t>
            </w:r>
          </w:p>
        </w:tc>
        <w:tc>
          <w:tcPr>
            <w:tcW w:w="4058"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Administratīvo izmaksu monetārs novērtējums</w:t>
            </w:r>
          </w:p>
        </w:tc>
        <w:tc>
          <w:tcPr>
            <w:tcW w:w="4973"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pStyle w:val="NormalWeb"/>
            </w:pPr>
            <w:r w:rsidRPr="00C067A1">
              <w:t>Projekts šo jomu neskar.</w:t>
            </w:r>
          </w:p>
        </w:tc>
      </w:tr>
      <w:tr w:rsidR="00641A7A" w:rsidRPr="00C067A1" w:rsidTr="008D2A7D">
        <w:trPr>
          <w:tblCellSpacing w:w="0" w:type="dxa"/>
          <w:jc w:val="center"/>
        </w:trPr>
        <w:tc>
          <w:tcPr>
            <w:tcW w:w="529"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7.</w:t>
            </w:r>
          </w:p>
        </w:tc>
        <w:tc>
          <w:tcPr>
            <w:tcW w:w="4058"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spacing w:before="75" w:after="75"/>
            </w:pPr>
            <w:r w:rsidRPr="00C067A1">
              <w:t> Cita informācija</w:t>
            </w:r>
          </w:p>
        </w:tc>
        <w:tc>
          <w:tcPr>
            <w:tcW w:w="4973" w:type="dxa"/>
            <w:tcBorders>
              <w:top w:val="outset" w:sz="6" w:space="0" w:color="auto"/>
              <w:left w:val="outset" w:sz="6" w:space="0" w:color="auto"/>
              <w:bottom w:val="outset" w:sz="6" w:space="0" w:color="auto"/>
              <w:right w:val="outset" w:sz="6" w:space="0" w:color="auto"/>
            </w:tcBorders>
            <w:hideMark/>
          </w:tcPr>
          <w:p w:rsidR="00641A7A" w:rsidRPr="00C067A1" w:rsidRDefault="00641A7A" w:rsidP="004A5E75">
            <w:pPr>
              <w:pStyle w:val="NormalWeb"/>
            </w:pPr>
            <w:r w:rsidRPr="00C067A1">
              <w:t>Nav</w:t>
            </w:r>
          </w:p>
        </w:tc>
      </w:tr>
    </w:tbl>
    <w:p w:rsidR="00641A7A" w:rsidRDefault="00641A7A" w:rsidP="0018674C">
      <w:pPr>
        <w:rPr>
          <w:i/>
          <w:iCs/>
        </w:rPr>
      </w:pPr>
    </w:p>
    <w:p w:rsidR="00641A7A" w:rsidRPr="009F2A4C" w:rsidRDefault="00641A7A" w:rsidP="009F2A4C">
      <w:pPr>
        <w:jc w:val="center"/>
        <w:rPr>
          <w:i/>
          <w:iCs/>
        </w:rPr>
      </w:pPr>
    </w:p>
    <w:tbl>
      <w:tblPr>
        <w:tblW w:w="9553" w:type="dxa"/>
        <w:jc w:val="center"/>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1"/>
        <w:gridCol w:w="1489"/>
        <w:gridCol w:w="1258"/>
        <w:gridCol w:w="1258"/>
        <w:gridCol w:w="1258"/>
        <w:gridCol w:w="1239"/>
      </w:tblGrid>
      <w:tr w:rsidR="0048135E" w:rsidRPr="00B91E16" w:rsidTr="008D2A7D">
        <w:trPr>
          <w:trHeight w:val="652"/>
          <w:jc w:val="center"/>
        </w:trPr>
        <w:tc>
          <w:tcPr>
            <w:tcW w:w="9553" w:type="dxa"/>
            <w:gridSpan w:val="6"/>
          </w:tcPr>
          <w:p w:rsidR="0048135E" w:rsidRPr="004858D5" w:rsidRDefault="0048135E" w:rsidP="0048135E">
            <w:pPr>
              <w:pStyle w:val="naisnod"/>
              <w:spacing w:before="0" w:after="0"/>
              <w:rPr>
                <w:i/>
              </w:rPr>
            </w:pPr>
            <w:r w:rsidRPr="004858D5">
              <w:br w:type="page"/>
              <w:t>III. Tiesību akta projekta ietekme uz valsts budžetu un pašvaldību budžetiem</w:t>
            </w:r>
          </w:p>
        </w:tc>
      </w:tr>
      <w:tr w:rsidR="0048135E" w:rsidRPr="00B91E16" w:rsidTr="008D2A7D">
        <w:trPr>
          <w:jc w:val="center"/>
        </w:trPr>
        <w:tc>
          <w:tcPr>
            <w:tcW w:w="3051" w:type="dxa"/>
            <w:vMerge w:val="restart"/>
            <w:vAlign w:val="center"/>
          </w:tcPr>
          <w:p w:rsidR="0048135E" w:rsidRPr="004858D5" w:rsidRDefault="0048135E" w:rsidP="0048135E">
            <w:pPr>
              <w:pStyle w:val="naisf"/>
              <w:spacing w:before="0" w:after="0"/>
              <w:jc w:val="center"/>
              <w:rPr>
                <w:b/>
              </w:rPr>
            </w:pPr>
            <w:r w:rsidRPr="004858D5">
              <w:rPr>
                <w:b/>
              </w:rPr>
              <w:t>Rādītāji</w:t>
            </w:r>
          </w:p>
        </w:tc>
        <w:tc>
          <w:tcPr>
            <w:tcW w:w="2747" w:type="dxa"/>
            <w:gridSpan w:val="2"/>
            <w:vMerge w:val="restart"/>
            <w:vAlign w:val="center"/>
          </w:tcPr>
          <w:p w:rsidR="0048135E" w:rsidRPr="004858D5" w:rsidRDefault="00BD3F6F" w:rsidP="0048135E">
            <w:pPr>
              <w:pStyle w:val="naisf"/>
              <w:spacing w:before="0" w:after="0"/>
              <w:jc w:val="center"/>
              <w:rPr>
                <w:b/>
              </w:rPr>
            </w:pPr>
            <w:r>
              <w:rPr>
                <w:b/>
              </w:rPr>
              <w:t>2013</w:t>
            </w:r>
            <w:r w:rsidR="0048135E" w:rsidRPr="004858D5">
              <w:rPr>
                <w:b/>
              </w:rPr>
              <w:t>.gads</w:t>
            </w:r>
          </w:p>
        </w:tc>
        <w:tc>
          <w:tcPr>
            <w:tcW w:w="3755" w:type="dxa"/>
            <w:gridSpan w:val="3"/>
            <w:vAlign w:val="center"/>
          </w:tcPr>
          <w:p w:rsidR="0048135E" w:rsidRPr="004858D5" w:rsidRDefault="0048135E" w:rsidP="0048135E">
            <w:pPr>
              <w:pStyle w:val="naisf"/>
              <w:spacing w:before="0" w:after="0"/>
              <w:jc w:val="center"/>
              <w:rPr>
                <w:b/>
                <w:i/>
              </w:rPr>
            </w:pPr>
            <w:r w:rsidRPr="004858D5">
              <w:t>Turpmākie trīs gadi (tūkst</w:t>
            </w:r>
            <w:smartTag w:uri="schemas-tilde-lv/tildestengine" w:element="currency2">
              <w:smartTagPr>
                <w:attr w:name="currency_id" w:val="48"/>
                <w:attr w:name="currency_key" w:val="LVL"/>
                <w:attr w:name="currency_value" w:val="."/>
                <w:attr w:name="currency_text" w:val="latu"/>
              </w:smartTagPr>
              <w:r w:rsidRPr="004858D5">
                <w:t>. latu</w:t>
              </w:r>
            </w:smartTag>
            <w:r w:rsidRPr="004858D5">
              <w:t>)</w:t>
            </w:r>
          </w:p>
        </w:tc>
      </w:tr>
      <w:tr w:rsidR="0048135E" w:rsidRPr="004858D5" w:rsidTr="008D2A7D">
        <w:trPr>
          <w:jc w:val="center"/>
        </w:trPr>
        <w:tc>
          <w:tcPr>
            <w:tcW w:w="3051" w:type="dxa"/>
            <w:vMerge/>
            <w:vAlign w:val="center"/>
          </w:tcPr>
          <w:p w:rsidR="0048135E" w:rsidRPr="004858D5" w:rsidRDefault="0048135E" w:rsidP="0048135E">
            <w:pPr>
              <w:pStyle w:val="naisf"/>
              <w:spacing w:before="0" w:after="0"/>
              <w:jc w:val="center"/>
              <w:rPr>
                <w:b/>
                <w:i/>
              </w:rPr>
            </w:pPr>
          </w:p>
        </w:tc>
        <w:tc>
          <w:tcPr>
            <w:tcW w:w="2747" w:type="dxa"/>
            <w:gridSpan w:val="2"/>
            <w:vMerge/>
            <w:vAlign w:val="center"/>
          </w:tcPr>
          <w:p w:rsidR="0048135E" w:rsidRPr="004858D5" w:rsidRDefault="0048135E" w:rsidP="0048135E">
            <w:pPr>
              <w:pStyle w:val="naisf"/>
              <w:spacing w:before="0" w:after="0"/>
              <w:jc w:val="center"/>
              <w:rPr>
                <w:b/>
                <w:i/>
              </w:rPr>
            </w:pPr>
          </w:p>
        </w:tc>
        <w:tc>
          <w:tcPr>
            <w:tcW w:w="1258" w:type="dxa"/>
            <w:vAlign w:val="center"/>
          </w:tcPr>
          <w:p w:rsidR="0048135E" w:rsidRPr="004858D5" w:rsidRDefault="00BD3F6F" w:rsidP="0048135E">
            <w:pPr>
              <w:pStyle w:val="naisf"/>
              <w:spacing w:before="0" w:after="0"/>
              <w:jc w:val="center"/>
              <w:rPr>
                <w:b/>
                <w:i/>
              </w:rPr>
            </w:pPr>
            <w:r>
              <w:rPr>
                <w:b/>
                <w:bCs/>
              </w:rPr>
              <w:t>2014</w:t>
            </w:r>
            <w:r w:rsidR="0048135E" w:rsidRPr="004858D5">
              <w:rPr>
                <w:b/>
                <w:bCs/>
              </w:rPr>
              <w:t>.</w:t>
            </w:r>
          </w:p>
        </w:tc>
        <w:tc>
          <w:tcPr>
            <w:tcW w:w="1258" w:type="dxa"/>
            <w:vAlign w:val="center"/>
          </w:tcPr>
          <w:p w:rsidR="0048135E" w:rsidRPr="004858D5" w:rsidRDefault="00BD3F6F" w:rsidP="0048135E">
            <w:pPr>
              <w:pStyle w:val="naisf"/>
              <w:spacing w:before="0" w:after="0"/>
              <w:jc w:val="center"/>
              <w:rPr>
                <w:b/>
                <w:i/>
              </w:rPr>
            </w:pPr>
            <w:r>
              <w:rPr>
                <w:b/>
                <w:bCs/>
              </w:rPr>
              <w:t>2015</w:t>
            </w:r>
            <w:r w:rsidR="0048135E" w:rsidRPr="004858D5">
              <w:rPr>
                <w:b/>
                <w:bCs/>
              </w:rPr>
              <w:t>.</w:t>
            </w:r>
          </w:p>
        </w:tc>
        <w:tc>
          <w:tcPr>
            <w:tcW w:w="1239" w:type="dxa"/>
            <w:vAlign w:val="center"/>
          </w:tcPr>
          <w:p w:rsidR="0048135E" w:rsidRPr="004858D5" w:rsidRDefault="00BD3F6F" w:rsidP="0048135E">
            <w:pPr>
              <w:pStyle w:val="naisf"/>
              <w:spacing w:before="0" w:after="0"/>
              <w:jc w:val="center"/>
              <w:rPr>
                <w:b/>
                <w:i/>
              </w:rPr>
            </w:pPr>
            <w:r>
              <w:rPr>
                <w:b/>
                <w:bCs/>
              </w:rPr>
              <w:t>2016</w:t>
            </w:r>
            <w:r w:rsidR="0048135E" w:rsidRPr="004858D5">
              <w:rPr>
                <w:b/>
                <w:bCs/>
              </w:rPr>
              <w:t>.</w:t>
            </w:r>
          </w:p>
        </w:tc>
      </w:tr>
      <w:tr w:rsidR="0048135E" w:rsidRPr="00B91E16" w:rsidTr="008D2A7D">
        <w:trPr>
          <w:jc w:val="center"/>
        </w:trPr>
        <w:tc>
          <w:tcPr>
            <w:tcW w:w="3051" w:type="dxa"/>
            <w:vMerge/>
            <w:vAlign w:val="center"/>
          </w:tcPr>
          <w:p w:rsidR="0048135E" w:rsidRPr="004858D5" w:rsidRDefault="0048135E" w:rsidP="0048135E">
            <w:pPr>
              <w:pStyle w:val="naisf"/>
              <w:spacing w:before="0" w:after="0"/>
              <w:jc w:val="center"/>
              <w:rPr>
                <w:b/>
                <w:i/>
              </w:rPr>
            </w:pPr>
          </w:p>
        </w:tc>
        <w:tc>
          <w:tcPr>
            <w:tcW w:w="1489" w:type="dxa"/>
            <w:vAlign w:val="center"/>
          </w:tcPr>
          <w:p w:rsidR="0048135E" w:rsidRPr="004858D5" w:rsidRDefault="0048135E" w:rsidP="0048135E">
            <w:pPr>
              <w:pStyle w:val="naisf"/>
              <w:spacing w:before="0" w:after="0"/>
              <w:jc w:val="center"/>
              <w:rPr>
                <w:b/>
                <w:i/>
              </w:rPr>
            </w:pPr>
            <w:r w:rsidRPr="004858D5">
              <w:t>Saskaņā ar valsts budžetu kārtējam gadam</w:t>
            </w:r>
          </w:p>
        </w:tc>
        <w:tc>
          <w:tcPr>
            <w:tcW w:w="1258" w:type="dxa"/>
            <w:vAlign w:val="center"/>
          </w:tcPr>
          <w:p w:rsidR="0048135E" w:rsidRPr="004858D5" w:rsidRDefault="0048135E" w:rsidP="0048135E">
            <w:pPr>
              <w:pStyle w:val="naisf"/>
              <w:spacing w:before="0" w:after="0"/>
              <w:jc w:val="center"/>
              <w:rPr>
                <w:b/>
                <w:i/>
              </w:rPr>
            </w:pPr>
            <w:r w:rsidRPr="004858D5">
              <w:t>Izmaiņas kārtējā gadā, salīdzinot ar budžetu kārtējam gadam</w:t>
            </w:r>
          </w:p>
        </w:tc>
        <w:tc>
          <w:tcPr>
            <w:tcW w:w="1258" w:type="dxa"/>
            <w:vAlign w:val="center"/>
          </w:tcPr>
          <w:p w:rsidR="0048135E" w:rsidRPr="004858D5" w:rsidRDefault="0048135E" w:rsidP="0048135E">
            <w:pPr>
              <w:pStyle w:val="naisf"/>
              <w:spacing w:before="0" w:after="0"/>
              <w:jc w:val="center"/>
              <w:rPr>
                <w:b/>
                <w:i/>
              </w:rPr>
            </w:pPr>
            <w:r w:rsidRPr="004858D5">
              <w:t>Izmaiņas, salīdzinot ar kārtējo (n) gadu</w:t>
            </w:r>
          </w:p>
        </w:tc>
        <w:tc>
          <w:tcPr>
            <w:tcW w:w="1258" w:type="dxa"/>
            <w:vAlign w:val="center"/>
          </w:tcPr>
          <w:p w:rsidR="0048135E" w:rsidRPr="004858D5" w:rsidRDefault="0048135E" w:rsidP="0048135E">
            <w:pPr>
              <w:pStyle w:val="naisf"/>
              <w:spacing w:before="0" w:after="0"/>
              <w:jc w:val="center"/>
              <w:rPr>
                <w:b/>
                <w:i/>
              </w:rPr>
            </w:pPr>
            <w:r w:rsidRPr="004858D5">
              <w:t>Izmaiņas, salīdzinot ar kārtējo (n) gadu</w:t>
            </w:r>
          </w:p>
        </w:tc>
        <w:tc>
          <w:tcPr>
            <w:tcW w:w="1239" w:type="dxa"/>
            <w:vAlign w:val="center"/>
          </w:tcPr>
          <w:p w:rsidR="0048135E" w:rsidRPr="004858D5" w:rsidRDefault="0048135E" w:rsidP="0048135E">
            <w:pPr>
              <w:pStyle w:val="naisf"/>
              <w:spacing w:before="0" w:after="0"/>
              <w:jc w:val="center"/>
              <w:rPr>
                <w:b/>
                <w:i/>
              </w:rPr>
            </w:pPr>
            <w:r w:rsidRPr="004858D5">
              <w:t>Izmaiņas, salīdzinot ar kārtējo (n) gadu</w:t>
            </w:r>
          </w:p>
        </w:tc>
      </w:tr>
      <w:tr w:rsidR="00BD3F6F" w:rsidRPr="004858D5" w:rsidTr="008D2A7D">
        <w:trPr>
          <w:jc w:val="center"/>
        </w:trPr>
        <w:tc>
          <w:tcPr>
            <w:tcW w:w="3051" w:type="dxa"/>
          </w:tcPr>
          <w:p w:rsidR="00BD3F6F" w:rsidRPr="004858D5" w:rsidRDefault="00BD3F6F" w:rsidP="0048135E">
            <w:pPr>
              <w:pStyle w:val="naisf"/>
              <w:spacing w:before="0" w:after="0"/>
              <w:rPr>
                <w:i/>
              </w:rPr>
            </w:pPr>
            <w:r w:rsidRPr="004858D5">
              <w:t>1. Budžeta ieņēmumi:</w:t>
            </w:r>
          </w:p>
        </w:tc>
        <w:tc>
          <w:tcPr>
            <w:tcW w:w="1489" w:type="dxa"/>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48135E">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39" w:type="dxa"/>
          </w:tcPr>
          <w:p w:rsidR="00BD3F6F" w:rsidRPr="004858D5" w:rsidRDefault="00BD3F6F" w:rsidP="00BD3F6F">
            <w:pPr>
              <w:pStyle w:val="naisf"/>
              <w:spacing w:before="0" w:after="0"/>
              <w:jc w:val="center"/>
              <w:rPr>
                <w:b/>
              </w:rPr>
            </w:pPr>
            <w:r w:rsidRPr="004858D5">
              <w:rPr>
                <w:b/>
              </w:rPr>
              <w:t>0</w:t>
            </w:r>
          </w:p>
        </w:tc>
      </w:tr>
      <w:tr w:rsidR="00BD3F6F" w:rsidRPr="004858D5" w:rsidTr="008D2A7D">
        <w:trPr>
          <w:jc w:val="center"/>
        </w:trPr>
        <w:tc>
          <w:tcPr>
            <w:tcW w:w="3051" w:type="dxa"/>
          </w:tcPr>
          <w:p w:rsidR="00BD3F6F" w:rsidRPr="004858D5" w:rsidRDefault="00BD3F6F" w:rsidP="0048135E">
            <w:pPr>
              <w:pStyle w:val="naisf"/>
              <w:spacing w:before="0" w:after="0"/>
              <w:rPr>
                <w:i/>
              </w:rPr>
            </w:pPr>
            <w:r w:rsidRPr="004858D5">
              <w:t>1.1. valsts pamatbudžets, tai skaitā ieņēmumi no maksas pakalpojumiem un citi pašu ieņēmumi</w:t>
            </w:r>
          </w:p>
        </w:tc>
        <w:tc>
          <w:tcPr>
            <w:tcW w:w="1489"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pStyle w:val="naisf"/>
              <w:spacing w:before="0" w:after="0"/>
              <w:rPr>
                <w:i/>
              </w:rPr>
            </w:pPr>
            <w:r w:rsidRPr="004858D5">
              <w:t>1.2. valsts speciālais budžets</w:t>
            </w:r>
          </w:p>
        </w:tc>
        <w:tc>
          <w:tcPr>
            <w:tcW w:w="1489"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pStyle w:val="naisf"/>
              <w:spacing w:before="0" w:after="0"/>
              <w:rPr>
                <w:i/>
              </w:rPr>
            </w:pPr>
            <w:r w:rsidRPr="004858D5">
              <w:t>1.3. pašvaldību budžets</w:t>
            </w:r>
          </w:p>
        </w:tc>
        <w:tc>
          <w:tcPr>
            <w:tcW w:w="1489"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jc w:val="both"/>
            </w:pPr>
            <w:r w:rsidRPr="004858D5">
              <w:t>2. Budžeta izdevumi:</w:t>
            </w:r>
          </w:p>
        </w:tc>
        <w:tc>
          <w:tcPr>
            <w:tcW w:w="1489" w:type="dxa"/>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48135E">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39" w:type="dxa"/>
          </w:tcPr>
          <w:p w:rsidR="00BD3F6F" w:rsidRPr="004858D5" w:rsidRDefault="00BD3F6F" w:rsidP="00BD3F6F">
            <w:pPr>
              <w:pStyle w:val="naisf"/>
              <w:spacing w:before="0" w:after="0"/>
              <w:jc w:val="center"/>
              <w:rPr>
                <w:b/>
              </w:rPr>
            </w:pPr>
            <w:r w:rsidRPr="004858D5">
              <w:rPr>
                <w:b/>
              </w:rPr>
              <w:t>0</w:t>
            </w:r>
          </w:p>
        </w:tc>
      </w:tr>
      <w:tr w:rsidR="00BD3F6F" w:rsidRPr="004858D5" w:rsidTr="008D2A7D">
        <w:trPr>
          <w:jc w:val="center"/>
        </w:trPr>
        <w:tc>
          <w:tcPr>
            <w:tcW w:w="3051" w:type="dxa"/>
          </w:tcPr>
          <w:p w:rsidR="00BD3F6F" w:rsidRPr="004858D5" w:rsidRDefault="00BD3F6F" w:rsidP="0048135E">
            <w:pPr>
              <w:jc w:val="both"/>
            </w:pPr>
            <w:r w:rsidRPr="004858D5">
              <w:t>2.1. valsts pamatbudžets</w:t>
            </w:r>
          </w:p>
        </w:tc>
        <w:tc>
          <w:tcPr>
            <w:tcW w:w="1489"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jc w:val="both"/>
            </w:pPr>
            <w:r w:rsidRPr="004858D5">
              <w:t>2.2. valsts speciālais budžets</w:t>
            </w:r>
          </w:p>
        </w:tc>
        <w:tc>
          <w:tcPr>
            <w:tcW w:w="1489"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jc w:val="both"/>
            </w:pPr>
            <w:r w:rsidRPr="004858D5">
              <w:t xml:space="preserve">2.3. pašvaldību budžets </w:t>
            </w:r>
          </w:p>
        </w:tc>
        <w:tc>
          <w:tcPr>
            <w:tcW w:w="1489"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jc w:val="both"/>
            </w:pPr>
            <w:r w:rsidRPr="004858D5">
              <w:t>3. Finansiālā ietekme:</w:t>
            </w:r>
          </w:p>
        </w:tc>
        <w:tc>
          <w:tcPr>
            <w:tcW w:w="1489" w:type="dxa"/>
            <w:shd w:val="clear" w:color="auto" w:fill="auto"/>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48135E">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39" w:type="dxa"/>
          </w:tcPr>
          <w:p w:rsidR="00BD3F6F" w:rsidRPr="004858D5" w:rsidRDefault="00BD3F6F" w:rsidP="00BD3F6F">
            <w:pPr>
              <w:pStyle w:val="naisf"/>
              <w:spacing w:before="0" w:after="0"/>
              <w:jc w:val="center"/>
              <w:rPr>
                <w:b/>
              </w:rPr>
            </w:pPr>
            <w:r w:rsidRPr="004858D5">
              <w:rPr>
                <w:b/>
              </w:rPr>
              <w:t>0</w:t>
            </w:r>
          </w:p>
        </w:tc>
      </w:tr>
      <w:tr w:rsidR="00BD3F6F" w:rsidRPr="004858D5" w:rsidTr="008D2A7D">
        <w:trPr>
          <w:jc w:val="center"/>
        </w:trPr>
        <w:tc>
          <w:tcPr>
            <w:tcW w:w="3051" w:type="dxa"/>
          </w:tcPr>
          <w:p w:rsidR="00BD3F6F" w:rsidRPr="004858D5" w:rsidRDefault="00BD3F6F" w:rsidP="0048135E">
            <w:pPr>
              <w:jc w:val="both"/>
            </w:pPr>
            <w:r w:rsidRPr="004858D5">
              <w:t>3.1. valsts pamatbudžets</w:t>
            </w:r>
          </w:p>
        </w:tc>
        <w:tc>
          <w:tcPr>
            <w:tcW w:w="1489" w:type="dxa"/>
            <w:shd w:val="clear" w:color="auto" w:fill="auto"/>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jc w:val="both"/>
            </w:pPr>
            <w:r w:rsidRPr="004858D5">
              <w:t>3.2. speciālais budžets</w:t>
            </w:r>
          </w:p>
        </w:tc>
        <w:tc>
          <w:tcPr>
            <w:tcW w:w="1489" w:type="dxa"/>
            <w:shd w:val="clear" w:color="auto" w:fill="auto"/>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tcPr>
          <w:p w:rsidR="00BD3F6F" w:rsidRPr="004858D5" w:rsidRDefault="00BD3F6F" w:rsidP="0048135E">
            <w:pPr>
              <w:jc w:val="both"/>
            </w:pPr>
            <w:r w:rsidRPr="004858D5">
              <w:t xml:space="preserve">3.3. pašvaldību budžets </w:t>
            </w:r>
          </w:p>
        </w:tc>
        <w:tc>
          <w:tcPr>
            <w:tcW w:w="1489" w:type="dxa"/>
            <w:shd w:val="clear" w:color="auto" w:fill="auto"/>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vMerge w:val="restart"/>
          </w:tcPr>
          <w:p w:rsidR="00BD3F6F" w:rsidRPr="004858D5" w:rsidRDefault="00BD3F6F" w:rsidP="0048135E">
            <w:pPr>
              <w:jc w:val="both"/>
            </w:pPr>
            <w:r w:rsidRPr="004858D5">
              <w:t>4. Finanšu līdzekļi papildu izde</w:t>
            </w:r>
            <w:r w:rsidRPr="004858D5">
              <w:softHyphen/>
              <w:t xml:space="preserve">vumu finansēšanai (kompensējošu izdevumu samazinājumu norāda ar "+" </w:t>
            </w:r>
            <w:r w:rsidRPr="004858D5">
              <w:lastRenderedPageBreak/>
              <w:t>zīmi)</w:t>
            </w:r>
          </w:p>
        </w:tc>
        <w:tc>
          <w:tcPr>
            <w:tcW w:w="1489" w:type="dxa"/>
            <w:vMerge w:val="restart"/>
            <w:vAlign w:val="center"/>
          </w:tcPr>
          <w:p w:rsidR="00BD3F6F" w:rsidRPr="004858D5" w:rsidRDefault="00BD3F6F" w:rsidP="0048135E">
            <w:pPr>
              <w:spacing w:line="360" w:lineRule="auto"/>
              <w:jc w:val="center"/>
            </w:pPr>
            <w:r w:rsidRPr="004858D5">
              <w:lastRenderedPageBreak/>
              <w:t>X</w:t>
            </w: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rPr>
                <w:b/>
              </w:rPr>
            </w:pPr>
            <w:r w:rsidRPr="004858D5">
              <w:rPr>
                <w:b/>
              </w:rPr>
              <w:t>0</w:t>
            </w:r>
          </w:p>
        </w:tc>
        <w:tc>
          <w:tcPr>
            <w:tcW w:w="1258" w:type="dxa"/>
          </w:tcPr>
          <w:p w:rsidR="00BD3F6F" w:rsidRPr="004858D5" w:rsidRDefault="00BD3F6F" w:rsidP="00BD3F6F">
            <w:pPr>
              <w:pStyle w:val="naisf"/>
              <w:spacing w:before="0" w:after="0"/>
              <w:jc w:val="center"/>
              <w:rPr>
                <w:b/>
              </w:rPr>
            </w:pPr>
            <w:r w:rsidRPr="004858D5">
              <w:rPr>
                <w:b/>
              </w:rPr>
              <w:t>0</w:t>
            </w:r>
          </w:p>
        </w:tc>
        <w:tc>
          <w:tcPr>
            <w:tcW w:w="1239" w:type="dxa"/>
          </w:tcPr>
          <w:p w:rsidR="00BD3F6F" w:rsidRPr="004858D5" w:rsidRDefault="00BD3F6F" w:rsidP="00BD3F6F">
            <w:pPr>
              <w:pStyle w:val="naisf"/>
              <w:spacing w:before="0" w:after="0"/>
              <w:jc w:val="center"/>
              <w:rPr>
                <w:b/>
              </w:rPr>
            </w:pPr>
            <w:r w:rsidRPr="004858D5">
              <w:rPr>
                <w:b/>
              </w:rPr>
              <w:t>0</w:t>
            </w:r>
          </w:p>
        </w:tc>
      </w:tr>
      <w:tr w:rsidR="00BD3F6F" w:rsidRPr="004858D5" w:rsidTr="008D2A7D">
        <w:trPr>
          <w:jc w:val="center"/>
        </w:trPr>
        <w:tc>
          <w:tcPr>
            <w:tcW w:w="3051" w:type="dxa"/>
            <w:vMerge/>
          </w:tcPr>
          <w:p w:rsidR="00BD3F6F" w:rsidRPr="004858D5" w:rsidRDefault="00BD3F6F" w:rsidP="0048135E">
            <w:pPr>
              <w:jc w:val="both"/>
            </w:pPr>
          </w:p>
        </w:tc>
        <w:tc>
          <w:tcPr>
            <w:tcW w:w="1489" w:type="dxa"/>
            <w:vMerge/>
            <w:vAlign w:val="center"/>
          </w:tcPr>
          <w:p w:rsidR="00BD3F6F" w:rsidRPr="004858D5" w:rsidRDefault="00BD3F6F" w:rsidP="0048135E">
            <w:pPr>
              <w:pStyle w:val="naisf"/>
              <w:spacing w:before="0" w:after="0"/>
              <w:jc w:val="center"/>
              <w:rPr>
                <w:i/>
              </w:rPr>
            </w:pP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BD3F6F" w:rsidRPr="004858D5" w:rsidTr="008D2A7D">
        <w:trPr>
          <w:jc w:val="center"/>
        </w:trPr>
        <w:tc>
          <w:tcPr>
            <w:tcW w:w="3051" w:type="dxa"/>
            <w:vMerge/>
          </w:tcPr>
          <w:p w:rsidR="00BD3F6F" w:rsidRPr="004858D5" w:rsidRDefault="00BD3F6F" w:rsidP="0048135E">
            <w:pPr>
              <w:jc w:val="both"/>
            </w:pPr>
          </w:p>
        </w:tc>
        <w:tc>
          <w:tcPr>
            <w:tcW w:w="1489" w:type="dxa"/>
            <w:vMerge/>
            <w:vAlign w:val="center"/>
          </w:tcPr>
          <w:p w:rsidR="00BD3F6F" w:rsidRPr="004858D5" w:rsidRDefault="00BD3F6F" w:rsidP="0048135E">
            <w:pPr>
              <w:pStyle w:val="naisf"/>
              <w:spacing w:before="0" w:after="0"/>
              <w:jc w:val="center"/>
              <w:rPr>
                <w:i/>
              </w:rPr>
            </w:pPr>
          </w:p>
        </w:tc>
        <w:tc>
          <w:tcPr>
            <w:tcW w:w="1258" w:type="dxa"/>
          </w:tcPr>
          <w:p w:rsidR="00BD3F6F" w:rsidRPr="004858D5" w:rsidRDefault="00BD3F6F" w:rsidP="0048135E">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58" w:type="dxa"/>
          </w:tcPr>
          <w:p w:rsidR="00BD3F6F" w:rsidRPr="004858D5" w:rsidRDefault="00BD3F6F" w:rsidP="00BD3F6F">
            <w:pPr>
              <w:pStyle w:val="naisf"/>
              <w:spacing w:before="0" w:after="0"/>
              <w:jc w:val="center"/>
            </w:pPr>
            <w:r w:rsidRPr="004858D5">
              <w:t>0</w:t>
            </w:r>
          </w:p>
        </w:tc>
        <w:tc>
          <w:tcPr>
            <w:tcW w:w="1239" w:type="dxa"/>
          </w:tcPr>
          <w:p w:rsidR="00BD3F6F" w:rsidRPr="004858D5" w:rsidRDefault="00BD3F6F" w:rsidP="00BD3F6F">
            <w:pPr>
              <w:pStyle w:val="naisf"/>
              <w:spacing w:before="0" w:after="0"/>
              <w:jc w:val="center"/>
            </w:pPr>
            <w:r w:rsidRPr="004858D5">
              <w:t>0</w:t>
            </w:r>
          </w:p>
        </w:tc>
      </w:tr>
      <w:tr w:rsidR="0048135E" w:rsidRPr="004858D5" w:rsidTr="008D2A7D">
        <w:trPr>
          <w:jc w:val="center"/>
        </w:trPr>
        <w:tc>
          <w:tcPr>
            <w:tcW w:w="3051" w:type="dxa"/>
          </w:tcPr>
          <w:p w:rsidR="0048135E" w:rsidRPr="004858D5" w:rsidRDefault="0048135E" w:rsidP="0048135E">
            <w:pPr>
              <w:jc w:val="both"/>
            </w:pPr>
            <w:r w:rsidRPr="004858D5">
              <w:lastRenderedPageBreak/>
              <w:t>5. Precizēta finansiālā ietekme:</w:t>
            </w:r>
          </w:p>
        </w:tc>
        <w:tc>
          <w:tcPr>
            <w:tcW w:w="1489" w:type="dxa"/>
            <w:vMerge w:val="restart"/>
            <w:vAlign w:val="center"/>
          </w:tcPr>
          <w:p w:rsidR="0048135E" w:rsidRPr="004858D5" w:rsidRDefault="0048135E" w:rsidP="0048135E">
            <w:pPr>
              <w:spacing w:line="360" w:lineRule="auto"/>
              <w:jc w:val="center"/>
            </w:pPr>
            <w:r w:rsidRPr="004858D5">
              <w:t>X</w:t>
            </w:r>
          </w:p>
        </w:tc>
        <w:tc>
          <w:tcPr>
            <w:tcW w:w="1258" w:type="dxa"/>
          </w:tcPr>
          <w:p w:rsidR="0048135E" w:rsidRPr="004858D5" w:rsidRDefault="0048135E" w:rsidP="0048135E">
            <w:pPr>
              <w:pStyle w:val="naisf"/>
              <w:spacing w:before="0" w:after="0"/>
              <w:jc w:val="center"/>
              <w:rPr>
                <w:b/>
              </w:rPr>
            </w:pPr>
            <w:r w:rsidRPr="004858D5">
              <w:rPr>
                <w:b/>
              </w:rPr>
              <w:t>0</w:t>
            </w:r>
          </w:p>
        </w:tc>
        <w:tc>
          <w:tcPr>
            <w:tcW w:w="1258" w:type="dxa"/>
          </w:tcPr>
          <w:p w:rsidR="0048135E" w:rsidRPr="004858D5" w:rsidRDefault="0048135E" w:rsidP="0048135E">
            <w:pPr>
              <w:pStyle w:val="naisf"/>
              <w:spacing w:before="0" w:after="0"/>
              <w:jc w:val="center"/>
              <w:rPr>
                <w:b/>
              </w:rPr>
            </w:pPr>
            <w:r w:rsidRPr="004858D5">
              <w:rPr>
                <w:b/>
              </w:rPr>
              <w:t>0</w:t>
            </w:r>
          </w:p>
        </w:tc>
        <w:tc>
          <w:tcPr>
            <w:tcW w:w="1258" w:type="dxa"/>
          </w:tcPr>
          <w:p w:rsidR="0048135E" w:rsidRPr="004858D5" w:rsidRDefault="0048135E" w:rsidP="0048135E">
            <w:pPr>
              <w:pStyle w:val="naisf"/>
              <w:spacing w:before="0" w:after="0"/>
              <w:jc w:val="center"/>
              <w:rPr>
                <w:b/>
              </w:rPr>
            </w:pPr>
            <w:r w:rsidRPr="004858D5">
              <w:rPr>
                <w:b/>
              </w:rPr>
              <w:t>0</w:t>
            </w:r>
          </w:p>
        </w:tc>
        <w:tc>
          <w:tcPr>
            <w:tcW w:w="1239" w:type="dxa"/>
          </w:tcPr>
          <w:p w:rsidR="0048135E" w:rsidRPr="004858D5" w:rsidRDefault="0048135E" w:rsidP="0048135E">
            <w:pPr>
              <w:pStyle w:val="naisf"/>
              <w:spacing w:before="0" w:after="0"/>
              <w:jc w:val="center"/>
              <w:rPr>
                <w:b/>
              </w:rPr>
            </w:pPr>
            <w:r w:rsidRPr="004858D5">
              <w:rPr>
                <w:b/>
              </w:rPr>
              <w:t>0</w:t>
            </w:r>
          </w:p>
        </w:tc>
      </w:tr>
      <w:tr w:rsidR="0048135E" w:rsidRPr="004858D5" w:rsidTr="008D2A7D">
        <w:trPr>
          <w:jc w:val="center"/>
        </w:trPr>
        <w:tc>
          <w:tcPr>
            <w:tcW w:w="3051" w:type="dxa"/>
          </w:tcPr>
          <w:p w:rsidR="0048135E" w:rsidRPr="004858D5" w:rsidRDefault="0048135E" w:rsidP="0048135E">
            <w:pPr>
              <w:jc w:val="both"/>
            </w:pPr>
            <w:r w:rsidRPr="004858D5">
              <w:t>5.1. valsts pamatbudžets</w:t>
            </w:r>
          </w:p>
        </w:tc>
        <w:tc>
          <w:tcPr>
            <w:tcW w:w="1489" w:type="dxa"/>
            <w:vMerge/>
            <w:vAlign w:val="center"/>
          </w:tcPr>
          <w:p w:rsidR="0048135E" w:rsidRPr="004858D5" w:rsidRDefault="0048135E" w:rsidP="0048135E">
            <w:pPr>
              <w:pStyle w:val="naisf"/>
              <w:spacing w:before="0" w:after="0"/>
              <w:jc w:val="center"/>
              <w:rPr>
                <w:i/>
              </w:rPr>
            </w:pPr>
          </w:p>
        </w:tc>
        <w:tc>
          <w:tcPr>
            <w:tcW w:w="1258" w:type="dxa"/>
          </w:tcPr>
          <w:p w:rsidR="0048135E" w:rsidRPr="004858D5" w:rsidRDefault="0048135E" w:rsidP="0048135E">
            <w:pPr>
              <w:pStyle w:val="naisf"/>
              <w:spacing w:before="0" w:after="0"/>
              <w:jc w:val="center"/>
            </w:pPr>
            <w:r w:rsidRPr="004858D5">
              <w:t>0</w:t>
            </w:r>
          </w:p>
        </w:tc>
        <w:tc>
          <w:tcPr>
            <w:tcW w:w="1258" w:type="dxa"/>
          </w:tcPr>
          <w:p w:rsidR="0048135E" w:rsidRPr="004858D5" w:rsidRDefault="0048135E" w:rsidP="0048135E">
            <w:pPr>
              <w:pStyle w:val="naisf"/>
              <w:spacing w:before="0" w:after="0"/>
              <w:jc w:val="center"/>
            </w:pPr>
            <w:r w:rsidRPr="004858D5">
              <w:t>0</w:t>
            </w:r>
          </w:p>
        </w:tc>
        <w:tc>
          <w:tcPr>
            <w:tcW w:w="1258" w:type="dxa"/>
          </w:tcPr>
          <w:p w:rsidR="0048135E" w:rsidRPr="004858D5" w:rsidRDefault="0048135E" w:rsidP="0048135E">
            <w:pPr>
              <w:pStyle w:val="naisf"/>
              <w:spacing w:before="0" w:after="0"/>
              <w:jc w:val="center"/>
            </w:pPr>
            <w:r w:rsidRPr="004858D5">
              <w:t>0</w:t>
            </w:r>
          </w:p>
        </w:tc>
        <w:tc>
          <w:tcPr>
            <w:tcW w:w="1239" w:type="dxa"/>
          </w:tcPr>
          <w:p w:rsidR="0048135E" w:rsidRPr="004858D5" w:rsidRDefault="0048135E" w:rsidP="0048135E">
            <w:pPr>
              <w:pStyle w:val="naisf"/>
              <w:spacing w:before="0" w:after="0"/>
              <w:jc w:val="center"/>
            </w:pPr>
            <w:r w:rsidRPr="004858D5">
              <w:t>0</w:t>
            </w:r>
          </w:p>
        </w:tc>
      </w:tr>
      <w:tr w:rsidR="0048135E" w:rsidRPr="004858D5" w:rsidTr="008D2A7D">
        <w:trPr>
          <w:jc w:val="center"/>
        </w:trPr>
        <w:tc>
          <w:tcPr>
            <w:tcW w:w="3051" w:type="dxa"/>
          </w:tcPr>
          <w:p w:rsidR="0048135E" w:rsidRPr="004858D5" w:rsidRDefault="0048135E" w:rsidP="0048135E">
            <w:pPr>
              <w:jc w:val="both"/>
            </w:pPr>
            <w:r w:rsidRPr="004858D5">
              <w:t>5.2. speciālais budžets</w:t>
            </w:r>
          </w:p>
        </w:tc>
        <w:tc>
          <w:tcPr>
            <w:tcW w:w="1489" w:type="dxa"/>
            <w:vMerge/>
            <w:vAlign w:val="center"/>
          </w:tcPr>
          <w:p w:rsidR="0048135E" w:rsidRPr="004858D5" w:rsidRDefault="0048135E" w:rsidP="0048135E">
            <w:pPr>
              <w:pStyle w:val="naisf"/>
              <w:spacing w:before="0" w:after="0"/>
              <w:jc w:val="center"/>
              <w:rPr>
                <w:i/>
              </w:rPr>
            </w:pPr>
          </w:p>
        </w:tc>
        <w:tc>
          <w:tcPr>
            <w:tcW w:w="1258" w:type="dxa"/>
          </w:tcPr>
          <w:p w:rsidR="0048135E" w:rsidRPr="004858D5" w:rsidRDefault="0048135E" w:rsidP="0048135E">
            <w:pPr>
              <w:pStyle w:val="naisf"/>
              <w:spacing w:before="0" w:after="0"/>
              <w:jc w:val="center"/>
            </w:pPr>
            <w:r w:rsidRPr="004858D5">
              <w:t>0</w:t>
            </w:r>
          </w:p>
        </w:tc>
        <w:tc>
          <w:tcPr>
            <w:tcW w:w="1258" w:type="dxa"/>
          </w:tcPr>
          <w:p w:rsidR="0048135E" w:rsidRPr="004858D5" w:rsidRDefault="0048135E" w:rsidP="0048135E">
            <w:pPr>
              <w:pStyle w:val="naisf"/>
              <w:spacing w:before="0" w:after="0"/>
              <w:jc w:val="center"/>
            </w:pPr>
            <w:r w:rsidRPr="004858D5">
              <w:t>0</w:t>
            </w:r>
          </w:p>
        </w:tc>
        <w:tc>
          <w:tcPr>
            <w:tcW w:w="1258" w:type="dxa"/>
          </w:tcPr>
          <w:p w:rsidR="0048135E" w:rsidRPr="004858D5" w:rsidRDefault="0048135E" w:rsidP="0048135E">
            <w:pPr>
              <w:pStyle w:val="naisf"/>
              <w:spacing w:before="0" w:after="0"/>
              <w:jc w:val="center"/>
            </w:pPr>
            <w:r w:rsidRPr="004858D5">
              <w:t>0</w:t>
            </w:r>
          </w:p>
        </w:tc>
        <w:tc>
          <w:tcPr>
            <w:tcW w:w="1239" w:type="dxa"/>
          </w:tcPr>
          <w:p w:rsidR="0048135E" w:rsidRPr="004858D5" w:rsidRDefault="0048135E" w:rsidP="0048135E">
            <w:pPr>
              <w:pStyle w:val="naisf"/>
              <w:spacing w:before="0" w:after="0"/>
              <w:jc w:val="center"/>
            </w:pPr>
            <w:r w:rsidRPr="004858D5">
              <w:t>0</w:t>
            </w:r>
          </w:p>
        </w:tc>
      </w:tr>
      <w:tr w:rsidR="0048135E" w:rsidRPr="004858D5" w:rsidTr="008D2A7D">
        <w:trPr>
          <w:jc w:val="center"/>
        </w:trPr>
        <w:tc>
          <w:tcPr>
            <w:tcW w:w="3051" w:type="dxa"/>
          </w:tcPr>
          <w:p w:rsidR="0048135E" w:rsidRPr="004858D5" w:rsidRDefault="0048135E" w:rsidP="0048135E">
            <w:pPr>
              <w:jc w:val="both"/>
            </w:pPr>
            <w:r w:rsidRPr="004858D5">
              <w:t xml:space="preserve">5.3. pašvaldību budžets </w:t>
            </w:r>
          </w:p>
        </w:tc>
        <w:tc>
          <w:tcPr>
            <w:tcW w:w="1489" w:type="dxa"/>
            <w:vMerge/>
            <w:vAlign w:val="center"/>
          </w:tcPr>
          <w:p w:rsidR="0048135E" w:rsidRPr="004858D5" w:rsidRDefault="0048135E" w:rsidP="0048135E">
            <w:pPr>
              <w:pStyle w:val="naisf"/>
              <w:spacing w:before="0" w:after="0"/>
              <w:jc w:val="center"/>
              <w:rPr>
                <w:i/>
              </w:rPr>
            </w:pPr>
          </w:p>
        </w:tc>
        <w:tc>
          <w:tcPr>
            <w:tcW w:w="1258" w:type="dxa"/>
          </w:tcPr>
          <w:p w:rsidR="0048135E" w:rsidRPr="004858D5" w:rsidRDefault="0048135E" w:rsidP="0048135E">
            <w:pPr>
              <w:pStyle w:val="naisf"/>
              <w:spacing w:before="0" w:after="0"/>
              <w:jc w:val="center"/>
            </w:pPr>
            <w:r w:rsidRPr="004858D5">
              <w:t>0</w:t>
            </w:r>
          </w:p>
        </w:tc>
        <w:tc>
          <w:tcPr>
            <w:tcW w:w="1258" w:type="dxa"/>
          </w:tcPr>
          <w:p w:rsidR="0048135E" w:rsidRPr="004858D5" w:rsidRDefault="0048135E" w:rsidP="0048135E">
            <w:pPr>
              <w:pStyle w:val="naisf"/>
              <w:spacing w:before="0" w:after="0"/>
              <w:jc w:val="center"/>
            </w:pPr>
            <w:r w:rsidRPr="004858D5">
              <w:t>0</w:t>
            </w:r>
          </w:p>
        </w:tc>
        <w:tc>
          <w:tcPr>
            <w:tcW w:w="1258" w:type="dxa"/>
          </w:tcPr>
          <w:p w:rsidR="0048135E" w:rsidRPr="004858D5" w:rsidRDefault="0048135E" w:rsidP="0048135E">
            <w:pPr>
              <w:pStyle w:val="naisf"/>
              <w:spacing w:before="0" w:after="0"/>
              <w:jc w:val="center"/>
            </w:pPr>
            <w:r w:rsidRPr="004858D5">
              <w:t>0</w:t>
            </w:r>
          </w:p>
        </w:tc>
        <w:tc>
          <w:tcPr>
            <w:tcW w:w="1239" w:type="dxa"/>
          </w:tcPr>
          <w:p w:rsidR="0048135E" w:rsidRPr="004858D5" w:rsidRDefault="0048135E" w:rsidP="0048135E">
            <w:pPr>
              <w:pStyle w:val="naisf"/>
              <w:spacing w:before="0" w:after="0"/>
              <w:jc w:val="center"/>
            </w:pPr>
            <w:r w:rsidRPr="004858D5">
              <w:t>0</w:t>
            </w:r>
          </w:p>
        </w:tc>
      </w:tr>
      <w:tr w:rsidR="0048135E" w:rsidRPr="00B91E16" w:rsidTr="008D2A7D">
        <w:trPr>
          <w:jc w:val="center"/>
        </w:trPr>
        <w:tc>
          <w:tcPr>
            <w:tcW w:w="3051" w:type="dxa"/>
          </w:tcPr>
          <w:p w:rsidR="0048135E" w:rsidRPr="004858D5" w:rsidRDefault="0048135E" w:rsidP="0048135E">
            <w:pPr>
              <w:jc w:val="both"/>
            </w:pPr>
            <w:r w:rsidRPr="004858D5">
              <w:t>6. Detalizēts ieņēmumu un izdevu</w:t>
            </w:r>
            <w:r w:rsidRPr="004858D5">
              <w:softHyphen/>
              <w:t>mu aprēķins (ja nepieciešams, detalizētu ieņēmumu un izdevumu aprēķinu var pievienot anotācijas pielikumā):</w:t>
            </w:r>
          </w:p>
        </w:tc>
        <w:tc>
          <w:tcPr>
            <w:tcW w:w="6502" w:type="dxa"/>
            <w:gridSpan w:val="5"/>
            <w:vMerge w:val="restart"/>
            <w:vAlign w:val="center"/>
          </w:tcPr>
          <w:p w:rsidR="0048135E" w:rsidRPr="00BD3F6F" w:rsidRDefault="005E75D2" w:rsidP="0048135E">
            <w:pPr>
              <w:jc w:val="both"/>
            </w:pPr>
            <w:r w:rsidRPr="005E75D2">
              <w:rPr>
                <w:i/>
              </w:rPr>
              <w:t>Informācijai:</w:t>
            </w:r>
            <w:r>
              <w:t xml:space="preserve"> </w:t>
            </w:r>
            <w:r w:rsidR="0048135E" w:rsidRPr="00BD3F6F">
              <w:t>Atbilstoši likumam „Par valsts budžetu 2012.gadam” ar grozījumiem aģentūras plānotie maksas pakalpojumu ieņēmumi valsts budžeta programmā 48.00.00 „Medikamentu un medicīnas preču novērtēšana un reģistrācija“ 3 327 889 lati, resursiem atbilstošie izdevumi 3 371 881 lats (ņemot vērā maksas pakalpojumu un citu pašu ieņēmumu naudas līdzekļu atlikumu 43 992 lati) sadalījumā pa izdevumu kodiem atbilstoši ekonomiskajām kategorijām:</w:t>
            </w:r>
          </w:p>
          <w:p w:rsidR="0048135E" w:rsidRPr="00BD3F6F" w:rsidRDefault="0048135E" w:rsidP="0048135E">
            <w:pPr>
              <w:pStyle w:val="ListParagraph"/>
              <w:numPr>
                <w:ilvl w:val="0"/>
                <w:numId w:val="28"/>
              </w:numPr>
              <w:jc w:val="both"/>
              <w:rPr>
                <w:rFonts w:ascii="Times New Roman" w:hAnsi="Times New Roman"/>
                <w:sz w:val="24"/>
                <w:szCs w:val="24"/>
                <w:lang w:val="lv-LV"/>
              </w:rPr>
            </w:pPr>
            <w:r w:rsidRPr="00BD3F6F">
              <w:rPr>
                <w:rFonts w:ascii="Times New Roman" w:hAnsi="Times New Roman"/>
                <w:sz w:val="24"/>
                <w:szCs w:val="24"/>
                <w:lang w:val="lv-LV"/>
              </w:rPr>
              <w:t>atlīdzība Ls 1 670 487 (tai skaitā atalgojums Ls 1 333 035);</w:t>
            </w:r>
          </w:p>
          <w:p w:rsidR="0048135E" w:rsidRPr="00BD3F6F" w:rsidRDefault="0048135E" w:rsidP="0048135E">
            <w:pPr>
              <w:pStyle w:val="ListParagraph"/>
              <w:numPr>
                <w:ilvl w:val="0"/>
                <w:numId w:val="28"/>
              </w:numPr>
              <w:spacing w:after="0" w:line="240" w:lineRule="auto"/>
              <w:ind w:left="420" w:right="135"/>
              <w:jc w:val="both"/>
              <w:rPr>
                <w:rFonts w:ascii="Times New Roman" w:hAnsi="Times New Roman"/>
                <w:sz w:val="24"/>
                <w:szCs w:val="24"/>
                <w:lang w:val="lv-LV"/>
              </w:rPr>
            </w:pPr>
            <w:r w:rsidRPr="00BD3F6F">
              <w:rPr>
                <w:rFonts w:ascii="Times New Roman" w:hAnsi="Times New Roman"/>
                <w:sz w:val="24"/>
                <w:szCs w:val="24"/>
                <w:lang w:val="lv-LV"/>
              </w:rPr>
              <w:t xml:space="preserve"> preces un pakalpojumi Ls 1 376 402;</w:t>
            </w:r>
          </w:p>
          <w:p w:rsidR="0048135E" w:rsidRPr="00BD3F6F" w:rsidRDefault="0048135E" w:rsidP="0048135E">
            <w:pPr>
              <w:pStyle w:val="ListParagraph"/>
              <w:numPr>
                <w:ilvl w:val="0"/>
                <w:numId w:val="28"/>
              </w:numPr>
              <w:spacing w:after="0" w:line="240" w:lineRule="auto"/>
              <w:ind w:left="420" w:right="135"/>
              <w:jc w:val="both"/>
              <w:rPr>
                <w:rFonts w:ascii="Times New Roman" w:hAnsi="Times New Roman"/>
                <w:sz w:val="24"/>
                <w:szCs w:val="24"/>
                <w:lang w:val="lv-LV"/>
              </w:rPr>
            </w:pPr>
            <w:r w:rsidRPr="00BD3F6F">
              <w:rPr>
                <w:rFonts w:ascii="Times New Roman" w:hAnsi="Times New Roman"/>
                <w:sz w:val="24"/>
                <w:szCs w:val="24"/>
                <w:lang w:val="lv-LV"/>
              </w:rPr>
              <w:t xml:space="preserve"> kapitālie izdevumi Ls 281 000.</w:t>
            </w:r>
          </w:p>
          <w:p w:rsidR="0048135E" w:rsidRPr="00BD3F6F" w:rsidRDefault="0048135E" w:rsidP="0048135E">
            <w:pPr>
              <w:jc w:val="both"/>
            </w:pPr>
          </w:p>
          <w:p w:rsidR="007B5CB5" w:rsidRPr="00BD3F6F" w:rsidRDefault="0048135E" w:rsidP="007B5CB5">
            <w:pPr>
              <w:autoSpaceDE w:val="0"/>
              <w:autoSpaceDN w:val="0"/>
              <w:adjustRightInd w:val="0"/>
              <w:jc w:val="both"/>
            </w:pPr>
            <w:r w:rsidRPr="00BD3F6F">
              <w:rPr>
                <w:bCs/>
              </w:rPr>
              <w:t xml:space="preserve">   Atbilstoši noteikumiem Nr.537 </w:t>
            </w:r>
            <w:r w:rsidRPr="00BD3F6F">
              <w:t xml:space="preserve">Veselības ministrijas padotībā esošā aģentūra </w:t>
            </w:r>
            <w:r w:rsidR="005E75D2">
              <w:t>ar 2013.gada 1.janvāri darbojas</w:t>
            </w:r>
            <w:r w:rsidRPr="00BD3F6F">
              <w:t xml:space="preserve"> saskaņā ar Publisko aģentūru likuma prasībām</w:t>
            </w:r>
            <w:r w:rsidRPr="00BD3F6F">
              <w:rPr>
                <w:bCs/>
              </w:rPr>
              <w:t xml:space="preserve"> </w:t>
            </w:r>
            <w:r w:rsidRPr="00BD3F6F">
              <w:t>kā budžeta nefinansēta iestāde pakalpojumu sniegšanas jomā un</w:t>
            </w:r>
            <w:r w:rsidR="007B5CB5" w:rsidRPr="00BD3F6F">
              <w:t xml:space="preserve"> ar </w:t>
            </w:r>
            <w:r w:rsidRPr="00BD3F6F">
              <w:t xml:space="preserve"> </w:t>
            </w:r>
            <w:r w:rsidR="007B5CB5" w:rsidRPr="00BD3F6F">
              <w:t xml:space="preserve">valsts pārvaldes </w:t>
            </w:r>
            <w:r w:rsidRPr="00BD3F6F">
              <w:t>uzdevumu nodrošināšan</w:t>
            </w:r>
            <w:r w:rsidR="007B5CB5" w:rsidRPr="00BD3F6F">
              <w:t>u</w:t>
            </w:r>
            <w:r w:rsidRPr="00BD3F6F">
              <w:t xml:space="preserve"> saistītos izdev</w:t>
            </w:r>
            <w:r w:rsidR="005E75D2">
              <w:t>umus sedz</w:t>
            </w:r>
            <w:r w:rsidRPr="00BD3F6F">
              <w:t xml:space="preserve"> no </w:t>
            </w:r>
            <w:r w:rsidR="007B5CB5" w:rsidRPr="00BD3F6F">
              <w:t>ieņēmumiem no maksas pakalpojumiem</w:t>
            </w:r>
            <w:r w:rsidRPr="00BD3F6F">
              <w:t xml:space="preserve">. </w:t>
            </w:r>
            <w:r w:rsidR="007B5CB5" w:rsidRPr="00BD3F6F">
              <w:t>Atbilstoši Saeimā 2012.gada 15.novembrī otrajā lasījumā atbalstītajam likumprojektam „Par valsts budžetu 2013.gadam” veikts ieņēmumu no maksas pakalpojumiem un tiem atbilstošo izdevumu samazinājumu 3 327 889 latu apmērā Veselības ministrijas budžeta programmā 48.00.00 „Medikamentu un medicīnas preču novērtēšana un reģistrācija”</w:t>
            </w:r>
            <w:r w:rsidR="005E75D2">
              <w:t xml:space="preserve"> 2013.gadā un turpmākajos gados, tādējādi noteikumu projektam nav ietekmes uz valsts budžetu, tie ir ārpus valsts pamatbudžeta ieņēmumi. </w:t>
            </w:r>
          </w:p>
          <w:p w:rsidR="002912CA" w:rsidRPr="00BD3F6F" w:rsidRDefault="002912CA" w:rsidP="002912CA">
            <w:pPr>
              <w:autoSpaceDE w:val="0"/>
              <w:autoSpaceDN w:val="0"/>
              <w:adjustRightInd w:val="0"/>
              <w:jc w:val="both"/>
            </w:pPr>
            <w:r w:rsidRPr="00BD3F6F">
              <w:t>Saskaņā ar Likuma par budžetu un finanšu vadību 41.panta (1</w:t>
            </w:r>
            <w:r w:rsidRPr="00BD3F6F">
              <w:rPr>
                <w:vertAlign w:val="superscript"/>
              </w:rPr>
              <w:t>1</w:t>
            </w:r>
            <w:r w:rsidRPr="00BD3F6F">
              <w:t>) daļu aģentūras kā budžeta nefinansētas iestādes 2013.gada budžets apstiprināts ar Ministru kabineta 2012.gada 30.oktobra rīkojumu Nr.521 „</w:t>
            </w:r>
            <w:r w:rsidRPr="00BD3F6F">
              <w:rPr>
                <w:bCs/>
                <w:lang w:eastAsia="en-US"/>
              </w:rPr>
              <w:t xml:space="preserve">Par Zāļu valsts aģentūras 2013.gada budžeta apstiprināšanu” </w:t>
            </w:r>
            <w:r w:rsidRPr="00BD3F6F">
              <w:t>ieņēmumu daļā 3 239 728 latu apmērā un izdevumu daļā 3 509 705 latu apmērā.</w:t>
            </w:r>
          </w:p>
          <w:p w:rsidR="002912CA" w:rsidRPr="00BD3F6F" w:rsidRDefault="002912CA" w:rsidP="007B5CB5">
            <w:pPr>
              <w:jc w:val="both"/>
            </w:pPr>
            <w:r w:rsidRPr="00BD3F6F">
              <w:t>Detalizētus aprēķinus par aģentūras plānoto maksas pakalpojumu ieņēmumu apjomu 2013.gadā un tiem atbilstošajiem izdevumiem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prasībām ska</w:t>
            </w:r>
            <w:r w:rsidR="00C75071" w:rsidRPr="00BD3F6F">
              <w:t>tīt anotācijas pielikumā Nr.1 „Z</w:t>
            </w:r>
            <w:r w:rsidRPr="00BD3F6F">
              <w:t>āļu valsts aģentūras maksas pakalpojumu izcenojums” anotācijas pielikumā Nr.2 „Zāļu valsts aģentūras plānotie publisko maksas pakalpojumu ieņēmumi 2013.-2015.gadā”.</w:t>
            </w:r>
          </w:p>
          <w:p w:rsidR="002912CA" w:rsidRPr="00BD3F6F" w:rsidRDefault="005C47BA" w:rsidP="002912CA">
            <w:pPr>
              <w:jc w:val="both"/>
            </w:pPr>
            <w:r>
              <w:t>A</w:t>
            </w:r>
            <w:r w:rsidR="002912CA" w:rsidRPr="00BD3F6F">
              <w:t>ģentūras plānotie maksas pakalpojumu ieņēmumi 2013.-2015.gadā 3 239 729,88</w:t>
            </w:r>
            <w:r w:rsidR="00AB6EB1" w:rsidRPr="00BD3F6F">
              <w:t xml:space="preserve"> lati</w:t>
            </w:r>
            <w:r w:rsidR="002912CA" w:rsidRPr="00BD3F6F">
              <w:t xml:space="preserve"> </w:t>
            </w:r>
            <w:r w:rsidR="002912CA" w:rsidRPr="00BD3F6F">
              <w:rPr>
                <w:b/>
              </w:rPr>
              <w:t>izdevumos</w:t>
            </w:r>
            <w:r w:rsidR="00AB6EB1" w:rsidRPr="00BD3F6F">
              <w:rPr>
                <w:b/>
              </w:rPr>
              <w:t xml:space="preserve"> </w:t>
            </w:r>
            <w:r w:rsidR="00AB6EB1" w:rsidRPr="00BD3F6F">
              <w:t xml:space="preserve">(skat. anotācijas 1. un </w:t>
            </w:r>
            <w:r w:rsidR="00AB6EB1" w:rsidRPr="00BD3F6F">
              <w:lastRenderedPageBreak/>
              <w:t>2.pielikumu)</w:t>
            </w:r>
            <w:r w:rsidR="000B44A0">
              <w:t>:</w:t>
            </w:r>
          </w:p>
          <w:p w:rsidR="002912CA" w:rsidRPr="00BD3F6F" w:rsidRDefault="002912CA" w:rsidP="002912CA">
            <w:r w:rsidRPr="00BD3F6F">
              <w:t xml:space="preserve">   - atlīdzībai 1 670 487,00 lati (t.sk. atalgojumam 1 368 035,00 lati),</w:t>
            </w:r>
          </w:p>
          <w:p w:rsidR="002912CA" w:rsidRPr="00BD3F6F" w:rsidRDefault="002912CA" w:rsidP="002912CA">
            <w:r w:rsidRPr="00BD3F6F">
              <w:t xml:space="preserve">   - precēm un pakalpojumiem 1 288 241,88 lati,</w:t>
            </w:r>
          </w:p>
          <w:p w:rsidR="007B5CB5" w:rsidRPr="00BD3F6F" w:rsidRDefault="002912CA" w:rsidP="002912CA">
            <w:pPr>
              <w:autoSpaceDE w:val="0"/>
              <w:autoSpaceDN w:val="0"/>
              <w:adjustRightInd w:val="0"/>
              <w:jc w:val="both"/>
            </w:pPr>
            <w:r w:rsidRPr="00BD3F6F">
              <w:t xml:space="preserve">   - kapitāliem izdevumiem 281 000,00 lati.</w:t>
            </w:r>
          </w:p>
          <w:p w:rsidR="00BD3F6F" w:rsidRPr="00BD3F6F" w:rsidRDefault="00AB6EB1" w:rsidP="00BD3F6F">
            <w:pPr>
              <w:jc w:val="both"/>
            </w:pPr>
            <w:r w:rsidRPr="00BD3F6F">
              <w:t>Protokollēmuma projekta 1.punkts paredz, ka līdz ar zāļu reģistrācijas pakalpojumu cenu samazinājumu (noteikumu projekta pielikuma 1.1.1., 1.1.2., 2.1., 2.1.1. un 3.punkts) 2013.gadā aģentūras maksas pakalpojumu ieņēmumi samazināsies par 110 500 latiem (skat. detalizētu aprēķinu anotācijas 3.pielikumā).</w:t>
            </w:r>
          </w:p>
          <w:p w:rsidR="00BD3F6F" w:rsidRPr="00BD3F6F" w:rsidRDefault="00BD3F6F" w:rsidP="00BD3F6F">
            <w:pPr>
              <w:jc w:val="both"/>
            </w:pPr>
            <w:r w:rsidRPr="00BD3F6F">
              <w:t xml:space="preserve">Protokollēmuma projekta 4.punkts paredz </w:t>
            </w:r>
            <w:r w:rsidRPr="00BD3F6F">
              <w:rPr>
                <w:bCs/>
              </w:rPr>
              <w:t>noteikt, ka saskaņā ar Publisko aģentūru likuma 14.panta otro daļu un Likuma par budžetu un finanšu vadību 6.</w:t>
            </w:r>
            <w:r w:rsidRPr="00BD3F6F">
              <w:rPr>
                <w:bCs/>
                <w:vertAlign w:val="superscript"/>
              </w:rPr>
              <w:t>1</w:t>
            </w:r>
            <w:r w:rsidRPr="00BD3F6F">
              <w:rPr>
                <w:bCs/>
              </w:rPr>
              <w:t xml:space="preserve"> panta piekto daļu  2013.gada beigās no aģentūras kontā esošā līdzekļu atlikuma, kas </w:t>
            </w:r>
            <w:r w:rsidRPr="00BD3F6F">
              <w:t>radies no ieņēmumiem par sniegtajiem maksas pakalpojumiem, 2014.gadā līdzekļi 140 000 latu apmērā novirzāmi aģentūras izdevumu finansēšanai šādu funkciju nodrošināšanai:</w:t>
            </w:r>
          </w:p>
          <w:p w:rsidR="00BD3F6F" w:rsidRPr="00BD3F6F" w:rsidRDefault="00BD3F6F" w:rsidP="00BD3F6F">
            <w:pPr>
              <w:keepLines/>
              <w:autoSpaceDE w:val="0"/>
              <w:autoSpaceDN w:val="0"/>
              <w:adjustRightInd w:val="0"/>
              <w:spacing w:before="120" w:after="120"/>
              <w:jc w:val="both"/>
              <w:rPr>
                <w:color w:val="000000"/>
              </w:rPr>
            </w:pPr>
            <w:r w:rsidRPr="00BD3F6F">
              <w:t xml:space="preserve">- </w:t>
            </w:r>
            <w:r w:rsidRPr="00BD3F6F">
              <w:rPr>
                <w:color w:val="000000"/>
              </w:rPr>
              <w:t>audu, šūnu un orgānu ieguves un izmantošanas vietu, asins kabinetu, asins sagatavošanas nodaļu un Valsts asinsdonoru centra atbilstības novērtēšanai un uzraudzībai - 50 000 lati;</w:t>
            </w:r>
          </w:p>
          <w:p w:rsidR="00BD3F6F" w:rsidRPr="00BD3F6F" w:rsidRDefault="00BD3F6F" w:rsidP="00BD3F6F">
            <w:pPr>
              <w:keepLines/>
              <w:autoSpaceDE w:val="0"/>
              <w:autoSpaceDN w:val="0"/>
              <w:adjustRightInd w:val="0"/>
              <w:spacing w:before="120" w:after="120"/>
              <w:jc w:val="both"/>
              <w:rPr>
                <w:color w:val="000000"/>
              </w:rPr>
            </w:pPr>
            <w:r w:rsidRPr="00BD3F6F">
              <w:rPr>
                <w:color w:val="000000"/>
              </w:rPr>
              <w:t xml:space="preserve">-  Latvijā ražotu medicīnisko ierīču reģistrēšanai, atļauju speciāli piegādāto medicīnisko ierīču laišanai apgrozībā izsniegšanai, kā arī medicīnisko ierīču vigilances veikšanai un atļauju izsniegšanu medicīnisko ierīču klīniskās izpētes veikšanai – 90 000 lati. </w:t>
            </w:r>
          </w:p>
          <w:p w:rsidR="00BD3F6F" w:rsidRPr="00851051" w:rsidRDefault="00BD3F6F" w:rsidP="00851051">
            <w:pPr>
              <w:keepLines/>
              <w:autoSpaceDE w:val="0"/>
              <w:autoSpaceDN w:val="0"/>
              <w:adjustRightInd w:val="0"/>
              <w:jc w:val="both"/>
              <w:rPr>
                <w:color w:val="FF0000"/>
              </w:rPr>
            </w:pPr>
            <w:r w:rsidRPr="00BD3F6F">
              <w:rPr>
                <w:color w:val="000000"/>
              </w:rPr>
              <w:t xml:space="preserve">Attiecībā uz minēto funkciju nodrošināšanu </w:t>
            </w:r>
            <w:r w:rsidR="005C47BA">
              <w:rPr>
                <w:color w:val="000000"/>
              </w:rPr>
              <w:t>2015.gadā un turpmākajos gados</w:t>
            </w:r>
            <w:r w:rsidR="006A153A">
              <w:rPr>
                <w:color w:val="000000"/>
              </w:rPr>
              <w:t>,</w:t>
            </w:r>
            <w:r w:rsidR="005C47BA">
              <w:rPr>
                <w:color w:val="000000"/>
              </w:rPr>
              <w:t xml:space="preserve"> a</w:t>
            </w:r>
            <w:r w:rsidRPr="00BD3F6F">
              <w:rPr>
                <w:color w:val="000000"/>
              </w:rPr>
              <w:t xml:space="preserve">ģentūra pēc finanšu pārskata par 2012.gadu </w:t>
            </w:r>
            <w:r w:rsidRPr="00851051">
              <w:t xml:space="preserve">sagatavošanas, 2012.gada budžeta izpildes un papildus pienākumu veikšanai farmakovigilances jomā paredzamo izmaksu izvērtēšanas un precīzu uzskaites datu apstiprināšanas, veiks publisko maksas pakalpojumu cenrāža </w:t>
            </w:r>
            <w:r w:rsidR="00851051" w:rsidRPr="00851051">
              <w:t xml:space="preserve">izvērtēšanu un pārstrukturēšanu, lai samazinātu netiešās izmaksas zāļu reģistrācijas pašizmaksā. </w:t>
            </w:r>
            <w:r w:rsidRPr="00851051">
              <w:t xml:space="preserve"> Atbilstoši Publisko aģentūru likuma 13.panta trešajai daļai</w:t>
            </w:r>
            <w:r w:rsidRPr="00BD3F6F">
              <w:t xml:space="preserve"> un Likuma par budžetu un finanšu vadību 41.panta (1</w:t>
            </w:r>
            <w:r w:rsidRPr="00BD3F6F">
              <w:rPr>
                <w:vertAlign w:val="superscript"/>
              </w:rPr>
              <w:t>1</w:t>
            </w:r>
            <w:r w:rsidRPr="00BD3F6F">
              <w:t>) daļai budžeta nefinansētu iestāžu nākamā gada budžetu projektus apstiprināšanai Ministru kabinetā iesniedz ministrijas (pārraudzības institūcijas) līdz kārtējā gada 1.septembrim, un Ministru kabinets tos apstiprina līdz kārtējā gada 15.septembrim.</w:t>
            </w:r>
            <w:r w:rsidRPr="00BD3F6F">
              <w:rPr>
                <w:rFonts w:ascii="Verdana" w:hAnsi="Verdana"/>
              </w:rPr>
              <w:t xml:space="preserve"> </w:t>
            </w:r>
            <w:r w:rsidRPr="00BD3F6F">
              <w:rPr>
                <w:color w:val="000000"/>
              </w:rPr>
              <w:t xml:space="preserve">   </w:t>
            </w:r>
          </w:p>
          <w:p w:rsidR="00BD3F6F" w:rsidRPr="00BD3F6F" w:rsidRDefault="00106CE1" w:rsidP="00BD3F6F">
            <w:pPr>
              <w:keepLines/>
              <w:autoSpaceDE w:val="0"/>
              <w:autoSpaceDN w:val="0"/>
              <w:adjustRightInd w:val="0"/>
              <w:jc w:val="both"/>
              <w:rPr>
                <w:color w:val="000000"/>
              </w:rPr>
            </w:pPr>
            <w:r>
              <w:rPr>
                <w:color w:val="000000"/>
              </w:rPr>
              <w:t>Tādējādi a</w:t>
            </w:r>
            <w:r w:rsidR="00BD3F6F" w:rsidRPr="00BD3F6F">
              <w:rPr>
                <w:color w:val="000000"/>
              </w:rPr>
              <w:t>ģentūrai līdz 2013.gada 30.jūnijam, ņemot vērā maksas pakalpojumu ieņēmumu izpildes datus par 2013.gada pirmo pusgadu, būs jānoprognozē maksas pakalpojumu ieņēmumu un tiem atbilstošo izdevumu apjoms 2014.gadam un jāiesniedz Veselības ministrijā tālāk</w:t>
            </w:r>
            <w:r w:rsidR="000A0D76">
              <w:rPr>
                <w:color w:val="000000"/>
              </w:rPr>
              <w:t>a</w:t>
            </w:r>
            <w:r w:rsidR="00BD3F6F" w:rsidRPr="00BD3F6F">
              <w:rPr>
                <w:color w:val="000000"/>
              </w:rPr>
              <w:t>i virzībai normatīvajos aktos noteiktajā kārtībā.</w:t>
            </w:r>
          </w:p>
          <w:p w:rsidR="00BD3F6F" w:rsidRPr="00BD3F6F" w:rsidRDefault="00BD3F6F" w:rsidP="00BD3F6F">
            <w:pPr>
              <w:spacing w:before="75" w:after="75"/>
              <w:jc w:val="both"/>
              <w:rPr>
                <w:bCs/>
              </w:rPr>
            </w:pPr>
            <w:r w:rsidRPr="00BD3F6F">
              <w:rPr>
                <w:bCs/>
              </w:rPr>
              <w:t xml:space="preserve">Tāpat Veselības ministrija vērš uzmanību, ka </w:t>
            </w:r>
            <w:r w:rsidR="00106CE1">
              <w:rPr>
                <w:bCs/>
              </w:rPr>
              <w:t>a</w:t>
            </w:r>
            <w:r>
              <w:rPr>
                <w:bCs/>
              </w:rPr>
              <w:t xml:space="preserve">ģentūras publisko </w:t>
            </w:r>
            <w:r w:rsidRPr="00BD3F6F">
              <w:rPr>
                <w:bCs/>
              </w:rPr>
              <w:t>maksas pakalpojumu cenrādis 2013.gadā tiks pārskatīts vairākkārtēji saistībā ar dotajiem uzdevumiem:</w:t>
            </w:r>
          </w:p>
          <w:p w:rsidR="00BD3F6F" w:rsidRPr="00BD3F6F" w:rsidRDefault="00BD3F6F" w:rsidP="00BD3F6F">
            <w:pPr>
              <w:pStyle w:val="ListParagraph"/>
              <w:numPr>
                <w:ilvl w:val="0"/>
                <w:numId w:val="33"/>
              </w:numPr>
              <w:spacing w:before="75" w:after="75" w:line="240" w:lineRule="auto"/>
              <w:contextualSpacing w:val="0"/>
              <w:jc w:val="both"/>
              <w:rPr>
                <w:rFonts w:ascii="Times New Roman" w:hAnsi="Times New Roman"/>
                <w:sz w:val="24"/>
                <w:szCs w:val="24"/>
                <w:lang w:val="lv-LV"/>
              </w:rPr>
            </w:pPr>
            <w:r w:rsidRPr="00BD3F6F">
              <w:rPr>
                <w:rFonts w:ascii="Times New Roman" w:hAnsi="Times New Roman"/>
                <w:bCs/>
                <w:sz w:val="24"/>
                <w:szCs w:val="24"/>
                <w:lang w:val="lv-LV"/>
              </w:rPr>
              <w:t xml:space="preserve">saskaņā ar Ministru kabineta 2012.gada 20.marta sēdes </w:t>
            </w:r>
            <w:r w:rsidRPr="00BD3F6F">
              <w:rPr>
                <w:rFonts w:ascii="Times New Roman" w:hAnsi="Times New Roman"/>
                <w:bCs/>
                <w:sz w:val="24"/>
                <w:szCs w:val="24"/>
                <w:lang w:val="lv-LV"/>
              </w:rPr>
              <w:lastRenderedPageBreak/>
              <w:t>protokollēmuma projektu par informatīvo ziņojumu „Par valsts nodevu un maksas pakalpojumu nošķiršanu un nodevu sistēmas pilnveidošanu” Veselības ministrijai jāiesniedz Finanšu ministrijā līdz 2013.gada 1.aprīlim izvērtējums par maksas pakalpojumu atbilstību valsts nodevu objektiem;</w:t>
            </w:r>
          </w:p>
          <w:p w:rsidR="00851051" w:rsidRPr="00851051" w:rsidRDefault="00BD3F6F" w:rsidP="00851051">
            <w:pPr>
              <w:pStyle w:val="ListParagraph"/>
              <w:numPr>
                <w:ilvl w:val="0"/>
                <w:numId w:val="33"/>
              </w:numPr>
              <w:spacing w:before="75" w:after="75" w:line="240" w:lineRule="auto"/>
              <w:contextualSpacing w:val="0"/>
              <w:jc w:val="both"/>
              <w:rPr>
                <w:rFonts w:ascii="Times New Roman" w:hAnsi="Times New Roman"/>
                <w:sz w:val="24"/>
                <w:szCs w:val="24"/>
                <w:lang w:val="lv-LV"/>
              </w:rPr>
            </w:pPr>
            <w:r w:rsidRPr="00BD3F6F">
              <w:rPr>
                <w:rFonts w:ascii="Times New Roman" w:hAnsi="Times New Roman"/>
                <w:bCs/>
                <w:sz w:val="24"/>
                <w:szCs w:val="24"/>
                <w:lang w:val="lv-LV"/>
              </w:rPr>
              <w:t>atbilstoši Ministru kabineta 2012.gada 27.jūnija rīkojumam Nr.282 „Par Koncepciju par normatīvo aktu sakārtošanu saistībā ar euro ieviešanu Latvijā” Veselības ministrijai līdz 2013.gada 1.oktobrim Ministru kabinetā jāiesniedz atbilstīgi grozījumi normatīvajos aktos</w:t>
            </w:r>
            <w:r w:rsidR="00851051">
              <w:rPr>
                <w:rFonts w:ascii="Times New Roman" w:hAnsi="Times New Roman"/>
                <w:bCs/>
                <w:sz w:val="24"/>
                <w:szCs w:val="24"/>
                <w:lang w:val="lv-LV"/>
              </w:rPr>
              <w:t>.</w:t>
            </w:r>
          </w:p>
          <w:p w:rsidR="00851051" w:rsidRPr="00851051" w:rsidRDefault="00851051" w:rsidP="00106CE1">
            <w:pPr>
              <w:spacing w:before="75" w:after="75"/>
              <w:ind w:left="60"/>
              <w:jc w:val="both"/>
              <w:rPr>
                <w:lang w:eastAsia="en-US"/>
              </w:rPr>
            </w:pPr>
            <w:r w:rsidRPr="00851051">
              <w:t>Turklāt ir jāņem vērā, ka aģentūrai ir jāstrādā tā, lai pildītu  Ministru kabineta 2012.gada 30.oktobra rīkojumu Nr.521 „</w:t>
            </w:r>
            <w:r w:rsidRPr="00851051">
              <w:rPr>
                <w:bCs/>
                <w:lang w:eastAsia="en-US"/>
              </w:rPr>
              <w:t>Par Zāļu valsts aģentūras 2013.gada budžeta apstiprināšanu</w:t>
            </w:r>
            <w:r w:rsidRPr="00851051">
              <w:t>”, kas paredz saskaņā ar Likuma par budžetu un finanšu vadību 41.panta 1.</w:t>
            </w:r>
            <w:r w:rsidRPr="00851051">
              <w:rPr>
                <w:vertAlign w:val="superscript"/>
              </w:rPr>
              <w:t>1</w:t>
            </w:r>
            <w:r w:rsidRPr="00851051">
              <w:t xml:space="preserve"> daļu aģentūras 2013.gada budžeta ieņēmumus      </w:t>
            </w:r>
            <w:r w:rsidR="00106CE1">
              <w:t xml:space="preserve">   </w:t>
            </w:r>
            <w:r w:rsidRPr="00851051">
              <w:t>3 239 728 latu apmērā un izdevumus 3 509 705 latu apmērā.</w:t>
            </w:r>
          </w:p>
        </w:tc>
      </w:tr>
      <w:tr w:rsidR="0048135E" w:rsidRPr="004858D5" w:rsidTr="008D2A7D">
        <w:trPr>
          <w:jc w:val="center"/>
        </w:trPr>
        <w:tc>
          <w:tcPr>
            <w:tcW w:w="3051" w:type="dxa"/>
          </w:tcPr>
          <w:p w:rsidR="0048135E" w:rsidRPr="004858D5" w:rsidRDefault="0048135E" w:rsidP="0048135E">
            <w:pPr>
              <w:jc w:val="both"/>
            </w:pPr>
            <w:r w:rsidRPr="004858D5">
              <w:t>6.1. detalizēts ieņēmumu aprēķins</w:t>
            </w:r>
          </w:p>
        </w:tc>
        <w:tc>
          <w:tcPr>
            <w:tcW w:w="6502" w:type="dxa"/>
            <w:gridSpan w:val="5"/>
            <w:vMerge/>
          </w:tcPr>
          <w:p w:rsidR="0048135E" w:rsidRPr="004858D5" w:rsidRDefault="0048135E" w:rsidP="0048135E">
            <w:pPr>
              <w:pStyle w:val="naisf"/>
              <w:spacing w:before="0" w:after="0"/>
              <w:rPr>
                <w:b/>
                <w:i/>
              </w:rPr>
            </w:pPr>
          </w:p>
        </w:tc>
      </w:tr>
      <w:tr w:rsidR="0048135E" w:rsidRPr="004858D5" w:rsidTr="008D2A7D">
        <w:trPr>
          <w:jc w:val="center"/>
        </w:trPr>
        <w:tc>
          <w:tcPr>
            <w:tcW w:w="3051" w:type="dxa"/>
          </w:tcPr>
          <w:p w:rsidR="0048135E" w:rsidRPr="004858D5" w:rsidRDefault="0048135E" w:rsidP="0048135E">
            <w:pPr>
              <w:jc w:val="both"/>
            </w:pPr>
            <w:r w:rsidRPr="004858D5">
              <w:t>6.2. detalizēts izdevumu aprēķins</w:t>
            </w:r>
          </w:p>
        </w:tc>
        <w:tc>
          <w:tcPr>
            <w:tcW w:w="6502" w:type="dxa"/>
            <w:gridSpan w:val="5"/>
            <w:vMerge/>
          </w:tcPr>
          <w:p w:rsidR="0048135E" w:rsidRPr="004858D5" w:rsidRDefault="0048135E" w:rsidP="0048135E">
            <w:pPr>
              <w:pStyle w:val="naisf"/>
              <w:spacing w:before="0" w:after="0"/>
              <w:rPr>
                <w:b/>
                <w:i/>
              </w:rPr>
            </w:pPr>
          </w:p>
        </w:tc>
      </w:tr>
      <w:tr w:rsidR="0048135E" w:rsidRPr="00B91E16" w:rsidTr="008D2A7D">
        <w:trPr>
          <w:jc w:val="center"/>
        </w:trPr>
        <w:tc>
          <w:tcPr>
            <w:tcW w:w="3051" w:type="dxa"/>
          </w:tcPr>
          <w:p w:rsidR="0048135E" w:rsidRPr="004858D5" w:rsidRDefault="0048135E" w:rsidP="0048135E">
            <w:pPr>
              <w:jc w:val="both"/>
            </w:pPr>
            <w:r w:rsidRPr="004858D5">
              <w:lastRenderedPageBreak/>
              <w:t>7. Cita informācija</w:t>
            </w:r>
          </w:p>
        </w:tc>
        <w:tc>
          <w:tcPr>
            <w:tcW w:w="6502" w:type="dxa"/>
            <w:gridSpan w:val="5"/>
          </w:tcPr>
          <w:p w:rsidR="0048135E" w:rsidRPr="004858D5" w:rsidRDefault="00CF69AE" w:rsidP="0048135E">
            <w:pPr>
              <w:jc w:val="both"/>
            </w:pPr>
            <w:r>
              <w:t>Nav</w:t>
            </w:r>
          </w:p>
        </w:tc>
      </w:tr>
    </w:tbl>
    <w:p w:rsidR="008D2A7D" w:rsidRPr="001E2E82" w:rsidRDefault="008D2A7D" w:rsidP="008D2A7D">
      <w:pPr>
        <w:pStyle w:val="naisf"/>
        <w:spacing w:before="0" w:beforeAutospacing="0" w:after="0" w:afterAutospacing="0"/>
        <w:rPr>
          <w:sz w:val="28"/>
          <w:szCs w:val="28"/>
        </w:rPr>
      </w:pPr>
    </w:p>
    <w:tbl>
      <w:tblPr>
        <w:tblW w:w="515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1563"/>
        <w:gridCol w:w="1417"/>
        <w:gridCol w:w="144"/>
        <w:gridCol w:w="853"/>
        <w:gridCol w:w="2341"/>
        <w:gridCol w:w="2330"/>
      </w:tblGrid>
      <w:tr w:rsidR="00641A7A" w:rsidRPr="00300294" w:rsidTr="00FE0975">
        <w:tc>
          <w:tcPr>
            <w:tcW w:w="5000" w:type="pct"/>
            <w:gridSpan w:val="7"/>
          </w:tcPr>
          <w:p w:rsidR="00641A7A" w:rsidRPr="00300294" w:rsidRDefault="00641A7A" w:rsidP="004A5E75">
            <w:pPr>
              <w:ind w:firstLine="720"/>
              <w:jc w:val="both"/>
              <w:rPr>
                <w:b/>
              </w:rPr>
            </w:pPr>
            <w:r w:rsidRPr="00300294">
              <w:rPr>
                <w:b/>
              </w:rPr>
              <w:t>IV. Tiesību akta projekta ietekme uz spēkā esošo tiesību normu sistēmu</w:t>
            </w:r>
          </w:p>
        </w:tc>
      </w:tr>
      <w:tr w:rsidR="00641A7A" w:rsidRPr="00300294" w:rsidTr="00FE0975">
        <w:tc>
          <w:tcPr>
            <w:tcW w:w="379" w:type="pct"/>
          </w:tcPr>
          <w:p w:rsidR="00641A7A" w:rsidRPr="00300294" w:rsidRDefault="00641A7A" w:rsidP="004A5E75">
            <w:pPr>
              <w:jc w:val="center"/>
            </w:pPr>
            <w:r w:rsidRPr="00300294">
              <w:t>1.</w:t>
            </w:r>
          </w:p>
        </w:tc>
        <w:tc>
          <w:tcPr>
            <w:tcW w:w="1592" w:type="pct"/>
            <w:gridSpan w:val="2"/>
          </w:tcPr>
          <w:p w:rsidR="00641A7A" w:rsidRPr="00300294" w:rsidRDefault="00641A7A" w:rsidP="004A5E75">
            <w:pPr>
              <w:ind w:left="141"/>
              <w:jc w:val="both"/>
            </w:pPr>
            <w:r w:rsidRPr="00300294">
              <w:t>Nepieciešamie saistītie tiesību aktu projekti</w:t>
            </w:r>
          </w:p>
        </w:tc>
        <w:tc>
          <w:tcPr>
            <w:tcW w:w="3029" w:type="pct"/>
            <w:gridSpan w:val="4"/>
          </w:tcPr>
          <w:p w:rsidR="005C47BA" w:rsidRPr="005C47BA" w:rsidRDefault="008D2A7D" w:rsidP="005C47BA">
            <w:pPr>
              <w:pStyle w:val="BodyText2"/>
              <w:rPr>
                <w:bCs/>
                <w:sz w:val="24"/>
                <w:szCs w:val="24"/>
              </w:rPr>
            </w:pPr>
            <w:r w:rsidRPr="005C47BA">
              <w:rPr>
                <w:rFonts w:eastAsia="Calibri"/>
                <w:color w:val="000000"/>
                <w:sz w:val="24"/>
                <w:szCs w:val="24"/>
              </w:rPr>
              <w:t>Ministru kabineta noteikumu projekts attiecībā uz cilvēka orgānu izmantošanu medicīnā un dzīva cilvēka orgānu, kā arī miruša cilvēka ķermeņa izmantošanu medicīnas studijām, ar kuru tiks īstenots likuma „Par miruša cilvēka ķermeņa aizsardzību un cilvēka audu un orgānu izmantošanu medicīnā” 4</w:t>
            </w:r>
            <w:r w:rsidRPr="005C47BA">
              <w:rPr>
                <w:rFonts w:eastAsia="Calibri"/>
                <w:color w:val="000000"/>
                <w:sz w:val="24"/>
                <w:szCs w:val="24"/>
                <w:vertAlign w:val="superscript"/>
              </w:rPr>
              <w:t>1</w:t>
            </w:r>
            <w:r w:rsidRPr="005C47BA">
              <w:rPr>
                <w:rFonts w:eastAsia="Calibri"/>
                <w:color w:val="000000"/>
                <w:sz w:val="24"/>
                <w:szCs w:val="24"/>
              </w:rPr>
              <w:t>.panta ceturtajā daļā, 12.panta pirmās daļas 1. un 3.punktā un 14.panta 1. un 3.punktā dotais pilnvarojums Ministru kabinetam,</w:t>
            </w:r>
            <w:r w:rsidR="003833CB" w:rsidRPr="005C47BA">
              <w:rPr>
                <w:rFonts w:eastAsia="Calibri"/>
                <w:color w:val="000000"/>
                <w:sz w:val="24"/>
                <w:szCs w:val="24"/>
              </w:rPr>
              <w:t xml:space="preserve"> </w:t>
            </w:r>
            <w:r w:rsidR="00791247" w:rsidRPr="005C47BA">
              <w:rPr>
                <w:rFonts w:eastAsia="Calibri"/>
                <w:color w:val="000000"/>
                <w:sz w:val="24"/>
                <w:szCs w:val="24"/>
              </w:rPr>
              <w:t>izskatīts</w:t>
            </w:r>
            <w:r w:rsidR="003833CB" w:rsidRPr="005C47BA">
              <w:rPr>
                <w:rFonts w:eastAsia="Calibri"/>
                <w:color w:val="000000"/>
                <w:sz w:val="24"/>
                <w:szCs w:val="24"/>
              </w:rPr>
              <w:t xml:space="preserve"> v</w:t>
            </w:r>
            <w:r w:rsidRPr="005C47BA">
              <w:rPr>
                <w:rFonts w:eastAsia="Calibri"/>
                <w:color w:val="000000"/>
                <w:sz w:val="24"/>
                <w:szCs w:val="24"/>
              </w:rPr>
              <w:t>alsts sekretāru 2012.gada 22.</w:t>
            </w:r>
            <w:r w:rsidRPr="005C47BA">
              <w:rPr>
                <w:rFonts w:eastAsia="Calibri"/>
                <w:sz w:val="24"/>
                <w:szCs w:val="24"/>
              </w:rPr>
              <w:t>novembra sanāksmē</w:t>
            </w:r>
            <w:r w:rsidR="00791247" w:rsidRPr="005C47BA">
              <w:rPr>
                <w:rFonts w:eastAsia="Calibri"/>
                <w:sz w:val="24"/>
                <w:szCs w:val="24"/>
              </w:rPr>
              <w:t xml:space="preserve"> (protokols Nr.47, 17.§, VSS-1187, ”</w:t>
            </w:r>
            <w:r w:rsidR="00791247" w:rsidRPr="005C47BA">
              <w:rPr>
                <w:sz w:val="24"/>
                <w:szCs w:val="24"/>
              </w:rPr>
              <w:t xml:space="preserve"> Noteikumi par cilvēka orgānu izmantošanu medicīnā, kā arī cilvēka orgānu un miruša cilvēka ķermeņa izmantošanu medicīnas studijām</w:t>
            </w:r>
            <w:r w:rsidR="00791247" w:rsidRPr="005C47BA">
              <w:rPr>
                <w:rFonts w:eastAsia="Calibri"/>
                <w:sz w:val="24"/>
                <w:szCs w:val="24"/>
              </w:rPr>
              <w:t xml:space="preserve">”). </w:t>
            </w:r>
            <w:r w:rsidR="00791247" w:rsidRPr="005C47BA">
              <w:rPr>
                <w:rFonts w:eastAsia="Calibri"/>
                <w:color w:val="000000"/>
                <w:sz w:val="24"/>
                <w:szCs w:val="24"/>
              </w:rPr>
              <w:t>Ministru kabineta noteikumu projekts attiecībā uz au</w:t>
            </w:r>
            <w:r w:rsidR="005C47BA" w:rsidRPr="005C47BA">
              <w:rPr>
                <w:rFonts w:eastAsia="Calibri"/>
                <w:color w:val="000000"/>
                <w:sz w:val="24"/>
                <w:szCs w:val="24"/>
              </w:rPr>
              <w:t xml:space="preserve">du un šūnu izmantošanu medicīnā, ar kuru tiks īstenots likuma </w:t>
            </w:r>
            <w:r w:rsidR="005C47BA" w:rsidRPr="005C47BA">
              <w:rPr>
                <w:bCs/>
                <w:sz w:val="24"/>
                <w:szCs w:val="24"/>
              </w:rPr>
              <w:t>„Par miruša cilvēka ķermeņa aizsardzību</w:t>
            </w:r>
            <w:r w:rsidR="005C47BA">
              <w:rPr>
                <w:bCs/>
                <w:sz w:val="24"/>
                <w:szCs w:val="24"/>
              </w:rPr>
              <w:t xml:space="preserve"> </w:t>
            </w:r>
            <w:r w:rsidR="005C47BA" w:rsidRPr="005C47BA">
              <w:rPr>
                <w:bCs/>
                <w:sz w:val="24"/>
                <w:szCs w:val="24"/>
              </w:rPr>
              <w:t xml:space="preserve">un cilvēka audu un orgānu izmantošanu medicīnā” </w:t>
            </w:r>
            <w:r w:rsidR="005C47BA" w:rsidRPr="005C47BA">
              <w:rPr>
                <w:sz w:val="24"/>
                <w:szCs w:val="24"/>
              </w:rPr>
              <w:t>4</w:t>
            </w:r>
            <w:r w:rsidR="005C47BA" w:rsidRPr="005C47BA">
              <w:rPr>
                <w:sz w:val="24"/>
                <w:szCs w:val="24"/>
                <w:vertAlign w:val="superscript"/>
              </w:rPr>
              <w:t>1</w:t>
            </w:r>
            <w:r w:rsidR="005C47BA" w:rsidRPr="005C47BA">
              <w:rPr>
                <w:sz w:val="24"/>
                <w:szCs w:val="24"/>
              </w:rPr>
              <w:t>.</w:t>
            </w:r>
            <w:r w:rsidR="005C47BA">
              <w:rPr>
                <w:sz w:val="24"/>
                <w:szCs w:val="24"/>
              </w:rPr>
              <w:t>panta ceturtajā daļā</w:t>
            </w:r>
            <w:r w:rsidR="005C47BA" w:rsidRPr="005C47BA">
              <w:rPr>
                <w:sz w:val="24"/>
                <w:szCs w:val="24"/>
              </w:rPr>
              <w:t>,</w:t>
            </w:r>
          </w:p>
          <w:p w:rsidR="00791247" w:rsidRPr="005C47BA" w:rsidRDefault="005C47BA" w:rsidP="005C47BA">
            <w:pPr>
              <w:pStyle w:val="BodyText2"/>
              <w:rPr>
                <w:sz w:val="24"/>
                <w:szCs w:val="24"/>
              </w:rPr>
            </w:pPr>
            <w:r w:rsidRPr="005C47BA">
              <w:rPr>
                <w:sz w:val="24"/>
                <w:szCs w:val="24"/>
              </w:rPr>
              <w:t xml:space="preserve">12.panta </w:t>
            </w:r>
            <w:r>
              <w:rPr>
                <w:sz w:val="24"/>
                <w:szCs w:val="24"/>
              </w:rPr>
              <w:t>pirmās daļas 2.punktā</w:t>
            </w:r>
            <w:r w:rsidRPr="005C47BA">
              <w:rPr>
                <w:sz w:val="24"/>
                <w:szCs w:val="24"/>
              </w:rPr>
              <w:t xml:space="preserve"> un</w:t>
            </w:r>
            <w:r>
              <w:rPr>
                <w:sz w:val="24"/>
                <w:szCs w:val="24"/>
              </w:rPr>
              <w:t xml:space="preserve">14.panta 2.punktā </w:t>
            </w:r>
            <w:r w:rsidRPr="005C47BA">
              <w:rPr>
                <w:rFonts w:eastAsia="Calibri"/>
                <w:color w:val="000000"/>
                <w:sz w:val="24"/>
                <w:szCs w:val="24"/>
              </w:rPr>
              <w:t>dotais pilnvarojums Ministru kabinetam</w:t>
            </w:r>
            <w:r>
              <w:rPr>
                <w:rFonts w:eastAsia="Calibri"/>
                <w:color w:val="000000"/>
                <w:sz w:val="24"/>
                <w:szCs w:val="24"/>
              </w:rPr>
              <w:t xml:space="preserve">, </w:t>
            </w:r>
            <w:r w:rsidRPr="005C47BA">
              <w:rPr>
                <w:rFonts w:eastAsia="Calibri"/>
                <w:color w:val="000000"/>
                <w:sz w:val="24"/>
                <w:szCs w:val="24"/>
              </w:rPr>
              <w:t>izskatīts v</w:t>
            </w:r>
            <w:r>
              <w:rPr>
                <w:rFonts w:eastAsia="Calibri"/>
                <w:color w:val="000000"/>
                <w:sz w:val="24"/>
                <w:szCs w:val="24"/>
              </w:rPr>
              <w:t>alsts sekretāru 2012.gada 1</w:t>
            </w:r>
            <w:r w:rsidRPr="005C47BA">
              <w:rPr>
                <w:rFonts w:eastAsia="Calibri"/>
                <w:color w:val="000000"/>
                <w:sz w:val="24"/>
                <w:szCs w:val="24"/>
              </w:rPr>
              <w:t>.</w:t>
            </w:r>
            <w:r w:rsidRPr="005C47BA">
              <w:rPr>
                <w:rFonts w:eastAsia="Calibri"/>
                <w:sz w:val="24"/>
                <w:szCs w:val="24"/>
              </w:rPr>
              <w:t>novembra sanāksmē</w:t>
            </w:r>
            <w:r>
              <w:rPr>
                <w:rFonts w:eastAsia="Calibri"/>
                <w:sz w:val="24"/>
                <w:szCs w:val="24"/>
              </w:rPr>
              <w:t xml:space="preserve"> (protokols Nr.44, 15.§, VSS-1089 </w:t>
            </w:r>
            <w:r w:rsidR="00791247" w:rsidRPr="005C47BA">
              <w:rPr>
                <w:bCs/>
                <w:sz w:val="24"/>
                <w:szCs w:val="24"/>
              </w:rPr>
              <w:t>„Cilvēka audu un šūnu izmantošanas kārtība”</w:t>
            </w:r>
            <w:r>
              <w:rPr>
                <w:bCs/>
                <w:sz w:val="24"/>
                <w:szCs w:val="24"/>
              </w:rPr>
              <w:t>).</w:t>
            </w:r>
            <w:r w:rsidR="00791247" w:rsidRPr="005C47BA">
              <w:rPr>
                <w:bCs/>
                <w:sz w:val="24"/>
                <w:szCs w:val="24"/>
              </w:rPr>
              <w:t xml:space="preserve"> </w:t>
            </w:r>
          </w:p>
          <w:p w:rsidR="008D2A7D" w:rsidRDefault="003833CB" w:rsidP="005C47BA">
            <w:pPr>
              <w:ind w:right="141"/>
              <w:jc w:val="both"/>
              <w:rPr>
                <w:rFonts w:eastAsia="Calibri"/>
                <w:color w:val="000000"/>
                <w:lang w:eastAsia="en-US"/>
              </w:rPr>
            </w:pPr>
            <w:r>
              <w:rPr>
                <w:rFonts w:eastAsia="Calibri"/>
                <w:color w:val="000000"/>
                <w:lang w:eastAsia="en-US"/>
              </w:rPr>
              <w:t xml:space="preserve">Veselības ministrija </w:t>
            </w:r>
            <w:r w:rsidR="00FE0975">
              <w:rPr>
                <w:rFonts w:eastAsia="Calibri"/>
                <w:color w:val="000000"/>
                <w:lang w:eastAsia="en-US"/>
              </w:rPr>
              <w:t xml:space="preserve">atbilstoši Farmācijas likuma 5.panta 24.punktā dotajam deleģējumam </w:t>
            </w:r>
            <w:r>
              <w:rPr>
                <w:rFonts w:eastAsia="Calibri"/>
                <w:color w:val="000000"/>
                <w:lang w:eastAsia="en-US"/>
              </w:rPr>
              <w:t>ir izstrādājusi Ministru kabineta noteikumu projektu „</w:t>
            </w:r>
            <w:r w:rsidR="00FE0975">
              <w:rPr>
                <w:rFonts w:eastAsia="Calibri"/>
                <w:color w:val="000000"/>
                <w:lang w:eastAsia="en-US"/>
              </w:rPr>
              <w:t xml:space="preserve">Farmakovigilances kārtība” (2012.gada 24.maija protokols Nr.21, 18.§, VSS-512), šobrīd ir saskaņots ar ministrijām un </w:t>
            </w:r>
            <w:r w:rsidR="003E43A4">
              <w:rPr>
                <w:rFonts w:eastAsia="Calibri"/>
                <w:color w:val="000000"/>
                <w:lang w:eastAsia="en-US"/>
              </w:rPr>
              <w:t>iesniegts</w:t>
            </w:r>
            <w:r w:rsidR="00FE0975">
              <w:rPr>
                <w:rFonts w:eastAsia="Calibri"/>
                <w:color w:val="000000"/>
                <w:lang w:eastAsia="en-US"/>
              </w:rPr>
              <w:t xml:space="preserve"> izskatīšanai Ministru kabineta sēdē.</w:t>
            </w:r>
          </w:p>
          <w:p w:rsidR="005C47BA" w:rsidRPr="00FE0975" w:rsidRDefault="005C47BA" w:rsidP="005C47BA">
            <w:pPr>
              <w:ind w:right="141"/>
              <w:jc w:val="both"/>
              <w:rPr>
                <w:rFonts w:eastAsia="Calibri"/>
                <w:color w:val="000000"/>
                <w:lang w:eastAsia="en-US"/>
              </w:rPr>
            </w:pPr>
            <w:r>
              <w:rPr>
                <w:rFonts w:eastAsia="Calibri"/>
                <w:color w:val="000000"/>
                <w:lang w:eastAsia="en-US"/>
              </w:rPr>
              <w:t>Veselības ministrija ir atbildīgā par minēto normatīvo aktu projektu izstrādi.</w:t>
            </w:r>
          </w:p>
        </w:tc>
      </w:tr>
      <w:tr w:rsidR="00641A7A" w:rsidRPr="008D2A7D" w:rsidTr="00FE0975">
        <w:tc>
          <w:tcPr>
            <w:tcW w:w="379" w:type="pct"/>
          </w:tcPr>
          <w:p w:rsidR="00641A7A" w:rsidRPr="008D2A7D" w:rsidRDefault="00641A7A" w:rsidP="004A5E75">
            <w:pPr>
              <w:jc w:val="center"/>
            </w:pPr>
            <w:r w:rsidRPr="008D2A7D">
              <w:t>2.</w:t>
            </w:r>
          </w:p>
        </w:tc>
        <w:tc>
          <w:tcPr>
            <w:tcW w:w="1592" w:type="pct"/>
            <w:gridSpan w:val="2"/>
          </w:tcPr>
          <w:p w:rsidR="00641A7A" w:rsidRPr="008D2A7D" w:rsidRDefault="00641A7A" w:rsidP="004A5E75">
            <w:pPr>
              <w:ind w:left="141"/>
              <w:jc w:val="both"/>
            </w:pPr>
            <w:r w:rsidRPr="008D2A7D">
              <w:t>Cita informācija</w:t>
            </w:r>
          </w:p>
        </w:tc>
        <w:tc>
          <w:tcPr>
            <w:tcW w:w="3029" w:type="pct"/>
            <w:gridSpan w:val="4"/>
          </w:tcPr>
          <w:p w:rsidR="00641A7A" w:rsidRPr="008D2A7D" w:rsidRDefault="00641A7A" w:rsidP="00BD5885">
            <w:pPr>
              <w:ind w:left="142" w:right="141"/>
              <w:jc w:val="both"/>
            </w:pPr>
            <w:r w:rsidRPr="008D2A7D">
              <w:t xml:space="preserve">Ar noteikumu projekta spēkā stāšanos spēku zaudēs </w:t>
            </w:r>
            <w:r w:rsidR="008D2A7D" w:rsidRPr="008D2A7D">
              <w:rPr>
                <w:lang w:eastAsia="en-US"/>
              </w:rPr>
              <w:t>noteikumi Nr.61.</w:t>
            </w:r>
          </w:p>
        </w:tc>
      </w:tr>
      <w:tr w:rsidR="00641A7A" w:rsidRPr="003A7756" w:rsidTr="00FE0975">
        <w:tblPrEx>
          <w:tblCellMar>
            <w:left w:w="108" w:type="dxa"/>
            <w:right w:w="108" w:type="dxa"/>
          </w:tblCellMar>
          <w:tblLook w:val="01E0"/>
        </w:tblPrEx>
        <w:tc>
          <w:tcPr>
            <w:tcW w:w="5000" w:type="pct"/>
            <w:gridSpan w:val="7"/>
          </w:tcPr>
          <w:p w:rsidR="00641A7A" w:rsidRPr="003A7756" w:rsidRDefault="00641A7A" w:rsidP="004A5E75">
            <w:pPr>
              <w:jc w:val="center"/>
              <w:rPr>
                <w:b/>
              </w:rPr>
            </w:pPr>
            <w:r w:rsidRPr="003A7756">
              <w:rPr>
                <w:b/>
              </w:rPr>
              <w:lastRenderedPageBreak/>
              <w:t xml:space="preserve">V. Tiesību </w:t>
            </w:r>
            <w:smartTag w:uri="schemas-tilde-lv/tildestengine" w:element="veidnes">
              <w:smartTagPr>
                <w:attr w:name="baseform" w:val="akt|s"/>
                <w:attr w:name="id" w:val="-1"/>
                <w:attr w:name="text" w:val="akta"/>
              </w:smartTagPr>
              <w:r w:rsidRPr="003A7756">
                <w:rPr>
                  <w:b/>
                </w:rPr>
                <w:t>akta</w:t>
              </w:r>
            </w:smartTag>
            <w:r w:rsidRPr="003A7756">
              <w:rPr>
                <w:b/>
              </w:rPr>
              <w:t xml:space="preserve"> projekta atbilstība Latvijas Republikas starptautiskajām saistībām </w:t>
            </w:r>
          </w:p>
        </w:tc>
      </w:tr>
      <w:tr w:rsidR="00641A7A" w:rsidRPr="003A7756" w:rsidTr="00FE0975">
        <w:tblPrEx>
          <w:tblCellMar>
            <w:left w:w="108" w:type="dxa"/>
            <w:right w:w="108" w:type="dxa"/>
          </w:tblCellMar>
          <w:tblLook w:val="01E0"/>
        </w:tblPrEx>
        <w:tc>
          <w:tcPr>
            <w:tcW w:w="379" w:type="pct"/>
          </w:tcPr>
          <w:p w:rsidR="00641A7A" w:rsidRPr="003A7756" w:rsidRDefault="00641A7A" w:rsidP="004A5E75">
            <w:r w:rsidRPr="003A7756">
              <w:t xml:space="preserve">1. </w:t>
            </w:r>
          </w:p>
        </w:tc>
        <w:tc>
          <w:tcPr>
            <w:tcW w:w="1592" w:type="pct"/>
            <w:gridSpan w:val="2"/>
          </w:tcPr>
          <w:p w:rsidR="00641A7A" w:rsidRPr="003A7756" w:rsidRDefault="00641A7A" w:rsidP="004A5E75">
            <w:pPr>
              <w:jc w:val="both"/>
            </w:pPr>
            <w:r w:rsidRPr="003A7756">
              <w:t xml:space="preserve">Saistības pret Eiropas Savienību </w:t>
            </w:r>
          </w:p>
        </w:tc>
        <w:tc>
          <w:tcPr>
            <w:tcW w:w="3029" w:type="pct"/>
            <w:gridSpan w:val="4"/>
          </w:tcPr>
          <w:p w:rsidR="00641A7A" w:rsidRPr="003A7756" w:rsidRDefault="00641A7A" w:rsidP="004A5E75">
            <w:pPr>
              <w:jc w:val="both"/>
            </w:pPr>
            <w:r w:rsidRPr="003A7756">
              <w:t xml:space="preserve">Eiropas Parlamenta un Padomes 2010.gada 7.jūlija direktīva 2010/53/ES par transplantācijai paredzētu cilvēka orgānu kvalitātes un drošības standartiem. </w:t>
            </w:r>
          </w:p>
        </w:tc>
      </w:tr>
      <w:tr w:rsidR="00641A7A" w:rsidRPr="003A7756" w:rsidTr="00FE0975">
        <w:tblPrEx>
          <w:tblCellMar>
            <w:left w:w="108" w:type="dxa"/>
            <w:right w:w="108" w:type="dxa"/>
          </w:tblCellMar>
          <w:tblLook w:val="01E0"/>
        </w:tblPrEx>
        <w:tc>
          <w:tcPr>
            <w:tcW w:w="379" w:type="pct"/>
          </w:tcPr>
          <w:p w:rsidR="00641A7A" w:rsidRPr="003A7756" w:rsidRDefault="00641A7A" w:rsidP="004A5E75">
            <w:r w:rsidRPr="003A7756">
              <w:t xml:space="preserve">2. </w:t>
            </w:r>
          </w:p>
        </w:tc>
        <w:tc>
          <w:tcPr>
            <w:tcW w:w="1592" w:type="pct"/>
            <w:gridSpan w:val="2"/>
          </w:tcPr>
          <w:p w:rsidR="00641A7A" w:rsidRPr="003A7756" w:rsidRDefault="00641A7A" w:rsidP="004A5E75">
            <w:pPr>
              <w:jc w:val="both"/>
            </w:pPr>
            <w:r w:rsidRPr="003A7756">
              <w:t>Citas starptautiskās saistības</w:t>
            </w:r>
          </w:p>
        </w:tc>
        <w:tc>
          <w:tcPr>
            <w:tcW w:w="3029" w:type="pct"/>
            <w:gridSpan w:val="4"/>
          </w:tcPr>
          <w:p w:rsidR="00641A7A" w:rsidRPr="003A7756" w:rsidRDefault="00641A7A" w:rsidP="004A5E75">
            <w:pPr>
              <w:jc w:val="both"/>
            </w:pPr>
            <w:r>
              <w:t>P</w:t>
            </w:r>
            <w:r w:rsidRPr="003A7756">
              <w:t xml:space="preserve">rojekts šo jomu neskar </w:t>
            </w:r>
          </w:p>
        </w:tc>
      </w:tr>
      <w:tr w:rsidR="00641A7A" w:rsidRPr="003A7756" w:rsidTr="00FE0975">
        <w:tblPrEx>
          <w:tblCellMar>
            <w:left w:w="108" w:type="dxa"/>
            <w:right w:w="108" w:type="dxa"/>
          </w:tblCellMar>
          <w:tblLook w:val="01E0"/>
        </w:tblPrEx>
        <w:tc>
          <w:tcPr>
            <w:tcW w:w="379" w:type="pct"/>
          </w:tcPr>
          <w:p w:rsidR="00641A7A" w:rsidRPr="003A7756" w:rsidRDefault="00641A7A" w:rsidP="004A5E75">
            <w:r w:rsidRPr="003A7756">
              <w:t>3.</w:t>
            </w:r>
          </w:p>
        </w:tc>
        <w:tc>
          <w:tcPr>
            <w:tcW w:w="1592" w:type="pct"/>
            <w:gridSpan w:val="2"/>
          </w:tcPr>
          <w:p w:rsidR="00641A7A" w:rsidRPr="003A7756" w:rsidRDefault="00641A7A" w:rsidP="004A5E75">
            <w:pPr>
              <w:jc w:val="both"/>
            </w:pPr>
            <w:r w:rsidRPr="003A7756">
              <w:t xml:space="preserve">Cita informācija </w:t>
            </w:r>
          </w:p>
        </w:tc>
        <w:tc>
          <w:tcPr>
            <w:tcW w:w="3029" w:type="pct"/>
            <w:gridSpan w:val="4"/>
          </w:tcPr>
          <w:p w:rsidR="00641A7A" w:rsidRPr="003A7756" w:rsidRDefault="00641A7A" w:rsidP="00FE0975">
            <w:pPr>
              <w:pStyle w:val="NormalWeb"/>
              <w:jc w:val="both"/>
            </w:pPr>
            <w:r>
              <w:t xml:space="preserve">Saskaņā ar </w:t>
            </w:r>
            <w:r w:rsidRPr="003A7756">
              <w:t>Eiropas Parlamenta un Pado</w:t>
            </w:r>
            <w:r>
              <w:t>mes 2010.gada 7.jūlija direktīvas</w:t>
            </w:r>
            <w:r w:rsidRPr="003A7756">
              <w:t xml:space="preserve"> 2010/53/ES par transplantācijai paredzētu cilvēka orgānu kvalitātes un drošības standartiem</w:t>
            </w:r>
            <w:r>
              <w:t xml:space="preserve"> Ieguves organizācijas 5.pantu dalībvalstis nodrošina, ka ieguve notiek ieguves organizācijās vai ka ieguvi veic ieguves organizācijas, kuras atbilst šajā direktīvā paredzē</w:t>
            </w:r>
            <w:r w:rsidR="003756E6">
              <w:t xml:space="preserve">tajiem noteikumiem. Direktīvas </w:t>
            </w:r>
            <w:r>
              <w:t>9.pants paredz, ka dalībvalstis nodrošina, ka transplantācija notiek transplantācijas centros vai arī to veic transplantācijas centri, kuri atbilst šajā direktīvā paredzētajiem noteikumiem. No augstāk</w:t>
            </w:r>
            <w:r w:rsidR="00FE0975">
              <w:t xml:space="preserve"> </w:t>
            </w:r>
            <w:r>
              <w:t>minētā izriet, ka aģentūra veic atbilstības novērtēšanu gan ieguves (ieguves organizāciju), gan izmantošanas (transplantācijas organizāciju) vietām.</w:t>
            </w:r>
          </w:p>
        </w:tc>
      </w:tr>
      <w:tr w:rsidR="00641A7A" w:rsidRPr="003A7756" w:rsidTr="00FE0975">
        <w:tblPrEx>
          <w:tblCellMar>
            <w:left w:w="108" w:type="dxa"/>
            <w:right w:w="108" w:type="dxa"/>
          </w:tblCellMar>
          <w:tblLook w:val="01E0"/>
        </w:tblPrEx>
        <w:tc>
          <w:tcPr>
            <w:tcW w:w="5000" w:type="pct"/>
            <w:gridSpan w:val="7"/>
          </w:tcPr>
          <w:p w:rsidR="00641A7A" w:rsidRPr="003A7756" w:rsidRDefault="00641A7A" w:rsidP="004A5E75">
            <w:pPr>
              <w:jc w:val="center"/>
              <w:rPr>
                <w:b/>
                <w:color w:val="000000"/>
              </w:rPr>
            </w:pPr>
            <w:r w:rsidRPr="003A7756">
              <w:rPr>
                <w:b/>
                <w:color w:val="000000"/>
              </w:rPr>
              <w:t>1.tabula</w:t>
            </w:r>
          </w:p>
          <w:p w:rsidR="00641A7A" w:rsidRPr="003A7756" w:rsidRDefault="00641A7A" w:rsidP="004A5E75">
            <w:pPr>
              <w:jc w:val="center"/>
              <w:rPr>
                <w:b/>
                <w:color w:val="000000"/>
              </w:rPr>
            </w:pPr>
            <w:r w:rsidRPr="003A7756">
              <w:rPr>
                <w:b/>
                <w:color w:val="000000"/>
              </w:rPr>
              <w:t xml:space="preserve">Tiesību akta projekta atbilstība ES tiesību aktiem </w:t>
            </w:r>
          </w:p>
        </w:tc>
      </w:tr>
      <w:tr w:rsidR="00641A7A" w:rsidRPr="003A7756" w:rsidTr="00FE0975">
        <w:tblPrEx>
          <w:tblCellMar>
            <w:left w:w="108" w:type="dxa"/>
            <w:right w:w="108" w:type="dxa"/>
          </w:tblCellMar>
          <w:tblLook w:val="01E0"/>
        </w:tblPrEx>
        <w:tc>
          <w:tcPr>
            <w:tcW w:w="1214" w:type="pct"/>
            <w:gridSpan w:val="2"/>
          </w:tcPr>
          <w:p w:rsidR="00641A7A" w:rsidRPr="003A7756" w:rsidRDefault="00641A7A" w:rsidP="004A5E75">
            <w:pPr>
              <w:jc w:val="both"/>
              <w:rPr>
                <w:color w:val="000000"/>
              </w:rPr>
            </w:pPr>
            <w:r w:rsidRPr="003A7756">
              <w:rPr>
                <w:color w:val="000000"/>
              </w:rPr>
              <w:t>Attiecīgā ES tiesību akta datums, numurs un nosaukums</w:t>
            </w:r>
          </w:p>
        </w:tc>
        <w:tc>
          <w:tcPr>
            <w:tcW w:w="3786" w:type="pct"/>
            <w:gridSpan w:val="5"/>
          </w:tcPr>
          <w:p w:rsidR="00641A7A" w:rsidRPr="003A7756" w:rsidRDefault="00641A7A" w:rsidP="004A5E75">
            <w:pPr>
              <w:ind w:firstLine="176"/>
              <w:jc w:val="both"/>
              <w:rPr>
                <w:color w:val="000000"/>
              </w:rPr>
            </w:pPr>
            <w:r w:rsidRPr="003A7756">
              <w:rPr>
                <w:color w:val="000000"/>
              </w:rPr>
              <w:t>Eiropas Parlamenta un Padomes 2010.gada 7.jūlija direktīva 2010/53/ES par transplantācijai paredzētu cilvēka orgānu kvalitātes un drošības standartiem</w:t>
            </w:r>
          </w:p>
        </w:tc>
      </w:tr>
      <w:tr w:rsidR="00641A7A" w:rsidRPr="003A7756" w:rsidTr="00FE0975">
        <w:tblPrEx>
          <w:tblCellMar>
            <w:left w:w="108" w:type="dxa"/>
            <w:right w:w="108" w:type="dxa"/>
          </w:tblCellMar>
          <w:tblLook w:val="01E0"/>
        </w:tblPrEx>
        <w:tc>
          <w:tcPr>
            <w:tcW w:w="1214" w:type="pct"/>
            <w:gridSpan w:val="2"/>
            <w:vAlign w:val="center"/>
          </w:tcPr>
          <w:p w:rsidR="00641A7A" w:rsidRPr="003A7756" w:rsidRDefault="00641A7A" w:rsidP="004A5E75">
            <w:pPr>
              <w:ind w:firstLine="176"/>
              <w:jc w:val="center"/>
              <w:rPr>
                <w:color w:val="000000"/>
              </w:rPr>
            </w:pPr>
            <w:r w:rsidRPr="003A7756">
              <w:rPr>
                <w:color w:val="000000"/>
              </w:rPr>
              <w:t>A</w:t>
            </w:r>
          </w:p>
        </w:tc>
        <w:tc>
          <w:tcPr>
            <w:tcW w:w="1290" w:type="pct"/>
            <w:gridSpan w:val="3"/>
            <w:vAlign w:val="center"/>
          </w:tcPr>
          <w:p w:rsidR="00641A7A" w:rsidRPr="003A7756" w:rsidRDefault="00641A7A" w:rsidP="004A5E75">
            <w:pPr>
              <w:ind w:firstLine="176"/>
              <w:jc w:val="center"/>
              <w:rPr>
                <w:color w:val="000000"/>
              </w:rPr>
            </w:pPr>
            <w:r w:rsidRPr="003A7756">
              <w:rPr>
                <w:color w:val="000000"/>
              </w:rPr>
              <w:t>B</w:t>
            </w:r>
          </w:p>
        </w:tc>
        <w:tc>
          <w:tcPr>
            <w:tcW w:w="1251" w:type="pct"/>
            <w:vAlign w:val="center"/>
          </w:tcPr>
          <w:p w:rsidR="00641A7A" w:rsidRPr="003A7756" w:rsidRDefault="00641A7A" w:rsidP="004A5E75">
            <w:pPr>
              <w:ind w:firstLine="176"/>
              <w:jc w:val="center"/>
              <w:rPr>
                <w:color w:val="000000"/>
              </w:rPr>
            </w:pPr>
            <w:r w:rsidRPr="003A7756">
              <w:rPr>
                <w:color w:val="000000"/>
              </w:rPr>
              <w:t>C</w:t>
            </w:r>
          </w:p>
        </w:tc>
        <w:tc>
          <w:tcPr>
            <w:tcW w:w="1246" w:type="pct"/>
            <w:vAlign w:val="center"/>
          </w:tcPr>
          <w:p w:rsidR="00641A7A" w:rsidRPr="003A7756" w:rsidRDefault="00641A7A" w:rsidP="004A5E75">
            <w:pPr>
              <w:ind w:firstLine="176"/>
              <w:jc w:val="center"/>
              <w:rPr>
                <w:color w:val="000000"/>
              </w:rPr>
            </w:pPr>
            <w:r w:rsidRPr="003A7756">
              <w:rPr>
                <w:color w:val="000000"/>
              </w:rPr>
              <w:t>D</w:t>
            </w:r>
          </w:p>
        </w:tc>
      </w:tr>
      <w:tr w:rsidR="00641A7A" w:rsidRPr="003A7756" w:rsidTr="00FE0975">
        <w:tblPrEx>
          <w:tblCellMar>
            <w:left w:w="108" w:type="dxa"/>
            <w:right w:w="108" w:type="dxa"/>
          </w:tblCellMar>
          <w:tblLook w:val="01E0"/>
        </w:tblPrEx>
        <w:tc>
          <w:tcPr>
            <w:tcW w:w="1214" w:type="pct"/>
            <w:gridSpan w:val="2"/>
          </w:tcPr>
          <w:p w:rsidR="00641A7A" w:rsidRPr="003A7756" w:rsidRDefault="00641A7A" w:rsidP="004A5E75">
            <w:pPr>
              <w:jc w:val="both"/>
              <w:rPr>
                <w:color w:val="000000"/>
              </w:rPr>
            </w:pPr>
            <w:r>
              <w:rPr>
                <w:color w:val="000000"/>
              </w:rPr>
              <w:t>Direktīvas 5.panta 1.punkts</w:t>
            </w:r>
          </w:p>
        </w:tc>
        <w:tc>
          <w:tcPr>
            <w:tcW w:w="1290" w:type="pct"/>
            <w:gridSpan w:val="3"/>
          </w:tcPr>
          <w:p w:rsidR="00641A7A" w:rsidRPr="003A7756" w:rsidRDefault="00641A7A" w:rsidP="004A5E75">
            <w:pPr>
              <w:jc w:val="both"/>
              <w:rPr>
                <w:color w:val="000000"/>
              </w:rPr>
            </w:pPr>
            <w:r>
              <w:rPr>
                <w:color w:val="000000"/>
              </w:rPr>
              <w:t>Noteikumu projekta</w:t>
            </w:r>
            <w:r w:rsidR="00BD5885">
              <w:rPr>
                <w:color w:val="000000"/>
              </w:rPr>
              <w:t xml:space="preserve"> pielikuma </w:t>
            </w:r>
            <w:r>
              <w:rPr>
                <w:color w:val="000000"/>
              </w:rPr>
              <w:t>69.2.apakšpunkts</w:t>
            </w:r>
          </w:p>
        </w:tc>
        <w:tc>
          <w:tcPr>
            <w:tcW w:w="1251" w:type="pct"/>
          </w:tcPr>
          <w:p w:rsidR="00641A7A" w:rsidRPr="003A7756" w:rsidRDefault="00641A7A" w:rsidP="004A5E75">
            <w:pPr>
              <w:jc w:val="both"/>
              <w:rPr>
                <w:color w:val="000000"/>
              </w:rPr>
            </w:pPr>
            <w:r>
              <w:rPr>
                <w:color w:val="000000"/>
              </w:rPr>
              <w:t>Prasības ieviestas pilnībā</w:t>
            </w:r>
          </w:p>
        </w:tc>
        <w:tc>
          <w:tcPr>
            <w:tcW w:w="1246" w:type="pct"/>
          </w:tcPr>
          <w:p w:rsidR="00641A7A" w:rsidRPr="003A7756" w:rsidRDefault="00641A7A" w:rsidP="004A5E75">
            <w:pPr>
              <w:jc w:val="both"/>
              <w:rPr>
                <w:color w:val="000000"/>
              </w:rPr>
            </w:pPr>
            <w:r>
              <w:rPr>
                <w:color w:val="000000"/>
              </w:rPr>
              <w:t>Stingrākas prasības neparedz</w:t>
            </w:r>
          </w:p>
        </w:tc>
      </w:tr>
      <w:tr w:rsidR="00641A7A" w:rsidRPr="003A7756" w:rsidTr="00FE0975">
        <w:tblPrEx>
          <w:tblCellMar>
            <w:left w:w="108" w:type="dxa"/>
            <w:right w:w="108" w:type="dxa"/>
          </w:tblCellMar>
          <w:tblLook w:val="01E0"/>
        </w:tblPrEx>
        <w:tc>
          <w:tcPr>
            <w:tcW w:w="1214" w:type="pct"/>
            <w:gridSpan w:val="2"/>
          </w:tcPr>
          <w:p w:rsidR="00641A7A" w:rsidRPr="003A7756" w:rsidRDefault="00641A7A" w:rsidP="004A5E75">
            <w:pPr>
              <w:jc w:val="both"/>
              <w:rPr>
                <w:color w:val="000000"/>
              </w:rPr>
            </w:pPr>
            <w:r>
              <w:rPr>
                <w:color w:val="000000"/>
              </w:rPr>
              <w:t>Direktīvas 9.panta 1.punkts</w:t>
            </w:r>
          </w:p>
        </w:tc>
        <w:tc>
          <w:tcPr>
            <w:tcW w:w="1290" w:type="pct"/>
            <w:gridSpan w:val="3"/>
          </w:tcPr>
          <w:p w:rsidR="00641A7A" w:rsidRPr="003A7756" w:rsidRDefault="00641A7A" w:rsidP="004A5E75">
            <w:pPr>
              <w:jc w:val="both"/>
              <w:rPr>
                <w:color w:val="000000"/>
              </w:rPr>
            </w:pPr>
            <w:r>
              <w:rPr>
                <w:color w:val="000000"/>
              </w:rPr>
              <w:t>Noteikumu projekta</w:t>
            </w:r>
            <w:r w:rsidR="00BD5885">
              <w:rPr>
                <w:color w:val="000000"/>
              </w:rPr>
              <w:t xml:space="preserve"> pielikuma</w:t>
            </w:r>
            <w:r>
              <w:rPr>
                <w:color w:val="000000"/>
              </w:rPr>
              <w:t xml:space="preserve"> 69.2.apakšpunkts</w:t>
            </w:r>
          </w:p>
        </w:tc>
        <w:tc>
          <w:tcPr>
            <w:tcW w:w="1251" w:type="pct"/>
          </w:tcPr>
          <w:p w:rsidR="00641A7A" w:rsidRPr="003A7756" w:rsidRDefault="00641A7A" w:rsidP="004A5E75">
            <w:pPr>
              <w:jc w:val="both"/>
              <w:rPr>
                <w:color w:val="000000"/>
              </w:rPr>
            </w:pPr>
            <w:r>
              <w:rPr>
                <w:color w:val="000000"/>
              </w:rPr>
              <w:t>Prasības ieviestas pilnībā</w:t>
            </w:r>
          </w:p>
        </w:tc>
        <w:tc>
          <w:tcPr>
            <w:tcW w:w="1246" w:type="pct"/>
          </w:tcPr>
          <w:p w:rsidR="00641A7A" w:rsidRPr="003A7756" w:rsidRDefault="00641A7A" w:rsidP="004A5E75">
            <w:pPr>
              <w:jc w:val="both"/>
              <w:rPr>
                <w:color w:val="000000"/>
              </w:rPr>
            </w:pPr>
            <w:r>
              <w:rPr>
                <w:color w:val="000000"/>
              </w:rPr>
              <w:t>Stingrākas prasības neparedz</w:t>
            </w:r>
          </w:p>
        </w:tc>
      </w:tr>
      <w:tr w:rsidR="00641A7A" w:rsidRPr="003A7756" w:rsidTr="00FE0975">
        <w:tblPrEx>
          <w:tblCellMar>
            <w:left w:w="108" w:type="dxa"/>
            <w:right w:w="108" w:type="dxa"/>
          </w:tblCellMar>
          <w:tblLook w:val="01E0"/>
        </w:tblPrEx>
        <w:tc>
          <w:tcPr>
            <w:tcW w:w="2048" w:type="pct"/>
            <w:gridSpan w:val="4"/>
          </w:tcPr>
          <w:p w:rsidR="00641A7A" w:rsidRPr="003A7756" w:rsidRDefault="00641A7A" w:rsidP="004A5E75">
            <w:pPr>
              <w:spacing w:before="75" w:after="75"/>
              <w:jc w:val="both"/>
              <w:rPr>
                <w:color w:val="000000"/>
              </w:rPr>
            </w:pPr>
            <w:r w:rsidRPr="003A7756">
              <w:rPr>
                <w:color w:val="000000"/>
              </w:rPr>
              <w:t>Kā ir izmantota ES tiesību aktā paredzētā rīcības brīvība dalībvalstij pārņemt vai ieviest noteiktas ES tiesību akta normas.</w:t>
            </w:r>
            <w:r w:rsidR="00FE0975">
              <w:rPr>
                <w:color w:val="000000"/>
              </w:rPr>
              <w:t xml:space="preserve"> </w:t>
            </w:r>
            <w:r w:rsidRPr="003A7756">
              <w:rPr>
                <w:color w:val="000000"/>
              </w:rPr>
              <w:t>Kādēļ?</w:t>
            </w:r>
          </w:p>
        </w:tc>
        <w:tc>
          <w:tcPr>
            <w:tcW w:w="2952" w:type="pct"/>
            <w:gridSpan w:val="3"/>
          </w:tcPr>
          <w:p w:rsidR="00641A7A" w:rsidRPr="003A7756" w:rsidRDefault="00641A7A" w:rsidP="004A5E75">
            <w:pPr>
              <w:jc w:val="both"/>
              <w:rPr>
                <w:color w:val="000000"/>
              </w:rPr>
            </w:pPr>
            <w:r>
              <w:rPr>
                <w:color w:val="000000"/>
              </w:rPr>
              <w:t>P</w:t>
            </w:r>
            <w:r w:rsidRPr="003A7756">
              <w:rPr>
                <w:color w:val="000000"/>
              </w:rPr>
              <w:t>rojekts šo jomu neskar</w:t>
            </w:r>
          </w:p>
        </w:tc>
      </w:tr>
      <w:tr w:rsidR="00641A7A" w:rsidRPr="003A7756" w:rsidTr="00FE0975">
        <w:tblPrEx>
          <w:tblCellMar>
            <w:left w:w="108" w:type="dxa"/>
            <w:right w:w="108" w:type="dxa"/>
          </w:tblCellMar>
          <w:tblLook w:val="01E0"/>
        </w:tblPrEx>
        <w:tc>
          <w:tcPr>
            <w:tcW w:w="2048" w:type="pct"/>
            <w:gridSpan w:val="4"/>
          </w:tcPr>
          <w:p w:rsidR="00641A7A" w:rsidRPr="003A7756" w:rsidRDefault="00641A7A" w:rsidP="004A5E75">
            <w:pPr>
              <w:jc w:val="both"/>
              <w:rPr>
                <w:color w:val="000000"/>
              </w:rPr>
            </w:pPr>
            <w:r w:rsidRPr="003A7756">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52" w:type="pct"/>
            <w:gridSpan w:val="3"/>
          </w:tcPr>
          <w:p w:rsidR="00641A7A" w:rsidRPr="003A7756" w:rsidRDefault="00641A7A" w:rsidP="004A5E75">
            <w:pPr>
              <w:jc w:val="both"/>
              <w:rPr>
                <w:color w:val="000000"/>
              </w:rPr>
            </w:pPr>
            <w:r>
              <w:rPr>
                <w:color w:val="000000"/>
              </w:rPr>
              <w:t>P</w:t>
            </w:r>
            <w:r w:rsidRPr="003A7756">
              <w:rPr>
                <w:color w:val="000000"/>
              </w:rPr>
              <w:t>rojekts šo jomu neskar</w:t>
            </w:r>
          </w:p>
        </w:tc>
      </w:tr>
      <w:tr w:rsidR="00641A7A" w:rsidRPr="003A7756" w:rsidTr="00FE0975">
        <w:tblPrEx>
          <w:tblCellMar>
            <w:left w:w="108" w:type="dxa"/>
            <w:right w:w="108" w:type="dxa"/>
          </w:tblCellMar>
          <w:tblLook w:val="01E0"/>
        </w:tblPrEx>
        <w:tc>
          <w:tcPr>
            <w:tcW w:w="2048" w:type="pct"/>
            <w:gridSpan w:val="4"/>
          </w:tcPr>
          <w:p w:rsidR="00641A7A" w:rsidRPr="003A7756" w:rsidRDefault="00641A7A" w:rsidP="004A5E75">
            <w:pPr>
              <w:jc w:val="both"/>
              <w:rPr>
                <w:color w:val="000000"/>
              </w:rPr>
            </w:pPr>
            <w:r w:rsidRPr="003A7756">
              <w:rPr>
                <w:color w:val="000000"/>
              </w:rPr>
              <w:t>Cita informācija</w:t>
            </w:r>
          </w:p>
        </w:tc>
        <w:tc>
          <w:tcPr>
            <w:tcW w:w="2952" w:type="pct"/>
            <w:gridSpan w:val="3"/>
          </w:tcPr>
          <w:p w:rsidR="00641A7A" w:rsidRPr="003A7756" w:rsidRDefault="00641A7A" w:rsidP="004A5E75">
            <w:pPr>
              <w:jc w:val="both"/>
              <w:rPr>
                <w:color w:val="000000"/>
                <w:highlight w:val="yellow"/>
              </w:rPr>
            </w:pPr>
            <w:r>
              <w:rPr>
                <w:color w:val="000000"/>
              </w:rPr>
              <w:t>Nav</w:t>
            </w:r>
            <w:r w:rsidRPr="003A7756">
              <w:rPr>
                <w:color w:val="000000"/>
              </w:rPr>
              <w:t xml:space="preserve"> </w:t>
            </w:r>
          </w:p>
        </w:tc>
      </w:tr>
      <w:tr w:rsidR="00641A7A" w:rsidRPr="003A7756" w:rsidTr="00FE0975">
        <w:tblPrEx>
          <w:tblCellMar>
            <w:left w:w="108" w:type="dxa"/>
            <w:right w:w="108" w:type="dxa"/>
          </w:tblCellMar>
        </w:tblPrEx>
        <w:tc>
          <w:tcPr>
            <w:tcW w:w="5000" w:type="pct"/>
            <w:gridSpan w:val="7"/>
          </w:tcPr>
          <w:p w:rsidR="00641A7A" w:rsidRPr="003A7756" w:rsidRDefault="00641A7A" w:rsidP="004A5E75">
            <w:pPr>
              <w:spacing w:before="100" w:beforeAutospacing="1" w:after="100" w:afterAutospacing="1"/>
              <w:jc w:val="center"/>
              <w:rPr>
                <w:lang w:bidi="lo-LA"/>
              </w:rPr>
            </w:pPr>
            <w:r w:rsidRPr="003A7756">
              <w:rPr>
                <w:b/>
                <w:bCs/>
                <w:lang w:bidi="lo-LA"/>
              </w:rPr>
              <w:t>2.tabula</w:t>
            </w:r>
            <w:r w:rsidRPr="003A7756">
              <w:rPr>
                <w:b/>
                <w:bCs/>
                <w:lang w:bidi="lo-LA"/>
              </w:rPr>
              <w:br/>
              <w:t>Ar tiesību akta projektu izpildītās vai uzņemtās saistības, kas izriet no starptautiskajiem tiesību aktiem vai starptautiskas institūcijas vai organizācijas dokumentiem.</w:t>
            </w:r>
            <w:r w:rsidRPr="003A7756">
              <w:rPr>
                <w:b/>
                <w:bCs/>
                <w:lang w:bidi="lo-LA"/>
              </w:rPr>
              <w:br/>
              <w:t>Pasākumi šo saistību izpildei</w:t>
            </w:r>
          </w:p>
        </w:tc>
      </w:tr>
      <w:tr w:rsidR="00641A7A" w:rsidRPr="003A7756" w:rsidTr="00FE0975">
        <w:tblPrEx>
          <w:tblCellMar>
            <w:left w:w="108" w:type="dxa"/>
            <w:right w:w="108" w:type="dxa"/>
          </w:tblCellMar>
        </w:tblPrEx>
        <w:tc>
          <w:tcPr>
            <w:tcW w:w="5000" w:type="pct"/>
            <w:gridSpan w:val="7"/>
          </w:tcPr>
          <w:p w:rsidR="00641A7A" w:rsidRPr="003A7756" w:rsidRDefault="00641A7A" w:rsidP="004A5E75">
            <w:pPr>
              <w:jc w:val="center"/>
              <w:rPr>
                <w:iCs/>
              </w:rPr>
            </w:pPr>
            <w:r>
              <w:t>P</w:t>
            </w:r>
            <w:r w:rsidRPr="003A7756">
              <w:t>rojekts šo jomu neskar</w:t>
            </w:r>
          </w:p>
        </w:tc>
      </w:tr>
    </w:tbl>
    <w:p w:rsidR="003756E6" w:rsidRDefault="003756E6" w:rsidP="003756E6">
      <w:pPr>
        <w:pStyle w:val="naisf"/>
        <w:spacing w:before="0" w:after="0"/>
        <w:rPr>
          <w:i/>
          <w:sz w:val="28"/>
          <w:szCs w:val="28"/>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2410"/>
        <w:gridCol w:w="6237"/>
      </w:tblGrid>
      <w:tr w:rsidR="003756E6" w:rsidRPr="000C77C4" w:rsidTr="003756E6">
        <w:trPr>
          <w:tblCellSpacing w:w="0" w:type="dxa"/>
        </w:trPr>
        <w:tc>
          <w:tcPr>
            <w:tcW w:w="9356" w:type="dxa"/>
            <w:gridSpan w:val="3"/>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jc w:val="center"/>
            </w:pPr>
            <w:r w:rsidRPr="00D176BF">
              <w:rPr>
                <w:b/>
                <w:bCs/>
              </w:rPr>
              <w:t> VI. Sabiedrības līdzdalība un šīs līdzdalības rezultāti</w:t>
            </w:r>
          </w:p>
        </w:tc>
      </w:tr>
      <w:tr w:rsidR="003756E6" w:rsidRPr="000C77C4" w:rsidTr="001E2E82">
        <w:trPr>
          <w:trHeight w:val="553"/>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1.</w:t>
            </w:r>
          </w:p>
        </w:tc>
        <w:tc>
          <w:tcPr>
            <w:tcW w:w="2410"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Sabiedrības informēšana par projekta izstrādes uzsākšanu</w:t>
            </w:r>
          </w:p>
        </w:tc>
        <w:tc>
          <w:tcPr>
            <w:tcW w:w="6237" w:type="dxa"/>
            <w:tcBorders>
              <w:top w:val="outset" w:sz="6" w:space="0" w:color="auto"/>
              <w:left w:val="outset" w:sz="6" w:space="0" w:color="auto"/>
              <w:bottom w:val="outset" w:sz="6" w:space="0" w:color="auto"/>
              <w:right w:val="outset" w:sz="6" w:space="0" w:color="auto"/>
            </w:tcBorders>
            <w:hideMark/>
          </w:tcPr>
          <w:p w:rsidR="003756E6" w:rsidRPr="00FF1A2B" w:rsidRDefault="003756E6" w:rsidP="00851051">
            <w:pPr>
              <w:spacing w:before="75" w:after="75"/>
              <w:jc w:val="both"/>
            </w:pPr>
            <w:r w:rsidRPr="00FF1A2B">
              <w:t> </w:t>
            </w:r>
            <w:r w:rsidR="00851051" w:rsidRPr="00FF1A2B">
              <w:t xml:space="preserve">Noteikumu projekts tika nosūtīts atzinumu sniegšanai </w:t>
            </w:r>
            <w:r w:rsidRPr="00FF1A2B">
              <w:rPr>
                <w:bCs/>
              </w:rPr>
              <w:t>Starptautisko inovatīvo</w:t>
            </w:r>
            <w:r w:rsidR="00851051" w:rsidRPr="00FF1A2B">
              <w:rPr>
                <w:bCs/>
              </w:rPr>
              <w:t xml:space="preserve"> farmaceitisko firmu asociācijai</w:t>
            </w:r>
            <w:r w:rsidRPr="00FF1A2B">
              <w:rPr>
                <w:bCs/>
              </w:rPr>
              <w:t xml:space="preserve"> un Latvijas Patentbrīvo </w:t>
            </w:r>
            <w:r w:rsidR="00851051" w:rsidRPr="00FF1A2B">
              <w:rPr>
                <w:bCs/>
              </w:rPr>
              <w:t>Medikamentu Asociācijai</w:t>
            </w:r>
            <w:r w:rsidRPr="00FF1A2B">
              <w:rPr>
                <w:bCs/>
              </w:rPr>
              <w:t>.</w:t>
            </w:r>
            <w:r w:rsidR="00FF1A2B" w:rsidRPr="00FF1A2B">
              <w:rPr>
                <w:bCs/>
              </w:rPr>
              <w:t xml:space="preserve"> Tika saņemti atzinumi no minētajām nevalstiskajām organizācijām.</w:t>
            </w:r>
            <w:r w:rsidR="00851051" w:rsidRPr="00FF1A2B">
              <w:rPr>
                <w:bCs/>
              </w:rPr>
              <w:t xml:space="preserve"> </w:t>
            </w:r>
            <w:r w:rsidRPr="00FF1A2B">
              <w:rPr>
                <w:bCs/>
              </w:rPr>
              <w:t xml:space="preserve">   </w:t>
            </w:r>
          </w:p>
        </w:tc>
      </w:tr>
      <w:tr w:rsidR="003756E6" w:rsidRPr="000C77C4" w:rsidTr="001E2E82">
        <w:trPr>
          <w:trHeight w:val="339"/>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2.</w:t>
            </w:r>
          </w:p>
        </w:tc>
        <w:tc>
          <w:tcPr>
            <w:tcW w:w="2410"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Sabiedrības līdzdalība projekta izstrādē</w:t>
            </w:r>
          </w:p>
        </w:tc>
        <w:tc>
          <w:tcPr>
            <w:tcW w:w="6237" w:type="dxa"/>
            <w:tcBorders>
              <w:top w:val="outset" w:sz="6" w:space="0" w:color="auto"/>
              <w:left w:val="outset" w:sz="6" w:space="0" w:color="auto"/>
              <w:bottom w:val="outset" w:sz="6" w:space="0" w:color="auto"/>
              <w:right w:val="outset" w:sz="6" w:space="0" w:color="auto"/>
            </w:tcBorders>
            <w:hideMark/>
          </w:tcPr>
          <w:p w:rsidR="003756E6" w:rsidRPr="00FF1A2B" w:rsidRDefault="003756E6" w:rsidP="00FF1A2B">
            <w:pPr>
              <w:spacing w:before="75" w:after="75"/>
              <w:jc w:val="both"/>
            </w:pPr>
            <w:r w:rsidRPr="00FF1A2B">
              <w:t xml:space="preserve"> Lai vienotos par </w:t>
            </w:r>
            <w:r w:rsidR="00FF1A2B" w:rsidRPr="00FF1A2B">
              <w:rPr>
                <w:bCs/>
              </w:rPr>
              <w:t xml:space="preserve">Starptautisko inovatīvo farmaceitisko firmu asociācijas </w:t>
            </w:r>
            <w:r w:rsidR="00FF1A2B" w:rsidRPr="00FF1A2B">
              <w:t>atzinumā minēto iebildumu,</w:t>
            </w:r>
            <w:r w:rsidRPr="00FF1A2B">
              <w:t xml:space="preserve"> Veselības ministrija organizēja tikšanos</w:t>
            </w:r>
            <w:r w:rsidR="00FF1A2B" w:rsidRPr="00FF1A2B">
              <w:t xml:space="preserve"> ar institūcijas pārstāvjiem 2013.gada 4.janvārī.</w:t>
            </w:r>
          </w:p>
        </w:tc>
      </w:tr>
      <w:tr w:rsidR="003756E6" w:rsidRPr="000C77C4" w:rsidTr="001E2E82">
        <w:trPr>
          <w:trHeight w:val="375"/>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3.</w:t>
            </w:r>
          </w:p>
        </w:tc>
        <w:tc>
          <w:tcPr>
            <w:tcW w:w="2410"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Sabiedrības līdzdalības rezultāti</w:t>
            </w:r>
          </w:p>
        </w:tc>
        <w:tc>
          <w:tcPr>
            <w:tcW w:w="6237" w:type="dxa"/>
            <w:tcBorders>
              <w:top w:val="outset" w:sz="6" w:space="0" w:color="auto"/>
              <w:left w:val="outset" w:sz="6" w:space="0" w:color="auto"/>
              <w:bottom w:val="outset" w:sz="6" w:space="0" w:color="auto"/>
              <w:right w:val="outset" w:sz="6" w:space="0" w:color="auto"/>
            </w:tcBorders>
            <w:hideMark/>
          </w:tcPr>
          <w:p w:rsidR="001E5E16" w:rsidRDefault="00FF1A2B" w:rsidP="001E5E16">
            <w:pPr>
              <w:spacing w:before="75" w:after="75"/>
              <w:jc w:val="both"/>
            </w:pPr>
            <w:r w:rsidRPr="001E2E82">
              <w:t>Latvijas Patentbrīvo Medikamentu Asociācija atbalsta noteikumu projekta tālāku virzību, ir panākta vienošanās par zāļu reģistrācijas pakalpojumu cenu struktūras izmaiņu veikšanu</w:t>
            </w:r>
            <w:r w:rsidRPr="00FF1A2B">
              <w:t xml:space="preserve"> 2013.gadā, ko paredz Ministru kabineta sēdes p</w:t>
            </w:r>
            <w:r w:rsidR="005E75D2">
              <w:t>rotokollēmuma projekta 3.punkts: „</w:t>
            </w:r>
            <w:r w:rsidRPr="00FF1A2B">
              <w:t>Veselības ministrijai pārskatīt Zāļu valsts aģentūras maksas pakalpojumu cenas saistībā ar zāļu reģistrēšanas pakalpojumiem un veselības ministram līdz 2013.gada 1.</w:t>
            </w:r>
            <w:r w:rsidR="005E75D2">
              <w:t>jūlijam</w:t>
            </w:r>
            <w:r w:rsidRPr="00FF1A2B">
              <w:t xml:space="preserve"> noteiktā kārtībā iesniegt grozījumus aģentūras maksas pakalpojumu cenrādī.</w:t>
            </w:r>
            <w:r w:rsidR="001E5E16">
              <w:t>”.</w:t>
            </w:r>
          </w:p>
          <w:p w:rsidR="002A0E56" w:rsidRDefault="00FF1A2B" w:rsidP="001E5E16">
            <w:pPr>
              <w:spacing w:before="75" w:after="75"/>
              <w:jc w:val="both"/>
              <w:rPr>
                <w:bCs/>
              </w:rPr>
            </w:pPr>
            <w:r w:rsidRPr="00673F0A">
              <w:t xml:space="preserve">Ar </w:t>
            </w:r>
            <w:r w:rsidRPr="00673F0A">
              <w:rPr>
                <w:bCs/>
              </w:rPr>
              <w:t xml:space="preserve">Starptautisko inovatīvo farmaceitisko firmu asociāciju </w:t>
            </w:r>
            <w:r w:rsidR="005F3868" w:rsidRPr="00673F0A">
              <w:rPr>
                <w:bCs/>
              </w:rPr>
              <w:t xml:space="preserve">sanāksmes laikā </w:t>
            </w:r>
            <w:r w:rsidRPr="00673F0A">
              <w:rPr>
                <w:bCs/>
              </w:rPr>
              <w:t>panākta vienošanās</w:t>
            </w:r>
            <w:r w:rsidR="005E75D2" w:rsidRPr="00673F0A">
              <w:rPr>
                <w:bCs/>
              </w:rPr>
              <w:t xml:space="preserve"> par Ministru kabineta sēdes protokollēmuma projektu.</w:t>
            </w:r>
            <w:r w:rsidR="005F3868" w:rsidRPr="00673F0A">
              <w:rPr>
                <w:bCs/>
              </w:rPr>
              <w:t xml:space="preserve"> </w:t>
            </w:r>
            <w:r w:rsidR="005E75D2" w:rsidRPr="00673F0A">
              <w:rPr>
                <w:bCs/>
              </w:rPr>
              <w:t xml:space="preserve"> </w:t>
            </w:r>
            <w:r w:rsidR="005F3868" w:rsidRPr="00673F0A">
              <w:rPr>
                <w:bCs/>
              </w:rPr>
              <w:t>Tāpat</w:t>
            </w:r>
            <w:r w:rsidR="005F3868" w:rsidRPr="00673F0A">
              <w:rPr>
                <w:bCs/>
                <w:color w:val="FF0000"/>
              </w:rPr>
              <w:t xml:space="preserve"> </w:t>
            </w:r>
            <w:r w:rsidR="005F3868" w:rsidRPr="00673F0A">
              <w:rPr>
                <w:bCs/>
              </w:rPr>
              <w:t>Starptautisko inovatīvo farmaceitisko firmu asociācijas pārstāvji vienojās ar Veselības ministrijas un aģentūras pārstāvjiem, ka tiek turpināts dialogs par cenu samazinājuma iespējām zāļu reģistrācijas pakalpojumiem, veicot maksas pakalpojumu izmaksu pozīciju pārstrukturizēšanu, par maksas pakalpojumu ieņēmumu atlikuma daļējas novirzīšanas iespējām Nacionālajam veselības dienestam ar mērķi samazināt zāļu ražotājiem zāļu uzturēšanas izma</w:t>
            </w:r>
            <w:r w:rsidR="001E5E16" w:rsidRPr="00673F0A">
              <w:rPr>
                <w:bCs/>
              </w:rPr>
              <w:t>ksas kompensējamo zāļu sarakstā.</w:t>
            </w:r>
          </w:p>
          <w:p w:rsidR="002A0E56" w:rsidRPr="00673F0A" w:rsidRDefault="005F3868" w:rsidP="001E5E16">
            <w:pPr>
              <w:spacing w:before="75" w:after="75"/>
              <w:jc w:val="both"/>
              <w:rPr>
                <w:bCs/>
              </w:rPr>
            </w:pPr>
            <w:r w:rsidRPr="00673F0A">
              <w:rPr>
                <w:bCs/>
              </w:rPr>
              <w:t>Pildot Ministru kabinetā dotos uzdevumus par maksas pakalpojumu atbilstības izvērtējumu valsts nodevu objektiem, Veselības ministrija par izvērtējuma rezultātiem informē</w:t>
            </w:r>
            <w:r w:rsidR="001E5E16" w:rsidRPr="00673F0A">
              <w:rPr>
                <w:bCs/>
              </w:rPr>
              <w:t>s</w:t>
            </w:r>
            <w:r w:rsidRPr="00673F0A">
              <w:rPr>
                <w:bCs/>
              </w:rPr>
              <w:t xml:space="preserve"> arī </w:t>
            </w:r>
            <w:r w:rsidR="00F65E94" w:rsidRPr="00673F0A">
              <w:rPr>
                <w:bCs/>
              </w:rPr>
              <w:t>Starptautisko inovatīvo farmaceitisko firmu asociāciju. Asociācija</w:t>
            </w:r>
            <w:r w:rsidR="006A153A" w:rsidRPr="00673F0A">
              <w:rPr>
                <w:bCs/>
              </w:rPr>
              <w:t xml:space="preserve">, kā arī citas </w:t>
            </w:r>
            <w:r w:rsidR="00F65E94" w:rsidRPr="00673F0A">
              <w:rPr>
                <w:bCs/>
              </w:rPr>
              <w:t xml:space="preserve"> </w:t>
            </w:r>
            <w:r w:rsidR="006A153A" w:rsidRPr="00673F0A">
              <w:rPr>
                <w:bCs/>
              </w:rPr>
              <w:t xml:space="preserve">nevalstiskās organizācijas </w:t>
            </w:r>
            <w:r w:rsidR="00F65E94" w:rsidRPr="00673F0A">
              <w:rPr>
                <w:bCs/>
              </w:rPr>
              <w:t>tiks informēta</w:t>
            </w:r>
            <w:r w:rsidR="006A153A" w:rsidRPr="00673F0A">
              <w:rPr>
                <w:bCs/>
              </w:rPr>
              <w:t>s</w:t>
            </w:r>
            <w:r w:rsidR="00F65E94" w:rsidRPr="00673F0A">
              <w:rPr>
                <w:bCs/>
              </w:rPr>
              <w:t xml:space="preserve"> par visiem aģentūras cenrādī plānotajiem grozījumiem pirms projektu iesniegšanas izskatīšanai valsts sekretāru sanāksmē</w:t>
            </w:r>
            <w:r w:rsidR="006A153A" w:rsidRPr="00673F0A">
              <w:rPr>
                <w:bCs/>
              </w:rPr>
              <w:t xml:space="preserve"> un aicinātas izteikt savu viedokli atzinumu veidā</w:t>
            </w:r>
            <w:r w:rsidR="00F65E94" w:rsidRPr="00673F0A">
              <w:rPr>
                <w:bCs/>
              </w:rPr>
              <w:t xml:space="preserve">. </w:t>
            </w:r>
          </w:p>
          <w:p w:rsidR="00673F0A" w:rsidRPr="00727BE5" w:rsidRDefault="00F65E94" w:rsidP="00BA3563">
            <w:pPr>
              <w:spacing w:before="75" w:after="75"/>
              <w:jc w:val="both"/>
              <w:rPr>
                <w:bCs/>
                <w:color w:val="FF0000"/>
              </w:rPr>
            </w:pPr>
            <w:r w:rsidRPr="00673F0A">
              <w:rPr>
                <w:bCs/>
              </w:rPr>
              <w:t>Aģentūra, lai samazinātu zāļu reģistrācijas izmaksas</w:t>
            </w:r>
            <w:r w:rsidR="00C535F7" w:rsidRPr="00673F0A">
              <w:rPr>
                <w:bCs/>
              </w:rPr>
              <w:t xml:space="preserve"> pārskatīs iespējas samazināt netiešo izmaksu īpatsvaru cenā, </w:t>
            </w:r>
            <w:r w:rsidR="00727BE5">
              <w:rPr>
                <w:bCs/>
              </w:rPr>
              <w:t xml:space="preserve">izdalīt </w:t>
            </w:r>
            <w:r w:rsidR="00C535F7" w:rsidRPr="00673F0A">
              <w:rPr>
                <w:bCs/>
              </w:rPr>
              <w:t xml:space="preserve">valstiski nozīmīgas funkcijas, kur ieņēmumi no maksas pakalpojumu sniegšanas nesedz ar pakalpojumu sniegšanu saistītās </w:t>
            </w:r>
            <w:r w:rsidR="001E5E16" w:rsidRPr="00673F0A">
              <w:rPr>
                <w:bCs/>
              </w:rPr>
              <w:t xml:space="preserve">faktiskās </w:t>
            </w:r>
            <w:r w:rsidR="00C535F7" w:rsidRPr="00673F0A">
              <w:rPr>
                <w:bCs/>
              </w:rPr>
              <w:t xml:space="preserve">izmaksas (audu, šūnu, orgānu ieguves un izmantošanas vietu, asins kabinetu, asins sagatavošanas nodaļu atbilstības novērtēšanai un Latvijā ražotu medicīnisko ierīču reģistrēšanai, atļauju speciāli piegādāto medicīnisko ierīču </w:t>
            </w:r>
            <w:r w:rsidR="00C535F7" w:rsidRPr="00673F0A">
              <w:rPr>
                <w:bCs/>
              </w:rPr>
              <w:lastRenderedPageBreak/>
              <w:t>laišanai apgrozībā izsniegšanai, medicīnisko ierīču vigilances veikšanai un atļauju izsniegšanu medicīnisko ierī</w:t>
            </w:r>
            <w:r w:rsidR="001E5E16" w:rsidRPr="00673F0A">
              <w:rPr>
                <w:bCs/>
              </w:rPr>
              <w:t>ču</w:t>
            </w:r>
            <w:r w:rsidR="006A153A" w:rsidRPr="00673F0A">
              <w:rPr>
                <w:bCs/>
              </w:rPr>
              <w:t xml:space="preserve"> klīniskās izpētes veikšanai).  </w:t>
            </w:r>
            <w:r w:rsidR="001E5E16" w:rsidRPr="00673F0A">
              <w:rPr>
                <w:bCs/>
              </w:rPr>
              <w:t>C</w:t>
            </w:r>
            <w:r w:rsidR="00C535F7" w:rsidRPr="00673F0A">
              <w:rPr>
                <w:bCs/>
              </w:rPr>
              <w:t xml:space="preserve">enu samazinājuma gadījumā </w:t>
            </w:r>
            <w:r w:rsidR="001E5E16" w:rsidRPr="00673F0A">
              <w:rPr>
                <w:bCs/>
              </w:rPr>
              <w:t xml:space="preserve">iepriekš </w:t>
            </w:r>
            <w:r w:rsidR="00C535F7" w:rsidRPr="00673F0A">
              <w:rPr>
                <w:bCs/>
              </w:rPr>
              <w:t xml:space="preserve">minētiem pasākumiem ir </w:t>
            </w:r>
            <w:r w:rsidR="001E5E16" w:rsidRPr="00673F0A">
              <w:rPr>
                <w:bCs/>
              </w:rPr>
              <w:t>nepieciešama</w:t>
            </w:r>
            <w:r w:rsidR="00C535F7" w:rsidRPr="00673F0A">
              <w:rPr>
                <w:bCs/>
              </w:rPr>
              <w:t xml:space="preserve"> valsts budžeta dotācija no vispārējiem ieņēmumiem, kas rada fiskālo ietekmi uz valsts budžetu.</w:t>
            </w:r>
            <w:r w:rsidR="00C535F7">
              <w:rPr>
                <w:bCs/>
                <w:color w:val="FF0000"/>
              </w:rPr>
              <w:t xml:space="preserve"> </w:t>
            </w:r>
            <w:r w:rsidR="00BA3563" w:rsidRPr="00673F0A">
              <w:rPr>
                <w:bCs/>
                <w:color w:val="17365D"/>
              </w:rPr>
              <w:t xml:space="preserve"> </w:t>
            </w:r>
          </w:p>
        </w:tc>
      </w:tr>
      <w:tr w:rsidR="003756E6" w:rsidRPr="000C77C4" w:rsidTr="001E2E82">
        <w:trPr>
          <w:trHeight w:val="397"/>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lastRenderedPageBreak/>
              <w:t> 4.</w:t>
            </w:r>
          </w:p>
        </w:tc>
        <w:tc>
          <w:tcPr>
            <w:tcW w:w="2410"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Saeimas un ekspertu līdzdalība</w:t>
            </w:r>
          </w:p>
        </w:tc>
        <w:tc>
          <w:tcPr>
            <w:tcW w:w="6237" w:type="dxa"/>
            <w:tcBorders>
              <w:top w:val="outset" w:sz="6" w:space="0" w:color="auto"/>
              <w:left w:val="outset" w:sz="6" w:space="0" w:color="auto"/>
              <w:bottom w:val="outset" w:sz="6" w:space="0" w:color="auto"/>
              <w:right w:val="outset" w:sz="6" w:space="0" w:color="auto"/>
            </w:tcBorders>
            <w:hideMark/>
          </w:tcPr>
          <w:p w:rsidR="003756E6" w:rsidRPr="00EA6AAE" w:rsidRDefault="003756E6" w:rsidP="003756E6">
            <w:pPr>
              <w:spacing w:before="75" w:after="75"/>
            </w:pPr>
            <w:r w:rsidRPr="00D176BF">
              <w:t> </w:t>
            </w:r>
            <w:r w:rsidRPr="00EA6AAE">
              <w:t>Projekts šo jomu neskar</w:t>
            </w:r>
            <w:r>
              <w:t>.</w:t>
            </w:r>
          </w:p>
        </w:tc>
      </w:tr>
      <w:tr w:rsidR="003756E6" w:rsidRPr="00D176BF" w:rsidTr="001E2E82">
        <w:trPr>
          <w:trHeight w:val="471"/>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5.</w:t>
            </w:r>
          </w:p>
        </w:tc>
        <w:tc>
          <w:tcPr>
            <w:tcW w:w="2410"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Cita informācija</w:t>
            </w:r>
          </w:p>
        </w:tc>
        <w:tc>
          <w:tcPr>
            <w:tcW w:w="6237" w:type="dxa"/>
            <w:tcBorders>
              <w:top w:val="outset" w:sz="6" w:space="0" w:color="auto"/>
              <w:left w:val="outset" w:sz="6" w:space="0" w:color="auto"/>
              <w:bottom w:val="outset" w:sz="6" w:space="0" w:color="auto"/>
              <w:right w:val="outset" w:sz="6" w:space="0" w:color="auto"/>
            </w:tcBorders>
            <w:hideMark/>
          </w:tcPr>
          <w:p w:rsidR="003756E6" w:rsidRPr="00D176BF" w:rsidRDefault="003756E6" w:rsidP="003756E6">
            <w:pPr>
              <w:spacing w:before="75" w:after="75"/>
            </w:pPr>
            <w:r w:rsidRPr="00D176BF">
              <w:t> </w:t>
            </w:r>
            <w:r>
              <w:t>Nav</w:t>
            </w:r>
          </w:p>
        </w:tc>
      </w:tr>
    </w:tbl>
    <w:p w:rsidR="003756E6" w:rsidRDefault="003756E6" w:rsidP="003756E6">
      <w:pPr>
        <w:pStyle w:val="naisf"/>
        <w:spacing w:before="0" w:beforeAutospacing="0" w:after="0" w:afterAutospacing="0"/>
        <w:rPr>
          <w:i/>
          <w:sz w:val="28"/>
          <w:szCs w:val="28"/>
        </w:rPr>
      </w:pPr>
    </w:p>
    <w:p w:rsidR="006A153A" w:rsidRDefault="006A153A" w:rsidP="003756E6">
      <w:pPr>
        <w:pStyle w:val="naisf"/>
        <w:spacing w:before="0" w:beforeAutospacing="0" w:after="0" w:afterAutospacing="0"/>
        <w:rPr>
          <w:i/>
          <w:sz w:val="28"/>
          <w:szCs w:val="28"/>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09"/>
        <w:gridCol w:w="3828"/>
        <w:gridCol w:w="4819"/>
      </w:tblGrid>
      <w:tr w:rsidR="009F2A4C" w:rsidRPr="00EF2C27" w:rsidTr="003756E6">
        <w:trPr>
          <w:tblCellSpacing w:w="0" w:type="dxa"/>
        </w:trPr>
        <w:tc>
          <w:tcPr>
            <w:tcW w:w="9356" w:type="dxa"/>
            <w:gridSpan w:val="3"/>
            <w:tcBorders>
              <w:top w:val="outset" w:sz="6" w:space="0" w:color="auto"/>
              <w:bottom w:val="outset" w:sz="6" w:space="0" w:color="auto"/>
            </w:tcBorders>
          </w:tcPr>
          <w:p w:rsidR="009F2A4C" w:rsidRPr="00EF2C27" w:rsidRDefault="009F2A4C" w:rsidP="003756E6">
            <w:pPr>
              <w:spacing w:before="75" w:after="75"/>
            </w:pPr>
            <w:r w:rsidRPr="00EF2C27">
              <w:rPr>
                <w:b/>
                <w:bCs/>
              </w:rPr>
              <w:t> VII. Tiesību akta projekta izpildes nodrošināšana un tās ietekme uz institūcijām</w:t>
            </w:r>
          </w:p>
        </w:tc>
      </w:tr>
      <w:tr w:rsidR="009F2A4C" w:rsidRPr="00EF2C27" w:rsidTr="003934DE">
        <w:trPr>
          <w:trHeight w:val="427"/>
          <w:tblCellSpacing w:w="0" w:type="dxa"/>
        </w:trPr>
        <w:tc>
          <w:tcPr>
            <w:tcW w:w="709" w:type="dxa"/>
            <w:tcBorders>
              <w:top w:val="outset" w:sz="6" w:space="0" w:color="auto"/>
              <w:bottom w:val="outset" w:sz="6" w:space="0" w:color="auto"/>
              <w:right w:val="outset" w:sz="6" w:space="0" w:color="auto"/>
            </w:tcBorders>
          </w:tcPr>
          <w:p w:rsidR="009F2A4C" w:rsidRPr="00EF2C27" w:rsidRDefault="009F2A4C" w:rsidP="004C713C">
            <w:r w:rsidRPr="00EF2C27">
              <w:t> 1.</w:t>
            </w:r>
          </w:p>
        </w:tc>
        <w:tc>
          <w:tcPr>
            <w:tcW w:w="3828" w:type="dxa"/>
            <w:tcBorders>
              <w:top w:val="outset" w:sz="6" w:space="0" w:color="auto"/>
              <w:left w:val="outset" w:sz="6" w:space="0" w:color="auto"/>
              <w:bottom w:val="outset" w:sz="6" w:space="0" w:color="auto"/>
              <w:right w:val="outset" w:sz="6" w:space="0" w:color="auto"/>
            </w:tcBorders>
          </w:tcPr>
          <w:p w:rsidR="009F2A4C" w:rsidRPr="00EF2C27" w:rsidRDefault="009F2A4C" w:rsidP="004C713C">
            <w:r w:rsidRPr="00EF2C27">
              <w:t> Projekta izpildē iesaistītās institūcijas</w:t>
            </w:r>
          </w:p>
        </w:tc>
        <w:tc>
          <w:tcPr>
            <w:tcW w:w="4819" w:type="dxa"/>
            <w:tcBorders>
              <w:top w:val="outset" w:sz="6" w:space="0" w:color="auto"/>
              <w:left w:val="outset" w:sz="6" w:space="0" w:color="auto"/>
              <w:bottom w:val="outset" w:sz="6" w:space="0" w:color="auto"/>
            </w:tcBorders>
          </w:tcPr>
          <w:p w:rsidR="009F2A4C" w:rsidRPr="00EF2C27" w:rsidRDefault="009F2A4C" w:rsidP="008D2A7D">
            <w:r w:rsidRPr="00EF2C27">
              <w:t> </w:t>
            </w:r>
            <w:r w:rsidR="00851051" w:rsidRPr="00774ECF">
              <w:t xml:space="preserve">Projekta </w:t>
            </w:r>
            <w:r w:rsidR="00851051">
              <w:t xml:space="preserve">izpildi nodrošinās </w:t>
            </w:r>
            <w:r w:rsidR="00106CE1">
              <w:t>a</w:t>
            </w:r>
            <w:r w:rsidR="004920C6">
              <w:t>ģentūra</w:t>
            </w:r>
            <w:r w:rsidR="008D2A7D">
              <w:t>.</w:t>
            </w:r>
          </w:p>
        </w:tc>
      </w:tr>
      <w:tr w:rsidR="009F2A4C" w:rsidRPr="00EF2C27" w:rsidTr="003934DE">
        <w:trPr>
          <w:trHeight w:val="463"/>
          <w:tblCellSpacing w:w="0" w:type="dxa"/>
        </w:trPr>
        <w:tc>
          <w:tcPr>
            <w:tcW w:w="709" w:type="dxa"/>
            <w:tcBorders>
              <w:top w:val="outset" w:sz="6" w:space="0" w:color="auto"/>
              <w:bottom w:val="outset" w:sz="6" w:space="0" w:color="auto"/>
              <w:right w:val="outset" w:sz="6" w:space="0" w:color="auto"/>
            </w:tcBorders>
          </w:tcPr>
          <w:p w:rsidR="009F2A4C" w:rsidRPr="00EF2C27" w:rsidRDefault="009F2A4C" w:rsidP="004C713C">
            <w:r w:rsidRPr="00EF2C27">
              <w:t> 2.</w:t>
            </w:r>
          </w:p>
        </w:tc>
        <w:tc>
          <w:tcPr>
            <w:tcW w:w="3828" w:type="dxa"/>
            <w:tcBorders>
              <w:top w:val="outset" w:sz="6" w:space="0" w:color="auto"/>
              <w:left w:val="outset" w:sz="6" w:space="0" w:color="auto"/>
              <w:bottom w:val="outset" w:sz="6" w:space="0" w:color="auto"/>
              <w:right w:val="outset" w:sz="6" w:space="0" w:color="auto"/>
            </w:tcBorders>
          </w:tcPr>
          <w:p w:rsidR="009F2A4C" w:rsidRPr="00EF2C27" w:rsidRDefault="009F2A4C" w:rsidP="004C713C">
            <w:r w:rsidRPr="00EF2C27">
              <w:t> Projekta izpildes ietekme uz pārvaldes funkcijām</w:t>
            </w:r>
          </w:p>
        </w:tc>
        <w:tc>
          <w:tcPr>
            <w:tcW w:w="4819" w:type="dxa"/>
            <w:tcBorders>
              <w:top w:val="outset" w:sz="6" w:space="0" w:color="auto"/>
              <w:left w:val="outset" w:sz="6" w:space="0" w:color="auto"/>
              <w:bottom w:val="outset" w:sz="6" w:space="0" w:color="auto"/>
            </w:tcBorders>
          </w:tcPr>
          <w:p w:rsidR="009F2A4C" w:rsidRPr="00EF2C27" w:rsidRDefault="009F2A4C" w:rsidP="004C713C">
            <w:r w:rsidRPr="00EF2C27">
              <w:t> </w:t>
            </w:r>
            <w:r w:rsidR="003756E6" w:rsidRPr="00B13C1A">
              <w:t>Projekts šo jomu neskar</w:t>
            </w:r>
            <w:r w:rsidR="008D2A7D">
              <w:t>.</w:t>
            </w:r>
          </w:p>
        </w:tc>
      </w:tr>
      <w:tr w:rsidR="009F2A4C" w:rsidRPr="00EF2C27" w:rsidTr="003934DE">
        <w:trPr>
          <w:trHeight w:val="725"/>
          <w:tblCellSpacing w:w="0" w:type="dxa"/>
        </w:trPr>
        <w:tc>
          <w:tcPr>
            <w:tcW w:w="709" w:type="dxa"/>
            <w:tcBorders>
              <w:top w:val="outset" w:sz="6" w:space="0" w:color="auto"/>
              <w:bottom w:val="outset" w:sz="6" w:space="0" w:color="auto"/>
              <w:right w:val="outset" w:sz="6" w:space="0" w:color="auto"/>
            </w:tcBorders>
          </w:tcPr>
          <w:p w:rsidR="009F2A4C" w:rsidRPr="00EF2C27" w:rsidRDefault="009F2A4C" w:rsidP="004C713C">
            <w:r w:rsidRPr="00EF2C27">
              <w:t> 3.</w:t>
            </w:r>
          </w:p>
        </w:tc>
        <w:tc>
          <w:tcPr>
            <w:tcW w:w="3828" w:type="dxa"/>
            <w:tcBorders>
              <w:top w:val="outset" w:sz="6" w:space="0" w:color="auto"/>
              <w:left w:val="outset" w:sz="6" w:space="0" w:color="auto"/>
              <w:bottom w:val="outset" w:sz="6" w:space="0" w:color="auto"/>
              <w:right w:val="outset" w:sz="6" w:space="0" w:color="auto"/>
            </w:tcBorders>
          </w:tcPr>
          <w:p w:rsidR="009F2A4C" w:rsidRPr="00EF2C27" w:rsidRDefault="009F2A4C" w:rsidP="004C713C">
            <w:r w:rsidRPr="00EF2C27">
              <w:t> Projekta izpildes ietekme uz pārvaldes institucionālo struktūru.</w:t>
            </w:r>
          </w:p>
          <w:p w:rsidR="009F2A4C" w:rsidRPr="00EF2C27" w:rsidRDefault="009F2A4C" w:rsidP="004C713C">
            <w:r w:rsidRPr="00EF2C27">
              <w:t>Jaunu institūciju izveide</w:t>
            </w:r>
          </w:p>
        </w:tc>
        <w:tc>
          <w:tcPr>
            <w:tcW w:w="4819" w:type="dxa"/>
            <w:tcBorders>
              <w:top w:val="outset" w:sz="6" w:space="0" w:color="auto"/>
              <w:left w:val="outset" w:sz="6" w:space="0" w:color="auto"/>
              <w:bottom w:val="outset" w:sz="6" w:space="0" w:color="auto"/>
            </w:tcBorders>
          </w:tcPr>
          <w:p w:rsidR="009F2A4C" w:rsidRPr="00EF2C27" w:rsidRDefault="009F2A4C" w:rsidP="004C713C">
            <w:r w:rsidRPr="00EF2C27">
              <w:t> </w:t>
            </w:r>
            <w:r w:rsidR="003756E6" w:rsidRPr="00B13C1A">
              <w:t>Projekts šo jomu neskar</w:t>
            </w:r>
            <w:r w:rsidR="003756E6">
              <w:t>.</w:t>
            </w:r>
          </w:p>
        </w:tc>
      </w:tr>
      <w:tr w:rsidR="009F2A4C" w:rsidRPr="00EF2C27" w:rsidTr="003934DE">
        <w:trPr>
          <w:trHeight w:val="780"/>
          <w:tblCellSpacing w:w="0" w:type="dxa"/>
        </w:trPr>
        <w:tc>
          <w:tcPr>
            <w:tcW w:w="709" w:type="dxa"/>
            <w:tcBorders>
              <w:top w:val="outset" w:sz="6" w:space="0" w:color="auto"/>
              <w:bottom w:val="outset" w:sz="6" w:space="0" w:color="auto"/>
              <w:right w:val="outset" w:sz="6" w:space="0" w:color="auto"/>
            </w:tcBorders>
          </w:tcPr>
          <w:p w:rsidR="009F2A4C" w:rsidRPr="00EF2C27" w:rsidRDefault="009F2A4C" w:rsidP="004C713C">
            <w:r w:rsidRPr="00EF2C27">
              <w:t> 4.</w:t>
            </w:r>
          </w:p>
        </w:tc>
        <w:tc>
          <w:tcPr>
            <w:tcW w:w="3828" w:type="dxa"/>
            <w:tcBorders>
              <w:top w:val="outset" w:sz="6" w:space="0" w:color="auto"/>
              <w:left w:val="outset" w:sz="6" w:space="0" w:color="auto"/>
              <w:bottom w:val="outset" w:sz="6" w:space="0" w:color="auto"/>
              <w:right w:val="outset" w:sz="6" w:space="0" w:color="auto"/>
            </w:tcBorders>
          </w:tcPr>
          <w:p w:rsidR="009F2A4C" w:rsidRPr="00EF2C27" w:rsidRDefault="009F2A4C" w:rsidP="004C713C">
            <w:r w:rsidRPr="00EF2C27">
              <w:t> Projekta izpildes ietekme uz pārvaldes institucionālo struktūru.</w:t>
            </w:r>
          </w:p>
          <w:p w:rsidR="009F2A4C" w:rsidRPr="00EF2C27" w:rsidRDefault="009F2A4C" w:rsidP="004C713C">
            <w:r w:rsidRPr="00EF2C27">
              <w:t>Esošu institūciju likvidācija</w:t>
            </w:r>
          </w:p>
        </w:tc>
        <w:tc>
          <w:tcPr>
            <w:tcW w:w="4819" w:type="dxa"/>
            <w:tcBorders>
              <w:top w:val="outset" w:sz="6" w:space="0" w:color="auto"/>
              <w:left w:val="outset" w:sz="6" w:space="0" w:color="auto"/>
              <w:bottom w:val="outset" w:sz="6" w:space="0" w:color="auto"/>
            </w:tcBorders>
          </w:tcPr>
          <w:p w:rsidR="009F2A4C" w:rsidRPr="00EF2C27" w:rsidRDefault="009F2A4C" w:rsidP="004C713C">
            <w:r w:rsidRPr="00EF2C27">
              <w:t> </w:t>
            </w:r>
            <w:r w:rsidR="003756E6" w:rsidRPr="00B13C1A">
              <w:t>Projekts šo jomu neskar</w:t>
            </w:r>
            <w:r w:rsidR="003756E6">
              <w:t>.</w:t>
            </w:r>
          </w:p>
        </w:tc>
      </w:tr>
      <w:tr w:rsidR="009F2A4C" w:rsidRPr="00EF2C27" w:rsidTr="003934DE">
        <w:trPr>
          <w:trHeight w:val="405"/>
          <w:tblCellSpacing w:w="0" w:type="dxa"/>
        </w:trPr>
        <w:tc>
          <w:tcPr>
            <w:tcW w:w="709" w:type="dxa"/>
            <w:tcBorders>
              <w:top w:val="outset" w:sz="6" w:space="0" w:color="auto"/>
              <w:bottom w:val="outset" w:sz="6" w:space="0" w:color="auto"/>
              <w:right w:val="outset" w:sz="6" w:space="0" w:color="auto"/>
            </w:tcBorders>
          </w:tcPr>
          <w:p w:rsidR="009F2A4C" w:rsidRPr="00EF2C27" w:rsidRDefault="009F2A4C" w:rsidP="004C713C">
            <w:r w:rsidRPr="00EF2C27">
              <w:t> 5.</w:t>
            </w:r>
          </w:p>
        </w:tc>
        <w:tc>
          <w:tcPr>
            <w:tcW w:w="3828" w:type="dxa"/>
            <w:tcBorders>
              <w:top w:val="outset" w:sz="6" w:space="0" w:color="auto"/>
              <w:left w:val="outset" w:sz="6" w:space="0" w:color="auto"/>
              <w:bottom w:val="outset" w:sz="6" w:space="0" w:color="auto"/>
              <w:right w:val="outset" w:sz="6" w:space="0" w:color="auto"/>
            </w:tcBorders>
          </w:tcPr>
          <w:p w:rsidR="009F2A4C" w:rsidRPr="00EF2C27" w:rsidRDefault="009F2A4C" w:rsidP="004C713C">
            <w:r w:rsidRPr="00EF2C27">
              <w:t> Projekta izpildes ietekme uz pārvaldes institucionālo struktūru.</w:t>
            </w:r>
          </w:p>
          <w:p w:rsidR="009F2A4C" w:rsidRPr="00EF2C27" w:rsidRDefault="009F2A4C" w:rsidP="004C713C">
            <w:r w:rsidRPr="00EF2C27">
              <w:t>Esošu institūciju reorganizācija</w:t>
            </w:r>
          </w:p>
        </w:tc>
        <w:tc>
          <w:tcPr>
            <w:tcW w:w="4819" w:type="dxa"/>
            <w:tcBorders>
              <w:top w:val="outset" w:sz="6" w:space="0" w:color="auto"/>
              <w:left w:val="outset" w:sz="6" w:space="0" w:color="auto"/>
              <w:bottom w:val="outset" w:sz="6" w:space="0" w:color="auto"/>
            </w:tcBorders>
          </w:tcPr>
          <w:p w:rsidR="009F2A4C" w:rsidRPr="00EF2C27" w:rsidRDefault="009F2A4C" w:rsidP="004C713C">
            <w:pPr>
              <w:ind w:right="140"/>
              <w:jc w:val="both"/>
            </w:pPr>
            <w:r w:rsidRPr="00EF2C27">
              <w:t xml:space="preserve"> </w:t>
            </w:r>
            <w:r w:rsidR="003756E6" w:rsidRPr="00B13C1A">
              <w:t>Projekts šo jomu neskar</w:t>
            </w:r>
            <w:r w:rsidR="003756E6">
              <w:t>.</w:t>
            </w:r>
          </w:p>
        </w:tc>
      </w:tr>
      <w:tr w:rsidR="009F2A4C" w:rsidRPr="00EF2C27" w:rsidTr="003934DE">
        <w:trPr>
          <w:trHeight w:val="476"/>
          <w:tblCellSpacing w:w="0" w:type="dxa"/>
        </w:trPr>
        <w:tc>
          <w:tcPr>
            <w:tcW w:w="709" w:type="dxa"/>
            <w:tcBorders>
              <w:top w:val="outset" w:sz="6" w:space="0" w:color="auto"/>
              <w:bottom w:val="outset" w:sz="6" w:space="0" w:color="auto"/>
              <w:right w:val="outset" w:sz="6" w:space="0" w:color="auto"/>
            </w:tcBorders>
          </w:tcPr>
          <w:p w:rsidR="009F2A4C" w:rsidRPr="00EF2C27" w:rsidRDefault="009F2A4C" w:rsidP="004C713C">
            <w:r w:rsidRPr="00EF2C27">
              <w:t> 6.</w:t>
            </w:r>
          </w:p>
        </w:tc>
        <w:tc>
          <w:tcPr>
            <w:tcW w:w="3828" w:type="dxa"/>
            <w:tcBorders>
              <w:top w:val="outset" w:sz="6" w:space="0" w:color="auto"/>
              <w:left w:val="outset" w:sz="6" w:space="0" w:color="auto"/>
              <w:bottom w:val="outset" w:sz="6" w:space="0" w:color="auto"/>
              <w:right w:val="outset" w:sz="6" w:space="0" w:color="auto"/>
            </w:tcBorders>
          </w:tcPr>
          <w:p w:rsidR="009F2A4C" w:rsidRPr="00EF2C27" w:rsidRDefault="009F2A4C" w:rsidP="004C713C">
            <w:r w:rsidRPr="00EF2C27">
              <w:t> Cita informācija</w:t>
            </w:r>
          </w:p>
        </w:tc>
        <w:tc>
          <w:tcPr>
            <w:tcW w:w="4819" w:type="dxa"/>
            <w:tcBorders>
              <w:top w:val="outset" w:sz="6" w:space="0" w:color="auto"/>
              <w:left w:val="outset" w:sz="6" w:space="0" w:color="auto"/>
              <w:bottom w:val="outset" w:sz="6" w:space="0" w:color="auto"/>
            </w:tcBorders>
          </w:tcPr>
          <w:p w:rsidR="009F2A4C" w:rsidRPr="00EF2C27" w:rsidRDefault="009F2A4C" w:rsidP="004C713C">
            <w:r w:rsidRPr="00EF2C27">
              <w:t> Nav</w:t>
            </w:r>
          </w:p>
        </w:tc>
      </w:tr>
    </w:tbl>
    <w:p w:rsidR="00332CA2" w:rsidRDefault="00332CA2" w:rsidP="00FF1A2B">
      <w:pPr>
        <w:spacing w:before="75" w:after="75"/>
        <w:jc w:val="both"/>
        <w:rPr>
          <w:sz w:val="28"/>
          <w:szCs w:val="28"/>
        </w:rPr>
      </w:pPr>
    </w:p>
    <w:p w:rsidR="006A153A" w:rsidRDefault="006A153A" w:rsidP="009F2A4C">
      <w:pPr>
        <w:spacing w:before="75" w:after="75"/>
        <w:ind w:firstLine="375"/>
        <w:jc w:val="both"/>
        <w:rPr>
          <w:sz w:val="28"/>
          <w:szCs w:val="28"/>
        </w:rPr>
      </w:pPr>
    </w:p>
    <w:p w:rsidR="006A153A" w:rsidRDefault="006A153A" w:rsidP="009F2A4C">
      <w:pPr>
        <w:spacing w:before="75" w:after="75"/>
        <w:ind w:firstLine="375"/>
        <w:jc w:val="both"/>
        <w:rPr>
          <w:sz w:val="28"/>
          <w:szCs w:val="28"/>
        </w:rPr>
      </w:pPr>
    </w:p>
    <w:p w:rsidR="006A153A" w:rsidRDefault="006A153A" w:rsidP="009F2A4C">
      <w:pPr>
        <w:spacing w:before="75" w:after="75"/>
        <w:ind w:firstLine="375"/>
        <w:jc w:val="both"/>
        <w:rPr>
          <w:sz w:val="28"/>
          <w:szCs w:val="28"/>
        </w:rPr>
      </w:pPr>
    </w:p>
    <w:p w:rsidR="009F2A4C" w:rsidRPr="00EF2C27" w:rsidRDefault="009F2A4C" w:rsidP="009F2A4C">
      <w:pPr>
        <w:spacing w:before="75" w:after="75"/>
        <w:ind w:firstLine="375"/>
        <w:jc w:val="both"/>
        <w:rPr>
          <w:sz w:val="28"/>
          <w:szCs w:val="28"/>
        </w:rPr>
      </w:pPr>
      <w:r w:rsidRPr="00EF2C27">
        <w:rPr>
          <w:sz w:val="28"/>
          <w:szCs w:val="28"/>
        </w:rPr>
        <w:t>Veselības ministre</w:t>
      </w:r>
      <w:r w:rsidRPr="00EF2C27">
        <w:rPr>
          <w:sz w:val="28"/>
          <w:szCs w:val="28"/>
        </w:rPr>
        <w:tab/>
      </w:r>
      <w:r w:rsidRPr="00EF2C27">
        <w:rPr>
          <w:sz w:val="28"/>
          <w:szCs w:val="28"/>
        </w:rPr>
        <w:tab/>
      </w:r>
      <w:r w:rsidRPr="00EF2C27">
        <w:rPr>
          <w:sz w:val="28"/>
          <w:szCs w:val="28"/>
        </w:rPr>
        <w:tab/>
      </w:r>
      <w:r w:rsidRPr="00EF2C27">
        <w:rPr>
          <w:sz w:val="28"/>
          <w:szCs w:val="28"/>
        </w:rPr>
        <w:tab/>
      </w:r>
      <w:r w:rsidRPr="00EF2C27">
        <w:rPr>
          <w:sz w:val="28"/>
          <w:szCs w:val="28"/>
        </w:rPr>
        <w:tab/>
      </w:r>
      <w:r w:rsidRPr="00EF2C27">
        <w:rPr>
          <w:sz w:val="28"/>
          <w:szCs w:val="28"/>
        </w:rPr>
        <w:tab/>
      </w:r>
      <w:r w:rsidRPr="00EF2C27">
        <w:rPr>
          <w:sz w:val="28"/>
          <w:szCs w:val="28"/>
        </w:rPr>
        <w:tab/>
      </w:r>
      <w:r w:rsidR="00C326BE">
        <w:rPr>
          <w:sz w:val="28"/>
          <w:szCs w:val="28"/>
        </w:rPr>
        <w:t xml:space="preserve"> </w:t>
      </w:r>
      <w:r w:rsidRPr="00EF2C27">
        <w:rPr>
          <w:sz w:val="28"/>
          <w:szCs w:val="28"/>
        </w:rPr>
        <w:t>I.Circene</w:t>
      </w:r>
    </w:p>
    <w:p w:rsidR="00106CE1" w:rsidRDefault="00106CE1" w:rsidP="006D6377">
      <w:pPr>
        <w:autoSpaceDE w:val="0"/>
        <w:autoSpaceDN w:val="0"/>
        <w:adjustRightInd w:val="0"/>
        <w:jc w:val="both"/>
        <w:rPr>
          <w:bCs/>
          <w:sz w:val="22"/>
          <w:szCs w:val="22"/>
        </w:rPr>
      </w:pPr>
    </w:p>
    <w:p w:rsidR="006A153A" w:rsidRDefault="006A153A" w:rsidP="006D6377">
      <w:pPr>
        <w:autoSpaceDE w:val="0"/>
        <w:autoSpaceDN w:val="0"/>
        <w:adjustRightInd w:val="0"/>
        <w:jc w:val="both"/>
        <w:rPr>
          <w:bCs/>
          <w:sz w:val="22"/>
          <w:szCs w:val="22"/>
        </w:rPr>
      </w:pPr>
    </w:p>
    <w:p w:rsidR="006A153A" w:rsidRDefault="006A153A" w:rsidP="006D6377">
      <w:pPr>
        <w:autoSpaceDE w:val="0"/>
        <w:autoSpaceDN w:val="0"/>
        <w:adjustRightInd w:val="0"/>
        <w:jc w:val="both"/>
        <w:rPr>
          <w:bCs/>
          <w:sz w:val="22"/>
          <w:szCs w:val="22"/>
        </w:rPr>
      </w:pPr>
    </w:p>
    <w:p w:rsidR="006A153A" w:rsidRDefault="006A153A" w:rsidP="006D6377">
      <w:pPr>
        <w:autoSpaceDE w:val="0"/>
        <w:autoSpaceDN w:val="0"/>
        <w:adjustRightInd w:val="0"/>
        <w:jc w:val="both"/>
        <w:rPr>
          <w:bCs/>
          <w:sz w:val="22"/>
          <w:szCs w:val="22"/>
        </w:rPr>
      </w:pPr>
    </w:p>
    <w:p w:rsidR="00A17ABE" w:rsidRDefault="00A17ABE" w:rsidP="006D6377">
      <w:pPr>
        <w:autoSpaceDE w:val="0"/>
        <w:autoSpaceDN w:val="0"/>
        <w:adjustRightInd w:val="0"/>
        <w:jc w:val="both"/>
        <w:rPr>
          <w:bCs/>
          <w:sz w:val="22"/>
          <w:szCs w:val="22"/>
        </w:rPr>
      </w:pPr>
      <w:r>
        <w:rPr>
          <w:bCs/>
          <w:sz w:val="22"/>
          <w:szCs w:val="22"/>
        </w:rPr>
        <w:t xml:space="preserve">18.01.2013    </w:t>
      </w:r>
      <w:r w:rsidR="002B2762">
        <w:rPr>
          <w:bCs/>
          <w:sz w:val="22"/>
          <w:szCs w:val="22"/>
        </w:rPr>
        <w:t>16:00</w:t>
      </w:r>
    </w:p>
    <w:p w:rsidR="006D6377" w:rsidRPr="00C326BE" w:rsidRDefault="00A17ABE" w:rsidP="006D6377">
      <w:pPr>
        <w:autoSpaceDE w:val="0"/>
        <w:autoSpaceDN w:val="0"/>
        <w:adjustRightInd w:val="0"/>
        <w:jc w:val="both"/>
        <w:rPr>
          <w:sz w:val="22"/>
          <w:szCs w:val="22"/>
        </w:rPr>
      </w:pPr>
      <w:r>
        <w:rPr>
          <w:sz w:val="22"/>
          <w:szCs w:val="22"/>
        </w:rPr>
        <w:t>5756</w:t>
      </w:r>
    </w:p>
    <w:p w:rsidR="006D6377" w:rsidRPr="00C326BE" w:rsidRDefault="006D6377" w:rsidP="006D6377">
      <w:pPr>
        <w:jc w:val="both"/>
        <w:rPr>
          <w:sz w:val="22"/>
          <w:szCs w:val="22"/>
        </w:rPr>
      </w:pPr>
      <w:bookmarkStart w:id="3" w:name="OLE_LINK9"/>
      <w:r w:rsidRPr="00C326BE">
        <w:rPr>
          <w:sz w:val="22"/>
          <w:szCs w:val="22"/>
        </w:rPr>
        <w:t>Ž.Zvaigzne</w:t>
      </w:r>
    </w:p>
    <w:p w:rsidR="006D6377" w:rsidRPr="00C326BE" w:rsidRDefault="006D6377" w:rsidP="006D6377">
      <w:pPr>
        <w:jc w:val="both"/>
        <w:rPr>
          <w:sz w:val="22"/>
          <w:szCs w:val="22"/>
        </w:rPr>
      </w:pPr>
      <w:bookmarkStart w:id="4" w:name="OLE_LINK10"/>
      <w:bookmarkStart w:id="5" w:name="OLE_LINK11"/>
      <w:bookmarkEnd w:id="3"/>
      <w:r w:rsidRPr="00C326BE">
        <w:rPr>
          <w:sz w:val="22"/>
          <w:szCs w:val="22"/>
        </w:rPr>
        <w:t xml:space="preserve">67876041, </w:t>
      </w:r>
      <w:hyperlink r:id="rId10" w:history="1">
        <w:r w:rsidRPr="00C326BE">
          <w:rPr>
            <w:rStyle w:val="Hyperlink"/>
            <w:color w:val="auto"/>
            <w:sz w:val="22"/>
            <w:szCs w:val="22"/>
          </w:rPr>
          <w:t>Zanete.Zvaigzne@vm.gov.lv</w:t>
        </w:r>
      </w:hyperlink>
      <w:bookmarkEnd w:id="4"/>
      <w:bookmarkEnd w:id="5"/>
      <w:r w:rsidRPr="00C326BE">
        <w:rPr>
          <w:sz w:val="22"/>
          <w:szCs w:val="22"/>
        </w:rPr>
        <w:t xml:space="preserve"> </w:t>
      </w:r>
    </w:p>
    <w:p w:rsidR="0048135E" w:rsidRPr="004920C6" w:rsidRDefault="0048135E" w:rsidP="006D6377">
      <w:pPr>
        <w:jc w:val="both"/>
        <w:rPr>
          <w:sz w:val="22"/>
          <w:szCs w:val="22"/>
        </w:rPr>
      </w:pPr>
    </w:p>
    <w:sectPr w:rsidR="0048135E" w:rsidRPr="004920C6" w:rsidSect="0048135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C3" w:rsidRDefault="005F63C3" w:rsidP="007B67C1">
      <w:r>
        <w:separator/>
      </w:r>
    </w:p>
  </w:endnote>
  <w:endnote w:type="continuationSeparator" w:id="0">
    <w:p w:rsidR="005F63C3" w:rsidRDefault="005F63C3"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A4" w:rsidRPr="008C21F9" w:rsidRDefault="00C00B84" w:rsidP="008C21F9">
    <w:pPr>
      <w:jc w:val="both"/>
      <w:rPr>
        <w:sz w:val="22"/>
        <w:szCs w:val="22"/>
      </w:rPr>
    </w:pPr>
    <w:r>
      <w:rPr>
        <w:sz w:val="22"/>
        <w:szCs w:val="22"/>
      </w:rPr>
      <w:t>VMAnot_18</w:t>
    </w:r>
    <w:r w:rsidR="003E43A4">
      <w:rPr>
        <w:sz w:val="22"/>
        <w:szCs w:val="22"/>
      </w:rPr>
      <w:t>0113_cenr</w:t>
    </w:r>
    <w:r w:rsidR="003E43A4" w:rsidRPr="006D6377">
      <w:rPr>
        <w:sz w:val="22"/>
        <w:szCs w:val="22"/>
      </w:rPr>
      <w:t xml:space="preserve">; </w:t>
    </w:r>
    <w:r w:rsidR="003E43A4" w:rsidRPr="004C138D">
      <w:rPr>
        <w:sz w:val="22"/>
        <w:szCs w:val="22"/>
      </w:rPr>
      <w:t>Ministru kabineta noteikumu „</w:t>
    </w:r>
    <w:r w:rsidR="003E43A4">
      <w:rPr>
        <w:sz w:val="22"/>
        <w:szCs w:val="22"/>
      </w:rPr>
      <w:t xml:space="preserve">Zāļu valsts aģentūras  maksas pakalpojumu cenrādis” </w:t>
    </w:r>
    <w:r w:rsidR="003E43A4" w:rsidRPr="004A53E6">
      <w:rPr>
        <w:sz w:val="22"/>
        <w:szCs w:val="22"/>
      </w:rPr>
      <w:t>projekt</w:t>
    </w:r>
    <w:r w:rsidR="003E43A4">
      <w:rPr>
        <w:sz w:val="22"/>
        <w:szCs w:val="22"/>
      </w:rPr>
      <w:t xml:space="preserve">a </w:t>
    </w:r>
    <w:r w:rsidR="003E43A4" w:rsidRPr="006D6377">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A4" w:rsidRPr="006D6377" w:rsidRDefault="00C00B84" w:rsidP="0048135E">
    <w:pPr>
      <w:jc w:val="both"/>
      <w:rPr>
        <w:sz w:val="22"/>
        <w:szCs w:val="22"/>
      </w:rPr>
    </w:pPr>
    <w:r>
      <w:rPr>
        <w:sz w:val="22"/>
        <w:szCs w:val="22"/>
      </w:rPr>
      <w:t>VMAnot_18</w:t>
    </w:r>
    <w:r w:rsidR="003E43A4">
      <w:rPr>
        <w:sz w:val="22"/>
        <w:szCs w:val="22"/>
      </w:rPr>
      <w:t>0113_cenr</w:t>
    </w:r>
    <w:r w:rsidR="003E43A4" w:rsidRPr="006D6377">
      <w:rPr>
        <w:sz w:val="22"/>
        <w:szCs w:val="22"/>
      </w:rPr>
      <w:t xml:space="preserve">; </w:t>
    </w:r>
    <w:bookmarkStart w:id="6" w:name="OLE_LINK1"/>
    <w:bookmarkStart w:id="7" w:name="OLE_LINK2"/>
    <w:bookmarkStart w:id="8" w:name="_Hlk243982562"/>
    <w:bookmarkStart w:id="9" w:name="OLE_LINK15"/>
    <w:bookmarkStart w:id="10" w:name="OLE_LINK18"/>
    <w:bookmarkStart w:id="11" w:name="OLE_LINK19"/>
    <w:bookmarkStart w:id="12" w:name="_Hlk303765041"/>
    <w:bookmarkStart w:id="13" w:name="OLE_LINK20"/>
    <w:bookmarkStart w:id="14" w:name="OLE_LINK21"/>
    <w:bookmarkStart w:id="15" w:name="_Hlk337649503"/>
    <w:bookmarkStart w:id="16" w:name="OLE_LINK22"/>
    <w:bookmarkStart w:id="17" w:name="OLE_LINK23"/>
    <w:bookmarkStart w:id="18" w:name="_Hlk339282498"/>
    <w:bookmarkStart w:id="19" w:name="OLE_LINK24"/>
    <w:bookmarkStart w:id="20" w:name="OLE_LINK25"/>
    <w:bookmarkStart w:id="21" w:name="_Hlk340495617"/>
    <w:bookmarkStart w:id="22" w:name="OLE_LINK7"/>
    <w:bookmarkStart w:id="23" w:name="OLE_LINK8"/>
    <w:bookmarkStart w:id="24" w:name="_Hlk337215355"/>
    <w:r w:rsidR="003E43A4" w:rsidRPr="004C138D">
      <w:rPr>
        <w:sz w:val="22"/>
        <w:szCs w:val="22"/>
      </w:rPr>
      <w:t>Ministru kabineta noteikumu „</w:t>
    </w:r>
    <w:r w:rsidR="003E43A4">
      <w:rPr>
        <w:sz w:val="22"/>
        <w:szCs w:val="22"/>
      </w:rPr>
      <w:t xml:space="preserve">Zāļu valsts aģentūras  maksas pakalpojumu cenrādis” </w:t>
    </w:r>
    <w:r w:rsidR="003E43A4" w:rsidRPr="004A53E6">
      <w:rPr>
        <w:sz w:val="22"/>
        <w:szCs w:val="22"/>
      </w:rPr>
      <w:t>projekt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E43A4">
      <w:rPr>
        <w:sz w:val="22"/>
        <w:szCs w:val="22"/>
      </w:rPr>
      <w:t xml:space="preserve">a </w:t>
    </w:r>
    <w:r w:rsidR="003E43A4" w:rsidRPr="006D6377">
      <w:rPr>
        <w:sz w:val="22"/>
        <w:szCs w:val="22"/>
      </w:rPr>
      <w:t>sākotnējās ietekmes novērtējuma ziņojums (anotācija)</w:t>
    </w:r>
    <w:bookmarkEnd w:id="22"/>
    <w:bookmarkEnd w:id="23"/>
    <w:bookmarkEnd w:id="2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C3" w:rsidRDefault="005F63C3" w:rsidP="007B67C1">
      <w:r>
        <w:separator/>
      </w:r>
    </w:p>
  </w:footnote>
  <w:footnote w:type="continuationSeparator" w:id="0">
    <w:p w:rsidR="005F63C3" w:rsidRDefault="005F63C3"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A4" w:rsidRDefault="006B0CDB" w:rsidP="00760913">
    <w:pPr>
      <w:pStyle w:val="Header"/>
      <w:framePr w:wrap="around" w:vAnchor="text" w:hAnchor="margin" w:xAlign="center" w:y="1"/>
      <w:rPr>
        <w:rStyle w:val="PageNumber"/>
      </w:rPr>
    </w:pPr>
    <w:r>
      <w:rPr>
        <w:rStyle w:val="PageNumber"/>
      </w:rPr>
      <w:fldChar w:fldCharType="begin"/>
    </w:r>
    <w:r w:rsidR="003E43A4">
      <w:rPr>
        <w:rStyle w:val="PageNumber"/>
      </w:rPr>
      <w:instrText xml:space="preserve">PAGE  </w:instrText>
    </w:r>
    <w:r>
      <w:rPr>
        <w:rStyle w:val="PageNumber"/>
      </w:rPr>
      <w:fldChar w:fldCharType="separate"/>
    </w:r>
    <w:r w:rsidR="003E43A4">
      <w:rPr>
        <w:rStyle w:val="PageNumber"/>
        <w:noProof/>
      </w:rPr>
      <w:t>9</w:t>
    </w:r>
    <w:r>
      <w:rPr>
        <w:rStyle w:val="PageNumber"/>
      </w:rPr>
      <w:fldChar w:fldCharType="end"/>
    </w:r>
  </w:p>
  <w:p w:rsidR="003E43A4" w:rsidRDefault="003E4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A4" w:rsidRPr="006D6377" w:rsidRDefault="006B0CDB" w:rsidP="006D6377">
    <w:pPr>
      <w:pStyle w:val="Header"/>
      <w:framePr w:wrap="around" w:vAnchor="text" w:hAnchor="page" w:x="6074" w:y="-2"/>
      <w:rPr>
        <w:rStyle w:val="PageNumber"/>
        <w:sz w:val="22"/>
        <w:szCs w:val="22"/>
      </w:rPr>
    </w:pPr>
    <w:r w:rsidRPr="006D6377">
      <w:rPr>
        <w:rStyle w:val="PageNumber"/>
        <w:sz w:val="22"/>
        <w:szCs w:val="22"/>
      </w:rPr>
      <w:fldChar w:fldCharType="begin"/>
    </w:r>
    <w:r w:rsidR="003E43A4" w:rsidRPr="006D6377">
      <w:rPr>
        <w:rStyle w:val="PageNumber"/>
        <w:sz w:val="22"/>
        <w:szCs w:val="22"/>
      </w:rPr>
      <w:instrText xml:space="preserve">PAGE  </w:instrText>
    </w:r>
    <w:r w:rsidRPr="006D6377">
      <w:rPr>
        <w:rStyle w:val="PageNumber"/>
        <w:sz w:val="22"/>
        <w:szCs w:val="22"/>
      </w:rPr>
      <w:fldChar w:fldCharType="separate"/>
    </w:r>
    <w:r w:rsidR="002B2762">
      <w:rPr>
        <w:rStyle w:val="PageNumber"/>
        <w:noProof/>
        <w:sz w:val="22"/>
        <w:szCs w:val="22"/>
      </w:rPr>
      <w:t>18</w:t>
    </w:r>
    <w:r w:rsidRPr="006D6377">
      <w:rPr>
        <w:rStyle w:val="PageNumber"/>
        <w:sz w:val="22"/>
        <w:szCs w:val="22"/>
      </w:rPr>
      <w:fldChar w:fldCharType="end"/>
    </w:r>
  </w:p>
  <w:p w:rsidR="003E43A4" w:rsidRDefault="003E4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6D"/>
    <w:multiLevelType w:val="hybridMultilevel"/>
    <w:tmpl w:val="6DD2A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3">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6">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7">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0205D30"/>
    <w:multiLevelType w:val="hybridMultilevel"/>
    <w:tmpl w:val="A4445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1">
    <w:nsid w:val="4B0674F7"/>
    <w:multiLevelType w:val="hybridMultilevel"/>
    <w:tmpl w:val="DAD24A7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nsid w:val="4B901227"/>
    <w:multiLevelType w:val="hybridMultilevel"/>
    <w:tmpl w:val="C2141E6A"/>
    <w:lvl w:ilvl="0" w:tplc="75CC72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5">
    <w:nsid w:val="582F4F93"/>
    <w:multiLevelType w:val="hybridMultilevel"/>
    <w:tmpl w:val="815E6A20"/>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6">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5F1609A7"/>
    <w:multiLevelType w:val="hybridMultilevel"/>
    <w:tmpl w:val="71BA5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2B55495"/>
    <w:multiLevelType w:val="hybridMultilevel"/>
    <w:tmpl w:val="C2141E6A"/>
    <w:lvl w:ilvl="0" w:tplc="75CC72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7">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8">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9">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C6B6268"/>
    <w:multiLevelType w:val="hybridMultilevel"/>
    <w:tmpl w:val="71BA51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3"/>
  </w:num>
  <w:num w:numId="3">
    <w:abstractNumId w:val="4"/>
  </w:num>
  <w:num w:numId="4">
    <w:abstractNumId w:val="13"/>
  </w:num>
  <w:num w:numId="5">
    <w:abstractNumId w:val="5"/>
  </w:num>
  <w:num w:numId="6">
    <w:abstractNumId w:val="31"/>
  </w:num>
  <w:num w:numId="7">
    <w:abstractNumId w:val="14"/>
  </w:num>
  <w:num w:numId="8">
    <w:abstractNumId w:val="29"/>
  </w:num>
  <w:num w:numId="9">
    <w:abstractNumId w:val="18"/>
  </w:num>
  <w:num w:numId="10">
    <w:abstractNumId w:val="21"/>
  </w:num>
  <w:num w:numId="11">
    <w:abstractNumId w:val="27"/>
  </w:num>
  <w:num w:numId="12">
    <w:abstractNumId w:val="16"/>
  </w:num>
  <w:num w:numId="13">
    <w:abstractNumId w:val="6"/>
  </w:num>
  <w:num w:numId="14">
    <w:abstractNumId w:val="30"/>
  </w:num>
  <w:num w:numId="15">
    <w:abstractNumId w:val="34"/>
  </w:num>
  <w:num w:numId="16">
    <w:abstractNumId w:val="2"/>
  </w:num>
  <w:num w:numId="17">
    <w:abstractNumId w:val="7"/>
  </w:num>
  <w:num w:numId="18">
    <w:abstractNumId w:val="9"/>
  </w:num>
  <w:num w:numId="19">
    <w:abstractNumId w:val="20"/>
  </w:num>
  <w:num w:numId="20">
    <w:abstractNumId w:val="32"/>
  </w:num>
  <w:num w:numId="21">
    <w:abstractNumId w:val="10"/>
  </w:num>
  <w:num w:numId="22">
    <w:abstractNumId w:val="22"/>
  </w:num>
  <w:num w:numId="23">
    <w:abstractNumId w:val="15"/>
  </w:num>
  <w:num w:numId="24">
    <w:abstractNumId w:val="19"/>
  </w:num>
  <w:num w:numId="25">
    <w:abstractNumId w:val="26"/>
  </w:num>
  <w:num w:numId="26">
    <w:abstractNumId w:val="28"/>
  </w:num>
  <w:num w:numId="27">
    <w:abstractNumId w:val="1"/>
  </w:num>
  <w:num w:numId="28">
    <w:abstractNumId w:val="3"/>
  </w:num>
  <w:num w:numId="29">
    <w:abstractNumId w:val="17"/>
  </w:num>
  <w:num w:numId="30">
    <w:abstractNumId w:val="33"/>
  </w:num>
  <w:num w:numId="31">
    <w:abstractNumId w:val="8"/>
  </w:num>
  <w:num w:numId="32">
    <w:abstractNumId w:val="11"/>
  </w:num>
  <w:num w:numId="33">
    <w:abstractNumId w:val="12"/>
  </w:num>
  <w:num w:numId="34">
    <w:abstractNumId w:val="0"/>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0273"/>
    <w:rsid w:val="00002B7C"/>
    <w:rsid w:val="00004294"/>
    <w:rsid w:val="00004F97"/>
    <w:rsid w:val="0000621B"/>
    <w:rsid w:val="00007892"/>
    <w:rsid w:val="00012723"/>
    <w:rsid w:val="00024CFD"/>
    <w:rsid w:val="00032C41"/>
    <w:rsid w:val="00045F78"/>
    <w:rsid w:val="00046D6D"/>
    <w:rsid w:val="000504E6"/>
    <w:rsid w:val="00051096"/>
    <w:rsid w:val="00055C75"/>
    <w:rsid w:val="0005759D"/>
    <w:rsid w:val="00061FD7"/>
    <w:rsid w:val="000631BD"/>
    <w:rsid w:val="00067C40"/>
    <w:rsid w:val="00075212"/>
    <w:rsid w:val="00080D36"/>
    <w:rsid w:val="00081ACA"/>
    <w:rsid w:val="0008604D"/>
    <w:rsid w:val="0008770F"/>
    <w:rsid w:val="0009519F"/>
    <w:rsid w:val="000A0C4F"/>
    <w:rsid w:val="000A0D76"/>
    <w:rsid w:val="000A106D"/>
    <w:rsid w:val="000A71A7"/>
    <w:rsid w:val="000B0691"/>
    <w:rsid w:val="000B4376"/>
    <w:rsid w:val="000B44A0"/>
    <w:rsid w:val="000B650A"/>
    <w:rsid w:val="000C04CA"/>
    <w:rsid w:val="000C10AD"/>
    <w:rsid w:val="000C2795"/>
    <w:rsid w:val="000C68CC"/>
    <w:rsid w:val="000C74C6"/>
    <w:rsid w:val="000D489F"/>
    <w:rsid w:val="000E5EAB"/>
    <w:rsid w:val="000E630F"/>
    <w:rsid w:val="000E6373"/>
    <w:rsid w:val="000F3331"/>
    <w:rsid w:val="000F4314"/>
    <w:rsid w:val="000F4491"/>
    <w:rsid w:val="001011B2"/>
    <w:rsid w:val="0010318E"/>
    <w:rsid w:val="00103E5C"/>
    <w:rsid w:val="00106CE1"/>
    <w:rsid w:val="001076C8"/>
    <w:rsid w:val="00116FD9"/>
    <w:rsid w:val="00117D4A"/>
    <w:rsid w:val="0012135D"/>
    <w:rsid w:val="00122750"/>
    <w:rsid w:val="00125B14"/>
    <w:rsid w:val="00127ABB"/>
    <w:rsid w:val="00134821"/>
    <w:rsid w:val="0013598D"/>
    <w:rsid w:val="00135E4D"/>
    <w:rsid w:val="00136B92"/>
    <w:rsid w:val="001514C5"/>
    <w:rsid w:val="0015172E"/>
    <w:rsid w:val="00152114"/>
    <w:rsid w:val="0015343D"/>
    <w:rsid w:val="00155B98"/>
    <w:rsid w:val="001631A3"/>
    <w:rsid w:val="001779A9"/>
    <w:rsid w:val="00183198"/>
    <w:rsid w:val="00183C27"/>
    <w:rsid w:val="0018674C"/>
    <w:rsid w:val="00187163"/>
    <w:rsid w:val="0019022A"/>
    <w:rsid w:val="00190ADC"/>
    <w:rsid w:val="001A0234"/>
    <w:rsid w:val="001A0F02"/>
    <w:rsid w:val="001A4FD4"/>
    <w:rsid w:val="001A5D1D"/>
    <w:rsid w:val="001A78FF"/>
    <w:rsid w:val="001B2D95"/>
    <w:rsid w:val="001B57B6"/>
    <w:rsid w:val="001B7DF3"/>
    <w:rsid w:val="001C1F00"/>
    <w:rsid w:val="001C566C"/>
    <w:rsid w:val="001C762F"/>
    <w:rsid w:val="001E21E5"/>
    <w:rsid w:val="001E2E82"/>
    <w:rsid w:val="001E3129"/>
    <w:rsid w:val="001E5E16"/>
    <w:rsid w:val="001E64B6"/>
    <w:rsid w:val="001E75C6"/>
    <w:rsid w:val="001F4AE1"/>
    <w:rsid w:val="001F5FDF"/>
    <w:rsid w:val="001F680E"/>
    <w:rsid w:val="001F6FAC"/>
    <w:rsid w:val="002020CE"/>
    <w:rsid w:val="00212993"/>
    <w:rsid w:val="00214265"/>
    <w:rsid w:val="002147CD"/>
    <w:rsid w:val="002209E2"/>
    <w:rsid w:val="002237FC"/>
    <w:rsid w:val="00225B56"/>
    <w:rsid w:val="00230CD3"/>
    <w:rsid w:val="002322CD"/>
    <w:rsid w:val="00235D53"/>
    <w:rsid w:val="00242A13"/>
    <w:rsid w:val="00246B6D"/>
    <w:rsid w:val="00251DCE"/>
    <w:rsid w:val="00253838"/>
    <w:rsid w:val="002540A6"/>
    <w:rsid w:val="00254F21"/>
    <w:rsid w:val="00262196"/>
    <w:rsid w:val="00262853"/>
    <w:rsid w:val="00267A07"/>
    <w:rsid w:val="00270D4D"/>
    <w:rsid w:val="00276CC8"/>
    <w:rsid w:val="0028106E"/>
    <w:rsid w:val="00282C54"/>
    <w:rsid w:val="00286F8B"/>
    <w:rsid w:val="002912CA"/>
    <w:rsid w:val="00292BE4"/>
    <w:rsid w:val="002951E4"/>
    <w:rsid w:val="002A007B"/>
    <w:rsid w:val="002A0E56"/>
    <w:rsid w:val="002A3738"/>
    <w:rsid w:val="002A46FF"/>
    <w:rsid w:val="002B2762"/>
    <w:rsid w:val="002B7233"/>
    <w:rsid w:val="002C045F"/>
    <w:rsid w:val="002C1A82"/>
    <w:rsid w:val="002C3CCA"/>
    <w:rsid w:val="002D2633"/>
    <w:rsid w:val="002E2CF6"/>
    <w:rsid w:val="002E3391"/>
    <w:rsid w:val="002F4B17"/>
    <w:rsid w:val="00301C22"/>
    <w:rsid w:val="003123E4"/>
    <w:rsid w:val="003131B3"/>
    <w:rsid w:val="00320335"/>
    <w:rsid w:val="00321096"/>
    <w:rsid w:val="003228EE"/>
    <w:rsid w:val="00322A9E"/>
    <w:rsid w:val="00322FD7"/>
    <w:rsid w:val="0032452F"/>
    <w:rsid w:val="00332CA2"/>
    <w:rsid w:val="003413D8"/>
    <w:rsid w:val="00341F55"/>
    <w:rsid w:val="0034340F"/>
    <w:rsid w:val="00350C92"/>
    <w:rsid w:val="003532A4"/>
    <w:rsid w:val="003555CF"/>
    <w:rsid w:val="0035771F"/>
    <w:rsid w:val="0035794F"/>
    <w:rsid w:val="00363261"/>
    <w:rsid w:val="00371A0C"/>
    <w:rsid w:val="003756E6"/>
    <w:rsid w:val="00377213"/>
    <w:rsid w:val="0037738C"/>
    <w:rsid w:val="0038028F"/>
    <w:rsid w:val="0038130D"/>
    <w:rsid w:val="003833CB"/>
    <w:rsid w:val="003925A9"/>
    <w:rsid w:val="00392C91"/>
    <w:rsid w:val="003934DE"/>
    <w:rsid w:val="00394076"/>
    <w:rsid w:val="003961F0"/>
    <w:rsid w:val="0039686F"/>
    <w:rsid w:val="003A1F14"/>
    <w:rsid w:val="003A4D82"/>
    <w:rsid w:val="003B3F75"/>
    <w:rsid w:val="003C1367"/>
    <w:rsid w:val="003C253F"/>
    <w:rsid w:val="003C387C"/>
    <w:rsid w:val="003C46CE"/>
    <w:rsid w:val="003C4819"/>
    <w:rsid w:val="003C4C34"/>
    <w:rsid w:val="003C7C92"/>
    <w:rsid w:val="003D4363"/>
    <w:rsid w:val="003D5654"/>
    <w:rsid w:val="003E3D0F"/>
    <w:rsid w:val="003E3D24"/>
    <w:rsid w:val="003E43A4"/>
    <w:rsid w:val="003E5454"/>
    <w:rsid w:val="003E7046"/>
    <w:rsid w:val="003F5D43"/>
    <w:rsid w:val="00402AF9"/>
    <w:rsid w:val="00403599"/>
    <w:rsid w:val="0040512B"/>
    <w:rsid w:val="00412DB6"/>
    <w:rsid w:val="004155B8"/>
    <w:rsid w:val="00421597"/>
    <w:rsid w:val="00423CDB"/>
    <w:rsid w:val="0042482C"/>
    <w:rsid w:val="004264DE"/>
    <w:rsid w:val="00433E03"/>
    <w:rsid w:val="00445471"/>
    <w:rsid w:val="00445F70"/>
    <w:rsid w:val="0044700A"/>
    <w:rsid w:val="00450E03"/>
    <w:rsid w:val="00454942"/>
    <w:rsid w:val="004610CF"/>
    <w:rsid w:val="00461515"/>
    <w:rsid w:val="00474DAD"/>
    <w:rsid w:val="004803F3"/>
    <w:rsid w:val="00480994"/>
    <w:rsid w:val="0048135E"/>
    <w:rsid w:val="004838FB"/>
    <w:rsid w:val="0048441A"/>
    <w:rsid w:val="0048564C"/>
    <w:rsid w:val="00485EAD"/>
    <w:rsid w:val="0048790B"/>
    <w:rsid w:val="00491962"/>
    <w:rsid w:val="004920C6"/>
    <w:rsid w:val="0049246F"/>
    <w:rsid w:val="00494E14"/>
    <w:rsid w:val="004A0A49"/>
    <w:rsid w:val="004A2527"/>
    <w:rsid w:val="004A2C18"/>
    <w:rsid w:val="004A5C27"/>
    <w:rsid w:val="004A5E75"/>
    <w:rsid w:val="004B0CEF"/>
    <w:rsid w:val="004B0D23"/>
    <w:rsid w:val="004B2946"/>
    <w:rsid w:val="004B3E2F"/>
    <w:rsid w:val="004B4AA0"/>
    <w:rsid w:val="004B6347"/>
    <w:rsid w:val="004B6F22"/>
    <w:rsid w:val="004B7463"/>
    <w:rsid w:val="004B77FA"/>
    <w:rsid w:val="004C100D"/>
    <w:rsid w:val="004C1F10"/>
    <w:rsid w:val="004C713C"/>
    <w:rsid w:val="004C7D55"/>
    <w:rsid w:val="004D29FB"/>
    <w:rsid w:val="004D38FA"/>
    <w:rsid w:val="004D408C"/>
    <w:rsid w:val="004D476B"/>
    <w:rsid w:val="004D4CE2"/>
    <w:rsid w:val="004D7BE4"/>
    <w:rsid w:val="004E0909"/>
    <w:rsid w:val="004E247E"/>
    <w:rsid w:val="004F132C"/>
    <w:rsid w:val="004F27D4"/>
    <w:rsid w:val="004F320A"/>
    <w:rsid w:val="004F5AA7"/>
    <w:rsid w:val="00500E6D"/>
    <w:rsid w:val="00501A8F"/>
    <w:rsid w:val="005030D2"/>
    <w:rsid w:val="005050C5"/>
    <w:rsid w:val="005054A3"/>
    <w:rsid w:val="0051477C"/>
    <w:rsid w:val="00515917"/>
    <w:rsid w:val="00516279"/>
    <w:rsid w:val="00517E27"/>
    <w:rsid w:val="0052022E"/>
    <w:rsid w:val="0052079D"/>
    <w:rsid w:val="00531890"/>
    <w:rsid w:val="00536E7C"/>
    <w:rsid w:val="00543077"/>
    <w:rsid w:val="00544156"/>
    <w:rsid w:val="005457B8"/>
    <w:rsid w:val="00550EC2"/>
    <w:rsid w:val="005525D0"/>
    <w:rsid w:val="00561C1C"/>
    <w:rsid w:val="00561E73"/>
    <w:rsid w:val="00564BA7"/>
    <w:rsid w:val="00564D85"/>
    <w:rsid w:val="00566A41"/>
    <w:rsid w:val="0057144E"/>
    <w:rsid w:val="005740C4"/>
    <w:rsid w:val="00577641"/>
    <w:rsid w:val="00582414"/>
    <w:rsid w:val="0058758B"/>
    <w:rsid w:val="00593F6A"/>
    <w:rsid w:val="005959FF"/>
    <w:rsid w:val="005965E9"/>
    <w:rsid w:val="005A0560"/>
    <w:rsid w:val="005A2372"/>
    <w:rsid w:val="005A5B39"/>
    <w:rsid w:val="005B141A"/>
    <w:rsid w:val="005B773B"/>
    <w:rsid w:val="005C15AA"/>
    <w:rsid w:val="005C47BA"/>
    <w:rsid w:val="005C4FA8"/>
    <w:rsid w:val="005C6E43"/>
    <w:rsid w:val="005E47DA"/>
    <w:rsid w:val="005E4A0E"/>
    <w:rsid w:val="005E6E40"/>
    <w:rsid w:val="005E75D2"/>
    <w:rsid w:val="005F0758"/>
    <w:rsid w:val="005F3868"/>
    <w:rsid w:val="005F60F8"/>
    <w:rsid w:val="005F63C3"/>
    <w:rsid w:val="006025BA"/>
    <w:rsid w:val="00604A5A"/>
    <w:rsid w:val="00606A4B"/>
    <w:rsid w:val="00612F5F"/>
    <w:rsid w:val="0061476B"/>
    <w:rsid w:val="006156EB"/>
    <w:rsid w:val="006171B5"/>
    <w:rsid w:val="00621FB3"/>
    <w:rsid w:val="00622F5F"/>
    <w:rsid w:val="006234E9"/>
    <w:rsid w:val="006275E1"/>
    <w:rsid w:val="00631679"/>
    <w:rsid w:val="00631FBE"/>
    <w:rsid w:val="006331FF"/>
    <w:rsid w:val="00635293"/>
    <w:rsid w:val="00641A7A"/>
    <w:rsid w:val="006427D9"/>
    <w:rsid w:val="006427E4"/>
    <w:rsid w:val="006464B2"/>
    <w:rsid w:val="00651291"/>
    <w:rsid w:val="00653403"/>
    <w:rsid w:val="0065605D"/>
    <w:rsid w:val="00662484"/>
    <w:rsid w:val="0066370C"/>
    <w:rsid w:val="00664102"/>
    <w:rsid w:val="006675CA"/>
    <w:rsid w:val="00671362"/>
    <w:rsid w:val="00673F0A"/>
    <w:rsid w:val="0068380F"/>
    <w:rsid w:val="00683A2F"/>
    <w:rsid w:val="00687BFC"/>
    <w:rsid w:val="00690F1A"/>
    <w:rsid w:val="00693396"/>
    <w:rsid w:val="0069447E"/>
    <w:rsid w:val="00694D02"/>
    <w:rsid w:val="006A153A"/>
    <w:rsid w:val="006A6546"/>
    <w:rsid w:val="006A7C97"/>
    <w:rsid w:val="006B01E0"/>
    <w:rsid w:val="006B0CDB"/>
    <w:rsid w:val="006B62BF"/>
    <w:rsid w:val="006B646E"/>
    <w:rsid w:val="006B7A13"/>
    <w:rsid w:val="006C705B"/>
    <w:rsid w:val="006D6377"/>
    <w:rsid w:val="006D6540"/>
    <w:rsid w:val="006F03FD"/>
    <w:rsid w:val="006F0BB6"/>
    <w:rsid w:val="006F178B"/>
    <w:rsid w:val="007012D2"/>
    <w:rsid w:val="007036F0"/>
    <w:rsid w:val="00704307"/>
    <w:rsid w:val="007151F0"/>
    <w:rsid w:val="00715657"/>
    <w:rsid w:val="007174E1"/>
    <w:rsid w:val="007208FA"/>
    <w:rsid w:val="00723AE3"/>
    <w:rsid w:val="0072418F"/>
    <w:rsid w:val="00725315"/>
    <w:rsid w:val="00727BE5"/>
    <w:rsid w:val="00733E01"/>
    <w:rsid w:val="00735DB5"/>
    <w:rsid w:val="0073622A"/>
    <w:rsid w:val="0074074E"/>
    <w:rsid w:val="00744F86"/>
    <w:rsid w:val="00745B83"/>
    <w:rsid w:val="00746C22"/>
    <w:rsid w:val="0075227D"/>
    <w:rsid w:val="00754FF6"/>
    <w:rsid w:val="00760913"/>
    <w:rsid w:val="00761FC8"/>
    <w:rsid w:val="007662C5"/>
    <w:rsid w:val="007672BA"/>
    <w:rsid w:val="00782D74"/>
    <w:rsid w:val="007835C8"/>
    <w:rsid w:val="00791247"/>
    <w:rsid w:val="007918C7"/>
    <w:rsid w:val="00791D2D"/>
    <w:rsid w:val="007949D6"/>
    <w:rsid w:val="00796083"/>
    <w:rsid w:val="007A73A7"/>
    <w:rsid w:val="007B048C"/>
    <w:rsid w:val="007B0660"/>
    <w:rsid w:val="007B569C"/>
    <w:rsid w:val="007B5CB5"/>
    <w:rsid w:val="007B62D5"/>
    <w:rsid w:val="007B67C1"/>
    <w:rsid w:val="007C2DF7"/>
    <w:rsid w:val="007D1A6B"/>
    <w:rsid w:val="007D41F0"/>
    <w:rsid w:val="007D4E4B"/>
    <w:rsid w:val="007D60A4"/>
    <w:rsid w:val="007D64AF"/>
    <w:rsid w:val="007D68FD"/>
    <w:rsid w:val="007E1CB5"/>
    <w:rsid w:val="007E35F6"/>
    <w:rsid w:val="007E44E4"/>
    <w:rsid w:val="007E58BF"/>
    <w:rsid w:val="007E7EF0"/>
    <w:rsid w:val="007F1D66"/>
    <w:rsid w:val="007F2BBD"/>
    <w:rsid w:val="00800726"/>
    <w:rsid w:val="008014EA"/>
    <w:rsid w:val="0080401A"/>
    <w:rsid w:val="008074A9"/>
    <w:rsid w:val="0080768C"/>
    <w:rsid w:val="00814821"/>
    <w:rsid w:val="00816857"/>
    <w:rsid w:val="008236DB"/>
    <w:rsid w:val="00823B5D"/>
    <w:rsid w:val="00823E2B"/>
    <w:rsid w:val="00825BDA"/>
    <w:rsid w:val="00847B24"/>
    <w:rsid w:val="00851051"/>
    <w:rsid w:val="00851B44"/>
    <w:rsid w:val="00852F1F"/>
    <w:rsid w:val="00857C61"/>
    <w:rsid w:val="00872FA0"/>
    <w:rsid w:val="0087341E"/>
    <w:rsid w:val="00880C2E"/>
    <w:rsid w:val="00886320"/>
    <w:rsid w:val="008902F4"/>
    <w:rsid w:val="008A14DE"/>
    <w:rsid w:val="008A20F7"/>
    <w:rsid w:val="008A495D"/>
    <w:rsid w:val="008A5DA2"/>
    <w:rsid w:val="008B3E2E"/>
    <w:rsid w:val="008B4640"/>
    <w:rsid w:val="008B5010"/>
    <w:rsid w:val="008C00E9"/>
    <w:rsid w:val="008C217A"/>
    <w:rsid w:val="008C21F9"/>
    <w:rsid w:val="008C461F"/>
    <w:rsid w:val="008C6AC6"/>
    <w:rsid w:val="008D2A7D"/>
    <w:rsid w:val="008D7EDA"/>
    <w:rsid w:val="008E1103"/>
    <w:rsid w:val="008E1CDE"/>
    <w:rsid w:val="008E5798"/>
    <w:rsid w:val="008E62EB"/>
    <w:rsid w:val="008E72A1"/>
    <w:rsid w:val="008F3CF3"/>
    <w:rsid w:val="008F41E3"/>
    <w:rsid w:val="008F55E3"/>
    <w:rsid w:val="008F5CDE"/>
    <w:rsid w:val="009018B5"/>
    <w:rsid w:val="009019AD"/>
    <w:rsid w:val="009028B9"/>
    <w:rsid w:val="00902FB2"/>
    <w:rsid w:val="009050C5"/>
    <w:rsid w:val="00920CE5"/>
    <w:rsid w:val="0092352A"/>
    <w:rsid w:val="0092363C"/>
    <w:rsid w:val="00925746"/>
    <w:rsid w:val="00926618"/>
    <w:rsid w:val="009279BD"/>
    <w:rsid w:val="009345DE"/>
    <w:rsid w:val="009361DD"/>
    <w:rsid w:val="00940E12"/>
    <w:rsid w:val="0094181A"/>
    <w:rsid w:val="00941A69"/>
    <w:rsid w:val="00943061"/>
    <w:rsid w:val="00943145"/>
    <w:rsid w:val="0094710F"/>
    <w:rsid w:val="009511EC"/>
    <w:rsid w:val="00951716"/>
    <w:rsid w:val="00951D91"/>
    <w:rsid w:val="00952FDE"/>
    <w:rsid w:val="00955DFC"/>
    <w:rsid w:val="00962724"/>
    <w:rsid w:val="009637CC"/>
    <w:rsid w:val="0096404E"/>
    <w:rsid w:val="00966D83"/>
    <w:rsid w:val="009701FA"/>
    <w:rsid w:val="00970E30"/>
    <w:rsid w:val="00972D69"/>
    <w:rsid w:val="009851ED"/>
    <w:rsid w:val="009A5CA9"/>
    <w:rsid w:val="009A644E"/>
    <w:rsid w:val="009A6EC8"/>
    <w:rsid w:val="009B382E"/>
    <w:rsid w:val="009B4069"/>
    <w:rsid w:val="009B6262"/>
    <w:rsid w:val="009B6EA9"/>
    <w:rsid w:val="009C1589"/>
    <w:rsid w:val="009C2705"/>
    <w:rsid w:val="009C3044"/>
    <w:rsid w:val="009C6EE6"/>
    <w:rsid w:val="009C75CA"/>
    <w:rsid w:val="009D0E2C"/>
    <w:rsid w:val="009D1107"/>
    <w:rsid w:val="009D3419"/>
    <w:rsid w:val="009D3BE2"/>
    <w:rsid w:val="009D581B"/>
    <w:rsid w:val="009D7FEA"/>
    <w:rsid w:val="009E4386"/>
    <w:rsid w:val="009E684E"/>
    <w:rsid w:val="009E6A38"/>
    <w:rsid w:val="009E6E9E"/>
    <w:rsid w:val="009F0273"/>
    <w:rsid w:val="009F263A"/>
    <w:rsid w:val="009F2A4C"/>
    <w:rsid w:val="009F3C4C"/>
    <w:rsid w:val="009F3F04"/>
    <w:rsid w:val="009F5817"/>
    <w:rsid w:val="00A001E5"/>
    <w:rsid w:val="00A01004"/>
    <w:rsid w:val="00A010BA"/>
    <w:rsid w:val="00A029E1"/>
    <w:rsid w:val="00A04566"/>
    <w:rsid w:val="00A17ABE"/>
    <w:rsid w:val="00A231B6"/>
    <w:rsid w:val="00A233B2"/>
    <w:rsid w:val="00A3099D"/>
    <w:rsid w:val="00A37556"/>
    <w:rsid w:val="00A40148"/>
    <w:rsid w:val="00A46D75"/>
    <w:rsid w:val="00A60142"/>
    <w:rsid w:val="00A60ECE"/>
    <w:rsid w:val="00A61230"/>
    <w:rsid w:val="00A61D0A"/>
    <w:rsid w:val="00A6346C"/>
    <w:rsid w:val="00A729D0"/>
    <w:rsid w:val="00A75266"/>
    <w:rsid w:val="00A76CA9"/>
    <w:rsid w:val="00A84A9C"/>
    <w:rsid w:val="00A8775E"/>
    <w:rsid w:val="00A9085E"/>
    <w:rsid w:val="00AA6021"/>
    <w:rsid w:val="00AA71ED"/>
    <w:rsid w:val="00AB13D0"/>
    <w:rsid w:val="00AB25F1"/>
    <w:rsid w:val="00AB5392"/>
    <w:rsid w:val="00AB6D58"/>
    <w:rsid w:val="00AB6EB1"/>
    <w:rsid w:val="00AC1247"/>
    <w:rsid w:val="00AC66B5"/>
    <w:rsid w:val="00AC66D4"/>
    <w:rsid w:val="00AC7767"/>
    <w:rsid w:val="00AC7A41"/>
    <w:rsid w:val="00AD6174"/>
    <w:rsid w:val="00AE2054"/>
    <w:rsid w:val="00AE40A4"/>
    <w:rsid w:val="00AE5DE7"/>
    <w:rsid w:val="00AE6E02"/>
    <w:rsid w:val="00AF1DD9"/>
    <w:rsid w:val="00AF39C6"/>
    <w:rsid w:val="00AF4DBA"/>
    <w:rsid w:val="00B0086F"/>
    <w:rsid w:val="00B04B93"/>
    <w:rsid w:val="00B06DEE"/>
    <w:rsid w:val="00B11B70"/>
    <w:rsid w:val="00B12465"/>
    <w:rsid w:val="00B12F9F"/>
    <w:rsid w:val="00B15877"/>
    <w:rsid w:val="00B162EA"/>
    <w:rsid w:val="00B210FA"/>
    <w:rsid w:val="00B26739"/>
    <w:rsid w:val="00B26762"/>
    <w:rsid w:val="00B40A6B"/>
    <w:rsid w:val="00B41DA6"/>
    <w:rsid w:val="00B44C95"/>
    <w:rsid w:val="00B46A37"/>
    <w:rsid w:val="00B50C94"/>
    <w:rsid w:val="00B54BDB"/>
    <w:rsid w:val="00B601D1"/>
    <w:rsid w:val="00B64626"/>
    <w:rsid w:val="00B674B5"/>
    <w:rsid w:val="00B719AD"/>
    <w:rsid w:val="00B80846"/>
    <w:rsid w:val="00B835FF"/>
    <w:rsid w:val="00B84334"/>
    <w:rsid w:val="00B84349"/>
    <w:rsid w:val="00B87C77"/>
    <w:rsid w:val="00B92A66"/>
    <w:rsid w:val="00B9310B"/>
    <w:rsid w:val="00BA09A7"/>
    <w:rsid w:val="00BA3563"/>
    <w:rsid w:val="00BA384D"/>
    <w:rsid w:val="00BA41C2"/>
    <w:rsid w:val="00BA4A51"/>
    <w:rsid w:val="00BA4AAC"/>
    <w:rsid w:val="00BA5571"/>
    <w:rsid w:val="00BA68B6"/>
    <w:rsid w:val="00BB3388"/>
    <w:rsid w:val="00BB4165"/>
    <w:rsid w:val="00BB6C7D"/>
    <w:rsid w:val="00BD1027"/>
    <w:rsid w:val="00BD3C3E"/>
    <w:rsid w:val="00BD3F6F"/>
    <w:rsid w:val="00BD5885"/>
    <w:rsid w:val="00BD6A36"/>
    <w:rsid w:val="00BD7E6D"/>
    <w:rsid w:val="00BE208B"/>
    <w:rsid w:val="00BE25A3"/>
    <w:rsid w:val="00BE286C"/>
    <w:rsid w:val="00BE65C4"/>
    <w:rsid w:val="00BF1CDA"/>
    <w:rsid w:val="00BF1ED3"/>
    <w:rsid w:val="00BF3C78"/>
    <w:rsid w:val="00C00109"/>
    <w:rsid w:val="00C00719"/>
    <w:rsid w:val="00C00B84"/>
    <w:rsid w:val="00C012CD"/>
    <w:rsid w:val="00C04BD6"/>
    <w:rsid w:val="00C0643A"/>
    <w:rsid w:val="00C07763"/>
    <w:rsid w:val="00C07FD2"/>
    <w:rsid w:val="00C11CDF"/>
    <w:rsid w:val="00C13C33"/>
    <w:rsid w:val="00C16D6E"/>
    <w:rsid w:val="00C21FD5"/>
    <w:rsid w:val="00C25B67"/>
    <w:rsid w:val="00C27F69"/>
    <w:rsid w:val="00C306A1"/>
    <w:rsid w:val="00C30DD0"/>
    <w:rsid w:val="00C326BE"/>
    <w:rsid w:val="00C32887"/>
    <w:rsid w:val="00C46AB0"/>
    <w:rsid w:val="00C47469"/>
    <w:rsid w:val="00C4785C"/>
    <w:rsid w:val="00C47CAA"/>
    <w:rsid w:val="00C503E0"/>
    <w:rsid w:val="00C535F7"/>
    <w:rsid w:val="00C53721"/>
    <w:rsid w:val="00C55053"/>
    <w:rsid w:val="00C550E7"/>
    <w:rsid w:val="00C55A21"/>
    <w:rsid w:val="00C55CB3"/>
    <w:rsid w:val="00C618C1"/>
    <w:rsid w:val="00C61C9F"/>
    <w:rsid w:val="00C704E7"/>
    <w:rsid w:val="00C72925"/>
    <w:rsid w:val="00C74DB1"/>
    <w:rsid w:val="00C75071"/>
    <w:rsid w:val="00C85189"/>
    <w:rsid w:val="00C85F3B"/>
    <w:rsid w:val="00C90965"/>
    <w:rsid w:val="00CA121D"/>
    <w:rsid w:val="00CA17BA"/>
    <w:rsid w:val="00CA4563"/>
    <w:rsid w:val="00CA4C66"/>
    <w:rsid w:val="00CB1360"/>
    <w:rsid w:val="00CB2B5A"/>
    <w:rsid w:val="00CB5CAE"/>
    <w:rsid w:val="00CB72E0"/>
    <w:rsid w:val="00CB74A5"/>
    <w:rsid w:val="00CC12C6"/>
    <w:rsid w:val="00CC1698"/>
    <w:rsid w:val="00CC2724"/>
    <w:rsid w:val="00CC634F"/>
    <w:rsid w:val="00CC6565"/>
    <w:rsid w:val="00CD26E6"/>
    <w:rsid w:val="00CD569E"/>
    <w:rsid w:val="00CD6F94"/>
    <w:rsid w:val="00CE5525"/>
    <w:rsid w:val="00CF1E4B"/>
    <w:rsid w:val="00CF69AE"/>
    <w:rsid w:val="00D04E87"/>
    <w:rsid w:val="00D07576"/>
    <w:rsid w:val="00D11E56"/>
    <w:rsid w:val="00D1463E"/>
    <w:rsid w:val="00D227CB"/>
    <w:rsid w:val="00D249FB"/>
    <w:rsid w:val="00D24FDE"/>
    <w:rsid w:val="00D26D63"/>
    <w:rsid w:val="00D278AC"/>
    <w:rsid w:val="00D33072"/>
    <w:rsid w:val="00D33C6C"/>
    <w:rsid w:val="00D42BA9"/>
    <w:rsid w:val="00D47A40"/>
    <w:rsid w:val="00D53AE0"/>
    <w:rsid w:val="00D53C41"/>
    <w:rsid w:val="00D53E1F"/>
    <w:rsid w:val="00D56F24"/>
    <w:rsid w:val="00D60744"/>
    <w:rsid w:val="00D613BB"/>
    <w:rsid w:val="00D62A78"/>
    <w:rsid w:val="00D70479"/>
    <w:rsid w:val="00D71846"/>
    <w:rsid w:val="00D74DD8"/>
    <w:rsid w:val="00D76220"/>
    <w:rsid w:val="00D83B70"/>
    <w:rsid w:val="00D84047"/>
    <w:rsid w:val="00D84452"/>
    <w:rsid w:val="00D85648"/>
    <w:rsid w:val="00D86CC0"/>
    <w:rsid w:val="00D87067"/>
    <w:rsid w:val="00D9105D"/>
    <w:rsid w:val="00D93F4E"/>
    <w:rsid w:val="00D962F8"/>
    <w:rsid w:val="00DB0BDF"/>
    <w:rsid w:val="00DB3901"/>
    <w:rsid w:val="00DB4B01"/>
    <w:rsid w:val="00DC5AC4"/>
    <w:rsid w:val="00DD06BE"/>
    <w:rsid w:val="00DD122A"/>
    <w:rsid w:val="00DD351B"/>
    <w:rsid w:val="00DD3990"/>
    <w:rsid w:val="00DD4717"/>
    <w:rsid w:val="00DD713B"/>
    <w:rsid w:val="00DE079A"/>
    <w:rsid w:val="00DE265C"/>
    <w:rsid w:val="00DE2DD5"/>
    <w:rsid w:val="00DE5DD7"/>
    <w:rsid w:val="00DF0882"/>
    <w:rsid w:val="00DF0B36"/>
    <w:rsid w:val="00DF66A0"/>
    <w:rsid w:val="00E022D8"/>
    <w:rsid w:val="00E03130"/>
    <w:rsid w:val="00E074A4"/>
    <w:rsid w:val="00E075DA"/>
    <w:rsid w:val="00E10A03"/>
    <w:rsid w:val="00E12B97"/>
    <w:rsid w:val="00E12E74"/>
    <w:rsid w:val="00E152D5"/>
    <w:rsid w:val="00E248E1"/>
    <w:rsid w:val="00E260D7"/>
    <w:rsid w:val="00E26E66"/>
    <w:rsid w:val="00E370A0"/>
    <w:rsid w:val="00E37113"/>
    <w:rsid w:val="00E41ABF"/>
    <w:rsid w:val="00E503E3"/>
    <w:rsid w:val="00E63825"/>
    <w:rsid w:val="00E65B78"/>
    <w:rsid w:val="00E660E6"/>
    <w:rsid w:val="00E6667B"/>
    <w:rsid w:val="00E66779"/>
    <w:rsid w:val="00E70A6C"/>
    <w:rsid w:val="00E75DFD"/>
    <w:rsid w:val="00E77B3E"/>
    <w:rsid w:val="00E8385C"/>
    <w:rsid w:val="00E85777"/>
    <w:rsid w:val="00EA0348"/>
    <w:rsid w:val="00EA07E7"/>
    <w:rsid w:val="00EA3010"/>
    <w:rsid w:val="00EA62D1"/>
    <w:rsid w:val="00EB18DA"/>
    <w:rsid w:val="00EC2D81"/>
    <w:rsid w:val="00EC2EC7"/>
    <w:rsid w:val="00EC3C5E"/>
    <w:rsid w:val="00EC792E"/>
    <w:rsid w:val="00ED1412"/>
    <w:rsid w:val="00EE0954"/>
    <w:rsid w:val="00EE616A"/>
    <w:rsid w:val="00EE7BB0"/>
    <w:rsid w:val="00EF2BB0"/>
    <w:rsid w:val="00EF2C27"/>
    <w:rsid w:val="00EF4276"/>
    <w:rsid w:val="00F0371B"/>
    <w:rsid w:val="00F06AEF"/>
    <w:rsid w:val="00F07309"/>
    <w:rsid w:val="00F1369F"/>
    <w:rsid w:val="00F1426F"/>
    <w:rsid w:val="00F23595"/>
    <w:rsid w:val="00F23C79"/>
    <w:rsid w:val="00F24A58"/>
    <w:rsid w:val="00F30DF8"/>
    <w:rsid w:val="00F32A55"/>
    <w:rsid w:val="00F468A2"/>
    <w:rsid w:val="00F5214B"/>
    <w:rsid w:val="00F522EA"/>
    <w:rsid w:val="00F52AAF"/>
    <w:rsid w:val="00F54F1E"/>
    <w:rsid w:val="00F56075"/>
    <w:rsid w:val="00F56A12"/>
    <w:rsid w:val="00F63756"/>
    <w:rsid w:val="00F65E94"/>
    <w:rsid w:val="00F66E0C"/>
    <w:rsid w:val="00F7312C"/>
    <w:rsid w:val="00F73757"/>
    <w:rsid w:val="00F745F4"/>
    <w:rsid w:val="00F84EC0"/>
    <w:rsid w:val="00F86DFC"/>
    <w:rsid w:val="00F90B42"/>
    <w:rsid w:val="00F91193"/>
    <w:rsid w:val="00F92671"/>
    <w:rsid w:val="00F926ED"/>
    <w:rsid w:val="00F958E9"/>
    <w:rsid w:val="00FA6713"/>
    <w:rsid w:val="00FB0114"/>
    <w:rsid w:val="00FB0528"/>
    <w:rsid w:val="00FB25FF"/>
    <w:rsid w:val="00FB42C0"/>
    <w:rsid w:val="00FB5953"/>
    <w:rsid w:val="00FC63FD"/>
    <w:rsid w:val="00FC6802"/>
    <w:rsid w:val="00FD5EAC"/>
    <w:rsid w:val="00FE0975"/>
    <w:rsid w:val="00FE17F9"/>
    <w:rsid w:val="00FF1A2B"/>
    <w:rsid w:val="00FF3152"/>
    <w:rsid w:val="00FF4A1E"/>
    <w:rsid w:val="00FF7453"/>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6">
    <w:name w:val="heading 6"/>
    <w:basedOn w:val="Normal"/>
    <w:next w:val="Normal"/>
    <w:link w:val="Heading6Char"/>
    <w:qFormat/>
    <w:rsid w:val="0048135E"/>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uiPriority w:val="99"/>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character" w:customStyle="1" w:styleId="Heading6Char">
    <w:name w:val="Heading 6 Char"/>
    <w:basedOn w:val="DefaultParagraphFont"/>
    <w:link w:val="Heading6"/>
    <w:rsid w:val="0048135E"/>
    <w:rPr>
      <w:rFonts w:ascii="Times New Roman" w:eastAsia="Times New Roman" w:hAnsi="Times New Roman"/>
      <w:b/>
      <w:bCs/>
      <w:sz w:val="22"/>
      <w:szCs w:val="22"/>
      <w:lang w:val="en-AU"/>
    </w:rPr>
  </w:style>
  <w:style w:type="paragraph" w:customStyle="1" w:styleId="naisnod">
    <w:name w:val="naisnod"/>
    <w:basedOn w:val="Normal"/>
    <w:rsid w:val="0048135E"/>
    <w:pPr>
      <w:spacing w:before="150" w:after="150"/>
      <w:jc w:val="center"/>
    </w:pPr>
    <w:rPr>
      <w:b/>
      <w:bCs/>
    </w:rPr>
  </w:style>
  <w:style w:type="character" w:customStyle="1" w:styleId="lbldescriptioncl">
    <w:name w:val="lbldescriptioncl"/>
    <w:basedOn w:val="DefaultParagraphFont"/>
    <w:rsid w:val="00187163"/>
  </w:style>
  <w:style w:type="character" w:customStyle="1" w:styleId="NormalWebChar">
    <w:name w:val="Normal (Web) Char"/>
    <w:basedOn w:val="DefaultParagraphFont"/>
    <w:link w:val="NormalWeb"/>
    <w:rsid w:val="00641A7A"/>
    <w:rPr>
      <w:rFonts w:ascii="Times New Roman" w:eastAsia="Times New Roman" w:hAnsi="Times New Roman"/>
      <w:sz w:val="24"/>
      <w:szCs w:val="24"/>
      <w:lang w:val="lv-LV" w:eastAsia="lv-LV"/>
    </w:rPr>
  </w:style>
  <w:style w:type="paragraph" w:customStyle="1" w:styleId="CM4">
    <w:name w:val="CM4"/>
    <w:basedOn w:val="Normal"/>
    <w:next w:val="Normal"/>
    <w:uiPriority w:val="99"/>
    <w:rsid w:val="00CF69AE"/>
    <w:pPr>
      <w:autoSpaceDE w:val="0"/>
      <w:autoSpaceDN w:val="0"/>
      <w:adjustRightInd w:val="0"/>
    </w:pPr>
    <w:rPr>
      <w:rFonts w:eastAsia="Calibri"/>
      <w:lang w:val="en-US" w:eastAsia="en-US"/>
    </w:rPr>
  </w:style>
  <w:style w:type="character" w:styleId="PlaceholderText">
    <w:name w:val="Placeholder Text"/>
    <w:basedOn w:val="DefaultParagraphFont"/>
    <w:uiPriority w:val="99"/>
    <w:semiHidden/>
    <w:rsid w:val="00791247"/>
    <w:rPr>
      <w:color w:val="808080"/>
    </w:rPr>
  </w:style>
  <w:style w:type="paragraph" w:styleId="BodyText2">
    <w:name w:val="Body Text 2"/>
    <w:basedOn w:val="Normal"/>
    <w:link w:val="BodyText2Char"/>
    <w:rsid w:val="00791247"/>
    <w:pPr>
      <w:jc w:val="both"/>
    </w:pPr>
    <w:rPr>
      <w:noProof/>
      <w:sz w:val="28"/>
      <w:szCs w:val="20"/>
      <w:lang w:eastAsia="en-US"/>
    </w:rPr>
  </w:style>
  <w:style w:type="character" w:customStyle="1" w:styleId="BodyText2Char">
    <w:name w:val="Body Text 2 Char"/>
    <w:basedOn w:val="DefaultParagraphFont"/>
    <w:link w:val="BodyText2"/>
    <w:rsid w:val="00791247"/>
    <w:rPr>
      <w:rFonts w:ascii="Times New Roman" w:eastAsia="Times New Roman" w:hAnsi="Times New Roman"/>
      <w:noProof/>
      <w:sz w:val="28"/>
      <w:lang w:val="lv-LV"/>
    </w:rPr>
  </w:style>
</w:styles>
</file>

<file path=word/webSettings.xml><?xml version="1.0" encoding="utf-8"?>
<w:webSettings xmlns:r="http://schemas.openxmlformats.org/officeDocument/2006/relationships" xmlns:w="http://schemas.openxmlformats.org/wordprocessingml/2006/main">
  <w:divs>
    <w:div w:id="1290938369">
      <w:bodyDiv w:val="1"/>
      <w:marLeft w:val="45"/>
      <w:marRight w:val="45"/>
      <w:marTop w:val="90"/>
      <w:marBottom w:val="90"/>
      <w:divBdr>
        <w:top w:val="none" w:sz="0" w:space="0" w:color="auto"/>
        <w:left w:val="none" w:sz="0" w:space="0" w:color="auto"/>
        <w:bottom w:val="none" w:sz="0" w:space="0" w:color="auto"/>
        <w:right w:val="none" w:sz="0" w:space="0" w:color="auto"/>
      </w:divBdr>
      <w:divsChild>
        <w:div w:id="676923041">
          <w:marLeft w:val="480"/>
          <w:marRight w:val="0"/>
          <w:marTop w:val="0"/>
          <w:marBottom w:val="0"/>
          <w:divBdr>
            <w:top w:val="none" w:sz="0" w:space="0" w:color="auto"/>
            <w:left w:val="none" w:sz="0" w:space="0" w:color="auto"/>
            <w:bottom w:val="none" w:sz="0" w:space="0" w:color="auto"/>
            <w:right w:val="none" w:sz="0" w:space="0" w:color="auto"/>
          </w:divBdr>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7616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nete.Zvaigzne@vm.gov.lv" TargetMode="External"/><Relationship Id="rId4" Type="http://schemas.openxmlformats.org/officeDocument/2006/relationships/settings" Target="settings.xml"/><Relationship Id="rId9" Type="http://schemas.openxmlformats.org/officeDocument/2006/relationships/hyperlink" Target="http://pro.nais.lv/naiser/esdoc.cfm?esid=32004L002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39DFC-9E2E-48D1-B0A7-1BC48C86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5756</Words>
  <Characters>40817</Characters>
  <Application>Microsoft Office Word</Application>
  <DocSecurity>0</DocSecurity>
  <Lines>1112</Lines>
  <Paragraphs>335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„Zāļu valsts aģentūras  maksas pakalpojumu cenrādis” projekta sākotnējās ietekmes novērtējuma ziņojums (anotācija)</vt:lpstr>
      <vt:lpstr>Ministru kabineta noteikumu „Zāļu valsts aģentūras  maksas pakalpojumu cenrādis” projekta sākotnējās ietekmes novērtējuma ziņojums (anotācija)</vt:lpstr>
    </vt:vector>
  </TitlesOfParts>
  <Company>Veselības ministrija</Company>
  <LinksUpToDate>false</LinksUpToDate>
  <CharactersWithSpaces>46436</CharactersWithSpaces>
  <SharedDoc>false</SharedDoc>
  <HLinks>
    <vt:vector size="18" baseType="variant">
      <vt:variant>
        <vt:i4>4391017</vt:i4>
      </vt:variant>
      <vt:variant>
        <vt:i4>6</vt:i4>
      </vt:variant>
      <vt:variant>
        <vt:i4>0</vt:i4>
      </vt:variant>
      <vt:variant>
        <vt:i4>5</vt:i4>
      </vt:variant>
      <vt:variant>
        <vt:lpwstr>mailto:Zanete.Zvaigzne@vm.gov.lv</vt:lpwstr>
      </vt:variant>
      <vt:variant>
        <vt:lpwstr/>
      </vt:variant>
      <vt:variant>
        <vt:i4>7274599</vt:i4>
      </vt:variant>
      <vt:variant>
        <vt:i4>3</vt:i4>
      </vt:variant>
      <vt:variant>
        <vt:i4>0</vt:i4>
      </vt:variant>
      <vt:variant>
        <vt:i4>5</vt:i4>
      </vt:variant>
      <vt:variant>
        <vt:lpwstr>http://pro.nais.lv/naiser/esdoc.cfm?esid=32004L0027</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„Zāļu valsts aģentūras  maksas pakalpojumu cenrādis” projekta sākotnējās ietekmes novērtējuma ziņojums (anotācija)</dc:title>
  <dc:subject>Anotācija</dc:subject>
  <dc:creator>Žanete Zvaigzne</dc:creator>
  <cp:keywords/>
  <dc:description>Budžeta un investīciju departamenta Budžeta plānošanas nodaļa, Zanete.Zvaigzne@vm.gov.lv, 67876041</dc:description>
  <cp:lastModifiedBy>zzvaigzne</cp:lastModifiedBy>
  <cp:revision>4</cp:revision>
  <cp:lastPrinted>2013-01-03T09:20:00Z</cp:lastPrinted>
  <dcterms:created xsi:type="dcterms:W3CDTF">2013-01-18T13:56:00Z</dcterms:created>
  <dcterms:modified xsi:type="dcterms:W3CDTF">2013-01-18T14:00:00Z</dcterms:modified>
</cp:coreProperties>
</file>