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9" w:rsidRPr="00287AF0" w:rsidRDefault="002B6A79" w:rsidP="00427784">
      <w:pPr>
        <w:jc w:val="center"/>
        <w:rPr>
          <w:bCs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3"/>
      <w:r w:rsidRPr="00287AF0">
        <w:rPr>
          <w:sz w:val="28"/>
          <w:szCs w:val="28"/>
        </w:rPr>
        <w:t xml:space="preserve">Ministru kabineta </w:t>
      </w:r>
      <w:r w:rsidR="008024E5" w:rsidRPr="00287AF0">
        <w:rPr>
          <w:sz w:val="28"/>
          <w:szCs w:val="28"/>
        </w:rPr>
        <w:t xml:space="preserve">noteikumu </w:t>
      </w:r>
      <w:r w:rsidRPr="00287AF0">
        <w:rPr>
          <w:sz w:val="28"/>
          <w:szCs w:val="28"/>
        </w:rPr>
        <w:t xml:space="preserve">projekta </w:t>
      </w:r>
      <w:r w:rsidR="0084511F">
        <w:rPr>
          <w:sz w:val="28"/>
          <w:szCs w:val="28"/>
        </w:rPr>
        <w:t>„</w:t>
      </w:r>
      <w:r w:rsidR="00427784" w:rsidRPr="00287AF0">
        <w:rPr>
          <w:bCs/>
          <w:sz w:val="28"/>
          <w:szCs w:val="28"/>
        </w:rPr>
        <w:t xml:space="preserve">Grozījumi Ministru kabineta 2005.gada </w:t>
      </w:r>
      <w:r w:rsidR="0084511F">
        <w:rPr>
          <w:sz w:val="28"/>
          <w:szCs w:val="28"/>
        </w:rPr>
        <w:t>22.februāra noteikumos Nr.138 „</w:t>
      </w:r>
      <w:r w:rsidR="00427784" w:rsidRPr="00287AF0">
        <w:rPr>
          <w:bCs/>
          <w:sz w:val="28"/>
          <w:szCs w:val="28"/>
        </w:rPr>
        <w:t>Val</w:t>
      </w:r>
      <w:r w:rsidR="0084511F">
        <w:rPr>
          <w:bCs/>
          <w:sz w:val="28"/>
          <w:szCs w:val="28"/>
        </w:rPr>
        <w:t>sts asinsdonoru centra nolikums””</w:t>
      </w:r>
      <w:r w:rsidR="00427784" w:rsidRPr="00287AF0">
        <w:rPr>
          <w:bCs/>
          <w:sz w:val="28"/>
          <w:szCs w:val="28"/>
        </w:rPr>
        <w:t xml:space="preserve"> </w:t>
      </w:r>
      <w:r w:rsidRPr="00287AF0">
        <w:rPr>
          <w:bCs/>
          <w:sz w:val="28"/>
          <w:szCs w:val="28"/>
        </w:rPr>
        <w:t>anotācija</w:t>
      </w:r>
      <w:bookmarkEnd w:id="0"/>
      <w:bookmarkEnd w:id="1"/>
    </w:p>
    <w:bookmarkEnd w:id="2"/>
    <w:bookmarkEnd w:id="3"/>
    <w:bookmarkEnd w:id="4"/>
    <w:p w:rsidR="00CE0EE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p w:rsidR="00B24416" w:rsidRPr="00E76B66" w:rsidRDefault="00B24416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119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2"/>
        <w:gridCol w:w="2581"/>
        <w:gridCol w:w="5890"/>
      </w:tblGrid>
      <w:tr w:rsidR="00852042" w:rsidRPr="00E76B66" w:rsidTr="0079633E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852042" w:rsidRPr="00CD0B95" w:rsidRDefault="00852042" w:rsidP="00C8399D">
            <w:pPr>
              <w:pStyle w:val="naisnod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 xml:space="preserve"> I Tiesību akta </w:t>
            </w:r>
            <w:r w:rsidR="002E3FF4" w:rsidRPr="00CD0B95">
              <w:rPr>
                <w:sz w:val="28"/>
                <w:szCs w:val="28"/>
              </w:rPr>
              <w:t xml:space="preserve">projekta </w:t>
            </w:r>
            <w:r w:rsidRPr="00CD0B95">
              <w:rPr>
                <w:sz w:val="28"/>
                <w:szCs w:val="28"/>
              </w:rPr>
              <w:t>izstrādes nepieciešamība</w:t>
            </w:r>
          </w:p>
        </w:tc>
      </w:tr>
      <w:tr w:rsidR="002B6A79" w:rsidRPr="00E76B66" w:rsidTr="0079633E">
        <w:trPr>
          <w:trHeight w:val="467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1.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C8399D">
            <w:pPr>
              <w:pStyle w:val="naiskr"/>
              <w:ind w:left="180" w:hanging="10"/>
            </w:pPr>
            <w:r w:rsidRPr="00E76B66">
              <w:t>Pamatojums</w:t>
            </w:r>
          </w:p>
        </w:tc>
        <w:tc>
          <w:tcPr>
            <w:tcW w:w="3264" w:type="pct"/>
          </w:tcPr>
          <w:p w:rsidR="002B6A79" w:rsidRPr="000C10AB" w:rsidRDefault="000C10AB" w:rsidP="00C04536">
            <w:pPr>
              <w:spacing w:before="75" w:after="75"/>
              <w:jc w:val="both"/>
            </w:pPr>
            <w:r w:rsidRPr="000C10AB">
              <w:rPr>
                <w:sz w:val="28"/>
                <w:szCs w:val="28"/>
              </w:rPr>
              <w:t xml:space="preserve">Ministru kabineta noteikumu projekts </w:t>
            </w:r>
            <w:r w:rsidR="007301E1">
              <w:rPr>
                <w:sz w:val="28"/>
                <w:szCs w:val="28"/>
              </w:rPr>
              <w:t>„</w:t>
            </w:r>
            <w:r w:rsidRPr="000C10AB">
              <w:rPr>
                <w:bCs/>
                <w:sz w:val="28"/>
                <w:szCs w:val="28"/>
              </w:rPr>
              <w:t xml:space="preserve">Grozījumi Ministru kabineta 2005.gada </w:t>
            </w:r>
            <w:r w:rsidRPr="000C10AB">
              <w:rPr>
                <w:sz w:val="28"/>
                <w:szCs w:val="28"/>
              </w:rPr>
              <w:t xml:space="preserve">22.februāra noteikumos Nr.138 </w:t>
            </w:r>
            <w:r w:rsidR="00361DAB">
              <w:rPr>
                <w:sz w:val="28"/>
                <w:szCs w:val="28"/>
              </w:rPr>
              <w:t>„</w:t>
            </w:r>
            <w:r w:rsidRPr="000C10AB">
              <w:rPr>
                <w:bCs/>
                <w:sz w:val="28"/>
                <w:szCs w:val="28"/>
              </w:rPr>
              <w:t>Valsts asinsdonoru centra nolikums</w:t>
            </w:r>
            <w:r w:rsidR="00361DAB">
              <w:rPr>
                <w:bCs/>
                <w:sz w:val="28"/>
                <w:szCs w:val="28"/>
              </w:rPr>
              <w:t>”</w:t>
            </w:r>
            <w:r w:rsidR="007301E1">
              <w:rPr>
                <w:bCs/>
                <w:sz w:val="28"/>
                <w:szCs w:val="28"/>
              </w:rPr>
              <w:t>”</w:t>
            </w:r>
            <w:r w:rsidRPr="000C10AB">
              <w:rPr>
                <w:bCs/>
                <w:sz w:val="28"/>
                <w:szCs w:val="28"/>
              </w:rPr>
              <w:t xml:space="preserve"> (turpmāk – </w:t>
            </w:r>
            <w:r w:rsidR="00C04536">
              <w:rPr>
                <w:bCs/>
                <w:sz w:val="28"/>
                <w:szCs w:val="28"/>
              </w:rPr>
              <w:t xml:space="preserve">noteikumu </w:t>
            </w:r>
            <w:r w:rsidRPr="000C10AB">
              <w:rPr>
                <w:bCs/>
                <w:sz w:val="28"/>
                <w:szCs w:val="28"/>
              </w:rPr>
              <w:t xml:space="preserve">projekts) </w:t>
            </w:r>
            <w:r w:rsidR="001A37D4" w:rsidRPr="000C10AB">
              <w:rPr>
                <w:sz w:val="28"/>
                <w:szCs w:val="28"/>
              </w:rPr>
              <w:t>izstrādāts saskaņā ar Valsts pārvaldes iekārtas likuma 16.panta pirmo daļu</w:t>
            </w:r>
            <w:r w:rsidR="00523911" w:rsidRPr="000C10AB">
              <w:rPr>
                <w:sz w:val="28"/>
                <w:szCs w:val="28"/>
              </w:rPr>
              <w:t>.</w:t>
            </w:r>
          </w:p>
        </w:tc>
      </w:tr>
      <w:tr w:rsidR="002B6A79" w:rsidRPr="00E76B66" w:rsidTr="0079633E">
        <w:trPr>
          <w:trHeight w:val="706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2.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C8399D">
            <w:pPr>
              <w:pStyle w:val="naiskr"/>
              <w:tabs>
                <w:tab w:val="left" w:pos="170"/>
              </w:tabs>
              <w:ind w:left="170"/>
            </w:pPr>
            <w:r w:rsidRPr="00E76B66">
              <w:t>Pašreizējā situācija un problēmas</w:t>
            </w:r>
          </w:p>
        </w:tc>
        <w:tc>
          <w:tcPr>
            <w:tcW w:w="3264" w:type="pct"/>
            <w:vAlign w:val="center"/>
          </w:tcPr>
          <w:p w:rsidR="0016197B" w:rsidRDefault="00427784" w:rsidP="0079633E">
            <w:pPr>
              <w:jc w:val="both"/>
              <w:rPr>
                <w:bCs/>
                <w:sz w:val="28"/>
                <w:szCs w:val="28"/>
              </w:rPr>
            </w:pPr>
            <w:r w:rsidRPr="0043537A">
              <w:rPr>
                <w:bCs/>
                <w:sz w:val="28"/>
                <w:szCs w:val="28"/>
              </w:rPr>
              <w:t xml:space="preserve">Ministru kabineta 2005.gada </w:t>
            </w:r>
            <w:r w:rsidR="00361DAB">
              <w:rPr>
                <w:sz w:val="28"/>
                <w:szCs w:val="28"/>
              </w:rPr>
              <w:t>22.februāra noteikum</w:t>
            </w:r>
            <w:r w:rsidR="00BF4651">
              <w:rPr>
                <w:sz w:val="28"/>
                <w:szCs w:val="28"/>
              </w:rPr>
              <w:t>i</w:t>
            </w:r>
            <w:r w:rsidR="00361DAB">
              <w:rPr>
                <w:sz w:val="28"/>
                <w:szCs w:val="28"/>
              </w:rPr>
              <w:t xml:space="preserve"> Nr.138 „</w:t>
            </w:r>
            <w:r w:rsidRPr="0043537A">
              <w:rPr>
                <w:bCs/>
                <w:sz w:val="28"/>
                <w:szCs w:val="28"/>
              </w:rPr>
              <w:t>Val</w:t>
            </w:r>
            <w:r w:rsidR="00361DAB">
              <w:rPr>
                <w:bCs/>
                <w:sz w:val="28"/>
                <w:szCs w:val="28"/>
              </w:rPr>
              <w:t>sts asinsdonoru centra nolikums”</w:t>
            </w:r>
            <w:r w:rsidRPr="0043537A">
              <w:rPr>
                <w:bCs/>
                <w:sz w:val="28"/>
                <w:szCs w:val="28"/>
              </w:rPr>
              <w:t xml:space="preserve"> </w:t>
            </w:r>
            <w:r w:rsidR="008024E5" w:rsidRPr="0043537A">
              <w:rPr>
                <w:bCs/>
                <w:sz w:val="28"/>
                <w:szCs w:val="28"/>
              </w:rPr>
              <w:t>(turpmāk – noteikumi Nr.</w:t>
            </w:r>
            <w:r w:rsidRPr="0043537A">
              <w:rPr>
                <w:bCs/>
                <w:sz w:val="28"/>
                <w:szCs w:val="28"/>
              </w:rPr>
              <w:t>138</w:t>
            </w:r>
            <w:r w:rsidR="008024E5" w:rsidRPr="0043537A">
              <w:rPr>
                <w:bCs/>
                <w:sz w:val="28"/>
                <w:szCs w:val="28"/>
              </w:rPr>
              <w:t xml:space="preserve">) nosaka </w:t>
            </w:r>
            <w:r w:rsidRPr="0043537A">
              <w:rPr>
                <w:bCs/>
                <w:sz w:val="28"/>
                <w:szCs w:val="28"/>
              </w:rPr>
              <w:t xml:space="preserve">Valsts asinsdonoru centra </w:t>
            </w:r>
            <w:r w:rsidR="008024E5" w:rsidRPr="0043537A">
              <w:rPr>
                <w:bCs/>
                <w:sz w:val="28"/>
                <w:szCs w:val="28"/>
              </w:rPr>
              <w:t>(turpmāk</w:t>
            </w:r>
            <w:r w:rsidR="008024E5">
              <w:rPr>
                <w:bCs/>
                <w:sz w:val="28"/>
                <w:szCs w:val="28"/>
              </w:rPr>
              <w:t xml:space="preserve"> – centrs) darbīb</w:t>
            </w:r>
            <w:r w:rsidR="00342230">
              <w:rPr>
                <w:bCs/>
                <w:sz w:val="28"/>
                <w:szCs w:val="28"/>
              </w:rPr>
              <w:t>u</w:t>
            </w:r>
            <w:r w:rsidR="0016197B">
              <w:rPr>
                <w:bCs/>
                <w:sz w:val="28"/>
                <w:szCs w:val="28"/>
              </w:rPr>
              <w:t>.</w:t>
            </w:r>
          </w:p>
          <w:p w:rsidR="003039DD" w:rsidRPr="0058115E" w:rsidRDefault="0058115E" w:rsidP="003039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115E">
              <w:rPr>
                <w:color w:val="000000"/>
                <w:sz w:val="28"/>
                <w:szCs w:val="28"/>
              </w:rPr>
              <w:t>Noteikumu Nr.138</w:t>
            </w:r>
            <w:r w:rsidR="003E40FC" w:rsidRPr="0058115E">
              <w:rPr>
                <w:color w:val="000000"/>
                <w:sz w:val="28"/>
                <w:szCs w:val="28"/>
              </w:rPr>
              <w:t xml:space="preserve"> 4.9.</w:t>
            </w:r>
            <w:r>
              <w:rPr>
                <w:color w:val="000000"/>
                <w:sz w:val="28"/>
                <w:szCs w:val="28"/>
              </w:rPr>
              <w:t>apakš</w:t>
            </w:r>
            <w:r w:rsidR="003E40FC" w:rsidRPr="0058115E">
              <w:rPr>
                <w:color w:val="000000"/>
                <w:sz w:val="28"/>
                <w:szCs w:val="28"/>
              </w:rPr>
              <w:t xml:space="preserve">punkts </w:t>
            </w:r>
            <w:r w:rsidRPr="003039DD">
              <w:rPr>
                <w:color w:val="000000"/>
                <w:sz w:val="28"/>
                <w:szCs w:val="28"/>
              </w:rPr>
              <w:t>nosaka, ka</w:t>
            </w:r>
            <w:r w:rsidR="003039DD">
              <w:rPr>
                <w:color w:val="000000"/>
                <w:sz w:val="28"/>
                <w:szCs w:val="28"/>
              </w:rPr>
              <w:t xml:space="preserve"> centrs tam noteikto funkciju izpildei „</w:t>
            </w:r>
            <w:r w:rsidR="003039DD" w:rsidRPr="003039DD">
              <w:rPr>
                <w:sz w:val="28"/>
                <w:szCs w:val="28"/>
              </w:rPr>
              <w:t>administrē asins un asins komponentu sagatavošanai piešķirtos valsts budžeta līdzekļus</w:t>
            </w:r>
            <w:r w:rsidR="003039DD">
              <w:rPr>
                <w:sz w:val="28"/>
                <w:szCs w:val="28"/>
              </w:rPr>
              <w:t>”</w:t>
            </w:r>
            <w:r w:rsidR="003039DD" w:rsidRPr="003039DD">
              <w:rPr>
                <w:sz w:val="28"/>
                <w:szCs w:val="28"/>
              </w:rPr>
              <w:t>.</w:t>
            </w:r>
            <w:r w:rsidR="003039DD">
              <w:rPr>
                <w:sz w:val="28"/>
                <w:szCs w:val="28"/>
              </w:rPr>
              <w:t xml:space="preserve"> Lai nodrošinātu minētā uzdevuma</w:t>
            </w:r>
            <w:r w:rsidR="00E766E9">
              <w:rPr>
                <w:sz w:val="28"/>
                <w:szCs w:val="28"/>
              </w:rPr>
              <w:t xml:space="preserve"> par</w:t>
            </w:r>
            <w:r w:rsidR="00E766E9" w:rsidRPr="0058115E">
              <w:rPr>
                <w:color w:val="000000"/>
                <w:sz w:val="28"/>
                <w:szCs w:val="28"/>
              </w:rPr>
              <w:t xml:space="preserve"> rīcību ar valsts budžeta līdzekļiem konkrēto </w:t>
            </w:r>
            <w:r w:rsidR="008C27A6">
              <w:rPr>
                <w:color w:val="000000"/>
                <w:sz w:val="28"/>
                <w:szCs w:val="28"/>
              </w:rPr>
              <w:t>centra</w:t>
            </w:r>
            <w:r w:rsidR="00E766E9" w:rsidRPr="0058115E">
              <w:rPr>
                <w:color w:val="000000"/>
                <w:sz w:val="28"/>
                <w:szCs w:val="28"/>
              </w:rPr>
              <w:t xml:space="preserve"> funkciju </w:t>
            </w:r>
            <w:r w:rsidR="00E766E9">
              <w:rPr>
                <w:color w:val="000000"/>
                <w:sz w:val="28"/>
                <w:szCs w:val="28"/>
              </w:rPr>
              <w:t xml:space="preserve">nodrošināšanai </w:t>
            </w:r>
            <w:r w:rsidR="00E766E9" w:rsidRPr="0058115E">
              <w:rPr>
                <w:color w:val="000000"/>
                <w:sz w:val="28"/>
                <w:szCs w:val="28"/>
              </w:rPr>
              <w:t>izpildi</w:t>
            </w:r>
            <w:r w:rsidR="003039DD">
              <w:rPr>
                <w:sz w:val="28"/>
                <w:szCs w:val="28"/>
              </w:rPr>
              <w:t xml:space="preserve">, centrs </w:t>
            </w:r>
            <w:r w:rsidR="003039DD" w:rsidRPr="003039DD">
              <w:rPr>
                <w:color w:val="000000"/>
                <w:sz w:val="28"/>
                <w:szCs w:val="28"/>
              </w:rPr>
              <w:t>slēdz līgumus ar</w:t>
            </w:r>
            <w:r w:rsidR="003039DD" w:rsidRPr="0058115E">
              <w:rPr>
                <w:color w:val="000000"/>
                <w:sz w:val="28"/>
                <w:szCs w:val="28"/>
              </w:rPr>
              <w:t xml:space="preserve"> ārstniecības iestā</w:t>
            </w:r>
            <w:r w:rsidR="003039DD">
              <w:rPr>
                <w:color w:val="000000"/>
                <w:sz w:val="28"/>
                <w:szCs w:val="28"/>
              </w:rPr>
              <w:t>dēm</w:t>
            </w:r>
            <w:r w:rsidR="00E766E9">
              <w:rPr>
                <w:color w:val="000000"/>
                <w:sz w:val="28"/>
                <w:szCs w:val="28"/>
              </w:rPr>
              <w:t xml:space="preserve"> par </w:t>
            </w:r>
            <w:r w:rsidR="00E766E9" w:rsidRPr="003039DD">
              <w:rPr>
                <w:sz w:val="28"/>
                <w:szCs w:val="28"/>
              </w:rPr>
              <w:t>asins un asins komponentu sagatavošan</w:t>
            </w:r>
            <w:r w:rsidR="00E766E9">
              <w:rPr>
                <w:sz w:val="28"/>
                <w:szCs w:val="28"/>
              </w:rPr>
              <w:t>u.</w:t>
            </w:r>
          </w:p>
          <w:p w:rsidR="00EE20B7" w:rsidRDefault="00E766E9" w:rsidP="00E766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Sakarā ar minēto kompetenci c</w:t>
            </w:r>
            <w:r w:rsidR="00014093">
              <w:rPr>
                <w:bCs/>
                <w:sz w:val="28"/>
                <w:szCs w:val="28"/>
              </w:rPr>
              <w:t xml:space="preserve">entra direktoram kā tiešās valsts pārvaldes iestādes </w:t>
            </w:r>
            <w:r w:rsidR="009425B1">
              <w:rPr>
                <w:bCs/>
                <w:sz w:val="28"/>
                <w:szCs w:val="28"/>
              </w:rPr>
              <w:t xml:space="preserve">vadītājam </w:t>
            </w:r>
            <w:r w:rsidR="00014093">
              <w:rPr>
                <w:bCs/>
                <w:sz w:val="28"/>
                <w:szCs w:val="28"/>
              </w:rPr>
              <w:t xml:space="preserve">piešķirams valsts civildienesta ierēdņa statuss, tādēļ nolikumā ietverama norma, ka direktors ir valsts civildienesta ierēdnis. Nolikumā precizējamas normas par </w:t>
            </w:r>
            <w:r w:rsidR="001108B3">
              <w:rPr>
                <w:bCs/>
                <w:sz w:val="28"/>
                <w:szCs w:val="28"/>
              </w:rPr>
              <w:t xml:space="preserve">centra direktora vietnieku statusu, kā arī </w:t>
            </w:r>
            <w:r w:rsidR="00014093">
              <w:rPr>
                <w:bCs/>
                <w:sz w:val="28"/>
                <w:szCs w:val="28"/>
              </w:rPr>
              <w:t>centra struktūrvienību amatpersonu un direkt</w:t>
            </w:r>
            <w:r w:rsidR="00CD59E5">
              <w:rPr>
                <w:bCs/>
                <w:sz w:val="28"/>
                <w:szCs w:val="28"/>
              </w:rPr>
              <w:t>o</w:t>
            </w:r>
            <w:r w:rsidR="00014093">
              <w:rPr>
                <w:bCs/>
                <w:sz w:val="28"/>
                <w:szCs w:val="28"/>
              </w:rPr>
              <w:t xml:space="preserve">ra izdoto administratīvo </w:t>
            </w:r>
            <w:r w:rsidR="00776610">
              <w:rPr>
                <w:bCs/>
                <w:sz w:val="28"/>
                <w:szCs w:val="28"/>
              </w:rPr>
              <w:t>a</w:t>
            </w:r>
            <w:r w:rsidR="00014093">
              <w:rPr>
                <w:bCs/>
                <w:sz w:val="28"/>
                <w:szCs w:val="28"/>
              </w:rPr>
              <w:t>ktu un faktiskās rī</w:t>
            </w:r>
            <w:r w:rsidR="00776610">
              <w:rPr>
                <w:bCs/>
                <w:sz w:val="28"/>
                <w:szCs w:val="28"/>
              </w:rPr>
              <w:t>cī</w:t>
            </w:r>
            <w:r w:rsidR="00014093">
              <w:rPr>
                <w:bCs/>
                <w:sz w:val="28"/>
                <w:szCs w:val="28"/>
              </w:rPr>
              <w:t xml:space="preserve">bas apstrīdēšanas un pārsūdzēšanas kārtību atbilstoši Administratīvā procesa </w:t>
            </w:r>
            <w:r w:rsidR="00CA2AA2">
              <w:rPr>
                <w:bCs/>
                <w:sz w:val="28"/>
                <w:szCs w:val="28"/>
              </w:rPr>
              <w:t>likum</w:t>
            </w:r>
            <w:r w:rsidR="0020034A">
              <w:rPr>
                <w:bCs/>
                <w:sz w:val="28"/>
                <w:szCs w:val="28"/>
              </w:rPr>
              <w:t>am</w:t>
            </w:r>
            <w:r w:rsidR="00CA2AA2">
              <w:rPr>
                <w:bCs/>
                <w:sz w:val="28"/>
                <w:szCs w:val="28"/>
              </w:rPr>
              <w:t>.</w:t>
            </w:r>
          </w:p>
          <w:p w:rsidR="00E766E9" w:rsidRPr="00E76B66" w:rsidRDefault="00E766E9" w:rsidP="00C04536">
            <w:pPr>
              <w:jc w:val="both"/>
              <w:rPr>
                <w:i/>
              </w:rPr>
            </w:pPr>
            <w:r>
              <w:rPr>
                <w:bCs/>
                <w:sz w:val="28"/>
                <w:szCs w:val="28"/>
              </w:rPr>
              <w:t xml:space="preserve">Lai nodrošinātu konkursa izsludināšanu uz centra direktora (direktora vietnieka) valsts civildienesta  ierēdņa amatu, nepieciešams noteikt, ka </w:t>
            </w:r>
            <w:r w:rsidR="00C04536">
              <w:rPr>
                <w:bCs/>
                <w:sz w:val="28"/>
                <w:szCs w:val="28"/>
              </w:rPr>
              <w:t xml:space="preserve">noteikumu </w:t>
            </w:r>
            <w:r>
              <w:rPr>
                <w:bCs/>
                <w:sz w:val="28"/>
                <w:szCs w:val="28"/>
              </w:rPr>
              <w:t>projekts stājas spēkā ar 2014.gada 1.</w:t>
            </w:r>
            <w:r w:rsidR="008C27A6">
              <w:rPr>
                <w:bCs/>
                <w:sz w:val="28"/>
                <w:szCs w:val="28"/>
              </w:rPr>
              <w:t>februā</w:t>
            </w:r>
            <w:r>
              <w:rPr>
                <w:bCs/>
                <w:sz w:val="28"/>
                <w:szCs w:val="28"/>
              </w:rPr>
              <w:t>ri.</w:t>
            </w:r>
          </w:p>
        </w:tc>
      </w:tr>
      <w:tr w:rsidR="002B6A79" w:rsidRPr="00E76B66" w:rsidTr="0079633E">
        <w:trPr>
          <w:trHeight w:val="627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3.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Saistītie politikas ietekmes novērtējumi un pētījumi</w:t>
            </w:r>
          </w:p>
        </w:tc>
        <w:tc>
          <w:tcPr>
            <w:tcW w:w="3264" w:type="pct"/>
            <w:vAlign w:val="center"/>
          </w:tcPr>
          <w:p w:rsidR="002B6A79" w:rsidRPr="002C4E62" w:rsidRDefault="002B6A79" w:rsidP="006E70CA">
            <w:pPr>
              <w:pStyle w:val="FootnoteText"/>
              <w:ind w:right="170"/>
              <w:rPr>
                <w:i/>
                <w:sz w:val="28"/>
                <w:szCs w:val="28"/>
              </w:rPr>
            </w:pPr>
            <w:r w:rsidRPr="00E76B66">
              <w:rPr>
                <w:i/>
                <w:iCs/>
                <w:sz w:val="24"/>
                <w:szCs w:val="24"/>
              </w:rPr>
              <w:t xml:space="preserve"> </w:t>
            </w:r>
            <w:r w:rsidR="006E70CA" w:rsidRPr="002C4E62">
              <w:rPr>
                <w:bCs/>
                <w:iCs/>
                <w:sz w:val="28"/>
                <w:szCs w:val="28"/>
              </w:rPr>
              <w:t>Projekts šo jomu neskar</w:t>
            </w:r>
            <w:r w:rsidR="00D87031" w:rsidRPr="002C4E62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2B6A79" w:rsidRPr="00E76B66" w:rsidTr="0079633E">
        <w:trPr>
          <w:trHeight w:val="528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lastRenderedPageBreak/>
              <w:t>4.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Tiesiskā regulējuma mērķis un būtība</w:t>
            </w:r>
          </w:p>
          <w:p w:rsidR="002B6A79" w:rsidRPr="00E76B66" w:rsidRDefault="002B6A79" w:rsidP="00BB23DC">
            <w:pPr>
              <w:pStyle w:val="naiskr"/>
              <w:spacing w:before="0" w:after="0"/>
              <w:ind w:left="360" w:hanging="360"/>
            </w:pPr>
          </w:p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</w:p>
        </w:tc>
        <w:tc>
          <w:tcPr>
            <w:tcW w:w="3264" w:type="pct"/>
            <w:vAlign w:val="center"/>
          </w:tcPr>
          <w:p w:rsidR="0016197B" w:rsidRDefault="000C10AB" w:rsidP="003259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6E70CA" w:rsidRPr="002C4E62">
              <w:rPr>
                <w:bCs/>
                <w:sz w:val="28"/>
                <w:szCs w:val="28"/>
              </w:rPr>
              <w:t>oteikumu</w:t>
            </w:r>
            <w:r w:rsidR="00EE74F5" w:rsidRPr="002C4E62">
              <w:rPr>
                <w:bCs/>
                <w:sz w:val="28"/>
                <w:szCs w:val="28"/>
              </w:rPr>
              <w:t xml:space="preserve"> projekt</w:t>
            </w:r>
            <w:r>
              <w:rPr>
                <w:bCs/>
                <w:sz w:val="28"/>
                <w:szCs w:val="28"/>
              </w:rPr>
              <w:t>a</w:t>
            </w:r>
            <w:r w:rsidR="00EE74F5" w:rsidRPr="002C4E62">
              <w:rPr>
                <w:bCs/>
                <w:sz w:val="28"/>
                <w:szCs w:val="28"/>
              </w:rPr>
              <w:t xml:space="preserve"> </w:t>
            </w:r>
            <w:r w:rsidR="00CC1C6A" w:rsidRPr="002C4E62">
              <w:rPr>
                <w:bCs/>
                <w:sz w:val="28"/>
                <w:szCs w:val="28"/>
              </w:rPr>
              <w:t xml:space="preserve">mērķis </w:t>
            </w:r>
            <w:r w:rsidR="00EE74F5" w:rsidRPr="002C4E62">
              <w:rPr>
                <w:bCs/>
                <w:sz w:val="28"/>
                <w:szCs w:val="28"/>
              </w:rPr>
              <w:t xml:space="preserve">ir </w:t>
            </w:r>
            <w:r w:rsidR="00BE1CD1" w:rsidRPr="002C4E62">
              <w:rPr>
                <w:bCs/>
                <w:sz w:val="28"/>
                <w:szCs w:val="28"/>
              </w:rPr>
              <w:t>precizēt noteikum</w:t>
            </w:r>
            <w:r w:rsidR="00FA4523">
              <w:rPr>
                <w:bCs/>
                <w:sz w:val="28"/>
                <w:szCs w:val="28"/>
              </w:rPr>
              <w:t>os</w:t>
            </w:r>
            <w:r w:rsidR="00BE1CD1" w:rsidRPr="002C4E62">
              <w:rPr>
                <w:bCs/>
                <w:sz w:val="28"/>
                <w:szCs w:val="28"/>
              </w:rPr>
              <w:t xml:space="preserve"> Nr.</w:t>
            </w:r>
            <w:r>
              <w:rPr>
                <w:bCs/>
                <w:sz w:val="28"/>
                <w:szCs w:val="28"/>
              </w:rPr>
              <w:t>138</w:t>
            </w:r>
            <w:r w:rsidR="00BE1CD1" w:rsidRPr="002C4E62">
              <w:rPr>
                <w:bCs/>
                <w:sz w:val="28"/>
                <w:szCs w:val="28"/>
              </w:rPr>
              <w:t xml:space="preserve"> </w:t>
            </w:r>
            <w:r w:rsidR="00FA4523">
              <w:rPr>
                <w:bCs/>
                <w:sz w:val="28"/>
                <w:szCs w:val="28"/>
              </w:rPr>
              <w:t>ietvertos</w:t>
            </w:r>
            <w:r w:rsidR="00BE1CD1" w:rsidRPr="002C4E62">
              <w:rPr>
                <w:bCs/>
                <w:sz w:val="28"/>
                <w:szCs w:val="28"/>
              </w:rPr>
              <w:t xml:space="preserve"> centra darbības jautājumus</w:t>
            </w:r>
            <w:r w:rsidR="0016197B">
              <w:rPr>
                <w:bCs/>
                <w:sz w:val="28"/>
                <w:szCs w:val="28"/>
              </w:rPr>
              <w:t xml:space="preserve"> par</w:t>
            </w:r>
            <w:r w:rsidR="00CD59E5">
              <w:rPr>
                <w:bCs/>
                <w:sz w:val="28"/>
                <w:szCs w:val="28"/>
              </w:rPr>
              <w:t xml:space="preserve"> centra direktora </w:t>
            </w:r>
            <w:r w:rsidR="001108B3">
              <w:rPr>
                <w:bCs/>
                <w:sz w:val="28"/>
                <w:szCs w:val="28"/>
              </w:rPr>
              <w:t xml:space="preserve">un direktora vietnieku </w:t>
            </w:r>
            <w:r w:rsidR="00CD59E5">
              <w:rPr>
                <w:bCs/>
                <w:sz w:val="28"/>
                <w:szCs w:val="28"/>
              </w:rPr>
              <w:t>statusu un centra struktūrvienību amatpersonu un direktora izdoto administratīvo aktu un faktiskās rīcības apstrīdēšanas un pārsūdzēšanas kārtību</w:t>
            </w:r>
            <w:r>
              <w:rPr>
                <w:bCs/>
                <w:sz w:val="28"/>
                <w:szCs w:val="28"/>
              </w:rPr>
              <w:t>.</w:t>
            </w:r>
            <w:r w:rsidR="00977165">
              <w:rPr>
                <w:bCs/>
                <w:sz w:val="28"/>
                <w:szCs w:val="28"/>
              </w:rPr>
              <w:t xml:space="preserve"> </w:t>
            </w:r>
          </w:p>
          <w:p w:rsidR="0016197B" w:rsidRDefault="0016197B" w:rsidP="003259B7">
            <w:pPr>
              <w:jc w:val="both"/>
              <w:rPr>
                <w:bCs/>
                <w:sz w:val="28"/>
                <w:szCs w:val="28"/>
              </w:rPr>
            </w:pPr>
          </w:p>
          <w:p w:rsidR="005E6E25" w:rsidRDefault="00C04536" w:rsidP="005E6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Noteikumu p</w:t>
            </w:r>
            <w:r w:rsidR="005E6E25">
              <w:rPr>
                <w:bCs/>
                <w:sz w:val="28"/>
                <w:szCs w:val="28"/>
              </w:rPr>
              <w:t>rojekts precizē III. nodaļas nosaukumu</w:t>
            </w:r>
            <w:r w:rsidR="0016197B">
              <w:rPr>
                <w:bCs/>
                <w:sz w:val="28"/>
                <w:szCs w:val="28"/>
              </w:rPr>
              <w:t>, kā arī noteikumu Nr.138 6.punktā</w:t>
            </w:r>
            <w:r w:rsidR="005E6E25">
              <w:rPr>
                <w:bCs/>
                <w:sz w:val="28"/>
                <w:szCs w:val="28"/>
              </w:rPr>
              <w:t xml:space="preserve"> nosaka, ka centra direktors </w:t>
            </w:r>
            <w:r w:rsidR="001108B3">
              <w:rPr>
                <w:bCs/>
                <w:sz w:val="28"/>
                <w:szCs w:val="28"/>
              </w:rPr>
              <w:t xml:space="preserve">un direktora vietnieki </w:t>
            </w:r>
            <w:r w:rsidR="005E6E25">
              <w:rPr>
                <w:bCs/>
                <w:sz w:val="28"/>
                <w:szCs w:val="28"/>
              </w:rPr>
              <w:t>ir valsts civildienesta ierēd</w:t>
            </w:r>
            <w:r w:rsidR="001108B3">
              <w:rPr>
                <w:bCs/>
                <w:sz w:val="28"/>
                <w:szCs w:val="28"/>
              </w:rPr>
              <w:t>ņi</w:t>
            </w:r>
            <w:r w:rsidR="005E6E25">
              <w:rPr>
                <w:bCs/>
                <w:sz w:val="28"/>
                <w:szCs w:val="28"/>
              </w:rPr>
              <w:t xml:space="preserve">, un atbilstoši </w:t>
            </w:r>
            <w:r w:rsidR="002F1350">
              <w:rPr>
                <w:bCs/>
                <w:sz w:val="28"/>
                <w:szCs w:val="28"/>
              </w:rPr>
              <w:t>Valsts civildienesta likuma</w:t>
            </w:r>
            <w:r w:rsidR="00940739">
              <w:rPr>
                <w:bCs/>
                <w:sz w:val="28"/>
                <w:szCs w:val="28"/>
              </w:rPr>
              <w:t>m precizē</w:t>
            </w:r>
            <w:r w:rsidR="002F1350">
              <w:rPr>
                <w:bCs/>
                <w:sz w:val="28"/>
                <w:szCs w:val="28"/>
              </w:rPr>
              <w:t xml:space="preserve"> </w:t>
            </w:r>
            <w:r w:rsidR="005E6E25">
              <w:rPr>
                <w:bCs/>
                <w:sz w:val="28"/>
                <w:szCs w:val="28"/>
              </w:rPr>
              <w:t>kārtību direktora iecelšanai</w:t>
            </w:r>
            <w:r w:rsidR="0016197B">
              <w:rPr>
                <w:bCs/>
                <w:sz w:val="28"/>
                <w:szCs w:val="28"/>
              </w:rPr>
              <w:t xml:space="preserve"> amatā un atbrīvošanai no amata. </w:t>
            </w:r>
            <w:r>
              <w:rPr>
                <w:bCs/>
                <w:sz w:val="28"/>
                <w:szCs w:val="28"/>
              </w:rPr>
              <w:t>Noteikumu p</w:t>
            </w:r>
            <w:r w:rsidR="0016197B">
              <w:rPr>
                <w:bCs/>
                <w:sz w:val="28"/>
                <w:szCs w:val="28"/>
              </w:rPr>
              <w:t>rojekts noteikumu Nr.138 10. un 11.punktā</w:t>
            </w:r>
            <w:r w:rsidR="00940739">
              <w:rPr>
                <w:bCs/>
                <w:sz w:val="28"/>
                <w:szCs w:val="28"/>
              </w:rPr>
              <w:t xml:space="preserve"> </w:t>
            </w:r>
            <w:r w:rsidR="00AE0B73">
              <w:rPr>
                <w:bCs/>
                <w:sz w:val="28"/>
                <w:szCs w:val="28"/>
              </w:rPr>
              <w:t xml:space="preserve">precizē </w:t>
            </w:r>
            <w:r w:rsidR="005E6E25">
              <w:rPr>
                <w:bCs/>
                <w:sz w:val="28"/>
                <w:szCs w:val="28"/>
              </w:rPr>
              <w:t>centra amatpersonu lēmumu pārsūd</w:t>
            </w:r>
            <w:r w:rsidR="00E766E9">
              <w:rPr>
                <w:bCs/>
                <w:sz w:val="28"/>
                <w:szCs w:val="28"/>
              </w:rPr>
              <w:t>zības un apstrīdēšanas kārtību.</w:t>
            </w:r>
          </w:p>
          <w:p w:rsidR="00E766E9" w:rsidRDefault="00E766E9" w:rsidP="005E6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Lai nodrošinātu konkursa izsludināšanu uz centra direktora (direktora vietnieka) valsts civildienesta  ierēdņa amatu, </w:t>
            </w:r>
            <w:r w:rsidR="00C04536">
              <w:rPr>
                <w:bCs/>
                <w:sz w:val="28"/>
                <w:szCs w:val="28"/>
              </w:rPr>
              <w:t xml:space="preserve">noteikumu </w:t>
            </w:r>
            <w:r>
              <w:rPr>
                <w:bCs/>
                <w:sz w:val="28"/>
                <w:szCs w:val="28"/>
              </w:rPr>
              <w:t>projekta 2.punktā ietverta norma, ka noteikumu projekts stājas spēkā ar 2014.gada 1.</w:t>
            </w:r>
            <w:r w:rsidR="008C27A6">
              <w:rPr>
                <w:bCs/>
                <w:sz w:val="28"/>
                <w:szCs w:val="28"/>
              </w:rPr>
              <w:t>februā</w:t>
            </w:r>
            <w:r>
              <w:rPr>
                <w:bCs/>
                <w:sz w:val="28"/>
                <w:szCs w:val="28"/>
              </w:rPr>
              <w:t>ri.</w:t>
            </w:r>
          </w:p>
          <w:p w:rsidR="00D87031" w:rsidRPr="00E76B66" w:rsidRDefault="00C04536" w:rsidP="0016197B">
            <w:pPr>
              <w:jc w:val="both"/>
            </w:pPr>
            <w:r>
              <w:rPr>
                <w:sz w:val="28"/>
                <w:szCs w:val="28"/>
              </w:rPr>
              <w:t>Noteikumu p</w:t>
            </w:r>
            <w:r w:rsidR="00FF7CD4">
              <w:rPr>
                <w:sz w:val="28"/>
                <w:szCs w:val="28"/>
              </w:rPr>
              <w:t xml:space="preserve">rojekts </w:t>
            </w:r>
            <w:r w:rsidR="002C4E62">
              <w:rPr>
                <w:sz w:val="28"/>
                <w:szCs w:val="28"/>
              </w:rPr>
              <w:t>atrisinās šā</w:t>
            </w:r>
            <w:r w:rsidR="00D66FF3">
              <w:rPr>
                <w:sz w:val="28"/>
                <w:szCs w:val="28"/>
              </w:rPr>
              <w:t>s</w:t>
            </w:r>
            <w:r w:rsidR="002C4E62">
              <w:rPr>
                <w:sz w:val="28"/>
                <w:szCs w:val="28"/>
              </w:rPr>
              <w:t xml:space="preserve"> sadaļas 2.punktā minētās problēmas.</w:t>
            </w:r>
          </w:p>
        </w:tc>
      </w:tr>
      <w:tr w:rsidR="002B6A79" w:rsidRPr="00E76B66" w:rsidTr="0079633E">
        <w:trPr>
          <w:trHeight w:val="466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5.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 xml:space="preserve">Projekta izstrādē iesaistītās institūcijas </w:t>
            </w:r>
          </w:p>
        </w:tc>
        <w:tc>
          <w:tcPr>
            <w:tcW w:w="3264" w:type="pct"/>
            <w:vAlign w:val="center"/>
          </w:tcPr>
          <w:p w:rsidR="002B6A79" w:rsidRPr="002C4E62" w:rsidRDefault="002C4E62" w:rsidP="00FF7CD4">
            <w:pPr>
              <w:pStyle w:val="naiskr"/>
              <w:spacing w:before="0" w:after="0"/>
              <w:ind w:right="170"/>
              <w:jc w:val="both"/>
              <w:rPr>
                <w:sz w:val="28"/>
                <w:szCs w:val="28"/>
              </w:rPr>
            </w:pPr>
            <w:r w:rsidRPr="002C4E62">
              <w:rPr>
                <w:sz w:val="28"/>
                <w:szCs w:val="28"/>
              </w:rPr>
              <w:t xml:space="preserve">Valsts </w:t>
            </w:r>
            <w:r w:rsidR="00FF7CD4">
              <w:rPr>
                <w:sz w:val="28"/>
                <w:szCs w:val="28"/>
              </w:rPr>
              <w:t xml:space="preserve">asinsdonoru </w:t>
            </w:r>
            <w:r w:rsidRPr="002C4E62">
              <w:rPr>
                <w:sz w:val="28"/>
                <w:szCs w:val="28"/>
              </w:rPr>
              <w:t>centrs</w:t>
            </w:r>
          </w:p>
        </w:tc>
      </w:tr>
      <w:tr w:rsidR="002B6A79" w:rsidRPr="00E76B66" w:rsidTr="0079633E">
        <w:trPr>
          <w:trHeight w:val="694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6.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47"/>
              <w:rPr>
                <w:i/>
                <w:highlight w:val="yellow"/>
              </w:rPr>
            </w:pPr>
            <w:r w:rsidRPr="00E76B66">
              <w:t>Iemesli, kādēļ netika nodrošināta sabiedrības līdzdalība</w:t>
            </w:r>
          </w:p>
        </w:tc>
        <w:tc>
          <w:tcPr>
            <w:tcW w:w="3264" w:type="pct"/>
            <w:vAlign w:val="center"/>
          </w:tcPr>
          <w:p w:rsidR="002B6A79" w:rsidRPr="002C4E62" w:rsidRDefault="002B6A79" w:rsidP="00C04536">
            <w:pPr>
              <w:jc w:val="both"/>
              <w:rPr>
                <w:i/>
                <w:sz w:val="28"/>
                <w:szCs w:val="28"/>
              </w:rPr>
            </w:pPr>
            <w:r w:rsidRPr="002C4E62">
              <w:rPr>
                <w:sz w:val="28"/>
                <w:szCs w:val="28"/>
              </w:rPr>
              <w:t xml:space="preserve">Sabiedrības līdzdalība netika nodrošināta, jo </w:t>
            </w:r>
            <w:r w:rsidR="002C4E62" w:rsidRPr="002C4E62">
              <w:rPr>
                <w:sz w:val="28"/>
                <w:szCs w:val="28"/>
              </w:rPr>
              <w:t>noteikumu</w:t>
            </w:r>
            <w:r w:rsidR="00EE74F5" w:rsidRPr="002C4E62">
              <w:rPr>
                <w:sz w:val="28"/>
                <w:szCs w:val="28"/>
              </w:rPr>
              <w:t xml:space="preserve"> </w:t>
            </w:r>
            <w:r w:rsidRPr="002C4E62">
              <w:rPr>
                <w:sz w:val="28"/>
                <w:szCs w:val="28"/>
              </w:rPr>
              <w:t xml:space="preserve">projekts </w:t>
            </w:r>
            <w:r w:rsidR="002C4E62" w:rsidRPr="002C4E62">
              <w:rPr>
                <w:sz w:val="28"/>
                <w:szCs w:val="28"/>
              </w:rPr>
              <w:t>precizē centra darbības jautājumus</w:t>
            </w:r>
            <w:r w:rsidR="0016197B">
              <w:rPr>
                <w:sz w:val="28"/>
                <w:szCs w:val="28"/>
              </w:rPr>
              <w:t xml:space="preserve"> </w:t>
            </w:r>
            <w:r w:rsidR="0016197B">
              <w:rPr>
                <w:bCs/>
                <w:sz w:val="28"/>
                <w:szCs w:val="28"/>
              </w:rPr>
              <w:t xml:space="preserve">par centra </w:t>
            </w:r>
            <w:r w:rsidR="001108B3">
              <w:rPr>
                <w:bCs/>
                <w:sz w:val="28"/>
                <w:szCs w:val="28"/>
              </w:rPr>
              <w:t>darbības organizāciju, tajā skaitā</w:t>
            </w:r>
            <w:r w:rsidR="0016197B">
              <w:rPr>
                <w:bCs/>
                <w:sz w:val="28"/>
                <w:szCs w:val="28"/>
              </w:rPr>
              <w:t xml:space="preserve"> centra struktūrvienību amatpersonu un direktora izdoto administratīvo aktu un faktiskās rīcības apstrīdēšanas un pārsūdzēšanas kārtību.</w:t>
            </w:r>
            <w:r w:rsidR="002C4E62" w:rsidRPr="002C4E62">
              <w:rPr>
                <w:sz w:val="28"/>
                <w:szCs w:val="28"/>
              </w:rPr>
              <w:t xml:space="preserve"> </w:t>
            </w:r>
            <w:r w:rsidR="00C04536">
              <w:rPr>
                <w:sz w:val="28"/>
                <w:szCs w:val="28"/>
              </w:rPr>
              <w:t>Noteikumu p</w:t>
            </w:r>
            <w:r w:rsidRPr="002C4E62">
              <w:rPr>
                <w:sz w:val="28"/>
                <w:szCs w:val="28"/>
              </w:rPr>
              <w:t>rojektam nav tiešas ietekmes uz sabiedrību.</w:t>
            </w:r>
          </w:p>
        </w:tc>
      </w:tr>
      <w:tr w:rsidR="002B6A79" w:rsidRPr="00E76B66" w:rsidTr="0079633E">
        <w:trPr>
          <w:trHeight w:val="311"/>
          <w:tblCellSpacing w:w="0" w:type="dxa"/>
        </w:trPr>
        <w:tc>
          <w:tcPr>
            <w:tcW w:w="306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7.</w:t>
            </w:r>
          </w:p>
        </w:tc>
        <w:tc>
          <w:tcPr>
            <w:tcW w:w="1430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Cita informācija</w:t>
            </w:r>
          </w:p>
        </w:tc>
        <w:tc>
          <w:tcPr>
            <w:tcW w:w="3264" w:type="pct"/>
            <w:vAlign w:val="center"/>
          </w:tcPr>
          <w:p w:rsidR="002B6A79" w:rsidRPr="00ED1D0C" w:rsidRDefault="00DA69C1" w:rsidP="00C04536">
            <w:pPr>
              <w:pStyle w:val="naisc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ED1D0C">
              <w:rPr>
                <w:sz w:val="28"/>
                <w:szCs w:val="28"/>
              </w:rPr>
              <w:t>Noteikumu projekt</w:t>
            </w:r>
            <w:r w:rsidR="008331AB">
              <w:rPr>
                <w:sz w:val="28"/>
                <w:szCs w:val="28"/>
              </w:rPr>
              <w:t>am nav ietekme</w:t>
            </w:r>
            <w:r w:rsidR="00104E13">
              <w:rPr>
                <w:sz w:val="28"/>
                <w:szCs w:val="28"/>
              </w:rPr>
              <w:t>s</w:t>
            </w:r>
            <w:r w:rsidR="008331AB">
              <w:rPr>
                <w:sz w:val="28"/>
                <w:szCs w:val="28"/>
              </w:rPr>
              <w:t xml:space="preserve"> uz valsts budžetu,</w:t>
            </w:r>
            <w:r w:rsidRPr="00ED1D0C">
              <w:rPr>
                <w:sz w:val="28"/>
                <w:szCs w:val="28"/>
              </w:rPr>
              <w:t xml:space="preserve"> ietvertās normas tiks īstenotas centram piešķirto valsts budžeta līdzekļu ietvaros.</w:t>
            </w:r>
          </w:p>
        </w:tc>
      </w:tr>
    </w:tbl>
    <w:p w:rsidR="00E66CCE" w:rsidRPr="00223A5A" w:rsidRDefault="00E66CCE" w:rsidP="00E66CCE">
      <w:pPr>
        <w:jc w:val="center"/>
        <w:rPr>
          <w:sz w:val="28"/>
          <w:szCs w:val="28"/>
        </w:rPr>
      </w:pPr>
    </w:p>
    <w:tbl>
      <w:tblPr>
        <w:tblW w:w="49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2733"/>
        <w:gridCol w:w="5739"/>
      </w:tblGrid>
      <w:tr w:rsidR="00223A5A" w:rsidRPr="00223A5A" w:rsidTr="00471F3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23A5A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223A5A" w:rsidRPr="00223A5A" w:rsidTr="00223A5A">
        <w:trPr>
          <w:trHeight w:val="46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1.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noProof/>
                <w:sz w:val="28"/>
                <w:szCs w:val="28"/>
              </w:rPr>
            </w:pPr>
            <w:r w:rsidRPr="00223A5A">
              <w:rPr>
                <w:noProof/>
                <w:sz w:val="28"/>
                <w:szCs w:val="28"/>
              </w:rPr>
              <w:t> Sabiedrības mērķgrupa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223A5A">
            <w:pPr>
              <w:rPr>
                <w:strike/>
                <w:noProof/>
                <w:sz w:val="28"/>
                <w:szCs w:val="28"/>
              </w:rPr>
            </w:pPr>
            <w:r w:rsidRPr="00223A5A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Centra direktors un direktora vietnieki</w:t>
            </w:r>
            <w:r w:rsidR="00603125">
              <w:rPr>
                <w:noProof/>
                <w:sz w:val="28"/>
                <w:szCs w:val="28"/>
              </w:rPr>
              <w:t>, kuriem tiek noteikts valsts civildienesta ierēdņa statuss</w:t>
            </w:r>
          </w:p>
        </w:tc>
      </w:tr>
      <w:tr w:rsidR="00223A5A" w:rsidRPr="00223A5A" w:rsidTr="00223A5A">
        <w:trPr>
          <w:trHeight w:val="523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2.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noProof/>
                <w:sz w:val="28"/>
                <w:szCs w:val="28"/>
              </w:rPr>
            </w:pPr>
            <w:r w:rsidRPr="00223A5A">
              <w:rPr>
                <w:noProof/>
                <w:sz w:val="28"/>
                <w:szCs w:val="28"/>
              </w:rPr>
              <w:t xml:space="preserve"> Citas sabiedrības grupas (bez mērķgrupas), kuras </w:t>
            </w:r>
            <w:r w:rsidRPr="00223A5A">
              <w:rPr>
                <w:noProof/>
                <w:sz w:val="28"/>
                <w:szCs w:val="28"/>
              </w:rPr>
              <w:lastRenderedPageBreak/>
              <w:t>tiesiskais regulējums arī ietekmē vai varētu ietekmēt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t>Projekts šo jomu neskar</w:t>
            </w:r>
          </w:p>
        </w:tc>
      </w:tr>
      <w:tr w:rsidR="00223A5A" w:rsidRPr="00223A5A" w:rsidTr="00223A5A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noProof/>
                <w:sz w:val="28"/>
                <w:szCs w:val="28"/>
              </w:rPr>
            </w:pPr>
            <w:r w:rsidRPr="00223A5A">
              <w:rPr>
                <w:noProof/>
                <w:sz w:val="28"/>
                <w:szCs w:val="28"/>
              </w:rPr>
              <w:t> Tiesiskā regulējuma finansiālā ietekme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C04536" w:rsidP="00C04536">
            <w:pPr>
              <w:jc w:val="both"/>
              <w:rPr>
                <w:bCs/>
                <w:iCs/>
                <w:noProof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t>Noteikumu p</w:t>
            </w:r>
            <w:r w:rsidR="00223A5A">
              <w:rPr>
                <w:bCs/>
                <w:iCs/>
                <w:noProof/>
                <w:sz w:val="28"/>
                <w:szCs w:val="28"/>
              </w:rPr>
              <w:t>rojektā paredzētais valsts civildienesta ierēdņa statusa noteikšana centra direktoram un direktora vietniekiem nerada finansiālu ietekmi</w:t>
            </w:r>
            <w:r>
              <w:rPr>
                <w:bCs/>
                <w:iCs/>
                <w:noProof/>
                <w:sz w:val="28"/>
                <w:szCs w:val="28"/>
              </w:rPr>
              <w:t xml:space="preserve"> uz centra budžetu</w:t>
            </w:r>
            <w:r w:rsidR="00223A5A">
              <w:rPr>
                <w:bCs/>
                <w:iCs/>
                <w:noProof/>
                <w:sz w:val="28"/>
                <w:szCs w:val="28"/>
              </w:rPr>
              <w:t>.</w:t>
            </w:r>
          </w:p>
        </w:tc>
      </w:tr>
      <w:tr w:rsidR="00223A5A" w:rsidRPr="00223A5A" w:rsidTr="00223A5A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4.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noProof/>
                <w:sz w:val="28"/>
                <w:szCs w:val="28"/>
              </w:rPr>
            </w:pPr>
            <w:r w:rsidRPr="00223A5A">
              <w:rPr>
                <w:noProof/>
                <w:sz w:val="28"/>
                <w:szCs w:val="28"/>
              </w:rPr>
              <w:t> Tiesiskā regulējuma nefinansiālā ietekme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Default="00223A5A" w:rsidP="00223A5A">
            <w:pPr>
              <w:jc w:val="both"/>
              <w:rPr>
                <w:bCs/>
                <w:iCs/>
                <w:noProof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w:t>Valsts civildienesta ierēdņa statusa noteikšana centra direktoram un direktora vietniekiem</w:t>
            </w:r>
            <w:r w:rsidR="00471F3C">
              <w:rPr>
                <w:bCs/>
                <w:iCs/>
                <w:noProof/>
                <w:sz w:val="28"/>
                <w:szCs w:val="28"/>
              </w:rPr>
              <w:t>.</w:t>
            </w:r>
          </w:p>
          <w:p w:rsidR="00471F3C" w:rsidRPr="00223A5A" w:rsidRDefault="00C04536" w:rsidP="00C0453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Noteikumu projekts a</w:t>
            </w:r>
            <w:r w:rsidR="00471F3C">
              <w:rPr>
                <w:bCs/>
                <w:sz w:val="28"/>
                <w:szCs w:val="28"/>
              </w:rPr>
              <w:t>tbilstoši Valsts civildienesta likumam precizē kārtību direktora iecelšanai amatā un atbrīvošanai no amata.</w:t>
            </w:r>
            <w:r>
              <w:rPr>
                <w:bCs/>
                <w:sz w:val="28"/>
                <w:szCs w:val="28"/>
              </w:rPr>
              <w:t xml:space="preserve"> Noteikumu p</w:t>
            </w:r>
            <w:r w:rsidR="00471F3C">
              <w:rPr>
                <w:bCs/>
                <w:sz w:val="28"/>
                <w:szCs w:val="28"/>
              </w:rPr>
              <w:t xml:space="preserve">rojekts </w:t>
            </w:r>
            <w:r>
              <w:rPr>
                <w:bCs/>
                <w:sz w:val="28"/>
                <w:szCs w:val="28"/>
              </w:rPr>
              <w:t xml:space="preserve">atbilstoši Administratīvā procesa likumā ietvertajai terminoloģijai </w:t>
            </w:r>
            <w:r w:rsidR="00471F3C">
              <w:rPr>
                <w:bCs/>
                <w:sz w:val="28"/>
                <w:szCs w:val="28"/>
              </w:rPr>
              <w:t xml:space="preserve">noteikumu Nr.138 </w:t>
            </w:r>
            <w:r>
              <w:rPr>
                <w:bCs/>
                <w:sz w:val="28"/>
                <w:szCs w:val="28"/>
              </w:rPr>
              <w:t xml:space="preserve">10. un 11.punktā </w:t>
            </w:r>
            <w:r w:rsidR="00471F3C">
              <w:rPr>
                <w:bCs/>
                <w:sz w:val="28"/>
                <w:szCs w:val="28"/>
              </w:rPr>
              <w:t xml:space="preserve">precizē centra amatpersonu lēmumu </w:t>
            </w:r>
            <w:r w:rsidR="00603125">
              <w:rPr>
                <w:bCs/>
                <w:sz w:val="28"/>
                <w:szCs w:val="28"/>
              </w:rPr>
              <w:t xml:space="preserve">apstrīdēšanas un </w:t>
            </w:r>
            <w:r w:rsidR="00471F3C">
              <w:rPr>
                <w:bCs/>
                <w:sz w:val="28"/>
                <w:szCs w:val="28"/>
              </w:rPr>
              <w:t>pārsūdzības kārtību</w:t>
            </w:r>
            <w:r w:rsidR="00871718">
              <w:rPr>
                <w:bCs/>
                <w:sz w:val="28"/>
                <w:szCs w:val="28"/>
              </w:rPr>
              <w:t>.</w:t>
            </w:r>
          </w:p>
        </w:tc>
      </w:tr>
      <w:tr w:rsidR="00223A5A" w:rsidRPr="00223A5A" w:rsidTr="00223A5A">
        <w:trPr>
          <w:trHeight w:val="531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5.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noProof/>
                <w:sz w:val="28"/>
                <w:szCs w:val="28"/>
              </w:rPr>
            </w:pPr>
            <w:r w:rsidRPr="00223A5A">
              <w:rPr>
                <w:noProof/>
                <w:sz w:val="28"/>
                <w:szCs w:val="28"/>
              </w:rPr>
              <w:t> Administratīvās procedūras raksturojums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471F3C" w:rsidP="00C0453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Projekts </w:t>
            </w:r>
            <w:r w:rsidR="00C04536">
              <w:rPr>
                <w:bCs/>
                <w:sz w:val="28"/>
                <w:szCs w:val="28"/>
              </w:rPr>
              <w:t xml:space="preserve">atbilstoši Administratīvā procesa likumā ietvertajai terminoloģijai </w:t>
            </w:r>
            <w:r>
              <w:rPr>
                <w:bCs/>
                <w:sz w:val="28"/>
                <w:szCs w:val="28"/>
              </w:rPr>
              <w:t>noteikumu Nr.138 10. un 11.punktā precizē centra amatpersonu lēmumu pārsūdzības un apstrīdēšanas kārtību</w:t>
            </w:r>
            <w:r w:rsidR="00603125">
              <w:rPr>
                <w:bCs/>
                <w:sz w:val="28"/>
                <w:szCs w:val="28"/>
              </w:rPr>
              <w:t>. Pēc būtības administratīvā procedūra netiek grozīta.</w:t>
            </w:r>
          </w:p>
        </w:tc>
      </w:tr>
      <w:tr w:rsidR="00223A5A" w:rsidRPr="00223A5A" w:rsidTr="00223A5A">
        <w:trPr>
          <w:trHeight w:val="35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6.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Administratīvo izmaksu monetārs novērtējums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C04536" w:rsidP="00C0453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Noteikumu p</w:t>
            </w:r>
            <w:r w:rsidR="00223A5A" w:rsidRPr="00223A5A">
              <w:rPr>
                <w:noProof/>
                <w:sz w:val="28"/>
                <w:szCs w:val="28"/>
              </w:rPr>
              <w:t>rojekts šo jomu neskar</w:t>
            </w:r>
          </w:p>
        </w:tc>
      </w:tr>
      <w:tr w:rsidR="00223A5A" w:rsidRPr="00223A5A" w:rsidTr="00223A5A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7.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3A5A">
              <w:rPr>
                <w:sz w:val="28"/>
                <w:szCs w:val="28"/>
              </w:rPr>
              <w:t> Cita informācija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A" w:rsidRPr="00223A5A" w:rsidRDefault="00223A5A" w:rsidP="00471F3C">
            <w:pPr>
              <w:jc w:val="both"/>
              <w:rPr>
                <w:sz w:val="28"/>
                <w:szCs w:val="28"/>
                <w:u w:val="single"/>
              </w:rPr>
            </w:pPr>
            <w:r w:rsidRPr="00223A5A">
              <w:rPr>
                <w:sz w:val="28"/>
                <w:szCs w:val="28"/>
              </w:rPr>
              <w:t>Nav</w:t>
            </w:r>
          </w:p>
        </w:tc>
      </w:tr>
    </w:tbl>
    <w:p w:rsidR="00223A5A" w:rsidRPr="00223A5A" w:rsidRDefault="00223A5A" w:rsidP="00223A5A">
      <w:pPr>
        <w:rPr>
          <w:sz w:val="28"/>
          <w:szCs w:val="28"/>
        </w:rPr>
      </w:pPr>
      <w:r w:rsidRPr="00223A5A">
        <w:rPr>
          <w:sz w:val="28"/>
          <w:szCs w:val="28"/>
        </w:rPr>
        <w:tab/>
      </w:r>
    </w:p>
    <w:p w:rsidR="00322AB7" w:rsidRPr="004A3A20" w:rsidRDefault="00322AB7" w:rsidP="00E66CCE">
      <w:pPr>
        <w:jc w:val="center"/>
        <w:rPr>
          <w:sz w:val="28"/>
          <w:szCs w:val="28"/>
        </w:rPr>
      </w:pPr>
    </w:p>
    <w:tbl>
      <w:tblPr>
        <w:tblW w:w="949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3341"/>
        <w:gridCol w:w="5468"/>
      </w:tblGrid>
      <w:tr w:rsidR="00E66CCE" w:rsidRPr="004A3A20" w:rsidTr="007D204F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CCE" w:rsidRPr="004A3A20" w:rsidRDefault="00E66CCE" w:rsidP="007D204F">
            <w:pPr>
              <w:spacing w:before="68" w:after="68"/>
              <w:jc w:val="center"/>
              <w:rPr>
                <w:b/>
                <w:sz w:val="28"/>
                <w:szCs w:val="28"/>
              </w:rPr>
            </w:pPr>
            <w:r w:rsidRPr="004A3A20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66CCE" w:rsidRPr="004A3A20" w:rsidTr="007D204F">
        <w:trPr>
          <w:trHeight w:val="630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t> </w:t>
            </w:r>
            <w:r w:rsidRPr="004A3A20">
              <w:rPr>
                <w:sz w:val="28"/>
                <w:szCs w:val="28"/>
              </w:rPr>
              <w:t>1.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FF7CD4">
            <w:pPr>
              <w:jc w:val="both"/>
            </w:pPr>
            <w:r>
              <w:rPr>
                <w:sz w:val="28"/>
                <w:szCs w:val="28"/>
              </w:rPr>
              <w:t xml:space="preserve">Noteikumu </w:t>
            </w:r>
            <w:r w:rsidRPr="004A3A20">
              <w:rPr>
                <w:sz w:val="28"/>
                <w:szCs w:val="28"/>
              </w:rPr>
              <w:t>projekta izpildi nodrošinās V</w:t>
            </w:r>
            <w:r>
              <w:rPr>
                <w:sz w:val="28"/>
                <w:szCs w:val="28"/>
              </w:rPr>
              <w:t xml:space="preserve">alsts </w:t>
            </w:r>
            <w:r w:rsidR="00FF7CD4">
              <w:rPr>
                <w:sz w:val="28"/>
                <w:szCs w:val="28"/>
              </w:rPr>
              <w:t xml:space="preserve">asinsdonoru </w:t>
            </w:r>
            <w:r>
              <w:rPr>
                <w:sz w:val="28"/>
                <w:szCs w:val="28"/>
              </w:rPr>
              <w:t>cent</w:t>
            </w:r>
            <w:r w:rsidR="00FF7CD4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s </w:t>
            </w:r>
          </w:p>
        </w:tc>
      </w:tr>
      <w:tr w:rsidR="00E66CCE" w:rsidRPr="004A3A20" w:rsidTr="007D204F">
        <w:trPr>
          <w:trHeight w:val="472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 2.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223A5A" w:rsidRDefault="00C04536" w:rsidP="00C04536">
            <w:pPr>
              <w:pStyle w:val="BodyTex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Noteikumu p</w:t>
            </w:r>
            <w:r w:rsidRPr="00223A5A">
              <w:rPr>
                <w:noProof/>
                <w:sz w:val="28"/>
                <w:szCs w:val="28"/>
              </w:rPr>
              <w:t xml:space="preserve">rojekts </w:t>
            </w:r>
            <w:r w:rsidR="0016197B" w:rsidRPr="00223A5A">
              <w:rPr>
                <w:sz w:val="28"/>
                <w:szCs w:val="28"/>
              </w:rPr>
              <w:t>šo jomu neskar</w:t>
            </w:r>
          </w:p>
        </w:tc>
      </w:tr>
      <w:tr w:rsidR="00E66CCE" w:rsidRPr="004A3A20" w:rsidTr="007D204F">
        <w:trPr>
          <w:trHeight w:val="1071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t> </w:t>
            </w:r>
            <w:r w:rsidRPr="004A3A20">
              <w:rPr>
                <w:sz w:val="28"/>
                <w:szCs w:val="28"/>
              </w:rPr>
              <w:t>3.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pStyle w:val="naisf"/>
              <w:spacing w:before="0" w:after="0"/>
              <w:ind w:left="57" w:right="57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Projekta izpildes ietekme uz pārvaldes institucionālo struktūru.</w:t>
            </w:r>
          </w:p>
          <w:p w:rsidR="00E66CCE" w:rsidRPr="004A3A20" w:rsidRDefault="00E66CCE" w:rsidP="007D204F">
            <w:pPr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220125" w:rsidRDefault="00C04536" w:rsidP="00C04536">
            <w:pPr>
              <w:pStyle w:val="naisnod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C04536">
              <w:rPr>
                <w:b w:val="0"/>
                <w:noProof/>
                <w:sz w:val="28"/>
                <w:szCs w:val="28"/>
              </w:rPr>
              <w:t>Noteikumu projekts</w:t>
            </w:r>
            <w:r w:rsidRPr="00223A5A">
              <w:rPr>
                <w:noProof/>
                <w:sz w:val="28"/>
                <w:szCs w:val="28"/>
              </w:rPr>
              <w:t xml:space="preserve"> </w:t>
            </w:r>
            <w:r w:rsidR="0016197B" w:rsidRPr="0016197B">
              <w:rPr>
                <w:b w:val="0"/>
                <w:sz w:val="28"/>
                <w:szCs w:val="28"/>
              </w:rPr>
              <w:t>šo jomu neskar</w:t>
            </w:r>
            <w:r w:rsidR="00E66CCE" w:rsidRPr="0016197B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E66CCE" w:rsidRPr="004A3A20" w:rsidTr="007D204F">
        <w:trPr>
          <w:trHeight w:val="384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 4.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pStyle w:val="naisf"/>
              <w:spacing w:before="0" w:after="0"/>
              <w:ind w:left="57" w:right="57"/>
              <w:rPr>
                <w:sz w:val="28"/>
                <w:szCs w:val="28"/>
              </w:rPr>
            </w:pPr>
            <w:r w:rsidRPr="004A3A20">
              <w:t> </w:t>
            </w:r>
            <w:r w:rsidRPr="004A3A20">
              <w:rPr>
                <w:sz w:val="28"/>
                <w:szCs w:val="28"/>
              </w:rPr>
              <w:t>Projekta izpildes ietekme uz pārvaldes institucionālo struktūru.</w:t>
            </w:r>
          </w:p>
          <w:p w:rsidR="00E66CCE" w:rsidRPr="004A3A20" w:rsidRDefault="00E66CCE" w:rsidP="007D204F">
            <w:pPr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220125" w:rsidRDefault="00C04536" w:rsidP="00C04536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Noteikumu p</w:t>
            </w:r>
            <w:r w:rsidRPr="00223A5A">
              <w:rPr>
                <w:noProof/>
                <w:sz w:val="28"/>
                <w:szCs w:val="28"/>
              </w:rPr>
              <w:t xml:space="preserve">rojekts </w:t>
            </w:r>
            <w:r w:rsidR="00E66CCE" w:rsidRPr="00220125">
              <w:rPr>
                <w:sz w:val="28"/>
                <w:szCs w:val="28"/>
              </w:rPr>
              <w:t>šo jomu neskar</w:t>
            </w:r>
            <w:r w:rsidR="00DA5768">
              <w:rPr>
                <w:sz w:val="28"/>
                <w:szCs w:val="28"/>
              </w:rPr>
              <w:t>.</w:t>
            </w:r>
          </w:p>
        </w:tc>
      </w:tr>
      <w:tr w:rsidR="00E66CCE" w:rsidRPr="004A3A20" w:rsidTr="007D204F">
        <w:trPr>
          <w:trHeight w:val="476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lastRenderedPageBreak/>
              <w:t> 5.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pStyle w:val="naisf"/>
              <w:spacing w:before="0" w:after="0"/>
              <w:ind w:left="57" w:right="57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Projekta izpildes ietekme uz pārvaldes institucionālo struktūru.</w:t>
            </w:r>
          </w:p>
          <w:p w:rsidR="00E66CCE" w:rsidRPr="004A3A20" w:rsidRDefault="00E66CCE" w:rsidP="007D204F">
            <w:pPr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220125" w:rsidRDefault="00C04536" w:rsidP="00C04536">
            <w:pPr>
              <w:tabs>
                <w:tab w:val="left" w:pos="0"/>
              </w:tabs>
              <w:spacing w:before="68" w:after="6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Noteikumu p</w:t>
            </w:r>
            <w:r w:rsidRPr="00223A5A">
              <w:rPr>
                <w:noProof/>
                <w:sz w:val="28"/>
                <w:szCs w:val="28"/>
              </w:rPr>
              <w:t xml:space="preserve">rojekts </w:t>
            </w:r>
            <w:r w:rsidR="00E66CCE" w:rsidRPr="00220125">
              <w:rPr>
                <w:sz w:val="28"/>
                <w:szCs w:val="28"/>
              </w:rPr>
              <w:t>šo jomu neskar</w:t>
            </w:r>
            <w:r w:rsidR="00DA5768">
              <w:rPr>
                <w:sz w:val="28"/>
                <w:szCs w:val="28"/>
              </w:rPr>
              <w:t>.</w:t>
            </w:r>
          </w:p>
        </w:tc>
      </w:tr>
      <w:tr w:rsidR="00E66CCE" w:rsidRPr="004A3A20" w:rsidTr="007D204F">
        <w:trPr>
          <w:trHeight w:val="591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 6.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spacing w:before="68" w:after="68"/>
              <w:rPr>
                <w:sz w:val="28"/>
                <w:szCs w:val="28"/>
              </w:rPr>
            </w:pPr>
            <w:r w:rsidRPr="004A3A20">
              <w:rPr>
                <w:sz w:val="28"/>
                <w:szCs w:val="28"/>
              </w:rPr>
              <w:t> Cita informācija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CCE" w:rsidRPr="004A3A20" w:rsidRDefault="00E66CCE" w:rsidP="007D204F">
            <w:pPr>
              <w:tabs>
                <w:tab w:val="left" w:pos="0"/>
                <w:tab w:val="left" w:pos="127"/>
              </w:tabs>
              <w:spacing w:before="68" w:after="68"/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1E12C2" w:rsidRDefault="001E12C2"/>
    <w:p w:rsidR="0016197B" w:rsidRDefault="0016197B"/>
    <w:p w:rsidR="006913F6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 xml:space="preserve">Anotācijas </w:t>
      </w:r>
      <w:r w:rsidR="003A1DE4">
        <w:rPr>
          <w:sz w:val="28"/>
          <w:szCs w:val="28"/>
        </w:rPr>
        <w:t>III</w:t>
      </w:r>
      <w:r w:rsidR="00165889">
        <w:rPr>
          <w:sz w:val="28"/>
          <w:szCs w:val="28"/>
        </w:rPr>
        <w:t>.</w:t>
      </w:r>
      <w:r w:rsidR="003A1DE4">
        <w:rPr>
          <w:sz w:val="28"/>
          <w:szCs w:val="28"/>
        </w:rPr>
        <w:t xml:space="preserve">, </w:t>
      </w:r>
      <w:r w:rsidR="001E12C2">
        <w:rPr>
          <w:sz w:val="28"/>
          <w:szCs w:val="28"/>
        </w:rPr>
        <w:t>IV</w:t>
      </w:r>
      <w:r w:rsidR="00165889">
        <w:rPr>
          <w:sz w:val="28"/>
          <w:szCs w:val="28"/>
        </w:rPr>
        <w:t>.</w:t>
      </w:r>
      <w:r w:rsidR="00FA76E7">
        <w:rPr>
          <w:sz w:val="28"/>
          <w:szCs w:val="28"/>
        </w:rPr>
        <w:t>,V.</w:t>
      </w:r>
      <w:r w:rsidR="00A32545">
        <w:rPr>
          <w:sz w:val="28"/>
          <w:szCs w:val="28"/>
        </w:rPr>
        <w:t xml:space="preserve"> un</w:t>
      </w:r>
      <w:r w:rsidRPr="009508CB">
        <w:rPr>
          <w:sz w:val="28"/>
          <w:szCs w:val="28"/>
        </w:rPr>
        <w:t xml:space="preserve"> </w:t>
      </w:r>
      <w:r w:rsidR="002B6A79">
        <w:rPr>
          <w:sz w:val="28"/>
          <w:szCs w:val="28"/>
        </w:rPr>
        <w:t>V</w:t>
      </w:r>
      <w:r w:rsidR="00FA76E7">
        <w:rPr>
          <w:sz w:val="28"/>
          <w:szCs w:val="28"/>
        </w:rPr>
        <w:t>I</w:t>
      </w:r>
      <w:r w:rsidR="00165889">
        <w:rPr>
          <w:sz w:val="28"/>
          <w:szCs w:val="28"/>
        </w:rPr>
        <w:t>.</w:t>
      </w:r>
      <w:r w:rsidR="00731508">
        <w:rPr>
          <w:sz w:val="28"/>
          <w:szCs w:val="28"/>
        </w:rPr>
        <w:t xml:space="preserve"> </w:t>
      </w:r>
      <w:r w:rsidR="00A3297A">
        <w:rPr>
          <w:sz w:val="28"/>
          <w:szCs w:val="28"/>
        </w:rPr>
        <w:t>sa</w:t>
      </w:r>
      <w:r w:rsidR="00A32545">
        <w:rPr>
          <w:sz w:val="28"/>
          <w:szCs w:val="28"/>
        </w:rPr>
        <w:t>daļa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:rsidR="00A32545" w:rsidRPr="009508CB" w:rsidRDefault="00A32545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</w:p>
    <w:p w:rsidR="00453860" w:rsidRPr="009508CB" w:rsidRDefault="00453860" w:rsidP="00EE4FC3">
      <w:pPr>
        <w:jc w:val="both"/>
        <w:rPr>
          <w:sz w:val="28"/>
          <w:szCs w:val="28"/>
        </w:rPr>
      </w:pPr>
    </w:p>
    <w:p w:rsidR="002B6A79" w:rsidRPr="001674CA" w:rsidRDefault="00924BA5" w:rsidP="00EE74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Veselības ministr</w:t>
      </w:r>
      <w:r w:rsidR="0088326B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8326B">
        <w:rPr>
          <w:color w:val="000000"/>
          <w:sz w:val="28"/>
          <w:szCs w:val="28"/>
        </w:rPr>
        <w:t>I</w:t>
      </w:r>
      <w:r w:rsidR="00165889">
        <w:rPr>
          <w:color w:val="000000"/>
          <w:sz w:val="28"/>
          <w:szCs w:val="28"/>
        </w:rPr>
        <w:t>.</w:t>
      </w:r>
      <w:r w:rsidR="0088326B">
        <w:rPr>
          <w:color w:val="000000"/>
          <w:sz w:val="28"/>
          <w:szCs w:val="28"/>
        </w:rPr>
        <w:t>Circene</w:t>
      </w:r>
    </w:p>
    <w:p w:rsidR="00EE4FC3" w:rsidRDefault="00EE4FC3" w:rsidP="00EE4FC3">
      <w:pPr>
        <w:jc w:val="both"/>
        <w:rPr>
          <w:sz w:val="28"/>
          <w:szCs w:val="28"/>
        </w:rPr>
      </w:pPr>
    </w:p>
    <w:p w:rsidR="00E317AC" w:rsidRDefault="00E317AC" w:rsidP="0026287B">
      <w:pPr>
        <w:ind w:firstLine="720"/>
        <w:jc w:val="both"/>
      </w:pPr>
    </w:p>
    <w:p w:rsidR="00613C05" w:rsidRDefault="00613C05" w:rsidP="00DE7F05">
      <w:pPr>
        <w:jc w:val="both"/>
        <w:rPr>
          <w:lang w:val="sv-SE"/>
        </w:rPr>
      </w:pPr>
    </w:p>
    <w:p w:rsidR="003123A4" w:rsidRDefault="003123A4" w:rsidP="00DE7F05">
      <w:pPr>
        <w:jc w:val="both"/>
        <w:rPr>
          <w:lang w:val="sv-SE"/>
        </w:rPr>
      </w:pPr>
    </w:p>
    <w:p w:rsidR="003123A4" w:rsidRDefault="003123A4" w:rsidP="00DE7F05">
      <w:pPr>
        <w:jc w:val="both"/>
        <w:rPr>
          <w:lang w:val="sv-SE"/>
        </w:rPr>
      </w:pPr>
    </w:p>
    <w:p w:rsidR="00361DAB" w:rsidRDefault="00361DAB" w:rsidP="00DE7F05">
      <w:pPr>
        <w:jc w:val="both"/>
        <w:rPr>
          <w:lang w:val="sv-SE"/>
        </w:rPr>
      </w:pPr>
    </w:p>
    <w:p w:rsidR="004D4C70" w:rsidRDefault="004D4C70" w:rsidP="00DE7F05">
      <w:pPr>
        <w:jc w:val="both"/>
        <w:rPr>
          <w:lang w:val="sv-SE"/>
        </w:rPr>
      </w:pPr>
    </w:p>
    <w:p w:rsidR="004D4C70" w:rsidRDefault="004D4C70" w:rsidP="00DE7F05">
      <w:pPr>
        <w:jc w:val="both"/>
        <w:rPr>
          <w:lang w:val="sv-SE"/>
        </w:rPr>
      </w:pPr>
    </w:p>
    <w:p w:rsidR="00361DAB" w:rsidRDefault="00361DAB" w:rsidP="00DE7F05">
      <w:pPr>
        <w:jc w:val="both"/>
        <w:rPr>
          <w:lang w:val="sv-SE"/>
        </w:rPr>
      </w:pPr>
    </w:p>
    <w:p w:rsidR="00361DAB" w:rsidRDefault="00361DAB" w:rsidP="00DE7F05">
      <w:pPr>
        <w:jc w:val="both"/>
        <w:rPr>
          <w:lang w:val="sv-SE"/>
        </w:rPr>
      </w:pPr>
    </w:p>
    <w:p w:rsidR="00361DAB" w:rsidRDefault="00361DAB" w:rsidP="00DE7F05">
      <w:pPr>
        <w:jc w:val="both"/>
        <w:rPr>
          <w:lang w:val="sv-SE"/>
        </w:rPr>
      </w:pPr>
    </w:p>
    <w:p w:rsidR="00613C05" w:rsidRDefault="00613C05" w:rsidP="00DE7F05">
      <w:pPr>
        <w:jc w:val="both"/>
        <w:rPr>
          <w:lang w:val="sv-SE"/>
        </w:rPr>
      </w:pPr>
    </w:p>
    <w:p w:rsidR="00613C05" w:rsidRDefault="00613C05" w:rsidP="00DE7F05">
      <w:pPr>
        <w:jc w:val="both"/>
        <w:rPr>
          <w:lang w:val="sv-SE"/>
        </w:rPr>
      </w:pPr>
    </w:p>
    <w:p w:rsidR="006A6B98" w:rsidRPr="009508CB" w:rsidRDefault="008C27A6" w:rsidP="00DE7F05">
      <w:pPr>
        <w:jc w:val="both"/>
        <w:rPr>
          <w:lang w:val="sv-SE"/>
        </w:rPr>
      </w:pPr>
      <w:r>
        <w:rPr>
          <w:lang w:val="sv-SE"/>
        </w:rPr>
        <w:t>19</w:t>
      </w:r>
      <w:r w:rsidR="00DA5768">
        <w:rPr>
          <w:lang w:val="sv-SE"/>
        </w:rPr>
        <w:t>.</w:t>
      </w:r>
      <w:r>
        <w:rPr>
          <w:lang w:val="sv-SE"/>
        </w:rPr>
        <w:t>11</w:t>
      </w:r>
      <w:r w:rsidR="00453860">
        <w:rPr>
          <w:lang w:val="sv-SE"/>
        </w:rPr>
        <w:t>.201</w:t>
      </w:r>
      <w:r w:rsidR="0016197B">
        <w:rPr>
          <w:lang w:val="sv-SE"/>
        </w:rPr>
        <w:t>3</w:t>
      </w:r>
      <w:r w:rsidR="00453860">
        <w:rPr>
          <w:lang w:val="sv-SE"/>
        </w:rPr>
        <w:t xml:space="preserve">   </w:t>
      </w:r>
      <w:r w:rsidR="00DE7F05" w:rsidRPr="009508CB">
        <w:rPr>
          <w:lang w:val="sv-SE"/>
        </w:rPr>
        <w:t xml:space="preserve"> </w:t>
      </w:r>
      <w:r w:rsidR="00924BA5">
        <w:rPr>
          <w:lang w:val="sv-SE"/>
        </w:rPr>
        <w:t>1</w:t>
      </w:r>
      <w:r w:rsidR="00BF4651">
        <w:rPr>
          <w:lang w:val="sv-SE"/>
        </w:rPr>
        <w:t>2</w:t>
      </w:r>
      <w:r w:rsidR="00DE7F05" w:rsidRPr="009508CB">
        <w:rPr>
          <w:lang w:val="sv-SE"/>
        </w:rPr>
        <w:t>:</w:t>
      </w:r>
      <w:r w:rsidR="00BF4651">
        <w:rPr>
          <w:lang w:val="sv-SE"/>
        </w:rPr>
        <w:t>43</w:t>
      </w:r>
    </w:p>
    <w:p w:rsidR="00DE7F05" w:rsidRPr="009508CB" w:rsidRDefault="00C04536" w:rsidP="00DE7F05">
      <w:pPr>
        <w:jc w:val="both"/>
      </w:pPr>
      <w:r>
        <w:t>678</w:t>
      </w:r>
    </w:p>
    <w:p w:rsidR="001172D8" w:rsidRDefault="00E317AC" w:rsidP="002B5D3A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8CB">
        <w:rPr>
          <w:rFonts w:ascii="Times New Roman" w:hAnsi="Times New Roman"/>
          <w:sz w:val="24"/>
          <w:szCs w:val="24"/>
        </w:rPr>
        <w:t>Ieva.Brūvere</w:t>
      </w:r>
      <w:proofErr w:type="spellEnd"/>
      <w:r w:rsidR="00DE7F05" w:rsidRPr="009508CB">
        <w:rPr>
          <w:rFonts w:ascii="Times New Roman" w:hAnsi="Times New Roman"/>
          <w:sz w:val="24"/>
          <w:szCs w:val="24"/>
        </w:rPr>
        <w:t xml:space="preserve">, </w:t>
      </w:r>
    </w:p>
    <w:p w:rsidR="00C42A40" w:rsidRDefault="00DE7F05" w:rsidP="002B5D3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508CB">
        <w:rPr>
          <w:rFonts w:ascii="Times New Roman" w:hAnsi="Times New Roman"/>
          <w:sz w:val="24"/>
          <w:szCs w:val="24"/>
        </w:rPr>
        <w:t>67</w:t>
      </w:r>
      <w:r w:rsidR="00E317AC" w:rsidRPr="009508CB">
        <w:rPr>
          <w:rFonts w:ascii="Times New Roman" w:hAnsi="Times New Roman"/>
          <w:sz w:val="24"/>
          <w:szCs w:val="24"/>
        </w:rPr>
        <w:t>876061,</w:t>
      </w:r>
      <w:r w:rsidR="00C0453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42A40" w:rsidRPr="00A324CB">
          <w:rPr>
            <w:rStyle w:val="Hyperlink"/>
            <w:rFonts w:ascii="Times New Roman" w:hAnsi="Times New Roman" w:cs="Times New Roman"/>
            <w:sz w:val="24"/>
            <w:szCs w:val="24"/>
          </w:rPr>
          <w:t>Ieva.Bruvere@vm.gov.lv</w:t>
        </w:r>
      </w:hyperlink>
    </w:p>
    <w:sectPr w:rsidR="00C42A40" w:rsidSect="00BB23D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58" w:right="110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E1" w:rsidRDefault="007301E1">
      <w:r>
        <w:separator/>
      </w:r>
    </w:p>
  </w:endnote>
  <w:endnote w:type="continuationSeparator" w:id="0">
    <w:p w:rsidR="007301E1" w:rsidRDefault="0073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E1" w:rsidRPr="002D1D26" w:rsidRDefault="007301E1" w:rsidP="002D1D26">
    <w:pPr>
      <w:jc w:val="both"/>
    </w:pPr>
    <w:r w:rsidRPr="00287AF0">
      <w:t>VMAnot_</w:t>
    </w:r>
    <w:r>
      <w:t>191113</w:t>
    </w:r>
    <w:r w:rsidRPr="00287AF0">
      <w:t>_V</w:t>
    </w:r>
    <w:r>
      <w:t>A</w:t>
    </w:r>
    <w:r w:rsidRPr="00287AF0">
      <w:t xml:space="preserve">C ; Ministru kabineta noteikumu projekta </w:t>
    </w:r>
    <w:r>
      <w:t>„</w:t>
    </w:r>
    <w:r w:rsidRPr="00287AF0">
      <w:rPr>
        <w:bCs/>
      </w:rPr>
      <w:t xml:space="preserve">Grozījumi Ministru kabineta 2005.gada </w:t>
    </w:r>
    <w:r w:rsidRPr="00287AF0">
      <w:t xml:space="preserve">22.februāra noteikumos Nr.138 </w:t>
    </w:r>
    <w:r>
      <w:t>„</w:t>
    </w:r>
    <w:r w:rsidRPr="00287AF0">
      <w:rPr>
        <w:bCs/>
      </w:rPr>
      <w:t>Valsts asinsdonoru centra nolikums</w:t>
    </w:r>
    <w:r>
      <w:rPr>
        <w:bCs/>
      </w:rPr>
      <w:t>””</w:t>
    </w:r>
    <w:r w:rsidRPr="00287AF0">
      <w:rPr>
        <w:bCs/>
      </w:rPr>
      <w:t xml:space="preserve">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E1" w:rsidRPr="00DA69C1" w:rsidRDefault="007301E1" w:rsidP="00287AF0">
    <w:pPr>
      <w:jc w:val="both"/>
    </w:pPr>
    <w:r w:rsidRPr="00287AF0">
      <w:t>VMAnot_</w:t>
    </w:r>
    <w:r>
      <w:t>191113</w:t>
    </w:r>
    <w:r w:rsidRPr="00287AF0">
      <w:t>_V</w:t>
    </w:r>
    <w:r>
      <w:t>A</w:t>
    </w:r>
    <w:r w:rsidRPr="00287AF0">
      <w:t xml:space="preserve">C; Ministru kabineta noteikumu projekta </w:t>
    </w:r>
    <w:r>
      <w:t>„</w:t>
    </w:r>
    <w:r w:rsidRPr="00287AF0">
      <w:rPr>
        <w:bCs/>
      </w:rPr>
      <w:t xml:space="preserve">Grozījumi Ministru kabineta 2005.gada </w:t>
    </w:r>
    <w:r w:rsidRPr="00287AF0">
      <w:t xml:space="preserve">22.februāra noteikumos Nr.138 </w:t>
    </w:r>
    <w:r>
      <w:t>„</w:t>
    </w:r>
    <w:r w:rsidRPr="00287AF0">
      <w:rPr>
        <w:bCs/>
      </w:rPr>
      <w:t>Val</w:t>
    </w:r>
    <w:r>
      <w:rPr>
        <w:bCs/>
      </w:rPr>
      <w:t>sts asinsdonoru centra nolikums”’</w:t>
    </w:r>
    <w:r w:rsidRPr="00287AF0">
      <w:rPr>
        <w:bCs/>
      </w:rPr>
      <w:t xml:space="preserve">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E1" w:rsidRDefault="007301E1">
      <w:r>
        <w:separator/>
      </w:r>
    </w:p>
  </w:footnote>
  <w:footnote w:type="continuationSeparator" w:id="0">
    <w:p w:rsidR="007301E1" w:rsidRDefault="0073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E1" w:rsidRDefault="006C5B50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01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1E1" w:rsidRDefault="00730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E1" w:rsidRPr="00DB073B" w:rsidRDefault="006C5B50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7301E1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BF4651">
      <w:rPr>
        <w:rStyle w:val="PageNumber"/>
        <w:noProof/>
        <w:sz w:val="20"/>
        <w:szCs w:val="20"/>
      </w:rPr>
      <w:t>4</w:t>
    </w:r>
    <w:r w:rsidRPr="00DB073B">
      <w:rPr>
        <w:rStyle w:val="PageNumber"/>
        <w:sz w:val="20"/>
        <w:szCs w:val="20"/>
      </w:rPr>
      <w:fldChar w:fldCharType="end"/>
    </w:r>
  </w:p>
  <w:p w:rsidR="007301E1" w:rsidRDefault="00730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6F507D"/>
    <w:multiLevelType w:val="hybridMultilevel"/>
    <w:tmpl w:val="EEA61E1E"/>
    <w:lvl w:ilvl="0" w:tplc="0A6C4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C1545"/>
    <w:multiLevelType w:val="multilevel"/>
    <w:tmpl w:val="7B1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2"/>
  </w:num>
  <w:num w:numId="6">
    <w:abstractNumId w:val="20"/>
  </w:num>
  <w:num w:numId="7">
    <w:abstractNumId w:val="27"/>
  </w:num>
  <w:num w:numId="8">
    <w:abstractNumId w:val="14"/>
  </w:num>
  <w:num w:numId="9">
    <w:abstractNumId w:val="6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30"/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8"/>
  </w:num>
  <w:num w:numId="22">
    <w:abstractNumId w:val="32"/>
  </w:num>
  <w:num w:numId="23">
    <w:abstractNumId w:val="4"/>
  </w:num>
  <w:num w:numId="24">
    <w:abstractNumId w:val="31"/>
  </w:num>
  <w:num w:numId="25">
    <w:abstractNumId w:val="22"/>
  </w:num>
  <w:num w:numId="26">
    <w:abstractNumId w:val="11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8"/>
  </w:num>
  <w:num w:numId="32">
    <w:abstractNumId w:val="33"/>
  </w:num>
  <w:num w:numId="33">
    <w:abstractNumId w:val="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0A25"/>
    <w:rsid w:val="00011D24"/>
    <w:rsid w:val="00013FF4"/>
    <w:rsid w:val="00014093"/>
    <w:rsid w:val="00016058"/>
    <w:rsid w:val="0001676B"/>
    <w:rsid w:val="00017978"/>
    <w:rsid w:val="00017C64"/>
    <w:rsid w:val="00020FE1"/>
    <w:rsid w:val="00021F3D"/>
    <w:rsid w:val="0002205B"/>
    <w:rsid w:val="00022E13"/>
    <w:rsid w:val="0002701C"/>
    <w:rsid w:val="00031ED3"/>
    <w:rsid w:val="00032388"/>
    <w:rsid w:val="00033D83"/>
    <w:rsid w:val="00035CE2"/>
    <w:rsid w:val="00041ADD"/>
    <w:rsid w:val="00042826"/>
    <w:rsid w:val="00042D84"/>
    <w:rsid w:val="0004343B"/>
    <w:rsid w:val="000435D2"/>
    <w:rsid w:val="000551F2"/>
    <w:rsid w:val="0005553B"/>
    <w:rsid w:val="000604D2"/>
    <w:rsid w:val="000621FD"/>
    <w:rsid w:val="00064440"/>
    <w:rsid w:val="00064B3F"/>
    <w:rsid w:val="00064B76"/>
    <w:rsid w:val="00065489"/>
    <w:rsid w:val="00065CA6"/>
    <w:rsid w:val="00072382"/>
    <w:rsid w:val="00077475"/>
    <w:rsid w:val="00087174"/>
    <w:rsid w:val="0009005E"/>
    <w:rsid w:val="00090585"/>
    <w:rsid w:val="00090AF7"/>
    <w:rsid w:val="00094166"/>
    <w:rsid w:val="00094421"/>
    <w:rsid w:val="00095591"/>
    <w:rsid w:val="00096CF2"/>
    <w:rsid w:val="000A17A2"/>
    <w:rsid w:val="000A4556"/>
    <w:rsid w:val="000A6451"/>
    <w:rsid w:val="000A71D3"/>
    <w:rsid w:val="000B064E"/>
    <w:rsid w:val="000B68EB"/>
    <w:rsid w:val="000B69CF"/>
    <w:rsid w:val="000C10AB"/>
    <w:rsid w:val="000C185A"/>
    <w:rsid w:val="000C3034"/>
    <w:rsid w:val="000C3619"/>
    <w:rsid w:val="000C6765"/>
    <w:rsid w:val="000C6BFB"/>
    <w:rsid w:val="000C790C"/>
    <w:rsid w:val="000D44B5"/>
    <w:rsid w:val="000D6E3D"/>
    <w:rsid w:val="000D7E4E"/>
    <w:rsid w:val="000E31B4"/>
    <w:rsid w:val="000E4C40"/>
    <w:rsid w:val="000E5121"/>
    <w:rsid w:val="000F061D"/>
    <w:rsid w:val="000F1A70"/>
    <w:rsid w:val="000F38E1"/>
    <w:rsid w:val="000F39AA"/>
    <w:rsid w:val="00102781"/>
    <w:rsid w:val="00104A71"/>
    <w:rsid w:val="00104E13"/>
    <w:rsid w:val="00110661"/>
    <w:rsid w:val="001108B3"/>
    <w:rsid w:val="001126AB"/>
    <w:rsid w:val="001172D8"/>
    <w:rsid w:val="001203A1"/>
    <w:rsid w:val="00120C22"/>
    <w:rsid w:val="00124F12"/>
    <w:rsid w:val="001311D0"/>
    <w:rsid w:val="00131207"/>
    <w:rsid w:val="00132E68"/>
    <w:rsid w:val="00137234"/>
    <w:rsid w:val="00137308"/>
    <w:rsid w:val="001428CF"/>
    <w:rsid w:val="00144E3A"/>
    <w:rsid w:val="001458A7"/>
    <w:rsid w:val="0015060C"/>
    <w:rsid w:val="00157885"/>
    <w:rsid w:val="0015792F"/>
    <w:rsid w:val="0016018A"/>
    <w:rsid w:val="0016197B"/>
    <w:rsid w:val="00161F0E"/>
    <w:rsid w:val="00165889"/>
    <w:rsid w:val="00170E2A"/>
    <w:rsid w:val="00173456"/>
    <w:rsid w:val="001819E8"/>
    <w:rsid w:val="00183CC2"/>
    <w:rsid w:val="0018470B"/>
    <w:rsid w:val="00187200"/>
    <w:rsid w:val="001900E4"/>
    <w:rsid w:val="00190F88"/>
    <w:rsid w:val="00190F97"/>
    <w:rsid w:val="001978C2"/>
    <w:rsid w:val="001A248B"/>
    <w:rsid w:val="001A27A7"/>
    <w:rsid w:val="001A37D4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B6C33"/>
    <w:rsid w:val="001D0B3E"/>
    <w:rsid w:val="001D343B"/>
    <w:rsid w:val="001D5B54"/>
    <w:rsid w:val="001E12C2"/>
    <w:rsid w:val="001E1AAF"/>
    <w:rsid w:val="001E1DBF"/>
    <w:rsid w:val="001E4639"/>
    <w:rsid w:val="001E4A7D"/>
    <w:rsid w:val="001E7C83"/>
    <w:rsid w:val="001F1770"/>
    <w:rsid w:val="001F43A8"/>
    <w:rsid w:val="001F5CD6"/>
    <w:rsid w:val="0020034A"/>
    <w:rsid w:val="00201FB9"/>
    <w:rsid w:val="00205957"/>
    <w:rsid w:val="002066B8"/>
    <w:rsid w:val="00210563"/>
    <w:rsid w:val="0021263D"/>
    <w:rsid w:val="00213206"/>
    <w:rsid w:val="00213F0C"/>
    <w:rsid w:val="00214E43"/>
    <w:rsid w:val="0021592D"/>
    <w:rsid w:val="002165A4"/>
    <w:rsid w:val="00217594"/>
    <w:rsid w:val="00217BC5"/>
    <w:rsid w:val="00222156"/>
    <w:rsid w:val="00222D76"/>
    <w:rsid w:val="00223A5A"/>
    <w:rsid w:val="00223EB1"/>
    <w:rsid w:val="0023049A"/>
    <w:rsid w:val="00231344"/>
    <w:rsid w:val="0023193B"/>
    <w:rsid w:val="0023436E"/>
    <w:rsid w:val="002347C0"/>
    <w:rsid w:val="00241A6C"/>
    <w:rsid w:val="002425DA"/>
    <w:rsid w:val="0024264E"/>
    <w:rsid w:val="00242D2B"/>
    <w:rsid w:val="0025116B"/>
    <w:rsid w:val="002521EA"/>
    <w:rsid w:val="0025308B"/>
    <w:rsid w:val="002571A6"/>
    <w:rsid w:val="0026287B"/>
    <w:rsid w:val="00262E2B"/>
    <w:rsid w:val="00270429"/>
    <w:rsid w:val="002723E9"/>
    <w:rsid w:val="00272A91"/>
    <w:rsid w:val="00273944"/>
    <w:rsid w:val="0027567A"/>
    <w:rsid w:val="00277929"/>
    <w:rsid w:val="002826C2"/>
    <w:rsid w:val="00283B82"/>
    <w:rsid w:val="002846E9"/>
    <w:rsid w:val="00284C34"/>
    <w:rsid w:val="00286112"/>
    <w:rsid w:val="00287AF0"/>
    <w:rsid w:val="0029066C"/>
    <w:rsid w:val="00290BE4"/>
    <w:rsid w:val="002953F2"/>
    <w:rsid w:val="00296C97"/>
    <w:rsid w:val="0029740B"/>
    <w:rsid w:val="002A1B5C"/>
    <w:rsid w:val="002A4D6C"/>
    <w:rsid w:val="002A5618"/>
    <w:rsid w:val="002A7CB3"/>
    <w:rsid w:val="002B2D07"/>
    <w:rsid w:val="002B3794"/>
    <w:rsid w:val="002B50DB"/>
    <w:rsid w:val="002B592A"/>
    <w:rsid w:val="002B5D3A"/>
    <w:rsid w:val="002B6A79"/>
    <w:rsid w:val="002B7463"/>
    <w:rsid w:val="002B7548"/>
    <w:rsid w:val="002C0D6F"/>
    <w:rsid w:val="002C12AB"/>
    <w:rsid w:val="002C24E0"/>
    <w:rsid w:val="002C4E62"/>
    <w:rsid w:val="002C5940"/>
    <w:rsid w:val="002C70C3"/>
    <w:rsid w:val="002C7CAC"/>
    <w:rsid w:val="002D08EA"/>
    <w:rsid w:val="002D1D26"/>
    <w:rsid w:val="002D1E04"/>
    <w:rsid w:val="002D252B"/>
    <w:rsid w:val="002D3306"/>
    <w:rsid w:val="002D3A5E"/>
    <w:rsid w:val="002D48AA"/>
    <w:rsid w:val="002D631F"/>
    <w:rsid w:val="002D7BAA"/>
    <w:rsid w:val="002D7F54"/>
    <w:rsid w:val="002E3FF4"/>
    <w:rsid w:val="002E4CE0"/>
    <w:rsid w:val="002F08C9"/>
    <w:rsid w:val="002F1350"/>
    <w:rsid w:val="002F78C8"/>
    <w:rsid w:val="00301CF3"/>
    <w:rsid w:val="003039DD"/>
    <w:rsid w:val="00312163"/>
    <w:rsid w:val="003123A4"/>
    <w:rsid w:val="0031245F"/>
    <w:rsid w:val="0031299F"/>
    <w:rsid w:val="00313886"/>
    <w:rsid w:val="00317F30"/>
    <w:rsid w:val="003211D1"/>
    <w:rsid w:val="003220E9"/>
    <w:rsid w:val="00322AB7"/>
    <w:rsid w:val="00323442"/>
    <w:rsid w:val="003259B7"/>
    <w:rsid w:val="0032715C"/>
    <w:rsid w:val="0033308D"/>
    <w:rsid w:val="00334244"/>
    <w:rsid w:val="003357BB"/>
    <w:rsid w:val="00337CA5"/>
    <w:rsid w:val="00340A97"/>
    <w:rsid w:val="00341026"/>
    <w:rsid w:val="00342230"/>
    <w:rsid w:val="0034241B"/>
    <w:rsid w:val="003432EF"/>
    <w:rsid w:val="0034422C"/>
    <w:rsid w:val="003476E2"/>
    <w:rsid w:val="003511C1"/>
    <w:rsid w:val="00357F13"/>
    <w:rsid w:val="003615AE"/>
    <w:rsid w:val="00361DAB"/>
    <w:rsid w:val="00362478"/>
    <w:rsid w:val="00362EF3"/>
    <w:rsid w:val="003639D3"/>
    <w:rsid w:val="00365289"/>
    <w:rsid w:val="003663F6"/>
    <w:rsid w:val="003678DB"/>
    <w:rsid w:val="003715CF"/>
    <w:rsid w:val="00375B25"/>
    <w:rsid w:val="00384392"/>
    <w:rsid w:val="00391E4A"/>
    <w:rsid w:val="0039560B"/>
    <w:rsid w:val="003964DD"/>
    <w:rsid w:val="00396542"/>
    <w:rsid w:val="00396681"/>
    <w:rsid w:val="0039685B"/>
    <w:rsid w:val="003A169A"/>
    <w:rsid w:val="003A1DE4"/>
    <w:rsid w:val="003A7F0C"/>
    <w:rsid w:val="003A7F79"/>
    <w:rsid w:val="003B0828"/>
    <w:rsid w:val="003B17EB"/>
    <w:rsid w:val="003B5410"/>
    <w:rsid w:val="003B6404"/>
    <w:rsid w:val="003B69C7"/>
    <w:rsid w:val="003B71C2"/>
    <w:rsid w:val="003C3C19"/>
    <w:rsid w:val="003C78EC"/>
    <w:rsid w:val="003D0C35"/>
    <w:rsid w:val="003D1406"/>
    <w:rsid w:val="003D1BFC"/>
    <w:rsid w:val="003D21FF"/>
    <w:rsid w:val="003D48C2"/>
    <w:rsid w:val="003D4A49"/>
    <w:rsid w:val="003D5FE5"/>
    <w:rsid w:val="003D7B7E"/>
    <w:rsid w:val="003E07C5"/>
    <w:rsid w:val="003E40FC"/>
    <w:rsid w:val="003E5466"/>
    <w:rsid w:val="003F0112"/>
    <w:rsid w:val="003F071A"/>
    <w:rsid w:val="003F07EC"/>
    <w:rsid w:val="003F160B"/>
    <w:rsid w:val="003F2800"/>
    <w:rsid w:val="003F2F90"/>
    <w:rsid w:val="003F4B89"/>
    <w:rsid w:val="00400032"/>
    <w:rsid w:val="00400B5B"/>
    <w:rsid w:val="00405A00"/>
    <w:rsid w:val="00406956"/>
    <w:rsid w:val="004148A3"/>
    <w:rsid w:val="0042002C"/>
    <w:rsid w:val="00420870"/>
    <w:rsid w:val="00426233"/>
    <w:rsid w:val="00427784"/>
    <w:rsid w:val="0043537A"/>
    <w:rsid w:val="00441483"/>
    <w:rsid w:val="004418E1"/>
    <w:rsid w:val="00441BCB"/>
    <w:rsid w:val="0045176A"/>
    <w:rsid w:val="00453860"/>
    <w:rsid w:val="004549ED"/>
    <w:rsid w:val="00456332"/>
    <w:rsid w:val="0045654A"/>
    <w:rsid w:val="00460761"/>
    <w:rsid w:val="00463DCB"/>
    <w:rsid w:val="004657DC"/>
    <w:rsid w:val="00471F3C"/>
    <w:rsid w:val="00472CEB"/>
    <w:rsid w:val="00480012"/>
    <w:rsid w:val="004800F9"/>
    <w:rsid w:val="0048212F"/>
    <w:rsid w:val="004851D2"/>
    <w:rsid w:val="00487306"/>
    <w:rsid w:val="0049134A"/>
    <w:rsid w:val="00491800"/>
    <w:rsid w:val="0049505A"/>
    <w:rsid w:val="004A166B"/>
    <w:rsid w:val="004A2B86"/>
    <w:rsid w:val="004A58CB"/>
    <w:rsid w:val="004B0139"/>
    <w:rsid w:val="004B05D9"/>
    <w:rsid w:val="004B1795"/>
    <w:rsid w:val="004B246A"/>
    <w:rsid w:val="004B56DD"/>
    <w:rsid w:val="004C1242"/>
    <w:rsid w:val="004C1AFD"/>
    <w:rsid w:val="004C4E10"/>
    <w:rsid w:val="004C558B"/>
    <w:rsid w:val="004D21DC"/>
    <w:rsid w:val="004D4526"/>
    <w:rsid w:val="004D4C70"/>
    <w:rsid w:val="004D50FE"/>
    <w:rsid w:val="004D7A28"/>
    <w:rsid w:val="004E176D"/>
    <w:rsid w:val="004E7DB9"/>
    <w:rsid w:val="004F1F88"/>
    <w:rsid w:val="004F5F1B"/>
    <w:rsid w:val="004F69CA"/>
    <w:rsid w:val="004F73BA"/>
    <w:rsid w:val="00502374"/>
    <w:rsid w:val="0050480A"/>
    <w:rsid w:val="005117EE"/>
    <w:rsid w:val="00516072"/>
    <w:rsid w:val="0051699E"/>
    <w:rsid w:val="00523911"/>
    <w:rsid w:val="00526C1D"/>
    <w:rsid w:val="005300C4"/>
    <w:rsid w:val="005308D9"/>
    <w:rsid w:val="00530971"/>
    <w:rsid w:val="00530E7E"/>
    <w:rsid w:val="005332EC"/>
    <w:rsid w:val="00534418"/>
    <w:rsid w:val="005353AB"/>
    <w:rsid w:val="00536ED9"/>
    <w:rsid w:val="00537D79"/>
    <w:rsid w:val="005436B2"/>
    <w:rsid w:val="00543B26"/>
    <w:rsid w:val="005449FE"/>
    <w:rsid w:val="0055040B"/>
    <w:rsid w:val="005539EE"/>
    <w:rsid w:val="00554817"/>
    <w:rsid w:val="005560BC"/>
    <w:rsid w:val="005570E5"/>
    <w:rsid w:val="005573BE"/>
    <w:rsid w:val="005613F7"/>
    <w:rsid w:val="00561C2E"/>
    <w:rsid w:val="00565617"/>
    <w:rsid w:val="00567E76"/>
    <w:rsid w:val="00572700"/>
    <w:rsid w:val="00580468"/>
    <w:rsid w:val="0058115E"/>
    <w:rsid w:val="005843E3"/>
    <w:rsid w:val="0058603B"/>
    <w:rsid w:val="005867FB"/>
    <w:rsid w:val="005916F3"/>
    <w:rsid w:val="00591FB7"/>
    <w:rsid w:val="0059431B"/>
    <w:rsid w:val="005A00A1"/>
    <w:rsid w:val="005A2D94"/>
    <w:rsid w:val="005A385F"/>
    <w:rsid w:val="005A39CC"/>
    <w:rsid w:val="005A3DB8"/>
    <w:rsid w:val="005A51AB"/>
    <w:rsid w:val="005A622A"/>
    <w:rsid w:val="005A73F1"/>
    <w:rsid w:val="005B36D4"/>
    <w:rsid w:val="005B4730"/>
    <w:rsid w:val="005B4A7D"/>
    <w:rsid w:val="005B5FAC"/>
    <w:rsid w:val="005C3BEF"/>
    <w:rsid w:val="005C68A9"/>
    <w:rsid w:val="005D4379"/>
    <w:rsid w:val="005E05D7"/>
    <w:rsid w:val="005E0729"/>
    <w:rsid w:val="005E41E7"/>
    <w:rsid w:val="005E450F"/>
    <w:rsid w:val="005E5AA3"/>
    <w:rsid w:val="005E6E25"/>
    <w:rsid w:val="005F04F5"/>
    <w:rsid w:val="005F1CE9"/>
    <w:rsid w:val="005F2979"/>
    <w:rsid w:val="005F3130"/>
    <w:rsid w:val="00600CDB"/>
    <w:rsid w:val="00603125"/>
    <w:rsid w:val="00612908"/>
    <w:rsid w:val="00613C05"/>
    <w:rsid w:val="006169FD"/>
    <w:rsid w:val="00621764"/>
    <w:rsid w:val="0062298A"/>
    <w:rsid w:val="00624524"/>
    <w:rsid w:val="00624EEA"/>
    <w:rsid w:val="00626514"/>
    <w:rsid w:val="00626589"/>
    <w:rsid w:val="00627825"/>
    <w:rsid w:val="006327EB"/>
    <w:rsid w:val="006339A0"/>
    <w:rsid w:val="006345B6"/>
    <w:rsid w:val="006403F2"/>
    <w:rsid w:val="006413A8"/>
    <w:rsid w:val="00641650"/>
    <w:rsid w:val="006423C8"/>
    <w:rsid w:val="00642E56"/>
    <w:rsid w:val="00650094"/>
    <w:rsid w:val="00651E00"/>
    <w:rsid w:val="00652617"/>
    <w:rsid w:val="0065623E"/>
    <w:rsid w:val="00671E01"/>
    <w:rsid w:val="00674572"/>
    <w:rsid w:val="0067558B"/>
    <w:rsid w:val="0067705B"/>
    <w:rsid w:val="006824FF"/>
    <w:rsid w:val="00687763"/>
    <w:rsid w:val="00690983"/>
    <w:rsid w:val="006913F6"/>
    <w:rsid w:val="00691968"/>
    <w:rsid w:val="00692B0D"/>
    <w:rsid w:val="00693E0E"/>
    <w:rsid w:val="006A1AE3"/>
    <w:rsid w:val="006A253D"/>
    <w:rsid w:val="006A31F8"/>
    <w:rsid w:val="006A6B98"/>
    <w:rsid w:val="006B2CA9"/>
    <w:rsid w:val="006C30E1"/>
    <w:rsid w:val="006C5B50"/>
    <w:rsid w:val="006C5F62"/>
    <w:rsid w:val="006C6FAA"/>
    <w:rsid w:val="006D0540"/>
    <w:rsid w:val="006D2ED8"/>
    <w:rsid w:val="006D39F4"/>
    <w:rsid w:val="006D48F1"/>
    <w:rsid w:val="006D6182"/>
    <w:rsid w:val="006E0ECC"/>
    <w:rsid w:val="006E6E23"/>
    <w:rsid w:val="006E70CA"/>
    <w:rsid w:val="006F159E"/>
    <w:rsid w:val="006F45BE"/>
    <w:rsid w:val="006F4711"/>
    <w:rsid w:val="006F7042"/>
    <w:rsid w:val="007004FC"/>
    <w:rsid w:val="00701464"/>
    <w:rsid w:val="00703775"/>
    <w:rsid w:val="00705DD2"/>
    <w:rsid w:val="00706670"/>
    <w:rsid w:val="00706688"/>
    <w:rsid w:val="007068F9"/>
    <w:rsid w:val="00706D05"/>
    <w:rsid w:val="00710D4E"/>
    <w:rsid w:val="00712084"/>
    <w:rsid w:val="0071731B"/>
    <w:rsid w:val="0072417C"/>
    <w:rsid w:val="007301E1"/>
    <w:rsid w:val="00731508"/>
    <w:rsid w:val="00732650"/>
    <w:rsid w:val="00734450"/>
    <w:rsid w:val="0073457F"/>
    <w:rsid w:val="00744052"/>
    <w:rsid w:val="00745F67"/>
    <w:rsid w:val="00752D9D"/>
    <w:rsid w:val="007531B2"/>
    <w:rsid w:val="00754784"/>
    <w:rsid w:val="00756B32"/>
    <w:rsid w:val="00757C6E"/>
    <w:rsid w:val="00760894"/>
    <w:rsid w:val="00762BDA"/>
    <w:rsid w:val="00766C5F"/>
    <w:rsid w:val="0077443C"/>
    <w:rsid w:val="00774660"/>
    <w:rsid w:val="00776610"/>
    <w:rsid w:val="00777DA6"/>
    <w:rsid w:val="007805FD"/>
    <w:rsid w:val="00784422"/>
    <w:rsid w:val="00787375"/>
    <w:rsid w:val="00790D0E"/>
    <w:rsid w:val="0079633E"/>
    <w:rsid w:val="007A3658"/>
    <w:rsid w:val="007B0FB7"/>
    <w:rsid w:val="007B3B54"/>
    <w:rsid w:val="007B3FA0"/>
    <w:rsid w:val="007B49DA"/>
    <w:rsid w:val="007B5B31"/>
    <w:rsid w:val="007C2BCC"/>
    <w:rsid w:val="007C4EF0"/>
    <w:rsid w:val="007D204F"/>
    <w:rsid w:val="007E2664"/>
    <w:rsid w:val="007E3ABF"/>
    <w:rsid w:val="007E5BFA"/>
    <w:rsid w:val="007E6689"/>
    <w:rsid w:val="007E731C"/>
    <w:rsid w:val="007F0659"/>
    <w:rsid w:val="007F0A03"/>
    <w:rsid w:val="007F12A8"/>
    <w:rsid w:val="007F3310"/>
    <w:rsid w:val="007F3FC0"/>
    <w:rsid w:val="0080203F"/>
    <w:rsid w:val="008024E5"/>
    <w:rsid w:val="00810040"/>
    <w:rsid w:val="00812373"/>
    <w:rsid w:val="0082023A"/>
    <w:rsid w:val="00821A7A"/>
    <w:rsid w:val="0082209C"/>
    <w:rsid w:val="008253F8"/>
    <w:rsid w:val="008324EE"/>
    <w:rsid w:val="00832A2B"/>
    <w:rsid w:val="008331AB"/>
    <w:rsid w:val="008334BC"/>
    <w:rsid w:val="0084452E"/>
    <w:rsid w:val="0084511F"/>
    <w:rsid w:val="00845F80"/>
    <w:rsid w:val="00846994"/>
    <w:rsid w:val="00846B93"/>
    <w:rsid w:val="00850451"/>
    <w:rsid w:val="00852042"/>
    <w:rsid w:val="008534C9"/>
    <w:rsid w:val="008553FF"/>
    <w:rsid w:val="0085599D"/>
    <w:rsid w:val="008574B9"/>
    <w:rsid w:val="00860923"/>
    <w:rsid w:val="00861965"/>
    <w:rsid w:val="008651CC"/>
    <w:rsid w:val="00866EF0"/>
    <w:rsid w:val="00871718"/>
    <w:rsid w:val="0087510C"/>
    <w:rsid w:val="00875AC6"/>
    <w:rsid w:val="0088326B"/>
    <w:rsid w:val="00885C0A"/>
    <w:rsid w:val="00885C36"/>
    <w:rsid w:val="0089391C"/>
    <w:rsid w:val="00895351"/>
    <w:rsid w:val="0089738E"/>
    <w:rsid w:val="008A09A5"/>
    <w:rsid w:val="008A3CB5"/>
    <w:rsid w:val="008A3FE6"/>
    <w:rsid w:val="008A4D71"/>
    <w:rsid w:val="008B5FDB"/>
    <w:rsid w:val="008B60E1"/>
    <w:rsid w:val="008C27A6"/>
    <w:rsid w:val="008C29CB"/>
    <w:rsid w:val="008C43F3"/>
    <w:rsid w:val="008C5649"/>
    <w:rsid w:val="008D2DF9"/>
    <w:rsid w:val="008D6D15"/>
    <w:rsid w:val="008E16E1"/>
    <w:rsid w:val="008E44A2"/>
    <w:rsid w:val="008E697D"/>
    <w:rsid w:val="008F2CD0"/>
    <w:rsid w:val="009005CB"/>
    <w:rsid w:val="00903263"/>
    <w:rsid w:val="00903EDE"/>
    <w:rsid w:val="00905F2A"/>
    <w:rsid w:val="00906A21"/>
    <w:rsid w:val="00907242"/>
    <w:rsid w:val="009079C3"/>
    <w:rsid w:val="00910462"/>
    <w:rsid w:val="009135AD"/>
    <w:rsid w:val="00915AB1"/>
    <w:rsid w:val="00917532"/>
    <w:rsid w:val="00920B9A"/>
    <w:rsid w:val="009235BA"/>
    <w:rsid w:val="00924BA5"/>
    <w:rsid w:val="00924CE2"/>
    <w:rsid w:val="00925B9F"/>
    <w:rsid w:val="00931AED"/>
    <w:rsid w:val="009362B8"/>
    <w:rsid w:val="00940739"/>
    <w:rsid w:val="009425B1"/>
    <w:rsid w:val="00942EA8"/>
    <w:rsid w:val="009476A3"/>
    <w:rsid w:val="0095087F"/>
    <w:rsid w:val="009508CB"/>
    <w:rsid w:val="0095334F"/>
    <w:rsid w:val="009549ED"/>
    <w:rsid w:val="00956EDF"/>
    <w:rsid w:val="00957668"/>
    <w:rsid w:val="00960431"/>
    <w:rsid w:val="00963631"/>
    <w:rsid w:val="00965897"/>
    <w:rsid w:val="0096765C"/>
    <w:rsid w:val="0097149F"/>
    <w:rsid w:val="009727E4"/>
    <w:rsid w:val="00977165"/>
    <w:rsid w:val="00984F59"/>
    <w:rsid w:val="00985B86"/>
    <w:rsid w:val="0099335E"/>
    <w:rsid w:val="009934C5"/>
    <w:rsid w:val="00994757"/>
    <w:rsid w:val="00994C0F"/>
    <w:rsid w:val="009A2769"/>
    <w:rsid w:val="009A40B2"/>
    <w:rsid w:val="009A54D8"/>
    <w:rsid w:val="009A6FD0"/>
    <w:rsid w:val="009A79EA"/>
    <w:rsid w:val="009B170F"/>
    <w:rsid w:val="009B22D7"/>
    <w:rsid w:val="009B44CE"/>
    <w:rsid w:val="009B484A"/>
    <w:rsid w:val="009B5259"/>
    <w:rsid w:val="009B6F72"/>
    <w:rsid w:val="009B72ED"/>
    <w:rsid w:val="009C1657"/>
    <w:rsid w:val="009C2B34"/>
    <w:rsid w:val="009C6DEB"/>
    <w:rsid w:val="009D5940"/>
    <w:rsid w:val="009D608B"/>
    <w:rsid w:val="009D6504"/>
    <w:rsid w:val="009E2645"/>
    <w:rsid w:val="009E48A6"/>
    <w:rsid w:val="009E5B87"/>
    <w:rsid w:val="009E661A"/>
    <w:rsid w:val="00A04B4E"/>
    <w:rsid w:val="00A04D01"/>
    <w:rsid w:val="00A06781"/>
    <w:rsid w:val="00A107DA"/>
    <w:rsid w:val="00A144F3"/>
    <w:rsid w:val="00A1509C"/>
    <w:rsid w:val="00A15AA4"/>
    <w:rsid w:val="00A21085"/>
    <w:rsid w:val="00A2157C"/>
    <w:rsid w:val="00A26883"/>
    <w:rsid w:val="00A32545"/>
    <w:rsid w:val="00A3297A"/>
    <w:rsid w:val="00A34260"/>
    <w:rsid w:val="00A344DD"/>
    <w:rsid w:val="00A345A8"/>
    <w:rsid w:val="00A4115C"/>
    <w:rsid w:val="00A41641"/>
    <w:rsid w:val="00A43D18"/>
    <w:rsid w:val="00A473A4"/>
    <w:rsid w:val="00A50440"/>
    <w:rsid w:val="00A50AF7"/>
    <w:rsid w:val="00A5747D"/>
    <w:rsid w:val="00A60293"/>
    <w:rsid w:val="00A61B58"/>
    <w:rsid w:val="00A62792"/>
    <w:rsid w:val="00A70CFD"/>
    <w:rsid w:val="00A72A0B"/>
    <w:rsid w:val="00A7547B"/>
    <w:rsid w:val="00A81361"/>
    <w:rsid w:val="00A81E42"/>
    <w:rsid w:val="00A84AA6"/>
    <w:rsid w:val="00A864FE"/>
    <w:rsid w:val="00A86F41"/>
    <w:rsid w:val="00A87D04"/>
    <w:rsid w:val="00A93E77"/>
    <w:rsid w:val="00A950C5"/>
    <w:rsid w:val="00A95D63"/>
    <w:rsid w:val="00AA1D25"/>
    <w:rsid w:val="00AA5228"/>
    <w:rsid w:val="00AB1003"/>
    <w:rsid w:val="00AB2B1A"/>
    <w:rsid w:val="00AB397F"/>
    <w:rsid w:val="00AB5832"/>
    <w:rsid w:val="00AC0C3F"/>
    <w:rsid w:val="00AC51F2"/>
    <w:rsid w:val="00AC5C35"/>
    <w:rsid w:val="00AD2B64"/>
    <w:rsid w:val="00AD7B6D"/>
    <w:rsid w:val="00AD7BB6"/>
    <w:rsid w:val="00AE0B73"/>
    <w:rsid w:val="00AE2386"/>
    <w:rsid w:val="00AE5066"/>
    <w:rsid w:val="00AE5E24"/>
    <w:rsid w:val="00AE61B7"/>
    <w:rsid w:val="00AE6CBA"/>
    <w:rsid w:val="00AE79AD"/>
    <w:rsid w:val="00AF35E4"/>
    <w:rsid w:val="00AF3EEE"/>
    <w:rsid w:val="00AF5CDE"/>
    <w:rsid w:val="00B047C8"/>
    <w:rsid w:val="00B05A61"/>
    <w:rsid w:val="00B075A0"/>
    <w:rsid w:val="00B11A57"/>
    <w:rsid w:val="00B129C4"/>
    <w:rsid w:val="00B16777"/>
    <w:rsid w:val="00B17FAA"/>
    <w:rsid w:val="00B21526"/>
    <w:rsid w:val="00B22B0A"/>
    <w:rsid w:val="00B2310B"/>
    <w:rsid w:val="00B24416"/>
    <w:rsid w:val="00B25597"/>
    <w:rsid w:val="00B267B9"/>
    <w:rsid w:val="00B27A14"/>
    <w:rsid w:val="00B322DA"/>
    <w:rsid w:val="00B33E09"/>
    <w:rsid w:val="00B408C5"/>
    <w:rsid w:val="00B42406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65A1B"/>
    <w:rsid w:val="00B66A3D"/>
    <w:rsid w:val="00B66CEA"/>
    <w:rsid w:val="00B67DF1"/>
    <w:rsid w:val="00B73166"/>
    <w:rsid w:val="00B7449B"/>
    <w:rsid w:val="00B832FD"/>
    <w:rsid w:val="00B8426C"/>
    <w:rsid w:val="00B91B8D"/>
    <w:rsid w:val="00B92153"/>
    <w:rsid w:val="00B9287A"/>
    <w:rsid w:val="00B94E90"/>
    <w:rsid w:val="00B9710F"/>
    <w:rsid w:val="00BA1A54"/>
    <w:rsid w:val="00BB0A82"/>
    <w:rsid w:val="00BB1B6A"/>
    <w:rsid w:val="00BB23DC"/>
    <w:rsid w:val="00BB3BC2"/>
    <w:rsid w:val="00BB3D70"/>
    <w:rsid w:val="00BB5EF1"/>
    <w:rsid w:val="00BB7C94"/>
    <w:rsid w:val="00BC0A9D"/>
    <w:rsid w:val="00BC1238"/>
    <w:rsid w:val="00BD7B09"/>
    <w:rsid w:val="00BE1CD1"/>
    <w:rsid w:val="00BE2BB4"/>
    <w:rsid w:val="00BE3CA2"/>
    <w:rsid w:val="00BE48B8"/>
    <w:rsid w:val="00BE79BE"/>
    <w:rsid w:val="00BF13E5"/>
    <w:rsid w:val="00BF4651"/>
    <w:rsid w:val="00BF5BC2"/>
    <w:rsid w:val="00BF5EB7"/>
    <w:rsid w:val="00BF60BF"/>
    <w:rsid w:val="00BF7325"/>
    <w:rsid w:val="00C0418E"/>
    <w:rsid w:val="00C04536"/>
    <w:rsid w:val="00C10250"/>
    <w:rsid w:val="00C1133D"/>
    <w:rsid w:val="00C13072"/>
    <w:rsid w:val="00C179B3"/>
    <w:rsid w:val="00C21493"/>
    <w:rsid w:val="00C22CEF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466BC"/>
    <w:rsid w:val="00C4715D"/>
    <w:rsid w:val="00C50EE7"/>
    <w:rsid w:val="00C53334"/>
    <w:rsid w:val="00C5384F"/>
    <w:rsid w:val="00C55673"/>
    <w:rsid w:val="00C56964"/>
    <w:rsid w:val="00C63FDE"/>
    <w:rsid w:val="00C656D5"/>
    <w:rsid w:val="00C67103"/>
    <w:rsid w:val="00C7094A"/>
    <w:rsid w:val="00C71BB9"/>
    <w:rsid w:val="00C7214C"/>
    <w:rsid w:val="00C7610B"/>
    <w:rsid w:val="00C7775F"/>
    <w:rsid w:val="00C8399D"/>
    <w:rsid w:val="00C87E55"/>
    <w:rsid w:val="00C90A95"/>
    <w:rsid w:val="00C9115F"/>
    <w:rsid w:val="00C93E25"/>
    <w:rsid w:val="00C94C28"/>
    <w:rsid w:val="00C96689"/>
    <w:rsid w:val="00C978C1"/>
    <w:rsid w:val="00CA2AA2"/>
    <w:rsid w:val="00CA6CE2"/>
    <w:rsid w:val="00CB0247"/>
    <w:rsid w:val="00CB15EA"/>
    <w:rsid w:val="00CB3440"/>
    <w:rsid w:val="00CB3E5A"/>
    <w:rsid w:val="00CB5590"/>
    <w:rsid w:val="00CC0A87"/>
    <w:rsid w:val="00CC1692"/>
    <w:rsid w:val="00CC1C6A"/>
    <w:rsid w:val="00CC4761"/>
    <w:rsid w:val="00CD0B95"/>
    <w:rsid w:val="00CD138B"/>
    <w:rsid w:val="00CD3E31"/>
    <w:rsid w:val="00CD59E5"/>
    <w:rsid w:val="00CD74A3"/>
    <w:rsid w:val="00CD7BE4"/>
    <w:rsid w:val="00CD7D06"/>
    <w:rsid w:val="00CD7E9D"/>
    <w:rsid w:val="00CE0527"/>
    <w:rsid w:val="00CE0EE2"/>
    <w:rsid w:val="00CE5B23"/>
    <w:rsid w:val="00CF3623"/>
    <w:rsid w:val="00CF70AD"/>
    <w:rsid w:val="00CF7729"/>
    <w:rsid w:val="00D02C26"/>
    <w:rsid w:val="00D030F5"/>
    <w:rsid w:val="00D05A87"/>
    <w:rsid w:val="00D05B67"/>
    <w:rsid w:val="00D06127"/>
    <w:rsid w:val="00D06DC0"/>
    <w:rsid w:val="00D0779C"/>
    <w:rsid w:val="00D107FA"/>
    <w:rsid w:val="00D12275"/>
    <w:rsid w:val="00D12766"/>
    <w:rsid w:val="00D20FF4"/>
    <w:rsid w:val="00D2262E"/>
    <w:rsid w:val="00D22ACC"/>
    <w:rsid w:val="00D23282"/>
    <w:rsid w:val="00D24D2C"/>
    <w:rsid w:val="00D262EF"/>
    <w:rsid w:val="00D35881"/>
    <w:rsid w:val="00D3632D"/>
    <w:rsid w:val="00D423AB"/>
    <w:rsid w:val="00D51EAC"/>
    <w:rsid w:val="00D542FE"/>
    <w:rsid w:val="00D54D8E"/>
    <w:rsid w:val="00D57613"/>
    <w:rsid w:val="00D610FD"/>
    <w:rsid w:val="00D66FF3"/>
    <w:rsid w:val="00D7081D"/>
    <w:rsid w:val="00D716DE"/>
    <w:rsid w:val="00D7416C"/>
    <w:rsid w:val="00D75C43"/>
    <w:rsid w:val="00D76618"/>
    <w:rsid w:val="00D76F78"/>
    <w:rsid w:val="00D861DB"/>
    <w:rsid w:val="00D87031"/>
    <w:rsid w:val="00D92E91"/>
    <w:rsid w:val="00D932AC"/>
    <w:rsid w:val="00D93620"/>
    <w:rsid w:val="00D9461F"/>
    <w:rsid w:val="00D961CA"/>
    <w:rsid w:val="00DA1E37"/>
    <w:rsid w:val="00DA49E2"/>
    <w:rsid w:val="00DA5768"/>
    <w:rsid w:val="00DA69C1"/>
    <w:rsid w:val="00DA7321"/>
    <w:rsid w:val="00DA7DA5"/>
    <w:rsid w:val="00DB073B"/>
    <w:rsid w:val="00DB1E7F"/>
    <w:rsid w:val="00DB78F0"/>
    <w:rsid w:val="00DC2E43"/>
    <w:rsid w:val="00DC50DF"/>
    <w:rsid w:val="00DC71B0"/>
    <w:rsid w:val="00DD095C"/>
    <w:rsid w:val="00DD1330"/>
    <w:rsid w:val="00DD4C8E"/>
    <w:rsid w:val="00DD5B85"/>
    <w:rsid w:val="00DD7FB1"/>
    <w:rsid w:val="00DE0B83"/>
    <w:rsid w:val="00DE1A81"/>
    <w:rsid w:val="00DE4E10"/>
    <w:rsid w:val="00DE7F05"/>
    <w:rsid w:val="00DF0A10"/>
    <w:rsid w:val="00DF5AC3"/>
    <w:rsid w:val="00E02ABF"/>
    <w:rsid w:val="00E13B7C"/>
    <w:rsid w:val="00E14995"/>
    <w:rsid w:val="00E16432"/>
    <w:rsid w:val="00E1777A"/>
    <w:rsid w:val="00E179CD"/>
    <w:rsid w:val="00E23E8D"/>
    <w:rsid w:val="00E248BF"/>
    <w:rsid w:val="00E30D35"/>
    <w:rsid w:val="00E317AC"/>
    <w:rsid w:val="00E32063"/>
    <w:rsid w:val="00E32220"/>
    <w:rsid w:val="00E347AA"/>
    <w:rsid w:val="00E36595"/>
    <w:rsid w:val="00E37D1D"/>
    <w:rsid w:val="00E37F98"/>
    <w:rsid w:val="00E40FC8"/>
    <w:rsid w:val="00E452A0"/>
    <w:rsid w:val="00E46559"/>
    <w:rsid w:val="00E46A04"/>
    <w:rsid w:val="00E4767A"/>
    <w:rsid w:val="00E50020"/>
    <w:rsid w:val="00E53B3B"/>
    <w:rsid w:val="00E56007"/>
    <w:rsid w:val="00E60E08"/>
    <w:rsid w:val="00E64636"/>
    <w:rsid w:val="00E653FC"/>
    <w:rsid w:val="00E6670C"/>
    <w:rsid w:val="00E66CCE"/>
    <w:rsid w:val="00E72632"/>
    <w:rsid w:val="00E73E10"/>
    <w:rsid w:val="00E766E9"/>
    <w:rsid w:val="00E76B66"/>
    <w:rsid w:val="00E776E8"/>
    <w:rsid w:val="00E81057"/>
    <w:rsid w:val="00E8534B"/>
    <w:rsid w:val="00E90E19"/>
    <w:rsid w:val="00E92C1F"/>
    <w:rsid w:val="00E95B61"/>
    <w:rsid w:val="00E95D4B"/>
    <w:rsid w:val="00EA0901"/>
    <w:rsid w:val="00EA1646"/>
    <w:rsid w:val="00EA1725"/>
    <w:rsid w:val="00EA387F"/>
    <w:rsid w:val="00EA3AD6"/>
    <w:rsid w:val="00EB199F"/>
    <w:rsid w:val="00EB6659"/>
    <w:rsid w:val="00EC161E"/>
    <w:rsid w:val="00EC23F7"/>
    <w:rsid w:val="00EC4BD8"/>
    <w:rsid w:val="00EC63EB"/>
    <w:rsid w:val="00EC77F1"/>
    <w:rsid w:val="00ED153F"/>
    <w:rsid w:val="00ED1D0C"/>
    <w:rsid w:val="00ED26F8"/>
    <w:rsid w:val="00ED412F"/>
    <w:rsid w:val="00EE20B7"/>
    <w:rsid w:val="00EE4FC3"/>
    <w:rsid w:val="00EE74F5"/>
    <w:rsid w:val="00EF0B5E"/>
    <w:rsid w:val="00EF36B2"/>
    <w:rsid w:val="00EF5AD3"/>
    <w:rsid w:val="00F00A15"/>
    <w:rsid w:val="00F02196"/>
    <w:rsid w:val="00F0234A"/>
    <w:rsid w:val="00F04A96"/>
    <w:rsid w:val="00F0777C"/>
    <w:rsid w:val="00F07ACD"/>
    <w:rsid w:val="00F10034"/>
    <w:rsid w:val="00F15A45"/>
    <w:rsid w:val="00F201EC"/>
    <w:rsid w:val="00F208A9"/>
    <w:rsid w:val="00F24AF2"/>
    <w:rsid w:val="00F24E81"/>
    <w:rsid w:val="00F2597B"/>
    <w:rsid w:val="00F35471"/>
    <w:rsid w:val="00F418BE"/>
    <w:rsid w:val="00F45432"/>
    <w:rsid w:val="00F54E64"/>
    <w:rsid w:val="00F563D3"/>
    <w:rsid w:val="00F61B74"/>
    <w:rsid w:val="00F6205F"/>
    <w:rsid w:val="00F72598"/>
    <w:rsid w:val="00F72F7E"/>
    <w:rsid w:val="00F7454F"/>
    <w:rsid w:val="00F752EA"/>
    <w:rsid w:val="00F77988"/>
    <w:rsid w:val="00F77F48"/>
    <w:rsid w:val="00F821E7"/>
    <w:rsid w:val="00F85D5C"/>
    <w:rsid w:val="00F875CB"/>
    <w:rsid w:val="00F95618"/>
    <w:rsid w:val="00F957E7"/>
    <w:rsid w:val="00FA092F"/>
    <w:rsid w:val="00FA4523"/>
    <w:rsid w:val="00FA523B"/>
    <w:rsid w:val="00FA76E7"/>
    <w:rsid w:val="00FB30F1"/>
    <w:rsid w:val="00FB511D"/>
    <w:rsid w:val="00FB53E7"/>
    <w:rsid w:val="00FC37DD"/>
    <w:rsid w:val="00FC50C6"/>
    <w:rsid w:val="00FD074A"/>
    <w:rsid w:val="00FD0D8B"/>
    <w:rsid w:val="00FD2F48"/>
    <w:rsid w:val="00FD35D2"/>
    <w:rsid w:val="00FE42D0"/>
    <w:rsid w:val="00FE7C37"/>
    <w:rsid w:val="00FF089C"/>
    <w:rsid w:val="00FF0A4B"/>
    <w:rsid w:val="00FF5A71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F7CD4"/>
    <w:pPr>
      <w:ind w:left="720"/>
      <w:contextualSpacing/>
    </w:pPr>
    <w:rPr>
      <w:sz w:val="20"/>
      <w:szCs w:val="20"/>
      <w:lang w:eastAsia="en-US"/>
    </w:rPr>
  </w:style>
  <w:style w:type="character" w:styleId="Strong">
    <w:name w:val="Strong"/>
    <w:basedOn w:val="DefaultParagraphFont"/>
    <w:qFormat/>
    <w:rsid w:val="00A62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5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1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BD77-BF5E-4A36-9CF6-C97F9EA2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678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2005.gada 22.februāra noteikumos Nr.138 „Valsts asinsdonoru centra nolikums”” anotācija</vt:lpstr>
    </vt:vector>
  </TitlesOfParts>
  <Company>Veselības  ministrija</Company>
  <LinksUpToDate>false</LinksUpToDate>
  <CharactersWithSpaces>5807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22.februāra noteikumos Nr.138 „Valsts asinsdonoru centra nolikums”” anotācija</dc:title>
  <dc:subject>anotācija</dc:subject>
  <dc:creator>Ieva Brūvere</dc:creator>
  <dc:description>67876061, Ieva.Bruvere@vm.gov.lv; fakss 67876002</dc:description>
  <cp:lastModifiedBy>ibruvere</cp:lastModifiedBy>
  <cp:revision>12</cp:revision>
  <cp:lastPrinted>2013-11-19T10:42:00Z</cp:lastPrinted>
  <dcterms:created xsi:type="dcterms:W3CDTF">2013-10-22T07:57:00Z</dcterms:created>
  <dcterms:modified xsi:type="dcterms:W3CDTF">2013-11-19T10:43:00Z</dcterms:modified>
</cp:coreProperties>
</file>