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E5" w:rsidRPr="00BF2C93" w:rsidRDefault="00FD73E5" w:rsidP="00FD73E5">
      <w:pPr>
        <w:spacing w:after="0" w:line="240" w:lineRule="auto"/>
        <w:jc w:val="center"/>
        <w:rPr>
          <w:rFonts w:ascii="Times New Roman" w:hAnsi="Times New Roman"/>
          <w:sz w:val="28"/>
          <w:szCs w:val="28"/>
        </w:rPr>
      </w:pPr>
      <w:bookmarkStart w:id="0" w:name="OLE_LINK3"/>
      <w:bookmarkStart w:id="1" w:name="OLE_LINK4"/>
      <w:r w:rsidRPr="00BF2C93">
        <w:rPr>
          <w:rFonts w:ascii="Times New Roman" w:hAnsi="Times New Roman"/>
          <w:sz w:val="28"/>
          <w:szCs w:val="28"/>
        </w:rPr>
        <w:t>Mini</w:t>
      </w:r>
      <w:r w:rsidR="00B00AEF">
        <w:rPr>
          <w:rFonts w:ascii="Times New Roman" w:hAnsi="Times New Roman"/>
          <w:sz w:val="28"/>
          <w:szCs w:val="28"/>
        </w:rPr>
        <w:t>stru kabineta noteikumu projekta</w:t>
      </w:r>
      <w:r w:rsidRPr="00BF2C93">
        <w:rPr>
          <w:rFonts w:ascii="Times New Roman" w:hAnsi="Times New Roman"/>
          <w:sz w:val="28"/>
          <w:szCs w:val="28"/>
        </w:rPr>
        <w:t xml:space="preserve"> </w:t>
      </w:r>
    </w:p>
    <w:p w:rsidR="00FD73E5" w:rsidRDefault="00BF2C93" w:rsidP="00BF2C93">
      <w:pPr>
        <w:spacing w:after="0" w:line="240" w:lineRule="auto"/>
        <w:jc w:val="both"/>
        <w:rPr>
          <w:rFonts w:ascii="Times New Roman" w:hAnsi="Times New Roman"/>
          <w:sz w:val="28"/>
          <w:szCs w:val="28"/>
        </w:rPr>
      </w:pPr>
      <w:r w:rsidRPr="00BF2C93">
        <w:rPr>
          <w:rFonts w:ascii="Times New Roman" w:hAnsi="Times New Roman"/>
          <w:b/>
          <w:sz w:val="28"/>
          <w:szCs w:val="28"/>
        </w:rPr>
        <w:t>„</w:t>
      </w:r>
      <w:r w:rsidRPr="00BF2C93">
        <w:rPr>
          <w:rFonts w:ascii="Times New Roman" w:hAnsi="Times New Roman"/>
          <w:b/>
          <w:bCs/>
          <w:sz w:val="28"/>
          <w:szCs w:val="28"/>
        </w:rPr>
        <w:t>Noteikumi par trokšņa novērtēšanu dzīvojamo un publisko ēku telpās</w:t>
      </w:r>
      <w:r w:rsidR="00FD73E5" w:rsidRPr="00BF2C93">
        <w:rPr>
          <w:rFonts w:ascii="Times New Roman" w:hAnsi="Times New Roman"/>
          <w:b/>
          <w:sz w:val="28"/>
          <w:szCs w:val="28"/>
        </w:rPr>
        <w:t>”</w:t>
      </w:r>
      <w:r w:rsidR="00FD73E5" w:rsidRPr="00BF2C93">
        <w:rPr>
          <w:rFonts w:ascii="Times New Roman" w:hAnsi="Times New Roman"/>
          <w:sz w:val="28"/>
          <w:szCs w:val="28"/>
        </w:rPr>
        <w:t xml:space="preserve"> </w:t>
      </w:r>
    </w:p>
    <w:p w:rsidR="00B00AEF" w:rsidRDefault="00B00AEF" w:rsidP="00B00AEF">
      <w:pPr>
        <w:spacing w:after="0" w:line="240" w:lineRule="auto"/>
        <w:jc w:val="center"/>
        <w:rPr>
          <w:rFonts w:ascii="Times New Roman" w:hAnsi="Times New Roman"/>
          <w:sz w:val="28"/>
          <w:szCs w:val="28"/>
        </w:rPr>
      </w:pPr>
      <w:r>
        <w:rPr>
          <w:rFonts w:ascii="Times New Roman" w:hAnsi="Times New Roman"/>
          <w:sz w:val="28"/>
          <w:szCs w:val="28"/>
        </w:rPr>
        <w:t>sākotnējās ietekmes novērtējuma ziņojums (anotācija)</w:t>
      </w:r>
    </w:p>
    <w:p w:rsidR="00B00AEF" w:rsidRPr="00BF2C93" w:rsidRDefault="00B00AEF" w:rsidP="00BF2C93">
      <w:pPr>
        <w:spacing w:after="0" w:line="240" w:lineRule="auto"/>
        <w:jc w:val="both"/>
        <w:rPr>
          <w:rFonts w:ascii="Times New Roman" w:hAnsi="Times New Roman"/>
          <w:szCs w:val="28"/>
        </w:rPr>
      </w:pPr>
    </w:p>
    <w:bookmarkEnd w:id="0"/>
    <w:bookmarkEnd w:id="1"/>
    <w:p w:rsidR="00FD73E5" w:rsidRDefault="00FD73E5" w:rsidP="00FD73E5">
      <w:pPr>
        <w:spacing w:after="0" w:line="240" w:lineRule="auto"/>
        <w:jc w:val="center"/>
        <w:rPr>
          <w:rFonts w:ascii="Times New Roman" w:hAnsi="Times New Roman"/>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835"/>
        <w:gridCol w:w="6066"/>
      </w:tblGrid>
      <w:tr w:rsidR="00B75EB1" w:rsidRPr="00AA77FE" w:rsidTr="00AA77FE">
        <w:tc>
          <w:tcPr>
            <w:tcW w:w="9752" w:type="dxa"/>
            <w:gridSpan w:val="3"/>
          </w:tcPr>
          <w:p w:rsidR="00B75EB1" w:rsidRPr="00AA77FE" w:rsidRDefault="00B75EB1" w:rsidP="00AA77FE">
            <w:pPr>
              <w:spacing w:after="0" w:line="240" w:lineRule="auto"/>
              <w:jc w:val="center"/>
              <w:rPr>
                <w:rFonts w:ascii="Times New Roman" w:hAnsi="Times New Roman"/>
                <w:b/>
                <w:sz w:val="28"/>
                <w:szCs w:val="28"/>
              </w:rPr>
            </w:pPr>
            <w:r w:rsidRPr="00AA77FE">
              <w:rPr>
                <w:rFonts w:ascii="Times New Roman" w:hAnsi="Times New Roman"/>
                <w:b/>
                <w:sz w:val="28"/>
                <w:szCs w:val="28"/>
              </w:rPr>
              <w:t>I Tiesību akta projekta izstrādes nepieciešamība</w:t>
            </w:r>
          </w:p>
        </w:tc>
      </w:tr>
      <w:tr w:rsidR="00B75EB1" w:rsidRPr="00AA77FE" w:rsidTr="00AA77FE">
        <w:trPr>
          <w:trHeight w:val="470"/>
        </w:trPr>
        <w:tc>
          <w:tcPr>
            <w:tcW w:w="851" w:type="dxa"/>
          </w:tcPr>
          <w:p w:rsidR="00B75EB1" w:rsidRPr="00AA77FE" w:rsidRDefault="00B75EB1" w:rsidP="00AA77FE">
            <w:pPr>
              <w:numPr>
                <w:ilvl w:val="0"/>
                <w:numId w:val="1"/>
              </w:numPr>
              <w:spacing w:after="0" w:line="240" w:lineRule="auto"/>
              <w:rPr>
                <w:rFonts w:ascii="Times New Roman" w:hAnsi="Times New Roman"/>
                <w:sz w:val="28"/>
                <w:szCs w:val="28"/>
              </w:rPr>
            </w:pPr>
          </w:p>
        </w:tc>
        <w:tc>
          <w:tcPr>
            <w:tcW w:w="2835" w:type="dxa"/>
          </w:tcPr>
          <w:p w:rsidR="00B75EB1" w:rsidRPr="00AA77FE" w:rsidRDefault="00B75EB1" w:rsidP="00AA77FE">
            <w:pPr>
              <w:spacing w:after="0" w:line="240" w:lineRule="auto"/>
              <w:jc w:val="center"/>
              <w:rPr>
                <w:rFonts w:ascii="Times New Roman" w:hAnsi="Times New Roman"/>
                <w:sz w:val="28"/>
                <w:szCs w:val="28"/>
              </w:rPr>
            </w:pPr>
            <w:r w:rsidRPr="00AA77FE">
              <w:rPr>
                <w:rFonts w:ascii="Times New Roman" w:hAnsi="Times New Roman"/>
                <w:sz w:val="28"/>
                <w:szCs w:val="28"/>
              </w:rPr>
              <w:t>Pamatojums</w:t>
            </w:r>
          </w:p>
        </w:tc>
        <w:tc>
          <w:tcPr>
            <w:tcW w:w="6066" w:type="dxa"/>
          </w:tcPr>
          <w:p w:rsidR="00B75EB1" w:rsidRPr="00665969" w:rsidRDefault="00665969" w:rsidP="0046602D">
            <w:pPr>
              <w:spacing w:after="0" w:line="240" w:lineRule="auto"/>
              <w:jc w:val="both"/>
              <w:rPr>
                <w:rFonts w:ascii="Times New Roman" w:hAnsi="Times New Roman"/>
                <w:szCs w:val="28"/>
              </w:rPr>
            </w:pPr>
            <w:r>
              <w:rPr>
                <w:rFonts w:ascii="Times New Roman" w:hAnsi="Times New Roman"/>
                <w:sz w:val="28"/>
                <w:szCs w:val="28"/>
              </w:rPr>
              <w:t>Ministru kabineta noteikumu p</w:t>
            </w:r>
            <w:r w:rsidR="004202B0" w:rsidRPr="004202B0">
              <w:rPr>
                <w:rFonts w:ascii="Times New Roman" w:hAnsi="Times New Roman"/>
                <w:sz w:val="28"/>
                <w:szCs w:val="28"/>
              </w:rPr>
              <w:t xml:space="preserve">rojekts </w:t>
            </w:r>
            <w:r w:rsidRPr="00665969">
              <w:rPr>
                <w:rFonts w:ascii="Times New Roman" w:hAnsi="Times New Roman"/>
                <w:sz w:val="28"/>
                <w:szCs w:val="28"/>
              </w:rPr>
              <w:t>„</w:t>
            </w:r>
            <w:r w:rsidRPr="00665969">
              <w:rPr>
                <w:rFonts w:ascii="Times New Roman" w:hAnsi="Times New Roman"/>
                <w:bCs/>
                <w:sz w:val="28"/>
                <w:szCs w:val="28"/>
              </w:rPr>
              <w:t>Noteikumi par trokšņa novērtēšanu dzīvojamo un publisko ēku telpās</w:t>
            </w:r>
            <w:r w:rsidRPr="00665969">
              <w:rPr>
                <w:rFonts w:ascii="Times New Roman" w:hAnsi="Times New Roman"/>
                <w:sz w:val="28"/>
                <w:szCs w:val="28"/>
              </w:rPr>
              <w:t>” (turpmāk – noteikum</w:t>
            </w:r>
            <w:r>
              <w:rPr>
                <w:rFonts w:ascii="Times New Roman" w:hAnsi="Times New Roman"/>
                <w:sz w:val="28"/>
                <w:szCs w:val="28"/>
              </w:rPr>
              <w:t>u projekts</w:t>
            </w:r>
            <w:r w:rsidRPr="00665969">
              <w:rPr>
                <w:rFonts w:ascii="Times New Roman" w:hAnsi="Times New Roman"/>
                <w:sz w:val="28"/>
                <w:szCs w:val="28"/>
              </w:rPr>
              <w:t>)</w:t>
            </w:r>
            <w:r>
              <w:rPr>
                <w:rFonts w:ascii="Times New Roman" w:hAnsi="Times New Roman"/>
                <w:szCs w:val="28"/>
              </w:rPr>
              <w:t xml:space="preserve"> </w:t>
            </w:r>
            <w:r w:rsidR="004202B0" w:rsidRPr="004202B0">
              <w:rPr>
                <w:rFonts w:ascii="Times New Roman" w:hAnsi="Times New Roman"/>
                <w:sz w:val="28"/>
                <w:szCs w:val="28"/>
              </w:rPr>
              <w:t xml:space="preserve">sagatavots, pamatojoties uz </w:t>
            </w:r>
            <w:r w:rsidR="0046602D">
              <w:rPr>
                <w:rFonts w:ascii="Times New Roman" w:hAnsi="Times New Roman"/>
                <w:sz w:val="28"/>
                <w:szCs w:val="28"/>
              </w:rPr>
              <w:t xml:space="preserve">Ministru prezidenta 2010.gada 21. decembra rezolūciju </w:t>
            </w:r>
            <w:r w:rsidR="0046602D" w:rsidRPr="0046602D">
              <w:rPr>
                <w:rFonts w:ascii="Times New Roman" w:hAnsi="Times New Roman"/>
                <w:sz w:val="28"/>
                <w:szCs w:val="28"/>
              </w:rPr>
              <w:t>Nr.18/P-2647</w:t>
            </w:r>
            <w:r w:rsidR="0046602D">
              <w:rPr>
                <w:rFonts w:ascii="Times New Roman" w:hAnsi="Times New Roman"/>
                <w:sz w:val="28"/>
                <w:szCs w:val="28"/>
              </w:rPr>
              <w:t xml:space="preserve"> un</w:t>
            </w:r>
            <w:r w:rsidR="0046602D" w:rsidRPr="0046602D">
              <w:rPr>
                <w:rFonts w:ascii="Times New Roman" w:hAnsi="Times New Roman"/>
                <w:sz w:val="28"/>
                <w:szCs w:val="28"/>
              </w:rPr>
              <w:t xml:space="preserve"> </w:t>
            </w:r>
            <w:r w:rsidR="004202B0" w:rsidRPr="004202B0">
              <w:rPr>
                <w:rFonts w:ascii="Times New Roman" w:hAnsi="Times New Roman"/>
                <w:sz w:val="28"/>
                <w:szCs w:val="28"/>
              </w:rPr>
              <w:t xml:space="preserve">Ministru kabineta sēdes </w:t>
            </w:r>
            <w:proofErr w:type="spellStart"/>
            <w:r w:rsidR="004202B0" w:rsidRPr="004202B0">
              <w:rPr>
                <w:rFonts w:ascii="Times New Roman" w:hAnsi="Times New Roman"/>
                <w:sz w:val="28"/>
                <w:szCs w:val="28"/>
              </w:rPr>
              <w:t>protokollēmumu</w:t>
            </w:r>
            <w:proofErr w:type="spellEnd"/>
            <w:r w:rsidR="004202B0" w:rsidRPr="004202B0">
              <w:rPr>
                <w:rFonts w:ascii="Times New Roman" w:hAnsi="Times New Roman"/>
                <w:sz w:val="28"/>
                <w:szCs w:val="28"/>
              </w:rPr>
              <w:t xml:space="preserve"> (prot</w:t>
            </w:r>
            <w:r w:rsidR="00CE19A9">
              <w:rPr>
                <w:rFonts w:ascii="Times New Roman" w:hAnsi="Times New Roman"/>
                <w:sz w:val="28"/>
                <w:szCs w:val="28"/>
              </w:rPr>
              <w:t>.</w:t>
            </w:r>
            <w:r w:rsidR="004202B0" w:rsidRPr="004202B0">
              <w:rPr>
                <w:rFonts w:ascii="Times New Roman" w:hAnsi="Times New Roman"/>
                <w:sz w:val="28"/>
                <w:szCs w:val="28"/>
              </w:rPr>
              <w:t xml:space="preserve"> Nr.3; 28.§ 2.punkts)</w:t>
            </w:r>
            <w:r w:rsidR="004202B0" w:rsidRPr="004202B0">
              <w:rPr>
                <w:rFonts w:ascii="Times New Roman" w:hAnsi="Times New Roman"/>
                <w:color w:val="2A2A2A"/>
                <w:sz w:val="28"/>
                <w:szCs w:val="28"/>
              </w:rPr>
              <w:t xml:space="preserve">, kas </w:t>
            </w:r>
            <w:r w:rsidR="004202B0" w:rsidRPr="004202B0">
              <w:rPr>
                <w:rFonts w:ascii="Times New Roman" w:hAnsi="Times New Roman"/>
                <w:sz w:val="28"/>
                <w:szCs w:val="28"/>
              </w:rPr>
              <w:t xml:space="preserve">paredz, ka </w:t>
            </w:r>
            <w:r w:rsidR="004202B0" w:rsidRPr="004202B0">
              <w:rPr>
                <w:rStyle w:val="spelle"/>
                <w:rFonts w:ascii="Times New Roman" w:hAnsi="Times New Roman"/>
                <w:sz w:val="28"/>
                <w:szCs w:val="28"/>
              </w:rPr>
              <w:t xml:space="preserve">Veselības ministrija kopīgi ar Vides aizsardzības un reģionālās attīstības ministriju steidzami sagatavo un saskaņo ar Finanšu ministriju un Tieslietu ministriju noteikumu projektu par akustiskā trokšņa normatīviem dzīvojamo un publisko ēku telpās (paredzot nodrošināt analoģisku regulējumu spēku zaudējušo Ministru kabineta 2004.gada 13.jūlija noteikumu </w:t>
            </w:r>
            <w:r w:rsidR="00CE19A9">
              <w:rPr>
                <w:rStyle w:val="spelle"/>
                <w:rFonts w:ascii="Times New Roman" w:hAnsi="Times New Roman"/>
                <w:sz w:val="28"/>
                <w:szCs w:val="28"/>
              </w:rPr>
              <w:t>N</w:t>
            </w:r>
            <w:r w:rsidR="004202B0" w:rsidRPr="004202B0">
              <w:rPr>
                <w:rStyle w:val="spelle"/>
                <w:rFonts w:ascii="Times New Roman" w:hAnsi="Times New Roman"/>
                <w:sz w:val="28"/>
                <w:szCs w:val="28"/>
              </w:rPr>
              <w:t>r.598 "Noteikumi par akustiskā trokšņa normatīviem dzīvojamo un publisko ēku telpās"</w:t>
            </w:r>
            <w:r w:rsidR="0046602D">
              <w:rPr>
                <w:rStyle w:val="spelle"/>
                <w:rFonts w:ascii="Times New Roman" w:hAnsi="Times New Roman"/>
                <w:sz w:val="28"/>
                <w:szCs w:val="28"/>
              </w:rPr>
              <w:t>.</w:t>
            </w:r>
            <w:r w:rsidR="004202B0" w:rsidRPr="004202B0">
              <w:rPr>
                <w:rStyle w:val="spelle"/>
                <w:rFonts w:ascii="Times New Roman" w:hAnsi="Times New Roman"/>
                <w:sz w:val="28"/>
                <w:szCs w:val="28"/>
              </w:rPr>
              <w:t xml:space="preserve"> </w:t>
            </w:r>
          </w:p>
        </w:tc>
      </w:tr>
      <w:tr w:rsidR="00B75EB1" w:rsidRPr="00AA77FE" w:rsidTr="00AA77FE">
        <w:tc>
          <w:tcPr>
            <w:tcW w:w="851" w:type="dxa"/>
          </w:tcPr>
          <w:p w:rsidR="00B75EB1" w:rsidRPr="00AA77FE" w:rsidRDefault="00B75EB1" w:rsidP="00AA77FE">
            <w:pPr>
              <w:numPr>
                <w:ilvl w:val="0"/>
                <w:numId w:val="1"/>
              </w:numPr>
              <w:spacing w:after="0" w:line="240" w:lineRule="auto"/>
              <w:jc w:val="center"/>
              <w:rPr>
                <w:rFonts w:ascii="Times New Roman" w:hAnsi="Times New Roman"/>
                <w:sz w:val="28"/>
                <w:szCs w:val="28"/>
              </w:rPr>
            </w:pPr>
          </w:p>
        </w:tc>
        <w:tc>
          <w:tcPr>
            <w:tcW w:w="2835" w:type="dxa"/>
          </w:tcPr>
          <w:p w:rsidR="00B75EB1" w:rsidRPr="00AA77FE" w:rsidRDefault="00B75EB1" w:rsidP="00AA77FE">
            <w:pPr>
              <w:spacing w:after="0" w:line="240" w:lineRule="auto"/>
              <w:jc w:val="center"/>
              <w:rPr>
                <w:rFonts w:ascii="Times New Roman" w:hAnsi="Times New Roman"/>
                <w:sz w:val="28"/>
                <w:szCs w:val="28"/>
              </w:rPr>
            </w:pPr>
            <w:r w:rsidRPr="00AA77FE">
              <w:rPr>
                <w:rFonts w:ascii="Times New Roman" w:hAnsi="Times New Roman"/>
                <w:sz w:val="28"/>
                <w:szCs w:val="28"/>
              </w:rPr>
              <w:t>Pašreizējā situācija un problēmas</w:t>
            </w:r>
          </w:p>
        </w:tc>
        <w:tc>
          <w:tcPr>
            <w:tcW w:w="6066" w:type="dxa"/>
          </w:tcPr>
          <w:p w:rsidR="00B75EB1" w:rsidRPr="00AA77FE" w:rsidRDefault="00B75EB1" w:rsidP="00AA77FE">
            <w:pPr>
              <w:spacing w:after="0" w:line="240" w:lineRule="auto"/>
              <w:jc w:val="both"/>
              <w:rPr>
                <w:rFonts w:ascii="Times New Roman" w:hAnsi="Times New Roman"/>
                <w:sz w:val="28"/>
                <w:szCs w:val="28"/>
              </w:rPr>
            </w:pPr>
            <w:r w:rsidRPr="00AA77FE">
              <w:rPr>
                <w:rFonts w:ascii="Times New Roman" w:hAnsi="Times New Roman"/>
                <w:sz w:val="28"/>
                <w:szCs w:val="28"/>
              </w:rPr>
              <w:t xml:space="preserve">Trokšņa normatīvus dzīvojamo un publisko ēku telpās noteica 2004.gada 13. </w:t>
            </w:r>
            <w:r w:rsidR="004202B0">
              <w:rPr>
                <w:rFonts w:ascii="Times New Roman" w:hAnsi="Times New Roman"/>
                <w:sz w:val="28"/>
                <w:szCs w:val="28"/>
              </w:rPr>
              <w:t>j</w:t>
            </w:r>
            <w:r w:rsidRPr="00AA77FE">
              <w:rPr>
                <w:rFonts w:ascii="Times New Roman" w:hAnsi="Times New Roman"/>
                <w:sz w:val="28"/>
                <w:szCs w:val="28"/>
              </w:rPr>
              <w:t xml:space="preserve">ūlija noteikumi Nr.298 „Noteikumi par akustiskā trokšņa normatīviem dzīvojamo un publisko ēku telpās”, kas bija izdoti saskaņā ar Ministru kabineta iekārtas likuma 14.panta pirmās daļas 3.punktu. Līdz ar grozījumiem Ministru iekārtas likumā, šie noteikumi 2010.gada 1. jūlijā zaudēja spēku. </w:t>
            </w:r>
          </w:p>
          <w:p w:rsidR="00B75EB1" w:rsidRPr="00AA77FE" w:rsidRDefault="00B75EB1" w:rsidP="00AA77FE">
            <w:pPr>
              <w:spacing w:after="0" w:line="240" w:lineRule="auto"/>
              <w:jc w:val="both"/>
              <w:rPr>
                <w:rFonts w:ascii="Times New Roman" w:hAnsi="Times New Roman"/>
                <w:sz w:val="28"/>
                <w:szCs w:val="28"/>
              </w:rPr>
            </w:pPr>
            <w:r w:rsidRPr="00AA77FE">
              <w:rPr>
                <w:rFonts w:ascii="Times New Roman" w:hAnsi="Times New Roman"/>
                <w:sz w:val="28"/>
                <w:szCs w:val="28"/>
              </w:rPr>
              <w:t>Līdz ar to tika zaudēts tiesiskais regulējums, kas noteica pieļaujamos trokšņa rādītājus dzīvojamo un publisko ēku telpās, to mērīšanas un novērtēšanas metodes, kā arī atbildīgās institūcijas  šī regulējuma ievērošanai.</w:t>
            </w:r>
          </w:p>
        </w:tc>
      </w:tr>
      <w:tr w:rsidR="00B75EB1" w:rsidRPr="00AA77FE" w:rsidTr="00AA77FE">
        <w:tc>
          <w:tcPr>
            <w:tcW w:w="851" w:type="dxa"/>
          </w:tcPr>
          <w:p w:rsidR="00B75EB1" w:rsidRPr="00AA77FE" w:rsidRDefault="00B75EB1" w:rsidP="00AA77FE">
            <w:pPr>
              <w:spacing w:after="0" w:line="240" w:lineRule="auto"/>
              <w:jc w:val="center"/>
              <w:rPr>
                <w:rFonts w:ascii="Times New Roman" w:hAnsi="Times New Roman"/>
                <w:sz w:val="28"/>
                <w:szCs w:val="28"/>
              </w:rPr>
            </w:pPr>
            <w:r w:rsidRPr="00AA77FE">
              <w:rPr>
                <w:rFonts w:ascii="Times New Roman" w:hAnsi="Times New Roman"/>
                <w:sz w:val="28"/>
                <w:szCs w:val="28"/>
              </w:rPr>
              <w:t>3.</w:t>
            </w:r>
          </w:p>
        </w:tc>
        <w:tc>
          <w:tcPr>
            <w:tcW w:w="2835" w:type="dxa"/>
          </w:tcPr>
          <w:p w:rsidR="00B75EB1" w:rsidRPr="00AA77FE" w:rsidRDefault="00B75EB1" w:rsidP="00AA77FE">
            <w:pPr>
              <w:spacing w:after="0" w:line="240" w:lineRule="auto"/>
              <w:jc w:val="center"/>
              <w:rPr>
                <w:rFonts w:ascii="Times New Roman" w:hAnsi="Times New Roman"/>
                <w:sz w:val="28"/>
                <w:szCs w:val="28"/>
              </w:rPr>
            </w:pPr>
            <w:r w:rsidRPr="00AA77FE">
              <w:rPr>
                <w:rFonts w:ascii="Times New Roman" w:hAnsi="Times New Roman"/>
                <w:sz w:val="28"/>
                <w:szCs w:val="28"/>
              </w:rPr>
              <w:t>Saistītie politikas ietekmes novērtējumi un pētījumi</w:t>
            </w:r>
          </w:p>
        </w:tc>
        <w:tc>
          <w:tcPr>
            <w:tcW w:w="6066" w:type="dxa"/>
          </w:tcPr>
          <w:p w:rsidR="00B75EB1" w:rsidRPr="00AA77FE" w:rsidRDefault="00DA528E" w:rsidP="00AA77FE">
            <w:pPr>
              <w:spacing w:after="0" w:line="240" w:lineRule="auto"/>
              <w:jc w:val="center"/>
              <w:rPr>
                <w:rFonts w:ascii="Times New Roman" w:hAnsi="Times New Roman"/>
                <w:sz w:val="28"/>
                <w:szCs w:val="28"/>
              </w:rPr>
            </w:pPr>
            <w:r w:rsidRPr="00AA77FE">
              <w:rPr>
                <w:rFonts w:ascii="Times New Roman" w:hAnsi="Times New Roman"/>
                <w:sz w:val="28"/>
                <w:szCs w:val="28"/>
              </w:rPr>
              <w:t>Nav</w:t>
            </w:r>
            <w:r w:rsidR="00CE19A9">
              <w:rPr>
                <w:rFonts w:ascii="Times New Roman" w:hAnsi="Times New Roman"/>
                <w:sz w:val="28"/>
                <w:szCs w:val="28"/>
              </w:rPr>
              <w:t xml:space="preserve"> minēti</w:t>
            </w:r>
          </w:p>
        </w:tc>
      </w:tr>
      <w:tr w:rsidR="00B75EB1" w:rsidRPr="00AA77FE" w:rsidTr="00AA77FE">
        <w:tc>
          <w:tcPr>
            <w:tcW w:w="851" w:type="dxa"/>
          </w:tcPr>
          <w:p w:rsidR="00B75EB1" w:rsidRPr="00AA77FE" w:rsidRDefault="00B75EB1" w:rsidP="00AA77FE">
            <w:pPr>
              <w:spacing w:after="0" w:line="240" w:lineRule="auto"/>
              <w:ind w:left="720" w:hanging="402"/>
              <w:rPr>
                <w:rFonts w:ascii="Times New Roman" w:hAnsi="Times New Roman"/>
                <w:sz w:val="28"/>
                <w:szCs w:val="28"/>
              </w:rPr>
            </w:pPr>
            <w:r w:rsidRPr="00AA77FE">
              <w:rPr>
                <w:rFonts w:ascii="Times New Roman" w:hAnsi="Times New Roman"/>
                <w:sz w:val="28"/>
                <w:szCs w:val="28"/>
              </w:rPr>
              <w:lastRenderedPageBreak/>
              <w:t xml:space="preserve">4. </w:t>
            </w:r>
          </w:p>
        </w:tc>
        <w:tc>
          <w:tcPr>
            <w:tcW w:w="2835" w:type="dxa"/>
          </w:tcPr>
          <w:p w:rsidR="00B75EB1" w:rsidRPr="00AA77FE" w:rsidRDefault="00B75EB1" w:rsidP="00AA77FE">
            <w:pPr>
              <w:spacing w:after="0" w:line="240" w:lineRule="auto"/>
              <w:jc w:val="center"/>
              <w:rPr>
                <w:rFonts w:ascii="Times New Roman" w:hAnsi="Times New Roman"/>
                <w:sz w:val="28"/>
                <w:szCs w:val="28"/>
              </w:rPr>
            </w:pPr>
            <w:r w:rsidRPr="00AA77FE">
              <w:rPr>
                <w:rFonts w:ascii="Times New Roman" w:hAnsi="Times New Roman"/>
                <w:sz w:val="28"/>
                <w:szCs w:val="28"/>
              </w:rPr>
              <w:t>Tiesiskā regulējuma mērķis un būtība</w:t>
            </w:r>
          </w:p>
        </w:tc>
        <w:tc>
          <w:tcPr>
            <w:tcW w:w="6066" w:type="dxa"/>
          </w:tcPr>
          <w:p w:rsidR="00B75EB1" w:rsidRDefault="00B75EB1" w:rsidP="00665969">
            <w:pPr>
              <w:spacing w:after="0" w:line="240" w:lineRule="auto"/>
              <w:jc w:val="both"/>
              <w:rPr>
                <w:rFonts w:ascii="Times New Roman" w:hAnsi="Times New Roman"/>
                <w:sz w:val="28"/>
                <w:szCs w:val="28"/>
              </w:rPr>
            </w:pPr>
            <w:r w:rsidRPr="00AA77FE">
              <w:rPr>
                <w:rFonts w:ascii="Times New Roman" w:hAnsi="Times New Roman"/>
                <w:sz w:val="28"/>
                <w:szCs w:val="28"/>
              </w:rPr>
              <w:t>Noteikum</w:t>
            </w:r>
            <w:r w:rsidR="00665969">
              <w:rPr>
                <w:rFonts w:ascii="Times New Roman" w:hAnsi="Times New Roman"/>
                <w:sz w:val="28"/>
                <w:szCs w:val="28"/>
              </w:rPr>
              <w:t>u projekts</w:t>
            </w:r>
            <w:r w:rsidRPr="00AA77FE">
              <w:rPr>
                <w:rFonts w:ascii="Times New Roman" w:hAnsi="Times New Roman"/>
                <w:sz w:val="28"/>
                <w:szCs w:val="28"/>
              </w:rPr>
              <w:t xml:space="preserve"> nosaka akustiskā trokšņa pieļaujamos rādītājus dzīvojamo un publisko ēku telpās, lai nodrošinātu cilvēku aizsardzību pret akustiskā trokšņa nelabvēlīgo iedarbību, kā arī nosaka akustiskā trokšņa dzīvojamo un publisko ēku telpās mērījumu un novērtēšanas metodes. Noteikumu projektā noteikts, ka saimnieciskās darbības iekārtu (ieskaitot ventilācijas, saldēšanas iekārtas, kompresorus un liftus) un transportlīdzekļu radītā akustiskā trokšņa pieļaujamo normatīvu ievērošanu dzīvojamo un publisko ēku telpās kontrolē Veselības inspekcija (dzīvojamo ēku telpās</w:t>
            </w:r>
            <w:r w:rsidR="00B00AEF">
              <w:rPr>
                <w:rFonts w:ascii="Times New Roman" w:hAnsi="Times New Roman"/>
                <w:sz w:val="28"/>
                <w:szCs w:val="28"/>
              </w:rPr>
              <w:t xml:space="preserve"> </w:t>
            </w:r>
            <w:r w:rsidRPr="00AA77FE">
              <w:rPr>
                <w:rFonts w:ascii="Times New Roman" w:hAnsi="Times New Roman"/>
                <w:sz w:val="28"/>
                <w:szCs w:val="28"/>
              </w:rPr>
              <w:t>— pēc iedzīvotāju pieprasījuma), bet  ar mūzikas atskaņošanu un citu ar sabiedrisko kārtību saistīto akustiskā trokšņa pieļaujamo normatīvu ievērošanu kontrolē attiecīgās pašvaldības institūcijas, kurām pašvaldība ir deleģējusi minēto funkciju.</w:t>
            </w:r>
          </w:p>
          <w:p w:rsidR="008E654C" w:rsidRPr="00AA77FE" w:rsidRDefault="008E654C" w:rsidP="00DB15C7">
            <w:pPr>
              <w:spacing w:after="0" w:line="240" w:lineRule="auto"/>
              <w:jc w:val="both"/>
              <w:rPr>
                <w:rFonts w:ascii="Times New Roman" w:hAnsi="Times New Roman"/>
                <w:sz w:val="28"/>
                <w:szCs w:val="28"/>
              </w:rPr>
            </w:pPr>
            <w:r>
              <w:rPr>
                <w:rFonts w:ascii="Times New Roman" w:hAnsi="Times New Roman"/>
                <w:sz w:val="28"/>
                <w:szCs w:val="28"/>
              </w:rPr>
              <w:t>Noteikumu projekta</w:t>
            </w:r>
            <w:r w:rsidR="00DB15C7">
              <w:rPr>
                <w:rFonts w:ascii="Times New Roman" w:hAnsi="Times New Roman"/>
                <w:sz w:val="28"/>
                <w:szCs w:val="28"/>
              </w:rPr>
              <w:t xml:space="preserve"> 4.punkts nosaka, ka</w:t>
            </w:r>
            <w:r>
              <w:rPr>
                <w:rFonts w:ascii="Times New Roman" w:hAnsi="Times New Roman"/>
                <w:sz w:val="28"/>
                <w:szCs w:val="28"/>
              </w:rPr>
              <w:t xml:space="preserve"> </w:t>
            </w:r>
            <w:r w:rsidR="00DB15C7" w:rsidRPr="00DB15C7">
              <w:rPr>
                <w:rFonts w:ascii="Times New Roman" w:hAnsi="Times New Roman"/>
                <w:sz w:val="28"/>
                <w:szCs w:val="28"/>
              </w:rPr>
              <w:t>Trokšņa mērījumus veic laboratorijas, kas akreditētas sabiedrības ar ierobežotu atbildību "Standartizācijas, akreditācijas un metroloģijas centrs" Latvijas Nacionālajā akreditācijas birojā vai citā Eiropas Savienības dalībvalsts akreditācijas institūcijā atbilstoši standartā LVS EN ISO/IEC 17025:2005 “Testē</w:t>
            </w:r>
            <w:r w:rsidR="00DB15C7" w:rsidRPr="00DB15C7">
              <w:rPr>
                <w:rFonts w:ascii="Times New Roman" w:hAnsi="Times New Roman"/>
                <w:sz w:val="28"/>
                <w:szCs w:val="28"/>
              </w:rPr>
              <w:softHyphen/>
              <w:t>šanas un kalibrēšanas laboratoriju kompetences vispārīgās prasības” noteiktajām prasībām, ievērojot šo noteikumu 5.punktā un 1.pielikumā minētās prasības</w:t>
            </w:r>
            <w:r w:rsidR="00DB15C7">
              <w:rPr>
                <w:rFonts w:ascii="Times New Roman" w:hAnsi="Times New Roman"/>
                <w:sz w:val="28"/>
                <w:szCs w:val="28"/>
              </w:rPr>
              <w:t xml:space="preserve">. Prasību testēšanas laboratorijai būt akreditētai pēc konkrēta standarta nosaka </w:t>
            </w:r>
            <w:r w:rsidR="00DB15C7" w:rsidRPr="00DB15C7">
              <w:rPr>
                <w:rFonts w:ascii="Times New Roman" w:hAnsi="Times New Roman"/>
                <w:sz w:val="28"/>
                <w:szCs w:val="28"/>
              </w:rPr>
              <w:t>2008.gada 16. decembra Ministru kabineta noteikumos Nr.1059 „Noteikumi par atbilstības novērtēšanas institūciju novērtēšanu, akreditāciju un uzraudzību” 5.4. punktā.</w:t>
            </w:r>
            <w:r w:rsidR="00DB15C7">
              <w:rPr>
                <w:rFonts w:ascii="Times New Roman" w:hAnsi="Times New Roman"/>
                <w:sz w:val="28"/>
                <w:szCs w:val="28"/>
              </w:rPr>
              <w:t xml:space="preserve"> Šī standarta pieejamību sabiedrībai, tā oriģināla un papildinājumu tulkošanu nodrošina Ekonomikas </w:t>
            </w:r>
            <w:r w:rsidR="00DB15C7">
              <w:rPr>
                <w:rFonts w:ascii="Times New Roman" w:hAnsi="Times New Roman"/>
                <w:sz w:val="28"/>
                <w:szCs w:val="28"/>
              </w:rPr>
              <w:lastRenderedPageBreak/>
              <w:t>ministrija, kuras kompetencē ir atbilstības novērtēšanas procesa uzraudzība.</w:t>
            </w:r>
          </w:p>
        </w:tc>
      </w:tr>
      <w:tr w:rsidR="00D52BDA" w:rsidRPr="00AA77FE" w:rsidTr="00AA77FE">
        <w:tc>
          <w:tcPr>
            <w:tcW w:w="851"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lastRenderedPageBreak/>
              <w:t>5.</w:t>
            </w: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Projekta izstrādē iesaistītās institūcijas</w:t>
            </w:r>
          </w:p>
        </w:tc>
        <w:tc>
          <w:tcPr>
            <w:tcW w:w="6066"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Veselības ministrija un Vides ministrija</w:t>
            </w:r>
          </w:p>
        </w:tc>
      </w:tr>
      <w:tr w:rsidR="00D52BDA" w:rsidRPr="00AA77FE" w:rsidTr="00AA77FE">
        <w:tc>
          <w:tcPr>
            <w:tcW w:w="851"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6.</w:t>
            </w: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Iemesli, kādēļ netiek nodrošināta sabiedrības līdzdalība</w:t>
            </w:r>
          </w:p>
        </w:tc>
        <w:tc>
          <w:tcPr>
            <w:tcW w:w="6066" w:type="dxa"/>
          </w:tcPr>
          <w:p w:rsidR="00D52BDA"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Noteikumu projekts iesniegts Ministru kabinetā steidzamības kārtā</w:t>
            </w:r>
          </w:p>
          <w:p w:rsidR="00CE19A9" w:rsidRPr="00AA77FE" w:rsidRDefault="00CE19A9" w:rsidP="00CE19A9">
            <w:pPr>
              <w:spacing w:after="0" w:line="240" w:lineRule="auto"/>
              <w:jc w:val="center"/>
              <w:rPr>
                <w:rFonts w:ascii="Times New Roman" w:hAnsi="Times New Roman"/>
                <w:sz w:val="28"/>
                <w:szCs w:val="28"/>
              </w:rPr>
            </w:pPr>
            <w:r>
              <w:rPr>
                <w:rFonts w:ascii="Times New Roman" w:hAnsi="Times New Roman"/>
                <w:sz w:val="28"/>
                <w:szCs w:val="28"/>
              </w:rPr>
              <w:t xml:space="preserve">Noteikumu projekts paredz līdzšinējo kārtību, kas bija spēkā līdz 2010.gada 1. jūlijam </w:t>
            </w:r>
          </w:p>
        </w:tc>
      </w:tr>
      <w:tr w:rsidR="00D52BDA" w:rsidRPr="00AA77FE" w:rsidTr="00AA77FE">
        <w:tc>
          <w:tcPr>
            <w:tcW w:w="851"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7.</w:t>
            </w: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Cita informācija</w:t>
            </w:r>
          </w:p>
        </w:tc>
        <w:tc>
          <w:tcPr>
            <w:tcW w:w="6066" w:type="dxa"/>
          </w:tcPr>
          <w:p w:rsidR="00D52BDA" w:rsidRPr="00AA77FE" w:rsidRDefault="008E654C" w:rsidP="008E654C">
            <w:pPr>
              <w:spacing w:after="0" w:line="240" w:lineRule="auto"/>
              <w:jc w:val="both"/>
              <w:rPr>
                <w:rFonts w:ascii="Times New Roman" w:hAnsi="Times New Roman"/>
                <w:sz w:val="28"/>
                <w:szCs w:val="28"/>
              </w:rPr>
            </w:pPr>
            <w:r>
              <w:rPr>
                <w:rFonts w:ascii="Times New Roman" w:hAnsi="Times New Roman"/>
                <w:sz w:val="28"/>
                <w:szCs w:val="28"/>
              </w:rPr>
              <w:t>P</w:t>
            </w:r>
            <w:r w:rsidRPr="004202B0">
              <w:rPr>
                <w:rFonts w:ascii="Times New Roman" w:hAnsi="Times New Roman"/>
                <w:sz w:val="28"/>
                <w:szCs w:val="28"/>
              </w:rPr>
              <w:t xml:space="preserve">amatojoties uz Ministru kabineta sēdes </w:t>
            </w:r>
            <w:proofErr w:type="spellStart"/>
            <w:r w:rsidRPr="004202B0">
              <w:rPr>
                <w:rFonts w:ascii="Times New Roman" w:hAnsi="Times New Roman"/>
                <w:sz w:val="28"/>
                <w:szCs w:val="28"/>
              </w:rPr>
              <w:t>protokollēmumu</w:t>
            </w:r>
            <w:proofErr w:type="spellEnd"/>
            <w:r w:rsidRPr="004202B0">
              <w:rPr>
                <w:rFonts w:ascii="Times New Roman" w:hAnsi="Times New Roman"/>
                <w:sz w:val="28"/>
                <w:szCs w:val="28"/>
              </w:rPr>
              <w:t xml:space="preserve"> (prot</w:t>
            </w:r>
            <w:r>
              <w:rPr>
                <w:rFonts w:ascii="Times New Roman" w:hAnsi="Times New Roman"/>
                <w:sz w:val="28"/>
                <w:szCs w:val="28"/>
              </w:rPr>
              <w:t>.</w:t>
            </w:r>
            <w:r w:rsidRPr="004202B0">
              <w:rPr>
                <w:rFonts w:ascii="Times New Roman" w:hAnsi="Times New Roman"/>
                <w:sz w:val="28"/>
                <w:szCs w:val="28"/>
              </w:rPr>
              <w:t xml:space="preserve"> Nr.3; 28.§ </w:t>
            </w:r>
            <w:r>
              <w:rPr>
                <w:rFonts w:ascii="Times New Roman" w:hAnsi="Times New Roman"/>
                <w:sz w:val="28"/>
                <w:szCs w:val="28"/>
              </w:rPr>
              <w:t>3</w:t>
            </w:r>
            <w:r w:rsidRPr="004202B0">
              <w:rPr>
                <w:rFonts w:ascii="Times New Roman" w:hAnsi="Times New Roman"/>
                <w:sz w:val="28"/>
                <w:szCs w:val="28"/>
              </w:rPr>
              <w:t>.punkts)</w:t>
            </w:r>
            <w:r>
              <w:rPr>
                <w:rFonts w:ascii="Times New Roman" w:hAnsi="Times New Roman"/>
                <w:sz w:val="28"/>
                <w:szCs w:val="28"/>
              </w:rPr>
              <w:t xml:space="preserve"> </w:t>
            </w:r>
            <w:r w:rsidRPr="008E654C">
              <w:rPr>
                <w:rFonts w:ascii="Times New Roman" w:hAnsi="Times New Roman"/>
                <w:sz w:val="28"/>
                <w:szCs w:val="28"/>
              </w:rPr>
              <w:t xml:space="preserve">Vides aizsardzības un reģionālās attīstības ministrijai </w:t>
            </w:r>
            <w:r>
              <w:rPr>
                <w:rFonts w:ascii="Times New Roman" w:hAnsi="Times New Roman"/>
                <w:sz w:val="28"/>
                <w:szCs w:val="28"/>
              </w:rPr>
              <w:t>jāsagatavo</w:t>
            </w:r>
            <w:r w:rsidRPr="008E654C">
              <w:rPr>
                <w:rFonts w:ascii="Times New Roman" w:hAnsi="Times New Roman"/>
                <w:sz w:val="28"/>
                <w:szCs w:val="28"/>
              </w:rPr>
              <w:t xml:space="preserve"> un noteiktā kārtībā līdz 2011.gada 1.jūnijam </w:t>
            </w:r>
            <w:r>
              <w:rPr>
                <w:rFonts w:ascii="Times New Roman" w:hAnsi="Times New Roman"/>
                <w:sz w:val="28"/>
                <w:szCs w:val="28"/>
              </w:rPr>
              <w:t>jā</w:t>
            </w:r>
            <w:r w:rsidRPr="008E654C">
              <w:rPr>
                <w:rFonts w:ascii="Times New Roman" w:hAnsi="Times New Roman"/>
                <w:sz w:val="28"/>
                <w:szCs w:val="28"/>
              </w:rPr>
              <w:t>iesnie</w:t>
            </w:r>
            <w:r>
              <w:rPr>
                <w:rFonts w:ascii="Times New Roman" w:hAnsi="Times New Roman"/>
                <w:sz w:val="28"/>
                <w:szCs w:val="28"/>
              </w:rPr>
              <w:t>dz</w:t>
            </w:r>
            <w:r w:rsidRPr="008E654C">
              <w:rPr>
                <w:rFonts w:ascii="Times New Roman" w:hAnsi="Times New Roman"/>
                <w:sz w:val="28"/>
                <w:szCs w:val="28"/>
              </w:rPr>
              <w:t xml:space="preserve"> izskatīšanai Ministru kabinetā jaunu noteikumu projektu par trokšņa novērtēšanas un pārvaldības kārtību, nosakot trokšņa rādītājus, to piemērošanas kārtību un novērtēšanas metodes dzīvojamo un publisko ēku telpām.</w:t>
            </w:r>
          </w:p>
        </w:tc>
      </w:tr>
    </w:tbl>
    <w:p w:rsidR="00FD73E5" w:rsidRDefault="00FD73E5" w:rsidP="00FD73E5">
      <w:pPr>
        <w:spacing w:after="0" w:line="240" w:lineRule="auto"/>
        <w:jc w:val="center"/>
        <w:rPr>
          <w:rFonts w:ascii="Times New Roman" w:hAnsi="Times New Roman"/>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835"/>
        <w:gridCol w:w="6066"/>
      </w:tblGrid>
      <w:tr w:rsidR="00D52BDA" w:rsidRPr="00AA77FE" w:rsidTr="00AA77FE">
        <w:tc>
          <w:tcPr>
            <w:tcW w:w="9752" w:type="dxa"/>
            <w:gridSpan w:val="3"/>
          </w:tcPr>
          <w:p w:rsidR="00D52BDA" w:rsidRPr="00AA77FE" w:rsidRDefault="00D52BDA" w:rsidP="00AA77FE">
            <w:pPr>
              <w:spacing w:after="0" w:line="240" w:lineRule="auto"/>
              <w:jc w:val="center"/>
              <w:rPr>
                <w:rFonts w:ascii="Times New Roman" w:hAnsi="Times New Roman"/>
                <w:b/>
                <w:sz w:val="28"/>
                <w:szCs w:val="28"/>
              </w:rPr>
            </w:pPr>
            <w:r w:rsidRPr="00AA77FE">
              <w:rPr>
                <w:rFonts w:ascii="Times New Roman" w:hAnsi="Times New Roman"/>
                <w:b/>
                <w:sz w:val="28"/>
                <w:szCs w:val="28"/>
              </w:rPr>
              <w:t>II Tiesību akta projekta ietekme uz sabiedrību</w:t>
            </w:r>
          </w:p>
        </w:tc>
      </w:tr>
      <w:tr w:rsidR="00D52BDA" w:rsidRPr="00AA77FE" w:rsidTr="00AA77FE">
        <w:trPr>
          <w:trHeight w:val="470"/>
        </w:trPr>
        <w:tc>
          <w:tcPr>
            <w:tcW w:w="851" w:type="dxa"/>
          </w:tcPr>
          <w:p w:rsidR="00D52BDA" w:rsidRPr="00AA77FE" w:rsidRDefault="00D52BDA" w:rsidP="00AA77FE">
            <w:pPr>
              <w:numPr>
                <w:ilvl w:val="0"/>
                <w:numId w:val="2"/>
              </w:numPr>
              <w:spacing w:after="0" w:line="240" w:lineRule="auto"/>
              <w:rPr>
                <w:rFonts w:ascii="Times New Roman" w:hAnsi="Times New Roman"/>
                <w:sz w:val="28"/>
                <w:szCs w:val="28"/>
              </w:rPr>
            </w:pP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 xml:space="preserve">Sabiedrības </w:t>
            </w:r>
            <w:proofErr w:type="spellStart"/>
            <w:r w:rsidRPr="00AA77FE">
              <w:rPr>
                <w:rFonts w:ascii="Times New Roman" w:hAnsi="Times New Roman"/>
                <w:sz w:val="28"/>
                <w:szCs w:val="28"/>
              </w:rPr>
              <w:t>mērķgrupas</w:t>
            </w:r>
            <w:proofErr w:type="spellEnd"/>
          </w:p>
        </w:tc>
        <w:tc>
          <w:tcPr>
            <w:tcW w:w="6066" w:type="dxa"/>
          </w:tcPr>
          <w:p w:rsidR="00D52BDA" w:rsidRPr="00AA77FE" w:rsidRDefault="00D52BDA" w:rsidP="00AA77FE">
            <w:pPr>
              <w:spacing w:after="0" w:line="240" w:lineRule="auto"/>
              <w:jc w:val="both"/>
              <w:rPr>
                <w:rFonts w:ascii="Times New Roman" w:hAnsi="Times New Roman"/>
                <w:sz w:val="28"/>
                <w:szCs w:val="28"/>
              </w:rPr>
            </w:pPr>
            <w:r w:rsidRPr="00AA77FE">
              <w:rPr>
                <w:rFonts w:ascii="Times New Roman" w:hAnsi="Times New Roman"/>
                <w:sz w:val="28"/>
                <w:szCs w:val="28"/>
              </w:rPr>
              <w:t>Visa sabiedrība</w:t>
            </w:r>
          </w:p>
        </w:tc>
      </w:tr>
      <w:tr w:rsidR="00D52BDA" w:rsidRPr="00AA77FE" w:rsidTr="00AA77FE">
        <w:tc>
          <w:tcPr>
            <w:tcW w:w="851" w:type="dxa"/>
          </w:tcPr>
          <w:p w:rsidR="00D52BDA" w:rsidRPr="00AA77FE" w:rsidRDefault="00D52BDA" w:rsidP="00AA77FE">
            <w:pPr>
              <w:numPr>
                <w:ilvl w:val="0"/>
                <w:numId w:val="2"/>
              </w:numPr>
              <w:spacing w:after="0" w:line="240" w:lineRule="auto"/>
              <w:jc w:val="center"/>
              <w:rPr>
                <w:rFonts w:ascii="Times New Roman" w:hAnsi="Times New Roman"/>
                <w:sz w:val="28"/>
                <w:szCs w:val="28"/>
              </w:rPr>
            </w:pP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Citas sabiedrības grupas</w:t>
            </w:r>
          </w:p>
        </w:tc>
        <w:tc>
          <w:tcPr>
            <w:tcW w:w="6066" w:type="dxa"/>
          </w:tcPr>
          <w:p w:rsidR="00D52BDA" w:rsidRPr="00AA77FE" w:rsidRDefault="00D52BDA" w:rsidP="00AA77FE">
            <w:pPr>
              <w:spacing w:after="0" w:line="240" w:lineRule="auto"/>
              <w:jc w:val="both"/>
              <w:rPr>
                <w:rFonts w:ascii="Times New Roman" w:hAnsi="Times New Roman"/>
                <w:sz w:val="28"/>
                <w:szCs w:val="28"/>
              </w:rPr>
            </w:pPr>
            <w:r w:rsidRPr="00AA77FE">
              <w:rPr>
                <w:rFonts w:ascii="Times New Roman" w:hAnsi="Times New Roman"/>
                <w:sz w:val="28"/>
                <w:szCs w:val="28"/>
              </w:rPr>
              <w:t xml:space="preserve">Nav </w:t>
            </w:r>
          </w:p>
        </w:tc>
      </w:tr>
      <w:tr w:rsidR="00D52BDA" w:rsidRPr="00AA77FE" w:rsidTr="00AA77FE">
        <w:tc>
          <w:tcPr>
            <w:tcW w:w="851"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 xml:space="preserve">   3.</w:t>
            </w: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Tiesiskā regulējuma finansiālā ietekme</w:t>
            </w:r>
          </w:p>
        </w:tc>
        <w:tc>
          <w:tcPr>
            <w:tcW w:w="6066" w:type="dxa"/>
          </w:tcPr>
          <w:p w:rsidR="00D52BDA" w:rsidRPr="00AA77FE" w:rsidRDefault="00D52BDA" w:rsidP="00AA77FE">
            <w:pPr>
              <w:spacing w:after="0" w:line="240" w:lineRule="auto"/>
              <w:rPr>
                <w:rFonts w:ascii="Times New Roman" w:hAnsi="Times New Roman"/>
                <w:sz w:val="28"/>
                <w:szCs w:val="28"/>
              </w:rPr>
            </w:pPr>
            <w:r w:rsidRPr="00AA77FE">
              <w:rPr>
                <w:rFonts w:ascii="Times New Roman" w:hAnsi="Times New Roman"/>
                <w:sz w:val="28"/>
                <w:szCs w:val="28"/>
              </w:rPr>
              <w:t xml:space="preserve">Nav </w:t>
            </w:r>
          </w:p>
        </w:tc>
      </w:tr>
      <w:tr w:rsidR="00D52BDA" w:rsidRPr="00AA77FE" w:rsidTr="00AA77FE">
        <w:tc>
          <w:tcPr>
            <w:tcW w:w="851" w:type="dxa"/>
          </w:tcPr>
          <w:p w:rsidR="00D52BDA" w:rsidRPr="00AA77FE" w:rsidRDefault="00D52BDA" w:rsidP="00AA77FE">
            <w:pPr>
              <w:spacing w:after="0" w:line="240" w:lineRule="auto"/>
              <w:ind w:left="720" w:hanging="402"/>
              <w:rPr>
                <w:rFonts w:ascii="Times New Roman" w:hAnsi="Times New Roman"/>
                <w:sz w:val="28"/>
                <w:szCs w:val="28"/>
              </w:rPr>
            </w:pPr>
            <w:r w:rsidRPr="00AA77FE">
              <w:rPr>
                <w:rFonts w:ascii="Times New Roman" w:hAnsi="Times New Roman"/>
                <w:sz w:val="28"/>
                <w:szCs w:val="28"/>
              </w:rPr>
              <w:t xml:space="preserve">4. </w:t>
            </w: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Tiesiskā regulējuma nefinansiālā ietekme</w:t>
            </w:r>
          </w:p>
        </w:tc>
        <w:tc>
          <w:tcPr>
            <w:tcW w:w="6066" w:type="dxa"/>
          </w:tcPr>
          <w:p w:rsidR="00D52BDA" w:rsidRPr="00AA77FE" w:rsidRDefault="00D52BDA" w:rsidP="00AA77FE">
            <w:pPr>
              <w:spacing w:after="0" w:line="240" w:lineRule="auto"/>
              <w:jc w:val="both"/>
              <w:rPr>
                <w:rFonts w:ascii="Times New Roman" w:hAnsi="Times New Roman"/>
                <w:sz w:val="28"/>
                <w:szCs w:val="28"/>
              </w:rPr>
            </w:pPr>
            <w:r w:rsidRPr="00AA77FE">
              <w:rPr>
                <w:rFonts w:ascii="Times New Roman" w:hAnsi="Times New Roman"/>
                <w:sz w:val="28"/>
                <w:szCs w:val="28"/>
              </w:rPr>
              <w:t>Noteikumu projekts radīs iespēju iedzīvotāju aizsardzībai pret dzīvojamā un publiskās ēkās esošo trokšņa avotu ietekmi. Rādītāji tiks noteikti naktij, lai nodrošinātu  atbilstošu trokšņa līmeni, lai netiktu traucēts iedzīvotāju miegs, tādējādi mazinot riskus garīgās veselības traucējumiem, kā arī rādītāji dienā un vakarā, lai novērstu riskus iedzīvotāju funkcionālo sistēmu traucējumiem un darbaspēju mazināšanai.</w:t>
            </w:r>
          </w:p>
          <w:p w:rsidR="00D52BDA" w:rsidRPr="00AA77FE" w:rsidRDefault="00D52BDA" w:rsidP="00AA77FE">
            <w:pPr>
              <w:spacing w:after="0" w:line="240" w:lineRule="auto"/>
              <w:jc w:val="both"/>
              <w:rPr>
                <w:rFonts w:ascii="Times New Roman" w:hAnsi="Times New Roman"/>
                <w:sz w:val="28"/>
                <w:szCs w:val="28"/>
              </w:rPr>
            </w:pPr>
          </w:p>
        </w:tc>
      </w:tr>
      <w:tr w:rsidR="00D52BDA" w:rsidRPr="00AA77FE" w:rsidTr="00AA77FE">
        <w:tc>
          <w:tcPr>
            <w:tcW w:w="851"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lastRenderedPageBreak/>
              <w:t xml:space="preserve">  5.</w:t>
            </w: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Administratīvās procedūras raksturojums</w:t>
            </w:r>
          </w:p>
        </w:tc>
        <w:tc>
          <w:tcPr>
            <w:tcW w:w="6066" w:type="dxa"/>
          </w:tcPr>
          <w:p w:rsidR="00D52BDA" w:rsidRDefault="00D52BDA" w:rsidP="00CE19A9">
            <w:pPr>
              <w:spacing w:after="0" w:line="240" w:lineRule="auto"/>
              <w:jc w:val="both"/>
              <w:rPr>
                <w:rFonts w:ascii="Times New Roman" w:hAnsi="Times New Roman"/>
                <w:sz w:val="28"/>
                <w:szCs w:val="28"/>
              </w:rPr>
            </w:pPr>
            <w:r w:rsidRPr="00AA77FE">
              <w:rPr>
                <w:rFonts w:ascii="Times New Roman" w:hAnsi="Times New Roman"/>
                <w:sz w:val="28"/>
                <w:szCs w:val="28"/>
              </w:rPr>
              <w:t>Saimnieciskās darbības iekārtu (ieskaitot ventilācijas, saldēšanas iekārtas, kompresorus un liftus) un transportlīdzekļu radītā akustiskā trokšņa pieļaujamo normatīvu ievērošanu dzīvojamo un publisko ēku telpās kontrolē Veselības i</w:t>
            </w:r>
            <w:r w:rsidR="00CE19A9">
              <w:rPr>
                <w:rFonts w:ascii="Times New Roman" w:hAnsi="Times New Roman"/>
                <w:sz w:val="28"/>
                <w:szCs w:val="28"/>
              </w:rPr>
              <w:t xml:space="preserve">nspekcija (dzīvojamo ēku telpās </w:t>
            </w:r>
            <w:r w:rsidRPr="00AA77FE">
              <w:rPr>
                <w:rFonts w:ascii="Times New Roman" w:hAnsi="Times New Roman"/>
                <w:sz w:val="28"/>
                <w:szCs w:val="28"/>
              </w:rPr>
              <w:t>pēc iedzīvotāju pieprasījuma). Ar mūzikas atskaņošanu un citu ar sabiedrisko kārtību saistīto akustiskā trokšņa pieļaujamo normatīvu ievērošanu kontrolē attiecīgās pašvaldības institūcijas, kurām pašvaldība ir deleģējusi minēto funkciju.</w:t>
            </w:r>
          </w:p>
          <w:p w:rsidR="000B04C1" w:rsidRPr="00AA77FE" w:rsidRDefault="000B04C1" w:rsidP="009E0A45">
            <w:pPr>
              <w:spacing w:after="0" w:line="240" w:lineRule="auto"/>
              <w:jc w:val="both"/>
              <w:rPr>
                <w:rFonts w:ascii="Times New Roman" w:hAnsi="Times New Roman"/>
                <w:sz w:val="28"/>
                <w:szCs w:val="28"/>
              </w:rPr>
            </w:pPr>
            <w:r>
              <w:rPr>
                <w:rFonts w:ascii="Times New Roman" w:hAnsi="Times New Roman"/>
                <w:sz w:val="28"/>
                <w:szCs w:val="28"/>
              </w:rPr>
              <w:t>Lai nodrošinātu šīs uzraudzības funkcijas pēc personas sūdzības saņemšanas, Veselības inspekcija vai attiecīgā pašvaldības institūcija organizē mērījumus piesaistot attiecīgi akreditētu laboratoriju un speciālistus. Laboratorisko izmeklējumu apmaksu šīs institūcijas veic no sava budžeta. Gadījumos, ja tiek konstatēts trokšņa normatīvu pārkāpums, mērījumu izmaksas tiek uzdots segt trokš</w:t>
            </w:r>
            <w:r w:rsidR="009E0A45">
              <w:rPr>
                <w:rFonts w:ascii="Times New Roman" w:hAnsi="Times New Roman"/>
                <w:sz w:val="28"/>
                <w:szCs w:val="28"/>
              </w:rPr>
              <w:t>ņ</w:t>
            </w:r>
            <w:r>
              <w:rPr>
                <w:rFonts w:ascii="Times New Roman" w:hAnsi="Times New Roman"/>
                <w:sz w:val="28"/>
                <w:szCs w:val="28"/>
              </w:rPr>
              <w:t>a normatīvu pārkāpējam.</w:t>
            </w:r>
          </w:p>
        </w:tc>
      </w:tr>
      <w:tr w:rsidR="00D52BDA" w:rsidRPr="00AA77FE" w:rsidTr="00AA77FE">
        <w:tc>
          <w:tcPr>
            <w:tcW w:w="851"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 xml:space="preserve">  6.</w:t>
            </w: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Administratīvo izmaksu monetārs novērtējums</w:t>
            </w:r>
          </w:p>
        </w:tc>
        <w:tc>
          <w:tcPr>
            <w:tcW w:w="6066" w:type="dxa"/>
          </w:tcPr>
          <w:p w:rsidR="00D52BDA" w:rsidRPr="00AA77FE" w:rsidRDefault="00CE19A9" w:rsidP="00AA77FE">
            <w:pPr>
              <w:spacing w:after="0" w:line="240" w:lineRule="auto"/>
              <w:jc w:val="center"/>
              <w:rPr>
                <w:rFonts w:ascii="Times New Roman" w:hAnsi="Times New Roman"/>
                <w:sz w:val="28"/>
                <w:szCs w:val="28"/>
              </w:rPr>
            </w:pPr>
            <w:r>
              <w:rPr>
                <w:rFonts w:ascii="Times New Roman" w:hAnsi="Times New Roman"/>
                <w:sz w:val="28"/>
                <w:szCs w:val="28"/>
              </w:rPr>
              <w:t>Noteikumu projekts šo jomu neskar</w:t>
            </w:r>
            <w:r w:rsidR="00D52BDA" w:rsidRPr="00AA77FE">
              <w:rPr>
                <w:rFonts w:ascii="Times New Roman" w:hAnsi="Times New Roman"/>
                <w:sz w:val="28"/>
                <w:szCs w:val="28"/>
              </w:rPr>
              <w:t xml:space="preserve"> </w:t>
            </w:r>
          </w:p>
        </w:tc>
      </w:tr>
      <w:tr w:rsidR="00D52BDA" w:rsidRPr="00AA77FE" w:rsidTr="00AA77FE">
        <w:tc>
          <w:tcPr>
            <w:tcW w:w="851"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 xml:space="preserve">  7.</w:t>
            </w:r>
          </w:p>
        </w:tc>
        <w:tc>
          <w:tcPr>
            <w:tcW w:w="2835"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Cita informācija</w:t>
            </w:r>
          </w:p>
        </w:tc>
        <w:tc>
          <w:tcPr>
            <w:tcW w:w="6066" w:type="dxa"/>
          </w:tcPr>
          <w:p w:rsidR="00D52BDA" w:rsidRPr="00AA77FE" w:rsidRDefault="00D52BDA" w:rsidP="00AA77FE">
            <w:pPr>
              <w:spacing w:after="0" w:line="240" w:lineRule="auto"/>
              <w:jc w:val="center"/>
              <w:rPr>
                <w:rFonts w:ascii="Times New Roman" w:hAnsi="Times New Roman"/>
                <w:sz w:val="28"/>
                <w:szCs w:val="28"/>
              </w:rPr>
            </w:pPr>
            <w:r w:rsidRPr="00AA77FE">
              <w:rPr>
                <w:rFonts w:ascii="Times New Roman" w:hAnsi="Times New Roman"/>
                <w:sz w:val="28"/>
                <w:szCs w:val="28"/>
              </w:rPr>
              <w:t>Nav</w:t>
            </w:r>
          </w:p>
        </w:tc>
      </w:tr>
    </w:tbl>
    <w:p w:rsidR="00D52BDA" w:rsidRDefault="00D52BDA" w:rsidP="00FD73E5">
      <w:pPr>
        <w:spacing w:after="0" w:line="240" w:lineRule="auto"/>
        <w:jc w:val="center"/>
        <w:rPr>
          <w:rFonts w:ascii="Times New Roman" w:hAnsi="Times New Roman"/>
          <w:sz w:val="28"/>
          <w:szCs w:val="28"/>
        </w:rPr>
      </w:pPr>
    </w:p>
    <w:p w:rsidR="00DA528E" w:rsidRDefault="00DA528E" w:rsidP="00DA528E">
      <w:pPr>
        <w:spacing w:after="0" w:line="240" w:lineRule="auto"/>
        <w:jc w:val="both"/>
        <w:rPr>
          <w:rFonts w:ascii="Times New Roman" w:hAnsi="Times New Roman"/>
          <w:sz w:val="28"/>
          <w:szCs w:val="28"/>
        </w:rPr>
      </w:pPr>
      <w:r>
        <w:rPr>
          <w:rFonts w:ascii="Times New Roman" w:hAnsi="Times New Roman"/>
          <w:sz w:val="28"/>
          <w:szCs w:val="28"/>
        </w:rPr>
        <w:t xml:space="preserve">Anotācijas sadaļa </w:t>
      </w:r>
      <w:r w:rsidR="00D52BDA">
        <w:rPr>
          <w:rFonts w:ascii="Times New Roman" w:hAnsi="Times New Roman"/>
          <w:sz w:val="28"/>
          <w:szCs w:val="28"/>
        </w:rPr>
        <w:t>III</w:t>
      </w:r>
      <w:r w:rsidR="008E654C">
        <w:rPr>
          <w:rFonts w:ascii="Times New Roman" w:hAnsi="Times New Roman"/>
          <w:sz w:val="28"/>
          <w:szCs w:val="28"/>
        </w:rPr>
        <w:t xml:space="preserve"> </w:t>
      </w:r>
      <w:r>
        <w:rPr>
          <w:rFonts w:ascii="Times New Roman" w:hAnsi="Times New Roman"/>
          <w:sz w:val="28"/>
          <w:szCs w:val="28"/>
        </w:rPr>
        <w:t xml:space="preserve">– </w:t>
      </w:r>
      <w:r w:rsidR="00CE19A9">
        <w:rPr>
          <w:rFonts w:ascii="Times New Roman" w:hAnsi="Times New Roman"/>
          <w:sz w:val="28"/>
          <w:szCs w:val="28"/>
        </w:rPr>
        <w:t>Noteikumu projekts š</w:t>
      </w:r>
      <w:r w:rsidR="008E654C">
        <w:rPr>
          <w:rFonts w:ascii="Times New Roman" w:hAnsi="Times New Roman"/>
          <w:sz w:val="28"/>
          <w:szCs w:val="28"/>
        </w:rPr>
        <w:t>o</w:t>
      </w:r>
      <w:r w:rsidR="00CE19A9">
        <w:rPr>
          <w:rFonts w:ascii="Times New Roman" w:hAnsi="Times New Roman"/>
          <w:sz w:val="28"/>
          <w:szCs w:val="28"/>
        </w:rPr>
        <w:t xml:space="preserve"> jom</w:t>
      </w:r>
      <w:r w:rsidR="008E654C">
        <w:rPr>
          <w:rFonts w:ascii="Times New Roman" w:hAnsi="Times New Roman"/>
          <w:sz w:val="28"/>
          <w:szCs w:val="28"/>
        </w:rPr>
        <w:t>u</w:t>
      </w:r>
      <w:r w:rsidR="00CE19A9">
        <w:rPr>
          <w:rFonts w:ascii="Times New Roman" w:hAnsi="Times New Roman"/>
          <w:sz w:val="28"/>
          <w:szCs w:val="28"/>
        </w:rPr>
        <w:t xml:space="preserve"> neskar</w:t>
      </w:r>
    </w:p>
    <w:p w:rsidR="008E654C" w:rsidRDefault="008E654C" w:rsidP="00DA528E">
      <w:pPr>
        <w:spacing w:after="0" w:line="240" w:lineRule="auto"/>
        <w:jc w:val="both"/>
        <w:rPr>
          <w:rFonts w:ascii="Times New Roman" w:hAnsi="Times New Roman"/>
          <w:sz w:val="28"/>
          <w:szCs w:val="28"/>
        </w:rPr>
      </w:pPr>
    </w:p>
    <w:tbl>
      <w:tblPr>
        <w:tblStyle w:val="TableGrid"/>
        <w:tblW w:w="0" w:type="auto"/>
        <w:tblLook w:val="04A0"/>
      </w:tblPr>
      <w:tblGrid>
        <w:gridCol w:w="675"/>
        <w:gridCol w:w="4111"/>
        <w:gridCol w:w="4790"/>
      </w:tblGrid>
      <w:tr w:rsidR="008E654C" w:rsidTr="008E654C">
        <w:tc>
          <w:tcPr>
            <w:tcW w:w="9576" w:type="dxa"/>
            <w:gridSpan w:val="3"/>
          </w:tcPr>
          <w:p w:rsidR="008E654C" w:rsidRPr="008E654C" w:rsidRDefault="008E654C" w:rsidP="008E654C">
            <w:pPr>
              <w:spacing w:after="0" w:line="240" w:lineRule="auto"/>
              <w:jc w:val="center"/>
              <w:rPr>
                <w:rFonts w:ascii="Times New Roman" w:hAnsi="Times New Roman"/>
                <w:b/>
                <w:sz w:val="28"/>
                <w:szCs w:val="28"/>
              </w:rPr>
            </w:pPr>
            <w:r w:rsidRPr="008E654C">
              <w:rPr>
                <w:rFonts w:ascii="Times New Roman" w:hAnsi="Times New Roman"/>
                <w:b/>
                <w:sz w:val="28"/>
                <w:szCs w:val="28"/>
              </w:rPr>
              <w:t>IV. Tiesību akta projekta ietekme uz spēkā esošo tiesību normu sistēmu</w:t>
            </w:r>
          </w:p>
        </w:tc>
      </w:tr>
      <w:tr w:rsidR="008E654C" w:rsidTr="008E654C">
        <w:tc>
          <w:tcPr>
            <w:tcW w:w="675" w:type="dxa"/>
          </w:tcPr>
          <w:p w:rsidR="008E654C" w:rsidRPr="008E654C" w:rsidRDefault="008E654C" w:rsidP="008E654C">
            <w:pPr>
              <w:pStyle w:val="ListParagraph"/>
              <w:numPr>
                <w:ilvl w:val="0"/>
                <w:numId w:val="3"/>
              </w:numPr>
              <w:spacing w:after="0" w:line="240" w:lineRule="auto"/>
              <w:jc w:val="both"/>
              <w:rPr>
                <w:rFonts w:ascii="Times New Roman" w:hAnsi="Times New Roman"/>
                <w:sz w:val="28"/>
                <w:szCs w:val="28"/>
              </w:rPr>
            </w:pPr>
          </w:p>
        </w:tc>
        <w:tc>
          <w:tcPr>
            <w:tcW w:w="4111" w:type="dxa"/>
          </w:tcPr>
          <w:p w:rsidR="008E654C" w:rsidRDefault="008E654C" w:rsidP="00DA528E">
            <w:pPr>
              <w:spacing w:after="0" w:line="240" w:lineRule="auto"/>
              <w:jc w:val="both"/>
              <w:rPr>
                <w:rFonts w:ascii="Times New Roman" w:hAnsi="Times New Roman"/>
                <w:sz w:val="28"/>
                <w:szCs w:val="28"/>
              </w:rPr>
            </w:pPr>
            <w:r>
              <w:rPr>
                <w:rFonts w:ascii="Times New Roman" w:hAnsi="Times New Roman"/>
                <w:sz w:val="28"/>
                <w:szCs w:val="28"/>
              </w:rPr>
              <w:t>Nepieciešamie saistītie tiesību aktu projekti</w:t>
            </w:r>
          </w:p>
        </w:tc>
        <w:tc>
          <w:tcPr>
            <w:tcW w:w="4790" w:type="dxa"/>
          </w:tcPr>
          <w:p w:rsidR="008E654C" w:rsidRDefault="008E654C" w:rsidP="00DA528E">
            <w:pPr>
              <w:spacing w:after="0" w:line="240" w:lineRule="auto"/>
              <w:jc w:val="both"/>
              <w:rPr>
                <w:rFonts w:ascii="Times New Roman" w:hAnsi="Times New Roman"/>
                <w:sz w:val="28"/>
                <w:szCs w:val="28"/>
              </w:rPr>
            </w:pPr>
            <w:r>
              <w:rPr>
                <w:rFonts w:ascii="Times New Roman" w:hAnsi="Times New Roman"/>
                <w:sz w:val="28"/>
                <w:szCs w:val="28"/>
              </w:rPr>
              <w:t>P</w:t>
            </w:r>
            <w:r w:rsidRPr="004202B0">
              <w:rPr>
                <w:rFonts w:ascii="Times New Roman" w:hAnsi="Times New Roman"/>
                <w:sz w:val="28"/>
                <w:szCs w:val="28"/>
              </w:rPr>
              <w:t xml:space="preserve">amatojoties uz Ministru kabineta sēdes </w:t>
            </w:r>
            <w:proofErr w:type="spellStart"/>
            <w:r w:rsidRPr="004202B0">
              <w:rPr>
                <w:rFonts w:ascii="Times New Roman" w:hAnsi="Times New Roman"/>
                <w:sz w:val="28"/>
                <w:szCs w:val="28"/>
              </w:rPr>
              <w:t>protokollēmumu</w:t>
            </w:r>
            <w:proofErr w:type="spellEnd"/>
            <w:r w:rsidRPr="004202B0">
              <w:rPr>
                <w:rFonts w:ascii="Times New Roman" w:hAnsi="Times New Roman"/>
                <w:sz w:val="28"/>
                <w:szCs w:val="28"/>
              </w:rPr>
              <w:t xml:space="preserve"> (prot</w:t>
            </w:r>
            <w:r>
              <w:rPr>
                <w:rFonts w:ascii="Times New Roman" w:hAnsi="Times New Roman"/>
                <w:sz w:val="28"/>
                <w:szCs w:val="28"/>
              </w:rPr>
              <w:t>.</w:t>
            </w:r>
            <w:r w:rsidRPr="004202B0">
              <w:rPr>
                <w:rFonts w:ascii="Times New Roman" w:hAnsi="Times New Roman"/>
                <w:sz w:val="28"/>
                <w:szCs w:val="28"/>
              </w:rPr>
              <w:t xml:space="preserve"> Nr.3; 28.§ </w:t>
            </w:r>
            <w:r>
              <w:rPr>
                <w:rFonts w:ascii="Times New Roman" w:hAnsi="Times New Roman"/>
                <w:sz w:val="28"/>
                <w:szCs w:val="28"/>
              </w:rPr>
              <w:t>3</w:t>
            </w:r>
            <w:r w:rsidRPr="004202B0">
              <w:rPr>
                <w:rFonts w:ascii="Times New Roman" w:hAnsi="Times New Roman"/>
                <w:sz w:val="28"/>
                <w:szCs w:val="28"/>
              </w:rPr>
              <w:t>.punkts)</w:t>
            </w:r>
            <w:r>
              <w:rPr>
                <w:rFonts w:ascii="Times New Roman" w:hAnsi="Times New Roman"/>
                <w:sz w:val="28"/>
                <w:szCs w:val="28"/>
              </w:rPr>
              <w:t xml:space="preserve"> </w:t>
            </w:r>
            <w:r w:rsidRPr="008E654C">
              <w:rPr>
                <w:rFonts w:ascii="Times New Roman" w:hAnsi="Times New Roman"/>
                <w:sz w:val="28"/>
                <w:szCs w:val="28"/>
              </w:rPr>
              <w:t xml:space="preserve">Vides aizsardzības un reģionālās attīstības ministrijai </w:t>
            </w:r>
            <w:r>
              <w:rPr>
                <w:rFonts w:ascii="Times New Roman" w:hAnsi="Times New Roman"/>
                <w:sz w:val="28"/>
                <w:szCs w:val="28"/>
              </w:rPr>
              <w:t>jāsagatavo</w:t>
            </w:r>
            <w:r w:rsidRPr="008E654C">
              <w:rPr>
                <w:rFonts w:ascii="Times New Roman" w:hAnsi="Times New Roman"/>
                <w:sz w:val="28"/>
                <w:szCs w:val="28"/>
              </w:rPr>
              <w:t xml:space="preserve"> un noteiktā kārtībā līdz 2011.gada 1.jūnijam </w:t>
            </w:r>
            <w:r>
              <w:rPr>
                <w:rFonts w:ascii="Times New Roman" w:hAnsi="Times New Roman"/>
                <w:sz w:val="28"/>
                <w:szCs w:val="28"/>
              </w:rPr>
              <w:t>jā</w:t>
            </w:r>
            <w:r w:rsidRPr="008E654C">
              <w:rPr>
                <w:rFonts w:ascii="Times New Roman" w:hAnsi="Times New Roman"/>
                <w:sz w:val="28"/>
                <w:szCs w:val="28"/>
              </w:rPr>
              <w:t>iesnie</w:t>
            </w:r>
            <w:r>
              <w:rPr>
                <w:rFonts w:ascii="Times New Roman" w:hAnsi="Times New Roman"/>
                <w:sz w:val="28"/>
                <w:szCs w:val="28"/>
              </w:rPr>
              <w:t>dz</w:t>
            </w:r>
            <w:r w:rsidRPr="008E654C">
              <w:rPr>
                <w:rFonts w:ascii="Times New Roman" w:hAnsi="Times New Roman"/>
                <w:sz w:val="28"/>
                <w:szCs w:val="28"/>
              </w:rPr>
              <w:t xml:space="preserve"> izskatīšanai Ministru kabinetā jaunu </w:t>
            </w:r>
            <w:r w:rsidRPr="008E654C">
              <w:rPr>
                <w:rFonts w:ascii="Times New Roman" w:hAnsi="Times New Roman"/>
                <w:sz w:val="28"/>
                <w:szCs w:val="28"/>
              </w:rPr>
              <w:lastRenderedPageBreak/>
              <w:t>noteikumu projektu par trokšņa novērtēšanas un pārvaldības kārtību, nosakot trokšņa rādītājus, to piemērošanas kārtību un novērtēšanas metodes dzīvojamo un publisko ēku telpām.</w:t>
            </w:r>
          </w:p>
        </w:tc>
      </w:tr>
      <w:tr w:rsidR="008E654C" w:rsidTr="008E654C">
        <w:tc>
          <w:tcPr>
            <w:tcW w:w="675" w:type="dxa"/>
          </w:tcPr>
          <w:p w:rsidR="008E654C" w:rsidRPr="008E654C" w:rsidRDefault="008E654C" w:rsidP="008E654C">
            <w:pPr>
              <w:pStyle w:val="ListParagraph"/>
              <w:numPr>
                <w:ilvl w:val="0"/>
                <w:numId w:val="3"/>
              </w:numPr>
              <w:spacing w:after="0" w:line="240" w:lineRule="auto"/>
              <w:jc w:val="both"/>
              <w:rPr>
                <w:rFonts w:ascii="Times New Roman" w:hAnsi="Times New Roman"/>
                <w:sz w:val="28"/>
                <w:szCs w:val="28"/>
              </w:rPr>
            </w:pPr>
          </w:p>
        </w:tc>
        <w:tc>
          <w:tcPr>
            <w:tcW w:w="4111" w:type="dxa"/>
          </w:tcPr>
          <w:p w:rsidR="008E654C" w:rsidRDefault="008E654C" w:rsidP="00DA528E">
            <w:pPr>
              <w:spacing w:after="0" w:line="240" w:lineRule="auto"/>
              <w:jc w:val="both"/>
              <w:rPr>
                <w:rFonts w:ascii="Times New Roman" w:hAnsi="Times New Roman"/>
                <w:sz w:val="28"/>
                <w:szCs w:val="28"/>
              </w:rPr>
            </w:pPr>
            <w:r>
              <w:rPr>
                <w:rFonts w:ascii="Times New Roman" w:hAnsi="Times New Roman"/>
                <w:sz w:val="28"/>
                <w:szCs w:val="28"/>
              </w:rPr>
              <w:t>Cita informācija</w:t>
            </w:r>
          </w:p>
        </w:tc>
        <w:tc>
          <w:tcPr>
            <w:tcW w:w="4790" w:type="dxa"/>
          </w:tcPr>
          <w:p w:rsidR="008E654C" w:rsidRDefault="008E654C" w:rsidP="00DA528E">
            <w:pPr>
              <w:spacing w:after="0" w:line="240" w:lineRule="auto"/>
              <w:jc w:val="both"/>
              <w:rPr>
                <w:rFonts w:ascii="Times New Roman" w:hAnsi="Times New Roman"/>
                <w:sz w:val="28"/>
                <w:szCs w:val="28"/>
              </w:rPr>
            </w:pPr>
            <w:r>
              <w:rPr>
                <w:rFonts w:ascii="Times New Roman" w:hAnsi="Times New Roman"/>
                <w:sz w:val="28"/>
                <w:szCs w:val="28"/>
              </w:rPr>
              <w:t>nav</w:t>
            </w:r>
          </w:p>
        </w:tc>
      </w:tr>
    </w:tbl>
    <w:p w:rsidR="008E654C" w:rsidRDefault="008E654C" w:rsidP="00DA528E">
      <w:pPr>
        <w:spacing w:after="0" w:line="240" w:lineRule="auto"/>
        <w:jc w:val="both"/>
        <w:rPr>
          <w:rFonts w:ascii="Times New Roman" w:hAnsi="Times New Roman"/>
          <w:sz w:val="28"/>
          <w:szCs w:val="28"/>
        </w:rPr>
      </w:pPr>
    </w:p>
    <w:p w:rsidR="008E654C" w:rsidRDefault="008E654C" w:rsidP="00DA528E">
      <w:pPr>
        <w:spacing w:after="0" w:line="240" w:lineRule="auto"/>
        <w:jc w:val="both"/>
        <w:rPr>
          <w:rFonts w:ascii="Times New Roman" w:hAnsi="Times New Roman"/>
          <w:sz w:val="28"/>
          <w:szCs w:val="28"/>
        </w:rPr>
      </w:pPr>
      <w:r>
        <w:rPr>
          <w:rFonts w:ascii="Times New Roman" w:hAnsi="Times New Roman"/>
          <w:sz w:val="28"/>
          <w:szCs w:val="28"/>
        </w:rPr>
        <w:t>Anotācijas sadaļas V; VI- Noteikumu projekts šīs jomas neskar</w:t>
      </w:r>
    </w:p>
    <w:p w:rsidR="00DA528E" w:rsidRDefault="00DA528E" w:rsidP="00DA528E">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9"/>
        <w:gridCol w:w="3192"/>
      </w:tblGrid>
      <w:tr w:rsidR="00DA528E" w:rsidRPr="00AA77FE" w:rsidTr="00AA77FE">
        <w:tc>
          <w:tcPr>
            <w:tcW w:w="9576" w:type="dxa"/>
            <w:gridSpan w:val="3"/>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VII Tiesību akta projekta izpildes nodrošināšana un tās ietekme uz institūcijām</w:t>
            </w:r>
          </w:p>
        </w:tc>
      </w:tr>
      <w:tr w:rsidR="00DA528E" w:rsidRPr="00AA77FE" w:rsidTr="00AA77FE">
        <w:tc>
          <w:tcPr>
            <w:tcW w:w="675"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1.</w:t>
            </w:r>
          </w:p>
        </w:tc>
        <w:tc>
          <w:tcPr>
            <w:tcW w:w="5709"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Projekta izpildē iesaistītās institūcijas</w:t>
            </w:r>
          </w:p>
        </w:tc>
        <w:tc>
          <w:tcPr>
            <w:tcW w:w="3192"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 xml:space="preserve">Noteikumu projektā paredzēts, ka to prasību izpildi veiks Veselības inspekcija esošā budžeta ietvaros, atbilstoši Veselības inspekcijas nolikumā un Administratīvo pārkāpumu kodeksa 228.pantā noteiktajai kompetencei, kā arī pašvaldības deleģēta institūcija esošā budžeta ietvaros, atbilstoši tās nolikumam un Administratīvo </w:t>
            </w:r>
            <w:r w:rsidR="00F72E39">
              <w:rPr>
                <w:rFonts w:ascii="Times New Roman" w:hAnsi="Times New Roman"/>
                <w:sz w:val="28"/>
                <w:szCs w:val="28"/>
              </w:rPr>
              <w:t>pārkāpumu kodeksa 210.pantā noteiktajai kompetencei</w:t>
            </w:r>
            <w:r w:rsidRPr="00AA77FE">
              <w:rPr>
                <w:rFonts w:ascii="Times New Roman" w:hAnsi="Times New Roman"/>
                <w:sz w:val="28"/>
                <w:szCs w:val="28"/>
              </w:rPr>
              <w:t xml:space="preserve">      </w:t>
            </w:r>
          </w:p>
        </w:tc>
      </w:tr>
      <w:tr w:rsidR="00DA528E" w:rsidRPr="00AA77FE" w:rsidTr="00AA77FE">
        <w:tc>
          <w:tcPr>
            <w:tcW w:w="675"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2.</w:t>
            </w:r>
          </w:p>
        </w:tc>
        <w:tc>
          <w:tcPr>
            <w:tcW w:w="5709"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Projekta izpildes ietekme uz pārvaldes funkcijām</w:t>
            </w:r>
          </w:p>
        </w:tc>
        <w:tc>
          <w:tcPr>
            <w:tcW w:w="3192" w:type="dxa"/>
          </w:tcPr>
          <w:p w:rsidR="00DA528E" w:rsidRPr="00AA77FE" w:rsidRDefault="00CE19A9" w:rsidP="00AA77FE">
            <w:pPr>
              <w:spacing w:after="0" w:line="240" w:lineRule="auto"/>
              <w:jc w:val="both"/>
              <w:rPr>
                <w:rFonts w:ascii="Times New Roman" w:hAnsi="Times New Roman"/>
                <w:sz w:val="28"/>
                <w:szCs w:val="28"/>
              </w:rPr>
            </w:pPr>
            <w:r>
              <w:rPr>
                <w:rFonts w:ascii="Times New Roman" w:hAnsi="Times New Roman"/>
                <w:sz w:val="28"/>
                <w:szCs w:val="28"/>
              </w:rPr>
              <w:t>Noteikumu projekts šo jomu neskar</w:t>
            </w:r>
          </w:p>
        </w:tc>
      </w:tr>
      <w:tr w:rsidR="00DA528E" w:rsidRPr="00AA77FE" w:rsidTr="00AA77FE">
        <w:tc>
          <w:tcPr>
            <w:tcW w:w="675"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3.</w:t>
            </w:r>
          </w:p>
        </w:tc>
        <w:tc>
          <w:tcPr>
            <w:tcW w:w="5709"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Projekta izpildes ietekme uz pārvaldes institucionālo struktūru</w:t>
            </w:r>
          </w:p>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Jaunu institūciju izveide</w:t>
            </w:r>
          </w:p>
        </w:tc>
        <w:tc>
          <w:tcPr>
            <w:tcW w:w="3192" w:type="dxa"/>
          </w:tcPr>
          <w:p w:rsidR="00DA528E" w:rsidRPr="00AA77FE" w:rsidRDefault="00CE19A9" w:rsidP="00AA77FE">
            <w:pPr>
              <w:spacing w:after="0" w:line="240" w:lineRule="auto"/>
              <w:jc w:val="both"/>
              <w:rPr>
                <w:rFonts w:ascii="Times New Roman" w:hAnsi="Times New Roman"/>
                <w:sz w:val="28"/>
                <w:szCs w:val="28"/>
              </w:rPr>
            </w:pPr>
            <w:r>
              <w:rPr>
                <w:rFonts w:ascii="Times New Roman" w:hAnsi="Times New Roman"/>
                <w:sz w:val="28"/>
                <w:szCs w:val="28"/>
              </w:rPr>
              <w:t>Noteikumu projekts šo jomu neskar</w:t>
            </w:r>
          </w:p>
        </w:tc>
      </w:tr>
      <w:tr w:rsidR="00DA528E" w:rsidRPr="00AA77FE" w:rsidTr="00AA77FE">
        <w:tc>
          <w:tcPr>
            <w:tcW w:w="675"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lastRenderedPageBreak/>
              <w:t>4.</w:t>
            </w:r>
          </w:p>
        </w:tc>
        <w:tc>
          <w:tcPr>
            <w:tcW w:w="5709"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Projekta izpildes ietekme uz pārvaldes institucionālo struktūru</w:t>
            </w:r>
          </w:p>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Esošo institūciju likvidācija</w:t>
            </w:r>
          </w:p>
        </w:tc>
        <w:tc>
          <w:tcPr>
            <w:tcW w:w="3192" w:type="dxa"/>
          </w:tcPr>
          <w:p w:rsidR="00DA528E" w:rsidRPr="00AA77FE" w:rsidRDefault="00CE19A9" w:rsidP="00AA77FE">
            <w:pPr>
              <w:spacing w:after="0" w:line="240" w:lineRule="auto"/>
              <w:jc w:val="both"/>
              <w:rPr>
                <w:rFonts w:ascii="Times New Roman" w:hAnsi="Times New Roman"/>
                <w:sz w:val="28"/>
                <w:szCs w:val="28"/>
              </w:rPr>
            </w:pPr>
            <w:r>
              <w:rPr>
                <w:rFonts w:ascii="Times New Roman" w:hAnsi="Times New Roman"/>
                <w:sz w:val="28"/>
                <w:szCs w:val="28"/>
              </w:rPr>
              <w:t>Noteikumu projekts šo jomu neskar</w:t>
            </w:r>
          </w:p>
        </w:tc>
      </w:tr>
      <w:tr w:rsidR="00DA528E" w:rsidRPr="00AA77FE" w:rsidTr="00AA77FE">
        <w:tc>
          <w:tcPr>
            <w:tcW w:w="675"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5.</w:t>
            </w:r>
          </w:p>
        </w:tc>
        <w:tc>
          <w:tcPr>
            <w:tcW w:w="5709"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Projekta izpildes ietekme uz pārvaldes institucionālo struktūru</w:t>
            </w:r>
          </w:p>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Esošo institūciju reorganizācija</w:t>
            </w:r>
          </w:p>
        </w:tc>
        <w:tc>
          <w:tcPr>
            <w:tcW w:w="3192" w:type="dxa"/>
          </w:tcPr>
          <w:p w:rsidR="00DA528E" w:rsidRPr="00AA77FE" w:rsidRDefault="00CE19A9" w:rsidP="00AA77FE">
            <w:pPr>
              <w:spacing w:after="0" w:line="240" w:lineRule="auto"/>
              <w:jc w:val="both"/>
              <w:rPr>
                <w:rFonts w:ascii="Times New Roman" w:hAnsi="Times New Roman"/>
                <w:sz w:val="28"/>
                <w:szCs w:val="28"/>
              </w:rPr>
            </w:pPr>
            <w:r>
              <w:rPr>
                <w:rFonts w:ascii="Times New Roman" w:hAnsi="Times New Roman"/>
                <w:sz w:val="28"/>
                <w:szCs w:val="28"/>
              </w:rPr>
              <w:t>Noteikumu projekts šo jomu neskar</w:t>
            </w:r>
          </w:p>
        </w:tc>
      </w:tr>
      <w:tr w:rsidR="00DA528E" w:rsidRPr="00AA77FE" w:rsidTr="00AA77FE">
        <w:tc>
          <w:tcPr>
            <w:tcW w:w="675"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6.</w:t>
            </w:r>
          </w:p>
        </w:tc>
        <w:tc>
          <w:tcPr>
            <w:tcW w:w="5709" w:type="dxa"/>
          </w:tcPr>
          <w:p w:rsidR="00DA528E" w:rsidRPr="00AA77FE" w:rsidRDefault="00DA528E" w:rsidP="00AA77FE">
            <w:pPr>
              <w:spacing w:after="0" w:line="240" w:lineRule="auto"/>
              <w:jc w:val="both"/>
              <w:rPr>
                <w:rFonts w:ascii="Times New Roman" w:hAnsi="Times New Roman"/>
                <w:sz w:val="28"/>
                <w:szCs w:val="28"/>
              </w:rPr>
            </w:pPr>
            <w:r w:rsidRPr="00AA77FE">
              <w:rPr>
                <w:rFonts w:ascii="Times New Roman" w:hAnsi="Times New Roman"/>
                <w:sz w:val="28"/>
                <w:szCs w:val="28"/>
              </w:rPr>
              <w:t>Cita informācija</w:t>
            </w:r>
          </w:p>
        </w:tc>
        <w:tc>
          <w:tcPr>
            <w:tcW w:w="3192" w:type="dxa"/>
          </w:tcPr>
          <w:p w:rsidR="00DA528E" w:rsidRPr="00AA77FE" w:rsidRDefault="00CE19A9" w:rsidP="00AA77FE">
            <w:pPr>
              <w:spacing w:after="0" w:line="240" w:lineRule="auto"/>
              <w:jc w:val="both"/>
              <w:rPr>
                <w:rFonts w:ascii="Times New Roman" w:hAnsi="Times New Roman"/>
                <w:sz w:val="28"/>
                <w:szCs w:val="28"/>
              </w:rPr>
            </w:pPr>
            <w:r>
              <w:rPr>
                <w:rFonts w:ascii="Times New Roman" w:hAnsi="Times New Roman"/>
                <w:sz w:val="28"/>
                <w:szCs w:val="28"/>
              </w:rPr>
              <w:t>Noteikumu projekts šo jomu neskar</w:t>
            </w:r>
          </w:p>
        </w:tc>
      </w:tr>
    </w:tbl>
    <w:p w:rsidR="00BF2C93" w:rsidRDefault="00BF2C93" w:rsidP="00BF2C93">
      <w:pPr>
        <w:pStyle w:val="PlainText"/>
        <w:tabs>
          <w:tab w:val="left" w:pos="6804"/>
        </w:tabs>
        <w:jc w:val="both"/>
        <w:rPr>
          <w:rFonts w:ascii="Times New Roman" w:hAnsi="Times New Roman"/>
          <w:bCs/>
          <w:color w:val="000000"/>
          <w:szCs w:val="28"/>
        </w:rPr>
      </w:pPr>
    </w:p>
    <w:p w:rsidR="00BF2C93" w:rsidRDefault="00BF2C93" w:rsidP="00BF2C93">
      <w:pPr>
        <w:pStyle w:val="PlainText"/>
        <w:tabs>
          <w:tab w:val="left" w:pos="6804"/>
        </w:tabs>
        <w:jc w:val="both"/>
        <w:rPr>
          <w:rFonts w:ascii="Times New Roman" w:hAnsi="Times New Roman"/>
          <w:bCs/>
          <w:color w:val="000000"/>
          <w:szCs w:val="28"/>
        </w:rPr>
      </w:pPr>
    </w:p>
    <w:p w:rsidR="00BF2C93" w:rsidRPr="0043350C" w:rsidRDefault="00BF2C93" w:rsidP="00BF2C93">
      <w:pPr>
        <w:pStyle w:val="PlainText"/>
        <w:tabs>
          <w:tab w:val="left" w:pos="6804"/>
        </w:tabs>
        <w:jc w:val="both"/>
        <w:rPr>
          <w:rFonts w:ascii="Times New Roman" w:hAnsi="Times New Roman"/>
          <w:color w:val="000000"/>
          <w:szCs w:val="28"/>
        </w:rPr>
      </w:pPr>
      <w:r>
        <w:rPr>
          <w:rFonts w:ascii="Times New Roman" w:hAnsi="Times New Roman"/>
          <w:bCs/>
          <w:color w:val="000000"/>
          <w:szCs w:val="28"/>
        </w:rPr>
        <w:t>V</w:t>
      </w:r>
      <w:r w:rsidRPr="0043350C">
        <w:rPr>
          <w:rFonts w:ascii="Times New Roman" w:hAnsi="Times New Roman"/>
          <w:bCs/>
          <w:color w:val="000000"/>
          <w:szCs w:val="28"/>
        </w:rPr>
        <w:t>eselības ministr</w:t>
      </w:r>
      <w:r>
        <w:rPr>
          <w:rFonts w:ascii="Times New Roman" w:hAnsi="Times New Roman"/>
          <w:bCs/>
          <w:color w:val="000000"/>
          <w:szCs w:val="28"/>
        </w:rPr>
        <w:t>s</w:t>
      </w:r>
      <w:r w:rsidRPr="0043350C">
        <w:rPr>
          <w:rFonts w:ascii="Times New Roman" w:hAnsi="Times New Roman"/>
          <w:bCs/>
          <w:color w:val="000000"/>
          <w:szCs w:val="28"/>
        </w:rPr>
        <w:t xml:space="preserve">           </w:t>
      </w:r>
      <w:r>
        <w:rPr>
          <w:rFonts w:ascii="Times New Roman" w:hAnsi="Times New Roman"/>
          <w:bCs/>
          <w:color w:val="000000"/>
          <w:szCs w:val="28"/>
        </w:rPr>
        <w:t xml:space="preserve">                                                                   J. </w:t>
      </w:r>
      <w:proofErr w:type="spellStart"/>
      <w:r>
        <w:rPr>
          <w:rFonts w:ascii="Times New Roman" w:hAnsi="Times New Roman"/>
          <w:bCs/>
          <w:color w:val="000000"/>
          <w:szCs w:val="28"/>
        </w:rPr>
        <w:t>Bārzdiņš</w:t>
      </w:r>
      <w:proofErr w:type="spellEnd"/>
    </w:p>
    <w:p w:rsidR="00BF2C93" w:rsidRDefault="00BF2C93" w:rsidP="00BF2C93">
      <w:pPr>
        <w:pStyle w:val="PlainText"/>
        <w:tabs>
          <w:tab w:val="left" w:pos="6804"/>
        </w:tabs>
        <w:jc w:val="both"/>
        <w:rPr>
          <w:rFonts w:ascii="Times New Roman" w:hAnsi="Times New Roman"/>
          <w:color w:val="000000"/>
          <w:szCs w:val="28"/>
        </w:rPr>
      </w:pPr>
    </w:p>
    <w:p w:rsidR="00BF2C93" w:rsidRDefault="00BF2C93" w:rsidP="00BF2C93">
      <w:pPr>
        <w:pStyle w:val="naisf"/>
        <w:spacing w:before="0" w:after="0"/>
        <w:ind w:firstLine="0"/>
        <w:rPr>
          <w:noProof/>
          <w:sz w:val="22"/>
          <w:szCs w:val="22"/>
        </w:rPr>
      </w:pPr>
    </w:p>
    <w:p w:rsidR="00BF2C93" w:rsidRPr="00BF2C93" w:rsidRDefault="00F60543" w:rsidP="00BF2C93">
      <w:pPr>
        <w:pStyle w:val="naisf"/>
        <w:spacing w:before="0" w:after="0"/>
        <w:ind w:firstLine="0"/>
        <w:rPr>
          <w:noProof/>
          <w:sz w:val="22"/>
          <w:szCs w:val="22"/>
        </w:rPr>
      </w:pPr>
      <w:r>
        <w:rPr>
          <w:noProof/>
          <w:sz w:val="22"/>
          <w:szCs w:val="22"/>
        </w:rPr>
        <w:t>2</w:t>
      </w:r>
      <w:r w:rsidR="00B00AEF">
        <w:rPr>
          <w:noProof/>
          <w:sz w:val="22"/>
          <w:szCs w:val="22"/>
        </w:rPr>
        <w:t>1</w:t>
      </w:r>
      <w:r w:rsidR="00BF2C93" w:rsidRPr="00BF2C93">
        <w:rPr>
          <w:noProof/>
          <w:sz w:val="22"/>
          <w:szCs w:val="22"/>
        </w:rPr>
        <w:t xml:space="preserve">.01.2011. </w:t>
      </w:r>
      <w:r w:rsidR="009E0A45">
        <w:rPr>
          <w:noProof/>
          <w:sz w:val="22"/>
          <w:szCs w:val="22"/>
        </w:rPr>
        <w:t>09:42</w:t>
      </w:r>
    </w:p>
    <w:p w:rsidR="00BF2C93" w:rsidRPr="00BF2C93" w:rsidRDefault="00F60543" w:rsidP="00BF2C93">
      <w:pPr>
        <w:spacing w:after="0" w:line="240" w:lineRule="auto"/>
        <w:jc w:val="both"/>
        <w:rPr>
          <w:rFonts w:ascii="Times New Roman" w:hAnsi="Times New Roman"/>
        </w:rPr>
      </w:pPr>
      <w:r>
        <w:rPr>
          <w:rFonts w:ascii="Times New Roman" w:hAnsi="Times New Roman"/>
        </w:rPr>
        <w:t>9</w:t>
      </w:r>
      <w:r w:rsidR="0046602D">
        <w:rPr>
          <w:rFonts w:ascii="Times New Roman" w:hAnsi="Times New Roman"/>
        </w:rPr>
        <w:t>2</w:t>
      </w:r>
      <w:r w:rsidR="00B00AEF">
        <w:rPr>
          <w:rFonts w:ascii="Times New Roman" w:hAnsi="Times New Roman"/>
        </w:rPr>
        <w:t>4</w:t>
      </w:r>
    </w:p>
    <w:p w:rsidR="00BF2C93" w:rsidRPr="00BF2C93" w:rsidRDefault="00BF2C93" w:rsidP="00BF2C93">
      <w:pPr>
        <w:spacing w:after="0" w:line="240" w:lineRule="auto"/>
        <w:jc w:val="both"/>
        <w:rPr>
          <w:rFonts w:ascii="Times New Roman" w:hAnsi="Times New Roman"/>
        </w:rPr>
      </w:pPr>
      <w:proofErr w:type="spellStart"/>
      <w:r w:rsidRPr="00BF2C93">
        <w:rPr>
          <w:rFonts w:ascii="Times New Roman" w:hAnsi="Times New Roman"/>
        </w:rPr>
        <w:t>J.Feldmane</w:t>
      </w:r>
      <w:proofErr w:type="spellEnd"/>
    </w:p>
    <w:p w:rsidR="00BF2C93" w:rsidRPr="00BF2C93" w:rsidRDefault="00BF2C93" w:rsidP="00BF2C93">
      <w:pPr>
        <w:pStyle w:val="naisf"/>
        <w:spacing w:before="0" w:after="0"/>
        <w:ind w:firstLine="0"/>
        <w:rPr>
          <w:sz w:val="22"/>
          <w:szCs w:val="22"/>
        </w:rPr>
      </w:pPr>
      <w:r w:rsidRPr="00BF2C93">
        <w:rPr>
          <w:sz w:val="22"/>
          <w:szCs w:val="22"/>
        </w:rPr>
        <w:t>67876119, jana.feldmane@vm.gov.lv</w:t>
      </w:r>
    </w:p>
    <w:p w:rsidR="00DA528E" w:rsidRPr="00FD73E5" w:rsidRDefault="00DA528E" w:rsidP="00BF2C93">
      <w:pPr>
        <w:spacing w:after="0" w:line="240" w:lineRule="auto"/>
        <w:jc w:val="both"/>
        <w:rPr>
          <w:rFonts w:ascii="Times New Roman" w:hAnsi="Times New Roman"/>
          <w:sz w:val="28"/>
          <w:szCs w:val="28"/>
        </w:rPr>
      </w:pPr>
    </w:p>
    <w:sectPr w:rsidR="00DA528E" w:rsidRPr="00FD73E5" w:rsidSect="00BF2C93">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4C" w:rsidRDefault="008E654C" w:rsidP="00BF2C93">
      <w:pPr>
        <w:spacing w:after="0" w:line="240" w:lineRule="auto"/>
      </w:pPr>
      <w:r>
        <w:separator/>
      </w:r>
    </w:p>
  </w:endnote>
  <w:endnote w:type="continuationSeparator" w:id="0">
    <w:p w:rsidR="008E654C" w:rsidRDefault="008E654C" w:rsidP="00BF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4C" w:rsidRPr="00BF2C93" w:rsidRDefault="008E654C" w:rsidP="00BF2C93">
    <w:pPr>
      <w:jc w:val="both"/>
      <w:rPr>
        <w:rFonts w:ascii="Times New Roman" w:hAnsi="Times New Roman"/>
        <w:sz w:val="20"/>
        <w:szCs w:val="20"/>
      </w:rPr>
    </w:pPr>
    <w:bookmarkStart w:id="2" w:name="OLE_LINK1"/>
    <w:bookmarkStart w:id="3" w:name="OLE_LINK2"/>
    <w:bookmarkStart w:id="4" w:name="_Hlk237758746"/>
    <w:r w:rsidRPr="00BF2C93">
      <w:rPr>
        <w:rFonts w:ascii="Times New Roman" w:hAnsi="Times New Roman"/>
        <w:sz w:val="20"/>
        <w:szCs w:val="20"/>
      </w:rPr>
      <w:t>VMAnot_</w:t>
    </w:r>
    <w:r w:rsidR="00F60543">
      <w:rPr>
        <w:rFonts w:ascii="Times New Roman" w:hAnsi="Times New Roman"/>
        <w:sz w:val="20"/>
        <w:szCs w:val="20"/>
      </w:rPr>
      <w:t>2</w:t>
    </w:r>
    <w:r w:rsidR="00B00AEF">
      <w:rPr>
        <w:rFonts w:ascii="Times New Roman" w:hAnsi="Times New Roman"/>
        <w:sz w:val="20"/>
        <w:szCs w:val="20"/>
      </w:rPr>
      <w:t>1</w:t>
    </w:r>
    <w:r>
      <w:rPr>
        <w:rFonts w:ascii="Times New Roman" w:hAnsi="Times New Roman"/>
        <w:sz w:val="20"/>
        <w:szCs w:val="20"/>
      </w:rPr>
      <w:t>0111</w:t>
    </w:r>
    <w:r w:rsidRPr="00BF2C93">
      <w:rPr>
        <w:rFonts w:ascii="Times New Roman" w:hAnsi="Times New Roman"/>
        <w:sz w:val="20"/>
        <w:szCs w:val="20"/>
      </w:rPr>
      <w:t>_</w:t>
    </w:r>
    <w:r>
      <w:rPr>
        <w:rFonts w:ascii="Times New Roman" w:hAnsi="Times New Roman"/>
        <w:sz w:val="20"/>
        <w:szCs w:val="20"/>
      </w:rPr>
      <w:t>troksn</w:t>
    </w:r>
    <w:r w:rsidRPr="00BF2C93">
      <w:rPr>
        <w:rFonts w:ascii="Times New Roman" w:hAnsi="Times New Roman"/>
        <w:sz w:val="20"/>
        <w:szCs w:val="20"/>
      </w:rPr>
      <w:t>; Ministru kabineta noteikumu projekta „</w:t>
    </w:r>
    <w:r w:rsidRPr="00BF2C93">
      <w:rPr>
        <w:rFonts w:ascii="Times New Roman" w:hAnsi="Times New Roman"/>
        <w:bCs/>
        <w:sz w:val="20"/>
        <w:szCs w:val="20"/>
      </w:rPr>
      <w:t>Noteikumi par trokšņa novērtēšanu dzīvojamo un publisko ēku telpās</w:t>
    </w:r>
    <w:r w:rsidRPr="00BF2C93">
      <w:rPr>
        <w:rFonts w:ascii="Times New Roman" w:hAnsi="Times New Roman"/>
        <w:sz w:val="20"/>
        <w:szCs w:val="20"/>
      </w:rPr>
      <w:t>”</w:t>
    </w:r>
    <w:r w:rsidRPr="00BF2C93">
      <w:rPr>
        <w:rFonts w:ascii="Times New Roman" w:hAnsi="Times New Roman"/>
        <w:bCs/>
        <w:iCs/>
        <w:sz w:val="20"/>
        <w:szCs w:val="20"/>
      </w:rPr>
      <w:t xml:space="preserve"> </w:t>
    </w:r>
    <w:r w:rsidRPr="00BF2C93">
      <w:rPr>
        <w:rFonts w:ascii="Times New Roman" w:hAnsi="Times New Roman"/>
        <w:sz w:val="20"/>
        <w:szCs w:val="20"/>
      </w:rPr>
      <w:t xml:space="preserve"> anotācija</w:t>
    </w:r>
  </w:p>
  <w:bookmarkEnd w:id="2"/>
  <w:bookmarkEnd w:id="3"/>
  <w:bookmarkEnd w:id="4"/>
  <w:p w:rsidR="008E654C" w:rsidRDefault="008E654C">
    <w:pPr>
      <w:pStyle w:val="Footer"/>
    </w:pPr>
  </w:p>
  <w:p w:rsidR="008E654C" w:rsidRDefault="008E65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4C" w:rsidRPr="00BF2C93" w:rsidRDefault="008E654C" w:rsidP="009D04F5">
    <w:pPr>
      <w:jc w:val="both"/>
      <w:rPr>
        <w:rFonts w:ascii="Times New Roman" w:hAnsi="Times New Roman"/>
        <w:sz w:val="20"/>
        <w:szCs w:val="20"/>
      </w:rPr>
    </w:pPr>
    <w:r w:rsidRPr="00BF2C93">
      <w:rPr>
        <w:rFonts w:ascii="Times New Roman" w:hAnsi="Times New Roman"/>
        <w:sz w:val="20"/>
        <w:szCs w:val="20"/>
      </w:rPr>
      <w:t>VMAnot_</w:t>
    </w:r>
    <w:r w:rsidR="00F60543">
      <w:rPr>
        <w:rFonts w:ascii="Times New Roman" w:hAnsi="Times New Roman"/>
        <w:sz w:val="20"/>
        <w:szCs w:val="20"/>
      </w:rPr>
      <w:t>2</w:t>
    </w:r>
    <w:r w:rsidR="00B00AEF">
      <w:rPr>
        <w:rFonts w:ascii="Times New Roman" w:hAnsi="Times New Roman"/>
        <w:sz w:val="20"/>
        <w:szCs w:val="20"/>
      </w:rPr>
      <w:t>1</w:t>
    </w:r>
    <w:r>
      <w:rPr>
        <w:rFonts w:ascii="Times New Roman" w:hAnsi="Times New Roman"/>
        <w:sz w:val="20"/>
        <w:szCs w:val="20"/>
      </w:rPr>
      <w:t>0111</w:t>
    </w:r>
    <w:r w:rsidRPr="00BF2C93">
      <w:rPr>
        <w:rFonts w:ascii="Times New Roman" w:hAnsi="Times New Roman"/>
        <w:sz w:val="20"/>
        <w:szCs w:val="20"/>
      </w:rPr>
      <w:t>_</w:t>
    </w:r>
    <w:r>
      <w:rPr>
        <w:rFonts w:ascii="Times New Roman" w:hAnsi="Times New Roman"/>
        <w:sz w:val="20"/>
        <w:szCs w:val="20"/>
      </w:rPr>
      <w:t>troksn</w:t>
    </w:r>
    <w:r w:rsidRPr="00BF2C93">
      <w:rPr>
        <w:rFonts w:ascii="Times New Roman" w:hAnsi="Times New Roman"/>
        <w:sz w:val="20"/>
        <w:szCs w:val="20"/>
      </w:rPr>
      <w:t>; Ministru kabineta noteikumu projekta „</w:t>
    </w:r>
    <w:r w:rsidRPr="00BF2C93">
      <w:rPr>
        <w:rFonts w:ascii="Times New Roman" w:hAnsi="Times New Roman"/>
        <w:bCs/>
        <w:sz w:val="20"/>
        <w:szCs w:val="20"/>
      </w:rPr>
      <w:t>Noteikumi par trokšņa novērtēšanu dzīvojamo un publisko ēku telpās</w:t>
    </w:r>
    <w:r w:rsidRPr="00BF2C93">
      <w:rPr>
        <w:rFonts w:ascii="Times New Roman" w:hAnsi="Times New Roman"/>
        <w:sz w:val="20"/>
        <w:szCs w:val="20"/>
      </w:rPr>
      <w:t>”</w:t>
    </w:r>
    <w:r w:rsidRPr="00BF2C93">
      <w:rPr>
        <w:rFonts w:ascii="Times New Roman" w:hAnsi="Times New Roman"/>
        <w:bCs/>
        <w:iCs/>
        <w:sz w:val="20"/>
        <w:szCs w:val="20"/>
      </w:rPr>
      <w:t xml:space="preserve"> </w:t>
    </w:r>
    <w:r w:rsidRPr="00BF2C93">
      <w:rPr>
        <w:rFonts w:ascii="Times New Roman" w:hAnsi="Times New Roman"/>
        <w:sz w:val="20"/>
        <w:szCs w:val="20"/>
      </w:rPr>
      <w:t xml:space="preserve"> anotācija</w:t>
    </w:r>
  </w:p>
  <w:p w:rsidR="008E654C" w:rsidRDefault="008E6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4C" w:rsidRDefault="008E654C" w:rsidP="00BF2C93">
      <w:pPr>
        <w:spacing w:after="0" w:line="240" w:lineRule="auto"/>
      </w:pPr>
      <w:r>
        <w:separator/>
      </w:r>
    </w:p>
  </w:footnote>
  <w:footnote w:type="continuationSeparator" w:id="0">
    <w:p w:rsidR="008E654C" w:rsidRDefault="008E654C" w:rsidP="00BF2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4C" w:rsidRDefault="009610AF">
    <w:pPr>
      <w:pStyle w:val="Header"/>
      <w:jc w:val="center"/>
    </w:pPr>
    <w:fldSimple w:instr=" PAGE   \* MERGEFORMAT ">
      <w:r w:rsidR="009E0A45">
        <w:rPr>
          <w:noProof/>
        </w:rPr>
        <w:t>6</w:t>
      </w:r>
    </w:fldSimple>
  </w:p>
  <w:p w:rsidR="008E654C" w:rsidRDefault="008E6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92D"/>
    <w:multiLevelType w:val="hybridMultilevel"/>
    <w:tmpl w:val="D916A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02E2E78"/>
    <w:multiLevelType w:val="hybridMultilevel"/>
    <w:tmpl w:val="96FEF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ED6DC8"/>
    <w:multiLevelType w:val="hybridMultilevel"/>
    <w:tmpl w:val="D916A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3E5"/>
    <w:rsid w:val="0000657D"/>
    <w:rsid w:val="0009665F"/>
    <w:rsid w:val="000B04C1"/>
    <w:rsid w:val="00131469"/>
    <w:rsid w:val="0013785B"/>
    <w:rsid w:val="001E489D"/>
    <w:rsid w:val="002451E9"/>
    <w:rsid w:val="002C40F5"/>
    <w:rsid w:val="004202B0"/>
    <w:rsid w:val="0046602D"/>
    <w:rsid w:val="00665969"/>
    <w:rsid w:val="006975CB"/>
    <w:rsid w:val="008E654C"/>
    <w:rsid w:val="009610AF"/>
    <w:rsid w:val="009D04F5"/>
    <w:rsid w:val="009E0A45"/>
    <w:rsid w:val="00A27ACF"/>
    <w:rsid w:val="00A81ADD"/>
    <w:rsid w:val="00AA77FE"/>
    <w:rsid w:val="00B00AEF"/>
    <w:rsid w:val="00B75EB1"/>
    <w:rsid w:val="00BF2C93"/>
    <w:rsid w:val="00C9012D"/>
    <w:rsid w:val="00CE19A9"/>
    <w:rsid w:val="00D11182"/>
    <w:rsid w:val="00D52BDA"/>
    <w:rsid w:val="00DA528E"/>
    <w:rsid w:val="00DB15C7"/>
    <w:rsid w:val="00DD06B4"/>
    <w:rsid w:val="00F60543"/>
    <w:rsid w:val="00F67F99"/>
    <w:rsid w:val="00F72E39"/>
    <w:rsid w:val="00F906FC"/>
    <w:rsid w:val="00FD73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E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F2C93"/>
    <w:pPr>
      <w:tabs>
        <w:tab w:val="center" w:pos="4153"/>
        <w:tab w:val="right" w:pos="8306"/>
      </w:tabs>
    </w:pPr>
  </w:style>
  <w:style w:type="character" w:customStyle="1" w:styleId="HeaderChar">
    <w:name w:val="Header Char"/>
    <w:basedOn w:val="DefaultParagraphFont"/>
    <w:link w:val="Header"/>
    <w:uiPriority w:val="99"/>
    <w:rsid w:val="00BF2C93"/>
    <w:rPr>
      <w:sz w:val="22"/>
      <w:szCs w:val="22"/>
      <w:lang w:eastAsia="en-US"/>
    </w:rPr>
  </w:style>
  <w:style w:type="paragraph" w:styleId="Footer">
    <w:name w:val="footer"/>
    <w:basedOn w:val="Normal"/>
    <w:link w:val="FooterChar"/>
    <w:uiPriority w:val="99"/>
    <w:unhideWhenUsed/>
    <w:rsid w:val="00BF2C93"/>
    <w:pPr>
      <w:tabs>
        <w:tab w:val="center" w:pos="4153"/>
        <w:tab w:val="right" w:pos="8306"/>
      </w:tabs>
    </w:pPr>
  </w:style>
  <w:style w:type="character" w:customStyle="1" w:styleId="FooterChar">
    <w:name w:val="Footer Char"/>
    <w:basedOn w:val="DefaultParagraphFont"/>
    <w:link w:val="Footer"/>
    <w:uiPriority w:val="99"/>
    <w:rsid w:val="00BF2C93"/>
    <w:rPr>
      <w:sz w:val="22"/>
      <w:szCs w:val="22"/>
      <w:lang w:eastAsia="en-US"/>
    </w:rPr>
  </w:style>
  <w:style w:type="paragraph" w:styleId="BalloonText">
    <w:name w:val="Balloon Text"/>
    <w:basedOn w:val="Normal"/>
    <w:link w:val="BalloonTextChar"/>
    <w:uiPriority w:val="99"/>
    <w:semiHidden/>
    <w:unhideWhenUsed/>
    <w:rsid w:val="00BF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93"/>
    <w:rPr>
      <w:rFonts w:ascii="Tahoma" w:hAnsi="Tahoma" w:cs="Tahoma"/>
      <w:sz w:val="16"/>
      <w:szCs w:val="16"/>
      <w:lang w:eastAsia="en-US"/>
    </w:rPr>
  </w:style>
  <w:style w:type="paragraph" w:customStyle="1" w:styleId="naisf">
    <w:name w:val="naisf"/>
    <w:basedOn w:val="Normal"/>
    <w:rsid w:val="00BF2C93"/>
    <w:pPr>
      <w:spacing w:before="75" w:after="75" w:line="240" w:lineRule="auto"/>
      <w:ind w:firstLine="375"/>
      <w:jc w:val="both"/>
    </w:pPr>
    <w:rPr>
      <w:rFonts w:ascii="Times New Roman" w:eastAsia="Times New Roman" w:hAnsi="Times New Roman"/>
      <w:sz w:val="24"/>
      <w:szCs w:val="24"/>
      <w:lang w:eastAsia="lv-LV"/>
    </w:rPr>
  </w:style>
  <w:style w:type="paragraph" w:styleId="PlainText">
    <w:name w:val="Plain Text"/>
    <w:basedOn w:val="Normal"/>
    <w:link w:val="PlainTextChar"/>
    <w:rsid w:val="00BF2C93"/>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rsid w:val="00BF2C93"/>
    <w:rPr>
      <w:rFonts w:ascii="Courier New" w:eastAsia="Times New Roman" w:hAnsi="Courier New"/>
      <w:sz w:val="28"/>
      <w:lang w:eastAsia="en-US"/>
    </w:rPr>
  </w:style>
  <w:style w:type="character" w:customStyle="1" w:styleId="spelle">
    <w:name w:val="spelle"/>
    <w:basedOn w:val="DefaultParagraphFont"/>
    <w:rsid w:val="004202B0"/>
  </w:style>
  <w:style w:type="paragraph" w:styleId="ListParagraph">
    <w:name w:val="List Paragraph"/>
    <w:basedOn w:val="Normal"/>
    <w:uiPriority w:val="34"/>
    <w:qFormat/>
    <w:rsid w:val="008E6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4985</Words>
  <Characters>2843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Anotācija Ministru kabineta noteikumu projektam „Noteikumi par trokšņa novērtēšanu dzīvojamo un publisko ēku telpās”</vt:lpstr>
    </vt:vector>
  </TitlesOfParts>
  <Company>Veselības ministrija</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„Noteikumi par trokšņa novērtēšanu dzīvojamo un publisko ēku telpās”</dc:title>
  <dc:subject>Anotācija</dc:subject>
  <dc:creator>Jana Feldmane</dc:creator>
  <dc:description>Jana Feldmane
67876119, jana.feldmane@vm.gov.lv</dc:description>
  <cp:lastModifiedBy>VM</cp:lastModifiedBy>
  <cp:revision>14</cp:revision>
  <cp:lastPrinted>2011-01-21T07:42:00Z</cp:lastPrinted>
  <dcterms:created xsi:type="dcterms:W3CDTF">2011-01-18T09:58:00Z</dcterms:created>
  <dcterms:modified xsi:type="dcterms:W3CDTF">2011-01-21T07:42:00Z</dcterms:modified>
</cp:coreProperties>
</file>