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C" w:rsidRDefault="00F6726C" w:rsidP="00F6726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6726C">
        <w:rPr>
          <w:b/>
          <w:sz w:val="28"/>
          <w:szCs w:val="28"/>
        </w:rPr>
        <w:t>Tiesību akta projekta sākotnējās ietekmes novērtējuma ziņojums</w:t>
      </w:r>
      <w:r w:rsidR="00E10684">
        <w:rPr>
          <w:b/>
          <w:sz w:val="28"/>
          <w:szCs w:val="28"/>
        </w:rPr>
        <w:t xml:space="preserve"> (anotācija)</w:t>
      </w:r>
      <w:r w:rsidRPr="00F6726C">
        <w:rPr>
          <w:b/>
          <w:sz w:val="28"/>
          <w:szCs w:val="28"/>
        </w:rPr>
        <w:t xml:space="preserve"> </w:t>
      </w:r>
      <w:bookmarkEnd w:id="0"/>
      <w:bookmarkEnd w:id="1"/>
      <w:r w:rsidRPr="00F6726C">
        <w:rPr>
          <w:b/>
          <w:sz w:val="28"/>
          <w:szCs w:val="28"/>
        </w:rPr>
        <w:t xml:space="preserve">par Ministru kabineta noteikumu projektu </w:t>
      </w:r>
    </w:p>
    <w:p w:rsidR="00B37E4A" w:rsidRPr="00B37E4A" w:rsidRDefault="00B37E4A" w:rsidP="00B37E4A">
      <w:pPr>
        <w:jc w:val="center"/>
        <w:rPr>
          <w:sz w:val="28"/>
          <w:szCs w:val="28"/>
        </w:rPr>
      </w:pPr>
      <w:r>
        <w:rPr>
          <w:sz w:val="28"/>
          <w:szCs w:val="28"/>
        </w:rPr>
        <w:t>,,</w:t>
      </w:r>
      <w:r w:rsidRPr="00B37E4A">
        <w:rPr>
          <w:sz w:val="28"/>
          <w:szCs w:val="28"/>
        </w:rPr>
        <w:t>Alkohola, narkotisko, psihotropo, toksisko vielu, azartspēļu vai datorspēļu atkarības slimnieku ārstēšanas kārtība</w:t>
      </w:r>
      <w:r>
        <w:rPr>
          <w:sz w:val="28"/>
          <w:szCs w:val="28"/>
        </w:rPr>
        <w:t>”</w:t>
      </w:r>
    </w:p>
    <w:p w:rsidR="00F6726C" w:rsidRDefault="00F6726C" w:rsidP="00EE1880">
      <w:pPr>
        <w:pStyle w:val="naisc"/>
        <w:jc w:val="left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1"/>
        <w:gridCol w:w="3628"/>
        <w:gridCol w:w="4982"/>
      </w:tblGrid>
      <w:tr w:rsidR="00F6726C" w:rsidTr="009E1143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26C" w:rsidRDefault="00F6726C">
            <w:pPr>
              <w:pStyle w:val="naisc"/>
            </w:pPr>
            <w:r>
              <w:rPr>
                <w:b/>
                <w:bCs/>
              </w:rPr>
              <w:t> I. Tiesību akta projekta izstrādes nepieciešamība</w:t>
            </w:r>
          </w:p>
        </w:tc>
      </w:tr>
      <w:tr w:rsidR="008D581C" w:rsidTr="009E1143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1.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F6726C">
            <w:pPr>
              <w:pStyle w:val="naislab"/>
              <w:jc w:val="left"/>
            </w:pPr>
            <w:r>
              <w:t> Pamatojums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483572">
            <w:pPr>
              <w:pStyle w:val="naiskr"/>
              <w:jc w:val="both"/>
            </w:pPr>
            <w:r>
              <w:t> </w:t>
            </w:r>
            <w:r w:rsidR="005B033E">
              <w:t xml:space="preserve">Ministru kabineta noteikumu projekts ir sagatavots atbilstoši </w:t>
            </w:r>
            <w:r w:rsidR="00B37E4A">
              <w:t>Ārstniecības l</w:t>
            </w:r>
            <w:r w:rsidR="005B033E">
              <w:t xml:space="preserve">ikuma </w:t>
            </w:r>
            <w:r w:rsidR="00B37E4A">
              <w:t>61.pant</w:t>
            </w:r>
            <w:r w:rsidR="007C7EF0">
              <w:t>am</w:t>
            </w:r>
            <w:r w:rsidR="0064543B">
              <w:t>, kas satur deleģējumu Ministru kabinetam noteikt kārtību, kādā a</w:t>
            </w:r>
            <w:r w:rsidR="0064543B" w:rsidRPr="00BF0503">
              <w:t>lkohola, narkotisko, psihotropo, toksisko vielu, azartspēļu vai datorspēļu atkarības slimnieku ārstēšana notiek labprātīgi pēc viņu vēlēšanās ārstniecības iestādēs</w:t>
            </w:r>
            <w:r w:rsidR="0064543B">
              <w:t>.</w:t>
            </w:r>
          </w:p>
        </w:tc>
      </w:tr>
      <w:tr w:rsidR="009E1143" w:rsidTr="009E1143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>
            <w:pPr>
              <w:pStyle w:val="naiskr"/>
            </w:pPr>
            <w:r>
              <w:t> 2.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F6726C">
            <w:pPr>
              <w:pStyle w:val="naiskr"/>
            </w:pPr>
            <w:r>
              <w:t> Pašreizējā situācija un problēmas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F9C" w:rsidRDefault="00294EFC" w:rsidP="00483572">
            <w:pPr>
              <w:tabs>
                <w:tab w:val="num" w:pos="72"/>
                <w:tab w:val="left" w:pos="2835"/>
              </w:tabs>
              <w:ind w:right="-1"/>
              <w:jc w:val="both"/>
            </w:pPr>
            <w:r>
              <w:t xml:space="preserve"> </w:t>
            </w:r>
            <w:r w:rsidR="009E1143">
              <w:t xml:space="preserve">Pašreiz spēkā ir Ministru kabineta </w:t>
            </w:r>
            <w:r w:rsidR="009E1143" w:rsidRPr="00F468C1">
              <w:t>2</w:t>
            </w:r>
            <w:r w:rsidR="009E1143">
              <w:t>002.gada 24.septembra noteikumi</w:t>
            </w:r>
            <w:r w:rsidR="009E1143" w:rsidRPr="00F468C1">
              <w:t xml:space="preserve"> Nr.429 „Alkohola, narkotisko, psihotropo un toksisko vielu atkarības slimnieku ārstēšanas kārtība”</w:t>
            </w:r>
            <w:r w:rsidR="009E1143">
              <w:t xml:space="preserve"> (turpmāk – noteikumi), kas nosaka </w:t>
            </w:r>
            <w:r w:rsidR="009E1143" w:rsidRPr="006069FA">
              <w:t>kārtību, kādā narkoloģiskajās ārstniecības iestādēs notiek alkohola, narkotisko, psihotropo un toksisko vielu atkarības slimnieku ārstēšana labprātīgi pēc viņu vēlēšanās.</w:t>
            </w:r>
            <w:r w:rsidR="009E1143">
              <w:t xml:space="preserve"> </w:t>
            </w:r>
            <w:r w:rsidR="009E1143" w:rsidRPr="00F506A1">
              <w:t xml:space="preserve">Tomēr </w:t>
            </w:r>
            <w:r w:rsidR="000546D4" w:rsidRPr="00F506A1">
              <w:t xml:space="preserve">minētie </w:t>
            </w:r>
            <w:r w:rsidR="009E1143" w:rsidRPr="00F506A1">
              <w:t xml:space="preserve">noteikumi </w:t>
            </w:r>
            <w:r w:rsidR="00191FAA">
              <w:t>ne</w:t>
            </w:r>
            <w:r w:rsidR="009070DC">
              <w:t>nosaka</w:t>
            </w:r>
            <w:r w:rsidR="00191FAA">
              <w:t xml:space="preserve"> prasības </w:t>
            </w:r>
            <w:r w:rsidR="009E1143" w:rsidRPr="00F506A1">
              <w:t xml:space="preserve">azartspēļu un </w:t>
            </w:r>
            <w:r w:rsidR="00191FAA">
              <w:t>datorspēļu</w:t>
            </w:r>
            <w:r w:rsidR="00CD565B">
              <w:t xml:space="preserve"> atkarības slimnieku ārstēšanai</w:t>
            </w:r>
            <w:r w:rsidR="009E1143" w:rsidRPr="00F506A1">
              <w:t xml:space="preserve"> kā to paredz </w:t>
            </w:r>
            <w:r w:rsidR="00191FAA">
              <w:t>Ārstniecības likuma</w:t>
            </w:r>
            <w:r w:rsidR="00912C3D">
              <w:t xml:space="preserve"> 61.panta</w:t>
            </w:r>
            <w:r w:rsidR="00191FAA">
              <w:t xml:space="preserve"> </w:t>
            </w:r>
            <w:r w:rsidR="009E1143" w:rsidRPr="00F506A1">
              <w:t xml:space="preserve">deleģējums. </w:t>
            </w:r>
          </w:p>
          <w:p w:rsidR="009E1143" w:rsidRDefault="00294EFC" w:rsidP="00483572">
            <w:pPr>
              <w:tabs>
                <w:tab w:val="num" w:pos="72"/>
                <w:tab w:val="left" w:pos="2835"/>
              </w:tabs>
              <w:ind w:right="-1"/>
              <w:jc w:val="both"/>
            </w:pPr>
            <w:r>
              <w:t xml:space="preserve"> </w:t>
            </w:r>
            <w:r w:rsidR="009E1143" w:rsidRPr="00F506A1">
              <w:t>Tā kā šajos noteikumos nepieciešamas būtiskas izmaiņas un grozījumu satu</w:t>
            </w:r>
            <w:r w:rsidR="00E44D4A" w:rsidRPr="00F506A1">
              <w:t>rs pārsniedz</w:t>
            </w:r>
            <w:r w:rsidR="000546D4" w:rsidRPr="00F506A1">
              <w:t xml:space="preserve"> pusi no noteikumu apjoma, </w:t>
            </w:r>
            <w:r w:rsidR="008C2E3F">
              <w:t xml:space="preserve">jāizdod jauni </w:t>
            </w:r>
            <w:r w:rsidR="000546D4" w:rsidRPr="00F506A1">
              <w:t>noteikumi,</w:t>
            </w:r>
            <w:r w:rsidR="008C2E3F">
              <w:t xml:space="preserve"> lai nodrošinātu to</w:t>
            </w:r>
            <w:r w:rsidR="00C459DC">
              <w:t xml:space="preserve"> atbilstību </w:t>
            </w:r>
            <w:r w:rsidR="008C2E3F">
              <w:t xml:space="preserve">Ārstniecības likuma 61. panta </w:t>
            </w:r>
            <w:r w:rsidR="000546D4" w:rsidRPr="00F506A1">
              <w:t xml:space="preserve"> deleģējumam.</w:t>
            </w:r>
            <w:r w:rsidR="009E1143">
              <w:t xml:space="preserve"> </w:t>
            </w:r>
          </w:p>
          <w:p w:rsidR="009E1143" w:rsidRDefault="00294EFC" w:rsidP="00483572">
            <w:pPr>
              <w:tabs>
                <w:tab w:val="num" w:pos="72"/>
              </w:tabs>
              <w:ind w:right="-1"/>
              <w:jc w:val="both"/>
            </w:pPr>
            <w:r>
              <w:t xml:space="preserve"> </w:t>
            </w:r>
            <w:r w:rsidR="001B2881">
              <w:t xml:space="preserve">Spēkā esošie </w:t>
            </w:r>
            <w:r w:rsidR="00735E19">
              <w:t>n</w:t>
            </w:r>
            <w:r w:rsidR="009E1143">
              <w:t>oteikumi paredz, ka narkoloģisko ārstēšanu var veikt vienīgi narkoloģiskajās ārstniecības iestādēs, tomēr narkoloģiskās ārstēšanas nodrošināšanā būtiskākais ir narkologa profesionālās zināšanas, neatkarīgi no viņa darba vietas, kas ne vienmēr būs</w:t>
            </w:r>
            <w:r w:rsidR="00B063CF">
              <w:t xml:space="preserve"> narkoloģiskā</w:t>
            </w:r>
            <w:r w:rsidR="009E1143">
              <w:t xml:space="preserve"> ārstniecības iestāde</w:t>
            </w:r>
            <w:r w:rsidR="00B063CF">
              <w:t>.</w:t>
            </w:r>
            <w:r w:rsidR="009E1143">
              <w:t xml:space="preserve"> </w:t>
            </w:r>
          </w:p>
          <w:p w:rsidR="00A22449" w:rsidRDefault="00294EFC" w:rsidP="00483572">
            <w:pPr>
              <w:tabs>
                <w:tab w:val="num" w:pos="72"/>
              </w:tabs>
              <w:ind w:right="-1"/>
              <w:jc w:val="both"/>
            </w:pPr>
            <w:r>
              <w:t xml:space="preserve"> </w:t>
            </w:r>
            <w:r w:rsidR="001B2881">
              <w:t>Pašreizējie n</w:t>
            </w:r>
            <w:r w:rsidR="009E1143">
              <w:t xml:space="preserve">oteikumi nosaka, ka šobrīd tikai vienas ārstniecības iestādes – VSIA „Rīgas psihiatrijas un </w:t>
            </w:r>
            <w:r w:rsidR="008F3334">
              <w:t xml:space="preserve">narkoloģijas centrs” </w:t>
            </w:r>
            <w:r w:rsidR="00DF38CC" w:rsidRPr="00531544">
              <w:t>(turpmāk</w:t>
            </w:r>
            <w:r w:rsidR="00B063CF">
              <w:t>–</w:t>
            </w:r>
            <w:r w:rsidR="00DF38CC" w:rsidRPr="00531544">
              <w:t>RPNC)</w:t>
            </w:r>
            <w:r w:rsidR="00DF38CC">
              <w:rPr>
                <w:color w:val="FF0000"/>
              </w:rPr>
              <w:t xml:space="preserve"> </w:t>
            </w:r>
            <w:r w:rsidR="008F3334">
              <w:t>ārstu konsī</w:t>
            </w:r>
            <w:r w:rsidR="009E1143">
              <w:t xml:space="preserve">lijs var noteikt ilgtermiņa farmakoterapiju. </w:t>
            </w:r>
          </w:p>
          <w:p w:rsidR="000033C6" w:rsidRPr="00793899" w:rsidRDefault="00A22449" w:rsidP="00483572">
            <w:pPr>
              <w:tabs>
                <w:tab w:val="num" w:pos="72"/>
              </w:tabs>
              <w:ind w:right="-1"/>
              <w:jc w:val="both"/>
            </w:pPr>
            <w:r>
              <w:t xml:space="preserve"> </w:t>
            </w:r>
            <w:r w:rsidR="009E1143">
              <w:t>Tas padara</w:t>
            </w:r>
            <w:r w:rsidR="005046D8">
              <w:t xml:space="preserve"> pacientiem</w:t>
            </w:r>
            <w:r w:rsidR="009E1143">
              <w:t xml:space="preserve"> grūtāk pieejamu šo pakalpojumu</w:t>
            </w:r>
            <w:r w:rsidR="005046D8">
              <w:t>.</w:t>
            </w:r>
            <w:r w:rsidR="008F3334">
              <w:t xml:space="preserve"> </w:t>
            </w:r>
            <w:r w:rsidR="00900299">
              <w:t>V</w:t>
            </w:r>
            <w:r w:rsidR="009E1143">
              <w:t xml:space="preserve">ienas </w:t>
            </w:r>
            <w:r w:rsidR="005046D8">
              <w:t xml:space="preserve">ārstniecības iestādes </w:t>
            </w:r>
            <w:r w:rsidR="009E1143">
              <w:t>ekskluzīvu k</w:t>
            </w:r>
            <w:r w:rsidR="00900299">
              <w:t>ompetence saistībā</w:t>
            </w:r>
            <w:r w:rsidR="009E1143">
              <w:t xml:space="preserve"> ar ārstēšanas </w:t>
            </w:r>
            <w:r w:rsidR="009E1143">
              <w:lastRenderedPageBreak/>
              <w:t>metodes</w:t>
            </w:r>
            <w:r w:rsidR="00CD3412">
              <w:t xml:space="preserve"> pielietošanu</w:t>
            </w:r>
            <w:r w:rsidR="00900299">
              <w:t xml:space="preserve"> nav pamatota</w:t>
            </w:r>
            <w:r w:rsidR="009E1143">
              <w:t>.</w:t>
            </w:r>
          </w:p>
          <w:p w:rsidR="004E1CE1" w:rsidRPr="001B2881" w:rsidRDefault="00294EFC" w:rsidP="00483572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74AD4">
              <w:rPr>
                <w:bCs/>
              </w:rPr>
              <w:t xml:space="preserve">Ilgtermiņa </w:t>
            </w:r>
            <w:proofErr w:type="spellStart"/>
            <w:r w:rsidR="00C74AD4">
              <w:rPr>
                <w:bCs/>
              </w:rPr>
              <w:t>farmakoterapijas</w:t>
            </w:r>
            <w:proofErr w:type="spellEnd"/>
            <w:r w:rsidR="00C74AD4">
              <w:rPr>
                <w:bCs/>
              </w:rPr>
              <w:t xml:space="preserve"> turpināšana</w:t>
            </w:r>
            <w:r w:rsidR="004E1CE1" w:rsidRPr="001B2881">
              <w:rPr>
                <w:bCs/>
              </w:rPr>
              <w:t xml:space="preserve"> ar zālēm, kuras aktīvā viela ir </w:t>
            </w:r>
            <w:proofErr w:type="spellStart"/>
            <w:r w:rsidR="004E1CE1" w:rsidRPr="001B2881">
              <w:rPr>
                <w:bCs/>
              </w:rPr>
              <w:t>metadons</w:t>
            </w:r>
            <w:proofErr w:type="spellEnd"/>
            <w:r w:rsidR="00C74AD4">
              <w:rPr>
                <w:bCs/>
              </w:rPr>
              <w:t xml:space="preserve"> un </w:t>
            </w:r>
            <w:proofErr w:type="spellStart"/>
            <w:r w:rsidR="00C74AD4">
              <w:rPr>
                <w:bCs/>
              </w:rPr>
              <w:t>buprenorfīns</w:t>
            </w:r>
            <w:proofErr w:type="spellEnd"/>
            <w:r w:rsidR="004E1CE1" w:rsidRPr="001B2881">
              <w:rPr>
                <w:bCs/>
              </w:rPr>
              <w:t xml:space="preserve">, </w:t>
            </w:r>
            <w:r w:rsidR="00C74AD4">
              <w:rPr>
                <w:bCs/>
              </w:rPr>
              <w:t>netiek nodrošināta pacientiem ieslodzījuma vietās.</w:t>
            </w:r>
          </w:p>
          <w:p w:rsidR="00C05208" w:rsidRPr="001B2881" w:rsidRDefault="004E1CE1" w:rsidP="00483572">
            <w:pPr>
              <w:tabs>
                <w:tab w:val="left" w:pos="4521"/>
              </w:tabs>
              <w:ind w:right="-1"/>
              <w:jc w:val="both"/>
              <w:rPr>
                <w:bCs/>
              </w:rPr>
            </w:pPr>
            <w:r w:rsidRPr="001B2881">
              <w:rPr>
                <w:bCs/>
              </w:rPr>
              <w:t xml:space="preserve">Savukārt ilgtermiņa farmakoterapiju ar zālēm, kuras aktīvā viela ir </w:t>
            </w:r>
            <w:proofErr w:type="spellStart"/>
            <w:r w:rsidRPr="001B2881">
              <w:rPr>
                <w:bCs/>
              </w:rPr>
              <w:t>buprenorfīns</w:t>
            </w:r>
            <w:proofErr w:type="spellEnd"/>
            <w:r w:rsidRPr="001B2881">
              <w:rPr>
                <w:bCs/>
              </w:rPr>
              <w:t xml:space="preserve">, apmaksā </w:t>
            </w:r>
            <w:r w:rsidR="006E5978" w:rsidRPr="001B2881">
              <w:rPr>
                <w:bCs/>
              </w:rPr>
              <w:t>pacient</w:t>
            </w:r>
            <w:r w:rsidR="00406838" w:rsidRPr="001B2881">
              <w:rPr>
                <w:bCs/>
              </w:rPr>
              <w:t>s</w:t>
            </w:r>
            <w:r w:rsidRPr="001B2881">
              <w:rPr>
                <w:bCs/>
              </w:rPr>
              <w:t xml:space="preserve">, tad šīs narkoloģiskās ārstēšanas gadījumā nav </w:t>
            </w:r>
            <w:r w:rsidR="00FB6F75" w:rsidRPr="001B2881">
              <w:rPr>
                <w:bCs/>
              </w:rPr>
              <w:t>nepieciešamas</w:t>
            </w:r>
            <w:r w:rsidRPr="001B2881">
              <w:rPr>
                <w:bCs/>
              </w:rPr>
              <w:t xml:space="preserve"> ārstniecības iestādes līgumattiecības ar </w:t>
            </w:r>
            <w:r w:rsidR="00E7332B">
              <w:rPr>
                <w:bCs/>
              </w:rPr>
              <w:t xml:space="preserve">Nacionālo </w:t>
            </w:r>
            <w:r w:rsidRPr="001B2881">
              <w:rPr>
                <w:bCs/>
              </w:rPr>
              <w:t>Veselības</w:t>
            </w:r>
            <w:r w:rsidR="007D2D7C">
              <w:rPr>
                <w:bCs/>
              </w:rPr>
              <w:t xml:space="preserve"> dienestu</w:t>
            </w:r>
            <w:r w:rsidRPr="001B2881">
              <w:rPr>
                <w:bCs/>
              </w:rPr>
              <w:t xml:space="preserve">. </w:t>
            </w:r>
          </w:p>
          <w:p w:rsidR="004E1CE1" w:rsidRPr="003037D7" w:rsidRDefault="004E1CE1" w:rsidP="001B2881">
            <w:pPr>
              <w:ind w:right="273"/>
              <w:jc w:val="both"/>
            </w:pPr>
          </w:p>
        </w:tc>
      </w:tr>
      <w:tr w:rsidR="009E1143" w:rsidTr="009E1143">
        <w:trPr>
          <w:trHeight w:val="107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Pr="002F4C23" w:rsidRDefault="009E1143">
            <w:pPr>
              <w:pStyle w:val="NormalWeb"/>
              <w:rPr>
                <w:sz w:val="24"/>
                <w:szCs w:val="24"/>
              </w:rPr>
            </w:pPr>
            <w:r w:rsidRPr="009A6C82">
              <w:rPr>
                <w:lang w:val="lv-LV"/>
              </w:rPr>
              <w:lastRenderedPageBreak/>
              <w:t> </w:t>
            </w:r>
            <w:r w:rsidRPr="002F4C23">
              <w:rPr>
                <w:sz w:val="24"/>
                <w:szCs w:val="24"/>
              </w:rPr>
              <w:t>3.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Pr="00712E47" w:rsidRDefault="009E1143" w:rsidP="00F6726C">
            <w:pPr>
              <w:pStyle w:val="NormalWeb"/>
              <w:rPr>
                <w:sz w:val="24"/>
                <w:szCs w:val="24"/>
              </w:rPr>
            </w:pPr>
            <w:r>
              <w:t> </w:t>
            </w:r>
            <w:r w:rsidRPr="00712E47">
              <w:rPr>
                <w:sz w:val="24"/>
                <w:szCs w:val="24"/>
              </w:rPr>
              <w:t>Saistītie politikas ietekmes novērtējumi un pētījumi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Pr="00712E47" w:rsidRDefault="009E1143" w:rsidP="009C3C05">
            <w:pPr>
              <w:tabs>
                <w:tab w:val="left" w:pos="4521"/>
              </w:tabs>
              <w:ind w:right="-1"/>
              <w:jc w:val="both"/>
              <w:rPr>
                <w:bCs/>
              </w:rPr>
            </w:pPr>
            <w:r w:rsidRPr="002A67E3">
              <w:rPr>
                <w:bCs/>
              </w:rPr>
              <w:t xml:space="preserve"> </w:t>
            </w:r>
            <w:r w:rsidR="00AC7A93">
              <w:rPr>
                <w:bCs/>
              </w:rPr>
              <w:t xml:space="preserve">Veselības ekonomikas </w:t>
            </w:r>
            <w:r w:rsidR="0041445D">
              <w:rPr>
                <w:bCs/>
              </w:rPr>
              <w:t>centrs ir veicis  pētījumu ,,</w:t>
            </w:r>
            <w:r w:rsidR="0041445D" w:rsidRPr="0041445D">
              <w:t>N</w:t>
            </w:r>
            <w:hyperlink r:id="rId8" w:history="1">
              <w:r w:rsidR="0041445D" w:rsidRPr="0041445D">
                <w:rPr>
                  <w:rStyle w:val="Hyperlink"/>
                  <w:bCs/>
                  <w:color w:val="auto"/>
                  <w:u w:val="none"/>
                </w:rPr>
                <w:t>arkotiku lietošanas izplatī</w:t>
              </w:r>
              <w:r w:rsidR="009C3C05">
                <w:rPr>
                  <w:rStyle w:val="Hyperlink"/>
                  <w:bCs/>
                  <w:color w:val="auto"/>
                  <w:u w:val="none"/>
                </w:rPr>
                <w:t>ba ieslodzījuma vietās Latvijā,</w:t>
              </w:r>
              <w:r w:rsidR="0041445D" w:rsidRPr="0041445D">
                <w:rPr>
                  <w:rStyle w:val="Hyperlink"/>
                  <w:bCs/>
                  <w:color w:val="auto"/>
                  <w:u w:val="none"/>
                </w:rPr>
                <w:t>2011</w:t>
              </w:r>
            </w:hyperlink>
            <w:r w:rsidR="0041445D">
              <w:rPr>
                <w:rStyle w:val="Strong"/>
              </w:rPr>
              <w:t>”.</w:t>
            </w:r>
            <w:r w:rsidR="0041445D" w:rsidRPr="0041445D">
              <w:rPr>
                <w:bCs/>
              </w:rPr>
              <w:t xml:space="preserve"> </w:t>
            </w:r>
            <w:r w:rsidR="0041445D">
              <w:rPr>
                <w:bCs/>
              </w:rPr>
              <w:t>(</w:t>
            </w:r>
            <w:r w:rsidR="009C3C05" w:rsidRPr="009C3C05">
              <w:rPr>
                <w:bCs/>
              </w:rPr>
              <w:t>http://vec.gov.lv/uploads/files/4e171e30bf3cb.pdf</w:t>
            </w:r>
            <w:r w:rsidR="009C3C05">
              <w:rPr>
                <w:bCs/>
              </w:rPr>
              <w:t>)</w:t>
            </w:r>
          </w:p>
        </w:tc>
      </w:tr>
      <w:tr w:rsidR="009E1143" w:rsidTr="009E1143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>
            <w:pPr>
              <w:pStyle w:val="naiskr"/>
            </w:pPr>
            <w:r>
              <w:t> 4.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F6726C">
            <w:pPr>
              <w:pStyle w:val="naiskr"/>
            </w:pPr>
            <w:r>
              <w:t> Tiesiskā regulējuma mērķis un būtība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429" w:rsidRDefault="001F0429" w:rsidP="00012873">
            <w:pPr>
              <w:pStyle w:val="naisf"/>
              <w:spacing w:before="0" w:after="0"/>
              <w:ind w:firstLine="0"/>
            </w:pPr>
            <w:r>
              <w:t>Noteikumu projekts atrisinās visas 2.punktā minētās problēmas.</w:t>
            </w:r>
          </w:p>
          <w:p w:rsidR="009E1143" w:rsidRDefault="009E1143" w:rsidP="00012873">
            <w:pPr>
              <w:pStyle w:val="naisf"/>
              <w:spacing w:before="0" w:after="0"/>
              <w:ind w:firstLine="0"/>
            </w:pPr>
            <w:r w:rsidRPr="008D581C">
              <w:t>1</w:t>
            </w:r>
            <w:r w:rsidR="00C92B40">
              <w:t>.</w:t>
            </w:r>
            <w:r w:rsidR="00FC799B">
              <w:t>Decentralizējot narkoloģiskās palīdzības sniegšanu, t</w:t>
            </w:r>
            <w:r w:rsidR="00C92B40">
              <w:t>i</w:t>
            </w:r>
            <w:r w:rsidR="00735216">
              <w:t>ks</w:t>
            </w:r>
            <w:r w:rsidR="009868B1">
              <w:t xml:space="preserve"> nodrošināta tās pieejamība reģio</w:t>
            </w:r>
            <w:r w:rsidR="00FC799B">
              <w:t>nos.</w:t>
            </w:r>
          </w:p>
          <w:p w:rsidR="00B063CF" w:rsidRPr="00755010" w:rsidRDefault="00B063CF" w:rsidP="00755010">
            <w:pPr>
              <w:ind w:right="-1"/>
              <w:jc w:val="both"/>
              <w:rPr>
                <w:bCs/>
              </w:rPr>
            </w:pPr>
            <w:r>
              <w:t>2.</w:t>
            </w:r>
            <w:r w:rsidR="00755010">
              <w:rPr>
                <w:bCs/>
              </w:rPr>
              <w:t xml:space="preserve"> Noteikumu projekta 4.punkts paredz, ka nepieciešamības gadījumā decentralizēti tiks veidoti ārstu konsīliji, kuru sastāvā ir vismaz  divi narkologi.</w:t>
            </w:r>
          </w:p>
          <w:p w:rsidR="001F0429" w:rsidRPr="00882460" w:rsidRDefault="00882460" w:rsidP="00882460">
            <w:pPr>
              <w:tabs>
                <w:tab w:val="num" w:pos="72"/>
              </w:tabs>
              <w:ind w:right="-1"/>
              <w:jc w:val="both"/>
            </w:pPr>
            <w:r>
              <w:t>3</w:t>
            </w:r>
            <w:r w:rsidR="00C92B40">
              <w:t>.</w:t>
            </w:r>
            <w:r w:rsidR="00294EFC">
              <w:t>N</w:t>
            </w:r>
            <w:r w:rsidR="00D9736E">
              <w:t xml:space="preserve">oteikumu projekts precizē terminoloģiju un atbilstoši </w:t>
            </w:r>
            <w:r w:rsidR="00294EFC">
              <w:t xml:space="preserve"> </w:t>
            </w:r>
            <w:r w:rsidR="00294EFC" w:rsidRPr="001B2881">
              <w:t>„aizvietojošā ārstēšana”</w:t>
            </w:r>
            <w:r w:rsidR="00AC7A93">
              <w:t xml:space="preserve"> tiks aizstāta</w:t>
            </w:r>
            <w:r w:rsidR="00294EFC" w:rsidRPr="001B2881">
              <w:t xml:space="preserve"> ar</w:t>
            </w:r>
            <w:r w:rsidR="00AC7A93">
              <w:t xml:space="preserve"> Pasaules</w:t>
            </w:r>
            <w:r w:rsidR="009868B1">
              <w:t xml:space="preserve"> V</w:t>
            </w:r>
            <w:r w:rsidR="00294EFC">
              <w:t xml:space="preserve">eselības organizācijas </w:t>
            </w:r>
            <w:r w:rsidR="00BA799E" w:rsidRPr="00403197">
              <w:rPr>
                <w:color w:val="000000"/>
                <w:lang w:eastAsia="en-US"/>
              </w:rPr>
              <w:t>2007.gada vadlīnijās ieteikto</w:t>
            </w:r>
            <w:r w:rsidR="00294EFC" w:rsidRPr="00403197">
              <w:t xml:space="preserve"> terminu „ilgtermiņ</w:t>
            </w:r>
            <w:r w:rsidR="00294EFC" w:rsidRPr="001B2881">
              <w:t xml:space="preserve">a </w:t>
            </w:r>
            <w:proofErr w:type="spellStart"/>
            <w:r w:rsidR="00294EFC" w:rsidRPr="001B2881">
              <w:t>farmakoterapija</w:t>
            </w:r>
            <w:proofErr w:type="spellEnd"/>
            <w:r w:rsidR="00294EFC" w:rsidRPr="001B2881">
              <w:t>”.</w:t>
            </w:r>
          </w:p>
          <w:p w:rsidR="00C92B40" w:rsidRPr="001B09E9" w:rsidRDefault="00882460" w:rsidP="001B09E9">
            <w:pPr>
              <w:pStyle w:val="naisf"/>
              <w:spacing w:before="0" w:after="0"/>
              <w:ind w:firstLine="0"/>
            </w:pPr>
            <w:r>
              <w:rPr>
                <w:bCs/>
              </w:rPr>
              <w:t>4</w:t>
            </w:r>
            <w:r w:rsidR="00C92B40">
              <w:rPr>
                <w:bCs/>
              </w:rPr>
              <w:t>.Noteikumu p</w:t>
            </w:r>
            <w:r w:rsidR="006D3B66">
              <w:rPr>
                <w:bCs/>
              </w:rPr>
              <w:t>rojekta 3.punkts nosaka kādas kvalifikācijas ārsti var veikt pacienta narkoloģisko ārstēšanu.</w:t>
            </w:r>
            <w:r w:rsidR="001F0429">
              <w:rPr>
                <w:bCs/>
              </w:rPr>
              <w:t xml:space="preserve"> </w:t>
            </w:r>
            <w:r w:rsidR="001B09E9" w:rsidRPr="00531544">
              <w:t>Narkologs izvērtēs  vai nepieciešama  papildus citu speciālistu iesaiste pacienta atkarību ārstēšanā, jo parasti ārstējošam  narkologam atbilstoši ir arī psihoterapeita vai psihiatra sertifikāts, kas ļauj efektīvi novērtēt pacienta stāvokli.</w:t>
            </w:r>
          </w:p>
          <w:p w:rsidR="001F0429" w:rsidRDefault="006D3B66" w:rsidP="0048357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92B40">
              <w:rPr>
                <w:bCs/>
              </w:rPr>
              <w:t>.</w:t>
            </w:r>
            <w:r w:rsidR="0045632B">
              <w:rPr>
                <w:bCs/>
              </w:rPr>
              <w:t>N</w:t>
            </w:r>
            <w:r w:rsidR="001F0429">
              <w:rPr>
                <w:bCs/>
              </w:rPr>
              <w:t>arkoloģiskajā ārstēšanā</w:t>
            </w:r>
            <w:r w:rsidR="0045632B">
              <w:rPr>
                <w:bCs/>
              </w:rPr>
              <w:t xml:space="preserve"> tiks iesaistīta </w:t>
            </w:r>
            <w:proofErr w:type="spellStart"/>
            <w:r w:rsidR="0045632B">
              <w:rPr>
                <w:bCs/>
              </w:rPr>
              <w:t>multi</w:t>
            </w:r>
            <w:r w:rsidR="007D2D7C">
              <w:rPr>
                <w:bCs/>
              </w:rPr>
              <w:t>profesionāla</w:t>
            </w:r>
            <w:proofErr w:type="spellEnd"/>
            <w:r w:rsidR="0045632B">
              <w:rPr>
                <w:bCs/>
              </w:rPr>
              <w:t xml:space="preserve"> komanda</w:t>
            </w:r>
            <w:r w:rsidR="001F0429">
              <w:rPr>
                <w:bCs/>
              </w:rPr>
              <w:t>, kas palīdz</w:t>
            </w:r>
            <w:r w:rsidR="0045632B">
              <w:rPr>
                <w:bCs/>
              </w:rPr>
              <w:t>ēs</w:t>
            </w:r>
            <w:r w:rsidR="001F0429">
              <w:rPr>
                <w:bCs/>
              </w:rPr>
              <w:t xml:space="preserve"> sasniegt vislabāko</w:t>
            </w:r>
            <w:r w:rsidR="00755010">
              <w:rPr>
                <w:bCs/>
              </w:rPr>
              <w:t xml:space="preserve"> ārstēšanas</w:t>
            </w:r>
            <w:r w:rsidR="001F0429">
              <w:rPr>
                <w:bCs/>
              </w:rPr>
              <w:t xml:space="preserve"> rezultātu.</w:t>
            </w:r>
          </w:p>
          <w:p w:rsidR="009E1143" w:rsidRPr="00403197" w:rsidRDefault="00755010" w:rsidP="00403197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C92B4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N</w:t>
            </w:r>
            <w:r w:rsidR="00012873">
              <w:t xml:space="preserve">arkoloģiskā ārstēšana </w:t>
            </w:r>
            <w:r w:rsidR="00226B5A">
              <w:t>kļūs</w:t>
            </w:r>
            <w:r w:rsidR="00D47B52">
              <w:t xml:space="preserve"> </w:t>
            </w:r>
            <w:r w:rsidR="00012873">
              <w:t>p</w:t>
            </w:r>
            <w:r>
              <w:t xml:space="preserve">ieejama arī ieslodzījuma vietās no 2012.gada 1. </w:t>
            </w:r>
            <w:r w:rsidR="00781C18">
              <w:t>aprīļ</w:t>
            </w:r>
            <w:r>
              <w:t>a</w:t>
            </w:r>
            <w:r w:rsidR="00403197">
              <w:t xml:space="preserve">, nosakot kārtību kādā ieslodzītais var  saņemt </w:t>
            </w:r>
            <w:r w:rsidR="00403197" w:rsidRPr="001B2881">
              <w:rPr>
                <w:bCs/>
              </w:rPr>
              <w:t xml:space="preserve">ilgtermiņa </w:t>
            </w:r>
            <w:proofErr w:type="spellStart"/>
            <w:r w:rsidR="00403197" w:rsidRPr="001B2881">
              <w:rPr>
                <w:bCs/>
              </w:rPr>
              <w:t>farmakoterapiju</w:t>
            </w:r>
            <w:proofErr w:type="spellEnd"/>
            <w:r w:rsidR="00403197" w:rsidRPr="001B2881">
              <w:rPr>
                <w:bCs/>
              </w:rPr>
              <w:t xml:space="preserve"> </w:t>
            </w:r>
            <w:r w:rsidR="00403197">
              <w:rPr>
                <w:bCs/>
              </w:rPr>
              <w:t xml:space="preserve">ieslodzījuma vietā </w:t>
            </w:r>
            <w:r w:rsidR="00403197" w:rsidRPr="001B2881">
              <w:rPr>
                <w:bCs/>
              </w:rPr>
              <w:t xml:space="preserve">ar zālēm, kuras aktīvā viela ir </w:t>
            </w:r>
            <w:proofErr w:type="spellStart"/>
            <w:r w:rsidR="00403197">
              <w:rPr>
                <w:bCs/>
              </w:rPr>
              <w:t>metadons</w:t>
            </w:r>
            <w:proofErr w:type="spellEnd"/>
            <w:r w:rsidR="00403197">
              <w:rPr>
                <w:bCs/>
              </w:rPr>
              <w:t xml:space="preserve"> vai</w:t>
            </w:r>
            <w:r w:rsidR="00403197" w:rsidRPr="001B2881">
              <w:rPr>
                <w:bCs/>
              </w:rPr>
              <w:t xml:space="preserve"> </w:t>
            </w:r>
            <w:proofErr w:type="spellStart"/>
            <w:r w:rsidR="00403197" w:rsidRPr="001B2881">
              <w:rPr>
                <w:bCs/>
              </w:rPr>
              <w:t>buprenorfīns</w:t>
            </w:r>
            <w:proofErr w:type="spellEnd"/>
            <w:r w:rsidR="00403197">
              <w:rPr>
                <w:bCs/>
              </w:rPr>
              <w:t>.</w:t>
            </w:r>
          </w:p>
          <w:p w:rsidR="00C8322E" w:rsidRPr="00D27BE0" w:rsidRDefault="00C8322E" w:rsidP="00A2451C">
            <w:pPr>
              <w:pStyle w:val="naisf"/>
              <w:spacing w:before="0" w:after="0"/>
              <w:ind w:firstLine="0"/>
              <w:rPr>
                <w:color w:val="FF0000"/>
              </w:rPr>
            </w:pPr>
            <w:r w:rsidRPr="00531544">
              <w:t>8.</w:t>
            </w:r>
            <w:r w:rsidR="007B324E" w:rsidRPr="00531544">
              <w:t>Lai nepieļautu narkoloģisko pacientu uzņemšanu</w:t>
            </w:r>
            <w:r w:rsidR="00A2451C">
              <w:t xml:space="preserve"> ilgtermiņa</w:t>
            </w:r>
            <w:r w:rsidR="00DF38CC" w:rsidRPr="00531544">
              <w:t xml:space="preserve"> </w:t>
            </w:r>
            <w:proofErr w:type="spellStart"/>
            <w:r w:rsidR="00531544">
              <w:t>farmakoterapijas</w:t>
            </w:r>
            <w:proofErr w:type="spellEnd"/>
            <w:r w:rsidR="00531544">
              <w:t xml:space="preserve"> </w:t>
            </w:r>
            <w:r w:rsidR="00DF38CC" w:rsidRPr="00531544">
              <w:t>programmās</w:t>
            </w:r>
            <w:r w:rsidR="00A2451C">
              <w:t xml:space="preserve"> ar </w:t>
            </w:r>
            <w:proofErr w:type="spellStart"/>
            <w:r w:rsidR="00A2451C">
              <w:t>metadonu</w:t>
            </w:r>
            <w:proofErr w:type="spellEnd"/>
            <w:r w:rsidR="00A2451C">
              <w:t xml:space="preserve"> vai </w:t>
            </w:r>
            <w:proofErr w:type="spellStart"/>
            <w:r w:rsidR="00A2451C">
              <w:t>buprenorfīnu</w:t>
            </w:r>
            <w:proofErr w:type="spellEnd"/>
            <w:r w:rsidR="00DF38CC" w:rsidRPr="00531544">
              <w:t xml:space="preserve"> vairākās vietās</w:t>
            </w:r>
            <w:r w:rsidR="00531544">
              <w:t xml:space="preserve"> </w:t>
            </w:r>
            <w:r w:rsidR="00531544">
              <w:lastRenderedPageBreak/>
              <w:t>vienlaikus</w:t>
            </w:r>
            <w:r w:rsidR="00DF38CC" w:rsidRPr="00531544">
              <w:t>, noteikumu projekts  nosaka</w:t>
            </w:r>
            <w:r w:rsidR="00976264" w:rsidRPr="00531544">
              <w:t>, ka</w:t>
            </w:r>
            <w:r w:rsidR="00A2451C">
              <w:t xml:space="preserve"> ārstējošais narkologs</w:t>
            </w:r>
            <w:r w:rsidR="00DF38CC" w:rsidRPr="00531544">
              <w:t xml:space="preserve">  </w:t>
            </w:r>
            <w:r w:rsidR="00226B5A" w:rsidRPr="00531544">
              <w:t xml:space="preserve">par pacienta iekļaušanu ārstniecības programmā </w:t>
            </w:r>
            <w:r w:rsidR="00C65052">
              <w:t>i</w:t>
            </w:r>
            <w:r w:rsidR="00A2451C">
              <w:t>nformē</w:t>
            </w:r>
            <w:r w:rsidR="00DF38CC" w:rsidRPr="00531544">
              <w:t xml:space="preserve"> RPNC</w:t>
            </w:r>
            <w:r w:rsidR="00976264" w:rsidRPr="00531544">
              <w:t>.</w:t>
            </w:r>
          </w:p>
        </w:tc>
      </w:tr>
      <w:tr w:rsidR="009E1143" w:rsidTr="009E1143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>
            <w:pPr>
              <w:pStyle w:val="naiskr"/>
            </w:pPr>
            <w:r>
              <w:lastRenderedPageBreak/>
              <w:t> 5.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F6726C">
            <w:pPr>
              <w:pStyle w:val="naiskr"/>
            </w:pPr>
            <w:r>
              <w:t> Projekta izstrādē iesaistītās institūcijas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483572">
            <w:pPr>
              <w:pStyle w:val="naiskr"/>
              <w:jc w:val="both"/>
            </w:pPr>
            <w:r>
              <w:t>Veselība</w:t>
            </w:r>
            <w:r w:rsidR="00012873">
              <w:t>s ministrija, ANO</w:t>
            </w:r>
            <w:r w:rsidR="004945C5">
              <w:t xml:space="preserve"> Narkotiku un noziedzības birojs</w:t>
            </w:r>
            <w:r w:rsidR="00383F51">
              <w:t xml:space="preserve"> Baltijas valstīs</w:t>
            </w:r>
            <w:r w:rsidR="004945C5">
              <w:t xml:space="preserve">, Latvijas </w:t>
            </w:r>
            <w:r w:rsidR="00012873">
              <w:t xml:space="preserve">Narkologu </w:t>
            </w:r>
            <w:r w:rsidR="004945C5">
              <w:t>asociācija</w:t>
            </w:r>
            <w:r w:rsidR="008F45DD">
              <w:t>, Veselības ekonomikas centrs.</w:t>
            </w:r>
          </w:p>
        </w:tc>
      </w:tr>
      <w:tr w:rsidR="009E1143" w:rsidTr="009E1143">
        <w:trPr>
          <w:trHeight w:val="84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>
            <w:pPr>
              <w:pStyle w:val="naiskr"/>
            </w:pPr>
            <w:r>
              <w:t> 6.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F6726C">
            <w:pPr>
              <w:pStyle w:val="naiskr"/>
            </w:pPr>
            <w:r>
              <w:t> Iemesli, kādēļ netika nodrošināta sabiedrības līdzdalība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825657">
            <w:pPr>
              <w:pStyle w:val="naiskr"/>
            </w:pPr>
            <w:r>
              <w:t xml:space="preserve">Skatīt VI </w:t>
            </w:r>
            <w:r w:rsidR="009868B1">
              <w:t>sa</w:t>
            </w:r>
            <w:r>
              <w:t>daļu.</w:t>
            </w:r>
          </w:p>
        </w:tc>
      </w:tr>
      <w:tr w:rsidR="009E1143" w:rsidTr="009E1143">
        <w:trPr>
          <w:trHeight w:val="219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>
            <w:pPr>
              <w:pStyle w:val="naiskr"/>
            </w:pPr>
            <w:r>
              <w:t> 7.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9E1143" w:rsidP="00F6726C">
            <w:pPr>
              <w:pStyle w:val="naiskr"/>
            </w:pPr>
            <w:r>
              <w:t> Cita informācija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43" w:rsidRDefault="00C65052" w:rsidP="00226835">
            <w:pPr>
              <w:pStyle w:val="naiskr"/>
            </w:pPr>
            <w:r>
              <w:t xml:space="preserve"> Veselības ekonomikas centra mājas  lapā pieejama informācija par atkarību slimību pētījumiem </w:t>
            </w:r>
            <w:r w:rsidR="009C3C05" w:rsidRPr="009C3C05">
              <w:t>http://vec.gov.lv/lv/petijumi-un-zinojumi/atkaribu-slimibu-petijumi-un-zinojumi</w:t>
            </w:r>
          </w:p>
        </w:tc>
      </w:tr>
    </w:tbl>
    <w:p w:rsidR="00F6726C" w:rsidRDefault="00F6726C" w:rsidP="00F6726C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9"/>
        <w:gridCol w:w="4454"/>
        <w:gridCol w:w="4128"/>
      </w:tblGrid>
      <w:tr w:rsidR="00F6726C" w:rsidTr="00C839A0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26C" w:rsidRDefault="00F6726C">
            <w:pPr>
              <w:pStyle w:val="naisnod"/>
            </w:pPr>
            <w:r>
              <w:t> II. Tiesību akta projekta ietekme uz sabiedrību</w:t>
            </w:r>
          </w:p>
        </w:tc>
      </w:tr>
      <w:tr w:rsidR="00F6726C" w:rsidTr="00C839A0">
        <w:trPr>
          <w:trHeight w:val="46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1.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 xml:space="preserve"> Sabiedrības </w:t>
            </w:r>
            <w:proofErr w:type="spellStart"/>
            <w:r>
              <w:t>mērķgrupa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8D581C" w:rsidP="00483572">
            <w:pPr>
              <w:pStyle w:val="naiskr"/>
              <w:jc w:val="both"/>
              <w:rPr>
                <w:bCs/>
              </w:rPr>
            </w:pPr>
            <w:r>
              <w:t> </w:t>
            </w:r>
            <w:r w:rsidR="00C65052" w:rsidRPr="004616D3">
              <w:t>A</w:t>
            </w:r>
            <w:r w:rsidR="00DF738D" w:rsidRPr="004616D3">
              <w:t>tkarības slimību</w:t>
            </w:r>
            <w:r w:rsidR="004616D3" w:rsidRPr="004616D3">
              <w:t xml:space="preserve"> </w:t>
            </w:r>
            <w:r w:rsidR="004616D3">
              <w:t>a</w:t>
            </w:r>
            <w:r w:rsidR="004616D3" w:rsidRPr="004616D3">
              <w:t>lkohola, narkotisko, psihotropo, toksisko vielu, azartspēļu vai datorspēļu atkarības</w:t>
            </w:r>
            <w:r w:rsidR="00DF738D" w:rsidRPr="004616D3">
              <w:t xml:space="preserve"> pacienti</w:t>
            </w:r>
            <w:r w:rsidR="00C65052" w:rsidRPr="004616D3">
              <w:t xml:space="preserve">, tai skaitā </w:t>
            </w:r>
            <w:r w:rsidR="004616D3">
              <w:t xml:space="preserve">pacienti </w:t>
            </w:r>
            <w:r w:rsidR="00C65052" w:rsidRPr="004616D3">
              <w:t xml:space="preserve">ieslodzījuma vietās, kas saņem </w:t>
            </w:r>
            <w:r w:rsidR="00F65592" w:rsidRPr="004616D3">
              <w:rPr>
                <w:bCs/>
              </w:rPr>
              <w:t xml:space="preserve">ilgtermiņa </w:t>
            </w:r>
            <w:proofErr w:type="spellStart"/>
            <w:r w:rsidR="00F65592" w:rsidRPr="004616D3">
              <w:rPr>
                <w:bCs/>
              </w:rPr>
              <w:t>farmakoterapiju</w:t>
            </w:r>
            <w:proofErr w:type="spellEnd"/>
            <w:r w:rsidR="00F65592" w:rsidRPr="004616D3">
              <w:rPr>
                <w:bCs/>
              </w:rPr>
              <w:t xml:space="preserve"> ar zālēm, kuras aktīvā viela ir </w:t>
            </w:r>
            <w:proofErr w:type="spellStart"/>
            <w:r w:rsidR="00F65592" w:rsidRPr="004616D3">
              <w:rPr>
                <w:bCs/>
              </w:rPr>
              <w:t>metadons</w:t>
            </w:r>
            <w:proofErr w:type="spellEnd"/>
            <w:r w:rsidR="00F65592" w:rsidRPr="004616D3">
              <w:rPr>
                <w:bCs/>
              </w:rPr>
              <w:t xml:space="preserve"> vai </w:t>
            </w:r>
            <w:proofErr w:type="spellStart"/>
            <w:r w:rsidR="00F65592" w:rsidRPr="004616D3">
              <w:rPr>
                <w:bCs/>
              </w:rPr>
              <w:t>buprenorfīns</w:t>
            </w:r>
            <w:proofErr w:type="spellEnd"/>
            <w:r w:rsidR="00F65592" w:rsidRPr="004616D3">
              <w:rPr>
                <w:bCs/>
              </w:rPr>
              <w:t>.</w:t>
            </w:r>
            <w:r w:rsidR="00C30885">
              <w:rPr>
                <w:bCs/>
              </w:rPr>
              <w:t xml:space="preserve"> Pēc Tieslietu ministrijas sniegtās informācijas ik gadus </w:t>
            </w:r>
            <w:r w:rsidR="009868B1">
              <w:rPr>
                <w:bCs/>
              </w:rPr>
              <w:t>ieslodzījuma vietās nonāk līdz trim</w:t>
            </w:r>
            <w:r w:rsidR="00C30885">
              <w:rPr>
                <w:bCs/>
              </w:rPr>
              <w:t xml:space="preserve"> cilvēkiem, kas pirms apcietināšanas jau bijuši iekļauti ilgtermiņa  </w:t>
            </w:r>
            <w:proofErr w:type="spellStart"/>
            <w:r w:rsidR="00C30885">
              <w:rPr>
                <w:bCs/>
              </w:rPr>
              <w:t>farmakoterapijā</w:t>
            </w:r>
            <w:proofErr w:type="spellEnd"/>
            <w:r w:rsidR="00C30885">
              <w:rPr>
                <w:bCs/>
              </w:rPr>
              <w:t>.</w:t>
            </w:r>
          </w:p>
          <w:p w:rsidR="004616D3" w:rsidRPr="004616D3" w:rsidRDefault="00C30885" w:rsidP="00483572">
            <w:pPr>
              <w:pStyle w:val="naiskr"/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F6726C" w:rsidTr="00C839A0">
        <w:trPr>
          <w:trHeight w:val="523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2.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 xml:space="preserve"> Citas sabiedrības grupas (bez </w:t>
            </w:r>
            <w:proofErr w:type="spellStart"/>
            <w:r>
              <w:t>mērķgrupas</w:t>
            </w:r>
            <w:proofErr w:type="spellEnd"/>
            <w:r>
              <w:t>), kuras tiesiskais regulējums arī ietekmē vai varētu ietekmēt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C30885">
            <w:pPr>
              <w:pStyle w:val="naiskr"/>
            </w:pPr>
            <w:r>
              <w:t> </w:t>
            </w:r>
            <w:r w:rsidR="00C30885">
              <w:t xml:space="preserve"> Visa sabiedrība</w:t>
            </w:r>
            <w:r w:rsidR="008D581C">
              <w:t xml:space="preserve"> </w:t>
            </w:r>
          </w:p>
        </w:tc>
      </w:tr>
      <w:tr w:rsidR="00F6726C" w:rsidTr="00C839A0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3.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Tiesiskā regulējuma finansiālā ietekme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C30885">
            <w:pPr>
              <w:pStyle w:val="naiskr"/>
              <w:jc w:val="both"/>
            </w:pPr>
            <w:r>
              <w:t> </w:t>
            </w:r>
            <w:r w:rsidR="00C4202D">
              <w:t xml:space="preserve">Noteikumu projekts nerada </w:t>
            </w:r>
            <w:r w:rsidR="00C30885">
              <w:t xml:space="preserve">papildus </w:t>
            </w:r>
            <w:r w:rsidR="00C4202D">
              <w:t xml:space="preserve">finansiālu ietekmi, </w:t>
            </w:r>
            <w:r w:rsidR="00F43567">
              <w:t>jo tiek realizēts princips, ka nauda seko pacientam. Notei</w:t>
            </w:r>
            <w:r w:rsidR="00C30885">
              <w:t>kumi paredz, ka  personai, kas  saņem</w:t>
            </w:r>
            <w:r w:rsidR="00F43567">
              <w:t xml:space="preserve"> </w:t>
            </w:r>
            <w:r w:rsidR="00C30885">
              <w:t xml:space="preserve">ilgtermiņa </w:t>
            </w:r>
            <w:proofErr w:type="spellStart"/>
            <w:r w:rsidR="00C30885">
              <w:t>farmakoterpiju</w:t>
            </w:r>
            <w:proofErr w:type="spellEnd"/>
            <w:r w:rsidR="00C30885">
              <w:t xml:space="preserve"> ar </w:t>
            </w:r>
            <w:proofErr w:type="spellStart"/>
            <w:r w:rsidR="00C30885">
              <w:t>metadonu</w:t>
            </w:r>
            <w:proofErr w:type="spellEnd"/>
            <w:r w:rsidR="004C3C39">
              <w:t xml:space="preserve"> </w:t>
            </w:r>
            <w:r w:rsidR="00F43567">
              <w:t xml:space="preserve">vai </w:t>
            </w:r>
            <w:proofErr w:type="spellStart"/>
            <w:r w:rsidR="00F43567">
              <w:t>buprenorfīnu</w:t>
            </w:r>
            <w:proofErr w:type="spellEnd"/>
            <w:r w:rsidR="00F43567">
              <w:t>, tiek nodrošināta iespēja turpin</w:t>
            </w:r>
            <w:r w:rsidR="002B4941">
              <w:t>āt</w:t>
            </w:r>
            <w:r w:rsidR="00F43567">
              <w:t xml:space="preserve"> </w:t>
            </w:r>
            <w:r w:rsidR="00C30885">
              <w:t xml:space="preserve">ilgtermiņa </w:t>
            </w:r>
            <w:proofErr w:type="spellStart"/>
            <w:r w:rsidR="00C30885">
              <w:t>farmakoter</w:t>
            </w:r>
            <w:r w:rsidR="007D5BA7">
              <w:t>a</w:t>
            </w:r>
            <w:r w:rsidR="00C30885">
              <w:t>piju</w:t>
            </w:r>
            <w:proofErr w:type="spellEnd"/>
            <w:r w:rsidR="002B4941">
              <w:t xml:space="preserve">  </w:t>
            </w:r>
            <w:r w:rsidR="00F43567">
              <w:t xml:space="preserve">arī ieslodzījuma vietā.  </w:t>
            </w:r>
          </w:p>
        </w:tc>
      </w:tr>
      <w:tr w:rsidR="00F6726C" w:rsidTr="00C839A0">
        <w:trPr>
          <w:trHeight w:val="51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4.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Tiesiskā regulējuma nefinansiālā ietekme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B3461D" w:rsidP="00B3461D">
            <w:pPr>
              <w:pStyle w:val="naiskr"/>
              <w:jc w:val="both"/>
            </w:pPr>
            <w:r>
              <w:t>Tiek nodrošināta pacientu, kas nonākuši ieslodzījuma  vietās</w:t>
            </w:r>
            <w:r w:rsidR="004C3C39">
              <w:t xml:space="preserve">, </w:t>
            </w:r>
            <w:r w:rsidR="00161D67">
              <w:t>nepārtraukta</w:t>
            </w:r>
            <w:r>
              <w:t xml:space="preserve"> </w:t>
            </w:r>
            <w:r w:rsidR="00161D67">
              <w:lastRenderedPageBreak/>
              <w:t>ārstēšana</w:t>
            </w:r>
            <w:r w:rsidR="004C3C39">
              <w:t>.</w:t>
            </w:r>
          </w:p>
        </w:tc>
      </w:tr>
      <w:tr w:rsidR="00F6726C" w:rsidTr="00C839A0">
        <w:trPr>
          <w:trHeight w:val="531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lastRenderedPageBreak/>
              <w:t> 5.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Administratīvās procedūras raksturojums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B060A2" w:rsidP="007D2D7C">
            <w:pPr>
              <w:pStyle w:val="naiskr"/>
              <w:jc w:val="both"/>
            </w:pPr>
            <w:r w:rsidRPr="00511F47">
              <w:t xml:space="preserve">Noteikumu projekts paredz </w:t>
            </w:r>
            <w:r w:rsidR="009868B1">
              <w:t>Nacionālajam</w:t>
            </w:r>
            <w:r w:rsidR="004C3C39" w:rsidRPr="00511F47">
              <w:t xml:space="preserve"> Veselības </w:t>
            </w:r>
            <w:r w:rsidR="007D2D7C">
              <w:t xml:space="preserve">dienestam </w:t>
            </w:r>
            <w:r w:rsidR="004C3C39" w:rsidRPr="00511F47">
              <w:t>slēgt</w:t>
            </w:r>
            <w:r w:rsidR="002D5768" w:rsidRPr="00511F47">
              <w:t xml:space="preserve"> līgumu ar ārstu i</w:t>
            </w:r>
            <w:r w:rsidR="00511F47" w:rsidRPr="00511F47">
              <w:t>eslodzījuma vietā, kurš ir apguvis šo ārstēšanas metodi un normatīvajos aktos noteiktajā kārtībā ir ieguvis attiecīgu ārstniecisko un diagnostisko metožu sertifikātu</w:t>
            </w:r>
            <w:r w:rsidR="00511F47">
              <w:t xml:space="preserve">, lai turpinātu pacienta aprūpi ieslodzījuma vietā. Vienlaikus tiks anulēts </w:t>
            </w:r>
            <w:r w:rsidR="009868B1">
              <w:t xml:space="preserve">Nacionālā </w:t>
            </w:r>
            <w:r w:rsidR="00511F47">
              <w:t xml:space="preserve">Veselības </w:t>
            </w:r>
            <w:r w:rsidR="007D2D7C">
              <w:t xml:space="preserve">dienesta </w:t>
            </w:r>
            <w:r w:rsidR="00511F47">
              <w:t xml:space="preserve">noslēgtais līgums ar ārstējošo </w:t>
            </w:r>
            <w:r w:rsidR="00B3461D">
              <w:t>narkologu.</w:t>
            </w:r>
            <w:r w:rsidR="00511F47">
              <w:t xml:space="preserve"> </w:t>
            </w:r>
          </w:p>
          <w:p w:rsidR="009868B1" w:rsidRPr="009868B1" w:rsidRDefault="00101FD2" w:rsidP="009868B1">
            <w:pPr>
              <w:pStyle w:val="naiskr"/>
              <w:jc w:val="both"/>
            </w:pPr>
            <w:r>
              <w:t>I</w:t>
            </w:r>
            <w:r w:rsidR="009868B1">
              <w:t>eslodzījuma vietas</w:t>
            </w:r>
            <w:r w:rsidR="009868B1" w:rsidRPr="009868B1">
              <w:t xml:space="preserve"> ārstniecības persona informē </w:t>
            </w:r>
            <w:r w:rsidR="009868B1">
              <w:t>RPNC par pacie</w:t>
            </w:r>
            <w:r>
              <w:t>ntiem</w:t>
            </w:r>
            <w:r w:rsidR="009868B1">
              <w:t xml:space="preserve">, kas </w:t>
            </w:r>
            <w:r>
              <w:t>nonākuši ieslodzījuma vietā, atrodoties</w:t>
            </w:r>
            <w:r w:rsidR="009868B1">
              <w:t xml:space="preserve"> ilgtermiņa </w:t>
            </w:r>
            <w:proofErr w:type="spellStart"/>
            <w:r w:rsidR="009868B1">
              <w:t>farmakoterapijas</w:t>
            </w:r>
            <w:proofErr w:type="spellEnd"/>
            <w:r w:rsidR="009868B1">
              <w:t xml:space="preserve"> programmās</w:t>
            </w:r>
            <w:r>
              <w:t>.</w:t>
            </w:r>
          </w:p>
        </w:tc>
      </w:tr>
      <w:tr w:rsidR="00F6726C" w:rsidTr="00C839A0">
        <w:trPr>
          <w:trHeight w:val="357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6.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Administratīvo izmaksu monetārs novērtējums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</w:t>
            </w:r>
            <w:r w:rsidR="00B060A2">
              <w:t>Nav attiecināms.</w:t>
            </w:r>
          </w:p>
        </w:tc>
      </w:tr>
      <w:tr w:rsidR="00F6726C" w:rsidTr="00C839A0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7.</w:t>
            </w:r>
          </w:p>
        </w:tc>
        <w:tc>
          <w:tcPr>
            <w:tcW w:w="4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Cita informācija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</w:t>
            </w:r>
            <w:r w:rsidR="00B060A2">
              <w:t>Nav</w:t>
            </w:r>
          </w:p>
        </w:tc>
      </w:tr>
    </w:tbl>
    <w:p w:rsidR="00F6726C" w:rsidRDefault="00F6726C" w:rsidP="00F6726C">
      <w:pPr>
        <w:pStyle w:val="naisf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889"/>
        <w:gridCol w:w="4709"/>
      </w:tblGrid>
      <w:tr w:rsidR="00F6726C" w:rsidTr="00C73BC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c"/>
            </w:pPr>
            <w:r>
              <w:rPr>
                <w:b/>
                <w:bCs/>
              </w:rPr>
              <w:t> VI. Sabiedrības līdzdalība un šīs līdzdalības rezultāti</w:t>
            </w:r>
          </w:p>
        </w:tc>
      </w:tr>
      <w:tr w:rsidR="009E22F3" w:rsidTr="00C73BC5">
        <w:trPr>
          <w:trHeight w:val="55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1.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Sabiedrības informēšana par projekta izstrādes uzsākšanu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0A4" w:rsidRDefault="00B3461D" w:rsidP="00B3088D">
            <w:pPr>
              <w:pStyle w:val="naiskr"/>
              <w:jc w:val="both"/>
            </w:pPr>
            <w:r>
              <w:t xml:space="preserve"> Nav notikusi</w:t>
            </w:r>
          </w:p>
        </w:tc>
      </w:tr>
      <w:tr w:rsidR="009E22F3" w:rsidTr="00C73BC5">
        <w:trPr>
          <w:trHeight w:val="339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2.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Sabiedrības līdzdalība projekta izstrādē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B3461D" w:rsidP="004D483D">
            <w:pPr>
              <w:pStyle w:val="naiskr"/>
              <w:jc w:val="both"/>
            </w:pPr>
            <w:r>
              <w:t xml:space="preserve"> </w:t>
            </w:r>
            <w:r w:rsidR="004D483D">
              <w:t xml:space="preserve"> Noteikumu projekts izstrādāts ar tiešu ANO Narkotiku un noziedzības biroja Baltijas valstīs atbalstu un dalību, iesaistot </w:t>
            </w:r>
            <w:r w:rsidR="00D80BB5">
              <w:t xml:space="preserve">Latvijas </w:t>
            </w:r>
            <w:r w:rsidR="004D483D">
              <w:t>Narkologu asociācijas biedrus.</w:t>
            </w:r>
          </w:p>
        </w:tc>
      </w:tr>
      <w:tr w:rsidR="009E22F3" w:rsidTr="00C73BC5">
        <w:trPr>
          <w:trHeight w:val="37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3.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Sabiedrības līdzdalības rezultāti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DB0C0E">
            <w:pPr>
              <w:pStyle w:val="naiskr"/>
              <w:jc w:val="both"/>
            </w:pPr>
            <w:r>
              <w:t> </w:t>
            </w:r>
            <w:r w:rsidR="001240DC">
              <w:t xml:space="preserve">Tika </w:t>
            </w:r>
            <w:r w:rsidR="00DB0C0E">
              <w:t>izstrādāts Ministru kabineta noteikumu projekts.</w:t>
            </w:r>
          </w:p>
        </w:tc>
      </w:tr>
      <w:tr w:rsidR="009E22F3" w:rsidTr="00C73BC5">
        <w:trPr>
          <w:trHeight w:val="39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4.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Saeimas un ekspertu līdzdalība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94161A">
            <w:pPr>
              <w:pStyle w:val="naiskr"/>
              <w:jc w:val="both"/>
            </w:pPr>
            <w:r>
              <w:t> </w:t>
            </w:r>
            <w:r w:rsidR="0094161A">
              <w:t>Noteikumu projekta izstrādē piedalījās Veselības ekonomikas centrā</w:t>
            </w:r>
            <w:r w:rsidR="00041021">
              <w:t xml:space="preserve"> un </w:t>
            </w:r>
            <w:r w:rsidR="00D80BB5">
              <w:t>RPNC strā</w:t>
            </w:r>
            <w:r w:rsidR="0094161A">
              <w:t>dājošie narkologi</w:t>
            </w:r>
            <w:r w:rsidR="00041021">
              <w:t xml:space="preserve">. </w:t>
            </w:r>
          </w:p>
          <w:p w:rsidR="007D2D7C" w:rsidRDefault="007D2D7C" w:rsidP="0094161A">
            <w:pPr>
              <w:pStyle w:val="naiskr"/>
              <w:jc w:val="both"/>
            </w:pPr>
            <w:r>
              <w:t xml:space="preserve">Noteikumu </w:t>
            </w:r>
            <w:r w:rsidR="00D80BB5">
              <w:t>projekts saskaņots ar Latvijas Ā</w:t>
            </w:r>
            <w:r>
              <w:t>rstu biedrību.</w:t>
            </w:r>
          </w:p>
        </w:tc>
      </w:tr>
      <w:tr w:rsidR="009E22F3" w:rsidTr="00C73BC5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5.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Cita informācija</w:t>
            </w:r>
          </w:p>
          <w:p w:rsidR="00F6726C" w:rsidRDefault="00F6726C">
            <w:pPr>
              <w:pStyle w:val="naiskr"/>
            </w:pPr>
            <w:r>
              <w:t> 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DB0C0E">
            <w:pPr>
              <w:pStyle w:val="naiskr"/>
              <w:jc w:val="both"/>
            </w:pPr>
            <w:r>
              <w:t> </w:t>
            </w:r>
            <w:r w:rsidR="00DB0C0E">
              <w:t>Nav</w:t>
            </w:r>
            <w:r w:rsidR="000A24EF">
              <w:t xml:space="preserve"> </w:t>
            </w:r>
          </w:p>
        </w:tc>
      </w:tr>
    </w:tbl>
    <w:p w:rsidR="00F6726C" w:rsidRDefault="00F6726C" w:rsidP="00F6726C">
      <w:pPr>
        <w:pStyle w:val="naisf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5"/>
        <w:gridCol w:w="3941"/>
        <w:gridCol w:w="4655"/>
      </w:tblGrid>
      <w:tr w:rsidR="00F6726C" w:rsidTr="00C73BC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c"/>
            </w:pPr>
            <w:r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F6726C" w:rsidTr="00C73BC5">
        <w:trPr>
          <w:trHeight w:val="427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lastRenderedPageBreak/>
              <w:t> 1.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Projekta izpildē iesaistītās institūcijas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CC7760">
            <w:pPr>
              <w:pStyle w:val="naiskr"/>
              <w:jc w:val="both"/>
            </w:pPr>
            <w:r>
              <w:t> </w:t>
            </w:r>
            <w:r w:rsidR="00CC7760">
              <w:t>Ā</w:t>
            </w:r>
            <w:r w:rsidR="006A24E9">
              <w:t xml:space="preserve">rstniecības </w:t>
            </w:r>
            <w:r w:rsidR="00221DB1">
              <w:t>iestādes</w:t>
            </w:r>
            <w:r w:rsidR="00CC7760">
              <w:t>, RPNC, Ieslodzījuma vietu pārvalde</w:t>
            </w:r>
            <w:r w:rsidR="00977098">
              <w:t>.</w:t>
            </w:r>
          </w:p>
        </w:tc>
      </w:tr>
      <w:tr w:rsidR="00F6726C" w:rsidTr="00C73BC5">
        <w:trPr>
          <w:trHeight w:val="46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2.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Projekta izpildes ietekme uz pārvaldes funkcijām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DB0C0E">
            <w:pPr>
              <w:pStyle w:val="naiskr"/>
            </w:pPr>
            <w:r>
              <w:t> </w:t>
            </w:r>
            <w:r w:rsidR="00DB0C0E">
              <w:t>Projekts šo jomu neskar.</w:t>
            </w:r>
          </w:p>
        </w:tc>
      </w:tr>
      <w:tr w:rsidR="00F6726C" w:rsidTr="00C73BC5">
        <w:trPr>
          <w:trHeight w:val="725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3.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Projekta izpildes ietekme uz pārvaldes institucionālo struktūru.</w:t>
            </w:r>
          </w:p>
          <w:p w:rsidR="00F6726C" w:rsidRDefault="00F6726C">
            <w:pPr>
              <w:pStyle w:val="naiskr"/>
            </w:pPr>
            <w:r>
              <w:t>Jaunu institūciju izveide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BB3DE2">
            <w:pPr>
              <w:pStyle w:val="naiskr"/>
            </w:pPr>
            <w:r>
              <w:t> </w:t>
            </w:r>
            <w:r w:rsidR="00BB3DE2">
              <w:t>Projekts šo jomu neskar</w:t>
            </w:r>
            <w:r w:rsidR="00F47B65">
              <w:t>.</w:t>
            </w:r>
          </w:p>
        </w:tc>
      </w:tr>
      <w:tr w:rsidR="00F6726C" w:rsidTr="00C73BC5">
        <w:trPr>
          <w:trHeight w:val="780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4.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Projekta izpildes ietekme uz pārvaldes institucionālo struktūru.</w:t>
            </w:r>
          </w:p>
          <w:p w:rsidR="00F6726C" w:rsidRDefault="00F6726C">
            <w:pPr>
              <w:pStyle w:val="naiskr"/>
            </w:pPr>
            <w:r>
              <w:t>Esošu institūciju likvidācija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BB3DE2">
            <w:pPr>
              <w:pStyle w:val="naiskr"/>
            </w:pPr>
            <w:r>
              <w:t> </w:t>
            </w:r>
            <w:r w:rsidR="00BB3DE2">
              <w:t>Projekts šo jomu neskar.</w:t>
            </w:r>
          </w:p>
        </w:tc>
      </w:tr>
      <w:tr w:rsidR="00F6726C" w:rsidTr="00C73BC5">
        <w:trPr>
          <w:trHeight w:val="703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5.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Projekta izpildes ietekme uz pārvaldes institucionālo struktūru.</w:t>
            </w:r>
          </w:p>
          <w:p w:rsidR="00F6726C" w:rsidRDefault="00F6726C">
            <w:pPr>
              <w:pStyle w:val="naiskr"/>
            </w:pPr>
            <w:r>
              <w:t>Esošu institūciju reorganizācija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 w:rsidP="00BB3DE2">
            <w:pPr>
              <w:pStyle w:val="naiskr"/>
            </w:pPr>
            <w:r>
              <w:t> </w:t>
            </w:r>
            <w:r w:rsidR="00BB3DE2">
              <w:t>Projekts šo jomu neskar.</w:t>
            </w:r>
          </w:p>
        </w:tc>
      </w:tr>
      <w:tr w:rsidR="00F6726C" w:rsidTr="00C73BC5">
        <w:trPr>
          <w:trHeight w:val="476"/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6.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Cita informācija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6C" w:rsidRDefault="00F6726C">
            <w:pPr>
              <w:pStyle w:val="naiskr"/>
            </w:pPr>
            <w:r>
              <w:t> </w:t>
            </w:r>
            <w:r w:rsidR="000A24EF">
              <w:t>Nav.</w:t>
            </w:r>
          </w:p>
        </w:tc>
      </w:tr>
    </w:tbl>
    <w:p w:rsidR="00DB65F6" w:rsidRPr="00C73BC5" w:rsidRDefault="00C73BC5">
      <w:r w:rsidRPr="00C73BC5">
        <w:rPr>
          <w:sz w:val="28"/>
          <w:szCs w:val="28"/>
        </w:rPr>
        <w:t>Tiesību akta projekta sākotnējās ietekmes novērtējuma ziņojum</w:t>
      </w:r>
      <w:r w:rsidR="0022727D">
        <w:rPr>
          <w:sz w:val="28"/>
          <w:szCs w:val="28"/>
        </w:rPr>
        <w:t xml:space="preserve">a  III, IV, V nodaļas </w:t>
      </w:r>
      <w:r w:rsidR="0022727D">
        <w:t xml:space="preserve">– </w:t>
      </w:r>
      <w:r>
        <w:rPr>
          <w:sz w:val="28"/>
          <w:szCs w:val="28"/>
        </w:rPr>
        <w:t>projekts šīs jomas neskar.</w:t>
      </w:r>
    </w:p>
    <w:p w:rsidR="006B55BD" w:rsidRDefault="006B55BD" w:rsidP="006B55BD">
      <w:pPr>
        <w:rPr>
          <w:sz w:val="28"/>
          <w:szCs w:val="28"/>
        </w:rPr>
      </w:pPr>
    </w:p>
    <w:p w:rsidR="00C73BC5" w:rsidRDefault="00C73BC5" w:rsidP="006B55BD">
      <w:pPr>
        <w:rPr>
          <w:sz w:val="28"/>
          <w:szCs w:val="28"/>
        </w:rPr>
      </w:pPr>
    </w:p>
    <w:p w:rsidR="006B55BD" w:rsidRPr="008564EC" w:rsidRDefault="00B37E4A" w:rsidP="006B55BD">
      <w:p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8933C9">
        <w:rPr>
          <w:sz w:val="28"/>
          <w:szCs w:val="28"/>
        </w:rPr>
        <w:t xml:space="preserve"> ministre</w:t>
      </w:r>
      <w:r w:rsidR="006B55BD" w:rsidRPr="008564EC">
        <w:rPr>
          <w:sz w:val="28"/>
          <w:szCs w:val="28"/>
        </w:rPr>
        <w:tab/>
      </w:r>
      <w:r w:rsidR="006B55BD" w:rsidRPr="008564EC">
        <w:rPr>
          <w:sz w:val="28"/>
          <w:szCs w:val="28"/>
        </w:rPr>
        <w:tab/>
      </w:r>
      <w:r w:rsidR="006B55BD" w:rsidRPr="008564EC">
        <w:rPr>
          <w:sz w:val="28"/>
          <w:szCs w:val="28"/>
        </w:rPr>
        <w:tab/>
      </w:r>
      <w:r w:rsidR="006B55BD" w:rsidRPr="008564EC">
        <w:rPr>
          <w:sz w:val="28"/>
          <w:szCs w:val="28"/>
        </w:rPr>
        <w:tab/>
      </w:r>
      <w:r w:rsidR="006B55BD" w:rsidRPr="008564EC">
        <w:rPr>
          <w:sz w:val="28"/>
          <w:szCs w:val="28"/>
        </w:rPr>
        <w:tab/>
      </w:r>
      <w:r w:rsidR="007D2D7C">
        <w:rPr>
          <w:sz w:val="28"/>
          <w:szCs w:val="28"/>
        </w:rPr>
        <w:t xml:space="preserve">                                          </w:t>
      </w:r>
      <w:proofErr w:type="spellStart"/>
      <w:r w:rsidR="007D2D7C">
        <w:rPr>
          <w:sz w:val="28"/>
          <w:szCs w:val="28"/>
        </w:rPr>
        <w:t>I.Circene</w:t>
      </w:r>
      <w:proofErr w:type="spellEnd"/>
    </w:p>
    <w:p w:rsidR="006B55BD" w:rsidRPr="008564EC" w:rsidRDefault="006B55BD" w:rsidP="006B55BD">
      <w:pPr>
        <w:rPr>
          <w:sz w:val="28"/>
          <w:szCs w:val="28"/>
        </w:rPr>
      </w:pPr>
    </w:p>
    <w:p w:rsidR="006B55BD" w:rsidRPr="008564EC" w:rsidRDefault="006B55BD" w:rsidP="006B55BD">
      <w:pPr>
        <w:rPr>
          <w:sz w:val="28"/>
          <w:szCs w:val="28"/>
        </w:rPr>
      </w:pPr>
    </w:p>
    <w:p w:rsidR="006B55BD" w:rsidRPr="008564EC" w:rsidRDefault="006B55BD" w:rsidP="006B55BD">
      <w:pPr>
        <w:rPr>
          <w:sz w:val="28"/>
          <w:szCs w:val="28"/>
        </w:rPr>
      </w:pPr>
    </w:p>
    <w:p w:rsidR="006B55BD" w:rsidRDefault="006B55BD">
      <w:pPr>
        <w:rPr>
          <w:sz w:val="28"/>
          <w:szCs w:val="28"/>
        </w:rPr>
      </w:pPr>
    </w:p>
    <w:p w:rsidR="00EB2D89" w:rsidRDefault="00EB2D89">
      <w:pPr>
        <w:rPr>
          <w:sz w:val="28"/>
          <w:szCs w:val="28"/>
        </w:rPr>
      </w:pPr>
    </w:p>
    <w:p w:rsidR="00EB2D89" w:rsidRDefault="00EB2D89"/>
    <w:p w:rsidR="00EC7FC7" w:rsidRDefault="00EC7FC7"/>
    <w:p w:rsidR="00EC7FC7" w:rsidRDefault="00EC7FC7"/>
    <w:p w:rsidR="00EC7FC7" w:rsidRDefault="00EC7FC7"/>
    <w:p w:rsidR="001D65C3" w:rsidRDefault="001D65C3"/>
    <w:p w:rsidR="001D65C3" w:rsidRPr="00B37E4A" w:rsidRDefault="006F5F38" w:rsidP="001D65C3">
      <w:pPr>
        <w:jc w:val="both"/>
      </w:pPr>
      <w:r>
        <w:t>23</w:t>
      </w:r>
      <w:r w:rsidR="007D2D7C">
        <w:t>.11</w:t>
      </w:r>
      <w:r w:rsidR="00EB2D89">
        <w:t>.</w:t>
      </w:r>
      <w:r w:rsidR="00A96CC6">
        <w:t>2011</w:t>
      </w:r>
      <w:r w:rsidR="00431925">
        <w:t>. 12</w:t>
      </w:r>
      <w:r w:rsidR="000E144A">
        <w:t>:</w:t>
      </w:r>
      <w:r w:rsidR="001D67AC">
        <w:t>07</w:t>
      </w:r>
    </w:p>
    <w:p w:rsidR="001D65C3" w:rsidRPr="00B37E4A" w:rsidRDefault="00431925" w:rsidP="001D65C3">
      <w:pPr>
        <w:tabs>
          <w:tab w:val="left" w:pos="3465"/>
        </w:tabs>
        <w:jc w:val="both"/>
      </w:pPr>
      <w:r>
        <w:t>911</w:t>
      </w:r>
      <w:r w:rsidR="001D65C3" w:rsidRPr="00B37E4A">
        <w:tab/>
      </w:r>
    </w:p>
    <w:p w:rsidR="00B37E4A" w:rsidRPr="00B37E4A" w:rsidRDefault="00B37E4A" w:rsidP="001D65C3">
      <w:pPr>
        <w:jc w:val="both"/>
      </w:pPr>
      <w:r w:rsidRPr="00B37E4A">
        <w:t>A.Egle</w:t>
      </w:r>
    </w:p>
    <w:p w:rsidR="001D65C3" w:rsidRPr="00B37E4A" w:rsidRDefault="001D65C3" w:rsidP="001D65C3">
      <w:pPr>
        <w:jc w:val="both"/>
      </w:pPr>
      <w:r w:rsidRPr="00B37E4A">
        <w:t>6</w:t>
      </w:r>
      <w:r w:rsidR="00B37E4A" w:rsidRPr="00B37E4A">
        <w:t>7876099</w:t>
      </w:r>
      <w:r w:rsidRPr="00B37E4A">
        <w:t xml:space="preserve">; </w:t>
      </w:r>
      <w:r w:rsidR="00B37E4A" w:rsidRPr="00B37E4A">
        <w:t>andris.egle@vm.gov.lv</w:t>
      </w:r>
    </w:p>
    <w:p w:rsidR="001D65C3" w:rsidRDefault="001D65C3"/>
    <w:sectPr w:rsidR="001D65C3" w:rsidSect="006B55B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B1" w:rsidRDefault="009868B1" w:rsidP="00F47B65">
      <w:pPr>
        <w:pStyle w:val="naisnod"/>
      </w:pPr>
      <w:r>
        <w:separator/>
      </w:r>
    </w:p>
  </w:endnote>
  <w:endnote w:type="continuationSeparator" w:id="0">
    <w:p w:rsidR="009868B1" w:rsidRDefault="009868B1" w:rsidP="00F47B65">
      <w:pPr>
        <w:pStyle w:val="naisno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1" w:rsidRPr="001A7E4F" w:rsidRDefault="009868B1" w:rsidP="00E10684">
    <w:pPr>
      <w:jc w:val="both"/>
    </w:pPr>
    <w:r>
      <w:t>VMAnot_231111</w:t>
    </w:r>
    <w:r w:rsidRPr="004D5DA0">
      <w:t>_</w:t>
    </w:r>
    <w:r>
      <w:t>AtkarArst</w:t>
    </w:r>
    <w:r w:rsidRPr="004D5DA0">
      <w:t>; Tiesību akta projekta sākotnējās ietekmes novērtējuma ziņojums</w:t>
    </w:r>
    <w:r>
      <w:t xml:space="preserve"> (anotācija)</w:t>
    </w:r>
    <w:r w:rsidRPr="004D5DA0">
      <w:t xml:space="preserve"> par Ministru kabineta noteikumu projektu </w:t>
    </w:r>
    <w:r>
      <w:t>,,</w:t>
    </w:r>
    <w:r w:rsidRPr="001A7E4F">
      <w:t>Alkohola, narkotisko, psihotropo,</w:t>
    </w:r>
    <w:r>
      <w:t xml:space="preserve"> toksisko vielu, azartspēļu vai </w:t>
    </w:r>
    <w:r w:rsidRPr="001A7E4F">
      <w:t>datorspēļu atkarības slimnieku ārstēšanas kārtība</w:t>
    </w:r>
    <w:r>
      <w:t>”</w:t>
    </w:r>
    <w:r w:rsidRPr="001A7E4F">
      <w:t>.</w:t>
    </w:r>
  </w:p>
  <w:p w:rsidR="009868B1" w:rsidRPr="004D5DA0" w:rsidRDefault="009868B1" w:rsidP="004D5DA0"/>
  <w:p w:rsidR="009868B1" w:rsidRDefault="00986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1" w:rsidRPr="001A7E4F" w:rsidRDefault="009868B1" w:rsidP="00E10684">
    <w:pPr>
      <w:jc w:val="both"/>
    </w:pPr>
    <w:r>
      <w:t>VMAnot_231111</w:t>
    </w:r>
    <w:r w:rsidRPr="004D5DA0">
      <w:t>_</w:t>
    </w:r>
    <w:r>
      <w:t>AtkarArst</w:t>
    </w:r>
    <w:r w:rsidRPr="004D5DA0">
      <w:t>; Tiesību akta projekta sākotnējās ietekmes novērtējuma ziņojums</w:t>
    </w:r>
    <w:r>
      <w:t xml:space="preserve"> (anotācija)</w:t>
    </w:r>
    <w:r w:rsidRPr="004D5DA0">
      <w:t xml:space="preserve"> par Ministru kabineta noteikumu projektu </w:t>
    </w:r>
    <w:r>
      <w:t>,,</w:t>
    </w:r>
    <w:r w:rsidRPr="001A7E4F">
      <w:t>Alkohola, narkotisko, psihotropo,</w:t>
    </w:r>
    <w:r>
      <w:t xml:space="preserve"> toksisko vielu, azartspēļu vai </w:t>
    </w:r>
    <w:r w:rsidRPr="001A7E4F">
      <w:t>datorspēļu atkarības slimnieku ārstēšanas kārtība</w:t>
    </w:r>
    <w:r>
      <w:t>”</w:t>
    </w:r>
    <w:r w:rsidRPr="001A7E4F">
      <w:t>.</w:t>
    </w:r>
  </w:p>
  <w:p w:rsidR="009868B1" w:rsidRPr="006B55BD" w:rsidRDefault="009868B1" w:rsidP="006B55BD"/>
  <w:p w:rsidR="009868B1" w:rsidRDefault="0098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B1" w:rsidRDefault="009868B1" w:rsidP="00F47B65">
      <w:pPr>
        <w:pStyle w:val="naisnod"/>
      </w:pPr>
      <w:r>
        <w:separator/>
      </w:r>
    </w:p>
  </w:footnote>
  <w:footnote w:type="continuationSeparator" w:id="0">
    <w:p w:rsidR="009868B1" w:rsidRDefault="009868B1" w:rsidP="00F47B65">
      <w:pPr>
        <w:pStyle w:val="naisno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1" w:rsidRDefault="009868B1" w:rsidP="00E01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8B1" w:rsidRDefault="00986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1" w:rsidRDefault="009868B1" w:rsidP="00E01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7AC">
      <w:rPr>
        <w:rStyle w:val="PageNumber"/>
        <w:noProof/>
      </w:rPr>
      <w:t>5</w:t>
    </w:r>
    <w:r>
      <w:rPr>
        <w:rStyle w:val="PageNumber"/>
      </w:rPr>
      <w:fldChar w:fldCharType="end"/>
    </w:r>
  </w:p>
  <w:p w:rsidR="009868B1" w:rsidRDefault="00986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29A70EF"/>
    <w:multiLevelType w:val="hybridMultilevel"/>
    <w:tmpl w:val="77E86A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D0947"/>
    <w:multiLevelType w:val="multilevel"/>
    <w:tmpl w:val="2B82914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4A6D8B"/>
    <w:multiLevelType w:val="hybridMultilevel"/>
    <w:tmpl w:val="A9967E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B2E32"/>
    <w:multiLevelType w:val="hybridMultilevel"/>
    <w:tmpl w:val="D3EA38F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063E4"/>
    <w:multiLevelType w:val="multilevel"/>
    <w:tmpl w:val="EFF0631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43992"/>
    <w:multiLevelType w:val="hybridMultilevel"/>
    <w:tmpl w:val="FF10C59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6C"/>
    <w:rsid w:val="000033C6"/>
    <w:rsid w:val="00012873"/>
    <w:rsid w:val="00026AB7"/>
    <w:rsid w:val="00041021"/>
    <w:rsid w:val="000546D4"/>
    <w:rsid w:val="00054CBE"/>
    <w:rsid w:val="00055970"/>
    <w:rsid w:val="000916F3"/>
    <w:rsid w:val="000A1994"/>
    <w:rsid w:val="000A24EF"/>
    <w:rsid w:val="000A3003"/>
    <w:rsid w:val="000E144A"/>
    <w:rsid w:val="000E5B3B"/>
    <w:rsid w:val="000F5D3D"/>
    <w:rsid w:val="00101FD2"/>
    <w:rsid w:val="001240DC"/>
    <w:rsid w:val="00134D9B"/>
    <w:rsid w:val="00161D67"/>
    <w:rsid w:val="0016261D"/>
    <w:rsid w:val="00164810"/>
    <w:rsid w:val="001750E3"/>
    <w:rsid w:val="00191FAA"/>
    <w:rsid w:val="001A1D36"/>
    <w:rsid w:val="001B09E9"/>
    <w:rsid w:val="001B2881"/>
    <w:rsid w:val="001C4880"/>
    <w:rsid w:val="001D0EF8"/>
    <w:rsid w:val="001D65C3"/>
    <w:rsid w:val="001D67AC"/>
    <w:rsid w:val="001F0429"/>
    <w:rsid w:val="00205BD8"/>
    <w:rsid w:val="0021458E"/>
    <w:rsid w:val="002212FC"/>
    <w:rsid w:val="00221DB1"/>
    <w:rsid w:val="00226835"/>
    <w:rsid w:val="00226B5A"/>
    <w:rsid w:val="0022727D"/>
    <w:rsid w:val="002272EA"/>
    <w:rsid w:val="00232FDC"/>
    <w:rsid w:val="00236181"/>
    <w:rsid w:val="00250A01"/>
    <w:rsid w:val="0026322E"/>
    <w:rsid w:val="00276799"/>
    <w:rsid w:val="00281267"/>
    <w:rsid w:val="00284EB0"/>
    <w:rsid w:val="00294EFC"/>
    <w:rsid w:val="002B4941"/>
    <w:rsid w:val="002C4ABF"/>
    <w:rsid w:val="002D4A67"/>
    <w:rsid w:val="002D5768"/>
    <w:rsid w:val="002F4C23"/>
    <w:rsid w:val="002F79DE"/>
    <w:rsid w:val="00337D46"/>
    <w:rsid w:val="00351340"/>
    <w:rsid w:val="00361216"/>
    <w:rsid w:val="0036716B"/>
    <w:rsid w:val="003671BC"/>
    <w:rsid w:val="00381C95"/>
    <w:rsid w:val="00383F51"/>
    <w:rsid w:val="003A4537"/>
    <w:rsid w:val="003A6B57"/>
    <w:rsid w:val="003B77EB"/>
    <w:rsid w:val="003C191A"/>
    <w:rsid w:val="003E0C57"/>
    <w:rsid w:val="003E6E08"/>
    <w:rsid w:val="00403197"/>
    <w:rsid w:val="00406838"/>
    <w:rsid w:val="0041003F"/>
    <w:rsid w:val="0041445D"/>
    <w:rsid w:val="004238A8"/>
    <w:rsid w:val="00431925"/>
    <w:rsid w:val="0045632B"/>
    <w:rsid w:val="004616D3"/>
    <w:rsid w:val="00483572"/>
    <w:rsid w:val="004945C5"/>
    <w:rsid w:val="004A064E"/>
    <w:rsid w:val="004B1FD2"/>
    <w:rsid w:val="004B2C11"/>
    <w:rsid w:val="004B30F8"/>
    <w:rsid w:val="004C3C39"/>
    <w:rsid w:val="004D26C5"/>
    <w:rsid w:val="004D483D"/>
    <w:rsid w:val="004D5C93"/>
    <w:rsid w:val="004D5DA0"/>
    <w:rsid w:val="004E1CE1"/>
    <w:rsid w:val="004F0976"/>
    <w:rsid w:val="004F35ED"/>
    <w:rsid w:val="005046D8"/>
    <w:rsid w:val="00511F47"/>
    <w:rsid w:val="005230A4"/>
    <w:rsid w:val="00531544"/>
    <w:rsid w:val="00536EEF"/>
    <w:rsid w:val="005434E5"/>
    <w:rsid w:val="00553191"/>
    <w:rsid w:val="005543DA"/>
    <w:rsid w:val="00593A91"/>
    <w:rsid w:val="00597DEF"/>
    <w:rsid w:val="005B033E"/>
    <w:rsid w:val="005D399B"/>
    <w:rsid w:val="005E04F2"/>
    <w:rsid w:val="005E7B87"/>
    <w:rsid w:val="00620318"/>
    <w:rsid w:val="00621BB6"/>
    <w:rsid w:val="00626ED9"/>
    <w:rsid w:val="0064543B"/>
    <w:rsid w:val="00646EBF"/>
    <w:rsid w:val="0067120E"/>
    <w:rsid w:val="00685E25"/>
    <w:rsid w:val="006A053D"/>
    <w:rsid w:val="006A24E9"/>
    <w:rsid w:val="006A3773"/>
    <w:rsid w:val="006B55BD"/>
    <w:rsid w:val="006D3B66"/>
    <w:rsid w:val="006D5BFA"/>
    <w:rsid w:val="006E5978"/>
    <w:rsid w:val="006F5F38"/>
    <w:rsid w:val="00712E47"/>
    <w:rsid w:val="0072220A"/>
    <w:rsid w:val="0072727F"/>
    <w:rsid w:val="00735216"/>
    <w:rsid w:val="00735E19"/>
    <w:rsid w:val="00755010"/>
    <w:rsid w:val="007552E2"/>
    <w:rsid w:val="00781C18"/>
    <w:rsid w:val="007849FF"/>
    <w:rsid w:val="00793899"/>
    <w:rsid w:val="007B324E"/>
    <w:rsid w:val="007C3AD3"/>
    <w:rsid w:val="007C7EF0"/>
    <w:rsid w:val="007D22DC"/>
    <w:rsid w:val="007D2D7C"/>
    <w:rsid w:val="007D5BA7"/>
    <w:rsid w:val="00807516"/>
    <w:rsid w:val="00825657"/>
    <w:rsid w:val="00833565"/>
    <w:rsid w:val="00833AF0"/>
    <w:rsid w:val="00841229"/>
    <w:rsid w:val="00841C34"/>
    <w:rsid w:val="00882460"/>
    <w:rsid w:val="00891CDC"/>
    <w:rsid w:val="008933C9"/>
    <w:rsid w:val="008A0A41"/>
    <w:rsid w:val="008A2E29"/>
    <w:rsid w:val="008B271B"/>
    <w:rsid w:val="008C09EF"/>
    <w:rsid w:val="008C2E3F"/>
    <w:rsid w:val="008D581C"/>
    <w:rsid w:val="008F3334"/>
    <w:rsid w:val="008F45DD"/>
    <w:rsid w:val="00900299"/>
    <w:rsid w:val="009017FC"/>
    <w:rsid w:val="00905FFF"/>
    <w:rsid w:val="009070DC"/>
    <w:rsid w:val="00912C3D"/>
    <w:rsid w:val="00917F27"/>
    <w:rsid w:val="00922F99"/>
    <w:rsid w:val="0094161A"/>
    <w:rsid w:val="00950C6F"/>
    <w:rsid w:val="00954771"/>
    <w:rsid w:val="00970117"/>
    <w:rsid w:val="00976264"/>
    <w:rsid w:val="00977098"/>
    <w:rsid w:val="009868B1"/>
    <w:rsid w:val="009A52E8"/>
    <w:rsid w:val="009A6C82"/>
    <w:rsid w:val="009B521F"/>
    <w:rsid w:val="009C3C05"/>
    <w:rsid w:val="009D4B78"/>
    <w:rsid w:val="009E1143"/>
    <w:rsid w:val="009E22F3"/>
    <w:rsid w:val="009F6EDE"/>
    <w:rsid w:val="00A22449"/>
    <w:rsid w:val="00A2451C"/>
    <w:rsid w:val="00A4707D"/>
    <w:rsid w:val="00A568F8"/>
    <w:rsid w:val="00A57025"/>
    <w:rsid w:val="00A660E0"/>
    <w:rsid w:val="00A80ED1"/>
    <w:rsid w:val="00A90880"/>
    <w:rsid w:val="00A96CC6"/>
    <w:rsid w:val="00AA6429"/>
    <w:rsid w:val="00AB3CAF"/>
    <w:rsid w:val="00AC19ED"/>
    <w:rsid w:val="00AC7A93"/>
    <w:rsid w:val="00AD5518"/>
    <w:rsid w:val="00B060A2"/>
    <w:rsid w:val="00B063CF"/>
    <w:rsid w:val="00B06976"/>
    <w:rsid w:val="00B232BE"/>
    <w:rsid w:val="00B3088D"/>
    <w:rsid w:val="00B316CC"/>
    <w:rsid w:val="00B3461D"/>
    <w:rsid w:val="00B37E4A"/>
    <w:rsid w:val="00B4388F"/>
    <w:rsid w:val="00B50FC8"/>
    <w:rsid w:val="00B60AC2"/>
    <w:rsid w:val="00B60F49"/>
    <w:rsid w:val="00B90C81"/>
    <w:rsid w:val="00B94063"/>
    <w:rsid w:val="00BA569D"/>
    <w:rsid w:val="00BA799E"/>
    <w:rsid w:val="00BB3DE2"/>
    <w:rsid w:val="00BD1BC4"/>
    <w:rsid w:val="00BD1F9C"/>
    <w:rsid w:val="00C05208"/>
    <w:rsid w:val="00C1514A"/>
    <w:rsid w:val="00C15ACE"/>
    <w:rsid w:val="00C25BD6"/>
    <w:rsid w:val="00C30885"/>
    <w:rsid w:val="00C32114"/>
    <w:rsid w:val="00C4202D"/>
    <w:rsid w:val="00C459DC"/>
    <w:rsid w:val="00C65052"/>
    <w:rsid w:val="00C67CF0"/>
    <w:rsid w:val="00C73BC5"/>
    <w:rsid w:val="00C747AE"/>
    <w:rsid w:val="00C74AD4"/>
    <w:rsid w:val="00C8322E"/>
    <w:rsid w:val="00C839A0"/>
    <w:rsid w:val="00C92B40"/>
    <w:rsid w:val="00C96A29"/>
    <w:rsid w:val="00CA48D1"/>
    <w:rsid w:val="00CA5270"/>
    <w:rsid w:val="00CC7760"/>
    <w:rsid w:val="00CD3412"/>
    <w:rsid w:val="00CD36DC"/>
    <w:rsid w:val="00CD565B"/>
    <w:rsid w:val="00CE24A5"/>
    <w:rsid w:val="00CE7F46"/>
    <w:rsid w:val="00CF2532"/>
    <w:rsid w:val="00D0329B"/>
    <w:rsid w:val="00D240A4"/>
    <w:rsid w:val="00D27BE0"/>
    <w:rsid w:val="00D44907"/>
    <w:rsid w:val="00D47B52"/>
    <w:rsid w:val="00D66708"/>
    <w:rsid w:val="00D7544A"/>
    <w:rsid w:val="00D80BB5"/>
    <w:rsid w:val="00D86BC1"/>
    <w:rsid w:val="00D9736E"/>
    <w:rsid w:val="00DB0C0E"/>
    <w:rsid w:val="00DB0C3B"/>
    <w:rsid w:val="00DB61A1"/>
    <w:rsid w:val="00DB65F6"/>
    <w:rsid w:val="00DC4997"/>
    <w:rsid w:val="00DE2681"/>
    <w:rsid w:val="00DF38CC"/>
    <w:rsid w:val="00DF4B36"/>
    <w:rsid w:val="00DF738D"/>
    <w:rsid w:val="00DF787C"/>
    <w:rsid w:val="00E01654"/>
    <w:rsid w:val="00E10684"/>
    <w:rsid w:val="00E37278"/>
    <w:rsid w:val="00E43276"/>
    <w:rsid w:val="00E43976"/>
    <w:rsid w:val="00E44D4A"/>
    <w:rsid w:val="00E7332B"/>
    <w:rsid w:val="00E97D9C"/>
    <w:rsid w:val="00EA46BB"/>
    <w:rsid w:val="00EB1530"/>
    <w:rsid w:val="00EB2D89"/>
    <w:rsid w:val="00EB50BA"/>
    <w:rsid w:val="00EC5086"/>
    <w:rsid w:val="00EC597A"/>
    <w:rsid w:val="00EC7FC7"/>
    <w:rsid w:val="00ED676A"/>
    <w:rsid w:val="00EE0D74"/>
    <w:rsid w:val="00EE1880"/>
    <w:rsid w:val="00EE3C59"/>
    <w:rsid w:val="00F101CC"/>
    <w:rsid w:val="00F35F6F"/>
    <w:rsid w:val="00F43567"/>
    <w:rsid w:val="00F47B65"/>
    <w:rsid w:val="00F506A1"/>
    <w:rsid w:val="00F54EF4"/>
    <w:rsid w:val="00F65592"/>
    <w:rsid w:val="00F6726C"/>
    <w:rsid w:val="00F76F31"/>
    <w:rsid w:val="00F90B85"/>
    <w:rsid w:val="00F958CC"/>
    <w:rsid w:val="00FA5A5F"/>
    <w:rsid w:val="00FB651C"/>
    <w:rsid w:val="00FB6F75"/>
    <w:rsid w:val="00FC0006"/>
    <w:rsid w:val="00FC799B"/>
    <w:rsid w:val="00FD6982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FC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6726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6726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F6726C"/>
    <w:pPr>
      <w:spacing w:before="75" w:after="75"/>
      <w:jc w:val="right"/>
    </w:pPr>
  </w:style>
  <w:style w:type="paragraph" w:customStyle="1" w:styleId="naiskr">
    <w:name w:val="naiskr"/>
    <w:basedOn w:val="Normal"/>
    <w:rsid w:val="00F6726C"/>
    <w:pPr>
      <w:spacing w:before="75" w:after="75"/>
    </w:pPr>
  </w:style>
  <w:style w:type="paragraph" w:customStyle="1" w:styleId="naisc">
    <w:name w:val="naisc"/>
    <w:basedOn w:val="Normal"/>
    <w:rsid w:val="00F6726C"/>
    <w:pPr>
      <w:spacing w:before="75" w:after="75"/>
      <w:jc w:val="center"/>
    </w:pPr>
  </w:style>
  <w:style w:type="character" w:styleId="Hyperlink">
    <w:name w:val="Hyperlink"/>
    <w:basedOn w:val="DefaultParagraphFont"/>
    <w:rsid w:val="000A24EF"/>
    <w:rPr>
      <w:color w:val="0000FF"/>
      <w:u w:val="single"/>
    </w:rPr>
  </w:style>
  <w:style w:type="paragraph" w:styleId="Header">
    <w:name w:val="header"/>
    <w:basedOn w:val="Normal"/>
    <w:rsid w:val="006B55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55BD"/>
  </w:style>
  <w:style w:type="paragraph" w:styleId="Footer">
    <w:name w:val="footer"/>
    <w:basedOn w:val="Normal"/>
    <w:rsid w:val="006B55BD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5B033E"/>
    <w:rPr>
      <w:b/>
      <w:bCs/>
    </w:rPr>
  </w:style>
  <w:style w:type="character" w:styleId="Emphasis">
    <w:name w:val="Emphasis"/>
    <w:basedOn w:val="DefaultParagraphFont"/>
    <w:qFormat/>
    <w:rsid w:val="009F6EDE"/>
    <w:rPr>
      <w:i/>
      <w:iCs/>
    </w:rPr>
  </w:style>
  <w:style w:type="paragraph" w:styleId="NormalWeb">
    <w:name w:val="Normal (Web)"/>
    <w:basedOn w:val="Normal"/>
    <w:rsid w:val="009E1143"/>
    <w:pPr>
      <w:spacing w:before="100" w:beforeAutospacing="1" w:after="100" w:afterAutospacing="1"/>
    </w:pPr>
    <w:rPr>
      <w:sz w:val="28"/>
      <w:szCs w:val="20"/>
      <w:lang w:val="en-GB" w:eastAsia="en-US"/>
    </w:rPr>
  </w:style>
  <w:style w:type="character" w:styleId="FollowedHyperlink">
    <w:name w:val="FollowedHyperlink"/>
    <w:basedOn w:val="DefaultParagraphFont"/>
    <w:rsid w:val="009C3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.gov.lv/uploads/files/4e171e30bf3c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37E1-02CC-426E-957D-204EB7F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Ministru kabineta noteikumu projektu </vt:lpstr>
    </vt:vector>
  </TitlesOfParts>
  <Manager>Sabiedrības veselības  departaments</Manager>
  <Company>Veselības ministrija</Company>
  <LinksUpToDate>false</LinksUpToDate>
  <CharactersWithSpaces>8132</CharactersWithSpaces>
  <SharedDoc>false</SharedDoc>
  <HLinks>
    <vt:vector size="6" baseType="variant"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http://www.vm.gov.lv/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Ministru kabineta noteikumu projektu </dc:title>
  <dc:subject>Tiesību akta projekta sākotnējās ietekmes novērtējuma ziņojums (anotācija). </dc:subject>
  <dc:creator>Andris Egle</dc:creator>
  <cp:keywords/>
  <dc:description>andris.egle@vm.gov.lv_x000d_
67876099</dc:description>
  <cp:lastModifiedBy>aegle</cp:lastModifiedBy>
  <cp:revision>96</cp:revision>
  <cp:lastPrinted>2011-09-01T06:10:00Z</cp:lastPrinted>
  <dcterms:created xsi:type="dcterms:W3CDTF">2011-07-06T13:00:00Z</dcterms:created>
  <dcterms:modified xsi:type="dcterms:W3CDTF">2011-11-23T10:07:00Z</dcterms:modified>
</cp:coreProperties>
</file>