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8" w:rsidRPr="00BC7967" w:rsidRDefault="00005208" w:rsidP="00005208">
      <w:pPr>
        <w:jc w:val="both"/>
        <w:rPr>
          <w:sz w:val="28"/>
          <w:szCs w:val="28"/>
          <w:lang w:val="lv-LV"/>
        </w:rPr>
      </w:pPr>
    </w:p>
    <w:p w:rsidR="00CB2893" w:rsidRPr="00BC7967" w:rsidRDefault="00CB2893" w:rsidP="00A87F98">
      <w:pPr>
        <w:ind w:right="185"/>
        <w:jc w:val="center"/>
        <w:rPr>
          <w:b/>
          <w:sz w:val="28"/>
          <w:szCs w:val="28"/>
          <w:lang w:val="lv-LV"/>
        </w:rPr>
      </w:pPr>
      <w:r w:rsidRPr="00BC7967">
        <w:rPr>
          <w:b/>
          <w:sz w:val="28"/>
          <w:szCs w:val="28"/>
          <w:lang w:val="lv-LV"/>
        </w:rPr>
        <w:t>Ministru kabineta noteikumu projekta</w:t>
      </w:r>
    </w:p>
    <w:p w:rsidR="003A1EB7" w:rsidRPr="00BC7967" w:rsidRDefault="003A1EB7" w:rsidP="000C5484">
      <w:pPr>
        <w:jc w:val="center"/>
        <w:rPr>
          <w:b/>
          <w:sz w:val="28"/>
          <w:szCs w:val="28"/>
          <w:lang w:val="lv-LV"/>
        </w:rPr>
      </w:pPr>
      <w:r w:rsidRPr="00BC7967">
        <w:rPr>
          <w:b/>
          <w:sz w:val="28"/>
          <w:szCs w:val="28"/>
          <w:lang w:val="lv-LV"/>
        </w:rPr>
        <w:t>”</w:t>
      </w:r>
      <w:r w:rsidR="00B47DC5" w:rsidRPr="00BC7967">
        <w:rPr>
          <w:b/>
          <w:sz w:val="28"/>
          <w:szCs w:val="28"/>
          <w:lang w:val="lv-LV"/>
        </w:rPr>
        <w:t>Grozījumi Ministru kabineta 2007.</w:t>
      </w:r>
      <w:r w:rsidR="00450E7F" w:rsidRPr="00BC7967">
        <w:rPr>
          <w:b/>
          <w:sz w:val="28"/>
          <w:szCs w:val="28"/>
          <w:lang w:val="lv-LV"/>
        </w:rPr>
        <w:t>gada 26.jūnija noteikumos Nr.436</w:t>
      </w:r>
      <w:r w:rsidR="00B47DC5" w:rsidRPr="00BC7967">
        <w:rPr>
          <w:b/>
          <w:sz w:val="28"/>
          <w:szCs w:val="28"/>
          <w:lang w:val="lv-LV"/>
        </w:rPr>
        <w:t xml:space="preserve"> ”Zāļu </w:t>
      </w:r>
      <w:r w:rsidR="00450E7F" w:rsidRPr="00BC7967">
        <w:rPr>
          <w:b/>
          <w:sz w:val="28"/>
          <w:szCs w:val="28"/>
          <w:lang w:val="lv-LV"/>
        </w:rPr>
        <w:t>ievešanas un izvešanas</w:t>
      </w:r>
      <w:r w:rsidR="00274D7B" w:rsidRPr="00BC7967">
        <w:rPr>
          <w:b/>
          <w:sz w:val="28"/>
          <w:szCs w:val="28"/>
          <w:lang w:val="lv-LV"/>
        </w:rPr>
        <w:t xml:space="preserve"> kārtība””</w:t>
      </w:r>
    </w:p>
    <w:p w:rsidR="00B47DC5" w:rsidRPr="00BC7967" w:rsidRDefault="00B47DC5" w:rsidP="00B47DC5">
      <w:pPr>
        <w:jc w:val="center"/>
        <w:rPr>
          <w:b/>
          <w:bCs/>
          <w:sz w:val="28"/>
          <w:szCs w:val="28"/>
          <w:lang w:val="lv-LV"/>
        </w:rPr>
      </w:pPr>
      <w:r w:rsidRPr="00BC7967">
        <w:rPr>
          <w:b/>
          <w:sz w:val="28"/>
          <w:szCs w:val="28"/>
          <w:lang w:val="lv-LV"/>
        </w:rPr>
        <w:t xml:space="preserve">sākotnējās ietekmes novērtējuma ziņojums </w:t>
      </w:r>
      <w:r w:rsidRPr="00BC7967">
        <w:rPr>
          <w:b/>
          <w:bCs/>
          <w:sz w:val="28"/>
          <w:szCs w:val="28"/>
          <w:lang w:val="lv-LV"/>
        </w:rPr>
        <w:t>(anotācija)</w:t>
      </w:r>
    </w:p>
    <w:p w:rsidR="00B47DC5" w:rsidRPr="00BC7967" w:rsidRDefault="00B47DC5" w:rsidP="000C5484">
      <w:pPr>
        <w:jc w:val="center"/>
        <w:rPr>
          <w:b/>
          <w:bCs/>
          <w:sz w:val="28"/>
          <w:szCs w:val="28"/>
          <w:lang w:val="lv-LV"/>
        </w:rPr>
      </w:pPr>
    </w:p>
    <w:p w:rsidR="004134D0" w:rsidRPr="00BC7967" w:rsidRDefault="004134D0" w:rsidP="004134D0">
      <w:pPr>
        <w:pStyle w:val="naislab"/>
        <w:spacing w:before="0" w:after="0"/>
        <w:jc w:val="left"/>
        <w:outlineLvl w:val="0"/>
        <w:rPr>
          <w:b/>
          <w:color w:val="auto"/>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396"/>
        <w:gridCol w:w="293"/>
        <w:gridCol w:w="1258"/>
        <w:gridCol w:w="677"/>
        <w:gridCol w:w="319"/>
        <w:gridCol w:w="25"/>
        <w:gridCol w:w="1153"/>
        <w:gridCol w:w="2083"/>
        <w:gridCol w:w="1984"/>
        <w:gridCol w:w="1276"/>
      </w:tblGrid>
      <w:tr w:rsidR="004134D0" w:rsidRPr="00BC7967" w:rsidTr="00BC7967">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rPr>
                <w:b w:val="0"/>
              </w:rPr>
            </w:pPr>
            <w:r w:rsidRPr="00BC7967">
              <w:t>I. Tiesību akta projekta izstrādes nepieciešamība</w:t>
            </w:r>
          </w:p>
        </w:tc>
      </w:tr>
      <w:tr w:rsidR="004134D0" w:rsidRPr="00BC7967" w:rsidTr="00BC7967">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1.</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ind w:hanging="10"/>
            </w:pPr>
            <w:r w:rsidRPr="00BC7967">
              <w:t>Pamatojums</w:t>
            </w:r>
          </w:p>
        </w:tc>
        <w:tc>
          <w:tcPr>
            <w:tcW w:w="7517" w:type="dxa"/>
            <w:gridSpan w:val="7"/>
            <w:tcBorders>
              <w:top w:val="single" w:sz="4" w:space="0" w:color="auto"/>
              <w:left w:val="single" w:sz="4" w:space="0" w:color="auto"/>
              <w:bottom w:val="single" w:sz="4" w:space="0" w:color="auto"/>
              <w:right w:val="single" w:sz="4" w:space="0" w:color="auto"/>
            </w:tcBorders>
            <w:hideMark/>
          </w:tcPr>
          <w:p w:rsidR="00ED0D1B" w:rsidRPr="00BC7967" w:rsidRDefault="00AF5550" w:rsidP="006402B2">
            <w:pPr>
              <w:pStyle w:val="NoSpacing"/>
              <w:jc w:val="both"/>
              <w:rPr>
                <w:rFonts w:ascii="Times New Roman" w:hAnsi="Times New Roman"/>
                <w:sz w:val="24"/>
                <w:szCs w:val="24"/>
              </w:rPr>
            </w:pPr>
            <w:r w:rsidRPr="00BC7967">
              <w:rPr>
                <w:rFonts w:ascii="Times New Roman" w:hAnsi="Times New Roman"/>
                <w:sz w:val="24"/>
                <w:szCs w:val="24"/>
              </w:rPr>
              <w:t>1. </w:t>
            </w:r>
            <w:r w:rsidR="004134D0" w:rsidRPr="00BC7967">
              <w:rPr>
                <w:rFonts w:ascii="Times New Roman" w:hAnsi="Times New Roman"/>
                <w:sz w:val="24"/>
                <w:szCs w:val="24"/>
              </w:rPr>
              <w:t>Ministru kabineta noteikumu projekts ”</w:t>
            </w:r>
            <w:r w:rsidR="00572259" w:rsidRPr="00BC7967">
              <w:rPr>
                <w:rFonts w:ascii="Times New Roman" w:hAnsi="Times New Roman"/>
                <w:sz w:val="24"/>
                <w:szCs w:val="24"/>
              </w:rPr>
              <w:t>Grozījumi Ministru kabineta 2007.</w:t>
            </w:r>
            <w:r w:rsidR="00450E7F" w:rsidRPr="00BC7967">
              <w:rPr>
                <w:rFonts w:ascii="Times New Roman" w:hAnsi="Times New Roman"/>
                <w:sz w:val="24"/>
                <w:szCs w:val="24"/>
              </w:rPr>
              <w:t>gada 26.jūnija noteikumos Nr.436</w:t>
            </w:r>
            <w:r w:rsidR="00572259" w:rsidRPr="00BC7967">
              <w:rPr>
                <w:rFonts w:ascii="Times New Roman" w:hAnsi="Times New Roman"/>
                <w:sz w:val="24"/>
                <w:szCs w:val="24"/>
              </w:rPr>
              <w:t xml:space="preserve"> ”Zāļu </w:t>
            </w:r>
            <w:r w:rsidR="00450E7F" w:rsidRPr="00BC7967">
              <w:rPr>
                <w:rFonts w:ascii="Times New Roman" w:hAnsi="Times New Roman"/>
                <w:sz w:val="24"/>
                <w:szCs w:val="24"/>
              </w:rPr>
              <w:t xml:space="preserve">ievešanas un izvešanas </w:t>
            </w:r>
            <w:r w:rsidR="00572259" w:rsidRPr="00BC7967">
              <w:rPr>
                <w:rFonts w:ascii="Times New Roman" w:hAnsi="Times New Roman"/>
                <w:sz w:val="24"/>
                <w:szCs w:val="24"/>
              </w:rPr>
              <w:t>kārtība””</w:t>
            </w:r>
            <w:r w:rsidR="00203DE2" w:rsidRPr="00BC7967">
              <w:rPr>
                <w:rFonts w:ascii="Times New Roman" w:hAnsi="Times New Roman"/>
                <w:sz w:val="24"/>
                <w:szCs w:val="24"/>
              </w:rPr>
              <w:t xml:space="preserve"> </w:t>
            </w:r>
            <w:r w:rsidR="004134D0" w:rsidRPr="00BC7967">
              <w:rPr>
                <w:rFonts w:ascii="Times New Roman" w:hAnsi="Times New Roman"/>
                <w:sz w:val="24"/>
                <w:szCs w:val="24"/>
              </w:rPr>
              <w:t>(turpmāk - N</w:t>
            </w:r>
            <w:r w:rsidR="00D9518E" w:rsidRPr="00BC7967">
              <w:rPr>
                <w:rFonts w:ascii="Times New Roman" w:hAnsi="Times New Roman"/>
                <w:sz w:val="24"/>
                <w:szCs w:val="24"/>
              </w:rPr>
              <w:t>oteikumu projekts) ir izstrādāts</w:t>
            </w:r>
            <w:r w:rsidR="004134D0" w:rsidRPr="00BC7967">
              <w:rPr>
                <w:rFonts w:ascii="Times New Roman" w:hAnsi="Times New Roman"/>
                <w:sz w:val="24"/>
                <w:szCs w:val="24"/>
              </w:rPr>
              <w:t xml:space="preserve"> saistībā ar Farmācijas liku</w:t>
            </w:r>
            <w:r w:rsidR="008E6DC4" w:rsidRPr="00BC7967">
              <w:rPr>
                <w:rFonts w:ascii="Times New Roman" w:hAnsi="Times New Roman"/>
                <w:sz w:val="24"/>
                <w:szCs w:val="24"/>
              </w:rPr>
              <w:t>ma 5.panta 3</w:t>
            </w:r>
            <w:r w:rsidR="00EE4A7C" w:rsidRPr="00BC7967">
              <w:rPr>
                <w:rFonts w:ascii="Times New Roman" w:hAnsi="Times New Roman"/>
                <w:sz w:val="24"/>
                <w:szCs w:val="24"/>
              </w:rPr>
              <w:t>.</w:t>
            </w:r>
            <w:r w:rsidR="008E6DC4" w:rsidRPr="00BC7967">
              <w:rPr>
                <w:rFonts w:ascii="Times New Roman" w:hAnsi="Times New Roman"/>
                <w:sz w:val="24"/>
                <w:szCs w:val="24"/>
              </w:rPr>
              <w:t xml:space="preserve">punktu, lai </w:t>
            </w:r>
            <w:r w:rsidR="004134D0" w:rsidRPr="00BC7967">
              <w:rPr>
                <w:rFonts w:ascii="Times New Roman" w:hAnsi="Times New Roman"/>
                <w:sz w:val="24"/>
                <w:szCs w:val="24"/>
              </w:rPr>
              <w:t>ieviestu normas, kas izriet no</w:t>
            </w:r>
            <w:r w:rsidR="00ED0D1B" w:rsidRPr="00BC7967">
              <w:rPr>
                <w:rFonts w:ascii="Times New Roman" w:hAnsi="Times New Roman"/>
                <w:sz w:val="24"/>
                <w:szCs w:val="24"/>
              </w:rPr>
              <w:t>:</w:t>
            </w:r>
          </w:p>
          <w:p w:rsidR="00BF0D0F" w:rsidRPr="00BC7967" w:rsidRDefault="00ED0D1B" w:rsidP="006402B2">
            <w:pPr>
              <w:pStyle w:val="NoSpacing"/>
              <w:jc w:val="both"/>
              <w:rPr>
                <w:rFonts w:ascii="Times New Roman" w:hAnsi="Times New Roman"/>
                <w:sz w:val="24"/>
                <w:szCs w:val="24"/>
              </w:rPr>
            </w:pPr>
            <w:r w:rsidRPr="00BC7967">
              <w:rPr>
                <w:rFonts w:ascii="Times New Roman" w:hAnsi="Times New Roman"/>
                <w:sz w:val="24"/>
                <w:szCs w:val="24"/>
              </w:rPr>
              <w:t>1)</w:t>
            </w:r>
            <w:r w:rsidR="009B324D" w:rsidRPr="00BC7967">
              <w:rPr>
                <w:rFonts w:ascii="Times New Roman" w:hAnsi="Times New Roman"/>
                <w:sz w:val="24"/>
                <w:szCs w:val="24"/>
              </w:rPr>
              <w:t> </w:t>
            </w:r>
            <w:r w:rsidR="004134D0" w:rsidRPr="00BC7967">
              <w:rPr>
                <w:rFonts w:ascii="Times New Roman" w:hAnsi="Times New Roman"/>
                <w:sz w:val="24"/>
                <w:szCs w:val="24"/>
              </w:rPr>
              <w:t xml:space="preserve">Eiropas Parlamenta un Padomes 2011.gada 8.jūnija Direktīvas 2011/62/ES, ar ko groza Direktīvu 2001/83/EK par Kopienas kodeksu, kas attiecas uz cilvēkiem paredzētām zālēm, attiecībā uz to, kā novērst viltotu zāļu nokļūšanu legālas piegādes ķēdē, </w:t>
            </w:r>
            <w:r w:rsidR="009336E6" w:rsidRPr="00BC7967">
              <w:rPr>
                <w:rFonts w:ascii="Times New Roman" w:hAnsi="Times New Roman"/>
                <w:sz w:val="24"/>
                <w:szCs w:val="24"/>
              </w:rPr>
              <w:t xml:space="preserve">(turpmāk - Direktīva 2011/62/ES), </w:t>
            </w:r>
            <w:r w:rsidR="004134D0" w:rsidRPr="00BC7967">
              <w:rPr>
                <w:rFonts w:ascii="Times New Roman" w:hAnsi="Times New Roman"/>
                <w:sz w:val="24"/>
                <w:szCs w:val="24"/>
              </w:rPr>
              <w:t xml:space="preserve">un kurā ir iekļauti </w:t>
            </w:r>
            <w:r w:rsidR="008B5D6E" w:rsidRPr="00BC7967">
              <w:rPr>
                <w:rFonts w:ascii="Times New Roman" w:hAnsi="Times New Roman"/>
                <w:sz w:val="24"/>
                <w:szCs w:val="24"/>
              </w:rPr>
              <w:t xml:space="preserve">noteikumi </w:t>
            </w:r>
            <w:r w:rsidR="00F51A2F" w:rsidRPr="00BC7967">
              <w:rPr>
                <w:rFonts w:ascii="Times New Roman" w:hAnsi="Times New Roman"/>
                <w:sz w:val="24"/>
                <w:szCs w:val="24"/>
              </w:rPr>
              <w:t xml:space="preserve">par zāļu vairumtirdzniecību un </w:t>
            </w:r>
            <w:r w:rsidR="009336E6" w:rsidRPr="00BC7967">
              <w:rPr>
                <w:rFonts w:ascii="Times New Roman" w:hAnsi="Times New Roman"/>
                <w:sz w:val="24"/>
                <w:szCs w:val="24"/>
              </w:rPr>
              <w:t xml:space="preserve">par </w:t>
            </w:r>
            <w:r w:rsidR="00572259" w:rsidRPr="00BC7967">
              <w:rPr>
                <w:rFonts w:ascii="Times New Roman" w:hAnsi="Times New Roman"/>
                <w:sz w:val="24"/>
                <w:szCs w:val="24"/>
              </w:rPr>
              <w:t>starpniecības darījumiem</w:t>
            </w:r>
            <w:r w:rsidR="00F51A2F" w:rsidRPr="00BC7967">
              <w:rPr>
                <w:rFonts w:ascii="Times New Roman" w:hAnsi="Times New Roman"/>
                <w:sz w:val="24"/>
                <w:szCs w:val="24"/>
              </w:rPr>
              <w:t xml:space="preserve"> ar zālēm.</w:t>
            </w:r>
          </w:p>
          <w:p w:rsidR="00086975" w:rsidRPr="00BC7967" w:rsidRDefault="00B22FF9" w:rsidP="00450E7F">
            <w:pPr>
              <w:pStyle w:val="NoSpacing"/>
              <w:jc w:val="both"/>
              <w:rPr>
                <w:rFonts w:ascii="Times New Roman" w:hAnsi="Times New Roman"/>
                <w:sz w:val="24"/>
                <w:szCs w:val="24"/>
              </w:rPr>
            </w:pPr>
            <w:r w:rsidRPr="00BC7967">
              <w:rPr>
                <w:rFonts w:ascii="Times New Roman" w:hAnsi="Times New Roman"/>
                <w:sz w:val="24"/>
                <w:szCs w:val="24"/>
              </w:rPr>
              <w:t>2. </w:t>
            </w:r>
            <w:r w:rsidR="000C0FC9" w:rsidRPr="00BC7967">
              <w:rPr>
                <w:rFonts w:ascii="Times New Roman" w:hAnsi="Times New Roman"/>
                <w:sz w:val="24"/>
                <w:szCs w:val="24"/>
              </w:rPr>
              <w:t>Ministru kabineta 2012.gada 30.oktobra sēdes protokola Nr.60 48.§ 7.3.apakšpunktā dotā uzdevuma izpilde.</w:t>
            </w:r>
          </w:p>
          <w:p w:rsidR="0032478C" w:rsidRPr="00BC7967" w:rsidRDefault="00B22FF9" w:rsidP="0032478C">
            <w:pPr>
              <w:pStyle w:val="NoSpacing"/>
              <w:jc w:val="both"/>
              <w:rPr>
                <w:rFonts w:ascii="Times New Roman" w:hAnsi="Times New Roman"/>
                <w:sz w:val="24"/>
                <w:szCs w:val="24"/>
              </w:rPr>
            </w:pPr>
            <w:r w:rsidRPr="00BC7967">
              <w:rPr>
                <w:rFonts w:ascii="Times New Roman" w:hAnsi="Times New Roman"/>
                <w:sz w:val="24"/>
                <w:szCs w:val="24"/>
              </w:rPr>
              <w:t>3. </w:t>
            </w:r>
            <w:r w:rsidR="0032478C" w:rsidRPr="00BC7967">
              <w:rPr>
                <w:rFonts w:ascii="Times New Roman" w:hAnsi="Times New Roman"/>
                <w:sz w:val="24"/>
                <w:szCs w:val="24"/>
              </w:rPr>
              <w:t xml:space="preserve">Eiropas Komisijas </w:t>
            </w:r>
            <w:r w:rsidR="0032478C" w:rsidRPr="00BC7967">
              <w:rPr>
                <w:rFonts w:ascii="Times New Roman" w:hAnsi="Times New Roman"/>
                <w:iCs/>
                <w:sz w:val="24"/>
                <w:szCs w:val="24"/>
              </w:rPr>
              <w:t>2013.gada 20.marta formāls paziņojums pārkāpuma procedūras lietā Nr.</w:t>
            </w:r>
            <w:r w:rsidR="0032478C" w:rsidRPr="00BC7967">
              <w:rPr>
                <w:rFonts w:ascii="Times New Roman" w:hAnsi="Times New Roman"/>
                <w:sz w:val="24"/>
                <w:szCs w:val="24"/>
              </w:rPr>
              <w:t>2013/0162.</w:t>
            </w:r>
          </w:p>
          <w:p w:rsidR="001A3ACE" w:rsidRDefault="006A655F" w:rsidP="0032478C">
            <w:pPr>
              <w:pStyle w:val="NoSpacing"/>
              <w:jc w:val="both"/>
              <w:rPr>
                <w:rFonts w:ascii="Times New Roman" w:hAnsi="Times New Roman"/>
                <w:sz w:val="24"/>
                <w:szCs w:val="24"/>
              </w:rPr>
            </w:pPr>
            <w:r>
              <w:rPr>
                <w:rFonts w:ascii="Times New Roman" w:hAnsi="Times New Roman"/>
                <w:sz w:val="24"/>
                <w:szCs w:val="24"/>
              </w:rPr>
              <w:t>4. </w:t>
            </w:r>
            <w:r w:rsidR="0032478C" w:rsidRPr="00BC7967">
              <w:rPr>
                <w:rFonts w:ascii="Times New Roman" w:hAnsi="Times New Roman"/>
                <w:sz w:val="24"/>
                <w:szCs w:val="24"/>
              </w:rPr>
              <w:t>Ministru kabineta 2013.gada 19.februāra sēdes protokola Nr.10 24.§ ”Informatīvais ziņojums "Par Latvijas kā Eiropas Savienības dalībvalsts saistību izpildi laika periodā līdz 2013.gada 31.augustam un par ierosinātajām (turpinātajām) pārkāpuma procedūru lietām pret Latviju laika periodā līdz 2013.gada 1.februārim" (</w:t>
            </w:r>
            <w:r w:rsidR="0032478C" w:rsidRPr="00BC7967">
              <w:rPr>
                <w:rFonts w:ascii="Times New Roman" w:hAnsi="Times New Roman"/>
                <w:bCs/>
                <w:sz w:val="24"/>
                <w:szCs w:val="24"/>
              </w:rPr>
              <w:t xml:space="preserve">TA-319-IP) </w:t>
            </w:r>
            <w:r w:rsidR="0032478C" w:rsidRPr="00BC7967">
              <w:rPr>
                <w:rFonts w:ascii="Times New Roman" w:hAnsi="Times New Roman"/>
                <w:sz w:val="24"/>
                <w:szCs w:val="24"/>
              </w:rPr>
              <w:t>6.2.apakšpunktā dotā uzdevuma izpilde.</w:t>
            </w:r>
          </w:p>
          <w:p w:rsidR="00435BCB" w:rsidRPr="00BC7967" w:rsidRDefault="00435BCB" w:rsidP="0032478C">
            <w:pPr>
              <w:pStyle w:val="NoSpacing"/>
              <w:jc w:val="both"/>
              <w:rPr>
                <w:rFonts w:ascii="Times New Roman" w:hAnsi="Times New Roman"/>
                <w:sz w:val="24"/>
                <w:szCs w:val="24"/>
              </w:rPr>
            </w:pPr>
            <w:r>
              <w:rPr>
                <w:rFonts w:ascii="Times New Roman" w:hAnsi="Times New Roman"/>
                <w:sz w:val="24"/>
                <w:szCs w:val="24"/>
              </w:rPr>
              <w:t>5. Valsts kancelejas 2013.gada 22.janvāra rezolūcijas Nr.12/2012-UZD-3782 izpilde.</w:t>
            </w:r>
          </w:p>
        </w:tc>
      </w:tr>
      <w:tr w:rsidR="004134D0" w:rsidRPr="00BC7967" w:rsidTr="00BC7967">
        <w:trPr>
          <w:gridBefore w:val="1"/>
          <w:wBefore w:w="34" w:type="dxa"/>
          <w:trHeight w:val="472"/>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2.</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tabs>
                <w:tab w:val="left" w:pos="170"/>
              </w:tabs>
            </w:pPr>
            <w:r w:rsidRPr="00BC7967">
              <w:t>Pašreizējā situācija un problēmas</w:t>
            </w:r>
          </w:p>
        </w:tc>
        <w:tc>
          <w:tcPr>
            <w:tcW w:w="7517" w:type="dxa"/>
            <w:gridSpan w:val="7"/>
            <w:tcBorders>
              <w:top w:val="single" w:sz="4" w:space="0" w:color="auto"/>
              <w:left w:val="single" w:sz="4" w:space="0" w:color="auto"/>
              <w:bottom w:val="single" w:sz="4" w:space="0" w:color="auto"/>
              <w:right w:val="single" w:sz="4" w:space="0" w:color="auto"/>
            </w:tcBorders>
          </w:tcPr>
          <w:p w:rsidR="000535C7" w:rsidRPr="00BC7967" w:rsidRDefault="00A17401" w:rsidP="003D204B">
            <w:pPr>
              <w:pStyle w:val="NoSpacing"/>
              <w:jc w:val="both"/>
              <w:rPr>
                <w:rFonts w:ascii="Times New Roman" w:hAnsi="Times New Roman"/>
                <w:spacing w:val="-6"/>
                <w:sz w:val="24"/>
                <w:szCs w:val="24"/>
              </w:rPr>
            </w:pPr>
            <w:r w:rsidRPr="00BC7967">
              <w:rPr>
                <w:rFonts w:ascii="Times New Roman" w:hAnsi="Times New Roman"/>
                <w:spacing w:val="-6"/>
                <w:sz w:val="24"/>
                <w:szCs w:val="24"/>
              </w:rPr>
              <w:t>1. </w:t>
            </w:r>
            <w:r w:rsidR="004134D0" w:rsidRPr="00BC7967">
              <w:rPr>
                <w:rFonts w:ascii="Times New Roman" w:hAnsi="Times New Roman"/>
                <w:spacing w:val="-6"/>
                <w:sz w:val="24"/>
                <w:szCs w:val="24"/>
              </w:rPr>
              <w:t xml:space="preserve">Eiropas Savienībā satraucošā apmērā atklāj aizvien vairāk zāļu, kuras ir viltotas saistībā ar to identitāti, ražošanas vēsturi vai avotu. Minētajās zālēs parasti ir nestandarta vai viltotas sastāvdaļas, vai tajās nav sastāvdaļu vai ir sastāvdaļas, tostarp </w:t>
            </w:r>
            <w:r w:rsidR="00FD5FB2" w:rsidRPr="00BC7967">
              <w:rPr>
                <w:rFonts w:ascii="Times New Roman" w:hAnsi="Times New Roman"/>
                <w:spacing w:val="-6"/>
                <w:sz w:val="24"/>
                <w:szCs w:val="24"/>
              </w:rPr>
              <w:t>aktīvās vielas, nepareizās devās, tādējādi nopietni apdraudot sabiedrības veselību. Viltotas zāles pie pacientiem nonāk ne tikai izmantojot nelegālus līdzekļus, bet arī pa legālo piegādes ķēdi. Tas īpaši apdraud cilvēku veselību un var izraisīt pacientu neuzticību arī legālajai piegādes ķēdei. Šo sabiedrības veselības apdraudējumu ir atzinusi arī Pasaules Veselības organizācija. Viltotas aktīvās vielas un nekvalitatīvas aktīvās vielas ir būtisks drauds sabiedrības veselībai, jo šīs vielas var izmantot zāļu ražošanai, un šādi draudi ir jānovērš, nosakot stingrākas pārbaužu prasības, ko piemēro aktīvo vielu ražotājiem, importētājiem un izplatītājiem.</w:t>
            </w:r>
          </w:p>
          <w:p w:rsidR="00684082" w:rsidRPr="00BC7967" w:rsidRDefault="00FD5FB2" w:rsidP="00BC7967">
            <w:pPr>
              <w:pStyle w:val="NoSpacing"/>
              <w:jc w:val="both"/>
              <w:rPr>
                <w:rFonts w:ascii="Times New Roman" w:hAnsi="Times New Roman"/>
                <w:bCs/>
                <w:kern w:val="36"/>
                <w:sz w:val="24"/>
                <w:szCs w:val="24"/>
                <w:lang w:eastAsia="lv-LV"/>
              </w:rPr>
            </w:pPr>
            <w:r w:rsidRPr="00BC7967">
              <w:rPr>
                <w:rFonts w:ascii="Times New Roman" w:hAnsi="Times New Roman"/>
                <w:sz w:val="24"/>
                <w:szCs w:val="24"/>
                <w:lang w:eastAsia="lv-LV"/>
              </w:rPr>
              <w:t xml:space="preserve">Eiropas Parlamenta deputāte Marisa </w:t>
            </w:r>
            <w:proofErr w:type="spellStart"/>
            <w:r w:rsidRPr="00BC7967">
              <w:rPr>
                <w:rFonts w:ascii="Times New Roman" w:hAnsi="Times New Roman"/>
                <w:sz w:val="24"/>
                <w:szCs w:val="24"/>
                <w:lang w:eastAsia="lv-LV"/>
              </w:rPr>
              <w:t>Matias</w:t>
            </w:r>
            <w:proofErr w:type="spellEnd"/>
            <w:r w:rsidRPr="00BC7967">
              <w:rPr>
                <w:rFonts w:ascii="Times New Roman" w:hAnsi="Times New Roman"/>
                <w:sz w:val="24"/>
                <w:szCs w:val="24"/>
                <w:lang w:eastAsia="lv-LV"/>
              </w:rPr>
              <w:t xml:space="preserve"> (GUE/NGL, Portugāle), atbildīgā par jautājuma virzību Parlamentā norādīja: "Viltotās zāles ir klusie slepkavas, jo tās var saturēt toksiskas vielas, kuras ne tikai bojā </w:t>
            </w:r>
            <w:r w:rsidRPr="00BC7967">
              <w:rPr>
                <w:rFonts w:ascii="Times New Roman" w:hAnsi="Times New Roman"/>
                <w:sz w:val="24"/>
                <w:szCs w:val="24"/>
                <w:lang w:eastAsia="lv-LV"/>
              </w:rPr>
              <w:lastRenderedPageBreak/>
              <w:t>veselību, bet var pat nogalināt to lietotājus. Likumu neesamība iedrošina viltošanu, kas pēc būtības ir krimināli sodāma darbība, un mēs varam redzēt, ka šāda veida kriminālas aktivitātes ir pieaugušas milzīgos apmēros - kopš 2005.gada viltoto zāļu konfiscēšanas gadījumi ir pieauguši par 400%. Direktīvas galvenais mērķis ir pasargāt pacientus".</w:t>
            </w:r>
          </w:p>
          <w:p w:rsidR="00222EF4" w:rsidRPr="00BC7967" w:rsidRDefault="00FD5FB2" w:rsidP="00222EF4">
            <w:pPr>
              <w:pStyle w:val="CM1"/>
              <w:spacing w:before="200" w:after="200"/>
              <w:jc w:val="both"/>
              <w:rPr>
                <w:rFonts w:ascii="Times New Roman" w:hAnsi="Times New Roman"/>
              </w:rPr>
            </w:pPr>
            <w:r w:rsidRPr="00BC7967">
              <w:rPr>
                <w:rStyle w:val="c3"/>
                <w:rFonts w:ascii="Times New Roman" w:hAnsi="Times New Roman"/>
              </w:rPr>
              <w:t>L</w:t>
            </w:r>
            <w:r w:rsidRPr="00BC7967">
              <w:rPr>
                <w:rFonts w:ascii="Times New Roman" w:hAnsi="Times New Roman"/>
              </w:rPr>
              <w:t xml:space="preserve">atvijas zāļu tirgus ir neliels, salīdzinot ar lielāko ES valstu zāļu tirgiem. Latvijā nav datu par viltotu zāļu izplatīšanu, tomēr Latvijā zāļu viltojumi ir aktuāls jautājums, jo Latvija ir ES ārējā robeža, un tā importē zāles no trešajām valstīm, kā arī Latvija ir tranzītvalsts. Lai palielinātu zāļu drošību Eiropas </w:t>
            </w:r>
            <w:r w:rsidRPr="00BC7967">
              <w:rPr>
                <w:rStyle w:val="hps"/>
                <w:rFonts w:ascii="Times New Roman" w:hAnsi="Times New Roman"/>
              </w:rPr>
              <w:t>Savienība (</w:t>
            </w:r>
            <w:r w:rsidRPr="00BC7967">
              <w:rPr>
                <w:rFonts w:ascii="Times New Roman" w:hAnsi="Times New Roman"/>
              </w:rPr>
              <w:t xml:space="preserve">ES) ir </w:t>
            </w:r>
            <w:r w:rsidRPr="00BC7967">
              <w:rPr>
                <w:rStyle w:val="hps"/>
                <w:rFonts w:ascii="Times New Roman" w:hAnsi="Times New Roman"/>
              </w:rPr>
              <w:t>reformējusi</w:t>
            </w:r>
            <w:r w:rsidRPr="00BC7967">
              <w:rPr>
                <w:rFonts w:ascii="Times New Roman" w:hAnsi="Times New Roman"/>
              </w:rPr>
              <w:t xml:space="preserve"> </w:t>
            </w:r>
            <w:r w:rsidRPr="00BC7967">
              <w:rPr>
                <w:rStyle w:val="hps"/>
                <w:rFonts w:ascii="Times New Roman" w:hAnsi="Times New Roman"/>
              </w:rPr>
              <w:t>noteikumus</w:t>
            </w:r>
            <w:r w:rsidRPr="00BC7967">
              <w:rPr>
                <w:rFonts w:ascii="Times New Roman" w:hAnsi="Times New Roman"/>
              </w:rPr>
              <w:t xml:space="preserve"> par zāļu izplatīšanu ar Direktīvu 2011/62/ES. </w:t>
            </w:r>
            <w:r w:rsidRPr="00BC7967">
              <w:rPr>
                <w:rFonts w:cs="EUAlbertina"/>
              </w:rPr>
              <w:t xml:space="preserve">Savienības tirgū zāles var ievest, ja nav nodoma tās importēt, proti, ja tās nav paredzēts laist brīvā apgrozībā. Ja minētās zāles ir viltotas, tās apdraud sabiedrības veselību Savienībā. Turklāt minētās viltotās zāles var nonākt pie pacientiem trešās valstīs. </w:t>
            </w:r>
            <w:r w:rsidRPr="00BC7967">
              <w:rPr>
                <w:rFonts w:ascii="Times New Roman" w:hAnsi="Times New Roman"/>
              </w:rPr>
              <w:t xml:space="preserve">Direktīvas 2011/62/ES 1.panta 10.punkta norma paredz uzdevumu dalībvalstīm veikt vajadzīgos pasākumus, lai nepieļautu, ka zāles, kuras ieved Eiropas Savienībā un kuras nav paredzēts laist Savienības tirgū, nokļūst apritē, ja ir pietiekami pamatotas aizdomas, ka tās ir viltotas. Eiropas Komisijai ir tiesības pieņemt deleģēto aktu līdz 2013.gada 2.janvārim šajā jautājumā, bet pašreiz Eiropas Komisija izvērtē tā nepieciešamību, tāpēc dalībvalstīm ir pašām jānosaka pasākumi </w:t>
            </w:r>
            <w:r w:rsidRPr="00BC7967">
              <w:rPr>
                <w:rFonts w:ascii="Times New Roman" w:hAnsi="Times New Roman"/>
                <w:bCs/>
                <w:spacing w:val="-6"/>
              </w:rPr>
              <w:t>2011/62/ES 1.panta 10.punkta normas ieviešanā attiecībā uz Direktīvas 2001/83/ES 52 b panta 1.punkta normu.</w:t>
            </w:r>
          </w:p>
          <w:p w:rsidR="00ED2300" w:rsidRPr="00BC7967" w:rsidRDefault="00FD5FB2" w:rsidP="00B16554">
            <w:pPr>
              <w:pStyle w:val="NoSpacing"/>
              <w:jc w:val="both"/>
              <w:rPr>
                <w:rFonts w:ascii="Times New Roman" w:hAnsi="Times New Roman"/>
                <w:sz w:val="24"/>
                <w:szCs w:val="24"/>
              </w:rPr>
            </w:pPr>
            <w:r w:rsidRPr="00BC7967">
              <w:rPr>
                <w:rFonts w:ascii="Times New Roman" w:hAnsi="Times New Roman"/>
                <w:bCs/>
                <w:spacing w:val="-6"/>
                <w:sz w:val="24"/>
                <w:szCs w:val="24"/>
              </w:rPr>
              <w:t xml:space="preserve">Pašreiz normatīvie akti </w:t>
            </w:r>
            <w:r w:rsidRPr="00BC7967">
              <w:rPr>
                <w:rFonts w:ascii="Times New Roman" w:hAnsi="Times New Roman"/>
                <w:sz w:val="24"/>
                <w:szCs w:val="24"/>
              </w:rPr>
              <w:t>jau paredz pasākumus, lai samazinātu risku viltotu zāļu nokļūšanai tirgū. No Ministru kabineta 2007.gada 26.jūnija noteikumu Nr.436 ”Zāļu ievešanas un izvešanas kārtība” (turpmāk - MK noteikumi Nr.436) 11.punkta normas izriet, ka Latvijas Republikā reģistrētu zāļu importēšanai ir nepieciešama Zāļu valsts aģentūras izsniegta speciāla atļauja (licence) zāļu ražošanai/importēšanai (izņemot, ja personai ir citas Eiropas Savienības dalībvalsts kompetentās iestādes izsniegta licence, kas dod tiesības veikt zāļu vairumtirdzniecību). Pētāmās zāles drīkst importēt persona, kuras speciālajā atļaujā (licencē) zāļu ražošanai/importēšanai norādīts, ka atļauta pētāmo zāļu importēšana. Lai varētu izsekot zāļu izcelsmei, ja zāļu valdītājs kravas importam uz līguma pamata izmanto transporta pakalpojumus, ko sniedz cita persona (turpmāk - </w:t>
            </w:r>
            <w:proofErr w:type="spellStart"/>
            <w:r w:rsidRPr="00BC7967">
              <w:rPr>
                <w:rFonts w:ascii="Times New Roman" w:hAnsi="Times New Roman"/>
                <w:sz w:val="24"/>
                <w:szCs w:val="24"/>
              </w:rPr>
              <w:t>komercpārvadātājs</w:t>
            </w:r>
            <w:proofErr w:type="spellEnd"/>
            <w:r w:rsidRPr="00BC7967">
              <w:rPr>
                <w:rFonts w:ascii="Times New Roman" w:hAnsi="Times New Roman"/>
                <w:sz w:val="24"/>
                <w:szCs w:val="24"/>
              </w:rPr>
              <w:t xml:space="preserve">), tad </w:t>
            </w:r>
            <w:proofErr w:type="spellStart"/>
            <w:r w:rsidRPr="00BC7967">
              <w:rPr>
                <w:rFonts w:ascii="Times New Roman" w:hAnsi="Times New Roman"/>
                <w:sz w:val="24"/>
                <w:szCs w:val="24"/>
              </w:rPr>
              <w:t>komercpārvadātājs</w:t>
            </w:r>
            <w:proofErr w:type="spellEnd"/>
            <w:r w:rsidRPr="00BC7967">
              <w:rPr>
                <w:rFonts w:ascii="Times New Roman" w:hAnsi="Times New Roman"/>
                <w:sz w:val="24"/>
                <w:szCs w:val="24"/>
              </w:rPr>
              <w:t xml:space="preserve"> uzrāda muitas iestādē līgumu, kas noslēgts starp zāļu valdītāju un </w:t>
            </w:r>
            <w:proofErr w:type="spellStart"/>
            <w:r w:rsidRPr="00BC7967">
              <w:rPr>
                <w:rFonts w:ascii="Times New Roman" w:hAnsi="Times New Roman"/>
                <w:sz w:val="24"/>
                <w:szCs w:val="24"/>
              </w:rPr>
              <w:t>komercpārvadātāju</w:t>
            </w:r>
            <w:proofErr w:type="spellEnd"/>
            <w:r w:rsidRPr="00BC7967">
              <w:rPr>
                <w:rFonts w:ascii="Times New Roman" w:hAnsi="Times New Roman"/>
                <w:sz w:val="24"/>
                <w:szCs w:val="24"/>
              </w:rPr>
              <w:t xml:space="preserve"> par transporta pakalpojumu sniegšanu, vai zāļu valdītāja pilnvarojumu veikt attiecīgo darbību. Šajos noteikumos ir noteikts, ka muitas noliktavai, kurā paredzēts uzglabāt zāles, nepieciešams Veselības inspekcijas atzinums par noliktavas atbilstību normatīvajos aktos par zāļu izplatīšanu noteiktajām zāļu uzglabāšanas prasībām. Ministru kabineta 2007.gada 26.jūnija noteikumos Nr.416 ”Zāļu izplatīšanas un kvalitātes kontroles kārtība” (turpmāk - MK noteikumi Nr.416) ir noteiktas procedūras rīcībai viltotu zāļu konstatēšanas gadījumā, kā arī tad, kad radušas aizdomas par viltojumu. Ir noteikta Veselības inspekcijas kompetence. Veselības inspekcijas kontroles un </w:t>
            </w:r>
            <w:r w:rsidRPr="00BC7967">
              <w:rPr>
                <w:rFonts w:ascii="Times New Roman" w:hAnsi="Times New Roman"/>
                <w:sz w:val="24"/>
                <w:szCs w:val="24"/>
              </w:rPr>
              <w:lastRenderedPageBreak/>
              <w:t xml:space="preserve">uzraudzības  prasības un zāļu izplatīšanas un kvalitātes kontroles prasības tiek piemērotas arī uz brīvostām un speciālajām ekonomiskajām zonām un Muitas likuma 9.panta otrajā daļā minētajām vietām. Savukārt Latvijā kontrolējamo narkotisko vielu, psihotropo vielu un prekursoru II un III sarakstā iekļauto narkotisko un psihotropo vielu un zāļu tranzīta noteikumus un bruņotās apsardzes kārtību, lai novērstu narkotisko un psihotropo vielu un zāļu kontrabandu, un to novirzi nelegālajā apritē, kā arī nelikumīgu tranzītu, regulē Ministru kabineta 1996.gada 13.augusta noteikumi Nr.327 ”Narkotisko un psihotropo vielu un zāļu tranzīta noteikumi”, nosakot procedūras un prasības, ka tranzīta operācijām nepieciešama Zāļu valsts aģentūras atļauja. Ņemot vērā augstāk minēto varam uzskatīt, ka normatīvo aktu regulējums jau paredz pasākumus, kas zināmā aspektā uzrauga zāles, kuras ieved Eiropas Savienībā, un kuras nav paredzētas laist Eiropas Savienības tirgū, kas izriet no Direktīvas </w:t>
            </w:r>
            <w:r w:rsidRPr="00BC7967">
              <w:rPr>
                <w:rFonts w:ascii="Times New Roman" w:hAnsi="Times New Roman"/>
                <w:bCs/>
                <w:spacing w:val="-6"/>
                <w:sz w:val="24"/>
                <w:szCs w:val="24"/>
              </w:rPr>
              <w:t>2011/62/ES 1.panta 10.punkta normas (attiecībā uz Direktīvas 2001/83/ES 52 b panta 1.punktu)</w:t>
            </w:r>
            <w:r w:rsidR="00BC7967" w:rsidRPr="00BC7967">
              <w:rPr>
                <w:rFonts w:ascii="Times New Roman" w:hAnsi="Times New Roman"/>
                <w:sz w:val="24"/>
                <w:szCs w:val="24"/>
              </w:rPr>
              <w:t xml:space="preserve">, bet tā kā zāļu viltošanas </w:t>
            </w:r>
            <w:r w:rsidRPr="00BC7967">
              <w:rPr>
                <w:rFonts w:ascii="Times New Roman" w:hAnsi="Times New Roman"/>
                <w:sz w:val="24"/>
                <w:szCs w:val="24"/>
              </w:rPr>
              <w:t>problēmas risinājums prasa efektīvu un uzlabotu institūciju koordināciju un sadarbību, kompetentajām institūcijām būtu jāpastiprina uzraudzība un sadarbība.</w:t>
            </w:r>
          </w:p>
          <w:p w:rsidR="00ED2300" w:rsidRPr="00BC7967" w:rsidRDefault="00ED2300" w:rsidP="00ED2300">
            <w:pPr>
              <w:pStyle w:val="Default"/>
              <w:jc w:val="both"/>
              <w:rPr>
                <w:color w:val="auto"/>
                <w:lang w:val="lv-LV" w:eastAsia="lv-LV"/>
              </w:rPr>
            </w:pPr>
          </w:p>
          <w:p w:rsidR="00E7698C" w:rsidRPr="00BC7967" w:rsidRDefault="00BC6DAD" w:rsidP="00527815">
            <w:pPr>
              <w:jc w:val="both"/>
              <w:rPr>
                <w:lang w:val="lv-LV"/>
              </w:rPr>
            </w:pPr>
            <w:r w:rsidRPr="00BC7967">
              <w:rPr>
                <w:lang w:val="lv-LV"/>
              </w:rPr>
              <w:t>2</w:t>
            </w:r>
            <w:r w:rsidR="00C91378" w:rsidRPr="00BC7967">
              <w:rPr>
                <w:lang w:val="lv-LV"/>
              </w:rPr>
              <w:t>. </w:t>
            </w:r>
            <w:r w:rsidR="00D12C62" w:rsidRPr="00BC7967">
              <w:rPr>
                <w:rStyle w:val="spelle"/>
                <w:lang w:val="lv-LV"/>
              </w:rPr>
              <w:t>MK noteikumos Nr.436 ir jāprecizē atļaujas zāļu paraugu im</w:t>
            </w:r>
            <w:r w:rsidR="00FB5C7B" w:rsidRPr="00BC7967">
              <w:rPr>
                <w:rStyle w:val="spelle"/>
                <w:lang w:val="lv-LV"/>
              </w:rPr>
              <w:t xml:space="preserve">portam, produkta sertifikāta, </w:t>
            </w:r>
            <w:r w:rsidR="00FD5FB2" w:rsidRPr="00BC7967">
              <w:rPr>
                <w:rStyle w:val="spelle"/>
                <w:lang w:val="lv-LV"/>
              </w:rPr>
              <w:t xml:space="preserve">saīsinātā produkta sertifikāta, </w:t>
            </w:r>
            <w:r w:rsidR="00FD5FB2" w:rsidRPr="00BC7967">
              <w:rPr>
                <w:lang w:val="lv-LV"/>
              </w:rPr>
              <w:t>paziņojuma par produkta reģistrācijas statusu</w:t>
            </w:r>
            <w:r w:rsidR="00FD5FB2" w:rsidRPr="00BC7967">
              <w:rPr>
                <w:rStyle w:val="HeaderChar"/>
                <w:lang w:val="lv-LV"/>
              </w:rPr>
              <w:t xml:space="preserve"> </w:t>
            </w:r>
            <w:r w:rsidR="00FD5FB2" w:rsidRPr="00BC7967">
              <w:rPr>
                <w:rStyle w:val="spelle"/>
                <w:lang w:val="lv-LV"/>
              </w:rPr>
              <w:t xml:space="preserve">izsniegšanas kārtība, paredzot iespēju saņemt dokumentus elektroniskajā formātā vai citā </w:t>
            </w:r>
            <w:r w:rsidR="00FD5FB2" w:rsidRPr="00BC7967">
              <w:rPr>
                <w:lang w:val="lv-LV"/>
              </w:rPr>
              <w:t xml:space="preserve">formā pēc personas izvēles atbilstoši Elektronisko dokumentu likuma 6.panta ceturtajai daļai . </w:t>
            </w:r>
            <w:r w:rsidR="00FD5FB2" w:rsidRPr="00BC7967">
              <w:rPr>
                <w:rStyle w:val="spelle"/>
                <w:lang w:val="lv-LV"/>
              </w:rPr>
              <w:t>Tā kā saskaņā ar Ministru kabineta 2011.gada 3.maija noteikumu Nr.333 13.punktu, kā arī 2013.gada 9.aprīlī Ministru kabinetā apstiprinātā  informatīvā ziņojuma par ”Uzņēmējdarbības vides uzlabošanas pasākumu plāna 2012.gadam uzdevuma izpildi un situācijas izpēti un rekomendācijām atļauju izsniegšanai elektroniskā formā” 3.nodaļā noteikto</w:t>
            </w:r>
            <w:r w:rsidR="00FD5FB2" w:rsidRPr="00BC7967">
              <w:rPr>
                <w:lang w:val="lv-LV"/>
              </w:rPr>
              <w:t xml:space="preserve">, jāparedz diferencēta maksa par pakalpojuma sniegšanu atkarībā no pakalpojuma saņemšanas veida (klātienē / elektroniski / papīrā), pakalpojuma sniegšanai izsniedzot  papīra dokumenta formu par </w:t>
            </w:r>
            <w:r w:rsidR="00FD5FB2" w:rsidRPr="00BC7967">
              <w:rPr>
                <w:rStyle w:val="spelle"/>
                <w:lang w:val="lv-LV"/>
              </w:rPr>
              <w:t xml:space="preserve">papildus maksu </w:t>
            </w:r>
            <w:r w:rsidR="00FD5FB2" w:rsidRPr="00BC7967">
              <w:rPr>
                <w:lang w:val="lv-LV"/>
              </w:rPr>
              <w:t xml:space="preserve">nosakāms pārejas periods saistībā ar attiecīgo </w:t>
            </w:r>
            <w:r w:rsidR="00FD5FB2" w:rsidRPr="00BC7967">
              <w:rPr>
                <w:noProof/>
                <w:spacing w:val="-6"/>
                <w:lang w:val="lv-LV"/>
              </w:rPr>
              <w:t xml:space="preserve">normu ieviešanu </w:t>
            </w:r>
            <w:r w:rsidR="00FD5FB2" w:rsidRPr="00BC7967">
              <w:rPr>
                <w:noProof/>
                <w:lang w:val="lv-LV"/>
              </w:rPr>
              <w:t>Ministru kabineta 2013.gada 29.janvāra noteikumos Nr.75 ”Zāļu valsts aģentūras maksas pakalpojumu cenrādis”</w:t>
            </w:r>
            <w:r w:rsidR="00BC7967" w:rsidRPr="00BC7967">
              <w:rPr>
                <w:noProof/>
                <w:lang w:val="lv-LV"/>
              </w:rPr>
              <w:t xml:space="preserve"> (turpmāk -</w:t>
            </w:r>
            <w:r w:rsidR="00050EA3" w:rsidRPr="00BC7967">
              <w:rPr>
                <w:noProof/>
                <w:lang w:val="lv-LV"/>
              </w:rPr>
              <w:t> MK noteikumi Nr.75)</w:t>
            </w:r>
            <w:r w:rsidR="00527815" w:rsidRPr="00BC7967">
              <w:rPr>
                <w:noProof/>
                <w:lang w:val="lv-LV"/>
              </w:rPr>
              <w:t>.</w:t>
            </w:r>
          </w:p>
          <w:p w:rsidR="00D70D47" w:rsidRPr="00BC7967" w:rsidRDefault="00FD5FB2" w:rsidP="00D70D47">
            <w:pPr>
              <w:keepNext/>
              <w:keepLines/>
              <w:spacing w:before="200"/>
              <w:jc w:val="both"/>
              <w:outlineLvl w:val="1"/>
              <w:rPr>
                <w:lang w:val="lv-LV"/>
              </w:rPr>
            </w:pPr>
            <w:r w:rsidRPr="00BC7967">
              <w:rPr>
                <w:lang w:val="lv-LV"/>
              </w:rPr>
              <w:t xml:space="preserve">Ministru kabineta 2005.gada 28.jūnija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8.punkts  nosaka, ka elektroniskā dokumenta parakstīšanas laiks ir laika zīmoga pievienošanas datums un laiks, sagatavojot elektroniska dokumenta kopiju, bet papīra dokumenta formā, t.i. izdrukājot to, uz dokumenta nebūs redzams viens no rekvizītiem ”datums”. Līdz ar to MK noteikumu 1., 2., 4. un 5.pielikumā ir nepieciešams ietvert prasību aizpildīt rekvizītu ”datums” (elektroniska </w:t>
            </w:r>
            <w:r w:rsidRPr="00BC7967">
              <w:rPr>
                <w:lang w:val="lv-LV"/>
              </w:rPr>
              <w:lastRenderedPageBreak/>
              <w:t xml:space="preserve">dokumenta kopijai papīra dokumenta formā), nosakot, ka elektroniska dokumenta kopijai papīra formā neaizpilda tikai dokumenta rekvizītu paraksts. </w:t>
            </w:r>
          </w:p>
          <w:p w:rsidR="000D66E3" w:rsidRPr="00BC7967" w:rsidRDefault="006319B4" w:rsidP="00D84318">
            <w:pPr>
              <w:pStyle w:val="NoSpacing"/>
              <w:jc w:val="both"/>
              <w:rPr>
                <w:rFonts w:ascii="Times New Roman" w:hAnsi="Times New Roman"/>
                <w:bCs/>
                <w:sz w:val="24"/>
                <w:szCs w:val="24"/>
              </w:rPr>
            </w:pPr>
            <w:r w:rsidRPr="00BC7967">
              <w:rPr>
                <w:rFonts w:ascii="Times New Roman" w:hAnsi="Times New Roman"/>
                <w:sz w:val="24"/>
                <w:szCs w:val="24"/>
              </w:rPr>
              <w:t>3</w:t>
            </w:r>
            <w:r w:rsidR="000D66E3" w:rsidRPr="00BC7967">
              <w:rPr>
                <w:rFonts w:ascii="Times New Roman" w:hAnsi="Times New Roman"/>
                <w:sz w:val="24"/>
                <w:szCs w:val="24"/>
              </w:rPr>
              <w:t>. MK noteikumos Nr.43</w:t>
            </w:r>
            <w:r w:rsidR="002802FA" w:rsidRPr="00BC7967">
              <w:rPr>
                <w:rFonts w:ascii="Times New Roman" w:hAnsi="Times New Roman"/>
                <w:sz w:val="24"/>
                <w:szCs w:val="24"/>
              </w:rPr>
              <w:t xml:space="preserve">6 ir redakcionāli jāprecizē </w:t>
            </w:r>
            <w:r w:rsidR="000D66E3" w:rsidRPr="00BC7967">
              <w:rPr>
                <w:rFonts w:ascii="Times New Roman" w:hAnsi="Times New Roman"/>
                <w:sz w:val="24"/>
                <w:szCs w:val="24"/>
              </w:rPr>
              <w:t>terminoloģija, lai nodrošinātu atbilstību</w:t>
            </w:r>
            <w:r w:rsidR="00FD5FB2" w:rsidRPr="00BC7967">
              <w:rPr>
                <w:rFonts w:ascii="Times New Roman" w:hAnsi="Times New Roman"/>
                <w:sz w:val="24"/>
                <w:szCs w:val="24"/>
              </w:rPr>
              <w:t xml:space="preserve"> Ministru kabineta 2009.gada 3.februāra noteikumu Nr.108 ”Normatīvo aktu projektu sagatavošanas noteikumi” </w:t>
            </w:r>
            <w:r w:rsidR="00BC7967" w:rsidRPr="00BC7967">
              <w:rPr>
                <w:rFonts w:ascii="Times New Roman" w:hAnsi="Times New Roman"/>
                <w:bCs/>
                <w:sz w:val="24"/>
                <w:szCs w:val="24"/>
              </w:rPr>
              <w:t>(turpmāk -</w:t>
            </w:r>
            <w:r w:rsidR="00FD5FB2" w:rsidRPr="00BC7967">
              <w:rPr>
                <w:rFonts w:ascii="Times New Roman" w:hAnsi="Times New Roman"/>
                <w:bCs/>
                <w:sz w:val="24"/>
                <w:szCs w:val="24"/>
              </w:rPr>
              <w:t> MK noteikumi Nr.108) 2.2. apakšpunktam</w:t>
            </w:r>
            <w:r w:rsidR="00FD5FB2" w:rsidRPr="00BC7967">
              <w:rPr>
                <w:rFonts w:ascii="Times New Roman" w:hAnsi="Times New Roman"/>
                <w:sz w:val="24"/>
                <w:szCs w:val="24"/>
              </w:rPr>
              <w:t xml:space="preserve">, ievērojot terminoloģijas konsekvenci, un Termina ”zāļu reģistrācijas apliecības turētājs” vietā, lietojot terminu ”reģistrācijas īpašnieks pēc analoģijas ar </w:t>
            </w:r>
            <w:r w:rsidR="00FD5FB2" w:rsidRPr="00BC7967">
              <w:rPr>
                <w:rFonts w:ascii="Times New Roman" w:hAnsi="Times New Roman"/>
                <w:bCs/>
                <w:sz w:val="24"/>
                <w:szCs w:val="24"/>
              </w:rPr>
              <w:t>Ministru kabineta 2006.gada 9.maija noteikumos Nr.376</w:t>
            </w:r>
            <w:r w:rsidR="00FD5FB2" w:rsidRPr="00BC7967">
              <w:rPr>
                <w:rFonts w:ascii="Times New Roman" w:hAnsi="Times New Roman"/>
                <w:sz w:val="24"/>
                <w:szCs w:val="24"/>
              </w:rPr>
              <w:t xml:space="preserve"> ”</w:t>
            </w:r>
            <w:r w:rsidR="00FD5FB2" w:rsidRPr="00BC7967">
              <w:rPr>
                <w:rFonts w:ascii="Times New Roman" w:hAnsi="Times New Roman"/>
                <w:bCs/>
                <w:sz w:val="24"/>
                <w:szCs w:val="24"/>
              </w:rPr>
              <w:t>Zāļu reģistrēšanas kārtība”</w:t>
            </w:r>
            <w:r w:rsidR="00BC7967" w:rsidRPr="00BC7967">
              <w:rPr>
                <w:rFonts w:ascii="Times New Roman" w:hAnsi="Times New Roman"/>
                <w:bCs/>
                <w:sz w:val="24"/>
                <w:szCs w:val="24"/>
              </w:rPr>
              <w:t xml:space="preserve"> (turpmāk –-</w:t>
            </w:r>
            <w:r w:rsidR="00FD5FB2" w:rsidRPr="00BC7967">
              <w:rPr>
                <w:rFonts w:ascii="Times New Roman" w:hAnsi="Times New Roman"/>
                <w:bCs/>
                <w:sz w:val="24"/>
                <w:szCs w:val="24"/>
              </w:rPr>
              <w:t xml:space="preserve">MK noteikumi Nr.376), </w:t>
            </w:r>
            <w:r w:rsidR="00FD5FB2" w:rsidRPr="00BC7967">
              <w:rPr>
                <w:rFonts w:ascii="Times New Roman" w:hAnsi="Times New Roman"/>
                <w:noProof/>
                <w:sz w:val="24"/>
                <w:szCs w:val="24"/>
              </w:rPr>
              <w:t>Ministru kabineta 2013.gada 22.janvāra noteikumos Nr.47 ”Farmakovigilances kārtība” (turpmāk - </w:t>
            </w:r>
            <w:r w:rsidR="00086F60" w:rsidRPr="00BC7967">
              <w:rPr>
                <w:rFonts w:ascii="Times New Roman" w:hAnsi="Times New Roman"/>
                <w:noProof/>
                <w:sz w:val="24"/>
                <w:szCs w:val="24"/>
              </w:rPr>
              <w:t>MK noteikumi</w:t>
            </w:r>
            <w:r w:rsidR="00FD5FB2" w:rsidRPr="00BC7967">
              <w:rPr>
                <w:rFonts w:ascii="Times New Roman" w:hAnsi="Times New Roman"/>
                <w:noProof/>
                <w:sz w:val="24"/>
                <w:szCs w:val="24"/>
              </w:rPr>
              <w:t xml:space="preserve"> Nr.47) </w:t>
            </w:r>
            <w:r w:rsidR="00BC7967" w:rsidRPr="00BC7967">
              <w:rPr>
                <w:rFonts w:ascii="Times New Roman" w:hAnsi="Times New Roman"/>
                <w:bCs/>
                <w:sz w:val="24"/>
                <w:szCs w:val="24"/>
              </w:rPr>
              <w:t>lietoto terminoloģiju.</w:t>
            </w:r>
          </w:p>
          <w:p w:rsidR="00086F60" w:rsidRPr="00BC7967" w:rsidRDefault="00086F60" w:rsidP="006A18A5">
            <w:pPr>
              <w:jc w:val="both"/>
              <w:rPr>
                <w:lang w:val="lv-LV"/>
              </w:rPr>
            </w:pPr>
          </w:p>
          <w:p w:rsidR="003A4256" w:rsidRPr="00BC7967" w:rsidRDefault="00FD5FB2">
            <w:pPr>
              <w:jc w:val="both"/>
              <w:rPr>
                <w:lang w:val="lv-LV"/>
              </w:rPr>
            </w:pPr>
            <w:r w:rsidRPr="00BC7967">
              <w:rPr>
                <w:lang w:val="lv-LV"/>
              </w:rPr>
              <w:t>4. Pašlaik MK noteikumu Nr.436 9.1.apakšpunkta norma paredz par zālēm sniegt informāciju – zāļu stiprums, bet nav ob</w:t>
            </w:r>
            <w:r w:rsidR="0066048C" w:rsidRPr="00BC7967">
              <w:rPr>
                <w:lang w:val="lv-LV"/>
              </w:rPr>
              <w:t>li</w:t>
            </w:r>
            <w:r w:rsidRPr="00BC7967">
              <w:rPr>
                <w:lang w:val="lv-LV"/>
              </w:rPr>
              <w:t xml:space="preserve">gāti norādāma koncentrācija, kas rada risku neprecīzas informācijas saņemšanai. Tāpēc MK noteikumu 9.1.apakšpunkts ir precizējams un par zālēm ir jānorāda arī to koncentrācija pēc analoģijas ar </w:t>
            </w:r>
            <w:r w:rsidRPr="00BC7967">
              <w:rPr>
                <w:bCs/>
                <w:lang w:val="lv-LV"/>
              </w:rPr>
              <w:t>MK noteikumu Nr.416 normām.</w:t>
            </w:r>
          </w:p>
        </w:tc>
      </w:tr>
      <w:tr w:rsidR="004134D0" w:rsidRPr="00BC7967" w:rsidTr="00BC7967">
        <w:trPr>
          <w:gridBefore w:val="1"/>
          <w:wBefore w:w="34" w:type="dxa"/>
          <w:trHeight w:val="634"/>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lastRenderedPageBreak/>
              <w:t>3.</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Saistītie politikas ietekmes novērtējumi un pētījumi</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FootnoteText"/>
              <w:rPr>
                <w:color w:val="auto"/>
                <w:sz w:val="24"/>
                <w:szCs w:val="24"/>
              </w:rPr>
            </w:pPr>
            <w:r w:rsidRPr="00BC7967">
              <w:rPr>
                <w:color w:val="auto"/>
                <w:sz w:val="24"/>
                <w:szCs w:val="24"/>
              </w:rPr>
              <w:t>Projek</w:t>
            </w:r>
            <w:r w:rsidR="0088225D" w:rsidRPr="00BC7967">
              <w:rPr>
                <w:color w:val="auto"/>
                <w:sz w:val="24"/>
                <w:szCs w:val="24"/>
              </w:rPr>
              <w:t>ts šo jomu neskar</w:t>
            </w:r>
            <w:r w:rsidR="0012535A" w:rsidRPr="00BC7967">
              <w:rPr>
                <w:color w:val="auto"/>
                <w:sz w:val="24"/>
                <w:szCs w:val="24"/>
              </w:rPr>
              <w:t>.</w:t>
            </w:r>
          </w:p>
        </w:tc>
      </w:tr>
      <w:tr w:rsidR="004134D0" w:rsidRPr="00BC7967" w:rsidTr="00BC7967">
        <w:trPr>
          <w:gridBefore w:val="1"/>
          <w:wBefore w:w="34" w:type="dxa"/>
          <w:trHeight w:val="1124"/>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4.</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Tiesiskā regulējuma mērķis un būtība</w:t>
            </w:r>
          </w:p>
        </w:tc>
        <w:tc>
          <w:tcPr>
            <w:tcW w:w="7517" w:type="dxa"/>
            <w:gridSpan w:val="7"/>
            <w:tcBorders>
              <w:top w:val="single" w:sz="4" w:space="0" w:color="auto"/>
              <w:left w:val="single" w:sz="4" w:space="0" w:color="auto"/>
              <w:bottom w:val="single" w:sz="4" w:space="0" w:color="auto"/>
              <w:right w:val="single" w:sz="4" w:space="0" w:color="auto"/>
            </w:tcBorders>
          </w:tcPr>
          <w:p w:rsidR="00411E1F" w:rsidRPr="00BC7967" w:rsidRDefault="000E33E5" w:rsidP="004A0F32">
            <w:pPr>
              <w:jc w:val="both"/>
              <w:rPr>
                <w:lang w:val="lv-LV"/>
              </w:rPr>
            </w:pPr>
            <w:r w:rsidRPr="00BC7967">
              <w:rPr>
                <w:lang w:val="lv-LV"/>
              </w:rPr>
              <w:t>1. </w:t>
            </w:r>
            <w:r w:rsidR="00571807" w:rsidRPr="00BC7967">
              <w:rPr>
                <w:lang w:val="lv-LV"/>
              </w:rPr>
              <w:t xml:space="preserve">Precizēt </w:t>
            </w:r>
            <w:r w:rsidRPr="00BC7967">
              <w:rPr>
                <w:lang w:val="lv-LV"/>
              </w:rPr>
              <w:t xml:space="preserve">zāļu uzraudzību un kompetento iestāžu sadarbību </w:t>
            </w:r>
            <w:r w:rsidR="00617CA3" w:rsidRPr="00BC7967">
              <w:rPr>
                <w:lang w:val="lv-LV"/>
              </w:rPr>
              <w:t>(Noteikumu projekta</w:t>
            </w:r>
            <w:r w:rsidR="00BB44F5" w:rsidRPr="00BC7967">
              <w:rPr>
                <w:lang w:val="lv-LV"/>
              </w:rPr>
              <w:t xml:space="preserve"> </w:t>
            </w:r>
            <w:r w:rsidR="001E2007" w:rsidRPr="00BC7967">
              <w:rPr>
                <w:lang w:val="lv-LV"/>
              </w:rPr>
              <w:t>1.10</w:t>
            </w:r>
            <w:r w:rsidRPr="00BC7967">
              <w:rPr>
                <w:lang w:val="lv-LV"/>
              </w:rPr>
              <w:t xml:space="preserve">. un </w:t>
            </w:r>
            <w:r w:rsidR="001E2007" w:rsidRPr="00BC7967">
              <w:rPr>
                <w:lang w:val="lv-LV"/>
              </w:rPr>
              <w:t>1.11</w:t>
            </w:r>
            <w:r w:rsidR="007C45F8" w:rsidRPr="00BC7967">
              <w:rPr>
                <w:lang w:val="lv-LV"/>
              </w:rPr>
              <w:t>.</w:t>
            </w:r>
            <w:r w:rsidR="0022215C" w:rsidRPr="00BC7967">
              <w:rPr>
                <w:lang w:val="lv-LV"/>
              </w:rPr>
              <w:t>apakš</w:t>
            </w:r>
            <w:r w:rsidR="00617CA3" w:rsidRPr="00BC7967">
              <w:rPr>
                <w:lang w:val="lv-LV"/>
              </w:rPr>
              <w:t>punkts)</w:t>
            </w:r>
            <w:r w:rsidR="00D0743D" w:rsidRPr="00BC7967">
              <w:rPr>
                <w:lang w:val="lv-LV"/>
              </w:rPr>
              <w:t>.</w:t>
            </w:r>
          </w:p>
          <w:p w:rsidR="005737B2" w:rsidRPr="00BC7967" w:rsidRDefault="005737B2" w:rsidP="004A0F32">
            <w:pPr>
              <w:pStyle w:val="naisf"/>
              <w:spacing w:before="0" w:beforeAutospacing="0" w:after="0" w:afterAutospacing="0"/>
              <w:jc w:val="both"/>
              <w:rPr>
                <w:lang w:val="lv-LV"/>
              </w:rPr>
            </w:pPr>
          </w:p>
          <w:p w:rsidR="007E47C8" w:rsidRPr="00BC7967" w:rsidRDefault="000E33E5" w:rsidP="004A0F32">
            <w:pPr>
              <w:jc w:val="both"/>
              <w:rPr>
                <w:lang w:val="lv-LV"/>
              </w:rPr>
            </w:pPr>
            <w:r w:rsidRPr="00BC7967">
              <w:rPr>
                <w:lang w:val="lv-LV"/>
              </w:rPr>
              <w:t>2. </w:t>
            </w:r>
            <w:r w:rsidR="0022124A" w:rsidRPr="00BC7967">
              <w:rPr>
                <w:lang w:val="lv-LV"/>
              </w:rPr>
              <w:t>N</w:t>
            </w:r>
            <w:r w:rsidR="004A0F32" w:rsidRPr="00BC7967">
              <w:rPr>
                <w:bCs/>
                <w:lang w:val="lv-LV"/>
              </w:rPr>
              <w:t xml:space="preserve">orādīt atsauci uz </w:t>
            </w:r>
            <w:r w:rsidR="007D7A99" w:rsidRPr="00BC7967">
              <w:rPr>
                <w:lang w:val="lv-LV"/>
              </w:rPr>
              <w:t xml:space="preserve">Direktīvu </w:t>
            </w:r>
            <w:r w:rsidR="0022124A" w:rsidRPr="00BC7967">
              <w:rPr>
                <w:lang w:val="lv-LV"/>
              </w:rPr>
              <w:t>Nr.2011/62</w:t>
            </w:r>
            <w:r w:rsidR="004A0F32" w:rsidRPr="00BC7967">
              <w:rPr>
                <w:lang w:val="lv-LV"/>
              </w:rPr>
              <w:t>/ES</w:t>
            </w:r>
            <w:r w:rsidR="00C91378" w:rsidRPr="00BC7967">
              <w:rPr>
                <w:lang w:val="lv-LV"/>
              </w:rPr>
              <w:t>.</w:t>
            </w:r>
            <w:r w:rsidR="00422BAC" w:rsidRPr="00BC7967">
              <w:rPr>
                <w:bCs/>
                <w:lang w:val="lv-LV"/>
              </w:rPr>
              <w:t xml:space="preserve"> Līdz ar to ir apliecināta š</w:t>
            </w:r>
            <w:r w:rsidR="008D2B90" w:rsidRPr="00BC7967">
              <w:rPr>
                <w:bCs/>
                <w:lang w:val="lv-LV"/>
              </w:rPr>
              <w:t>īs</w:t>
            </w:r>
            <w:r w:rsidR="00422BAC" w:rsidRPr="00BC7967">
              <w:rPr>
                <w:bCs/>
                <w:lang w:val="lv-LV"/>
              </w:rPr>
              <w:t xml:space="preserve"> direktīv</w:t>
            </w:r>
            <w:r w:rsidR="008D2B90" w:rsidRPr="00BC7967">
              <w:rPr>
                <w:bCs/>
                <w:lang w:val="lv-LV"/>
              </w:rPr>
              <w:t>as</w:t>
            </w:r>
            <w:r w:rsidR="004A0F32" w:rsidRPr="00BC7967">
              <w:rPr>
                <w:bCs/>
                <w:lang w:val="lv-LV"/>
              </w:rPr>
              <w:t xml:space="preserve"> ieviešana</w:t>
            </w:r>
            <w:r w:rsidR="00F40759" w:rsidRPr="00BC7967">
              <w:rPr>
                <w:bCs/>
                <w:lang w:val="lv-LV"/>
              </w:rPr>
              <w:t xml:space="preserve"> (Noteikumu proje</w:t>
            </w:r>
            <w:r w:rsidR="001E2007" w:rsidRPr="00BC7967">
              <w:rPr>
                <w:bCs/>
                <w:lang w:val="lv-LV"/>
              </w:rPr>
              <w:t>kta 1.12</w:t>
            </w:r>
            <w:r w:rsidR="0086620E" w:rsidRPr="00BC7967">
              <w:rPr>
                <w:bCs/>
                <w:lang w:val="lv-LV"/>
              </w:rPr>
              <w:t>.</w:t>
            </w:r>
            <w:r w:rsidR="00C8754A" w:rsidRPr="00BC7967">
              <w:rPr>
                <w:bCs/>
                <w:lang w:val="lv-LV"/>
              </w:rPr>
              <w:t>apakš</w:t>
            </w:r>
            <w:r w:rsidR="0086620E" w:rsidRPr="00BC7967">
              <w:rPr>
                <w:bCs/>
                <w:lang w:val="lv-LV"/>
              </w:rPr>
              <w:t>punkts)</w:t>
            </w:r>
            <w:r w:rsidR="007E47C8" w:rsidRPr="00BC7967">
              <w:rPr>
                <w:bCs/>
                <w:lang w:val="lv-LV"/>
              </w:rPr>
              <w:t>.</w:t>
            </w:r>
          </w:p>
          <w:p w:rsidR="002D6B8C" w:rsidRPr="00BC7967" w:rsidRDefault="002D6B8C" w:rsidP="002802FA">
            <w:pPr>
              <w:jc w:val="both"/>
              <w:rPr>
                <w:lang w:val="lv-LV"/>
              </w:rPr>
            </w:pPr>
          </w:p>
          <w:p w:rsidR="000E33E5" w:rsidRPr="00BC7967" w:rsidRDefault="006B57C5" w:rsidP="002802FA">
            <w:pPr>
              <w:jc w:val="both"/>
              <w:rPr>
                <w:lang w:val="lv-LV"/>
              </w:rPr>
            </w:pPr>
            <w:r w:rsidRPr="00BC7967">
              <w:rPr>
                <w:lang w:val="lv-LV"/>
              </w:rPr>
              <w:t>3. </w:t>
            </w:r>
            <w:r w:rsidR="00547CBE" w:rsidRPr="00BC7967">
              <w:rPr>
                <w:lang w:val="lv-LV"/>
              </w:rPr>
              <w:t>Nodrošināt</w:t>
            </w:r>
            <w:r w:rsidR="000E33E5" w:rsidRPr="00BC7967">
              <w:rPr>
                <w:lang w:val="lv-LV"/>
              </w:rPr>
              <w:t xml:space="preserve"> </w:t>
            </w:r>
            <w:r w:rsidR="006A46E9" w:rsidRPr="00BC7967">
              <w:rPr>
                <w:rStyle w:val="spelle"/>
                <w:lang w:val="lv-LV"/>
              </w:rPr>
              <w:t xml:space="preserve">atļaujas zāļu paraugu importam, produkta sertifikāta, saīsinātā produkta sertifikāta, </w:t>
            </w:r>
            <w:r w:rsidR="006A46E9" w:rsidRPr="00BC7967">
              <w:rPr>
                <w:lang w:val="lv-LV"/>
              </w:rPr>
              <w:t>paziņojuma par produkta reģistrācijas statusu</w:t>
            </w:r>
            <w:r w:rsidR="006A46E9" w:rsidRPr="00BC7967">
              <w:rPr>
                <w:rStyle w:val="HeaderChar"/>
                <w:lang w:val="lv-LV"/>
              </w:rPr>
              <w:t xml:space="preserve"> </w:t>
            </w:r>
            <w:r w:rsidR="0057550B" w:rsidRPr="00BC7967">
              <w:rPr>
                <w:lang w:val="lv-LV"/>
              </w:rPr>
              <w:t xml:space="preserve">saņemšanas iespēju </w:t>
            </w:r>
            <w:r w:rsidR="000E33E5" w:rsidRPr="00BC7967">
              <w:rPr>
                <w:lang w:val="lv-LV"/>
              </w:rPr>
              <w:t xml:space="preserve">elektroniskā formā </w:t>
            </w:r>
            <w:r w:rsidR="0057550B" w:rsidRPr="00BC7967">
              <w:rPr>
                <w:lang w:val="lv-LV"/>
              </w:rPr>
              <w:t xml:space="preserve">vai papīra formā pēc izvēles </w:t>
            </w:r>
            <w:r w:rsidR="00547CBE" w:rsidRPr="00BC7967">
              <w:rPr>
                <w:lang w:val="lv-LV"/>
              </w:rPr>
              <w:t>un pārejas periodu normu ieviešanai</w:t>
            </w:r>
            <w:r w:rsidR="008D2B90" w:rsidRPr="00BC7967">
              <w:rPr>
                <w:lang w:val="lv-LV"/>
              </w:rPr>
              <w:t xml:space="preserve"> saistībā ar papildus maksu par dokumenta saņemšanu papīra formātā</w:t>
            </w:r>
            <w:r w:rsidR="00547CBE" w:rsidRPr="00BC7967">
              <w:rPr>
                <w:lang w:val="lv-LV"/>
              </w:rPr>
              <w:t xml:space="preserve"> </w:t>
            </w:r>
            <w:r w:rsidR="000E33E5" w:rsidRPr="00BC7967">
              <w:rPr>
                <w:lang w:val="lv-LV"/>
              </w:rPr>
              <w:t xml:space="preserve">(Noteikumu </w:t>
            </w:r>
            <w:r w:rsidR="001E2007" w:rsidRPr="00BC7967">
              <w:rPr>
                <w:lang w:val="lv-LV"/>
              </w:rPr>
              <w:t>projekta 1.3., 1.6., 1.8. un 1.9</w:t>
            </w:r>
            <w:r w:rsidR="00547CBE" w:rsidRPr="00BC7967">
              <w:rPr>
                <w:lang w:val="lv-LV"/>
              </w:rPr>
              <w:t>.apakšpunkts un 2.punkts).</w:t>
            </w:r>
          </w:p>
          <w:p w:rsidR="008D2B90" w:rsidRPr="00BC7967" w:rsidRDefault="008D2B90" w:rsidP="002802FA">
            <w:pPr>
              <w:jc w:val="both"/>
              <w:rPr>
                <w:lang w:val="lv-LV"/>
              </w:rPr>
            </w:pPr>
          </w:p>
          <w:p w:rsidR="00AF5550" w:rsidRPr="00BC7967" w:rsidRDefault="00DA50BB" w:rsidP="00AF5550">
            <w:pPr>
              <w:pStyle w:val="NoSpacing"/>
              <w:jc w:val="both"/>
              <w:rPr>
                <w:rFonts w:ascii="Times New Roman" w:hAnsi="Times New Roman"/>
                <w:sz w:val="24"/>
                <w:szCs w:val="24"/>
              </w:rPr>
            </w:pPr>
            <w:r w:rsidRPr="00BC7967">
              <w:rPr>
                <w:rFonts w:ascii="Times New Roman" w:hAnsi="Times New Roman"/>
                <w:sz w:val="24"/>
                <w:szCs w:val="24"/>
              </w:rPr>
              <w:t>4</w:t>
            </w:r>
            <w:r w:rsidR="000E33E5" w:rsidRPr="00BC7967">
              <w:rPr>
                <w:rFonts w:ascii="Times New Roman" w:hAnsi="Times New Roman"/>
                <w:sz w:val="24"/>
                <w:szCs w:val="24"/>
              </w:rPr>
              <w:t>. </w:t>
            </w:r>
            <w:r w:rsidR="00DE75F5" w:rsidRPr="00BC7967">
              <w:rPr>
                <w:rFonts w:ascii="Times New Roman" w:hAnsi="Times New Roman"/>
                <w:sz w:val="24"/>
                <w:szCs w:val="24"/>
              </w:rPr>
              <w:t>Redakcionāli p</w:t>
            </w:r>
            <w:r w:rsidR="00AF5550" w:rsidRPr="00BC7967">
              <w:rPr>
                <w:rFonts w:ascii="Times New Roman" w:hAnsi="Times New Roman"/>
                <w:sz w:val="24"/>
                <w:szCs w:val="24"/>
              </w:rPr>
              <w:t xml:space="preserve">recizēt MK noteikumu 1., 2., </w:t>
            </w:r>
            <w:r w:rsidR="0066578A" w:rsidRPr="00BC7967">
              <w:rPr>
                <w:rFonts w:ascii="Times New Roman" w:hAnsi="Times New Roman"/>
                <w:sz w:val="24"/>
                <w:szCs w:val="24"/>
              </w:rPr>
              <w:t>4. un 5.</w:t>
            </w:r>
            <w:r w:rsidR="00AF5550" w:rsidRPr="00BC7967">
              <w:rPr>
                <w:rFonts w:ascii="Times New Roman" w:hAnsi="Times New Roman"/>
                <w:sz w:val="24"/>
                <w:szCs w:val="24"/>
              </w:rPr>
              <w:t xml:space="preserve">pielikumu, jo  </w:t>
            </w:r>
            <w:r w:rsidR="00DE75F5" w:rsidRPr="00BC7967">
              <w:rPr>
                <w:rFonts w:ascii="Times New Roman" w:hAnsi="Times New Roman"/>
                <w:sz w:val="24"/>
                <w:szCs w:val="24"/>
              </w:rPr>
              <w:t>tā kā</w:t>
            </w:r>
            <w:r w:rsidR="00AF5550" w:rsidRPr="00BC7967">
              <w:rPr>
                <w:rFonts w:ascii="Times New Roman" w:hAnsi="Times New Roman"/>
                <w:sz w:val="24"/>
                <w:szCs w:val="24"/>
              </w:rPr>
              <w:t xml:space="preserve"> M</w:t>
            </w:r>
            <w:r w:rsidR="00AD4A98" w:rsidRPr="00BC7967">
              <w:rPr>
                <w:rFonts w:ascii="Times New Roman" w:hAnsi="Times New Roman"/>
                <w:sz w:val="24"/>
                <w:szCs w:val="24"/>
              </w:rPr>
              <w:t>inistru kabineta 2005.gada 28.jū</w:t>
            </w:r>
            <w:r w:rsidR="00AF5550" w:rsidRPr="00BC7967">
              <w:rPr>
                <w:rFonts w:ascii="Times New Roman" w:hAnsi="Times New Roman"/>
                <w:sz w:val="24"/>
                <w:szCs w:val="24"/>
              </w:rPr>
              <w:t>nija noteikumu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66578A" w:rsidRPr="00BC7967">
              <w:rPr>
                <w:rFonts w:ascii="Times New Roman" w:hAnsi="Times New Roman"/>
                <w:sz w:val="24"/>
                <w:szCs w:val="24"/>
              </w:rPr>
              <w:t xml:space="preserve"> 8.</w:t>
            </w:r>
            <w:r w:rsidR="00DE75F5" w:rsidRPr="00BC7967">
              <w:rPr>
                <w:rFonts w:ascii="Times New Roman" w:hAnsi="Times New Roman"/>
                <w:sz w:val="24"/>
                <w:szCs w:val="24"/>
              </w:rPr>
              <w:t>punkta</w:t>
            </w:r>
            <w:r w:rsidR="00C30420" w:rsidRPr="00BC7967">
              <w:rPr>
                <w:rFonts w:ascii="Times New Roman" w:hAnsi="Times New Roman"/>
                <w:sz w:val="24"/>
                <w:szCs w:val="24"/>
              </w:rPr>
              <w:t xml:space="preserve">m, nosakot, ka elektroniskā dokumenta kopijai papīra dokumenta formā nav aizpildāms tikai rekvizīts </w:t>
            </w:r>
            <w:r w:rsidR="00D70D47" w:rsidRPr="00BC7967">
              <w:rPr>
                <w:rFonts w:ascii="Times New Roman" w:hAnsi="Times New Roman"/>
                <w:sz w:val="24"/>
                <w:szCs w:val="24"/>
              </w:rPr>
              <w:t>”</w:t>
            </w:r>
            <w:r w:rsidR="00C30420" w:rsidRPr="00BC7967">
              <w:rPr>
                <w:rFonts w:ascii="Times New Roman" w:hAnsi="Times New Roman"/>
                <w:sz w:val="24"/>
                <w:szCs w:val="24"/>
              </w:rPr>
              <w:t>Paraksts”.</w:t>
            </w:r>
            <w:r w:rsidR="00DE75F5" w:rsidRPr="00BC7967">
              <w:rPr>
                <w:rFonts w:ascii="Times New Roman" w:hAnsi="Times New Roman"/>
                <w:sz w:val="24"/>
                <w:szCs w:val="24"/>
              </w:rPr>
              <w:t xml:space="preserve"> </w:t>
            </w:r>
            <w:r w:rsidR="00AF5550" w:rsidRPr="00BC7967">
              <w:rPr>
                <w:rFonts w:ascii="Times New Roman" w:hAnsi="Times New Roman"/>
                <w:sz w:val="24"/>
                <w:szCs w:val="24"/>
              </w:rPr>
              <w:t xml:space="preserve">(Noteikumu projekta </w:t>
            </w:r>
            <w:r w:rsidR="001E2007" w:rsidRPr="00BC7967">
              <w:rPr>
                <w:rFonts w:ascii="Times New Roman" w:hAnsi="Times New Roman"/>
                <w:sz w:val="24"/>
                <w:szCs w:val="24"/>
              </w:rPr>
              <w:t>1.13</w:t>
            </w:r>
            <w:r w:rsidR="002920B4" w:rsidRPr="00BC7967">
              <w:rPr>
                <w:rFonts w:ascii="Times New Roman" w:hAnsi="Times New Roman"/>
                <w:sz w:val="24"/>
                <w:szCs w:val="24"/>
              </w:rPr>
              <w:t>.</w:t>
            </w:r>
            <w:r w:rsidR="00ED1CC5" w:rsidRPr="00BC7967">
              <w:rPr>
                <w:rFonts w:ascii="Times New Roman" w:hAnsi="Times New Roman"/>
                <w:sz w:val="24"/>
                <w:szCs w:val="24"/>
              </w:rPr>
              <w:t>apakšpunkts</w:t>
            </w:r>
            <w:r w:rsidR="00AF5550" w:rsidRPr="00BC7967">
              <w:rPr>
                <w:rFonts w:ascii="Times New Roman" w:hAnsi="Times New Roman"/>
                <w:sz w:val="24"/>
                <w:szCs w:val="24"/>
              </w:rPr>
              <w:t>).</w:t>
            </w:r>
          </w:p>
          <w:p w:rsidR="00DA50BB" w:rsidRPr="00BC7967" w:rsidRDefault="00DA50BB" w:rsidP="00DA50BB">
            <w:pPr>
              <w:jc w:val="both"/>
              <w:rPr>
                <w:lang w:val="lv-LV"/>
              </w:rPr>
            </w:pPr>
          </w:p>
          <w:p w:rsidR="00DA50BB" w:rsidRPr="00BC7967" w:rsidRDefault="00DA50BB" w:rsidP="00DA50BB">
            <w:pPr>
              <w:jc w:val="both"/>
              <w:rPr>
                <w:lang w:val="lv-LV"/>
              </w:rPr>
            </w:pPr>
            <w:r w:rsidRPr="00BC7967">
              <w:rPr>
                <w:lang w:val="lv-LV"/>
              </w:rPr>
              <w:t xml:space="preserve">5. Nodrošināt terminoloģijas konsekvenci un </w:t>
            </w:r>
            <w:r w:rsidRPr="00BC7967">
              <w:rPr>
                <w:bCs/>
                <w:lang w:val="lv-LV"/>
              </w:rPr>
              <w:t xml:space="preserve">atbilstību </w:t>
            </w:r>
            <w:r w:rsidRPr="00BC7967">
              <w:rPr>
                <w:lang w:val="lv-LV"/>
              </w:rPr>
              <w:t xml:space="preserve">Ministru kabineta 2009.gada 3. februāra noteikumu Nr.108 ”Normatīvo aktu projektu sagatavošanas noteikumi” </w:t>
            </w:r>
            <w:r w:rsidR="00154570" w:rsidRPr="00BC7967">
              <w:rPr>
                <w:lang w:val="lv-LV"/>
              </w:rPr>
              <w:t xml:space="preserve">2.2. un </w:t>
            </w:r>
            <w:r w:rsidRPr="00BC7967">
              <w:rPr>
                <w:bCs/>
                <w:lang w:val="lv-LV"/>
              </w:rPr>
              <w:t>2.3.apakšpunktam, p</w:t>
            </w:r>
            <w:r w:rsidRPr="00BC7967">
              <w:rPr>
                <w:lang w:val="lv-LV"/>
              </w:rPr>
              <w:t>recizējot terminoloģiju MK noteikum</w:t>
            </w:r>
            <w:r w:rsidR="00C30420" w:rsidRPr="00BC7967">
              <w:rPr>
                <w:lang w:val="lv-LV"/>
              </w:rPr>
              <w:t>os</w:t>
            </w:r>
            <w:r w:rsidRPr="00BC7967">
              <w:rPr>
                <w:lang w:val="lv-LV"/>
              </w:rPr>
              <w:t xml:space="preserve"> Nr.436 un ieviešot terminu ”zāļu reģistrācijas īpašnieks” termina ”reģistrācijas apliecības turētājs” vietā (Noteiku</w:t>
            </w:r>
            <w:r w:rsidR="001E2007" w:rsidRPr="00BC7967">
              <w:rPr>
                <w:lang w:val="lv-LV"/>
              </w:rPr>
              <w:t xml:space="preserve">mu projekta 1.1., 1.4., </w:t>
            </w:r>
            <w:r w:rsidRPr="00BC7967">
              <w:rPr>
                <w:lang w:val="lv-LV"/>
              </w:rPr>
              <w:t>1.5.</w:t>
            </w:r>
            <w:r w:rsidR="001E2007" w:rsidRPr="00BC7967">
              <w:rPr>
                <w:lang w:val="lv-LV"/>
              </w:rPr>
              <w:t xml:space="preserve"> un 1.7.</w:t>
            </w:r>
            <w:r w:rsidRPr="00BC7967">
              <w:rPr>
                <w:lang w:val="lv-LV"/>
              </w:rPr>
              <w:t>apakšp</w:t>
            </w:r>
            <w:r w:rsidR="00323B7B" w:rsidRPr="00BC7967">
              <w:rPr>
                <w:lang w:val="lv-LV"/>
              </w:rPr>
              <w:t>unkts), kā arī precizēt par zālēm sniedzamo informāciju (1.2.apakšpunkts).</w:t>
            </w:r>
          </w:p>
          <w:p w:rsidR="002802FA" w:rsidRPr="00BC7967" w:rsidRDefault="002802FA" w:rsidP="00411E1F">
            <w:pPr>
              <w:jc w:val="both"/>
              <w:rPr>
                <w:lang w:val="lv-LV"/>
              </w:rPr>
            </w:pPr>
          </w:p>
          <w:p w:rsidR="00036198" w:rsidRPr="00BC7967" w:rsidRDefault="004A0F32" w:rsidP="00411E1F">
            <w:pPr>
              <w:jc w:val="both"/>
              <w:rPr>
                <w:lang w:val="lv-LV"/>
              </w:rPr>
            </w:pPr>
            <w:r w:rsidRPr="00BC7967">
              <w:rPr>
                <w:lang w:val="lv-LV"/>
              </w:rPr>
              <w:t>Līdz ar to ir atrisinātas Anotācijas I sadaļas 2.punktā minētās problēmas.</w:t>
            </w:r>
          </w:p>
        </w:tc>
      </w:tr>
      <w:tr w:rsidR="004134D0" w:rsidRPr="00BC7967" w:rsidTr="00BC7967">
        <w:trPr>
          <w:gridBefore w:val="1"/>
          <w:wBefore w:w="34" w:type="dxa"/>
          <w:trHeight w:val="476"/>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lastRenderedPageBreak/>
              <w:t>5.</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Projekta izstrādē iesaistītās institūcijas</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oSpacing"/>
              <w:rPr>
                <w:rFonts w:ascii="Times New Roman" w:hAnsi="Times New Roman"/>
                <w:sz w:val="24"/>
                <w:szCs w:val="24"/>
              </w:rPr>
            </w:pPr>
            <w:r w:rsidRPr="00BC7967">
              <w:rPr>
                <w:rFonts w:ascii="Times New Roman" w:hAnsi="Times New Roman"/>
                <w:sz w:val="24"/>
                <w:szCs w:val="24"/>
              </w:rPr>
              <w:t>Zāļu valsts aģentūra</w:t>
            </w:r>
          </w:p>
          <w:p w:rsidR="004134D0" w:rsidRPr="00BC7967" w:rsidRDefault="004134D0" w:rsidP="004134D0">
            <w:pPr>
              <w:pStyle w:val="NoSpacing"/>
              <w:rPr>
                <w:rFonts w:ascii="Times New Roman" w:hAnsi="Times New Roman"/>
                <w:sz w:val="24"/>
                <w:szCs w:val="24"/>
              </w:rPr>
            </w:pPr>
            <w:r w:rsidRPr="00BC7967">
              <w:rPr>
                <w:rFonts w:ascii="Times New Roman" w:hAnsi="Times New Roman"/>
                <w:sz w:val="24"/>
                <w:szCs w:val="24"/>
              </w:rPr>
              <w:t>Veselības inspekcija</w:t>
            </w:r>
          </w:p>
        </w:tc>
      </w:tr>
      <w:tr w:rsidR="004134D0" w:rsidRPr="00BC7967" w:rsidTr="00BC7967">
        <w:trPr>
          <w:gridBefore w:val="1"/>
          <w:wBefore w:w="34" w:type="dxa"/>
          <w:trHeight w:val="457"/>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6.</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rPr>
                <w:i/>
              </w:rPr>
            </w:pPr>
            <w:r w:rsidRPr="00BC7967">
              <w:t>Iemesli, kādēļ netika nodrošināta sabiedrības līdzdalība</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BC7967" w:rsidRDefault="0088225D" w:rsidP="004134D0">
            <w:pPr>
              <w:pStyle w:val="FootnoteText"/>
              <w:rPr>
                <w:color w:val="auto"/>
                <w:sz w:val="24"/>
                <w:szCs w:val="24"/>
              </w:rPr>
            </w:pPr>
            <w:r w:rsidRPr="00BC7967">
              <w:rPr>
                <w:color w:val="auto"/>
                <w:sz w:val="24"/>
                <w:szCs w:val="24"/>
              </w:rPr>
              <w:t>Projekts šo jomu neskar</w:t>
            </w:r>
            <w:r w:rsidR="005B760B" w:rsidRPr="00BC7967">
              <w:rPr>
                <w:color w:val="auto"/>
                <w:sz w:val="24"/>
                <w:szCs w:val="24"/>
              </w:rPr>
              <w:t>.</w:t>
            </w:r>
          </w:p>
        </w:tc>
      </w:tr>
      <w:tr w:rsidR="004134D0" w:rsidRPr="00BC7967" w:rsidTr="00BC7967">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7.</w:t>
            </w:r>
          </w:p>
        </w:tc>
        <w:tc>
          <w:tcPr>
            <w:tcW w:w="1551"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Cita informācija</w:t>
            </w:r>
          </w:p>
        </w:tc>
        <w:tc>
          <w:tcPr>
            <w:tcW w:w="7517" w:type="dxa"/>
            <w:gridSpan w:val="7"/>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Nav</w:t>
            </w:r>
          </w:p>
        </w:tc>
      </w:tr>
      <w:tr w:rsidR="004134D0" w:rsidRPr="00BC7967" w:rsidTr="00BC7967">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rPr>
                <w:b w:val="0"/>
              </w:rPr>
            </w:pPr>
            <w:r w:rsidRPr="00BC7967">
              <w:t>II. Tiesību akta projekta ietekme uz sabiedrību</w:t>
            </w:r>
          </w:p>
        </w:tc>
      </w:tr>
      <w:tr w:rsidR="004134D0" w:rsidRPr="00BC7967" w:rsidTr="00BC7967">
        <w:trPr>
          <w:gridBefore w:val="1"/>
          <w:wBefore w:w="34" w:type="dxa"/>
          <w:trHeight w:val="467"/>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1.</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Sabiedrības mērķgrupa</w:t>
            </w:r>
          </w:p>
        </w:tc>
        <w:tc>
          <w:tcPr>
            <w:tcW w:w="6496" w:type="dxa"/>
            <w:gridSpan w:val="4"/>
            <w:tcBorders>
              <w:top w:val="single" w:sz="4" w:space="0" w:color="auto"/>
              <w:left w:val="single" w:sz="4" w:space="0" w:color="auto"/>
              <w:bottom w:val="single" w:sz="4" w:space="0" w:color="auto"/>
              <w:right w:val="single" w:sz="4" w:space="0" w:color="auto"/>
            </w:tcBorders>
            <w:hideMark/>
          </w:tcPr>
          <w:p w:rsidR="00801AA8" w:rsidRPr="00BC7967" w:rsidRDefault="00C31FF9" w:rsidP="009175C7">
            <w:pPr>
              <w:jc w:val="both"/>
              <w:rPr>
                <w:lang w:val="lv-LV"/>
              </w:rPr>
            </w:pPr>
            <w:r w:rsidRPr="00BC7967">
              <w:rPr>
                <w:lang w:val="lv-LV"/>
              </w:rPr>
              <w:t xml:space="preserve">Noteikumu projekta </w:t>
            </w:r>
            <w:r w:rsidR="004134D0" w:rsidRPr="00BC7967">
              <w:rPr>
                <w:lang w:val="lv-LV"/>
              </w:rPr>
              <w:t xml:space="preserve">tiesiskais regulējums </w:t>
            </w:r>
            <w:r w:rsidR="006A46E9" w:rsidRPr="00BC7967">
              <w:rPr>
                <w:lang w:val="lv-LV"/>
              </w:rPr>
              <w:t xml:space="preserve">attiecībā uz </w:t>
            </w:r>
            <w:r w:rsidR="006A46E9" w:rsidRPr="00BC7967">
              <w:rPr>
                <w:rStyle w:val="spelle"/>
                <w:lang w:val="lv-LV"/>
              </w:rPr>
              <w:t xml:space="preserve">atļaujas zāļu paraugu importam, produkta sertifikāta, saīsinātā produkta sertifikāta, </w:t>
            </w:r>
            <w:r w:rsidR="006A46E9" w:rsidRPr="00BC7967">
              <w:rPr>
                <w:lang w:val="lv-LV"/>
              </w:rPr>
              <w:t>paziņojuma par produkta reģistrācijas statusu</w:t>
            </w:r>
            <w:r w:rsidR="006A46E9" w:rsidRPr="00BC7967">
              <w:rPr>
                <w:rStyle w:val="HeaderChar"/>
                <w:lang w:val="lv-LV"/>
              </w:rPr>
              <w:t xml:space="preserve"> </w:t>
            </w:r>
            <w:r w:rsidR="006A46E9" w:rsidRPr="00BC7967">
              <w:rPr>
                <w:lang w:val="lv-LV"/>
              </w:rPr>
              <w:t xml:space="preserve">saņemšanu elektroniskā formā vai papīra formā pēc izvēles </w:t>
            </w:r>
            <w:r w:rsidR="004134D0" w:rsidRPr="00BC7967">
              <w:rPr>
                <w:lang w:val="lv-LV"/>
              </w:rPr>
              <w:t>attiecas u</w:t>
            </w:r>
            <w:r w:rsidRPr="00BC7967">
              <w:rPr>
                <w:lang w:val="lv-LV"/>
              </w:rPr>
              <w:t>z</w:t>
            </w:r>
            <w:r w:rsidR="00863425" w:rsidRPr="00BC7967">
              <w:rPr>
                <w:lang w:val="lv-LV"/>
              </w:rPr>
              <w:t xml:space="preserve"> p</w:t>
            </w:r>
            <w:r w:rsidR="004134D0" w:rsidRPr="00BC7967">
              <w:rPr>
                <w:lang w:val="lv-LV"/>
              </w:rPr>
              <w:t xml:space="preserve">ersonām, kas </w:t>
            </w:r>
            <w:r w:rsidR="00911073" w:rsidRPr="00BC7967">
              <w:rPr>
                <w:lang w:val="lv-LV"/>
              </w:rPr>
              <w:t xml:space="preserve">no trešajām valstīm ieved zāļu paraugus. </w:t>
            </w:r>
            <w:r w:rsidR="00173B06" w:rsidRPr="00BC7967">
              <w:rPr>
                <w:rStyle w:val="spelle"/>
                <w:lang w:val="lv-LV"/>
              </w:rPr>
              <w:t xml:space="preserve">Produkta sertifikāta, saīsinātā produkta sertifikāta, </w:t>
            </w:r>
            <w:r w:rsidR="00173B06" w:rsidRPr="00BC7967">
              <w:rPr>
                <w:lang w:val="lv-LV"/>
              </w:rPr>
              <w:t>paziņojuma par produkta reģistrācijas statusu izsniegšana attiecas uz zāļu ražotājiem.</w:t>
            </w:r>
          </w:p>
        </w:tc>
      </w:tr>
      <w:tr w:rsidR="004134D0" w:rsidRPr="00BC7967" w:rsidTr="00BC7967">
        <w:trPr>
          <w:gridBefore w:val="1"/>
          <w:wBefore w:w="34" w:type="dxa"/>
          <w:trHeight w:val="523"/>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2.</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Citas sabiedrības grupas (bez mērķgrupas), kuras tiesiskais regulējums arī ietekmē vai varētu ietekmēt</w:t>
            </w:r>
          </w:p>
        </w:tc>
        <w:tc>
          <w:tcPr>
            <w:tcW w:w="6496" w:type="dxa"/>
            <w:gridSpan w:val="4"/>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jc w:val="both"/>
              <w:rPr>
                <w:iCs/>
              </w:rPr>
            </w:pPr>
            <w:r w:rsidRPr="00BC7967">
              <w:t>Projekts šo jomu neskar.</w:t>
            </w:r>
          </w:p>
        </w:tc>
      </w:tr>
      <w:tr w:rsidR="004134D0" w:rsidRPr="00BC7967" w:rsidTr="00BC7967">
        <w:trPr>
          <w:gridBefore w:val="1"/>
          <w:wBefore w:w="34" w:type="dxa"/>
          <w:trHeight w:val="517"/>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3.</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Tiesiskā regulējuma finansiālā ietekme</w:t>
            </w:r>
          </w:p>
        </w:tc>
        <w:tc>
          <w:tcPr>
            <w:tcW w:w="6496" w:type="dxa"/>
            <w:gridSpan w:val="4"/>
            <w:tcBorders>
              <w:top w:val="single" w:sz="4" w:space="0" w:color="auto"/>
              <w:left w:val="single" w:sz="4" w:space="0" w:color="auto"/>
              <w:bottom w:val="single" w:sz="4" w:space="0" w:color="auto"/>
              <w:right w:val="single" w:sz="4" w:space="0" w:color="auto"/>
            </w:tcBorders>
            <w:hideMark/>
          </w:tcPr>
          <w:p w:rsidR="0039786A" w:rsidRPr="00BC7967" w:rsidRDefault="00A55739" w:rsidP="0039786A">
            <w:pPr>
              <w:jc w:val="both"/>
              <w:rPr>
                <w:lang w:val="lv-LV"/>
              </w:rPr>
            </w:pPr>
            <w:r w:rsidRPr="00BC7967">
              <w:rPr>
                <w:lang w:val="lv-LV"/>
              </w:rPr>
              <w:t>Projekts šo jomu neskar.</w:t>
            </w:r>
          </w:p>
        </w:tc>
      </w:tr>
      <w:tr w:rsidR="004134D0" w:rsidRPr="00BC7967" w:rsidTr="00BC7967">
        <w:trPr>
          <w:gridBefore w:val="1"/>
          <w:wBefore w:w="34" w:type="dxa"/>
          <w:trHeight w:val="517"/>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4.</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Tiesiskā regulējuma nefinansiālā ietekme</w:t>
            </w:r>
          </w:p>
        </w:tc>
        <w:tc>
          <w:tcPr>
            <w:tcW w:w="6496" w:type="dxa"/>
            <w:gridSpan w:val="4"/>
            <w:tcBorders>
              <w:top w:val="single" w:sz="4" w:space="0" w:color="auto"/>
              <w:left w:val="single" w:sz="4" w:space="0" w:color="auto"/>
              <w:bottom w:val="single" w:sz="4" w:space="0" w:color="auto"/>
              <w:right w:val="single" w:sz="4" w:space="0" w:color="auto"/>
            </w:tcBorders>
            <w:hideMark/>
          </w:tcPr>
          <w:p w:rsidR="00A11748" w:rsidRPr="00BC7967" w:rsidRDefault="00173B06" w:rsidP="009B110D">
            <w:pPr>
              <w:jc w:val="both"/>
              <w:rPr>
                <w:lang w:val="lv-LV"/>
              </w:rPr>
            </w:pPr>
            <w:r w:rsidRPr="00BC7967">
              <w:rPr>
                <w:lang w:val="lv-LV"/>
              </w:rPr>
              <w:t>Projekts šo jomu neskar.</w:t>
            </w:r>
          </w:p>
        </w:tc>
      </w:tr>
      <w:tr w:rsidR="004134D0" w:rsidRPr="00BC7967" w:rsidTr="00BC7967">
        <w:trPr>
          <w:gridBefore w:val="1"/>
          <w:wBefore w:w="34" w:type="dxa"/>
          <w:trHeight w:val="70"/>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5.</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 xml:space="preserve">Administratīvās procedūras </w:t>
            </w:r>
            <w:r w:rsidRPr="00BC7967">
              <w:lastRenderedPageBreak/>
              <w:t>raksturojums</w:t>
            </w:r>
          </w:p>
        </w:tc>
        <w:tc>
          <w:tcPr>
            <w:tcW w:w="6496" w:type="dxa"/>
            <w:gridSpan w:val="4"/>
            <w:tcBorders>
              <w:top w:val="single" w:sz="4" w:space="0" w:color="auto"/>
              <w:left w:val="single" w:sz="4" w:space="0" w:color="auto"/>
              <w:bottom w:val="single" w:sz="4" w:space="0" w:color="auto"/>
              <w:right w:val="single" w:sz="4" w:space="0" w:color="auto"/>
            </w:tcBorders>
            <w:hideMark/>
          </w:tcPr>
          <w:p w:rsidR="00173B06" w:rsidRPr="00BC7967" w:rsidRDefault="00173B06" w:rsidP="00173B06">
            <w:pPr>
              <w:jc w:val="both"/>
              <w:outlineLvl w:val="0"/>
              <w:rPr>
                <w:lang w:val="lv-LV"/>
              </w:rPr>
            </w:pPr>
            <w:r w:rsidRPr="00BC7967">
              <w:rPr>
                <w:rStyle w:val="spelle"/>
                <w:lang w:val="lv-LV"/>
              </w:rPr>
              <w:lastRenderedPageBreak/>
              <w:t xml:space="preserve">Paredzot atļaujas zāļu paraugu importam, produkta sertifikāta, saīsinātā produkta sertifikāta, </w:t>
            </w:r>
            <w:r w:rsidRPr="00BC7967">
              <w:rPr>
                <w:lang w:val="lv-LV"/>
              </w:rPr>
              <w:t xml:space="preserve">paziņojuma par produkta </w:t>
            </w:r>
            <w:r w:rsidRPr="00BC7967">
              <w:rPr>
                <w:lang w:val="lv-LV"/>
              </w:rPr>
              <w:lastRenderedPageBreak/>
              <w:t>reģistrācijas statusu</w:t>
            </w:r>
            <w:r w:rsidRPr="00BC7967">
              <w:rPr>
                <w:rStyle w:val="HeaderChar"/>
                <w:lang w:val="lv-LV"/>
              </w:rPr>
              <w:t xml:space="preserve"> </w:t>
            </w:r>
            <w:r w:rsidRPr="00BC7967">
              <w:rPr>
                <w:lang w:val="lv-LV"/>
              </w:rPr>
              <w:t>saņemšanu elektroniskā formā vai papīra formā pēc izvēles un cenu diferencēšanu, tā būtu veicama uz to administratīvo izmaksu rēķina, kas saistītas ar dokumentu sagatavošanas formu un tās piegādes izmaksām (piemēram, klātienes apkalpošanā iesaistīto tehnisko un darbaspēka resursu izmaksas, doku</w:t>
            </w:r>
            <w:r w:rsidR="00BC7967" w:rsidRPr="00BC7967">
              <w:rPr>
                <w:lang w:val="lv-LV"/>
              </w:rPr>
              <w:t xml:space="preserve">mentu </w:t>
            </w:r>
            <w:r w:rsidRPr="00BC7967">
              <w:rPr>
                <w:lang w:val="lv-LV"/>
              </w:rPr>
              <w:t xml:space="preserve">izgatavošanas un nosūtīšanas izmaksas). </w:t>
            </w:r>
            <w:r w:rsidRPr="00BC7967">
              <w:rPr>
                <w:rStyle w:val="spelle"/>
                <w:lang w:val="lv-LV"/>
              </w:rPr>
              <w:t xml:space="preserve">Līdz ar to </w:t>
            </w:r>
            <w:r w:rsidRPr="00BC7967">
              <w:rPr>
                <w:lang w:val="lv-LV"/>
              </w:rPr>
              <w:t xml:space="preserve">Noteikumu projekta normas var veicināt Zāļu valsts aģentūras administratīvā sloga mazināšanu un administratīvās izmaksas dokumentu izgatavošanā un izsniegšanā. Turklāt, dokumentu pieprasīšana par </w:t>
            </w:r>
            <w:r w:rsidR="008D2B90" w:rsidRPr="00BC7967">
              <w:rPr>
                <w:lang w:val="lv-LV"/>
              </w:rPr>
              <w:t xml:space="preserve">papildus </w:t>
            </w:r>
            <w:r w:rsidRPr="00BC7967">
              <w:rPr>
                <w:lang w:val="lv-LV"/>
              </w:rPr>
              <w:t>maksu var rosināt iestādes klientu izvērtēt, vai dokumentu papīra formā</w:t>
            </w:r>
            <w:r w:rsidR="006B57C5" w:rsidRPr="00BC7967">
              <w:rPr>
                <w:lang w:val="lv-LV"/>
              </w:rPr>
              <w:t xml:space="preserve"> tiešām ir nepieciešams saņemt.</w:t>
            </w:r>
          </w:p>
          <w:p w:rsidR="0026778F" w:rsidRPr="00BC7967" w:rsidRDefault="00C819CC" w:rsidP="00173B06">
            <w:pPr>
              <w:jc w:val="both"/>
              <w:outlineLvl w:val="0"/>
              <w:rPr>
                <w:rStyle w:val="spelle"/>
                <w:lang w:val="lv-LV"/>
              </w:rPr>
            </w:pPr>
            <w:r w:rsidRPr="00BC7967">
              <w:rPr>
                <w:rStyle w:val="spelle"/>
                <w:lang w:val="lv-LV"/>
              </w:rPr>
              <w:t xml:space="preserve">Paredzot atļaujas zāļu paraugu importam, produkta sertifikāta, saīsinātā produkta sertifikāta, </w:t>
            </w:r>
            <w:r w:rsidRPr="00BC7967">
              <w:rPr>
                <w:lang w:val="lv-LV"/>
              </w:rPr>
              <w:t>paziņojuma par produkta reģistrācijas statusu</w:t>
            </w:r>
            <w:r w:rsidRPr="00BC7967">
              <w:rPr>
                <w:rStyle w:val="HeaderChar"/>
                <w:lang w:val="lv-LV"/>
              </w:rPr>
              <w:t xml:space="preserve"> </w:t>
            </w:r>
            <w:r w:rsidRPr="00BC7967">
              <w:rPr>
                <w:lang w:val="lv-LV"/>
              </w:rPr>
              <w:t xml:space="preserve">saņemšanu elektroniskā formā vai papīra formā pēc izvēles, tiek </w:t>
            </w:r>
            <w:r w:rsidRPr="00BC7967">
              <w:rPr>
                <w:rStyle w:val="spelle"/>
                <w:lang w:val="lv-LV"/>
              </w:rPr>
              <w:t>vienkāršotas un uzlabotas procedūras privātpersonas labā.</w:t>
            </w:r>
          </w:p>
          <w:p w:rsidR="00173B06" w:rsidRPr="00BC7967" w:rsidRDefault="00173B06" w:rsidP="00173B06">
            <w:pPr>
              <w:jc w:val="both"/>
              <w:outlineLvl w:val="0"/>
              <w:rPr>
                <w:lang w:val="lv-LV"/>
              </w:rPr>
            </w:pPr>
            <w:r w:rsidRPr="00BC7967">
              <w:rPr>
                <w:lang w:val="lv-LV"/>
              </w:rPr>
              <w:t xml:space="preserve">Praksē </w:t>
            </w:r>
            <w:r w:rsidRPr="00BC7967">
              <w:rPr>
                <w:rStyle w:val="spelle"/>
                <w:lang w:val="lv-LV"/>
              </w:rPr>
              <w:t>atļaujas zāļu paraugu importam</w:t>
            </w:r>
            <w:r w:rsidRPr="00BC7967">
              <w:rPr>
                <w:lang w:val="lv-LV"/>
              </w:rPr>
              <w:t xml:space="preserve"> izsniedz gan zāļu reģistrācijas īpašniekiem, gan zāļu ražotājiem, gan zāļu lieltirgotavām, gan pētnieciskajiem institūtiem, bet izsniegto  atļauju skaits ir neliels. Pēc Zāļu valsts aģentūras datiem 2013.gadā tika izsnie</w:t>
            </w:r>
            <w:r w:rsidR="006B57C5" w:rsidRPr="00BC7967">
              <w:rPr>
                <w:lang w:val="lv-LV"/>
              </w:rPr>
              <w:t>gtas četras atļaujas, 2012.gadā - </w:t>
            </w:r>
            <w:r w:rsidRPr="00BC7967">
              <w:rPr>
                <w:lang w:val="lv-LV"/>
              </w:rPr>
              <w:t>trīs, un 2</w:t>
            </w:r>
            <w:r w:rsidR="006B57C5" w:rsidRPr="00BC7967">
              <w:rPr>
                <w:lang w:val="lv-LV"/>
              </w:rPr>
              <w:t>011.gadā - </w:t>
            </w:r>
            <w:r w:rsidRPr="00BC7967">
              <w:rPr>
                <w:lang w:val="lv-LV"/>
              </w:rPr>
              <w:t>viena atļauja.</w:t>
            </w:r>
          </w:p>
        </w:tc>
      </w:tr>
      <w:tr w:rsidR="004134D0" w:rsidRPr="00BC7967" w:rsidTr="00BC7967">
        <w:trPr>
          <w:gridBefore w:val="1"/>
          <w:wBefore w:w="34" w:type="dxa"/>
          <w:trHeight w:val="357"/>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lastRenderedPageBreak/>
              <w:t>6.</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pPr>
            <w:r w:rsidRPr="00BC7967">
              <w:t>Administratīvo izmaksu monetārs novērtējums</w:t>
            </w:r>
          </w:p>
        </w:tc>
        <w:tc>
          <w:tcPr>
            <w:tcW w:w="6496" w:type="dxa"/>
            <w:gridSpan w:val="4"/>
            <w:tcBorders>
              <w:top w:val="single" w:sz="4" w:space="0" w:color="auto"/>
              <w:left w:val="single" w:sz="4" w:space="0" w:color="auto"/>
              <w:bottom w:val="single" w:sz="4" w:space="0" w:color="auto"/>
              <w:right w:val="single" w:sz="4" w:space="0" w:color="auto"/>
            </w:tcBorders>
            <w:hideMark/>
          </w:tcPr>
          <w:p w:rsidR="004134D0" w:rsidRPr="00BC7967" w:rsidRDefault="00B9395B" w:rsidP="004134D0">
            <w:pPr>
              <w:pStyle w:val="naiskr"/>
              <w:jc w:val="both"/>
            </w:pPr>
            <w:r w:rsidRPr="00BC7967">
              <w:t>Pašreiz to nevar noteikt</w:t>
            </w:r>
            <w:r w:rsidR="00BF774E" w:rsidRPr="00BC7967">
              <w:t>.</w:t>
            </w:r>
          </w:p>
        </w:tc>
      </w:tr>
      <w:tr w:rsidR="004134D0" w:rsidRPr="00BC7967" w:rsidTr="00BC7967">
        <w:trPr>
          <w:gridBefore w:val="1"/>
          <w:wBefore w:w="34" w:type="dxa"/>
        </w:trPr>
        <w:tc>
          <w:tcPr>
            <w:tcW w:w="39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jc w:val="both"/>
            </w:pPr>
            <w:r w:rsidRPr="00BC7967">
              <w:t>7.</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jc w:val="both"/>
            </w:pPr>
            <w:r w:rsidRPr="00BC7967">
              <w:t>Cita informācija</w:t>
            </w:r>
          </w:p>
        </w:tc>
        <w:tc>
          <w:tcPr>
            <w:tcW w:w="6496" w:type="dxa"/>
            <w:gridSpan w:val="4"/>
            <w:tcBorders>
              <w:top w:val="single" w:sz="4" w:space="0" w:color="auto"/>
              <w:left w:val="single" w:sz="4" w:space="0" w:color="auto"/>
              <w:bottom w:val="single" w:sz="4" w:space="0" w:color="auto"/>
              <w:right w:val="single" w:sz="4" w:space="0" w:color="auto"/>
            </w:tcBorders>
            <w:hideMark/>
          </w:tcPr>
          <w:p w:rsidR="004134D0" w:rsidRPr="00BC7967" w:rsidRDefault="00DA34EF" w:rsidP="004134D0">
            <w:pPr>
              <w:pStyle w:val="naiskr"/>
              <w:jc w:val="both"/>
            </w:pPr>
            <w:r w:rsidRPr="00BC7967">
              <w:t>Nav.</w:t>
            </w:r>
          </w:p>
        </w:tc>
      </w:tr>
      <w:tr w:rsidR="004134D0" w:rsidRPr="00BC7967" w:rsidTr="00BC7967">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i/>
              </w:rPr>
            </w:pPr>
          </w:p>
        </w:tc>
      </w:tr>
      <w:tr w:rsidR="004134D0" w:rsidRPr="00BC7967" w:rsidTr="00BC7967">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t>IV. Tiesību akta projekta ietekme uz spēkā esošo tiesību normu sistēmu</w:t>
            </w:r>
          </w:p>
        </w:tc>
      </w:tr>
      <w:tr w:rsidR="004134D0" w:rsidRPr="00BC7967" w:rsidTr="00BC7967">
        <w:tblPrEx>
          <w:tblCellMar>
            <w:left w:w="0" w:type="dxa"/>
            <w:right w:w="0" w:type="dxa"/>
          </w:tblCellMar>
        </w:tblPrEx>
        <w:trPr>
          <w:gridBefore w:val="1"/>
          <w:wBefore w:w="34" w:type="dxa"/>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pPr>
            <w:r w:rsidRPr="00BC7967">
              <w:t>1.</w:t>
            </w:r>
          </w:p>
        </w:tc>
        <w:tc>
          <w:tcPr>
            <w:tcW w:w="1935"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right="57"/>
              <w:rPr>
                <w:b w:val="0"/>
              </w:rPr>
            </w:pPr>
            <w:r w:rsidRPr="00BC7967">
              <w:t>Nepieciešamie saistītie tiesību aktu projekti</w:t>
            </w:r>
          </w:p>
        </w:tc>
        <w:tc>
          <w:tcPr>
            <w:tcW w:w="6840" w:type="dxa"/>
            <w:gridSpan w:val="6"/>
            <w:tcBorders>
              <w:top w:val="single" w:sz="4" w:space="0" w:color="auto"/>
              <w:left w:val="single" w:sz="4" w:space="0" w:color="auto"/>
              <w:bottom w:val="single" w:sz="4" w:space="0" w:color="auto"/>
              <w:right w:val="single" w:sz="4" w:space="0" w:color="auto"/>
            </w:tcBorders>
          </w:tcPr>
          <w:p w:rsidR="00614771" w:rsidRPr="00BC7967" w:rsidRDefault="000258B6" w:rsidP="00614771">
            <w:pPr>
              <w:pStyle w:val="naisf"/>
              <w:spacing w:before="0" w:beforeAutospacing="0" w:after="0" w:afterAutospacing="0"/>
              <w:jc w:val="both"/>
              <w:rPr>
                <w:noProof/>
                <w:spacing w:val="-6"/>
                <w:lang w:val="lv-LV"/>
              </w:rPr>
            </w:pPr>
            <w:r w:rsidRPr="00BC7967">
              <w:rPr>
                <w:noProof/>
                <w:spacing w:val="-6"/>
                <w:lang w:val="lv-LV"/>
              </w:rPr>
              <w:t>1. </w:t>
            </w:r>
            <w:r w:rsidR="00614771" w:rsidRPr="00BC7967">
              <w:rPr>
                <w:noProof/>
                <w:spacing w:val="-6"/>
                <w:lang w:val="lv-LV"/>
              </w:rPr>
              <w:t>Lai ieviestu pilnībā Direktīvas 2011/62/ES normas, ir nepieciešams pieņemt:</w:t>
            </w:r>
          </w:p>
          <w:p w:rsidR="00614771" w:rsidRPr="00BC7967" w:rsidRDefault="000258B6" w:rsidP="00614771">
            <w:pPr>
              <w:pStyle w:val="NoSpacing"/>
              <w:jc w:val="both"/>
              <w:rPr>
                <w:rFonts w:ascii="Times New Roman" w:hAnsi="Times New Roman"/>
                <w:noProof/>
                <w:sz w:val="24"/>
                <w:szCs w:val="24"/>
              </w:rPr>
            </w:pPr>
            <w:r w:rsidRPr="00BC7967">
              <w:rPr>
                <w:rFonts w:ascii="Times New Roman" w:hAnsi="Times New Roman"/>
                <w:noProof/>
                <w:spacing w:val="-6"/>
                <w:sz w:val="24"/>
                <w:szCs w:val="24"/>
              </w:rPr>
              <w:t>1)</w:t>
            </w:r>
            <w:r w:rsidR="00614771" w:rsidRPr="00BC7967">
              <w:rPr>
                <w:rFonts w:ascii="Times New Roman" w:hAnsi="Times New Roman"/>
                <w:noProof/>
                <w:spacing w:val="-6"/>
                <w:sz w:val="24"/>
                <w:szCs w:val="24"/>
              </w:rPr>
              <w:t xml:space="preserve"> Grozījumus </w:t>
            </w:r>
            <w:r w:rsidR="00614771" w:rsidRPr="00BC7967">
              <w:rPr>
                <w:rFonts w:ascii="Times New Roman" w:hAnsi="Times New Roman"/>
                <w:noProof/>
                <w:sz w:val="24"/>
                <w:szCs w:val="24"/>
              </w:rPr>
              <w:t>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(turp</w:t>
            </w:r>
            <w:r w:rsidR="00DA4D7E" w:rsidRPr="00BC7967">
              <w:rPr>
                <w:rFonts w:ascii="Times New Roman" w:hAnsi="Times New Roman"/>
                <w:noProof/>
                <w:sz w:val="24"/>
                <w:szCs w:val="24"/>
              </w:rPr>
              <w:t>m</w:t>
            </w:r>
            <w:r w:rsidR="00614771" w:rsidRPr="00BC7967">
              <w:rPr>
                <w:rFonts w:ascii="Times New Roman" w:hAnsi="Times New Roman"/>
                <w:noProof/>
                <w:sz w:val="24"/>
                <w:szCs w:val="24"/>
              </w:rPr>
              <w:t>āk – MK noteikum</w:t>
            </w:r>
            <w:r w:rsidR="009175C7" w:rsidRPr="00BC7967">
              <w:rPr>
                <w:rFonts w:ascii="Times New Roman" w:hAnsi="Times New Roman"/>
                <w:noProof/>
                <w:sz w:val="24"/>
                <w:szCs w:val="24"/>
              </w:rPr>
              <w:t>i</w:t>
            </w:r>
            <w:r w:rsidR="00614771" w:rsidRPr="00BC7967">
              <w:rPr>
                <w:rFonts w:ascii="Times New Roman" w:hAnsi="Times New Roman"/>
                <w:noProof/>
                <w:sz w:val="24"/>
                <w:szCs w:val="24"/>
              </w:rPr>
              <w:t xml:space="preserve"> Nr.304), lai noteiktu</w:t>
            </w:r>
            <w:r w:rsidR="00614771" w:rsidRPr="00BC7967">
              <w:rPr>
                <w:rFonts w:ascii="Times New Roman" w:hAnsi="Times New Roman"/>
                <w:noProof/>
                <w:spacing w:val="-6"/>
                <w:sz w:val="24"/>
                <w:szCs w:val="24"/>
              </w:rPr>
              <w:t xml:space="preserve"> stingrākas pārbaužu prasības ražotājiem, </w:t>
            </w:r>
            <w:r w:rsidR="00614771" w:rsidRPr="00BC7967">
              <w:rPr>
                <w:rFonts w:ascii="Times New Roman" w:hAnsi="Times New Roman"/>
                <w:iCs/>
                <w:noProof/>
                <w:sz w:val="24"/>
                <w:szCs w:val="24"/>
              </w:rPr>
              <w:t>ražotāja atbildības palielināšanu par aktīvo vielu ražotnes un aktīvo vielu izplatītāju darbības vietas auditiem</w:t>
            </w:r>
            <w:r w:rsidR="00614771" w:rsidRPr="00BC7967">
              <w:rPr>
                <w:rFonts w:ascii="Times New Roman" w:hAnsi="Times New Roman"/>
                <w:noProof/>
                <w:spacing w:val="-6"/>
                <w:sz w:val="24"/>
                <w:szCs w:val="24"/>
              </w:rPr>
              <w:t xml:space="preserve"> un zāļu kontroli un uzraudzību, kā arī lai precizētu </w:t>
            </w:r>
            <w:r w:rsidR="00614771" w:rsidRPr="00BC7967">
              <w:rPr>
                <w:rFonts w:ascii="Times New Roman" w:hAnsi="Times New Roman"/>
                <w:noProof/>
                <w:sz w:val="24"/>
                <w:szCs w:val="24"/>
              </w:rPr>
              <w:t>kontroles ziņojuma formu un labas ražošanas prakses sertifikāta form</w:t>
            </w:r>
            <w:r w:rsidR="00DA4D7E" w:rsidRPr="00BC7967">
              <w:rPr>
                <w:rFonts w:ascii="Times New Roman" w:hAnsi="Times New Roman"/>
                <w:noProof/>
                <w:sz w:val="24"/>
                <w:szCs w:val="24"/>
              </w:rPr>
              <w:t>u</w:t>
            </w:r>
            <w:r w:rsidR="00614771" w:rsidRPr="00BC7967">
              <w:rPr>
                <w:rFonts w:ascii="Times New Roman" w:hAnsi="Times New Roman"/>
                <w:noProof/>
                <w:sz w:val="24"/>
                <w:szCs w:val="24"/>
              </w:rPr>
              <w:t xml:space="preserve"> atbilst</w:t>
            </w:r>
            <w:r w:rsidR="00DA4D7E" w:rsidRPr="00BC7967">
              <w:rPr>
                <w:rFonts w:ascii="Times New Roman" w:hAnsi="Times New Roman"/>
                <w:noProof/>
                <w:sz w:val="24"/>
                <w:szCs w:val="24"/>
              </w:rPr>
              <w:t>oši</w:t>
            </w:r>
            <w:r w:rsidR="00614771" w:rsidRPr="00BC7967">
              <w:rPr>
                <w:rFonts w:ascii="Times New Roman" w:hAnsi="Times New Roman"/>
                <w:noProof/>
                <w:sz w:val="24"/>
                <w:szCs w:val="24"/>
              </w:rPr>
              <w:t xml:space="preserve"> Eiropas Savienības formātam.</w:t>
            </w:r>
          </w:p>
          <w:p w:rsidR="00BE5A08" w:rsidRPr="00BC7967" w:rsidRDefault="00BE5A08" w:rsidP="00BE5A08">
            <w:pPr>
              <w:shd w:val="clear" w:color="auto" w:fill="F5F5F5"/>
              <w:jc w:val="both"/>
              <w:textAlignment w:val="top"/>
              <w:rPr>
                <w:noProof/>
                <w:lang w:val="lv-LV"/>
              </w:rPr>
            </w:pPr>
            <w:r w:rsidRPr="00BC7967">
              <w:rPr>
                <w:noProof/>
                <w:lang w:val="lv-LV"/>
              </w:rPr>
              <w:t>Projekts izsludināts Valsts sekretāru sa</w:t>
            </w:r>
            <w:r w:rsidR="006B57C5" w:rsidRPr="00BC7967">
              <w:rPr>
                <w:noProof/>
                <w:lang w:val="lv-LV"/>
              </w:rPr>
              <w:t xml:space="preserve">nāksmē </w:t>
            </w:r>
            <w:r w:rsidR="00434681" w:rsidRPr="00BC7967">
              <w:rPr>
                <w:noProof/>
                <w:lang w:val="lv-LV"/>
              </w:rPr>
              <w:t xml:space="preserve">(VSS) </w:t>
            </w:r>
            <w:r w:rsidR="006B57C5" w:rsidRPr="00BC7967">
              <w:rPr>
                <w:noProof/>
                <w:lang w:val="lv-LV"/>
              </w:rPr>
              <w:t>2013.gada 18.aprīlī (</w:t>
            </w:r>
            <w:r w:rsidR="00434681" w:rsidRPr="00BC7967">
              <w:rPr>
                <w:noProof/>
                <w:lang w:val="lv-LV"/>
              </w:rPr>
              <w:t xml:space="preserve">prot. Nr.15, </w:t>
            </w:r>
            <w:r w:rsidR="00434681" w:rsidRPr="00BC7967">
              <w:t xml:space="preserve">15.§, </w:t>
            </w:r>
            <w:r w:rsidR="006B57C5" w:rsidRPr="00BC7967">
              <w:rPr>
                <w:noProof/>
                <w:lang w:val="lv-LV"/>
              </w:rPr>
              <w:t>VSS - </w:t>
            </w:r>
            <w:r w:rsidRPr="00BC7967">
              <w:rPr>
                <w:noProof/>
                <w:lang w:val="lv-LV"/>
              </w:rPr>
              <w:t>363).</w:t>
            </w:r>
          </w:p>
          <w:p w:rsidR="00C22988" w:rsidRPr="00BC7967" w:rsidRDefault="00C22988" w:rsidP="00614771">
            <w:pPr>
              <w:shd w:val="clear" w:color="auto" w:fill="F5F5F5"/>
              <w:jc w:val="both"/>
              <w:textAlignment w:val="top"/>
              <w:rPr>
                <w:noProof/>
                <w:spacing w:val="-6"/>
                <w:lang w:val="lv-LV"/>
              </w:rPr>
            </w:pPr>
          </w:p>
          <w:p w:rsidR="00614771" w:rsidRPr="00BC7967" w:rsidRDefault="000258B6" w:rsidP="00614771">
            <w:pPr>
              <w:shd w:val="clear" w:color="auto" w:fill="F5F5F5"/>
              <w:jc w:val="both"/>
              <w:textAlignment w:val="top"/>
              <w:rPr>
                <w:noProof/>
                <w:lang w:val="lv-LV"/>
              </w:rPr>
            </w:pPr>
            <w:r w:rsidRPr="00BC7967">
              <w:rPr>
                <w:noProof/>
                <w:spacing w:val="-6"/>
                <w:lang w:val="lv-LV"/>
              </w:rPr>
              <w:t>2)</w:t>
            </w:r>
            <w:r w:rsidR="00614771" w:rsidRPr="00BC7967">
              <w:rPr>
                <w:noProof/>
                <w:spacing w:val="-6"/>
                <w:lang w:val="lv-LV"/>
              </w:rPr>
              <w:t> </w:t>
            </w:r>
            <w:r w:rsidR="00614771" w:rsidRPr="00BC7967">
              <w:rPr>
                <w:noProof/>
                <w:lang w:val="lv-LV"/>
              </w:rPr>
              <w:t xml:space="preserve">Ministru kabineta noteikumus </w:t>
            </w:r>
            <w:r w:rsidR="00614771" w:rsidRPr="00BC7967">
              <w:rPr>
                <w:lang w:val="lv-LV"/>
              </w:rPr>
              <w:t xml:space="preserve">”Aktīvo vielu importēšanas un izplatīšanas prasības un kārtība un aktīvo vielu importētāju, ražotāju </w:t>
            </w:r>
            <w:r w:rsidR="00614771" w:rsidRPr="00BC7967">
              <w:rPr>
                <w:lang w:val="lv-LV"/>
              </w:rPr>
              <w:lastRenderedPageBreak/>
              <w:t>un izplatītāju reģistrēšanas kārtība”</w:t>
            </w:r>
            <w:r w:rsidR="00614771" w:rsidRPr="00BC7967">
              <w:rPr>
                <w:bCs/>
                <w:noProof/>
                <w:lang w:val="lv-LV"/>
              </w:rPr>
              <w:t xml:space="preserve">, </w:t>
            </w:r>
            <w:r w:rsidR="00614771" w:rsidRPr="00BC7967">
              <w:rPr>
                <w:lang w:val="lv-LV"/>
              </w:rPr>
              <w:t>lai</w:t>
            </w:r>
            <w:r w:rsidR="00614771" w:rsidRPr="00BC7967">
              <w:rPr>
                <w:bCs/>
                <w:spacing w:val="-6"/>
                <w:lang w:val="lv-LV"/>
              </w:rPr>
              <w:t xml:space="preserve"> ieviestu normas, kas papildina </w:t>
            </w:r>
            <w:r w:rsidR="00614771" w:rsidRPr="00BC7967">
              <w:rPr>
                <w:bCs/>
                <w:noProof/>
                <w:lang w:val="lv-LV"/>
              </w:rPr>
              <w:t xml:space="preserve"> </w:t>
            </w:r>
            <w:r w:rsidR="00614771" w:rsidRPr="00BC7967">
              <w:rPr>
                <w:noProof/>
                <w:lang w:val="lv-LV"/>
              </w:rPr>
              <w:t>zāļu reģistrācijai iesniedzamos dokumentus, noteiktu stingrākās aktīvās vielu importēšanas un izplatīšanas prasības.</w:t>
            </w:r>
          </w:p>
          <w:p w:rsidR="00BE5A08" w:rsidRPr="00BC7967" w:rsidRDefault="00BE5A08" w:rsidP="00BE5A08">
            <w:pPr>
              <w:shd w:val="clear" w:color="auto" w:fill="F5F5F5"/>
              <w:jc w:val="both"/>
              <w:textAlignment w:val="top"/>
              <w:rPr>
                <w:noProof/>
                <w:lang w:val="lv-LV"/>
              </w:rPr>
            </w:pPr>
            <w:r w:rsidRPr="00BC7967">
              <w:rPr>
                <w:noProof/>
                <w:lang w:val="lv-LV"/>
              </w:rPr>
              <w:t xml:space="preserve">Projekts izsludināts Valsts sekretāru sanāksmē </w:t>
            </w:r>
            <w:r w:rsidR="001D0698" w:rsidRPr="00BC7967">
              <w:rPr>
                <w:noProof/>
                <w:lang w:val="lv-LV"/>
              </w:rPr>
              <w:t xml:space="preserve">(VSS) </w:t>
            </w:r>
            <w:r w:rsidRPr="00BC7967">
              <w:rPr>
                <w:noProof/>
                <w:lang w:val="lv-LV"/>
              </w:rPr>
              <w:t>2013.gada 11.aprī</w:t>
            </w:r>
            <w:r w:rsidR="006B57C5" w:rsidRPr="00BC7967">
              <w:rPr>
                <w:noProof/>
                <w:lang w:val="lv-LV"/>
              </w:rPr>
              <w:t>lī (</w:t>
            </w:r>
            <w:r w:rsidR="001D0698" w:rsidRPr="00BC7967">
              <w:rPr>
                <w:noProof/>
                <w:lang w:val="lv-LV"/>
              </w:rPr>
              <w:t xml:space="preserve">prot. Nr.14, </w:t>
            </w:r>
            <w:r w:rsidR="001D0698" w:rsidRPr="00BC7967">
              <w:t xml:space="preserve">19.§, </w:t>
            </w:r>
            <w:r w:rsidR="006B57C5" w:rsidRPr="00BC7967">
              <w:rPr>
                <w:noProof/>
                <w:lang w:val="lv-LV"/>
              </w:rPr>
              <w:t>VSS - </w:t>
            </w:r>
            <w:r w:rsidRPr="00BC7967">
              <w:rPr>
                <w:noProof/>
                <w:lang w:val="lv-LV"/>
              </w:rPr>
              <w:t>334).</w:t>
            </w:r>
          </w:p>
          <w:p w:rsidR="00C22988" w:rsidRPr="00BC7967" w:rsidRDefault="00C22988" w:rsidP="005051C0">
            <w:pPr>
              <w:shd w:val="clear" w:color="auto" w:fill="F5F5F5"/>
              <w:jc w:val="both"/>
              <w:textAlignment w:val="top"/>
              <w:rPr>
                <w:noProof/>
                <w:spacing w:val="-6"/>
                <w:lang w:val="lv-LV"/>
              </w:rPr>
            </w:pPr>
          </w:p>
          <w:p w:rsidR="005051C0" w:rsidRPr="00BC7967" w:rsidRDefault="000258B6" w:rsidP="005051C0">
            <w:pPr>
              <w:shd w:val="clear" w:color="auto" w:fill="F5F5F5"/>
              <w:jc w:val="both"/>
              <w:textAlignment w:val="top"/>
              <w:rPr>
                <w:noProof/>
                <w:lang w:val="lv-LV"/>
              </w:rPr>
            </w:pPr>
            <w:r w:rsidRPr="00BC7967">
              <w:rPr>
                <w:noProof/>
                <w:spacing w:val="-6"/>
                <w:lang w:val="lv-LV"/>
              </w:rPr>
              <w:t>3)</w:t>
            </w:r>
            <w:r w:rsidR="005051C0" w:rsidRPr="00BC7967">
              <w:rPr>
                <w:noProof/>
                <w:spacing w:val="-6"/>
                <w:lang w:val="lv-LV"/>
              </w:rPr>
              <w:t xml:space="preserve"> Grozījumus </w:t>
            </w:r>
            <w:r w:rsidR="005051C0" w:rsidRPr="00BC7967">
              <w:rPr>
                <w:noProof/>
                <w:lang w:val="lv-LV"/>
              </w:rPr>
              <w:t>MK noteiku</w:t>
            </w:r>
            <w:r w:rsidR="00050EA3" w:rsidRPr="00BC7967">
              <w:rPr>
                <w:noProof/>
                <w:lang w:val="lv-LV"/>
              </w:rPr>
              <w:t>mos</w:t>
            </w:r>
            <w:r w:rsidR="005051C0" w:rsidRPr="00BC7967">
              <w:rPr>
                <w:noProof/>
                <w:lang w:val="lv-LV"/>
              </w:rPr>
              <w:t>Nr.376</w:t>
            </w:r>
            <w:r w:rsidR="005051C0" w:rsidRPr="00BC7967">
              <w:rPr>
                <w:bCs/>
                <w:noProof/>
                <w:lang w:val="lv-LV"/>
              </w:rPr>
              <w:t>, lai papildinātu</w:t>
            </w:r>
            <w:r w:rsidR="005051C0" w:rsidRPr="00BC7967">
              <w:rPr>
                <w:noProof/>
                <w:lang w:val="lv-LV"/>
              </w:rPr>
              <w:t xml:space="preserve"> zāļu reģistrācijai iesniedzamos dokumentus, nosakot stingrākās prasības attiecībā uz aktīvās vielas ražotāja pārbaudēm, un precizētu Zāļu valsts aģentūras lēmumu pieņemšanas procedūras.</w:t>
            </w:r>
          </w:p>
          <w:p w:rsidR="00434681" w:rsidRPr="00BC7967" w:rsidRDefault="00434681" w:rsidP="00434681">
            <w:pPr>
              <w:shd w:val="clear" w:color="auto" w:fill="F5F5F5"/>
              <w:jc w:val="both"/>
              <w:textAlignment w:val="top"/>
              <w:rPr>
                <w:noProof/>
                <w:lang w:val="lv-LV"/>
              </w:rPr>
            </w:pPr>
            <w:r w:rsidRPr="00BC7967">
              <w:rPr>
                <w:noProof/>
                <w:lang w:val="lv-LV"/>
              </w:rPr>
              <w:t xml:space="preserve">Projekts izsludināts Valsts sekretāru sanāksmē (VSS) 2013.gada 18.aprīlī (prot. Nr.15, </w:t>
            </w:r>
            <w:bookmarkStart w:id="0" w:name="17"/>
            <w:r w:rsidRPr="00BC7967">
              <w:t>17.§</w:t>
            </w:r>
            <w:bookmarkEnd w:id="0"/>
            <w:r w:rsidRPr="00BC7967">
              <w:t xml:space="preserve">, </w:t>
            </w:r>
            <w:r w:rsidRPr="00BC7967">
              <w:rPr>
                <w:noProof/>
                <w:lang w:val="lv-LV"/>
              </w:rPr>
              <w:t>VSS - 365).</w:t>
            </w:r>
          </w:p>
          <w:p w:rsidR="00C22988" w:rsidRPr="00BC7967" w:rsidRDefault="00C22988" w:rsidP="00614771">
            <w:pPr>
              <w:shd w:val="clear" w:color="auto" w:fill="F5F5F5"/>
              <w:jc w:val="both"/>
              <w:textAlignment w:val="top"/>
              <w:rPr>
                <w:noProof/>
                <w:lang w:val="lv-LV"/>
              </w:rPr>
            </w:pPr>
          </w:p>
          <w:p w:rsidR="00614771" w:rsidRPr="00BC7967" w:rsidRDefault="000258B6" w:rsidP="00614771">
            <w:pPr>
              <w:shd w:val="clear" w:color="auto" w:fill="F5F5F5"/>
              <w:jc w:val="both"/>
              <w:textAlignment w:val="top"/>
              <w:rPr>
                <w:noProof/>
                <w:lang w:val="lv-LV"/>
              </w:rPr>
            </w:pPr>
            <w:r w:rsidRPr="00BC7967">
              <w:rPr>
                <w:noProof/>
                <w:lang w:val="lv-LV"/>
              </w:rPr>
              <w:t>4)</w:t>
            </w:r>
            <w:r w:rsidR="00614771" w:rsidRPr="00BC7967">
              <w:rPr>
                <w:noProof/>
                <w:lang w:val="lv-LV"/>
              </w:rPr>
              <w:t> </w:t>
            </w:r>
            <w:r w:rsidR="00614771" w:rsidRPr="00BC7967">
              <w:rPr>
                <w:noProof/>
                <w:spacing w:val="-6"/>
                <w:lang w:val="lv-LV"/>
              </w:rPr>
              <w:t xml:space="preserve">Grozījumus </w:t>
            </w:r>
            <w:r w:rsidR="00614771" w:rsidRPr="00BC7967">
              <w:rPr>
                <w:noProof/>
                <w:lang w:val="lv-LV"/>
              </w:rPr>
              <w:t>Ministru kabineta 2011.gada 19.oktobra noteikumos Nr.800 "</w:t>
            </w:r>
            <w:r w:rsidR="00614771" w:rsidRPr="00BC7967">
              <w:rPr>
                <w:bCs/>
                <w:noProof/>
                <w:lang w:val="lv-LV"/>
              </w:rPr>
              <w:t>Farmaceitiskās darbības licencēšanas kārtība</w:t>
            </w:r>
            <w:r w:rsidR="006B57C5" w:rsidRPr="00BC7967">
              <w:rPr>
                <w:noProof/>
                <w:lang w:val="lv-LV"/>
              </w:rPr>
              <w:t>" (turpāk -</w:t>
            </w:r>
            <w:r w:rsidR="00614771" w:rsidRPr="00BC7967">
              <w:rPr>
                <w:noProof/>
                <w:lang w:val="lv-LV"/>
              </w:rPr>
              <w:t> MK noteikum</w:t>
            </w:r>
            <w:r w:rsidR="009175C7" w:rsidRPr="00BC7967">
              <w:rPr>
                <w:noProof/>
                <w:lang w:val="lv-LV"/>
              </w:rPr>
              <w:t>i</w:t>
            </w:r>
            <w:r w:rsidR="00614771" w:rsidRPr="00BC7967">
              <w:rPr>
                <w:noProof/>
                <w:lang w:val="lv-LV"/>
              </w:rPr>
              <w:t xml:space="preserve"> Nr.800), lai samazinātu administratīvo slogu aktīvo vielu un zāļu ražotājiem, kā arī lai precizētu zāļu ražotnes apraksta formu un licences zāļu ražošanai/importēšanai formu, kā arī lai ieviestu zāļu vairumtirdzniecības licences formu atbilstoši Eiropas </w:t>
            </w:r>
            <w:r w:rsidR="002117D8" w:rsidRPr="00BC7967">
              <w:rPr>
                <w:noProof/>
                <w:lang w:val="lv-LV"/>
              </w:rPr>
              <w:t>Savienības</w:t>
            </w:r>
            <w:r w:rsidR="00614771" w:rsidRPr="00BC7967">
              <w:rPr>
                <w:noProof/>
                <w:lang w:val="lv-LV"/>
              </w:rPr>
              <w:t xml:space="preserve"> formātam.</w:t>
            </w:r>
          </w:p>
          <w:p w:rsidR="00614771" w:rsidRPr="00BC7967" w:rsidRDefault="00BE5A08" w:rsidP="00614771">
            <w:pPr>
              <w:shd w:val="clear" w:color="auto" w:fill="F5F5F5"/>
              <w:jc w:val="both"/>
              <w:textAlignment w:val="top"/>
              <w:rPr>
                <w:noProof/>
                <w:lang w:val="lv-LV"/>
              </w:rPr>
            </w:pPr>
            <w:r w:rsidRPr="00BC7967">
              <w:rPr>
                <w:noProof/>
                <w:lang w:val="lv-LV"/>
              </w:rPr>
              <w:t>Projekts</w:t>
            </w:r>
            <w:r w:rsidR="00614771" w:rsidRPr="00BC7967">
              <w:rPr>
                <w:noProof/>
                <w:lang w:val="lv-LV"/>
              </w:rPr>
              <w:t xml:space="preserve"> izsludināt</w:t>
            </w:r>
            <w:r w:rsidRPr="00BC7967">
              <w:rPr>
                <w:noProof/>
                <w:lang w:val="lv-LV"/>
              </w:rPr>
              <w:t>s</w:t>
            </w:r>
            <w:r w:rsidR="00614771" w:rsidRPr="00BC7967">
              <w:rPr>
                <w:noProof/>
                <w:lang w:val="lv-LV"/>
              </w:rPr>
              <w:t xml:space="preserve"> Valsts sekretāru sanāksmē </w:t>
            </w:r>
            <w:r w:rsidR="00434681" w:rsidRPr="00BC7967">
              <w:rPr>
                <w:noProof/>
                <w:lang w:val="lv-LV"/>
              </w:rPr>
              <w:t xml:space="preserve">(VSS) </w:t>
            </w:r>
            <w:r w:rsidR="00614771" w:rsidRPr="00BC7967">
              <w:rPr>
                <w:noProof/>
                <w:lang w:val="lv-LV"/>
              </w:rPr>
              <w:t xml:space="preserve">2013.gada </w:t>
            </w:r>
            <w:r w:rsidRPr="00BC7967">
              <w:rPr>
                <w:noProof/>
                <w:lang w:val="lv-LV"/>
              </w:rPr>
              <w:t>18.</w:t>
            </w:r>
            <w:r w:rsidR="00614771" w:rsidRPr="00BC7967">
              <w:rPr>
                <w:noProof/>
                <w:lang w:val="lv-LV"/>
              </w:rPr>
              <w:t>aprīlī</w:t>
            </w:r>
            <w:r w:rsidRPr="00BC7967">
              <w:rPr>
                <w:noProof/>
                <w:lang w:val="lv-LV"/>
              </w:rPr>
              <w:t xml:space="preserve"> (</w:t>
            </w:r>
            <w:r w:rsidR="00434681" w:rsidRPr="00BC7967">
              <w:rPr>
                <w:noProof/>
                <w:lang w:val="lv-LV"/>
              </w:rPr>
              <w:t xml:space="preserve">prot. Nr.15, </w:t>
            </w:r>
            <w:r w:rsidR="00434681" w:rsidRPr="00BC7967">
              <w:t xml:space="preserve">18.§, </w:t>
            </w:r>
            <w:r w:rsidRPr="00BC7967">
              <w:rPr>
                <w:noProof/>
                <w:lang w:val="lv-LV"/>
              </w:rPr>
              <w:t>VSS</w:t>
            </w:r>
            <w:r w:rsidR="006B57C5" w:rsidRPr="00BC7967">
              <w:rPr>
                <w:noProof/>
                <w:lang w:val="lv-LV"/>
              </w:rPr>
              <w:t> - </w:t>
            </w:r>
            <w:r w:rsidRPr="00BC7967">
              <w:rPr>
                <w:noProof/>
                <w:lang w:val="lv-LV"/>
              </w:rPr>
              <w:t>366)</w:t>
            </w:r>
            <w:r w:rsidR="00614771" w:rsidRPr="00BC7967">
              <w:rPr>
                <w:noProof/>
                <w:lang w:val="lv-LV"/>
              </w:rPr>
              <w:t>.</w:t>
            </w:r>
          </w:p>
          <w:p w:rsidR="00614771" w:rsidRPr="00BC7967" w:rsidRDefault="00614771" w:rsidP="00614771">
            <w:pPr>
              <w:shd w:val="clear" w:color="auto" w:fill="F5F5F5"/>
              <w:jc w:val="both"/>
              <w:textAlignment w:val="top"/>
              <w:rPr>
                <w:noProof/>
                <w:lang w:val="lv-LV"/>
              </w:rPr>
            </w:pPr>
          </w:p>
          <w:p w:rsidR="00BE5A08" w:rsidRPr="00BC7967" w:rsidRDefault="00BE5A08" w:rsidP="00BE5A08">
            <w:pPr>
              <w:pStyle w:val="NoSpacing"/>
              <w:jc w:val="both"/>
              <w:rPr>
                <w:rFonts w:ascii="Times New Roman" w:hAnsi="Times New Roman"/>
                <w:noProof/>
                <w:sz w:val="24"/>
                <w:szCs w:val="24"/>
              </w:rPr>
            </w:pPr>
            <w:r w:rsidRPr="00BC7967">
              <w:rPr>
                <w:rFonts w:ascii="Times New Roman" w:hAnsi="Times New Roman"/>
                <w:noProof/>
                <w:spacing w:val="-6"/>
                <w:sz w:val="24"/>
                <w:szCs w:val="24"/>
              </w:rPr>
              <w:t xml:space="preserve">5) Grozījumus </w:t>
            </w:r>
            <w:r w:rsidR="00050EA3" w:rsidRPr="00BC7967">
              <w:rPr>
                <w:rFonts w:ascii="Times New Roman" w:hAnsi="Times New Roman"/>
                <w:noProof/>
                <w:sz w:val="24"/>
                <w:szCs w:val="24"/>
              </w:rPr>
              <w:t>MK</w:t>
            </w:r>
            <w:r w:rsidRPr="00BC7967">
              <w:rPr>
                <w:rFonts w:ascii="Times New Roman" w:hAnsi="Times New Roman"/>
                <w:noProof/>
                <w:sz w:val="24"/>
                <w:szCs w:val="24"/>
              </w:rPr>
              <w:t xml:space="preserve"> noteikumos Nr.416</w:t>
            </w:r>
            <w:r w:rsidRPr="00BC7967">
              <w:rPr>
                <w:rFonts w:ascii="Times New Roman" w:hAnsi="Times New Roman"/>
                <w:bCs/>
                <w:noProof/>
                <w:sz w:val="24"/>
                <w:szCs w:val="24"/>
              </w:rPr>
              <w:t>, lai palielinātu zāļu piegādes ķēdes uzticamību un noteiktu kārtību, kādā Zāļu valsts aģentūra reģistrē starpniecības darījumus ar zālēm atbilstoši Farmācijas likuma 25.</w:t>
            </w:r>
            <w:r w:rsidRPr="00BC7967">
              <w:rPr>
                <w:rFonts w:ascii="Times New Roman" w:hAnsi="Times New Roman"/>
                <w:bCs/>
                <w:noProof/>
                <w:sz w:val="24"/>
                <w:szCs w:val="24"/>
                <w:vertAlign w:val="superscript"/>
              </w:rPr>
              <w:t>3</w:t>
            </w:r>
            <w:r w:rsidRPr="00BC7967">
              <w:rPr>
                <w:rFonts w:ascii="Times New Roman" w:hAnsi="Times New Roman"/>
                <w:bCs/>
                <w:noProof/>
                <w:sz w:val="24"/>
                <w:szCs w:val="24"/>
              </w:rPr>
              <w:t xml:space="preserve">panta normai, lai noteiktu prasības starpniecības darījumiem ar zālēm, precizētu normas </w:t>
            </w:r>
            <w:r w:rsidRPr="00BC7967">
              <w:rPr>
                <w:rFonts w:ascii="Times New Roman" w:hAnsi="Times New Roman"/>
                <w:noProof/>
                <w:sz w:val="24"/>
                <w:szCs w:val="24"/>
              </w:rPr>
              <w:t>par zāļu iegādi no trešajām valstīm un eksportam no Eiropas Savienības, kā arī, lai pastiprinātu zāļu kontroli un uzraudzību, tajā skaitā zāļu izplatīšanā ar tīmekļa starpniecību, un lai ieviestu zāļu labas izplatīšanas prakses sertifikāta formu atbilstoši Eiropas Savienības formātam.</w:t>
            </w:r>
          </w:p>
          <w:p w:rsidR="00D8747D" w:rsidRPr="00BC7967" w:rsidRDefault="00D8747D" w:rsidP="00D8747D">
            <w:pPr>
              <w:shd w:val="clear" w:color="auto" w:fill="F5F5F5"/>
              <w:jc w:val="both"/>
              <w:textAlignment w:val="top"/>
              <w:rPr>
                <w:noProof/>
                <w:lang w:val="lv-LV"/>
              </w:rPr>
            </w:pPr>
            <w:r w:rsidRPr="00BC7967">
              <w:rPr>
                <w:noProof/>
                <w:lang w:val="lv-LV"/>
              </w:rPr>
              <w:t xml:space="preserve">Projekts izsludināts Valsts sekretāru sanāksmē (VSS) 2013.gada 18.aprīlī (prot. Nr.15, </w:t>
            </w:r>
            <w:r w:rsidRPr="00BC7967">
              <w:t xml:space="preserve">16.§, </w:t>
            </w:r>
            <w:r w:rsidRPr="00BC7967">
              <w:rPr>
                <w:noProof/>
                <w:lang w:val="lv-LV"/>
              </w:rPr>
              <w:t>VSS - 364).</w:t>
            </w:r>
          </w:p>
          <w:p w:rsidR="00614771" w:rsidRPr="00BC7967" w:rsidRDefault="00614771" w:rsidP="00614771">
            <w:pPr>
              <w:pStyle w:val="NoSpacing"/>
              <w:jc w:val="both"/>
              <w:rPr>
                <w:rFonts w:ascii="Times New Roman" w:hAnsi="Times New Roman"/>
                <w:noProof/>
                <w:sz w:val="24"/>
                <w:szCs w:val="24"/>
              </w:rPr>
            </w:pPr>
          </w:p>
          <w:p w:rsidR="00614771" w:rsidRPr="00BC7967" w:rsidRDefault="005630B2" w:rsidP="00614771">
            <w:pPr>
              <w:pStyle w:val="NoSpacing"/>
              <w:jc w:val="both"/>
              <w:rPr>
                <w:rFonts w:ascii="Times New Roman" w:hAnsi="Times New Roman"/>
                <w:noProof/>
                <w:sz w:val="24"/>
                <w:szCs w:val="24"/>
              </w:rPr>
            </w:pPr>
            <w:r w:rsidRPr="00BC7967">
              <w:rPr>
                <w:rFonts w:ascii="Times New Roman" w:hAnsi="Times New Roman"/>
                <w:noProof/>
                <w:sz w:val="24"/>
                <w:szCs w:val="24"/>
              </w:rPr>
              <w:t>6</w:t>
            </w:r>
            <w:r w:rsidR="000258B6" w:rsidRPr="00BC7967">
              <w:rPr>
                <w:rFonts w:ascii="Times New Roman" w:hAnsi="Times New Roman"/>
                <w:noProof/>
                <w:sz w:val="24"/>
                <w:szCs w:val="24"/>
              </w:rPr>
              <w:t>) </w:t>
            </w:r>
            <w:r w:rsidR="00614771" w:rsidRPr="00BC7967">
              <w:rPr>
                <w:rFonts w:ascii="Times New Roman" w:hAnsi="Times New Roman"/>
                <w:noProof/>
                <w:sz w:val="24"/>
                <w:szCs w:val="24"/>
              </w:rPr>
              <w:t>Pēc tam, kad Eiro</w:t>
            </w:r>
            <w:r w:rsidR="009F6A62" w:rsidRPr="00BC7967">
              <w:rPr>
                <w:rFonts w:ascii="Times New Roman" w:hAnsi="Times New Roman"/>
                <w:noProof/>
                <w:sz w:val="24"/>
                <w:szCs w:val="24"/>
              </w:rPr>
              <w:t>pas Komisija</w:t>
            </w:r>
            <w:r w:rsidR="00614771" w:rsidRPr="00BC7967">
              <w:rPr>
                <w:rFonts w:ascii="Times New Roman" w:hAnsi="Times New Roman"/>
                <w:noProof/>
                <w:sz w:val="24"/>
                <w:szCs w:val="24"/>
              </w:rPr>
              <w:t xml:space="preserve"> pieņems 2014.gadā Regulu par: </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drošuma pazīmju (unikālais identifikators) raksturojumu un tehniskajām specifikācijām;</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recepšu zāļu vai zāļu kategoriju sarakstu, kurām drošuma pazīmes nenorāda;</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bezrecepšu zāļu vai zāļu kategoriju sarakstu, kurām drošuma pazīmes norāda;</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paziņošanas procedūru par zālēm, par kurām ir aizdomas par viltojumu, un ātru šādu ziņojumu izvērtēšanas un lēmumu pieņemšanas sistēmu;</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xml:space="preserve">- drošuma pazīmju pārbaudes paņēmieniem, ko veic  ražotāji, </w:t>
            </w:r>
            <w:r w:rsidRPr="00BC7967">
              <w:rPr>
                <w:rFonts w:ascii="Times New Roman" w:hAnsi="Times New Roman"/>
                <w:noProof/>
                <w:sz w:val="24"/>
                <w:szCs w:val="24"/>
              </w:rPr>
              <w:lastRenderedPageBreak/>
              <w:t>vairumtirgotāji, farmaceiti;</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nosacījumiem repozitoriju sistēmas izveid</w:t>
            </w:r>
            <w:r w:rsidR="009175C7" w:rsidRPr="00BC7967">
              <w:rPr>
                <w:rFonts w:ascii="Times New Roman" w:hAnsi="Times New Roman"/>
                <w:noProof/>
                <w:sz w:val="24"/>
                <w:szCs w:val="24"/>
              </w:rPr>
              <w:t>e</w:t>
            </w:r>
            <w:r w:rsidRPr="00BC7967">
              <w:rPr>
                <w:rFonts w:ascii="Times New Roman" w:hAnsi="Times New Roman"/>
                <w:noProof/>
                <w:sz w:val="24"/>
                <w:szCs w:val="24"/>
              </w:rPr>
              <w:t>i, pārvaldīb</w:t>
            </w:r>
            <w:r w:rsidR="009175C7" w:rsidRPr="00BC7967">
              <w:rPr>
                <w:rFonts w:ascii="Times New Roman" w:hAnsi="Times New Roman"/>
                <w:noProof/>
                <w:sz w:val="24"/>
                <w:szCs w:val="24"/>
              </w:rPr>
              <w:t>ai</w:t>
            </w:r>
            <w:r w:rsidRPr="00BC7967">
              <w:rPr>
                <w:rFonts w:ascii="Times New Roman" w:hAnsi="Times New Roman"/>
                <w:noProof/>
                <w:sz w:val="24"/>
                <w:szCs w:val="24"/>
              </w:rPr>
              <w:t xml:space="preserve"> un pieejamīb</w:t>
            </w:r>
            <w:r w:rsidR="009175C7" w:rsidRPr="00BC7967">
              <w:rPr>
                <w:rFonts w:ascii="Times New Roman" w:hAnsi="Times New Roman"/>
                <w:noProof/>
                <w:sz w:val="24"/>
                <w:szCs w:val="24"/>
              </w:rPr>
              <w:t>ai</w:t>
            </w:r>
            <w:r w:rsidRPr="00BC7967">
              <w:rPr>
                <w:rFonts w:ascii="Times New Roman" w:hAnsi="Times New Roman"/>
                <w:noProof/>
                <w:sz w:val="24"/>
                <w:szCs w:val="24"/>
              </w:rPr>
              <w:t>, kurā glabā informāciju par drošuma pazīmēm, kas ļauj - pārbaudīt zāļu autentiskumu un identificēt tās,</w:t>
            </w: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 xml:space="preserve">grozījumus būs nepieciešams veikt </w:t>
            </w:r>
            <w:r w:rsidRPr="00BC7967">
              <w:rPr>
                <w:rFonts w:ascii="Times New Roman" w:hAnsi="Times New Roman"/>
                <w:noProof/>
                <w:spacing w:val="-6"/>
                <w:sz w:val="24"/>
                <w:szCs w:val="24"/>
              </w:rPr>
              <w:t xml:space="preserve">MK noteikumos Nr.304 , </w:t>
            </w:r>
            <w:r w:rsidR="00050EA3" w:rsidRPr="00BC7967">
              <w:rPr>
                <w:rFonts w:ascii="Times New Roman" w:hAnsi="Times New Roman"/>
                <w:noProof/>
                <w:spacing w:val="-6"/>
                <w:sz w:val="24"/>
                <w:szCs w:val="24"/>
              </w:rPr>
              <w:t>MK</w:t>
            </w:r>
            <w:r w:rsidRPr="00BC7967">
              <w:rPr>
                <w:rFonts w:ascii="Times New Roman" w:hAnsi="Times New Roman"/>
                <w:noProof/>
                <w:sz w:val="24"/>
                <w:szCs w:val="24"/>
              </w:rPr>
              <w:t xml:space="preserve"> noteikumos Nr.436 un </w:t>
            </w:r>
            <w:r w:rsidR="009175C7" w:rsidRPr="00BC7967">
              <w:rPr>
                <w:rFonts w:ascii="Times New Roman" w:hAnsi="Times New Roman"/>
                <w:noProof/>
                <w:sz w:val="24"/>
                <w:szCs w:val="24"/>
              </w:rPr>
              <w:t xml:space="preserve">Ministru kabineta </w:t>
            </w:r>
            <w:r w:rsidRPr="00BC7967">
              <w:rPr>
                <w:rFonts w:ascii="Times New Roman" w:hAnsi="Times New Roman"/>
                <w:noProof/>
                <w:sz w:val="24"/>
                <w:szCs w:val="24"/>
              </w:rPr>
              <w:t>2006.gada 17.janvāra noteikumos Nr.57 ”Noteikumi par zāļu marķēšanas kārtību un zāļu lietošanas instrukcijai izvirzāmajām prasībām</w:t>
            </w:r>
            <w:r w:rsidR="009175C7" w:rsidRPr="00BC7967">
              <w:rPr>
                <w:rFonts w:ascii="Times New Roman" w:hAnsi="Times New Roman"/>
                <w:noProof/>
                <w:sz w:val="24"/>
                <w:szCs w:val="24"/>
              </w:rPr>
              <w:t>”</w:t>
            </w:r>
            <w:r w:rsidRPr="00BC7967">
              <w:rPr>
                <w:rFonts w:ascii="Times New Roman" w:hAnsi="Times New Roman"/>
                <w:noProof/>
                <w:sz w:val="24"/>
                <w:szCs w:val="24"/>
              </w:rPr>
              <w:t>.</w:t>
            </w:r>
          </w:p>
          <w:p w:rsidR="00614771" w:rsidRPr="00BC7967" w:rsidRDefault="00614771" w:rsidP="00614771">
            <w:pPr>
              <w:shd w:val="clear" w:color="auto" w:fill="F5F5F5"/>
              <w:jc w:val="both"/>
              <w:textAlignment w:val="top"/>
              <w:rPr>
                <w:noProof/>
                <w:lang w:val="lv-LV"/>
              </w:rPr>
            </w:pPr>
          </w:p>
          <w:p w:rsidR="00614771" w:rsidRPr="00BC7967" w:rsidRDefault="009F6A62" w:rsidP="00614771">
            <w:pPr>
              <w:shd w:val="clear" w:color="auto" w:fill="F5F5F5"/>
              <w:jc w:val="both"/>
              <w:textAlignment w:val="top"/>
              <w:rPr>
                <w:noProof/>
                <w:lang w:val="lv-LV"/>
              </w:rPr>
            </w:pPr>
            <w:r w:rsidRPr="00BC7967">
              <w:rPr>
                <w:noProof/>
                <w:lang w:val="lv-LV"/>
              </w:rPr>
              <w:t>Pēc tam, kad Eiropas Komisija</w:t>
            </w:r>
            <w:r w:rsidR="00614771" w:rsidRPr="00BC7967">
              <w:rPr>
                <w:noProof/>
                <w:lang w:val="lv-LV"/>
              </w:rPr>
              <w:t xml:space="preserve"> pieņems (plānots 2013.gadā) Regulu par aktīvo vielu labas ražošanas prakses princ</w:t>
            </w:r>
            <w:r w:rsidRPr="00BC7967">
              <w:rPr>
                <w:noProof/>
                <w:lang w:val="lv-LV"/>
              </w:rPr>
              <w:t>p</w:t>
            </w:r>
            <w:r w:rsidR="00614771" w:rsidRPr="00BC7967">
              <w:rPr>
                <w:noProof/>
                <w:lang w:val="lv-LV"/>
              </w:rPr>
              <w:t>iem</w:t>
            </w:r>
            <w:r w:rsidRPr="00BC7967">
              <w:rPr>
                <w:noProof/>
                <w:lang w:val="lv-LV"/>
              </w:rPr>
              <w:t>,</w:t>
            </w:r>
            <w:r w:rsidR="00614771" w:rsidRPr="00BC7967">
              <w:rPr>
                <w:noProof/>
                <w:lang w:val="lv-LV"/>
              </w:rPr>
              <w:t xml:space="preserve"> </w:t>
            </w:r>
            <w:r w:rsidRPr="00BC7967">
              <w:rPr>
                <w:noProof/>
                <w:lang w:val="lv-LV"/>
              </w:rPr>
              <w:t xml:space="preserve">attiecīgi </w:t>
            </w:r>
            <w:r w:rsidR="00614771" w:rsidRPr="00BC7967">
              <w:rPr>
                <w:noProof/>
                <w:lang w:val="lv-LV"/>
              </w:rPr>
              <w:t>grozījum</w:t>
            </w:r>
            <w:r w:rsidRPr="00BC7967">
              <w:rPr>
                <w:noProof/>
                <w:lang w:val="lv-LV"/>
              </w:rPr>
              <w:t>i</w:t>
            </w:r>
            <w:r w:rsidR="00614771" w:rsidRPr="00BC7967">
              <w:rPr>
                <w:noProof/>
                <w:lang w:val="lv-LV"/>
              </w:rPr>
              <w:t xml:space="preserve"> </w:t>
            </w:r>
            <w:r w:rsidRPr="00BC7967">
              <w:rPr>
                <w:noProof/>
                <w:lang w:val="lv-LV"/>
              </w:rPr>
              <w:t>būs jāizdara Ministru k</w:t>
            </w:r>
            <w:r w:rsidR="00614771" w:rsidRPr="00BC7967">
              <w:rPr>
                <w:noProof/>
                <w:lang w:val="lv-LV"/>
              </w:rPr>
              <w:t xml:space="preserve">abineta noteikumos </w:t>
            </w:r>
            <w:r w:rsidR="005051C0" w:rsidRPr="00BC7967">
              <w:rPr>
                <w:noProof/>
                <w:lang w:val="lv-LV"/>
              </w:rPr>
              <w:t xml:space="preserve">par </w:t>
            </w:r>
            <w:r w:rsidR="00614771" w:rsidRPr="00BC7967">
              <w:rPr>
                <w:noProof/>
                <w:lang w:val="lv-LV"/>
              </w:rPr>
              <w:t>aktīvo vielu impor</w:t>
            </w:r>
            <w:r w:rsidR="005051C0" w:rsidRPr="00BC7967">
              <w:rPr>
                <w:noProof/>
                <w:lang w:val="lv-LV"/>
              </w:rPr>
              <w:t>tēšanas un izplatīšanas prasībām un kārtību</w:t>
            </w:r>
            <w:r w:rsidR="00614771" w:rsidRPr="00BC7967">
              <w:rPr>
                <w:noProof/>
                <w:lang w:val="lv-LV"/>
              </w:rPr>
              <w:t xml:space="preserve"> un aktīvo vielu importētāju, ražotāju un izplatītāju reģistrēšanas kārtību.</w:t>
            </w:r>
          </w:p>
          <w:p w:rsidR="00614771" w:rsidRPr="00BC7967" w:rsidRDefault="00614771" w:rsidP="00614771">
            <w:pPr>
              <w:pStyle w:val="NoSpacing"/>
              <w:jc w:val="both"/>
              <w:rPr>
                <w:rFonts w:ascii="Times New Roman" w:hAnsi="Times New Roman"/>
                <w:noProof/>
                <w:sz w:val="24"/>
                <w:szCs w:val="24"/>
              </w:rPr>
            </w:pPr>
          </w:p>
          <w:p w:rsidR="00614771" w:rsidRPr="00BC7967" w:rsidRDefault="00614771" w:rsidP="00614771">
            <w:pPr>
              <w:pStyle w:val="NoSpacing"/>
              <w:jc w:val="both"/>
              <w:rPr>
                <w:rFonts w:ascii="Times New Roman" w:hAnsi="Times New Roman"/>
                <w:noProof/>
                <w:sz w:val="24"/>
                <w:szCs w:val="24"/>
              </w:rPr>
            </w:pPr>
            <w:r w:rsidRPr="00BC7967">
              <w:rPr>
                <w:rFonts w:ascii="Times New Roman" w:hAnsi="Times New Roman"/>
                <w:noProof/>
                <w:sz w:val="24"/>
                <w:szCs w:val="24"/>
              </w:rPr>
              <w:t>Pēc tam, kad Eiropas Komisijas pieņems (plānots 2013.gadā) īstenošanas regulu attiecībā uz tehniskajām, elektroniskajām un kriptogrāfiskajām prasībām, lai varētu pārbaudīt vienotā logotipa autentiskumu un vieno</w:t>
            </w:r>
            <w:r w:rsidR="009F6A62" w:rsidRPr="00BC7967">
              <w:rPr>
                <w:rFonts w:ascii="Times New Roman" w:hAnsi="Times New Roman"/>
                <w:noProof/>
                <w:sz w:val="24"/>
                <w:szCs w:val="24"/>
              </w:rPr>
              <w:t>tā logotipa dizainu, jo vienotais</w:t>
            </w:r>
            <w:r w:rsidRPr="00BC7967">
              <w:rPr>
                <w:rFonts w:ascii="Times New Roman" w:hAnsi="Times New Roman"/>
                <w:noProof/>
                <w:sz w:val="24"/>
                <w:szCs w:val="24"/>
              </w:rPr>
              <w:t xml:space="preserve"> logotips būs jāievieš aptiekām, kuras nodarbojas ar tālpārdošanu, nepieciešami </w:t>
            </w:r>
            <w:r w:rsidRPr="00BC7967">
              <w:rPr>
                <w:rFonts w:ascii="Times New Roman" w:hAnsi="Times New Roman"/>
                <w:noProof/>
              </w:rPr>
              <w:t>būs grozījumi</w:t>
            </w:r>
            <w:r w:rsidRPr="00BC7967">
              <w:rPr>
                <w:noProof/>
              </w:rPr>
              <w:t xml:space="preserve"> </w:t>
            </w:r>
            <w:r w:rsidRPr="00BC7967">
              <w:rPr>
                <w:rFonts w:ascii="Times New Roman" w:hAnsi="Times New Roman"/>
                <w:noProof/>
                <w:sz w:val="24"/>
                <w:szCs w:val="24"/>
              </w:rPr>
              <w:t>MK noteikumos Nr.416.</w:t>
            </w:r>
          </w:p>
          <w:p w:rsidR="00614771" w:rsidRPr="00BC7967" w:rsidRDefault="00614771" w:rsidP="00614771">
            <w:pPr>
              <w:pStyle w:val="NoSpacing"/>
              <w:jc w:val="both"/>
              <w:rPr>
                <w:bCs/>
                <w:noProof/>
              </w:rPr>
            </w:pPr>
          </w:p>
          <w:p w:rsidR="00614771" w:rsidRPr="00BC7967" w:rsidRDefault="00614771" w:rsidP="00614771">
            <w:pPr>
              <w:pStyle w:val="NoSpacing"/>
              <w:jc w:val="both"/>
              <w:rPr>
                <w:noProof/>
              </w:rPr>
            </w:pPr>
            <w:r w:rsidRPr="00BC7967">
              <w:rPr>
                <w:rFonts w:ascii="Times New Roman" w:hAnsi="Times New Roman"/>
                <w:bCs/>
                <w:noProof/>
                <w:sz w:val="24"/>
                <w:szCs w:val="24"/>
              </w:rPr>
              <w:t xml:space="preserve">Pēc tam, kad Eiropas Komisija pieņems (plānots 2013.gadā) </w:t>
            </w:r>
            <w:r w:rsidR="0048753A" w:rsidRPr="00BC7967">
              <w:rPr>
                <w:rFonts w:ascii="Times New Roman" w:hAnsi="Times New Roman"/>
                <w:bCs/>
                <w:noProof/>
                <w:sz w:val="24"/>
                <w:szCs w:val="24"/>
              </w:rPr>
              <w:t xml:space="preserve">aktīvo vielu labas izplatīšanas </w:t>
            </w:r>
            <w:r w:rsidRPr="00BC7967">
              <w:rPr>
                <w:rFonts w:ascii="Times New Roman" w:hAnsi="Times New Roman"/>
                <w:bCs/>
                <w:noProof/>
                <w:sz w:val="24"/>
                <w:szCs w:val="24"/>
              </w:rPr>
              <w:t xml:space="preserve">prakses vadlīnijas, nepieciešami būs grozījumi </w:t>
            </w:r>
            <w:r w:rsidR="009F6A62" w:rsidRPr="00BC7967">
              <w:rPr>
                <w:rFonts w:ascii="Times New Roman" w:hAnsi="Times New Roman"/>
                <w:noProof/>
                <w:sz w:val="24"/>
                <w:szCs w:val="24"/>
              </w:rPr>
              <w:t>Ministru k</w:t>
            </w:r>
            <w:r w:rsidRPr="00BC7967">
              <w:rPr>
                <w:rFonts w:ascii="Times New Roman" w:hAnsi="Times New Roman"/>
                <w:noProof/>
                <w:sz w:val="24"/>
                <w:szCs w:val="24"/>
              </w:rPr>
              <w:t>abineta noteikumos par aktīvo vielu importēšanas un izplatīšanas prasībām un kārtību.</w:t>
            </w:r>
          </w:p>
          <w:p w:rsidR="00614771" w:rsidRPr="00BC7967" w:rsidRDefault="00614771" w:rsidP="00614771">
            <w:pPr>
              <w:pStyle w:val="NoSpacing"/>
              <w:jc w:val="both"/>
              <w:rPr>
                <w:noProof/>
              </w:rPr>
            </w:pPr>
          </w:p>
          <w:p w:rsidR="00614771" w:rsidRPr="00BC7967" w:rsidRDefault="00614771" w:rsidP="00614771">
            <w:pPr>
              <w:pStyle w:val="NoSpacing"/>
              <w:jc w:val="both"/>
              <w:rPr>
                <w:noProof/>
              </w:rPr>
            </w:pPr>
            <w:r w:rsidRPr="00BC7967">
              <w:rPr>
                <w:rFonts w:ascii="Times New Roman" w:hAnsi="Times New Roman"/>
                <w:noProof/>
                <w:sz w:val="24"/>
                <w:szCs w:val="24"/>
              </w:rPr>
              <w:t xml:space="preserve">Pēc tam, kad Eiropas Komisija pieņems (plānots 2013.gadā) vadlīnijas par </w:t>
            </w:r>
            <w:r w:rsidRPr="00BC7967">
              <w:rPr>
                <w:rStyle w:val="hps"/>
                <w:rFonts w:ascii="Times New Roman" w:hAnsi="Times New Roman"/>
                <w:noProof/>
                <w:sz w:val="24"/>
                <w:szCs w:val="24"/>
              </w:rPr>
              <w:t>oficiālu</w:t>
            </w:r>
            <w:r w:rsidRPr="00BC7967">
              <w:rPr>
                <w:rFonts w:ascii="Times New Roman" w:hAnsi="Times New Roman"/>
                <w:noProof/>
                <w:sz w:val="24"/>
                <w:szCs w:val="24"/>
              </w:rPr>
              <w:t xml:space="preserve"> </w:t>
            </w:r>
            <w:r w:rsidRPr="00BC7967">
              <w:rPr>
                <w:rStyle w:val="hps"/>
                <w:rFonts w:ascii="Times New Roman" w:hAnsi="Times New Roman"/>
                <w:noProof/>
                <w:sz w:val="24"/>
                <w:szCs w:val="24"/>
              </w:rPr>
              <w:t>riska novērtējumu</w:t>
            </w:r>
            <w:r w:rsidRPr="00BC7967">
              <w:rPr>
                <w:rFonts w:ascii="Times New Roman" w:hAnsi="Times New Roman"/>
                <w:noProof/>
                <w:sz w:val="24"/>
                <w:szCs w:val="24"/>
              </w:rPr>
              <w:t>, lai pārbaudītu</w:t>
            </w:r>
            <w:r w:rsidRPr="00BC7967">
              <w:rPr>
                <w:rFonts w:ascii="Times New Roman" w:hAnsi="Times New Roman"/>
                <w:noProof/>
                <w:sz w:val="24"/>
                <w:szCs w:val="24"/>
              </w:rPr>
              <w:br/>
            </w:r>
            <w:r w:rsidRPr="00BC7967">
              <w:rPr>
                <w:rStyle w:val="hps"/>
                <w:rFonts w:ascii="Times New Roman" w:hAnsi="Times New Roman"/>
                <w:noProof/>
                <w:sz w:val="24"/>
                <w:szCs w:val="24"/>
              </w:rPr>
              <w:t>palīgvielu atbilstīb</w:t>
            </w:r>
            <w:r w:rsidR="009175C7" w:rsidRPr="00BC7967">
              <w:rPr>
                <w:rStyle w:val="hps"/>
                <w:rFonts w:ascii="Times New Roman" w:hAnsi="Times New Roman"/>
                <w:noProof/>
                <w:sz w:val="24"/>
                <w:szCs w:val="24"/>
              </w:rPr>
              <w:t>u</w:t>
            </w:r>
            <w:r w:rsidRPr="00BC7967">
              <w:rPr>
                <w:rStyle w:val="hps"/>
                <w:rFonts w:ascii="Times New Roman" w:hAnsi="Times New Roman"/>
                <w:noProof/>
                <w:sz w:val="24"/>
                <w:szCs w:val="24"/>
              </w:rPr>
              <w:t xml:space="preserve"> labai ražošanas</w:t>
            </w:r>
            <w:r w:rsidRPr="00BC7967">
              <w:rPr>
                <w:rFonts w:ascii="Times New Roman" w:hAnsi="Times New Roman"/>
                <w:noProof/>
                <w:sz w:val="24"/>
                <w:szCs w:val="24"/>
              </w:rPr>
              <w:t xml:space="preserve"> </w:t>
            </w:r>
            <w:r w:rsidRPr="00BC7967">
              <w:rPr>
                <w:rStyle w:val="hps"/>
                <w:rFonts w:ascii="Times New Roman" w:hAnsi="Times New Roman"/>
                <w:noProof/>
                <w:sz w:val="24"/>
                <w:szCs w:val="24"/>
              </w:rPr>
              <w:t xml:space="preserve">praksei, </w:t>
            </w:r>
            <w:r w:rsidRPr="00BC7967">
              <w:rPr>
                <w:rFonts w:ascii="Times New Roman" w:hAnsi="Times New Roman"/>
                <w:noProof/>
                <w:sz w:val="24"/>
                <w:szCs w:val="24"/>
              </w:rPr>
              <w:t xml:space="preserve">nepieciešami būs grozījumi </w:t>
            </w:r>
            <w:r w:rsidRPr="00BC7967">
              <w:rPr>
                <w:rFonts w:ascii="Times New Roman" w:hAnsi="Times New Roman"/>
                <w:noProof/>
                <w:spacing w:val="-6"/>
                <w:sz w:val="24"/>
                <w:szCs w:val="24"/>
              </w:rPr>
              <w:t>MK noteikumos Nr.304.</w:t>
            </w:r>
          </w:p>
          <w:p w:rsidR="00614771" w:rsidRPr="00BC7967" w:rsidRDefault="00614771" w:rsidP="00614771">
            <w:pPr>
              <w:pStyle w:val="NoSpacing"/>
              <w:jc w:val="both"/>
              <w:rPr>
                <w:noProof/>
              </w:rPr>
            </w:pPr>
          </w:p>
          <w:p w:rsidR="00614771" w:rsidRPr="00BC7967" w:rsidRDefault="00614771" w:rsidP="00614771">
            <w:pPr>
              <w:pStyle w:val="NoSpacing"/>
              <w:jc w:val="both"/>
              <w:rPr>
                <w:rFonts w:ascii="Times New Roman" w:hAnsi="Times New Roman"/>
                <w:bCs/>
                <w:noProof/>
                <w:sz w:val="24"/>
                <w:szCs w:val="24"/>
              </w:rPr>
            </w:pPr>
            <w:r w:rsidRPr="00BC7967">
              <w:rPr>
                <w:rFonts w:ascii="Times New Roman" w:hAnsi="Times New Roman"/>
                <w:noProof/>
                <w:sz w:val="24"/>
                <w:szCs w:val="24"/>
              </w:rPr>
              <w:t xml:space="preserve">Informācija par Eiropas Komisijas plānoto darba grafiku iepriekš minēto EK tiesību aktu pieņemšanai publiskota tīmekļa vietnē: </w:t>
            </w:r>
            <w:hyperlink r:id="rId8" w:history="1">
              <w:r w:rsidRPr="00BC7967">
                <w:rPr>
                  <w:rStyle w:val="Hyperlink"/>
                  <w:rFonts w:ascii="Times New Roman" w:hAnsi="Times New Roman"/>
                  <w:noProof/>
                  <w:color w:val="auto"/>
                  <w:sz w:val="24"/>
                  <w:szCs w:val="24"/>
                  <w:u w:val="none"/>
                </w:rPr>
                <w:t>http://ec.europa.eu/health/files/counterf_par_trade/planning.pd</w:t>
              </w:r>
              <w:r w:rsidRPr="00BC7967">
                <w:rPr>
                  <w:rStyle w:val="Hyperlink"/>
                  <w:rFonts w:ascii="Times New Roman" w:hAnsi="Times New Roman"/>
                  <w:noProof/>
                  <w:color w:val="auto"/>
                  <w:sz w:val="24"/>
                  <w:szCs w:val="24"/>
                </w:rPr>
                <w:t>f</w:t>
              </w:r>
            </w:hyperlink>
          </w:p>
          <w:p w:rsidR="000258B6" w:rsidRPr="00BC7967" w:rsidRDefault="000258B6" w:rsidP="00614771">
            <w:pPr>
              <w:jc w:val="both"/>
              <w:rPr>
                <w:noProof/>
                <w:spacing w:val="-6"/>
                <w:szCs w:val="28"/>
                <w:lang w:val="lv-LV"/>
              </w:rPr>
            </w:pPr>
          </w:p>
          <w:p w:rsidR="00F40759" w:rsidRPr="00BC7967" w:rsidRDefault="00A304FF" w:rsidP="00A304FF">
            <w:pPr>
              <w:jc w:val="both"/>
              <w:outlineLvl w:val="0"/>
              <w:rPr>
                <w:rStyle w:val="spelle"/>
                <w:lang w:val="lv-LV"/>
              </w:rPr>
            </w:pPr>
            <w:r w:rsidRPr="00BC7967">
              <w:rPr>
                <w:noProof/>
                <w:spacing w:val="-6"/>
                <w:lang w:val="lv-LV"/>
              </w:rPr>
              <w:t>2</w:t>
            </w:r>
            <w:r w:rsidR="00407A9B" w:rsidRPr="00BC7967">
              <w:rPr>
                <w:noProof/>
                <w:spacing w:val="-6"/>
                <w:lang w:val="lv-LV"/>
              </w:rPr>
              <w:t>. </w:t>
            </w:r>
            <w:r w:rsidR="000258B6" w:rsidRPr="00BC7967">
              <w:rPr>
                <w:noProof/>
                <w:spacing w:val="-6"/>
                <w:lang w:val="lv-LV"/>
              </w:rPr>
              <w:t xml:space="preserve">Nepieciešams sagatavot grozījumus </w:t>
            </w:r>
            <w:r w:rsidR="00227B09" w:rsidRPr="00BC7967">
              <w:rPr>
                <w:noProof/>
                <w:lang w:val="lv-LV"/>
              </w:rPr>
              <w:t xml:space="preserve">MK </w:t>
            </w:r>
            <w:r w:rsidR="000258B6" w:rsidRPr="00BC7967">
              <w:rPr>
                <w:noProof/>
                <w:lang w:val="lv-LV"/>
              </w:rPr>
              <w:t xml:space="preserve">noteikumos Nr.75 </w:t>
            </w:r>
            <w:r w:rsidRPr="00BC7967">
              <w:rPr>
                <w:noProof/>
                <w:lang w:val="lv-LV"/>
              </w:rPr>
              <w:t xml:space="preserve">un </w:t>
            </w:r>
            <w:r w:rsidRPr="00BC7967">
              <w:rPr>
                <w:rStyle w:val="spelle"/>
                <w:lang w:val="lv-LV"/>
              </w:rPr>
              <w:t xml:space="preserve">noteikt Zāļu valsts aģentūras sniegto publisko maksas pakalpojumu cenrādī diferencētu maksu par </w:t>
            </w:r>
            <w:r w:rsidR="00BE5A08" w:rsidRPr="00BC7967">
              <w:rPr>
                <w:rStyle w:val="spelle"/>
                <w:lang w:val="lv-LV"/>
              </w:rPr>
              <w:t xml:space="preserve">atļaujas zāļu paraugu importam, produkta sertifikāta, saīsinātā produkta sertifikāta, </w:t>
            </w:r>
            <w:r w:rsidR="00BE5A08" w:rsidRPr="00BC7967">
              <w:rPr>
                <w:lang w:val="lv-LV"/>
              </w:rPr>
              <w:t>paziņojuma par produkta reģistrācijas statusu</w:t>
            </w:r>
            <w:r w:rsidRPr="00BC7967">
              <w:rPr>
                <w:rStyle w:val="spelle"/>
                <w:lang w:val="lv-LV"/>
              </w:rPr>
              <w:t xml:space="preserve"> izsniegšanai elektroniska dokumenta formā</w:t>
            </w:r>
            <w:r w:rsidR="008D2B90" w:rsidRPr="00BC7967">
              <w:rPr>
                <w:rStyle w:val="spelle"/>
                <w:lang w:val="lv-LV"/>
              </w:rPr>
              <w:t xml:space="preserve"> vai papīra formā</w:t>
            </w:r>
            <w:r w:rsidRPr="00BC7967">
              <w:rPr>
                <w:rStyle w:val="spelle"/>
                <w:lang w:val="lv-LV"/>
              </w:rPr>
              <w:t>.</w:t>
            </w:r>
          </w:p>
          <w:p w:rsidR="00A304FF" w:rsidRPr="00BC7967" w:rsidRDefault="00A304FF" w:rsidP="00A304FF">
            <w:pPr>
              <w:jc w:val="both"/>
              <w:outlineLvl w:val="0"/>
              <w:rPr>
                <w:lang w:val="lv-LV"/>
              </w:rPr>
            </w:pPr>
          </w:p>
          <w:p w:rsidR="005630B2" w:rsidRPr="00BC7967" w:rsidRDefault="005630B2" w:rsidP="005630B2">
            <w:pPr>
              <w:shd w:val="clear" w:color="auto" w:fill="F5F5F5"/>
              <w:jc w:val="both"/>
              <w:textAlignment w:val="top"/>
              <w:rPr>
                <w:noProof/>
                <w:lang w:val="lv-LV"/>
              </w:rPr>
            </w:pPr>
            <w:r w:rsidRPr="00BC7967">
              <w:rPr>
                <w:noProof/>
                <w:lang w:val="lv-LV"/>
              </w:rPr>
              <w:t xml:space="preserve">Pārskatāmi </w:t>
            </w:r>
            <w:r w:rsidR="009175C7" w:rsidRPr="00BC7967">
              <w:rPr>
                <w:noProof/>
                <w:lang w:val="lv-LV"/>
              </w:rPr>
              <w:t xml:space="preserve">Latvijas </w:t>
            </w:r>
            <w:r w:rsidRPr="00BC7967">
              <w:rPr>
                <w:noProof/>
                <w:lang w:val="lv-LV"/>
              </w:rPr>
              <w:t xml:space="preserve">Administratīvo pārkāpumu kodeksā noteiktie sodi, lai tos varētu piemērot aktīvo vielu ražošanas, importēšanas vai izplatīšanas pārkāpumu gadījumā, kā arī attiecībā uz palīgvielām un </w:t>
            </w:r>
            <w:r w:rsidRPr="00BC7967">
              <w:rPr>
                <w:noProof/>
                <w:lang w:val="lv-LV"/>
              </w:rPr>
              <w:lastRenderedPageBreak/>
              <w:t>viltotu zāļu ražošanu un izplatīšanu.</w:t>
            </w:r>
          </w:p>
          <w:p w:rsidR="005630B2" w:rsidRPr="00BC7967" w:rsidRDefault="005630B2" w:rsidP="00B057F1">
            <w:pPr>
              <w:jc w:val="both"/>
              <w:rPr>
                <w:noProof/>
                <w:spacing w:val="-6"/>
                <w:szCs w:val="28"/>
                <w:lang w:val="lv-LV"/>
              </w:rPr>
            </w:pPr>
          </w:p>
          <w:p w:rsidR="000258B6" w:rsidRPr="00BC7967" w:rsidRDefault="000258B6" w:rsidP="00B057F1">
            <w:pPr>
              <w:jc w:val="both"/>
              <w:rPr>
                <w:noProof/>
                <w:spacing w:val="-6"/>
                <w:szCs w:val="28"/>
                <w:lang w:val="lv-LV"/>
              </w:rPr>
            </w:pPr>
            <w:r w:rsidRPr="00BC7967">
              <w:rPr>
                <w:noProof/>
                <w:spacing w:val="-6"/>
                <w:szCs w:val="28"/>
                <w:lang w:val="lv-LV"/>
              </w:rPr>
              <w:t>Par noteikumu projekta sagatavošanu ir atbildīga Veselības ministrija.</w:t>
            </w:r>
          </w:p>
        </w:tc>
      </w:tr>
      <w:tr w:rsidR="004134D0" w:rsidRPr="00BC7967" w:rsidTr="00BC7967">
        <w:tblPrEx>
          <w:tblCellMar>
            <w:left w:w="0" w:type="dxa"/>
            <w:right w:w="0" w:type="dxa"/>
          </w:tblCellMar>
        </w:tblPrEx>
        <w:trPr>
          <w:gridBefore w:val="1"/>
          <w:wBefore w:w="34" w:type="dxa"/>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pPr>
            <w:r w:rsidRPr="00BC7967">
              <w:lastRenderedPageBreak/>
              <w:t>2.</w:t>
            </w:r>
          </w:p>
        </w:tc>
        <w:tc>
          <w:tcPr>
            <w:tcW w:w="1935"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right="57"/>
            </w:pPr>
            <w:r w:rsidRPr="00BC7967">
              <w:t>Cita informācija</w:t>
            </w:r>
          </w:p>
        </w:tc>
        <w:tc>
          <w:tcPr>
            <w:tcW w:w="6840" w:type="dxa"/>
            <w:gridSpan w:val="6"/>
            <w:tcBorders>
              <w:top w:val="single" w:sz="4" w:space="0" w:color="auto"/>
              <w:left w:val="single" w:sz="4" w:space="0" w:color="auto"/>
              <w:bottom w:val="single" w:sz="4" w:space="0" w:color="auto"/>
              <w:right w:val="single" w:sz="4" w:space="0" w:color="auto"/>
            </w:tcBorders>
            <w:hideMark/>
          </w:tcPr>
          <w:p w:rsidR="004134D0" w:rsidRPr="00BC7967" w:rsidRDefault="0088225D" w:rsidP="0080564D">
            <w:pPr>
              <w:pStyle w:val="naisnod"/>
              <w:spacing w:before="0" w:after="0"/>
              <w:ind w:left="57" w:right="57"/>
              <w:jc w:val="both"/>
              <w:rPr>
                <w:b w:val="0"/>
              </w:rPr>
            </w:pPr>
            <w:r w:rsidRPr="00BC7967">
              <w:rPr>
                <w:b w:val="0"/>
                <w:iCs/>
              </w:rPr>
              <w:t>Nav</w:t>
            </w:r>
          </w:p>
        </w:tc>
      </w:tr>
      <w:tr w:rsidR="004134D0" w:rsidRPr="00BC7967" w:rsidTr="00BC7967">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tcPr>
          <w:p w:rsidR="004134D0" w:rsidRPr="00BC7967" w:rsidRDefault="004134D0" w:rsidP="004134D0">
            <w:pPr>
              <w:pStyle w:val="naisnod"/>
              <w:spacing w:before="0" w:after="0"/>
              <w:ind w:left="57" w:right="57"/>
            </w:pPr>
          </w:p>
        </w:tc>
      </w:tr>
      <w:tr w:rsidR="004134D0" w:rsidRPr="00BC7967" w:rsidTr="00BC7967">
        <w:tblPrEx>
          <w:tblCellMar>
            <w:left w:w="0" w:type="dxa"/>
            <w:right w:w="0" w:type="dxa"/>
          </w:tblCellMar>
        </w:tblPrEx>
        <w:trPr>
          <w:gridBefore w:val="1"/>
          <w:wBefore w:w="34" w:type="dxa"/>
        </w:trPr>
        <w:tc>
          <w:tcPr>
            <w:tcW w:w="9464" w:type="dxa"/>
            <w:gridSpan w:val="10"/>
            <w:tcBorders>
              <w:top w:val="single" w:sz="4" w:space="0" w:color="auto"/>
              <w:left w:val="single" w:sz="4" w:space="0" w:color="auto"/>
              <w:bottom w:val="single" w:sz="4" w:space="0" w:color="auto"/>
              <w:right w:val="single" w:sz="4" w:space="0" w:color="auto"/>
            </w:tcBorders>
            <w:vAlign w:val="center"/>
            <w:hideMark/>
          </w:tcPr>
          <w:p w:rsidR="004134D0" w:rsidRPr="00BC7967" w:rsidRDefault="004134D0" w:rsidP="004134D0">
            <w:pPr>
              <w:jc w:val="center"/>
              <w:rPr>
                <w:b/>
                <w:lang w:val="lv-LV"/>
              </w:rPr>
            </w:pPr>
            <w:r w:rsidRPr="00BC7967">
              <w:rPr>
                <w:b/>
                <w:lang w:val="lv-LV"/>
              </w:rPr>
              <w:t>V. Tiesību akta projekta atbilstība Latvijas Republikas starptautiskajām saistībām</w:t>
            </w:r>
          </w:p>
        </w:tc>
      </w:tr>
      <w:tr w:rsidR="004134D0" w:rsidRPr="00BC7967" w:rsidTr="00BC7967">
        <w:tblPrEx>
          <w:tblCellMar>
            <w:left w:w="0" w:type="dxa"/>
            <w:right w:w="0" w:type="dxa"/>
          </w:tblCellMar>
        </w:tblPrEx>
        <w:trPr>
          <w:gridBefore w:val="1"/>
          <w:wBefore w:w="34" w:type="dxa"/>
          <w:trHeight w:val="345"/>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1.</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Saistības pret Eiropas Savienību</w:t>
            </w:r>
          </w:p>
        </w:tc>
        <w:tc>
          <w:tcPr>
            <w:tcW w:w="5343" w:type="dxa"/>
            <w:gridSpan w:val="3"/>
            <w:tcBorders>
              <w:top w:val="single" w:sz="4" w:space="0" w:color="auto"/>
              <w:left w:val="single" w:sz="4" w:space="0" w:color="auto"/>
              <w:bottom w:val="single" w:sz="4" w:space="0" w:color="auto"/>
              <w:right w:val="single" w:sz="4" w:space="0" w:color="auto"/>
            </w:tcBorders>
            <w:hideMark/>
          </w:tcPr>
          <w:p w:rsidR="00F43B7A" w:rsidRPr="00BC7967" w:rsidRDefault="004134D0" w:rsidP="00E5376B">
            <w:pPr>
              <w:jc w:val="both"/>
              <w:rPr>
                <w:lang w:val="lv-LV"/>
              </w:rPr>
            </w:pPr>
            <w:r w:rsidRPr="00BC7967">
              <w:rPr>
                <w:lang w:val="lv-LV"/>
              </w:rPr>
              <w:t xml:space="preserve">Direktīva </w:t>
            </w:r>
            <w:r w:rsidRPr="00BC7967">
              <w:rPr>
                <w:bCs/>
                <w:lang w:val="lv-LV"/>
              </w:rPr>
              <w:t>2011/62/ES</w:t>
            </w:r>
          </w:p>
        </w:tc>
      </w:tr>
      <w:tr w:rsidR="004134D0" w:rsidRPr="00BC7967" w:rsidTr="00BC7967">
        <w:tblPrEx>
          <w:tblCellMar>
            <w:left w:w="0" w:type="dxa"/>
            <w:right w:w="0" w:type="dxa"/>
          </w:tblCellMar>
        </w:tblPrEx>
        <w:trPr>
          <w:gridBefore w:val="1"/>
          <w:wBefore w:w="34" w:type="dxa"/>
          <w:trHeight w:val="339"/>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2.</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Citas starptautiskās saistības</w:t>
            </w:r>
          </w:p>
        </w:tc>
        <w:tc>
          <w:tcPr>
            <w:tcW w:w="5343" w:type="dxa"/>
            <w:gridSpan w:val="3"/>
            <w:tcBorders>
              <w:top w:val="single" w:sz="4" w:space="0" w:color="auto"/>
              <w:left w:val="single" w:sz="4" w:space="0" w:color="auto"/>
              <w:bottom w:val="single" w:sz="4" w:space="0" w:color="auto"/>
              <w:right w:val="single" w:sz="4" w:space="0" w:color="auto"/>
            </w:tcBorders>
            <w:hideMark/>
          </w:tcPr>
          <w:p w:rsidR="004134D0" w:rsidRPr="00BC7967" w:rsidRDefault="0088225D" w:rsidP="002468CF">
            <w:pPr>
              <w:rPr>
                <w:lang w:val="lv-LV"/>
              </w:rPr>
            </w:pPr>
            <w:r w:rsidRPr="00BC7967">
              <w:rPr>
                <w:lang w:val="lv-LV"/>
              </w:rPr>
              <w:t>Projekts šo jomu neskar</w:t>
            </w:r>
            <w:r w:rsidR="0089641B" w:rsidRPr="00BC7967">
              <w:rPr>
                <w:lang w:val="lv-LV"/>
              </w:rPr>
              <w:t>.</w:t>
            </w:r>
          </w:p>
        </w:tc>
      </w:tr>
      <w:tr w:rsidR="004134D0" w:rsidRPr="00BC7967" w:rsidTr="00BC7967">
        <w:tblPrEx>
          <w:tblCellMar>
            <w:left w:w="0" w:type="dxa"/>
            <w:right w:w="0" w:type="dxa"/>
          </w:tblCellMar>
        </w:tblPrEx>
        <w:trPr>
          <w:gridBefore w:val="1"/>
          <w:wBefore w:w="34" w:type="dxa"/>
          <w:trHeight w:val="375"/>
        </w:trPr>
        <w:tc>
          <w:tcPr>
            <w:tcW w:w="689" w:type="dxa"/>
            <w:gridSpan w:val="2"/>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3.</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Cita informācija</w:t>
            </w:r>
          </w:p>
        </w:tc>
        <w:tc>
          <w:tcPr>
            <w:tcW w:w="5343" w:type="dxa"/>
            <w:gridSpan w:val="3"/>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ind w:left="57"/>
              <w:rPr>
                <w:lang w:val="lv-LV"/>
              </w:rPr>
            </w:pPr>
            <w:r w:rsidRPr="00BC7967">
              <w:rPr>
                <w:lang w:val="lv-LV"/>
              </w:rPr>
              <w:t>Nav</w:t>
            </w:r>
          </w:p>
        </w:tc>
      </w:tr>
      <w:tr w:rsidR="004134D0" w:rsidRPr="00BC7967" w:rsidTr="00BC7967">
        <w:tblPrEx>
          <w:tblCellMar>
            <w:left w:w="0" w:type="dxa"/>
            <w:right w:w="0" w:type="dxa"/>
          </w:tblCellMar>
        </w:tblPrEx>
        <w:trPr>
          <w:cantSplit/>
          <w:trHeight w:val="523"/>
        </w:trPr>
        <w:tc>
          <w:tcPr>
            <w:tcW w:w="9498" w:type="dxa"/>
            <w:gridSpan w:val="11"/>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BC7967" w:rsidRDefault="004134D0" w:rsidP="004134D0">
            <w:pPr>
              <w:ind w:left="57"/>
              <w:jc w:val="center"/>
              <w:rPr>
                <w:b/>
                <w:lang w:val="lv-LV"/>
              </w:rPr>
            </w:pPr>
            <w:r w:rsidRPr="00BC7967">
              <w:rPr>
                <w:b/>
                <w:lang w:val="lv-LV"/>
              </w:rPr>
              <w:t>1.tabula</w:t>
            </w:r>
          </w:p>
          <w:p w:rsidR="004134D0" w:rsidRPr="00BC7967" w:rsidRDefault="004134D0" w:rsidP="004134D0">
            <w:pPr>
              <w:ind w:left="57"/>
              <w:jc w:val="center"/>
              <w:rPr>
                <w:lang w:val="lv-LV"/>
              </w:rPr>
            </w:pPr>
            <w:r w:rsidRPr="00BC7967">
              <w:rPr>
                <w:b/>
                <w:lang w:val="lv-LV"/>
              </w:rPr>
              <w:t>Tiesību akta projekta atbilstība ES tiesību aktiem</w:t>
            </w:r>
          </w:p>
        </w:tc>
      </w:tr>
      <w:tr w:rsidR="004134D0" w:rsidRPr="00BC7967" w:rsidTr="00BC7967">
        <w:tblPrEx>
          <w:tblCellMar>
            <w:left w:w="0" w:type="dxa"/>
            <w:right w:w="0" w:type="dxa"/>
          </w:tblCellMar>
        </w:tblPrEx>
        <w:trPr>
          <w:cantSplit/>
          <w:trHeight w:val="971"/>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ind w:left="57"/>
              <w:rPr>
                <w:lang w:val="lv-LV"/>
              </w:rPr>
            </w:pPr>
            <w:r w:rsidRPr="00BC7967">
              <w:rPr>
                <w:lang w:val="lv-LV"/>
              </w:rPr>
              <w:t>Attiecīgā ES tiesību akta datums, numurs un nosaukums</w:t>
            </w:r>
          </w:p>
        </w:tc>
        <w:tc>
          <w:tcPr>
            <w:tcW w:w="6521"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96473E" w:rsidP="0089641B">
            <w:pPr>
              <w:jc w:val="both"/>
              <w:rPr>
                <w:lang w:val="lv-LV"/>
              </w:rPr>
            </w:pPr>
            <w:r w:rsidRPr="00BC7967">
              <w:rPr>
                <w:lang w:val="lv-LV"/>
              </w:rPr>
              <w:t xml:space="preserve">Direktīva </w:t>
            </w:r>
            <w:r w:rsidRPr="00BC7967">
              <w:rPr>
                <w:bCs/>
                <w:lang w:val="lv-LV"/>
              </w:rPr>
              <w:t>2011/62/ES</w:t>
            </w:r>
          </w:p>
        </w:tc>
      </w:tr>
      <w:tr w:rsidR="004134D0" w:rsidRPr="00BC7967" w:rsidTr="00BC7967">
        <w:tblPrEx>
          <w:tblCellMar>
            <w:left w:w="0" w:type="dxa"/>
            <w:right w:w="0" w:type="dxa"/>
          </w:tblCellMar>
        </w:tblPrEx>
        <w:trPr>
          <w:cantSplit/>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BC7967" w:rsidRDefault="004134D0" w:rsidP="004134D0">
            <w:pPr>
              <w:ind w:left="57"/>
              <w:jc w:val="center"/>
              <w:rPr>
                <w:lang w:val="lv-LV"/>
              </w:rPr>
            </w:pPr>
            <w:r w:rsidRPr="00BC7967">
              <w:rPr>
                <w:lang w:val="lv-LV"/>
              </w:rPr>
              <w:t>A</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BC7967" w:rsidRDefault="004134D0" w:rsidP="004134D0">
            <w:pPr>
              <w:ind w:left="57"/>
              <w:jc w:val="center"/>
              <w:rPr>
                <w:lang w:val="lv-LV"/>
              </w:rPr>
            </w:pPr>
            <w:r w:rsidRPr="00BC7967">
              <w:rPr>
                <w:lang w:val="lv-LV"/>
              </w:rPr>
              <w:t>B</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BC7967" w:rsidRDefault="004134D0" w:rsidP="004134D0">
            <w:pPr>
              <w:ind w:left="57"/>
              <w:jc w:val="center"/>
              <w:rPr>
                <w:lang w:val="lv-LV"/>
              </w:rPr>
            </w:pPr>
            <w:r w:rsidRPr="00BC7967">
              <w:rPr>
                <w:lang w:val="lv-LV"/>
              </w:rPr>
              <w:t>C</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BC7967" w:rsidRDefault="004134D0" w:rsidP="004134D0">
            <w:pPr>
              <w:ind w:left="57"/>
              <w:jc w:val="center"/>
              <w:rPr>
                <w:lang w:val="lv-LV"/>
              </w:rPr>
            </w:pPr>
            <w:r w:rsidRPr="00BC7967">
              <w:rPr>
                <w:lang w:val="lv-LV"/>
              </w:rPr>
              <w:t>D</w:t>
            </w:r>
          </w:p>
        </w:tc>
      </w:tr>
      <w:tr w:rsidR="004134D0" w:rsidRPr="00BC7967" w:rsidTr="00BC7967">
        <w:tblPrEx>
          <w:tblCellMar>
            <w:left w:w="0" w:type="dxa"/>
            <w:right w:w="0" w:type="dxa"/>
          </w:tblCellMar>
        </w:tblPrEx>
        <w:trPr>
          <w:cantSplit/>
          <w:trHeight w:val="2237"/>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spacing w:after="120"/>
              <w:ind w:left="57"/>
              <w:jc w:val="both"/>
              <w:rPr>
                <w:spacing w:val="-3"/>
                <w:lang w:val="lv-LV"/>
              </w:rPr>
            </w:pPr>
            <w:r w:rsidRPr="00BC7967">
              <w:rPr>
                <w:spacing w:val="-3"/>
                <w:lang w:val="lv-LV"/>
              </w:rPr>
              <w:t>Attiecīgā ES tiesību akta panta numurs (uzskaitot katru tiesību akta vienību – pantu, daļu, punktu, apakšpunktu)</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spacing w:after="120"/>
              <w:ind w:left="57"/>
              <w:jc w:val="both"/>
              <w:rPr>
                <w:spacing w:val="-3"/>
                <w:lang w:val="lv-LV"/>
              </w:rPr>
            </w:pPr>
            <w:r w:rsidRPr="00BC7967">
              <w:rPr>
                <w:spacing w:val="-3"/>
                <w:lang w:val="lv-LV"/>
              </w:rPr>
              <w:t>Projekta vienība, kas pārņem vai ievieš katru šīs tabulas A ailē minēto ES tiesību akta vienību, vai tiesību akts, kur attiecīgā ES tiesību akta vienība pārņemta vai ieviesta.</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spacing w:after="120"/>
              <w:ind w:left="57"/>
              <w:jc w:val="both"/>
              <w:rPr>
                <w:spacing w:val="-3"/>
                <w:lang w:val="lv-LV"/>
              </w:rPr>
            </w:pPr>
            <w:r w:rsidRPr="00BC7967">
              <w:rPr>
                <w:spacing w:val="-3"/>
                <w:lang w:val="lv-LV"/>
              </w:rPr>
              <w:t>Informācija par to, vai šīs tabulas A ailē minētās ES tiesību akta vienības tiek pārņemtas vai ieviestas pilnībā vai 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spacing w:after="120"/>
              <w:ind w:left="57"/>
              <w:jc w:val="both"/>
              <w:rPr>
                <w:spacing w:val="-3"/>
                <w:lang w:val="lv-LV"/>
              </w:rPr>
            </w:pPr>
            <w:r w:rsidRPr="00BC7967">
              <w:rPr>
                <w:spacing w:val="-3"/>
                <w:lang w:val="lv-LV"/>
              </w:rPr>
              <w:t xml:space="preserve">Informācija par to, vai šīs </w:t>
            </w:r>
            <w:r w:rsidRPr="00BC7967">
              <w:rPr>
                <w:lang w:val="lv-LV"/>
              </w:rPr>
              <w:t>tabulas B ailē minētās projekta vienības paredz stingrākas prasības nekā šīs tabulas A ailē minētās ES tiesību akta vienības.</w:t>
            </w:r>
          </w:p>
        </w:tc>
      </w:tr>
      <w:tr w:rsidR="00614771" w:rsidRPr="00BC7967" w:rsidTr="00BC7967">
        <w:tblPrEx>
          <w:tblCellMar>
            <w:left w:w="0" w:type="dxa"/>
            <w:right w:w="0" w:type="dxa"/>
          </w:tblCellMar>
        </w:tblPrEx>
        <w:trPr>
          <w:cantSplit/>
          <w:trHeight w:val="1592"/>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BC7967" w:rsidRDefault="00614771" w:rsidP="004134D0">
            <w:pPr>
              <w:jc w:val="both"/>
              <w:rPr>
                <w:noProof/>
                <w:lang w:val="lv-LV"/>
              </w:rPr>
            </w:pPr>
            <w:r w:rsidRPr="00BC7967">
              <w:rPr>
                <w:noProof/>
                <w:lang w:val="lv-LV"/>
              </w:rPr>
              <w:t xml:space="preserve">Direktīvas 2011/62/EK </w:t>
            </w:r>
            <w:r w:rsidRPr="00BC7967">
              <w:rPr>
                <w:lang w:val="lv-LV"/>
              </w:rPr>
              <w:t>1.panta 1.punkta a)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614771" w:rsidRPr="00BC7967" w:rsidRDefault="00614771" w:rsidP="006541EF">
            <w:pPr>
              <w:rPr>
                <w:lang w:val="lv-LV"/>
              </w:rPr>
            </w:pPr>
            <w:r w:rsidRPr="00BC7967">
              <w:rPr>
                <w:spacing w:val="-6"/>
                <w:lang w:val="lv-LV"/>
              </w:rPr>
              <w:t xml:space="preserve">Farmācijas likuma </w:t>
            </w:r>
            <w:r w:rsidRPr="00BC7967">
              <w:rPr>
                <w:lang w:val="lv-LV"/>
              </w:rPr>
              <w:t>1.panta 1.</w:t>
            </w:r>
            <w:r w:rsidR="00B66292" w:rsidRPr="00BC7967">
              <w:rPr>
                <w:vertAlign w:val="superscript"/>
                <w:lang w:val="lv-LV"/>
              </w:rPr>
              <w:t>1</w:t>
            </w:r>
            <w:r w:rsidRPr="00BC7967">
              <w:rPr>
                <w:lang w:val="lv-LV"/>
              </w:rPr>
              <w:t>punkts – aktīvo vielu definīcija; 1.panta 12.</w:t>
            </w:r>
            <w:r w:rsidRPr="00BC7967">
              <w:rPr>
                <w:vertAlign w:val="superscript"/>
                <w:lang w:val="lv-LV"/>
              </w:rPr>
              <w:t>2</w:t>
            </w:r>
            <w:r w:rsidRPr="00BC7967">
              <w:rPr>
                <w:lang w:val="lv-LV"/>
              </w:rPr>
              <w:t>punkts – </w:t>
            </w:r>
            <w:proofErr w:type="spellStart"/>
            <w:r w:rsidRPr="00BC7967">
              <w:rPr>
                <w:lang w:val="lv-LV"/>
              </w:rPr>
              <w:t>palīgvielas</w:t>
            </w:r>
            <w:proofErr w:type="spellEnd"/>
            <w:r w:rsidRPr="00BC7967">
              <w:rPr>
                <w:lang w:val="lv-LV"/>
              </w:rPr>
              <w:t xml:space="preserve"> definīcija</w:t>
            </w:r>
            <w:r w:rsidR="00B03E7E" w:rsidRPr="00BC7967">
              <w:rPr>
                <w:lang w:val="lv-LV"/>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BC7967" w:rsidRDefault="00614771" w:rsidP="006541EF">
            <w:pPr>
              <w:jc w:val="both"/>
              <w:rPr>
                <w:lang w:val="lv-LV"/>
              </w:rPr>
            </w:pPr>
            <w:r w:rsidRPr="00BC7967">
              <w:rPr>
                <w:lang w:val="lv-LV"/>
              </w:rPr>
              <w:t>Direktīvas norma pārņemta pilnīgi</w:t>
            </w:r>
            <w:r w:rsidR="00DB3E6C" w:rsidRPr="00BC7967">
              <w:rPr>
                <w:lang w:val="lv-LV"/>
              </w:rPr>
              <w:t>.</w:t>
            </w:r>
            <w:r w:rsidRPr="00BC7967">
              <w:rPr>
                <w:lang w:val="lv-LV"/>
              </w:rPr>
              <w:t xml:space="preserve">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14771" w:rsidRPr="00BC7967" w:rsidRDefault="00DA21BB" w:rsidP="004134D0">
            <w:pPr>
              <w:jc w:val="both"/>
              <w:rPr>
                <w:lang w:val="lv-LV"/>
              </w:rPr>
            </w:pPr>
            <w:r w:rsidRPr="00BC7967">
              <w:rPr>
                <w:lang w:val="lv-LV"/>
              </w:rPr>
              <w:t>Stingrākas prasības neparedz</w:t>
            </w:r>
          </w:p>
        </w:tc>
      </w:tr>
      <w:tr w:rsidR="004134D0"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noProof/>
                <w:spacing w:val="-6"/>
                <w:lang w:val="lv-LV"/>
              </w:rPr>
            </w:pPr>
            <w:r w:rsidRPr="00BC7967">
              <w:rPr>
                <w:noProof/>
                <w:spacing w:val="-6"/>
                <w:lang w:val="lv-LV"/>
              </w:rPr>
              <w:t xml:space="preserve">Direktīvas 2011/62/EK </w:t>
            </w:r>
            <w:r w:rsidRPr="00BC7967">
              <w:rPr>
                <w:spacing w:val="-6"/>
                <w:lang w:val="lv-LV"/>
              </w:rPr>
              <w:t>1.panta 1.punkta b)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700DA8" w:rsidP="00700DA8">
            <w:pPr>
              <w:jc w:val="both"/>
              <w:rPr>
                <w:lang w:val="lv-LV"/>
              </w:rPr>
            </w:pPr>
            <w:r w:rsidRPr="00BC7967">
              <w:rPr>
                <w:lang w:val="lv-LV"/>
              </w:rPr>
              <w:t xml:space="preserve">Direktīvas norma tiks pārņemta ar grozījumiem </w:t>
            </w:r>
            <w:r w:rsidRPr="00BC7967">
              <w:rPr>
                <w:noProof/>
                <w:lang w:val="lv-LV"/>
              </w:rPr>
              <w:t>MK noteikumos Nr.416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700DA8" w:rsidP="004134D0">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700DA8" w:rsidP="004134D0">
            <w:pPr>
              <w:jc w:val="both"/>
              <w:rPr>
                <w:lang w:val="lv-LV"/>
              </w:rPr>
            </w:pPr>
            <w:r w:rsidRPr="00BC7967">
              <w:rPr>
                <w:lang w:val="lv-LV"/>
              </w:rPr>
              <w:t>Nav</w:t>
            </w:r>
          </w:p>
        </w:tc>
      </w:tr>
      <w:tr w:rsidR="00DB3E6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BC7967" w:rsidRDefault="00DB3E6C" w:rsidP="004134D0">
            <w:pPr>
              <w:jc w:val="both"/>
              <w:rPr>
                <w:spacing w:val="-6"/>
                <w:lang w:val="lv-LV"/>
              </w:rPr>
            </w:pPr>
            <w:r w:rsidRPr="00BC7967">
              <w:rPr>
                <w:noProof/>
                <w:spacing w:val="-6"/>
                <w:lang w:val="lv-LV"/>
              </w:rPr>
              <w:lastRenderedPageBreak/>
              <w:t xml:space="preserve">Direktīvas 2011/62/EK </w:t>
            </w:r>
            <w:r w:rsidRPr="00BC7967">
              <w:rPr>
                <w:spacing w:val="-6"/>
                <w:lang w:val="lv-LV"/>
              </w:rPr>
              <w:t xml:space="preserve">1.panta 1.punkta c) apakšpunkts </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D7466" w:rsidRPr="00BC7967" w:rsidRDefault="007D7466" w:rsidP="0089740E">
            <w:pPr>
              <w:jc w:val="both"/>
              <w:rPr>
                <w:lang w:val="lv-LV"/>
              </w:rPr>
            </w:pPr>
            <w:r w:rsidRPr="00BC7967">
              <w:rPr>
                <w:lang w:val="lv-LV"/>
              </w:rPr>
              <w:t>Direktīvas norma daļēji ieviesta ar MK noteikumiem Nr.416 (5.7.apakšpunkts)</w:t>
            </w:r>
          </w:p>
          <w:p w:rsidR="00DB3E6C" w:rsidRPr="00BC7967" w:rsidRDefault="0089740E" w:rsidP="0089740E">
            <w:pPr>
              <w:jc w:val="both"/>
              <w:rPr>
                <w:lang w:val="lv-LV"/>
              </w:rPr>
            </w:pPr>
            <w:r w:rsidRPr="00BC7967">
              <w:rPr>
                <w:lang w:val="lv-LV"/>
              </w:rPr>
              <w:t>Farmācijas likuma</w:t>
            </w:r>
            <w:r w:rsidR="00DB3E6C" w:rsidRPr="00BC7967">
              <w:rPr>
                <w:lang w:val="lv-LV"/>
              </w:rPr>
              <w:t xml:space="preserve"> 1.panta 16.</w:t>
            </w:r>
            <w:r w:rsidR="00DB3E6C" w:rsidRPr="00BC7967">
              <w:rPr>
                <w:vertAlign w:val="superscript"/>
                <w:lang w:val="lv-LV"/>
              </w:rPr>
              <w:t>1</w:t>
            </w:r>
            <w:r w:rsidR="00DB3E6C" w:rsidRPr="00BC7967">
              <w:rPr>
                <w:lang w:val="lv-LV"/>
              </w:rPr>
              <w:t>punkts</w:t>
            </w:r>
            <w:r w:rsidRPr="00BC7967">
              <w:rPr>
                <w:lang w:val="lv-LV"/>
              </w:rPr>
              <w:t xml:space="preserve"> (</w:t>
            </w:r>
            <w:r w:rsidR="00DB3E6C" w:rsidRPr="00BC7967">
              <w:rPr>
                <w:lang w:val="lv-LV"/>
              </w:rPr>
              <w:t>viltoto zāļu definīcija)</w:t>
            </w:r>
            <w:r w:rsidR="00B03E7E" w:rsidRPr="00BC7967">
              <w:rPr>
                <w:lang w:val="lv-LV"/>
              </w:rPr>
              <w:t>.</w:t>
            </w:r>
          </w:p>
          <w:p w:rsidR="00174528" w:rsidRPr="00BC7967" w:rsidRDefault="00174528" w:rsidP="0089740E">
            <w:pPr>
              <w:jc w:val="both"/>
              <w:rPr>
                <w:lang w:val="lv-LV"/>
              </w:rPr>
            </w:pPr>
          </w:p>
          <w:p w:rsidR="00174528" w:rsidRPr="00BC7967" w:rsidRDefault="00174528" w:rsidP="007D7466">
            <w:pPr>
              <w:jc w:val="both"/>
              <w:rPr>
                <w:lang w:val="lv-LV"/>
              </w:rPr>
            </w:pPr>
            <w:r w:rsidRPr="00BC7967">
              <w:rPr>
                <w:lang w:val="lv-LV"/>
              </w:rPr>
              <w:t xml:space="preserve">Direktīvas norma tiks pārņemtas pilnībā ar grozījumiem </w:t>
            </w:r>
            <w:r w:rsidR="007D7466" w:rsidRPr="00BC7967">
              <w:rPr>
                <w:noProof/>
                <w:lang w:val="lv-LV"/>
              </w:rPr>
              <w:t>minētajos noteikumos</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BC7967" w:rsidRDefault="00DB3E6C" w:rsidP="00174528">
            <w:pPr>
              <w:jc w:val="both"/>
              <w:rPr>
                <w:lang w:val="lv-LV"/>
              </w:rPr>
            </w:pPr>
            <w:r w:rsidRPr="00BC7967">
              <w:rPr>
                <w:lang w:val="lv-LV"/>
              </w:rPr>
              <w:t xml:space="preserve">Direktīvas norma pārņemta </w:t>
            </w:r>
            <w:r w:rsidR="00174528" w:rsidRPr="00BC7967">
              <w:rPr>
                <w:lang w:val="lv-LV"/>
              </w:rPr>
              <w:t>daļēji</w:t>
            </w:r>
            <w:r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DB3E6C" w:rsidRPr="00BC7967" w:rsidRDefault="00174528" w:rsidP="006541EF">
            <w:pPr>
              <w:jc w:val="both"/>
              <w:rPr>
                <w:lang w:val="lv-LV"/>
              </w:rPr>
            </w:pPr>
            <w:r w:rsidRPr="00BC7967">
              <w:rPr>
                <w:lang w:val="lv-LV"/>
              </w:rPr>
              <w:t>Nav</w:t>
            </w:r>
          </w:p>
        </w:tc>
      </w:tr>
      <w:tr w:rsidR="00AE2E63"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BC7967" w:rsidRDefault="00AE2E63" w:rsidP="004134D0">
            <w:pPr>
              <w:jc w:val="both"/>
              <w:rPr>
                <w:noProof/>
                <w:lang w:val="lv-LV"/>
              </w:rPr>
            </w:pPr>
            <w:r w:rsidRPr="00BC7967">
              <w:rPr>
                <w:noProof/>
                <w:lang w:val="lv-LV"/>
              </w:rPr>
              <w:t xml:space="preserve">Direktīvas 2011/62/EK </w:t>
            </w:r>
            <w:r w:rsidRPr="00BC7967">
              <w:rPr>
                <w:lang w:val="lv-LV"/>
              </w:rPr>
              <w:t>1.panta 2.punkts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D7466" w:rsidRPr="00BC7967" w:rsidRDefault="007D7466" w:rsidP="005B0DBE">
            <w:pPr>
              <w:pStyle w:val="NoSpacing"/>
              <w:jc w:val="both"/>
              <w:rPr>
                <w:rFonts w:ascii="Times New Roman" w:hAnsi="Times New Roman"/>
                <w:spacing w:val="-6"/>
                <w:sz w:val="24"/>
                <w:szCs w:val="24"/>
              </w:rPr>
            </w:pPr>
            <w:r w:rsidRPr="00BC7967">
              <w:rPr>
                <w:rFonts w:ascii="Times New Roman" w:hAnsi="Times New Roman"/>
                <w:spacing w:val="-6"/>
                <w:sz w:val="24"/>
                <w:szCs w:val="24"/>
              </w:rPr>
              <w:t>Direktīvas norma daļēji pārņemta ar MK noteikumiem Nr.304 (2.2. un 2.3.apakšpunkts)</w:t>
            </w:r>
          </w:p>
          <w:p w:rsidR="007D7466" w:rsidRPr="00BC7967" w:rsidRDefault="007D7466" w:rsidP="005B0DBE">
            <w:pPr>
              <w:pStyle w:val="NoSpacing"/>
              <w:jc w:val="both"/>
              <w:rPr>
                <w:rFonts w:ascii="Times New Roman" w:hAnsi="Times New Roman"/>
                <w:spacing w:val="-6"/>
                <w:sz w:val="24"/>
                <w:szCs w:val="24"/>
              </w:rPr>
            </w:pPr>
          </w:p>
          <w:p w:rsidR="00AE2E63" w:rsidRPr="00BC7967" w:rsidRDefault="00AE2E63" w:rsidP="005B0DBE">
            <w:pPr>
              <w:pStyle w:val="NoSpacing"/>
              <w:jc w:val="both"/>
              <w:rPr>
                <w:rFonts w:ascii="Times New Roman" w:hAnsi="Times New Roman"/>
                <w:spacing w:val="-6"/>
                <w:sz w:val="24"/>
                <w:szCs w:val="24"/>
              </w:rPr>
            </w:pPr>
            <w:r w:rsidRPr="00BC7967">
              <w:rPr>
                <w:rFonts w:ascii="Times New Roman" w:hAnsi="Times New Roman"/>
                <w:spacing w:val="-6"/>
                <w:sz w:val="24"/>
                <w:szCs w:val="24"/>
              </w:rPr>
              <w:t xml:space="preserve">Direktīvas norma </w:t>
            </w:r>
            <w:r w:rsidRPr="00BC7967">
              <w:rPr>
                <w:rFonts w:ascii="Times New Roman" w:hAnsi="Times New Roman"/>
                <w:sz w:val="24"/>
                <w:szCs w:val="24"/>
              </w:rPr>
              <w:t xml:space="preserve">tiks pārņemta </w:t>
            </w:r>
            <w:r w:rsidR="00E967B9" w:rsidRPr="00BC7967">
              <w:rPr>
                <w:rFonts w:ascii="Times New Roman" w:hAnsi="Times New Roman"/>
                <w:spacing w:val="-6"/>
                <w:sz w:val="24"/>
                <w:szCs w:val="24"/>
              </w:rPr>
              <w:t>ar:</w:t>
            </w:r>
          </w:p>
          <w:p w:rsidR="00AE2E63" w:rsidRPr="00BC7967" w:rsidRDefault="00AE2E63" w:rsidP="005B0DBE">
            <w:pPr>
              <w:pStyle w:val="NoSpacing"/>
              <w:jc w:val="both"/>
              <w:rPr>
                <w:rFonts w:ascii="Times New Roman" w:hAnsi="Times New Roman"/>
                <w:spacing w:val="-6"/>
                <w:sz w:val="24"/>
                <w:szCs w:val="24"/>
              </w:rPr>
            </w:pPr>
            <w:r w:rsidRPr="00BC7967">
              <w:rPr>
                <w:rFonts w:ascii="Times New Roman" w:hAnsi="Times New Roman"/>
                <w:spacing w:val="-6"/>
                <w:sz w:val="24"/>
                <w:szCs w:val="24"/>
              </w:rPr>
              <w:t>1) </w:t>
            </w:r>
            <w:r w:rsidR="008D2B90" w:rsidRPr="00BC7967">
              <w:rPr>
                <w:rFonts w:ascii="Times New Roman" w:hAnsi="Times New Roman"/>
                <w:spacing w:val="-6"/>
                <w:sz w:val="24"/>
                <w:szCs w:val="24"/>
              </w:rPr>
              <w:t xml:space="preserve">grozījumiem </w:t>
            </w:r>
            <w:r w:rsidR="007D7466" w:rsidRPr="00BC7967">
              <w:rPr>
                <w:rFonts w:ascii="Times New Roman" w:hAnsi="Times New Roman"/>
                <w:spacing w:val="-6"/>
                <w:sz w:val="24"/>
                <w:szCs w:val="24"/>
              </w:rPr>
              <w:t xml:space="preserve">minētajos noteikumos </w:t>
            </w:r>
          </w:p>
          <w:p w:rsidR="00AE2E63" w:rsidRPr="00BC7967" w:rsidRDefault="00AE2E63" w:rsidP="00AB43C0">
            <w:pPr>
              <w:pStyle w:val="NoSpacing"/>
              <w:jc w:val="both"/>
              <w:rPr>
                <w:rFonts w:ascii="Times New Roman" w:hAnsi="Times New Roman"/>
                <w:spacing w:val="-6"/>
                <w:sz w:val="24"/>
                <w:szCs w:val="24"/>
              </w:rPr>
            </w:pPr>
            <w:r w:rsidRPr="00BC7967">
              <w:rPr>
                <w:rFonts w:ascii="Times New Roman" w:hAnsi="Times New Roman"/>
                <w:spacing w:val="-6"/>
                <w:sz w:val="24"/>
                <w:szCs w:val="24"/>
              </w:rPr>
              <w:t>2) </w:t>
            </w:r>
            <w:r w:rsidR="009929DA" w:rsidRPr="00BC7967">
              <w:rPr>
                <w:rFonts w:ascii="Times New Roman" w:hAnsi="Times New Roman"/>
                <w:sz w:val="24"/>
                <w:szCs w:val="24"/>
              </w:rPr>
              <w:t xml:space="preserve">MK noteikumiem par aktīvo </w:t>
            </w:r>
            <w:r w:rsidRPr="00BC7967">
              <w:rPr>
                <w:rFonts w:ascii="Times New Roman" w:hAnsi="Times New Roman"/>
                <w:sz w:val="24"/>
                <w:szCs w:val="24"/>
              </w:rPr>
              <w:t>vielu importēšanas un izplatīšanas prasībām un kārtību un aktīvo vielu importētāju, ražotāju un izplatītāju reģistrēšanas kārtību</w:t>
            </w:r>
            <w:r w:rsidR="00AB43C0" w:rsidRPr="00BC7967">
              <w:rPr>
                <w:rFonts w:ascii="Times New Roman" w:hAnsi="Times New Roman"/>
                <w:sz w:val="24"/>
                <w:szCs w:val="24"/>
              </w:rPr>
              <w:t xml:space="preserve"> (</w:t>
            </w:r>
            <w:r w:rsidR="00AB43C0" w:rsidRPr="00BC7967">
              <w:rPr>
                <w:rFonts w:ascii="Times New Roman" w:hAnsi="Times New Roman"/>
                <w:noProof/>
                <w:sz w:val="24"/>
                <w:szCs w:val="24"/>
              </w:rPr>
              <w:t>turp</w:t>
            </w:r>
            <w:r w:rsidR="009175C7" w:rsidRPr="00BC7967">
              <w:rPr>
                <w:rFonts w:ascii="Times New Roman" w:hAnsi="Times New Roman"/>
                <w:noProof/>
                <w:sz w:val="24"/>
                <w:szCs w:val="24"/>
              </w:rPr>
              <w:t>m</w:t>
            </w:r>
            <w:r w:rsidR="00AB43C0" w:rsidRPr="00BC7967">
              <w:rPr>
                <w:rFonts w:ascii="Times New Roman" w:hAnsi="Times New Roman"/>
                <w:noProof/>
                <w:sz w:val="24"/>
                <w:szCs w:val="24"/>
              </w:rPr>
              <w:t>āk – MK noteikumi par aktīvajām vielām)</w:t>
            </w:r>
            <w:r w:rsidR="00B03E7E" w:rsidRPr="00BC7967">
              <w:rPr>
                <w:rFonts w:ascii="Times New Roman" w:hAnsi="Times New Roman"/>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D7466" w:rsidRPr="00BC7967" w:rsidRDefault="007D7466" w:rsidP="00281A6E">
            <w:pPr>
              <w:jc w:val="both"/>
              <w:rPr>
                <w:lang w:val="lv-LV"/>
              </w:rPr>
            </w:pPr>
            <w:r w:rsidRPr="00BC7967">
              <w:rPr>
                <w:lang w:val="lv-LV"/>
              </w:rPr>
              <w:t>Direktīvas norma pārņemta daļēji</w:t>
            </w:r>
          </w:p>
          <w:p w:rsidR="00AE2E63" w:rsidRPr="00BC7967" w:rsidRDefault="00AE2E63" w:rsidP="00281A6E">
            <w:pPr>
              <w:jc w:val="both"/>
              <w:rPr>
                <w:lang w:val="lv-LV"/>
              </w:rPr>
            </w:pP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E2E63" w:rsidRPr="00BC7967" w:rsidRDefault="00AE2E63" w:rsidP="00281A6E">
            <w:pPr>
              <w:jc w:val="both"/>
              <w:rPr>
                <w:lang w:val="lv-LV"/>
              </w:rPr>
            </w:pPr>
            <w:r w:rsidRPr="00BC7967">
              <w:rPr>
                <w:lang w:val="lv-LV"/>
              </w:rPr>
              <w:t>Nav</w:t>
            </w:r>
          </w:p>
        </w:tc>
      </w:tr>
      <w:tr w:rsidR="00254673"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BC7967" w:rsidRDefault="00254673" w:rsidP="004134D0">
            <w:pPr>
              <w:jc w:val="both"/>
              <w:rPr>
                <w:noProof/>
                <w:lang w:val="lv-LV"/>
              </w:rPr>
            </w:pPr>
            <w:r w:rsidRPr="00BC7967">
              <w:rPr>
                <w:noProof/>
                <w:lang w:val="lv-LV"/>
              </w:rPr>
              <w:t xml:space="preserve">Direktīvas 2011/62/EK </w:t>
            </w:r>
            <w:r w:rsidRPr="00BC7967">
              <w:rPr>
                <w:lang w:val="lv-LV"/>
              </w:rPr>
              <w:t>1.panta 3.punkts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BC7967" w:rsidRDefault="00254673" w:rsidP="007D7466">
            <w:pPr>
              <w:jc w:val="both"/>
              <w:rPr>
                <w:lang w:val="lv-LV"/>
              </w:rPr>
            </w:pPr>
            <w:r w:rsidRPr="00BC7967">
              <w:rPr>
                <w:lang w:val="lv-LV"/>
              </w:rPr>
              <w:t xml:space="preserve">Direktīvas norma tiks pārņemta ar grozījumiem </w:t>
            </w:r>
            <w:r w:rsidR="00CF5D65" w:rsidRPr="00BC7967">
              <w:rPr>
                <w:noProof/>
                <w:lang w:val="lv-LV"/>
              </w:rPr>
              <w:t>MK noteikumos Nr.376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BC7967" w:rsidRDefault="00254673" w:rsidP="00254673">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4673" w:rsidRPr="00BC7967" w:rsidRDefault="00254673" w:rsidP="00254673">
            <w:pPr>
              <w:jc w:val="both"/>
              <w:rPr>
                <w:lang w:val="lv-LV"/>
              </w:rPr>
            </w:pPr>
            <w:r w:rsidRPr="00BC7967">
              <w:rPr>
                <w:lang w:val="lv-LV"/>
              </w:rPr>
              <w:t>Nav</w:t>
            </w:r>
          </w:p>
        </w:tc>
      </w:tr>
      <w:tr w:rsidR="00402A02"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02A02" w:rsidRPr="00BC7967" w:rsidRDefault="00402A02" w:rsidP="001D10C6">
            <w:pPr>
              <w:jc w:val="both"/>
              <w:rPr>
                <w:noProof/>
                <w:lang w:val="lv-LV"/>
              </w:rPr>
            </w:pPr>
            <w:r w:rsidRPr="00BC7967">
              <w:rPr>
                <w:noProof/>
                <w:lang w:val="lv-LV"/>
              </w:rPr>
              <w:t xml:space="preserve">Direktīvas 2011/62/EK </w:t>
            </w:r>
            <w:r w:rsidRPr="00BC7967">
              <w:rPr>
                <w:lang w:val="lv-LV"/>
              </w:rPr>
              <w:t>1.panta 4.punkts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02A02" w:rsidRPr="00BC7967" w:rsidRDefault="00402A02" w:rsidP="001D10C6">
            <w:pPr>
              <w:pStyle w:val="NoSpacing"/>
              <w:jc w:val="both"/>
              <w:rPr>
                <w:rFonts w:ascii="Times New Roman" w:hAnsi="Times New Roman"/>
                <w:iCs/>
                <w:noProof/>
                <w:sz w:val="24"/>
                <w:szCs w:val="24"/>
              </w:rPr>
            </w:pPr>
            <w:r w:rsidRPr="00BC7967">
              <w:rPr>
                <w:rFonts w:ascii="Times New Roman" w:hAnsi="Times New Roman"/>
                <w:iCs/>
                <w:noProof/>
                <w:sz w:val="24"/>
                <w:szCs w:val="24"/>
              </w:rPr>
              <w:t>MK noteikumi Nr.800 (78.7.apakšpunkts).</w:t>
            </w:r>
          </w:p>
          <w:p w:rsidR="00402A02" w:rsidRPr="00BC7967" w:rsidRDefault="00402A02" w:rsidP="001D10C6">
            <w:pPr>
              <w:pStyle w:val="NoSpacing"/>
              <w:jc w:val="both"/>
              <w:rPr>
                <w:rFonts w:ascii="Times New Roman" w:hAnsi="Times New Roman"/>
                <w:iCs/>
                <w:noProof/>
                <w:sz w:val="24"/>
                <w:szCs w:val="24"/>
              </w:rPr>
            </w:pPr>
          </w:p>
          <w:p w:rsidR="00402A02" w:rsidRPr="00BC7967" w:rsidRDefault="00402A02" w:rsidP="001D10C6">
            <w:pPr>
              <w:pStyle w:val="NoSpacing"/>
              <w:jc w:val="both"/>
              <w:rPr>
                <w:noProof/>
                <w:sz w:val="24"/>
                <w:szCs w:val="24"/>
              </w:rPr>
            </w:pP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02A02" w:rsidRPr="00BC7967" w:rsidRDefault="00402A02" w:rsidP="007D7466">
            <w:pPr>
              <w:pStyle w:val="NoSpacing"/>
              <w:jc w:val="both"/>
              <w:rPr>
                <w:noProof/>
              </w:rPr>
            </w:pPr>
            <w:r w:rsidRPr="00BC7967">
              <w:rPr>
                <w:rFonts w:ascii="Times New Roman" w:hAnsi="Times New Roman"/>
                <w:noProof/>
                <w:sz w:val="24"/>
                <w:szCs w:val="24"/>
              </w:rPr>
              <w:t xml:space="preserve">Direktīvas norma </w:t>
            </w:r>
            <w:r w:rsidR="007D7466" w:rsidRPr="00BC7967">
              <w:rPr>
                <w:rFonts w:ascii="Times New Roman" w:hAnsi="Times New Roman"/>
                <w:noProof/>
                <w:sz w:val="24"/>
                <w:szCs w:val="24"/>
              </w:rPr>
              <w:t xml:space="preserve"> ieviesta pilnībā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D7466" w:rsidRPr="00BC7967" w:rsidRDefault="007D7466" w:rsidP="001D10C6">
            <w:pPr>
              <w:jc w:val="both"/>
              <w:rPr>
                <w:lang w:val="lv-LV"/>
              </w:rPr>
            </w:pPr>
            <w:r w:rsidRPr="00BC7967">
              <w:rPr>
                <w:lang w:val="lv-LV"/>
              </w:rPr>
              <w:t>Stingrākas prasības neparedz</w:t>
            </w:r>
          </w:p>
          <w:p w:rsidR="00402A02" w:rsidRPr="00BC7967" w:rsidRDefault="00402A02" w:rsidP="001D10C6">
            <w:pPr>
              <w:jc w:val="both"/>
              <w:rPr>
                <w:noProof/>
                <w:lang w:val="lv-LV"/>
              </w:rPr>
            </w:pPr>
          </w:p>
        </w:tc>
      </w:tr>
      <w:tr w:rsidR="004134D0"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lang w:val="lv-LV"/>
              </w:rPr>
            </w:pPr>
            <w:r w:rsidRPr="00BC7967">
              <w:rPr>
                <w:noProof/>
                <w:lang w:val="lv-LV"/>
              </w:rPr>
              <w:t xml:space="preserve">Direktīvas 2011/62/EK </w:t>
            </w:r>
            <w:r w:rsidRPr="00BC7967">
              <w:rPr>
                <w:lang w:val="lv-LV"/>
              </w:rPr>
              <w:t>1.panta 5.punkts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8662C" w:rsidP="00570F3B">
            <w:pPr>
              <w:pStyle w:val="NoSpacing"/>
              <w:jc w:val="both"/>
              <w:rPr>
                <w:b/>
                <w:sz w:val="18"/>
                <w:szCs w:val="18"/>
              </w:rPr>
            </w:pPr>
            <w:r w:rsidRPr="00BC7967">
              <w:rPr>
                <w:rFonts w:ascii="Times New Roman" w:hAnsi="Times New Roman"/>
                <w:sz w:val="24"/>
                <w:szCs w:val="24"/>
              </w:rPr>
              <w:t>Direktīvas norma tiks pārņemta ar grozījumiem MK noteikumos Nr.304</w:t>
            </w:r>
            <w:r w:rsidR="00B03E7E" w:rsidRPr="00BC7967">
              <w:rPr>
                <w:rFonts w:ascii="Times New Roman" w:hAnsi="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lang w:val="lv-LV"/>
              </w:rPr>
            </w:pPr>
            <w:r w:rsidRPr="00BC7967">
              <w:rPr>
                <w:lang w:val="lv-LV"/>
              </w:rPr>
              <w:t xml:space="preserve"> </w:t>
            </w:r>
            <w:r w:rsidR="00CC7907"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lang w:val="lv-LV"/>
              </w:rPr>
            </w:pPr>
            <w:r w:rsidRPr="00BC7967">
              <w:rPr>
                <w:lang w:val="lv-LV"/>
              </w:rPr>
              <w:t>Nav</w:t>
            </w:r>
          </w:p>
        </w:tc>
      </w:tr>
      <w:tr w:rsidR="00281A6E"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281A6E" w:rsidP="004134D0">
            <w:pPr>
              <w:jc w:val="both"/>
              <w:rPr>
                <w:lang w:val="lv-LV"/>
              </w:rPr>
            </w:pPr>
            <w:r w:rsidRPr="00BC7967">
              <w:rPr>
                <w:noProof/>
                <w:lang w:val="lv-LV"/>
              </w:rPr>
              <w:t xml:space="preserve">Direktīvas 2011/62/EK </w:t>
            </w:r>
            <w:r w:rsidRPr="00BC7967">
              <w:rPr>
                <w:lang w:val="lv-LV"/>
              </w:rPr>
              <w:t>1.panta 6.punkts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740E" w:rsidRPr="00BC7967" w:rsidRDefault="00DA21BB" w:rsidP="00E4432E">
            <w:pPr>
              <w:pStyle w:val="NoSpacing"/>
              <w:jc w:val="both"/>
              <w:rPr>
                <w:rFonts w:ascii="Times New Roman" w:hAnsi="Times New Roman"/>
                <w:sz w:val="24"/>
                <w:szCs w:val="24"/>
              </w:rPr>
            </w:pPr>
            <w:r w:rsidRPr="00BC7967">
              <w:rPr>
                <w:rFonts w:ascii="Times New Roman" w:hAnsi="Times New Roman"/>
                <w:spacing w:val="-6"/>
                <w:sz w:val="24"/>
                <w:szCs w:val="24"/>
              </w:rPr>
              <w:t>Direktīvas norma</w:t>
            </w:r>
            <w:r w:rsidR="00281A6E" w:rsidRPr="00BC7967">
              <w:rPr>
                <w:rFonts w:ascii="Times New Roman" w:hAnsi="Times New Roman"/>
                <w:spacing w:val="-6"/>
                <w:sz w:val="24"/>
                <w:szCs w:val="24"/>
              </w:rPr>
              <w:t xml:space="preserve"> </w:t>
            </w:r>
            <w:r w:rsidRPr="00BC7967">
              <w:rPr>
                <w:rFonts w:ascii="Times New Roman" w:hAnsi="Times New Roman"/>
                <w:spacing w:val="-6"/>
                <w:sz w:val="24"/>
                <w:szCs w:val="24"/>
              </w:rPr>
              <w:t>pārņemta</w:t>
            </w:r>
            <w:r w:rsidR="00281A6E" w:rsidRPr="00BC7967">
              <w:rPr>
                <w:rFonts w:ascii="Times New Roman" w:hAnsi="Times New Roman"/>
                <w:spacing w:val="-6"/>
                <w:sz w:val="24"/>
                <w:szCs w:val="24"/>
              </w:rPr>
              <w:t xml:space="preserve"> ar</w:t>
            </w:r>
            <w:r w:rsidR="0089740E" w:rsidRPr="00BC7967">
              <w:rPr>
                <w:rFonts w:ascii="Times New Roman" w:hAnsi="Times New Roman"/>
                <w:spacing w:val="-6"/>
                <w:sz w:val="24"/>
                <w:szCs w:val="24"/>
              </w:rPr>
              <w:t xml:space="preserve"> </w:t>
            </w:r>
            <w:r w:rsidR="0089740E" w:rsidRPr="00BC7967">
              <w:rPr>
                <w:rFonts w:ascii="Times New Roman" w:hAnsi="Times New Roman"/>
                <w:sz w:val="24"/>
                <w:szCs w:val="24"/>
              </w:rPr>
              <w:t>Farmācijas likuma</w:t>
            </w:r>
            <w:r w:rsidR="00281A6E" w:rsidRPr="00BC7967">
              <w:rPr>
                <w:rFonts w:ascii="Times New Roman" w:hAnsi="Times New Roman"/>
                <w:sz w:val="24"/>
                <w:szCs w:val="24"/>
              </w:rPr>
              <w:t xml:space="preserve"> </w:t>
            </w:r>
            <w:r w:rsidR="0089740E" w:rsidRPr="00BC7967">
              <w:rPr>
                <w:rFonts w:ascii="Times New Roman" w:hAnsi="Times New Roman"/>
                <w:sz w:val="24"/>
                <w:szCs w:val="24"/>
              </w:rPr>
              <w:t>22.panta (3) daļ</w:t>
            </w:r>
            <w:r w:rsidR="00A03FD4" w:rsidRPr="00BC7967">
              <w:rPr>
                <w:rFonts w:ascii="Times New Roman" w:hAnsi="Times New Roman"/>
                <w:sz w:val="24"/>
                <w:szCs w:val="24"/>
              </w:rPr>
              <w:t>u</w:t>
            </w:r>
            <w:r w:rsidR="00B03E7E" w:rsidRPr="00BC7967">
              <w:rPr>
                <w:rFonts w:ascii="Times New Roman" w:hAnsi="Times New Roman"/>
                <w:sz w:val="24"/>
                <w:szCs w:val="24"/>
              </w:rPr>
              <w:t>.</w:t>
            </w:r>
          </w:p>
          <w:p w:rsidR="00E4432E" w:rsidRPr="00BC7967" w:rsidRDefault="00E4432E" w:rsidP="00E4432E">
            <w:pPr>
              <w:pStyle w:val="NoSpacing"/>
              <w:jc w:val="both"/>
              <w:rPr>
                <w:rFonts w:ascii="Times New Roman" w:hAnsi="Times New Roman"/>
                <w:spacing w:val="-6"/>
                <w:sz w:val="24"/>
                <w:szCs w:val="24"/>
              </w:rPr>
            </w:pPr>
          </w:p>
          <w:p w:rsidR="00281A6E" w:rsidRPr="00BC7967" w:rsidRDefault="0089740E" w:rsidP="00AB43C0">
            <w:pPr>
              <w:pStyle w:val="NoSpacing"/>
              <w:jc w:val="both"/>
              <w:rPr>
                <w:rFonts w:ascii="Times New Roman" w:hAnsi="Times New Roman"/>
                <w:spacing w:val="-6"/>
                <w:sz w:val="24"/>
                <w:szCs w:val="24"/>
              </w:rPr>
            </w:pPr>
            <w:r w:rsidRPr="00BC7967">
              <w:rPr>
                <w:rFonts w:ascii="Times New Roman" w:hAnsi="Times New Roman"/>
                <w:sz w:val="24"/>
                <w:szCs w:val="24"/>
              </w:rPr>
              <w:t xml:space="preserve">Direktīvas norma tiks pārņemta ar </w:t>
            </w:r>
            <w:r w:rsidR="00AB43C0" w:rsidRPr="00BC7967">
              <w:rPr>
                <w:rFonts w:ascii="Times New Roman" w:hAnsi="Times New Roman"/>
                <w:sz w:val="24"/>
                <w:szCs w:val="24"/>
              </w:rPr>
              <w:t>MK noteikumiem par aktīvajām vielām</w:t>
            </w:r>
            <w:r w:rsidR="00B03E7E" w:rsidRPr="00BC7967">
              <w:rPr>
                <w:rFonts w:ascii="Times New Roman" w:hAnsi="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DA21BB" w:rsidP="00281A6E">
            <w:pPr>
              <w:spacing w:after="120"/>
              <w:ind w:left="57"/>
              <w:jc w:val="both"/>
              <w:rPr>
                <w:lang w:val="lv-LV"/>
              </w:rPr>
            </w:pPr>
            <w:r w:rsidRPr="00BC7967">
              <w:rPr>
                <w:noProof/>
                <w:lang w:val="lv-LV"/>
              </w:rPr>
              <w:t>Direktīvas norma pārņemta daļēji</w:t>
            </w:r>
            <w:r w:rsidR="00B03E7E" w:rsidRPr="00BC7967">
              <w:rPr>
                <w:noProof/>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414510" w:rsidP="00281A6E">
            <w:pPr>
              <w:spacing w:after="120"/>
              <w:rPr>
                <w:spacing w:val="-3"/>
                <w:lang w:val="lv-LV"/>
              </w:rPr>
            </w:pPr>
            <w:r w:rsidRPr="00BC7967">
              <w:rPr>
                <w:lang w:val="lv-LV"/>
              </w:rPr>
              <w:t>Nav</w:t>
            </w:r>
          </w:p>
        </w:tc>
      </w:tr>
      <w:tr w:rsidR="003230EE"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BC7967" w:rsidRDefault="003230EE" w:rsidP="0002034A">
            <w:pPr>
              <w:jc w:val="both"/>
              <w:rPr>
                <w:lang w:val="lv-LV"/>
              </w:rPr>
            </w:pPr>
            <w:r w:rsidRPr="00BC7967">
              <w:rPr>
                <w:noProof/>
                <w:lang w:val="lv-LV"/>
              </w:rPr>
              <w:lastRenderedPageBreak/>
              <w:t xml:space="preserve">Direktīvas 2011/62/EK </w:t>
            </w:r>
            <w:r w:rsidRPr="00BC7967">
              <w:rPr>
                <w:lang w:val="lv-LV"/>
              </w:rPr>
              <w:t>1.panta 7.punkts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BC7967" w:rsidRDefault="003230EE" w:rsidP="0002034A">
            <w:pPr>
              <w:spacing w:after="120"/>
              <w:rPr>
                <w:spacing w:val="-3"/>
                <w:lang w:val="lv-LV"/>
              </w:rPr>
            </w:pPr>
            <w:r w:rsidRPr="00BC7967">
              <w:rPr>
                <w:spacing w:val="-3"/>
                <w:lang w:val="lv-LV"/>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BC7967" w:rsidRDefault="003230EE" w:rsidP="006541EF">
            <w:pPr>
              <w:spacing w:after="120"/>
              <w:ind w:left="57"/>
              <w:jc w:val="both"/>
              <w:rPr>
                <w:noProof/>
                <w:spacing w:val="-3"/>
                <w:lang w:val="lv-LV"/>
              </w:rPr>
            </w:pPr>
            <w:r w:rsidRPr="00BC7967">
              <w:rPr>
                <w:noProof/>
                <w:spacing w:val="-3"/>
                <w:lang w:val="lv-LV"/>
              </w:rPr>
              <w:t>Nav jāpārņem jo nosaka Eiropas Komisijas pienākumiem, tajā skaitā pieņemt deleģēto aktu par aktīvo vielu labu ražošanas praksi. Deleģēto aktu paredzēts pieņemt 2013.gadā regulas formā.</w:t>
            </w:r>
          </w:p>
          <w:p w:rsidR="003230EE" w:rsidRPr="00BC7967" w:rsidRDefault="003230EE" w:rsidP="003D7055">
            <w:pPr>
              <w:spacing w:after="120"/>
              <w:jc w:val="both"/>
              <w:rPr>
                <w:noProof/>
                <w:lang w:val="lv-LV"/>
              </w:rPr>
            </w:pPr>
            <w:r w:rsidRPr="00BC7967">
              <w:rPr>
                <w:noProof/>
                <w:spacing w:val="-3"/>
                <w:lang w:val="lv-LV"/>
              </w:rPr>
              <w:t xml:space="preserve">Eiropas Komisija plāno pieņemt arī 2013.gadā aktīvo vielu labas izplatīšanas prakses vadlīnijas. Pēc to pieņemšanas normas būs iekļaujamas MK noteikumos par </w:t>
            </w:r>
            <w:r w:rsidR="003D7055" w:rsidRPr="00BC7967">
              <w:rPr>
                <w:noProof/>
                <w:lang w:val="lv-LV"/>
              </w:rPr>
              <w:t xml:space="preserve"> aktivajām vielām</w:t>
            </w:r>
            <w:r w:rsidRPr="00BC7967">
              <w:rPr>
                <w:noProof/>
                <w:spacing w:val="-3"/>
                <w:lang w:val="lv-LV"/>
              </w:rPr>
              <w:t xml:space="preserve">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30EE" w:rsidRPr="00BC7967" w:rsidRDefault="003230EE" w:rsidP="0002034A">
            <w:pPr>
              <w:spacing w:after="120"/>
              <w:rPr>
                <w:spacing w:val="-3"/>
                <w:lang w:val="lv-LV"/>
              </w:rPr>
            </w:pPr>
            <w:r w:rsidRPr="00BC7967">
              <w:rPr>
                <w:spacing w:val="-3"/>
                <w:lang w:val="lv-LV"/>
              </w:rPr>
              <w:t>Nav</w:t>
            </w:r>
          </w:p>
        </w:tc>
      </w:tr>
      <w:tr w:rsidR="00BB1BA4"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BC7967" w:rsidRDefault="00BB1BA4" w:rsidP="004134D0">
            <w:pPr>
              <w:jc w:val="both"/>
              <w:rPr>
                <w:noProof/>
                <w:spacing w:val="-6"/>
                <w:lang w:val="lv-LV"/>
              </w:rPr>
            </w:pPr>
            <w:r w:rsidRPr="00BC7967">
              <w:rPr>
                <w:noProof/>
                <w:spacing w:val="-6"/>
                <w:lang w:val="lv-LV"/>
              </w:rPr>
              <w:lastRenderedPageBreak/>
              <w:t xml:space="preserve">Direktīvas 2011/62/EK </w:t>
            </w:r>
            <w:r w:rsidRPr="00BC7967">
              <w:rPr>
                <w:spacing w:val="-6"/>
                <w:lang w:val="lv-LV"/>
              </w:rPr>
              <w:t>1.panta 8.punkts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xml:space="preserve">Direktīvas norma tiks pārņemta ar grozījumiem </w:t>
            </w:r>
            <w:r w:rsidRPr="00BC7967">
              <w:rPr>
                <w:rFonts w:ascii="Times New Roman" w:hAnsi="Times New Roman"/>
                <w:noProof/>
                <w:spacing w:val="-6"/>
                <w:sz w:val="24"/>
                <w:szCs w:val="24"/>
              </w:rPr>
              <w:t xml:space="preserve">MK noteikumos Nr.304 </w:t>
            </w:r>
            <w:r w:rsidRPr="00BC7967">
              <w:rPr>
                <w:rFonts w:ascii="Times New Roman" w:hAnsi="Times New Roman"/>
                <w:noProof/>
                <w:sz w:val="24"/>
                <w:szCs w:val="24"/>
              </w:rPr>
              <w:t>pēc Eiropas Kom</w:t>
            </w:r>
            <w:r w:rsidR="006B57C5" w:rsidRPr="00BC7967">
              <w:rPr>
                <w:rFonts w:ascii="Times New Roman" w:hAnsi="Times New Roman"/>
                <w:noProof/>
                <w:sz w:val="24"/>
                <w:szCs w:val="24"/>
              </w:rPr>
              <w:t>isijas Regulas pieņemšanas par:</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 (unikālais identifikators) raksturojumu un tehniskajām specifikācijām;</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recepšu zāļu vai zāļu kategoriju sarakstu, kurām drošuma pazīmes nenorāda;</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bezrecepšu zāļu vai zāļu kategoriju sarakstu, kurām drošuma pazīmes norāda;</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paziņošanas procedūru par zālēm, par kurām ir aizdomas par viltojumu, un ātru šādu ziņojumu izvērtēšanas un lēmumu pieņemšanas sistēmu;</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 pārbaudes paņēmieniem, ko veic  ražotāji, vairumtirgotāji, farmaceiti;</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 nosacījumiem repozitoriju sistēmas izveid</w:t>
            </w:r>
            <w:r w:rsidR="003D7055" w:rsidRPr="00BC7967">
              <w:rPr>
                <w:rFonts w:ascii="Times New Roman" w:hAnsi="Times New Roman"/>
                <w:noProof/>
                <w:sz w:val="24"/>
                <w:szCs w:val="24"/>
              </w:rPr>
              <w:t>e</w:t>
            </w:r>
            <w:r w:rsidRPr="00BC7967">
              <w:rPr>
                <w:rFonts w:ascii="Times New Roman" w:hAnsi="Times New Roman"/>
                <w:noProof/>
                <w:sz w:val="24"/>
                <w:szCs w:val="24"/>
              </w:rPr>
              <w:t>i, pārvaldīb</w:t>
            </w:r>
            <w:r w:rsidR="003D7055" w:rsidRPr="00BC7967">
              <w:rPr>
                <w:rFonts w:ascii="Times New Roman" w:hAnsi="Times New Roman"/>
                <w:noProof/>
                <w:sz w:val="24"/>
                <w:szCs w:val="24"/>
              </w:rPr>
              <w:t>ai</w:t>
            </w:r>
            <w:r w:rsidRPr="00BC7967">
              <w:rPr>
                <w:rFonts w:ascii="Times New Roman" w:hAnsi="Times New Roman"/>
                <w:noProof/>
                <w:sz w:val="24"/>
                <w:szCs w:val="24"/>
              </w:rPr>
              <w:t xml:space="preserve"> un pieejamīb</w:t>
            </w:r>
            <w:r w:rsidR="003D7055" w:rsidRPr="00BC7967">
              <w:rPr>
                <w:rFonts w:ascii="Times New Roman" w:hAnsi="Times New Roman"/>
                <w:noProof/>
                <w:sz w:val="24"/>
                <w:szCs w:val="24"/>
              </w:rPr>
              <w:t>ai</w:t>
            </w:r>
            <w:r w:rsidRPr="00BC7967">
              <w:rPr>
                <w:rFonts w:ascii="Times New Roman" w:hAnsi="Times New Roman"/>
                <w:noProof/>
                <w:sz w:val="24"/>
                <w:szCs w:val="24"/>
              </w:rPr>
              <w:t>, kurā glabā informāciju par drošuma pazīmēm, kas ļauj - pārbaudīt zāļu autentiskumu un identificēt tās.</w:t>
            </w:r>
          </w:p>
          <w:p w:rsidR="00BB1BA4" w:rsidRPr="00BC7967" w:rsidRDefault="00BB1BA4" w:rsidP="006541EF">
            <w:pPr>
              <w:pStyle w:val="NoSpacing"/>
              <w:jc w:val="both"/>
              <w:rPr>
                <w:rFonts w:ascii="Times New Roman" w:hAnsi="Times New Roman"/>
                <w:noProof/>
                <w:sz w:val="24"/>
                <w:szCs w:val="24"/>
              </w:rPr>
            </w:pPr>
            <w:r w:rsidRPr="00BC7967">
              <w:rPr>
                <w:rFonts w:ascii="Times New Roman" w:hAnsi="Times New Roman"/>
                <w:noProof/>
                <w:sz w:val="24"/>
                <w:szCs w:val="24"/>
              </w:rPr>
              <w:t>Eiropas Komisija attiecīgo deleģēto aktu regulas formā paredz pieņemt 2014.gadā.</w:t>
            </w:r>
          </w:p>
          <w:p w:rsidR="00BB1BA4" w:rsidRPr="00BC7967" w:rsidRDefault="00BB1BA4" w:rsidP="006541EF">
            <w:pPr>
              <w:pStyle w:val="NoSpacing"/>
              <w:jc w:val="both"/>
              <w:rPr>
                <w:b/>
                <w:noProof/>
                <w:sz w:val="18"/>
                <w:szCs w:val="18"/>
              </w:rPr>
            </w:pPr>
            <w:r w:rsidRPr="00BC7967">
              <w:rPr>
                <w:rFonts w:ascii="Times New Roman" w:hAnsi="Times New Roman"/>
                <w:noProof/>
                <w:sz w:val="24"/>
                <w:szCs w:val="24"/>
              </w:rPr>
              <w:t>Dalībvalstis piemēro noteikumus, kas vajadzīgi, lai izpildītu šīs direktīvas 1. panta 11.punktu - no dienas, kad pagājuši trīs gadi pēc dienas, kad publicēti minētie Eiropas Komisijas deleģētie akti</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BC7967" w:rsidRDefault="00BB1BA4" w:rsidP="006541EF">
            <w:pPr>
              <w:jc w:val="both"/>
              <w:rPr>
                <w:noProof/>
                <w:lang w:val="lv-LV"/>
              </w:rPr>
            </w:pPr>
            <w:r w:rsidRPr="00BC7967">
              <w:rPr>
                <w:noProof/>
                <w:lang w:val="lv-LV"/>
              </w:rPr>
              <w:t xml:space="preserve"> 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1BA4" w:rsidRPr="00BC7967" w:rsidRDefault="00BB1BA4" w:rsidP="006541EF">
            <w:pPr>
              <w:jc w:val="both"/>
              <w:rPr>
                <w:noProof/>
                <w:lang w:val="lv-LV"/>
              </w:rPr>
            </w:pPr>
            <w:r w:rsidRPr="00BC7967">
              <w:rPr>
                <w:noProof/>
                <w:lang w:val="lv-LV"/>
              </w:rPr>
              <w:t>Nav</w:t>
            </w:r>
          </w:p>
        </w:tc>
      </w:tr>
      <w:tr w:rsidR="00ED3B4E"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BC7967" w:rsidRDefault="00ED3B4E" w:rsidP="004134D0">
            <w:pPr>
              <w:jc w:val="both"/>
              <w:rPr>
                <w:noProof/>
                <w:lang w:val="lv-LV"/>
              </w:rPr>
            </w:pPr>
            <w:r w:rsidRPr="00BC7967">
              <w:rPr>
                <w:noProof/>
                <w:lang w:val="lv-LV"/>
              </w:rPr>
              <w:lastRenderedPageBreak/>
              <w:t xml:space="preserve">Direktīvas 2011/62/EK </w:t>
            </w:r>
            <w:r w:rsidRPr="00BC7967">
              <w:rPr>
                <w:lang w:val="lv-LV"/>
              </w:rPr>
              <w:t>1.panta 9.punkts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Direktīvas norma tiks pārņemta ar grozījumiem:</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1) </w:t>
            </w:r>
            <w:r w:rsidRPr="00BC7967">
              <w:rPr>
                <w:rFonts w:ascii="Times New Roman" w:hAnsi="Times New Roman"/>
                <w:noProof/>
                <w:spacing w:val="-6"/>
                <w:sz w:val="24"/>
                <w:szCs w:val="24"/>
              </w:rPr>
              <w:t>MK noteikumos Nr.304</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2) MK 2007.gada 26.jūnija noteikumos Nr.436 ”Zāļu ievešanas un izvešanas kārtība” (turpmāk – MK noteikumi Nr.436) pēc Eiropas Kom</w:t>
            </w:r>
            <w:r w:rsidR="006B57C5" w:rsidRPr="00BC7967">
              <w:rPr>
                <w:rFonts w:ascii="Times New Roman" w:hAnsi="Times New Roman"/>
                <w:noProof/>
                <w:sz w:val="24"/>
                <w:szCs w:val="24"/>
              </w:rPr>
              <w:t>isijas Regulas pieņemšanas par:</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 (unikālais identifikators) raksturojumu un tehniskajām specifikācijām;</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recepšu zāļu vai zāļu kategoriju sarakstu, kurām drošuma pazīmes nenorāda;</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bezrecepšu zāļu vai zāļu kategoriju sarakstu, kurām drošuma pazīmes norāda;</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paziņošanas procedūru par zālēm, par kurām ir aizdomas par viltojumu, un ātru šādu ziņojumu izvērtēšanas un lēmumu pieņemšanas sistēmu;</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 pārbaudes paņēmieniem, ko veic  ražotāji, vairumtirgotāji, farmaceiti;</w:t>
            </w: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 nosacījumiem repozitoriju sistēmas izveid</w:t>
            </w:r>
            <w:r w:rsidR="003D7055" w:rsidRPr="00BC7967">
              <w:rPr>
                <w:rFonts w:ascii="Times New Roman" w:hAnsi="Times New Roman"/>
                <w:noProof/>
                <w:sz w:val="24"/>
                <w:szCs w:val="24"/>
              </w:rPr>
              <w:t>e</w:t>
            </w:r>
            <w:r w:rsidRPr="00BC7967">
              <w:rPr>
                <w:rFonts w:ascii="Times New Roman" w:hAnsi="Times New Roman"/>
                <w:noProof/>
                <w:sz w:val="24"/>
                <w:szCs w:val="24"/>
              </w:rPr>
              <w:t>i, pārvaldīb</w:t>
            </w:r>
            <w:r w:rsidR="003D7055" w:rsidRPr="00BC7967">
              <w:rPr>
                <w:rFonts w:ascii="Times New Roman" w:hAnsi="Times New Roman"/>
                <w:noProof/>
                <w:sz w:val="24"/>
                <w:szCs w:val="24"/>
              </w:rPr>
              <w:t>ai</w:t>
            </w:r>
            <w:r w:rsidRPr="00BC7967">
              <w:rPr>
                <w:rFonts w:ascii="Times New Roman" w:hAnsi="Times New Roman"/>
                <w:noProof/>
                <w:sz w:val="24"/>
                <w:szCs w:val="24"/>
              </w:rPr>
              <w:t xml:space="preserve"> un pieejamīb</w:t>
            </w:r>
            <w:r w:rsidR="003D7055" w:rsidRPr="00BC7967">
              <w:rPr>
                <w:rFonts w:ascii="Times New Roman" w:hAnsi="Times New Roman"/>
                <w:noProof/>
                <w:sz w:val="24"/>
                <w:szCs w:val="24"/>
              </w:rPr>
              <w:t>ai</w:t>
            </w:r>
            <w:r w:rsidRPr="00BC7967">
              <w:rPr>
                <w:rFonts w:ascii="Times New Roman" w:hAnsi="Times New Roman"/>
                <w:noProof/>
                <w:sz w:val="24"/>
                <w:szCs w:val="24"/>
              </w:rPr>
              <w:t>, kurā glabā informāciju par drošuma pazīmēm, kas ļauj - pārbaudīt zāļu autentiskumu un identificēt tās.</w:t>
            </w:r>
          </w:p>
          <w:p w:rsidR="00A03FD4" w:rsidRPr="00BC7967" w:rsidRDefault="00A03FD4" w:rsidP="006541EF">
            <w:pPr>
              <w:pStyle w:val="NoSpacing"/>
              <w:jc w:val="both"/>
              <w:rPr>
                <w:rFonts w:ascii="Times New Roman" w:hAnsi="Times New Roman"/>
                <w:noProof/>
                <w:sz w:val="24"/>
                <w:szCs w:val="24"/>
              </w:rPr>
            </w:pPr>
          </w:p>
          <w:p w:rsidR="00ED3B4E" w:rsidRPr="00BC7967" w:rsidRDefault="00ED3B4E" w:rsidP="006541EF">
            <w:pPr>
              <w:pStyle w:val="NoSpacing"/>
              <w:jc w:val="both"/>
              <w:rPr>
                <w:rFonts w:ascii="Times New Roman" w:hAnsi="Times New Roman"/>
                <w:noProof/>
                <w:sz w:val="24"/>
                <w:szCs w:val="24"/>
              </w:rPr>
            </w:pPr>
            <w:r w:rsidRPr="00BC7967">
              <w:rPr>
                <w:rFonts w:ascii="Times New Roman" w:hAnsi="Times New Roman"/>
                <w:noProof/>
                <w:sz w:val="24"/>
                <w:szCs w:val="24"/>
              </w:rPr>
              <w:t>Eiropas Komisija attiecīgo deleģēto aktu regulas formā paredz pieņemt 2014.gadā. Dalībvalstis piemēro  noteikumus, kas vajadzīgi, lai izpildītu šīs direktīvas 1.panta 11.punkta - no dienas, kad pagājuši trīs gadi pēc dienas, kad publicēti minētie Eiropas Komisijas deleģētie akti.</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BC7967" w:rsidRDefault="00ED3B4E" w:rsidP="006541EF">
            <w:pPr>
              <w:jc w:val="both"/>
              <w:rPr>
                <w:noProof/>
                <w:lang w:val="lv-LV"/>
              </w:rPr>
            </w:pPr>
            <w:r w:rsidRPr="00BC7967">
              <w:rPr>
                <w:noProof/>
                <w:lang w:val="lv-LV"/>
              </w:rPr>
              <w:t xml:space="preserve"> 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D3B4E" w:rsidRPr="00BC7967" w:rsidRDefault="00ED3B4E" w:rsidP="006541EF">
            <w:pPr>
              <w:jc w:val="both"/>
              <w:rPr>
                <w:noProof/>
                <w:lang w:val="lv-LV"/>
              </w:rPr>
            </w:pPr>
            <w:r w:rsidRPr="00BC7967">
              <w:rPr>
                <w:noProof/>
                <w:lang w:val="lv-LV"/>
              </w:rPr>
              <w:t>Nav</w:t>
            </w:r>
          </w:p>
        </w:tc>
      </w:tr>
      <w:tr w:rsidR="00281A6E"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281A6E" w:rsidRPr="00BC7967" w:rsidRDefault="00281A6E" w:rsidP="004134D0">
            <w:pPr>
              <w:jc w:val="both"/>
              <w:rPr>
                <w:lang w:val="lv-LV"/>
              </w:rPr>
            </w:pPr>
            <w:r w:rsidRPr="00BC7967">
              <w:rPr>
                <w:noProof/>
                <w:lang w:val="lv-LV"/>
              </w:rPr>
              <w:lastRenderedPageBreak/>
              <w:t xml:space="preserve">Direktīvas 2011/62/EK </w:t>
            </w:r>
            <w:r w:rsidRPr="00BC7967">
              <w:rPr>
                <w:lang w:val="lv-LV"/>
              </w:rPr>
              <w:t>1.panta 10.punkts</w:t>
            </w:r>
          </w:p>
          <w:p w:rsidR="00281A6E" w:rsidRPr="00BC7967" w:rsidRDefault="00281A6E" w:rsidP="004134D0">
            <w:pPr>
              <w:jc w:val="both"/>
              <w:rPr>
                <w:lang w:val="lv-LV"/>
              </w:rPr>
            </w:pPr>
          </w:p>
          <w:p w:rsidR="00281A6E" w:rsidRPr="00BC7967" w:rsidRDefault="00281A6E" w:rsidP="00FF5C45">
            <w:pPr>
              <w:jc w:val="both"/>
              <w:rPr>
                <w:noProof/>
                <w:lang w:val="lv-LV"/>
              </w:rPr>
            </w:pPr>
            <w:r w:rsidRPr="00BC7967">
              <w:rPr>
                <w:lang w:val="lv-LV"/>
              </w:rPr>
              <w:t>(Direktīvas 2001/83 52.a pants).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F7711F" w:rsidP="00C333B7">
            <w:pPr>
              <w:pStyle w:val="NoSpacing"/>
              <w:jc w:val="both"/>
              <w:rPr>
                <w:rFonts w:ascii="Times New Roman" w:hAnsi="Times New Roman"/>
                <w:spacing w:val="-6"/>
                <w:sz w:val="24"/>
                <w:szCs w:val="24"/>
              </w:rPr>
            </w:pPr>
            <w:r w:rsidRPr="00BC7967">
              <w:rPr>
                <w:rFonts w:ascii="Times New Roman" w:hAnsi="Times New Roman"/>
                <w:spacing w:val="-6"/>
                <w:sz w:val="24"/>
                <w:szCs w:val="24"/>
              </w:rPr>
              <w:t>Direktīvas normas pārņemtas ar</w:t>
            </w:r>
            <w:r w:rsidR="0089740E" w:rsidRPr="00BC7967">
              <w:rPr>
                <w:rFonts w:ascii="Times New Roman" w:hAnsi="Times New Roman"/>
                <w:spacing w:val="-6"/>
                <w:sz w:val="24"/>
                <w:szCs w:val="24"/>
              </w:rPr>
              <w:t xml:space="preserve"> </w:t>
            </w:r>
            <w:r w:rsidR="00281A6E" w:rsidRPr="00BC7967">
              <w:rPr>
                <w:rFonts w:ascii="Times New Roman" w:hAnsi="Times New Roman"/>
                <w:sz w:val="24"/>
                <w:szCs w:val="24"/>
              </w:rPr>
              <w:t>Farmācijas likum</w:t>
            </w:r>
            <w:r w:rsidR="00B44576" w:rsidRPr="00BC7967">
              <w:rPr>
                <w:rFonts w:ascii="Times New Roman" w:hAnsi="Times New Roman"/>
                <w:sz w:val="24"/>
                <w:szCs w:val="24"/>
              </w:rPr>
              <w:t>a</w:t>
            </w:r>
            <w:r w:rsidR="00281A6E" w:rsidRPr="00BC7967">
              <w:rPr>
                <w:rFonts w:ascii="Times New Roman" w:hAnsi="Times New Roman"/>
                <w:sz w:val="24"/>
                <w:szCs w:val="24"/>
              </w:rPr>
              <w:t xml:space="preserve">  </w:t>
            </w:r>
            <w:r w:rsidR="00A03FD4" w:rsidRPr="00BC7967">
              <w:rPr>
                <w:rFonts w:ascii="Times New Roman" w:hAnsi="Times New Roman"/>
                <w:sz w:val="24"/>
                <w:szCs w:val="24"/>
              </w:rPr>
              <w:t>5.panta</w:t>
            </w:r>
            <w:r w:rsidR="00281A6E" w:rsidRPr="00BC7967">
              <w:rPr>
                <w:rFonts w:ascii="Times New Roman" w:hAnsi="Times New Roman"/>
                <w:sz w:val="24"/>
                <w:szCs w:val="24"/>
              </w:rPr>
              <w:t xml:space="preserve"> </w:t>
            </w:r>
            <w:r w:rsidR="00A03FD4" w:rsidRPr="00BC7967">
              <w:rPr>
                <w:rFonts w:ascii="Times New Roman" w:hAnsi="Times New Roman"/>
                <w:sz w:val="24"/>
                <w:szCs w:val="24"/>
              </w:rPr>
              <w:t xml:space="preserve"> 23punktu, 10.panta 17.punktu</w:t>
            </w:r>
            <w:r w:rsidR="00281A6E" w:rsidRPr="00BC7967">
              <w:rPr>
                <w:rFonts w:ascii="Times New Roman" w:hAnsi="Times New Roman"/>
                <w:sz w:val="24"/>
                <w:szCs w:val="24"/>
              </w:rPr>
              <w:t>, 51. un 64.pant</w:t>
            </w:r>
            <w:r w:rsidR="00A03FD4" w:rsidRPr="00BC7967">
              <w:rPr>
                <w:rFonts w:ascii="Times New Roman" w:hAnsi="Times New Roman"/>
                <w:sz w:val="24"/>
                <w:szCs w:val="24"/>
              </w:rPr>
              <w:t>u</w:t>
            </w:r>
            <w:r w:rsidR="00B03E7E" w:rsidRPr="00BC7967">
              <w:rPr>
                <w:rFonts w:ascii="Times New Roman" w:hAnsi="Times New Roman"/>
                <w:sz w:val="24"/>
                <w:szCs w:val="24"/>
              </w:rPr>
              <w:t>.</w:t>
            </w:r>
          </w:p>
          <w:p w:rsidR="0089740E" w:rsidRPr="00BC7967" w:rsidRDefault="0089740E" w:rsidP="0089740E">
            <w:pPr>
              <w:pStyle w:val="NoSpacing"/>
              <w:jc w:val="both"/>
              <w:rPr>
                <w:rFonts w:ascii="Times New Roman" w:hAnsi="Times New Roman"/>
                <w:noProof/>
                <w:sz w:val="24"/>
                <w:szCs w:val="24"/>
              </w:rPr>
            </w:pPr>
          </w:p>
          <w:p w:rsidR="00F7711F" w:rsidRPr="00BC7967" w:rsidRDefault="0089740E" w:rsidP="0089740E">
            <w:pPr>
              <w:pStyle w:val="NoSpacing"/>
              <w:jc w:val="both"/>
              <w:rPr>
                <w:rFonts w:ascii="Times New Roman" w:hAnsi="Times New Roman"/>
                <w:spacing w:val="-6"/>
                <w:sz w:val="24"/>
                <w:szCs w:val="24"/>
              </w:rPr>
            </w:pPr>
            <w:r w:rsidRPr="00BC7967">
              <w:rPr>
                <w:rFonts w:ascii="Times New Roman" w:hAnsi="Times New Roman"/>
                <w:noProof/>
                <w:sz w:val="24"/>
                <w:szCs w:val="24"/>
              </w:rPr>
              <w:t>Direktīvas norma</w:t>
            </w:r>
            <w:r w:rsidR="003D7055" w:rsidRPr="00BC7967">
              <w:rPr>
                <w:rFonts w:ascii="Times New Roman" w:hAnsi="Times New Roman"/>
                <w:noProof/>
                <w:sz w:val="24"/>
                <w:szCs w:val="24"/>
              </w:rPr>
              <w:t>s</w:t>
            </w:r>
            <w:r w:rsidRPr="00BC7967">
              <w:rPr>
                <w:rFonts w:ascii="Times New Roman" w:hAnsi="Times New Roman"/>
                <w:noProof/>
                <w:sz w:val="24"/>
                <w:szCs w:val="24"/>
              </w:rPr>
              <w:t xml:space="preserve"> tiks pārņemta</w:t>
            </w:r>
            <w:r w:rsidR="00A03FD4" w:rsidRPr="00BC7967">
              <w:rPr>
                <w:rFonts w:ascii="Times New Roman" w:hAnsi="Times New Roman"/>
                <w:noProof/>
                <w:sz w:val="24"/>
                <w:szCs w:val="24"/>
              </w:rPr>
              <w:t>s</w:t>
            </w:r>
            <w:r w:rsidRPr="00BC7967">
              <w:rPr>
                <w:rFonts w:ascii="Times New Roman" w:hAnsi="Times New Roman"/>
                <w:noProof/>
                <w:sz w:val="24"/>
                <w:szCs w:val="24"/>
              </w:rPr>
              <w:t xml:space="preserve"> </w:t>
            </w:r>
            <w:r w:rsidR="00A03FD4" w:rsidRPr="00BC7967">
              <w:rPr>
                <w:rFonts w:ascii="Times New Roman" w:hAnsi="Times New Roman"/>
                <w:noProof/>
                <w:sz w:val="24"/>
                <w:szCs w:val="24"/>
              </w:rPr>
              <w:t xml:space="preserve">pilnībā </w:t>
            </w:r>
            <w:r w:rsidRPr="00BC7967">
              <w:rPr>
                <w:rFonts w:ascii="Times New Roman" w:hAnsi="Times New Roman"/>
                <w:noProof/>
                <w:sz w:val="24"/>
                <w:szCs w:val="24"/>
              </w:rPr>
              <w:t xml:space="preserve">ar </w:t>
            </w:r>
            <w:r w:rsidR="00C72681" w:rsidRPr="00BC7967">
              <w:rPr>
                <w:rFonts w:ascii="Times New Roman" w:hAnsi="Times New Roman"/>
                <w:sz w:val="24"/>
                <w:szCs w:val="24"/>
              </w:rPr>
              <w:t>MK noteikumiem par aktīv</w:t>
            </w:r>
            <w:r w:rsidRPr="00BC7967">
              <w:rPr>
                <w:rFonts w:ascii="Times New Roman" w:hAnsi="Times New Roman"/>
                <w:sz w:val="24"/>
                <w:szCs w:val="24"/>
              </w:rPr>
              <w:t>ajām vielām</w:t>
            </w:r>
            <w:r w:rsidR="00B03E7E" w:rsidRPr="00BC7967">
              <w:rPr>
                <w:rFonts w:ascii="Times New Roman" w:hAnsi="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89740E" w:rsidP="0089740E">
            <w:pPr>
              <w:spacing w:after="120"/>
              <w:ind w:left="57"/>
              <w:jc w:val="both"/>
              <w:rPr>
                <w:lang w:val="lv-LV"/>
              </w:rPr>
            </w:pPr>
            <w:r w:rsidRPr="00BC7967">
              <w:rPr>
                <w:lang w:val="lv-LV"/>
              </w:rPr>
              <w:t>Direktīvas norma pārņemta daļēji</w:t>
            </w:r>
            <w:r w:rsidR="00B03E7E"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81A6E" w:rsidRPr="00BC7967" w:rsidRDefault="00414510" w:rsidP="00281A6E">
            <w:pPr>
              <w:spacing w:after="120"/>
              <w:rPr>
                <w:spacing w:val="-3"/>
                <w:lang w:val="lv-LV"/>
              </w:rPr>
            </w:pPr>
            <w:r w:rsidRPr="00BC7967">
              <w:rPr>
                <w:lang w:val="lv-LV"/>
              </w:rPr>
              <w:t>Nav</w:t>
            </w:r>
          </w:p>
        </w:tc>
      </w:tr>
      <w:tr w:rsidR="007348F6"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BC7967" w:rsidRDefault="007348F6" w:rsidP="00FF5C45">
            <w:pPr>
              <w:jc w:val="both"/>
              <w:rPr>
                <w:lang w:val="lv-LV"/>
              </w:rPr>
            </w:pPr>
            <w:r w:rsidRPr="00BC7967">
              <w:rPr>
                <w:noProof/>
                <w:lang w:val="lv-LV"/>
              </w:rPr>
              <w:t xml:space="preserve">Direktīvas 2011/62/EK </w:t>
            </w:r>
            <w:r w:rsidRPr="00BC7967">
              <w:rPr>
                <w:lang w:val="lv-LV"/>
              </w:rPr>
              <w:t>1.panta 10.punkts</w:t>
            </w:r>
          </w:p>
          <w:p w:rsidR="007348F6" w:rsidRPr="00BC7967" w:rsidRDefault="007348F6" w:rsidP="00FF5C45">
            <w:pPr>
              <w:jc w:val="both"/>
              <w:rPr>
                <w:lang w:val="lv-LV"/>
              </w:rPr>
            </w:pPr>
          </w:p>
          <w:p w:rsidR="007348F6" w:rsidRPr="00BC7967" w:rsidRDefault="00241034" w:rsidP="00FF5C45">
            <w:pPr>
              <w:jc w:val="both"/>
              <w:rPr>
                <w:noProof/>
                <w:lang w:val="lv-LV"/>
              </w:rPr>
            </w:pPr>
            <w:r w:rsidRPr="00BC7967">
              <w:rPr>
                <w:lang w:val="lv-LV"/>
              </w:rPr>
              <w:t>(Direktīvas 2001/83 52.b panta 1.punkts</w:t>
            </w:r>
            <w:r w:rsidR="007348F6" w:rsidRPr="00BC7967">
              <w:rPr>
                <w:lang w:val="lv-LV"/>
              </w:rPr>
              <w:t>).</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212D" w:rsidRPr="00BC7967" w:rsidRDefault="00217C3D" w:rsidP="00503EB5">
            <w:pPr>
              <w:pStyle w:val="NoSpacing"/>
              <w:jc w:val="both"/>
              <w:rPr>
                <w:rFonts w:ascii="Times New Roman" w:hAnsi="Times New Roman"/>
                <w:sz w:val="24"/>
                <w:szCs w:val="24"/>
              </w:rPr>
            </w:pPr>
            <w:r w:rsidRPr="00BC7967">
              <w:rPr>
                <w:rFonts w:ascii="Times New Roman" w:hAnsi="Times New Roman"/>
                <w:sz w:val="24"/>
                <w:szCs w:val="24"/>
              </w:rPr>
              <w:t>1.10. un 1.11</w:t>
            </w:r>
            <w:r w:rsidR="00700DA8" w:rsidRPr="00BC7967">
              <w:rPr>
                <w:rFonts w:ascii="Times New Roman" w:hAnsi="Times New Roman"/>
                <w:sz w:val="24"/>
                <w:szCs w:val="24"/>
              </w:rPr>
              <w:t>.apakšpunkts</w:t>
            </w:r>
          </w:p>
          <w:p w:rsidR="0089212D" w:rsidRPr="00BC7967" w:rsidRDefault="0089212D" w:rsidP="00503EB5">
            <w:pPr>
              <w:pStyle w:val="NoSpacing"/>
              <w:jc w:val="both"/>
              <w:rPr>
                <w:rFonts w:ascii="Times New Roman" w:hAnsi="Times New Roman"/>
                <w:sz w:val="24"/>
                <w:szCs w:val="24"/>
              </w:rPr>
            </w:pPr>
          </w:p>
          <w:p w:rsidR="007348F6" w:rsidRPr="00BC7967" w:rsidRDefault="00700DA8" w:rsidP="0089212D">
            <w:pPr>
              <w:pStyle w:val="NoSpacing"/>
              <w:jc w:val="both"/>
              <w:rPr>
                <w:rFonts w:ascii="Times New Roman" w:hAnsi="Times New Roman"/>
                <w:iCs/>
                <w:sz w:val="24"/>
                <w:szCs w:val="24"/>
              </w:rPr>
            </w:pPr>
            <w:r w:rsidRPr="00BC7967">
              <w:rPr>
                <w:rFonts w:ascii="Times New Roman" w:hAnsi="Times New Roman"/>
                <w:iCs/>
                <w:sz w:val="24"/>
                <w:szCs w:val="24"/>
              </w:rPr>
              <w:t>MK noteikumi</w:t>
            </w:r>
            <w:r w:rsidR="007348F6" w:rsidRPr="00BC7967">
              <w:rPr>
                <w:rFonts w:ascii="Times New Roman" w:hAnsi="Times New Roman"/>
                <w:iCs/>
                <w:sz w:val="24"/>
                <w:szCs w:val="24"/>
              </w:rPr>
              <w:t xml:space="preserve"> Nr.436 </w:t>
            </w:r>
            <w:r w:rsidRPr="00BC7967">
              <w:rPr>
                <w:rFonts w:ascii="Times New Roman" w:hAnsi="Times New Roman"/>
                <w:iCs/>
                <w:sz w:val="24"/>
                <w:szCs w:val="24"/>
              </w:rPr>
              <w:t xml:space="preserve">un </w:t>
            </w:r>
            <w:r w:rsidR="004B5969" w:rsidRPr="00BC7967">
              <w:rPr>
                <w:rFonts w:ascii="Times New Roman" w:hAnsi="Times New Roman"/>
                <w:iCs/>
                <w:sz w:val="24"/>
                <w:szCs w:val="24"/>
              </w:rPr>
              <w:t>MK noteikumi</w:t>
            </w:r>
            <w:r w:rsidR="007348F6" w:rsidRPr="00BC7967">
              <w:rPr>
                <w:rFonts w:ascii="Times New Roman" w:hAnsi="Times New Roman"/>
                <w:iCs/>
                <w:sz w:val="24"/>
                <w:szCs w:val="24"/>
              </w:rPr>
              <w:t xml:space="preserve"> Nr.416</w:t>
            </w:r>
            <w:r w:rsidR="00B03E7E" w:rsidRPr="00BC7967">
              <w:rPr>
                <w:rFonts w:ascii="Times New Roman" w:hAnsi="Times New Roman"/>
                <w:iCs/>
                <w:sz w:val="24"/>
                <w:szCs w:val="24"/>
              </w:rPr>
              <w:t>.</w:t>
            </w:r>
          </w:p>
          <w:p w:rsidR="007D7466" w:rsidRPr="00BC7967" w:rsidRDefault="007D7466" w:rsidP="0089212D">
            <w:pPr>
              <w:pStyle w:val="NoSpacing"/>
              <w:jc w:val="both"/>
              <w:rPr>
                <w:rFonts w:ascii="Times New Roman" w:hAnsi="Times New Roman"/>
                <w:iCs/>
                <w:sz w:val="24"/>
                <w:szCs w:val="24"/>
              </w:rPr>
            </w:pPr>
          </w:p>
          <w:p w:rsidR="007D7466" w:rsidRPr="00BC7967" w:rsidRDefault="007D7466" w:rsidP="0089212D">
            <w:pPr>
              <w:pStyle w:val="NoSpacing"/>
              <w:jc w:val="both"/>
              <w:rPr>
                <w:rFonts w:ascii="Times New Roman" w:hAnsi="Times New Roman"/>
                <w:iCs/>
                <w:sz w:val="24"/>
                <w:szCs w:val="24"/>
              </w:rPr>
            </w:pPr>
            <w:r w:rsidRPr="00BC7967">
              <w:rPr>
                <w:rFonts w:ascii="Times New Roman" w:hAnsi="Times New Roman"/>
                <w:iCs/>
                <w:sz w:val="24"/>
                <w:szCs w:val="24"/>
              </w:rPr>
              <w:t xml:space="preserve">Eiropas Komisijai ir jāpieņem deleģētais akts </w:t>
            </w:r>
            <w:r w:rsidRPr="00BC7967">
              <w:rPr>
                <w:rFonts w:ascii="Times New Roman" w:hAnsi="Times New Roman"/>
                <w:sz w:val="24"/>
                <w:szCs w:val="24"/>
              </w:rPr>
              <w:t>attiecībā uz vērā ņemamajiem kritērijiem un veicamajām pārbaudēm, vērtējot tādu zāļu iespējamos viltojumus, kuras ievestas Savienībā, bet kuras nav paredzēts laist tirgū</w:t>
            </w:r>
            <w:r w:rsidRPr="00BC7967">
              <w:rPr>
                <w:rFonts w:ascii="Times New Roman" w:hAnsi="Times New Roman"/>
                <w:iCs/>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BC7967" w:rsidRDefault="007348F6" w:rsidP="00281A6E">
            <w:pPr>
              <w:jc w:val="both"/>
              <w:rPr>
                <w:lang w:val="lv-LV"/>
              </w:rPr>
            </w:pPr>
            <w:r w:rsidRPr="00BC7967">
              <w:rPr>
                <w:lang w:val="lv-LV"/>
              </w:rPr>
              <w:t>Direktīvas norma pārņemta pilnībā</w:t>
            </w:r>
            <w:r w:rsidR="00B03E7E"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48F6" w:rsidRPr="00BC7967" w:rsidRDefault="007348F6" w:rsidP="00281A6E">
            <w:pPr>
              <w:jc w:val="both"/>
              <w:rPr>
                <w:lang w:val="lv-LV"/>
              </w:rPr>
            </w:pPr>
            <w:r w:rsidRPr="00BC7967">
              <w:rPr>
                <w:lang w:val="lv-LV"/>
              </w:rPr>
              <w:t>Stingrākas prasības neparedz</w:t>
            </w:r>
          </w:p>
        </w:tc>
      </w:tr>
      <w:tr w:rsidR="00241034"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41034" w:rsidRPr="00BC7967" w:rsidRDefault="00241034" w:rsidP="00A82827">
            <w:pPr>
              <w:jc w:val="both"/>
              <w:rPr>
                <w:lang w:val="lv-LV"/>
              </w:rPr>
            </w:pPr>
            <w:r w:rsidRPr="00BC7967">
              <w:rPr>
                <w:noProof/>
                <w:lang w:val="lv-LV"/>
              </w:rPr>
              <w:t xml:space="preserve">Direktīvas 2011/62/EK </w:t>
            </w:r>
            <w:r w:rsidRPr="00BC7967">
              <w:rPr>
                <w:lang w:val="lv-LV"/>
              </w:rPr>
              <w:t>1.panta 10.punkts</w:t>
            </w:r>
          </w:p>
          <w:p w:rsidR="00241034" w:rsidRPr="00BC7967" w:rsidRDefault="00241034" w:rsidP="00A82827">
            <w:pPr>
              <w:jc w:val="both"/>
              <w:rPr>
                <w:lang w:val="lv-LV"/>
              </w:rPr>
            </w:pPr>
          </w:p>
          <w:p w:rsidR="00241034" w:rsidRPr="00BC7967" w:rsidRDefault="00241034" w:rsidP="00A82827">
            <w:pPr>
              <w:jc w:val="both"/>
              <w:rPr>
                <w:noProof/>
                <w:lang w:val="lv-LV"/>
              </w:rPr>
            </w:pPr>
            <w:r w:rsidRPr="00BC7967">
              <w:rPr>
                <w:lang w:val="lv-LV"/>
              </w:rPr>
              <w:t>(Direktīvas 2001/83 52.b panta 2.punkts).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41034" w:rsidRPr="00BC7967" w:rsidRDefault="00241034" w:rsidP="00A82827">
            <w:pPr>
              <w:pStyle w:val="NoSpacing"/>
              <w:jc w:val="both"/>
              <w:rPr>
                <w:rFonts w:ascii="Times New Roman" w:hAnsi="Times New Roman"/>
                <w:noProof/>
                <w:sz w:val="24"/>
                <w:szCs w:val="24"/>
              </w:rPr>
            </w:pPr>
            <w:r w:rsidRPr="00BC7967">
              <w:rPr>
                <w:rFonts w:ascii="Times New Roman" w:hAnsi="Times New Roman"/>
                <w:noProof/>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41034" w:rsidRPr="00BC7967" w:rsidRDefault="00241034" w:rsidP="00241034">
            <w:pPr>
              <w:jc w:val="both"/>
              <w:rPr>
                <w:noProof/>
                <w:lang w:val="lv-LV"/>
              </w:rPr>
            </w:pPr>
            <w:r w:rsidRPr="00BC7967">
              <w:rPr>
                <w:noProof/>
                <w:spacing w:val="-3"/>
                <w:lang w:val="lv-LV"/>
              </w:rPr>
              <w:t>Nav jāpārņem, jo norma attiecināma uz Eiropas Komisijas pinvarām.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41034" w:rsidRPr="00BC7967" w:rsidRDefault="00241034" w:rsidP="00A82827">
            <w:pPr>
              <w:jc w:val="both"/>
              <w:rPr>
                <w:noProof/>
                <w:lang w:val="lv-LV"/>
              </w:rPr>
            </w:pPr>
            <w:r w:rsidRPr="00BC7967">
              <w:rPr>
                <w:noProof/>
                <w:lang w:val="lv-LV"/>
              </w:rPr>
              <w:t>Nav</w:t>
            </w:r>
          </w:p>
        </w:tc>
      </w:tr>
      <w:tr w:rsidR="001E68F7"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BC7967" w:rsidRDefault="001E68F7" w:rsidP="004134D0">
            <w:pPr>
              <w:jc w:val="both"/>
              <w:rPr>
                <w:noProof/>
                <w:lang w:val="lv-LV"/>
              </w:rPr>
            </w:pPr>
            <w:r w:rsidRPr="00BC7967">
              <w:rPr>
                <w:noProof/>
                <w:lang w:val="lv-LV"/>
              </w:rPr>
              <w:lastRenderedPageBreak/>
              <w:t xml:space="preserve">Direktīvas 2011/62/EK </w:t>
            </w:r>
            <w:r w:rsidRPr="00BC7967">
              <w:rPr>
                <w:lang w:val="lv-LV"/>
              </w:rPr>
              <w:t>1.panta 11.punkts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xml:space="preserve">Direktīvas norma tiks pārņemta ar grozījumiem MK 2006.gada 17.janvāra noteikumos Nr.57 ”Noteikumi par zāļu marķēšanas kārtību un zāļu lietošanas instrukcijai izvirzāmajām prasībām” (turpmāk - MK noteikumi Nr.57) pēc Eiropas Komisijas Regulas pieņemšanas par: </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 (unikālais identifikators) raksturojumu un tehniskajām specifikācijām;</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recepšu zāļu vai zāļu kategoriju sarakstu, kurām drošuma pazīmes nenorāda;</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bezrecepšu zāļu vai zāļu kategoriju sarakstu, kurām drošuma pazīmes norāda;</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paziņošanas procedūru par zālēm, par kurām ir aizdomas par viltojumu, un ātru šādu ziņojumu izvērtēšanas un lēmumu pieņemšanas sistēmu;</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drošuma pazīmju</w:t>
            </w:r>
            <w:r w:rsidR="006B57C5" w:rsidRPr="00BC7967">
              <w:rPr>
                <w:rFonts w:ascii="Times New Roman" w:hAnsi="Times New Roman"/>
                <w:noProof/>
                <w:sz w:val="24"/>
                <w:szCs w:val="24"/>
              </w:rPr>
              <w:t xml:space="preserve"> pārbaudes paņēmieniem, ko veic</w:t>
            </w:r>
            <w:r w:rsidRPr="00BC7967">
              <w:rPr>
                <w:rFonts w:ascii="Times New Roman" w:hAnsi="Times New Roman"/>
                <w:noProof/>
                <w:sz w:val="24"/>
                <w:szCs w:val="24"/>
              </w:rPr>
              <w:t xml:space="preserve"> ražotāji, vairumtirgotāji, farmaceiti;</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 nosacījumiem repozitoriju sistēmas izveid</w:t>
            </w:r>
            <w:r w:rsidR="003D7055" w:rsidRPr="00BC7967">
              <w:rPr>
                <w:rFonts w:ascii="Times New Roman" w:hAnsi="Times New Roman"/>
                <w:noProof/>
                <w:sz w:val="24"/>
                <w:szCs w:val="24"/>
              </w:rPr>
              <w:t>e</w:t>
            </w:r>
            <w:r w:rsidRPr="00BC7967">
              <w:rPr>
                <w:rFonts w:ascii="Times New Roman" w:hAnsi="Times New Roman"/>
                <w:noProof/>
                <w:sz w:val="24"/>
                <w:szCs w:val="24"/>
              </w:rPr>
              <w:t>i, pārvaldīb</w:t>
            </w:r>
            <w:r w:rsidR="003D7055" w:rsidRPr="00BC7967">
              <w:rPr>
                <w:rFonts w:ascii="Times New Roman" w:hAnsi="Times New Roman"/>
                <w:noProof/>
                <w:sz w:val="24"/>
                <w:szCs w:val="24"/>
              </w:rPr>
              <w:t>ai</w:t>
            </w:r>
            <w:r w:rsidRPr="00BC7967">
              <w:rPr>
                <w:rFonts w:ascii="Times New Roman" w:hAnsi="Times New Roman"/>
                <w:noProof/>
                <w:sz w:val="24"/>
                <w:szCs w:val="24"/>
              </w:rPr>
              <w:t xml:space="preserve"> un pieejamīb</w:t>
            </w:r>
            <w:r w:rsidR="003D7055" w:rsidRPr="00BC7967">
              <w:rPr>
                <w:rFonts w:ascii="Times New Roman" w:hAnsi="Times New Roman"/>
                <w:noProof/>
                <w:sz w:val="24"/>
                <w:szCs w:val="24"/>
              </w:rPr>
              <w:t>ai</w:t>
            </w:r>
            <w:r w:rsidRPr="00BC7967">
              <w:rPr>
                <w:rFonts w:ascii="Times New Roman" w:hAnsi="Times New Roman"/>
                <w:noProof/>
                <w:sz w:val="24"/>
                <w:szCs w:val="24"/>
              </w:rPr>
              <w:t>, kurā glabā informāciju par drošuma pazīmēm, kas ļauj - pārbaudīt zāļu autentiskumu un identificēt tās.</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Eiropas Komisija attiecīgo deleģēto aktu regulas formā paredz pieņemt 2014.gadā.</w:t>
            </w:r>
          </w:p>
          <w:p w:rsidR="001E68F7" w:rsidRPr="00BC7967" w:rsidRDefault="001E68F7" w:rsidP="006541EF">
            <w:pPr>
              <w:pStyle w:val="NoSpacing"/>
              <w:jc w:val="both"/>
              <w:rPr>
                <w:rFonts w:ascii="Times New Roman" w:hAnsi="Times New Roman"/>
                <w:noProof/>
                <w:sz w:val="24"/>
                <w:szCs w:val="24"/>
              </w:rPr>
            </w:pPr>
            <w:r w:rsidRPr="00BC7967">
              <w:rPr>
                <w:rFonts w:ascii="Times New Roman" w:hAnsi="Times New Roman"/>
                <w:noProof/>
                <w:sz w:val="24"/>
                <w:szCs w:val="24"/>
              </w:rPr>
              <w:t>Dalībvalstis piemēro  noteikumus, kas vajadzīgi, lai izpildītu šīs direktīvas 1. panta 11.punktu - no dienas, kad pagājuši trīs gadi pēc dienas, kad publicēti minētie Eiropas Komisijas deleģētie akti.</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BC7967" w:rsidRDefault="001E68F7" w:rsidP="004134D0">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E68F7" w:rsidRPr="00BC7967" w:rsidRDefault="001E68F7" w:rsidP="004134D0">
            <w:pPr>
              <w:jc w:val="both"/>
              <w:rPr>
                <w:lang w:val="lv-LV"/>
              </w:rPr>
            </w:pPr>
            <w:r w:rsidRPr="00BC7967">
              <w:rPr>
                <w:lang w:val="lv-LV"/>
              </w:rPr>
              <w:t>Nav</w:t>
            </w:r>
          </w:p>
        </w:tc>
      </w:tr>
      <w:tr w:rsidR="004134D0"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lang w:val="lv-LV"/>
              </w:rPr>
            </w:pPr>
            <w:r w:rsidRPr="00BC7967">
              <w:rPr>
                <w:noProof/>
                <w:lang w:val="lv-LV"/>
              </w:rPr>
              <w:lastRenderedPageBreak/>
              <w:t xml:space="preserve">Direktīvas 2011/62/EK </w:t>
            </w:r>
            <w:r w:rsidRPr="00BC7967">
              <w:rPr>
                <w:lang w:val="lv-LV"/>
              </w:rPr>
              <w:t>1.panta 12.punkts</w:t>
            </w:r>
          </w:p>
          <w:p w:rsidR="006A1BE2" w:rsidRPr="00BC7967" w:rsidRDefault="006A1BE2" w:rsidP="004134D0">
            <w:pPr>
              <w:jc w:val="both"/>
              <w:rPr>
                <w:noProof/>
                <w:lang w:val="lv-LV"/>
              </w:rPr>
            </w:pPr>
            <w:r w:rsidRPr="00BC7967">
              <w:rPr>
                <w:lang w:val="lv-LV"/>
              </w:rPr>
              <w:t>(Direktīvas 2001/83 54.a panta 1.punkts).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B251B" w:rsidRPr="00BC7967" w:rsidRDefault="000B251B" w:rsidP="000B251B">
            <w:pPr>
              <w:pStyle w:val="NoSpacing"/>
              <w:jc w:val="both"/>
              <w:rPr>
                <w:rFonts w:ascii="Times New Roman" w:hAnsi="Times New Roman"/>
                <w:noProof/>
                <w:sz w:val="24"/>
                <w:szCs w:val="24"/>
              </w:rPr>
            </w:pPr>
            <w:r w:rsidRPr="00BC7967">
              <w:rPr>
                <w:rFonts w:ascii="Times New Roman" w:hAnsi="Times New Roman"/>
                <w:noProof/>
                <w:sz w:val="24"/>
                <w:szCs w:val="24"/>
              </w:rPr>
              <w:t>Direktīvas norma tiks pārņemta ar grozījumiem MK noteikumos Nr.57 pēc Eiropas Komisijas deleģētā akta par drošuma pazīmēm pieņemšanas, kuru Eiropas Komisija paredz pieņemt regulas formā 2014.gadā.</w:t>
            </w:r>
          </w:p>
          <w:p w:rsidR="004134D0" w:rsidRPr="00BC7967" w:rsidRDefault="000B251B" w:rsidP="000B251B">
            <w:pPr>
              <w:rPr>
                <w:lang w:val="lv-LV"/>
              </w:rPr>
            </w:pPr>
            <w:r w:rsidRPr="00BC7967">
              <w:rPr>
                <w:noProof/>
                <w:lang w:val="lv-LV"/>
              </w:rPr>
              <w:t>Dalībvalstis piemēro  noteikumus, kas vajadzīgi, lai izpildītu šīs direktīvas 1.panta 11.punktu - no dienas, kad pagājuši trīs gadi pēc dienas, kad publicēti šīs direktīvas 1.panta 12.punktā minētie deleģētie akti.</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B269DF" w:rsidP="004134D0">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BC7967" w:rsidRDefault="004134D0" w:rsidP="004134D0">
            <w:pPr>
              <w:jc w:val="both"/>
              <w:rPr>
                <w:lang w:val="lv-LV"/>
              </w:rPr>
            </w:pPr>
            <w:r w:rsidRPr="00BC7967">
              <w:rPr>
                <w:lang w:val="lv-LV"/>
              </w:rPr>
              <w:t>Nav</w:t>
            </w:r>
          </w:p>
        </w:tc>
      </w:tr>
      <w:tr w:rsidR="00E94048"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jc w:val="both"/>
              <w:rPr>
                <w:noProof/>
                <w:lang w:val="lv-LV"/>
              </w:rPr>
            </w:pPr>
            <w:r w:rsidRPr="00BC7967">
              <w:rPr>
                <w:noProof/>
                <w:lang w:val="lv-LV"/>
              </w:rPr>
              <w:t>Direktīvas 2011/62/EK 1.panta 12.punkts</w:t>
            </w:r>
          </w:p>
          <w:p w:rsidR="00E94048" w:rsidRPr="00BC7967" w:rsidRDefault="00E94048" w:rsidP="006541EF">
            <w:pPr>
              <w:jc w:val="both"/>
              <w:rPr>
                <w:noProof/>
                <w:lang w:val="lv-LV"/>
              </w:rPr>
            </w:pPr>
            <w:r w:rsidRPr="00BC7967">
              <w:rPr>
                <w:noProof/>
                <w:lang w:val="lv-LV"/>
              </w:rPr>
              <w:t>(Direktīvas 2001/83 54.a panta 2. un 3.punkts).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pStyle w:val="NoSpacing"/>
              <w:jc w:val="both"/>
              <w:rPr>
                <w:rFonts w:ascii="Times New Roman" w:hAnsi="Times New Roman"/>
                <w:noProof/>
                <w:sz w:val="24"/>
                <w:szCs w:val="24"/>
              </w:rPr>
            </w:pPr>
            <w:r w:rsidRPr="00BC7967">
              <w:rPr>
                <w:rFonts w:ascii="Times New Roman" w:hAnsi="Times New Roman"/>
                <w:noProof/>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jc w:val="both"/>
              <w:rPr>
                <w:noProof/>
                <w:lang w:val="lv-LV"/>
              </w:rPr>
            </w:pPr>
            <w:r w:rsidRPr="00BC7967">
              <w:rPr>
                <w:noProof/>
                <w:spacing w:val="-3"/>
                <w:lang w:val="lv-LV"/>
              </w:rPr>
              <w:t>Nav jāpārņem, jo norma attiecināma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jc w:val="both"/>
              <w:rPr>
                <w:noProof/>
                <w:lang w:val="lv-LV"/>
              </w:rPr>
            </w:pPr>
            <w:r w:rsidRPr="00BC7967">
              <w:rPr>
                <w:noProof/>
                <w:lang w:val="lv-LV"/>
              </w:rPr>
              <w:t>Nav</w:t>
            </w:r>
          </w:p>
        </w:tc>
      </w:tr>
      <w:tr w:rsidR="00E94048"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jc w:val="both"/>
              <w:rPr>
                <w:noProof/>
                <w:lang w:val="lv-LV"/>
              </w:rPr>
            </w:pPr>
            <w:r w:rsidRPr="00BC7967">
              <w:rPr>
                <w:noProof/>
                <w:lang w:val="lv-LV"/>
              </w:rPr>
              <w:t>Direktīvas 2011/62/EK 1.panta 12.punkts</w:t>
            </w:r>
          </w:p>
          <w:p w:rsidR="00E94048" w:rsidRPr="00BC7967" w:rsidRDefault="00E94048" w:rsidP="006541EF">
            <w:pPr>
              <w:jc w:val="both"/>
              <w:rPr>
                <w:noProof/>
                <w:lang w:val="lv-LV"/>
              </w:rPr>
            </w:pPr>
            <w:r w:rsidRPr="00BC7967">
              <w:rPr>
                <w:noProof/>
                <w:lang w:val="lv-LV"/>
              </w:rPr>
              <w:t>(Direktīvas 2001/83 54.a panta 4. un 5.punkts).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pStyle w:val="NoSpacing"/>
              <w:jc w:val="both"/>
              <w:rPr>
                <w:rFonts w:ascii="Times New Roman" w:hAnsi="Times New Roman"/>
                <w:noProof/>
                <w:sz w:val="24"/>
                <w:szCs w:val="24"/>
              </w:rPr>
            </w:pPr>
            <w:r w:rsidRPr="00BC7967">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560A34" w:rsidP="006541EF">
            <w:pPr>
              <w:jc w:val="both"/>
              <w:rPr>
                <w:noProof/>
                <w:lang w:val="lv-LV"/>
              </w:rPr>
            </w:pPr>
            <w:r w:rsidRPr="00BC7967">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94048" w:rsidRPr="00BC7967" w:rsidRDefault="00E94048" w:rsidP="006541EF">
            <w:pPr>
              <w:jc w:val="both"/>
              <w:rPr>
                <w:noProof/>
                <w:lang w:val="lv-LV"/>
              </w:rPr>
            </w:pPr>
            <w:r w:rsidRPr="00BC7967">
              <w:rPr>
                <w:noProof/>
                <w:lang w:val="lv-LV"/>
              </w:rPr>
              <w:t>Nav</w:t>
            </w:r>
          </w:p>
          <w:p w:rsidR="00E94048" w:rsidRPr="00BC7967" w:rsidRDefault="00E94048" w:rsidP="006541EF">
            <w:pPr>
              <w:rPr>
                <w:noProof/>
                <w:lang w:val="lv-LV"/>
              </w:rPr>
            </w:pPr>
          </w:p>
          <w:p w:rsidR="00E94048" w:rsidRPr="00BC7967" w:rsidRDefault="00E94048" w:rsidP="006541EF">
            <w:pPr>
              <w:rPr>
                <w:noProof/>
                <w:lang w:val="lv-LV"/>
              </w:rPr>
            </w:pPr>
          </w:p>
          <w:p w:rsidR="00E94048" w:rsidRPr="00BC7967" w:rsidRDefault="00E94048" w:rsidP="006541EF">
            <w:pPr>
              <w:jc w:val="center"/>
              <w:rPr>
                <w:noProof/>
                <w:lang w:val="lv-LV"/>
              </w:rPr>
            </w:pPr>
          </w:p>
        </w:tc>
      </w:tr>
      <w:tr w:rsidR="0011644F"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BC7967" w:rsidRDefault="0011644F" w:rsidP="006541EF">
            <w:pPr>
              <w:jc w:val="both"/>
              <w:rPr>
                <w:noProof/>
                <w:lang w:val="lv-LV"/>
              </w:rPr>
            </w:pPr>
            <w:r w:rsidRPr="00BC7967">
              <w:rPr>
                <w:noProof/>
                <w:lang w:val="lv-LV"/>
              </w:rPr>
              <w:t>Direktīvas 2011/62/EK 1.panta 13.punkts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BC7967" w:rsidRDefault="0011644F" w:rsidP="006541EF">
            <w:pPr>
              <w:pStyle w:val="NoSpacing"/>
              <w:jc w:val="both"/>
              <w:rPr>
                <w:rFonts w:ascii="Times New Roman" w:hAnsi="Times New Roman"/>
                <w:sz w:val="24"/>
                <w:szCs w:val="24"/>
              </w:rPr>
            </w:pPr>
            <w:r w:rsidRPr="00BC7967">
              <w:rPr>
                <w:rFonts w:ascii="Times New Roman" w:hAnsi="Times New Roman"/>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BC7967" w:rsidRDefault="0011644F" w:rsidP="006541EF">
            <w:pPr>
              <w:jc w:val="both"/>
              <w:rPr>
                <w:lang w:val="lv-LV"/>
              </w:rPr>
            </w:pPr>
            <w:r w:rsidRPr="00BC7967">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644F" w:rsidRPr="00BC7967" w:rsidRDefault="0011644F" w:rsidP="006541EF">
            <w:pPr>
              <w:jc w:val="both"/>
              <w:rPr>
                <w:lang w:val="lv-LV"/>
              </w:rPr>
            </w:pPr>
            <w:r w:rsidRPr="00BC7967">
              <w:rPr>
                <w:lang w:val="lv-LV"/>
              </w:rPr>
              <w:t>Nav</w:t>
            </w:r>
          </w:p>
        </w:tc>
      </w:tr>
      <w:tr w:rsidR="00BF1064"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4134D0">
            <w:pPr>
              <w:jc w:val="both"/>
              <w:rPr>
                <w:noProof/>
                <w:lang w:val="lv-LV"/>
              </w:rPr>
            </w:pPr>
            <w:r w:rsidRPr="00BC7967">
              <w:rPr>
                <w:noProof/>
                <w:lang w:val="lv-LV"/>
              </w:rPr>
              <w:t xml:space="preserve">Direktīvas 2011/62/EK </w:t>
            </w:r>
            <w:r w:rsidRPr="00BC7967">
              <w:rPr>
                <w:lang w:val="lv-LV"/>
              </w:rPr>
              <w:t>1.panta 14.punkts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 xml:space="preserve">Direktīvas norma tiks pārņemta ar grozījumiem </w:t>
            </w:r>
            <w:r w:rsidRPr="00BC7967">
              <w:rPr>
                <w:noProof/>
                <w:lang w:val="lv-LV"/>
              </w:rPr>
              <w:t>MK noteikumos Nr.416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lastRenderedPageBreak/>
              <w:t xml:space="preserve">Direktīvas 2011/62/EK </w:t>
            </w:r>
            <w:r w:rsidRPr="00BC7967">
              <w:rPr>
                <w:lang w:val="lv-LV"/>
              </w:rPr>
              <w:t>1.panta 15.punkts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7C1123">
            <w:pPr>
              <w:pStyle w:val="NoSpacing"/>
              <w:jc w:val="both"/>
              <w:rPr>
                <w:rFonts w:ascii="Times New Roman" w:hAnsi="Times New Roman"/>
                <w:sz w:val="24"/>
                <w:szCs w:val="24"/>
              </w:rPr>
            </w:pPr>
            <w:r w:rsidRPr="00BC7967">
              <w:rPr>
                <w:rFonts w:ascii="Times New Roman" w:hAnsi="Times New Roman"/>
                <w:sz w:val="24"/>
                <w:szCs w:val="24"/>
              </w:rPr>
              <w:t>MK noteikumi Nr.416 (35.1., 35.2., 60.1. un 60.3.apakšpunkts).</w:t>
            </w:r>
          </w:p>
          <w:p w:rsidR="00BF1064" w:rsidRPr="00BC7967" w:rsidRDefault="00BF1064" w:rsidP="007C1123">
            <w:pPr>
              <w:pStyle w:val="NoSpacing"/>
              <w:jc w:val="both"/>
              <w:rPr>
                <w:rFonts w:ascii="Times New Roman" w:hAnsi="Times New Roman"/>
                <w:sz w:val="24"/>
                <w:szCs w:val="24"/>
              </w:rPr>
            </w:pPr>
          </w:p>
          <w:p w:rsidR="00BF1064" w:rsidRPr="00BC7967" w:rsidRDefault="00BF1064" w:rsidP="007C1123">
            <w:pPr>
              <w:pStyle w:val="NoSpacing"/>
              <w:jc w:val="both"/>
              <w:rPr>
                <w:rFonts w:ascii="Times New Roman" w:hAnsi="Times New Roman"/>
                <w:sz w:val="24"/>
                <w:szCs w:val="24"/>
              </w:rPr>
            </w:pPr>
            <w:r w:rsidRPr="00BC7967">
              <w:rPr>
                <w:rFonts w:ascii="Times New Roman" w:hAnsi="Times New Roman"/>
                <w:sz w:val="24"/>
                <w:szCs w:val="24"/>
              </w:rPr>
              <w:t xml:space="preserve">Direktīvas norma tiks pārņemta pilnībā ar grozījumiem </w:t>
            </w:r>
            <w:r w:rsidRPr="00BC7967">
              <w:rPr>
                <w:rFonts w:ascii="Times New Roman" w:hAnsi="Times New Roman"/>
                <w:noProof/>
                <w:sz w:val="24"/>
                <w:szCs w:val="24"/>
              </w:rPr>
              <w:t>MK noteikumos Nr.416</w:t>
            </w:r>
            <w:r w:rsidR="00782D49" w:rsidRPr="00BC7967">
              <w:rPr>
                <w:rFonts w:ascii="Times New Roman" w:hAnsi="Times New Roman"/>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BF1064">
            <w:pPr>
              <w:jc w:val="both"/>
              <w:rPr>
                <w:lang w:val="lv-LV"/>
              </w:rPr>
            </w:pPr>
            <w:r w:rsidRPr="00BC7967">
              <w:rPr>
                <w:lang w:val="lv-LV"/>
              </w:rPr>
              <w:t xml:space="preserve">Direktīvas norma pārņemta </w:t>
            </w:r>
            <w:r w:rsidR="00BF1064" w:rsidRPr="00BC7967">
              <w:rPr>
                <w:lang w:val="lv-LV"/>
              </w:rPr>
              <w:t>daļēji</w:t>
            </w:r>
            <w:r w:rsidR="00855EC1"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F1064" w:rsidP="00281A6E">
            <w:pPr>
              <w:jc w:val="both"/>
              <w:rPr>
                <w:lang w:val="lv-LV"/>
              </w:rPr>
            </w:pPr>
            <w:r w:rsidRPr="00BC7967">
              <w:rPr>
                <w:lang w:val="lv-LV"/>
              </w:rPr>
              <w:t>Nav</w:t>
            </w:r>
          </w:p>
        </w:tc>
      </w:tr>
      <w:tr w:rsidR="008441D0" w:rsidRPr="00BC7967" w:rsidTr="00BC7967">
        <w:tblPrEx>
          <w:tblCellMar>
            <w:left w:w="0" w:type="dxa"/>
            <w:right w:w="0" w:type="dxa"/>
          </w:tblCellMar>
        </w:tblPrEx>
        <w:trPr>
          <w:cantSplit/>
          <w:trHeight w:val="755"/>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BC7967" w:rsidRDefault="008441D0" w:rsidP="004134D0">
            <w:pPr>
              <w:jc w:val="both"/>
              <w:rPr>
                <w:noProof/>
                <w:lang w:val="lv-LV"/>
              </w:rPr>
            </w:pPr>
            <w:r w:rsidRPr="00BC7967">
              <w:rPr>
                <w:noProof/>
                <w:lang w:val="lv-LV"/>
              </w:rPr>
              <w:t xml:space="preserve">Direktīvas 2011/62/EK </w:t>
            </w:r>
            <w:r w:rsidRPr="00BC7967">
              <w:rPr>
                <w:lang w:val="lv-LV"/>
              </w:rPr>
              <w:t>1.panta 16.punkts a)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BC7967" w:rsidRDefault="008441D0" w:rsidP="00B420DE">
            <w:pPr>
              <w:pStyle w:val="NoSpacing"/>
              <w:rPr>
                <w:rFonts w:ascii="Times New Roman" w:hAnsi="Times New Roman"/>
                <w:sz w:val="24"/>
                <w:szCs w:val="24"/>
              </w:rPr>
            </w:pPr>
            <w:r w:rsidRPr="00BC7967">
              <w:rPr>
                <w:rFonts w:ascii="Times New Roman" w:hAnsi="Times New Roman"/>
                <w:noProof/>
                <w:sz w:val="24"/>
                <w:szCs w:val="24"/>
              </w:rPr>
              <w:t xml:space="preserve">Direktīvas norma ir pārņemta ar </w:t>
            </w:r>
            <w:r w:rsidRPr="00BC7967">
              <w:rPr>
                <w:rFonts w:ascii="Times New Roman" w:hAnsi="Times New Roman"/>
                <w:bCs/>
                <w:noProof/>
                <w:sz w:val="24"/>
                <w:szCs w:val="24"/>
              </w:rPr>
              <w:t>MK noteikumiem Nr.800 (5.punkts, 6.pielikums) un Farmācijas likumu (25., 25.</w:t>
            </w:r>
            <w:r w:rsidRPr="00BC7967">
              <w:rPr>
                <w:rFonts w:ascii="Times New Roman" w:hAnsi="Times New Roman"/>
                <w:bCs/>
                <w:noProof/>
                <w:sz w:val="24"/>
                <w:szCs w:val="24"/>
                <w:vertAlign w:val="superscript"/>
              </w:rPr>
              <w:t xml:space="preserve">1 </w:t>
            </w:r>
            <w:r w:rsidRPr="00BC7967">
              <w:rPr>
                <w:rFonts w:ascii="Times New Roman" w:hAnsi="Times New Roman"/>
                <w:bCs/>
                <w:noProof/>
                <w:sz w:val="24"/>
                <w:szCs w:val="24"/>
              </w:rPr>
              <w:t>un 45.pants).</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BC7967" w:rsidRDefault="008441D0" w:rsidP="006541EF">
            <w:pPr>
              <w:jc w:val="both"/>
              <w:rPr>
                <w:lang w:val="lv-LV"/>
              </w:rPr>
            </w:pPr>
            <w:r w:rsidRPr="00BC7967">
              <w:rPr>
                <w:lang w:val="lv-LV"/>
              </w:rPr>
              <w:t>Direktīvas norma pārņemta pilnībā</w:t>
            </w:r>
            <w:r w:rsidR="00855EC1"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441D0" w:rsidRPr="00BC7967" w:rsidRDefault="008441D0" w:rsidP="006541EF">
            <w:pPr>
              <w:jc w:val="both"/>
              <w:rPr>
                <w:lang w:val="lv-LV"/>
              </w:rPr>
            </w:pPr>
            <w:r w:rsidRPr="00BC7967">
              <w:rPr>
                <w:lang w:val="lv-LV"/>
              </w:rPr>
              <w:t>Stingrākas prasības neparedz</w:t>
            </w:r>
            <w:r w:rsidR="00855EC1" w:rsidRPr="00BC7967">
              <w:rPr>
                <w:lang w:val="lv-LV"/>
              </w:rPr>
              <w:t>.</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B5555E">
            <w:pPr>
              <w:jc w:val="both"/>
              <w:rPr>
                <w:noProof/>
                <w:lang w:val="lv-LV"/>
              </w:rPr>
            </w:pPr>
            <w:r w:rsidRPr="00BC7967">
              <w:rPr>
                <w:noProof/>
                <w:lang w:val="lv-LV"/>
              </w:rPr>
              <w:t xml:space="preserve">Direktīvas 2011/62/EK </w:t>
            </w:r>
            <w:r w:rsidRPr="00BC7967">
              <w:rPr>
                <w:lang w:val="lv-LV"/>
              </w:rPr>
              <w:t>1.panta 16.punkts b)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8037C1">
            <w:pPr>
              <w:pStyle w:val="NoSpacing"/>
              <w:jc w:val="both"/>
              <w:rPr>
                <w:rFonts w:ascii="Times New Roman" w:hAnsi="Times New Roman"/>
                <w:sz w:val="24"/>
                <w:szCs w:val="24"/>
              </w:rPr>
            </w:pPr>
            <w:r w:rsidRPr="00BC7967">
              <w:rPr>
                <w:rFonts w:ascii="Times New Roman" w:hAnsi="Times New Roman"/>
                <w:sz w:val="24"/>
                <w:szCs w:val="24"/>
              </w:rPr>
              <w:t xml:space="preserve">Direktīvas norma ir daļēji ieviesta ar </w:t>
            </w:r>
            <w:r w:rsidRPr="00BC7967">
              <w:rPr>
                <w:rFonts w:ascii="Times New Roman" w:hAnsi="Times New Roman"/>
                <w:bCs/>
                <w:sz w:val="24"/>
                <w:szCs w:val="24"/>
              </w:rPr>
              <w:t>MK noteikumiem Nr.800 (78.8.apakšpunkts).</w:t>
            </w:r>
          </w:p>
          <w:p w:rsidR="00B375BC" w:rsidRPr="00BC7967" w:rsidRDefault="00B375BC" w:rsidP="008037C1">
            <w:pPr>
              <w:pStyle w:val="NoSpacing"/>
              <w:jc w:val="both"/>
              <w:rPr>
                <w:rFonts w:ascii="Times New Roman" w:hAnsi="Times New Roman"/>
                <w:sz w:val="24"/>
                <w:szCs w:val="24"/>
              </w:rPr>
            </w:pPr>
          </w:p>
          <w:p w:rsidR="00B375BC" w:rsidRPr="00BC7967" w:rsidRDefault="000E7116" w:rsidP="008037C1">
            <w:pPr>
              <w:jc w:val="both"/>
              <w:rPr>
                <w:lang w:val="lv-LV"/>
              </w:rPr>
            </w:pPr>
            <w:r w:rsidRPr="00BC7967">
              <w:rPr>
                <w:noProof/>
                <w:lang w:val="lv-LV"/>
              </w:rPr>
              <w:t xml:space="preserve">Direktīvas norma tik pilnībā pārņemta ar grozījumiem </w:t>
            </w:r>
            <w:r w:rsidRPr="00BC7967">
              <w:rPr>
                <w:bCs/>
                <w:noProof/>
                <w:lang w:val="lv-LV"/>
              </w:rPr>
              <w:t xml:space="preserve"> minētajos noteikumos</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0E7116" w:rsidP="00B5555E">
            <w:pPr>
              <w:jc w:val="both"/>
              <w:rPr>
                <w:lang w:val="lv-LV"/>
              </w:rPr>
            </w:pPr>
            <w:r w:rsidRPr="00BC7967">
              <w:rPr>
                <w:noProof/>
                <w:lang w:val="lv-LV"/>
              </w:rPr>
              <w:t>Direktīvas norma pārņemta daļēji</w:t>
            </w:r>
            <w:r w:rsidR="00855EC1" w:rsidRPr="00BC7967">
              <w:rPr>
                <w:noProof/>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B5555E">
            <w:pPr>
              <w:jc w:val="both"/>
              <w:rPr>
                <w:lang w:val="lv-LV"/>
              </w:rPr>
            </w:pPr>
            <w:r w:rsidRPr="00BC7967">
              <w:rPr>
                <w:lang w:val="lv-LV"/>
              </w:rPr>
              <w:t>Nav</w:t>
            </w:r>
          </w:p>
        </w:tc>
      </w:tr>
      <w:tr w:rsidR="00E3104B"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BC7967" w:rsidRDefault="00E3104B" w:rsidP="004134D0">
            <w:pPr>
              <w:jc w:val="both"/>
              <w:rPr>
                <w:noProof/>
                <w:lang w:val="lv-LV"/>
              </w:rPr>
            </w:pPr>
            <w:r w:rsidRPr="00BC7967">
              <w:rPr>
                <w:noProof/>
                <w:lang w:val="lv-LV"/>
              </w:rPr>
              <w:t xml:space="preserve">Direktīvas 2011/62/EK </w:t>
            </w:r>
            <w:r w:rsidRPr="00BC7967">
              <w:rPr>
                <w:lang w:val="lv-LV"/>
              </w:rPr>
              <w:t>1.panta 17.punkts a)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BC7967" w:rsidRDefault="00E3104B" w:rsidP="00F90493">
            <w:pPr>
              <w:pStyle w:val="NoSpacing"/>
              <w:jc w:val="both"/>
              <w:rPr>
                <w:rFonts w:ascii="Times New Roman" w:hAnsi="Times New Roman"/>
                <w:noProof/>
                <w:sz w:val="24"/>
                <w:szCs w:val="24"/>
              </w:rPr>
            </w:pPr>
            <w:r w:rsidRPr="00BC7967">
              <w:rPr>
                <w:rFonts w:ascii="Times New Roman" w:hAnsi="Times New Roman"/>
                <w:noProof/>
                <w:sz w:val="24"/>
                <w:szCs w:val="24"/>
              </w:rPr>
              <w:t xml:space="preserve">Direktīvas norma tiks pārņemta </w:t>
            </w:r>
            <w:r w:rsidR="007D7466" w:rsidRPr="00BC7967">
              <w:rPr>
                <w:rFonts w:ascii="Times New Roman" w:hAnsi="Times New Roman"/>
                <w:noProof/>
                <w:sz w:val="24"/>
                <w:szCs w:val="24"/>
              </w:rPr>
              <w:t xml:space="preserve">ar grozījumiem MK noteikumos Nr.416 </w:t>
            </w:r>
            <w:r w:rsidRPr="00BC7967">
              <w:rPr>
                <w:rFonts w:ascii="Times New Roman" w:hAnsi="Times New Roman"/>
                <w:noProof/>
                <w:sz w:val="24"/>
                <w:szCs w:val="24"/>
              </w:rPr>
              <w:t>pēc Eiropas Komisijas deleģētā akta par drošuma pazīmēm pieņemšanas, kuru Eiropas Komisija paredz pieņemt regulas formā 2014.gadā.</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BC7967" w:rsidRDefault="00E3104B" w:rsidP="00F90493">
            <w:pPr>
              <w:jc w:val="both"/>
              <w:rPr>
                <w:noProof/>
                <w:lang w:val="lv-LV"/>
              </w:rPr>
            </w:pPr>
            <w:r w:rsidRPr="00BC7967">
              <w:rPr>
                <w:lang w:val="lv-LV"/>
              </w:rPr>
              <w:t>Pašreiz nevar pārņemt, jo saistīts ar drošuma pazīmju uz zālēm ieviešanu, par kurām Eiropas Komisija īstenošanas aktu plāno izdot 2014.gadā.</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3104B" w:rsidRPr="00BC7967" w:rsidRDefault="00E3104B" w:rsidP="00F90493">
            <w:pPr>
              <w:jc w:val="both"/>
              <w:rPr>
                <w:noProof/>
                <w:lang w:val="lv-LV"/>
              </w:rPr>
            </w:pPr>
            <w:r w:rsidRPr="00BC7967">
              <w:rPr>
                <w:noProof/>
                <w:lang w:val="lv-LV"/>
              </w:rPr>
              <w:t>Nav</w:t>
            </w:r>
          </w:p>
          <w:p w:rsidR="00E3104B" w:rsidRPr="00BC7967" w:rsidRDefault="00E3104B" w:rsidP="00F90493">
            <w:pPr>
              <w:rPr>
                <w:noProof/>
                <w:lang w:val="lv-LV"/>
              </w:rPr>
            </w:pPr>
          </w:p>
          <w:p w:rsidR="00E3104B" w:rsidRPr="00BC7967" w:rsidRDefault="00E3104B" w:rsidP="00F90493">
            <w:pPr>
              <w:rPr>
                <w:noProof/>
                <w:lang w:val="lv-LV"/>
              </w:rPr>
            </w:pPr>
          </w:p>
          <w:p w:rsidR="00E3104B" w:rsidRPr="00BC7967" w:rsidRDefault="00E3104B" w:rsidP="00F90493">
            <w:pPr>
              <w:jc w:val="center"/>
              <w:rPr>
                <w:noProof/>
                <w:lang w:val="lv-LV"/>
              </w:rPr>
            </w:pP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DA275D">
            <w:pPr>
              <w:jc w:val="both"/>
              <w:rPr>
                <w:noProof/>
                <w:lang w:val="lv-LV"/>
              </w:rPr>
            </w:pPr>
            <w:r w:rsidRPr="00BC7967">
              <w:rPr>
                <w:noProof/>
                <w:lang w:val="lv-LV"/>
              </w:rPr>
              <w:t xml:space="preserve">Direktīvas 2011/62/EK </w:t>
            </w:r>
            <w:r w:rsidRPr="00BC7967">
              <w:rPr>
                <w:lang w:val="lv-LV"/>
              </w:rPr>
              <w:t>1.panta 17.punkts b)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782D49" w:rsidP="007D7466">
            <w:pPr>
              <w:rPr>
                <w:lang w:val="lv-LV"/>
              </w:rPr>
            </w:pPr>
            <w:r w:rsidRPr="00BC7967">
              <w:rPr>
                <w:lang w:val="lv-LV"/>
              </w:rPr>
              <w:t xml:space="preserve">Direktīvas norma tiks pārņemta ar grozījumiem </w:t>
            </w:r>
            <w:r w:rsidRPr="00BC7967">
              <w:rPr>
                <w:noProof/>
                <w:lang w:val="lv-LV"/>
              </w:rPr>
              <w:t>MK noteikumos Nr.416.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7D7466" w:rsidP="00782D49">
            <w:pPr>
              <w:jc w:val="both"/>
              <w:rPr>
                <w:lang w:val="lv-LV"/>
              </w:rPr>
            </w:pPr>
            <w:r w:rsidRPr="00BC7967">
              <w:rPr>
                <w:lang w:val="lv-LV"/>
              </w:rPr>
              <w:t xml:space="preserve"> 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782D49" w:rsidP="00281A6E">
            <w:pPr>
              <w:jc w:val="both"/>
              <w:rPr>
                <w:lang w:val="lv-LV"/>
              </w:rPr>
            </w:pPr>
            <w:r w:rsidRPr="00BC7967">
              <w:rPr>
                <w:lang w:val="lv-LV"/>
              </w:rPr>
              <w:t>Nav</w:t>
            </w:r>
          </w:p>
        </w:tc>
      </w:tr>
      <w:tr w:rsidR="00BF1064"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4134D0">
            <w:pPr>
              <w:jc w:val="both"/>
              <w:rPr>
                <w:noProof/>
                <w:lang w:val="lv-LV"/>
              </w:rPr>
            </w:pPr>
            <w:r w:rsidRPr="00BC7967">
              <w:rPr>
                <w:noProof/>
                <w:lang w:val="lv-LV"/>
              </w:rPr>
              <w:t xml:space="preserve">Direktīvas 2011/62/EK </w:t>
            </w:r>
            <w:r w:rsidRPr="00BC7967">
              <w:rPr>
                <w:lang w:val="lv-LV"/>
              </w:rPr>
              <w:t>1.panta 17.punkts c)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 xml:space="preserve">Direktīvas norma tiks pārņemta ar grozījumiem </w:t>
            </w:r>
            <w:r w:rsidRPr="00BC7967">
              <w:rPr>
                <w:noProof/>
                <w:lang w:val="lv-LV"/>
              </w:rPr>
              <w:t>MK noteikumos Nr.416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r>
      <w:tr w:rsidR="00BF1064" w:rsidRPr="00BC7967" w:rsidTr="00BC7967">
        <w:tblPrEx>
          <w:tblCellMar>
            <w:left w:w="0" w:type="dxa"/>
            <w:right w:w="0" w:type="dxa"/>
          </w:tblCellMar>
        </w:tblPrEx>
        <w:trPr>
          <w:cantSplit/>
          <w:trHeight w:val="1254"/>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4134D0">
            <w:pPr>
              <w:jc w:val="both"/>
              <w:rPr>
                <w:noProof/>
                <w:lang w:val="lv-LV"/>
              </w:rPr>
            </w:pPr>
            <w:r w:rsidRPr="00BC7967">
              <w:rPr>
                <w:noProof/>
                <w:lang w:val="lv-LV"/>
              </w:rPr>
              <w:t xml:space="preserve">Direktīvas 2011/62/EK </w:t>
            </w:r>
            <w:r w:rsidRPr="00BC7967">
              <w:rPr>
                <w:lang w:val="lv-LV"/>
              </w:rPr>
              <w:t>1.panta 17.punkts d)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 xml:space="preserve">Direktīvas norma tiks pārņemta ar grozījumiem </w:t>
            </w:r>
            <w:r w:rsidRPr="00BC7967">
              <w:rPr>
                <w:noProof/>
                <w:lang w:val="lv-LV"/>
              </w:rPr>
              <w:t>MK noteikumos Nr.416</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1064" w:rsidRPr="00BC7967" w:rsidRDefault="00BF1064" w:rsidP="00A82827">
            <w:pPr>
              <w:jc w:val="both"/>
              <w:rPr>
                <w:lang w:val="lv-LV"/>
              </w:rPr>
            </w:pPr>
            <w:r w:rsidRPr="00BC7967">
              <w:rPr>
                <w:lang w:val="lv-LV"/>
              </w:rPr>
              <w:t>Nav</w:t>
            </w:r>
          </w:p>
        </w:tc>
      </w:tr>
      <w:tr w:rsidR="00FF265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BC7967" w:rsidRDefault="00FF265C" w:rsidP="004134D0">
            <w:pPr>
              <w:jc w:val="both"/>
              <w:rPr>
                <w:noProof/>
                <w:lang w:val="lv-LV"/>
              </w:rPr>
            </w:pPr>
            <w:r w:rsidRPr="00BC7967">
              <w:rPr>
                <w:noProof/>
                <w:lang w:val="lv-LV"/>
              </w:rPr>
              <w:t xml:space="preserve">Direktīvas 2011/62/EK </w:t>
            </w:r>
            <w:r w:rsidRPr="00BC7967">
              <w:rPr>
                <w:lang w:val="lv-LV"/>
              </w:rPr>
              <w:t>1.panta 18.punkts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BC7967" w:rsidRDefault="00FF265C" w:rsidP="00EB1904">
            <w:pPr>
              <w:pStyle w:val="NoSpacing"/>
              <w:jc w:val="both"/>
              <w:rPr>
                <w:rFonts w:ascii="Times New Roman" w:hAnsi="Times New Roman"/>
                <w:sz w:val="24"/>
                <w:szCs w:val="24"/>
              </w:rPr>
            </w:pPr>
            <w:r w:rsidRPr="00BC7967">
              <w:rPr>
                <w:rFonts w:ascii="Times New Roman" w:hAnsi="Times New Roman"/>
                <w:sz w:val="24"/>
                <w:szCs w:val="24"/>
              </w:rPr>
              <w:t>MK noteikumi Nr.416</w:t>
            </w:r>
            <w:r w:rsidR="003D7055" w:rsidRPr="00BC7967">
              <w:rPr>
                <w:rFonts w:ascii="Times New Roman" w:hAnsi="Times New Roman"/>
                <w:sz w:val="24"/>
                <w:szCs w:val="24"/>
              </w:rPr>
              <w:t xml:space="preserve"> </w:t>
            </w:r>
            <w:r w:rsidRPr="00BC7967">
              <w:rPr>
                <w:rFonts w:ascii="Times New Roman" w:hAnsi="Times New Roman"/>
                <w:bCs/>
                <w:sz w:val="24"/>
                <w:szCs w:val="24"/>
              </w:rPr>
              <w:t>(30.2.3.apakšpunkts)</w:t>
            </w:r>
          </w:p>
          <w:p w:rsidR="00FF265C" w:rsidRPr="00BC7967" w:rsidRDefault="00FF265C" w:rsidP="00EB1904">
            <w:pPr>
              <w:rPr>
                <w:lang w:val="lv-LV"/>
              </w:rPr>
            </w:pP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BC7967" w:rsidRDefault="00FF265C" w:rsidP="006541EF">
            <w:pPr>
              <w:jc w:val="both"/>
              <w:rPr>
                <w:lang w:val="lv-LV"/>
              </w:rPr>
            </w:pPr>
            <w:r w:rsidRPr="00BC7967">
              <w:rPr>
                <w:lang w:val="lv-LV"/>
              </w:rPr>
              <w:t>Direktīvas norma pārņemta pilnībā</w:t>
            </w:r>
            <w:r w:rsidR="00855EC1"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265C" w:rsidRPr="00BC7967" w:rsidRDefault="00FF265C" w:rsidP="006541EF">
            <w:pPr>
              <w:jc w:val="both"/>
              <w:rPr>
                <w:lang w:val="lv-LV"/>
              </w:rPr>
            </w:pPr>
            <w:r w:rsidRPr="00BC7967">
              <w:rPr>
                <w:lang w:val="lv-LV"/>
              </w:rPr>
              <w:t>Stingrākas prasības neparedz</w:t>
            </w:r>
            <w:r w:rsidR="00855EC1" w:rsidRPr="00BC7967">
              <w:rPr>
                <w:lang w:val="lv-LV"/>
              </w:rPr>
              <w:t>.</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lastRenderedPageBreak/>
              <w:t xml:space="preserve">Direktīvas 2011/62/EK </w:t>
            </w:r>
            <w:r w:rsidRPr="00BC7967">
              <w:rPr>
                <w:lang w:val="lv-LV"/>
              </w:rPr>
              <w:t>1.panta 19.punkts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0B4A2A" w:rsidP="00FE07EE">
            <w:pPr>
              <w:pStyle w:val="NoSpacing"/>
              <w:jc w:val="both"/>
              <w:rPr>
                <w:rFonts w:ascii="Times New Roman" w:hAnsi="Times New Roman"/>
                <w:spacing w:val="-6"/>
                <w:sz w:val="24"/>
                <w:szCs w:val="24"/>
              </w:rPr>
            </w:pPr>
            <w:r w:rsidRPr="00BC7967">
              <w:rPr>
                <w:rFonts w:ascii="Times New Roman" w:hAnsi="Times New Roman"/>
                <w:sz w:val="24"/>
                <w:szCs w:val="24"/>
              </w:rPr>
              <w:t>Farmācijas likuma</w:t>
            </w:r>
            <w:r w:rsidR="00B375BC" w:rsidRPr="00BC7967">
              <w:rPr>
                <w:rFonts w:ascii="Times New Roman" w:hAnsi="Times New Roman"/>
                <w:sz w:val="24"/>
                <w:szCs w:val="24"/>
              </w:rPr>
              <w:t> </w:t>
            </w:r>
            <w:r w:rsidRPr="00BC7967">
              <w:rPr>
                <w:rFonts w:ascii="Times New Roman" w:hAnsi="Times New Roman"/>
                <w:sz w:val="24"/>
                <w:szCs w:val="24"/>
              </w:rPr>
              <w:t xml:space="preserve"> 22.panta (3) daļa</w:t>
            </w:r>
            <w:r w:rsidR="006B57C5" w:rsidRPr="00BC7967">
              <w:rPr>
                <w:rFonts w:ascii="Times New Roman" w:hAnsi="Times New Roman"/>
                <w:sz w:val="24"/>
                <w:szCs w:val="24"/>
              </w:rPr>
              <w:t>.</w:t>
            </w:r>
          </w:p>
          <w:p w:rsidR="00782D49" w:rsidRPr="00BC7967" w:rsidRDefault="00782D49" w:rsidP="00EB1904">
            <w:pPr>
              <w:pStyle w:val="NoSpacing"/>
              <w:rPr>
                <w:rFonts w:ascii="Times New Roman" w:hAnsi="Times New Roman"/>
                <w:sz w:val="24"/>
                <w:szCs w:val="24"/>
              </w:rPr>
            </w:pPr>
          </w:p>
          <w:p w:rsidR="00B375BC" w:rsidRPr="00BC7967" w:rsidRDefault="00782D49" w:rsidP="00EB1904">
            <w:pPr>
              <w:pStyle w:val="NoSpacing"/>
              <w:rPr>
                <w:rFonts w:ascii="Times New Roman" w:hAnsi="Times New Roman"/>
                <w:noProof/>
                <w:sz w:val="24"/>
                <w:szCs w:val="24"/>
              </w:rPr>
            </w:pPr>
            <w:r w:rsidRPr="00BC7967">
              <w:rPr>
                <w:rFonts w:ascii="Times New Roman" w:hAnsi="Times New Roman"/>
                <w:sz w:val="24"/>
                <w:szCs w:val="24"/>
              </w:rPr>
              <w:t xml:space="preserve">Direktīvas norma tiks pārņemta pilnībā ar grozījumiem </w:t>
            </w:r>
            <w:r w:rsidRPr="00BC7967">
              <w:rPr>
                <w:rFonts w:ascii="Times New Roman" w:hAnsi="Times New Roman"/>
                <w:noProof/>
                <w:sz w:val="24"/>
                <w:szCs w:val="24"/>
              </w:rPr>
              <w:t>MK noteikumos Nr.416.</w:t>
            </w:r>
          </w:p>
          <w:p w:rsidR="00782D49" w:rsidRPr="00BC7967" w:rsidRDefault="00782D49" w:rsidP="00EB1904">
            <w:pPr>
              <w:pStyle w:val="NoSpacing"/>
              <w:rPr>
                <w:rFonts w:ascii="Times New Roman" w:hAnsi="Times New Roman"/>
                <w:iCs/>
                <w:sz w:val="24"/>
                <w:szCs w:val="24"/>
              </w:rPr>
            </w:pPr>
          </w:p>
          <w:p w:rsidR="000B4A2A" w:rsidRPr="00BC7967" w:rsidRDefault="000B4A2A" w:rsidP="000B4A2A">
            <w:pPr>
              <w:pStyle w:val="NoSpacing"/>
              <w:jc w:val="both"/>
              <w:rPr>
                <w:rFonts w:ascii="Times New Roman" w:hAnsi="Times New Roman"/>
                <w:sz w:val="24"/>
                <w:szCs w:val="24"/>
                <w:lang w:eastAsia="lv-LV"/>
              </w:rPr>
            </w:pPr>
            <w:r w:rsidRPr="00BC7967">
              <w:rPr>
                <w:rFonts w:ascii="Times New Roman" w:hAnsi="Times New Roman"/>
                <w:sz w:val="24"/>
                <w:szCs w:val="24"/>
              </w:rPr>
              <w:t>Eiropas Komisijas</w:t>
            </w:r>
            <w:r w:rsidR="00B375BC" w:rsidRPr="00BC7967">
              <w:rPr>
                <w:rFonts w:ascii="Times New Roman" w:hAnsi="Times New Roman"/>
                <w:sz w:val="24"/>
                <w:szCs w:val="24"/>
              </w:rPr>
              <w:t xml:space="preserve"> </w:t>
            </w:r>
            <w:r w:rsidRPr="00BC7967">
              <w:rPr>
                <w:rFonts w:ascii="Times New Roman" w:hAnsi="Times New Roman"/>
                <w:sz w:val="24"/>
                <w:szCs w:val="24"/>
              </w:rPr>
              <w:t>P</w:t>
            </w:r>
            <w:r w:rsidRPr="00BC7967">
              <w:rPr>
                <w:rFonts w:ascii="Times New Roman" w:hAnsi="Times New Roman"/>
                <w:bCs/>
                <w:sz w:val="24"/>
                <w:szCs w:val="24"/>
                <w:lang w:eastAsia="lv-LV"/>
              </w:rPr>
              <w:t xml:space="preserve">amatnostādnes </w:t>
            </w:r>
          </w:p>
          <w:p w:rsidR="00B375BC" w:rsidRPr="00BC7967" w:rsidRDefault="000B4A2A" w:rsidP="000B4A2A">
            <w:pPr>
              <w:pStyle w:val="NoSpacing"/>
              <w:jc w:val="both"/>
              <w:rPr>
                <w:rFonts w:ascii="Times New Roman" w:hAnsi="Times New Roman"/>
                <w:sz w:val="24"/>
                <w:szCs w:val="24"/>
                <w:lang w:eastAsia="lv-LV"/>
              </w:rPr>
            </w:pPr>
            <w:r w:rsidRPr="00BC7967">
              <w:rPr>
                <w:rFonts w:ascii="Times New Roman" w:hAnsi="Times New Roman"/>
                <w:bCs/>
                <w:sz w:val="24"/>
                <w:szCs w:val="24"/>
                <w:lang w:eastAsia="lv-LV"/>
              </w:rPr>
              <w:t>(2013. gada 7. marts) par cilvēkiem paredzētu zāļu labu izplatīšanas praksi stājas spēkā 2013.gada 8.septembrī</w:t>
            </w:r>
            <w:r w:rsidR="00C2076D" w:rsidRPr="00BC7967">
              <w:rPr>
                <w:rFonts w:ascii="Times New Roman" w:hAnsi="Times New Roman"/>
                <w:bCs/>
                <w:sz w:val="24"/>
                <w:szCs w:val="24"/>
                <w:lang w:eastAsia="lv-LV"/>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782D49">
            <w:pPr>
              <w:jc w:val="both"/>
              <w:rPr>
                <w:lang w:val="lv-LV"/>
              </w:rPr>
            </w:pPr>
            <w:r w:rsidRPr="00BC7967">
              <w:rPr>
                <w:lang w:val="lv-LV"/>
              </w:rPr>
              <w:t xml:space="preserve">Direktīvas norma pārņemta </w:t>
            </w:r>
            <w:r w:rsidR="00782D49" w:rsidRPr="00BC7967">
              <w:rPr>
                <w:lang w:val="lv-LV"/>
              </w:rPr>
              <w:t>daļēji</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782D49" w:rsidP="00281A6E">
            <w:pPr>
              <w:jc w:val="both"/>
              <w:rPr>
                <w:lang w:val="lv-LV"/>
              </w:rPr>
            </w:pPr>
            <w:r w:rsidRPr="00BC7967">
              <w:rPr>
                <w:lang w:val="lv-LV"/>
              </w:rPr>
              <w:t>Nav</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t xml:space="preserve">Direktīvas 2011/62/EK </w:t>
            </w:r>
            <w:r w:rsidRPr="00BC7967">
              <w:rPr>
                <w:lang w:val="lv-LV"/>
              </w:rPr>
              <w:t>1.panta 20.punkts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5252E8">
            <w:pPr>
              <w:pStyle w:val="NoSpacing"/>
              <w:jc w:val="both"/>
              <w:rPr>
                <w:rFonts w:ascii="Times New Roman" w:hAnsi="Times New Roman"/>
                <w:sz w:val="24"/>
                <w:szCs w:val="24"/>
              </w:rPr>
            </w:pPr>
            <w:r w:rsidRPr="00BC7967">
              <w:rPr>
                <w:rFonts w:ascii="Times New Roman" w:hAnsi="Times New Roman"/>
                <w:sz w:val="24"/>
                <w:szCs w:val="24"/>
              </w:rPr>
              <w:t>Direktīvas norma ir daļēji ieviesta ar:</w:t>
            </w:r>
          </w:p>
          <w:p w:rsidR="00B375BC" w:rsidRPr="00BC7967" w:rsidRDefault="00B375BC" w:rsidP="005252E8">
            <w:pPr>
              <w:pStyle w:val="NoSpacing"/>
              <w:jc w:val="both"/>
              <w:rPr>
                <w:rFonts w:ascii="Times New Roman" w:hAnsi="Times New Roman"/>
                <w:bCs/>
                <w:sz w:val="24"/>
                <w:szCs w:val="24"/>
              </w:rPr>
            </w:pPr>
            <w:r w:rsidRPr="00BC7967">
              <w:rPr>
                <w:rFonts w:ascii="Times New Roman" w:hAnsi="Times New Roman"/>
                <w:sz w:val="24"/>
                <w:szCs w:val="24"/>
              </w:rPr>
              <w:t>1) </w:t>
            </w:r>
            <w:r w:rsidRPr="00BC7967">
              <w:rPr>
                <w:rFonts w:ascii="Times New Roman" w:hAnsi="Times New Roman"/>
                <w:bCs/>
                <w:sz w:val="24"/>
                <w:szCs w:val="24"/>
              </w:rPr>
              <w:t xml:space="preserve">MK noteikumiem Nr.800: </w:t>
            </w:r>
          </w:p>
          <w:p w:rsidR="00B375BC" w:rsidRPr="00BC7967" w:rsidRDefault="006B57C5" w:rsidP="005D651E">
            <w:pPr>
              <w:pStyle w:val="NoSpacing"/>
              <w:jc w:val="both"/>
              <w:rPr>
                <w:rFonts w:ascii="Times New Roman" w:hAnsi="Times New Roman"/>
                <w:bCs/>
                <w:sz w:val="24"/>
                <w:szCs w:val="24"/>
              </w:rPr>
            </w:pPr>
            <w:r w:rsidRPr="00BC7967">
              <w:rPr>
                <w:rFonts w:ascii="Times New Roman" w:hAnsi="Times New Roman"/>
                <w:bCs/>
                <w:sz w:val="24"/>
                <w:szCs w:val="24"/>
              </w:rPr>
              <w:t>70.6.apakšpunkts;</w:t>
            </w:r>
          </w:p>
          <w:p w:rsidR="00B375BC" w:rsidRPr="00BC7967" w:rsidRDefault="00B375BC" w:rsidP="005252E8">
            <w:pPr>
              <w:pStyle w:val="NoSpacing"/>
              <w:jc w:val="both"/>
              <w:rPr>
                <w:rFonts w:ascii="Times New Roman" w:hAnsi="Times New Roman"/>
                <w:bCs/>
                <w:sz w:val="24"/>
                <w:szCs w:val="24"/>
              </w:rPr>
            </w:pPr>
            <w:r w:rsidRPr="00BC7967">
              <w:rPr>
                <w:rFonts w:ascii="Times New Roman" w:hAnsi="Times New Roman"/>
                <w:bCs/>
                <w:sz w:val="24"/>
                <w:szCs w:val="24"/>
              </w:rPr>
              <w:t>2) MK noteikumiem Nr.416:</w:t>
            </w:r>
          </w:p>
          <w:p w:rsidR="00B375BC" w:rsidRPr="00BC7967" w:rsidRDefault="00B375BC" w:rsidP="0081799D">
            <w:pPr>
              <w:pStyle w:val="NoSpacing"/>
              <w:jc w:val="both"/>
              <w:rPr>
                <w:rFonts w:ascii="Times New Roman" w:hAnsi="Times New Roman"/>
                <w:bCs/>
                <w:sz w:val="24"/>
                <w:szCs w:val="24"/>
              </w:rPr>
            </w:pPr>
            <w:r w:rsidRPr="00BC7967">
              <w:rPr>
                <w:rFonts w:ascii="Times New Roman" w:hAnsi="Times New Roman"/>
                <w:bCs/>
                <w:sz w:val="24"/>
                <w:szCs w:val="24"/>
              </w:rPr>
              <w:t xml:space="preserve">99., 100., </w:t>
            </w:r>
            <w:r w:rsidR="00EA5635" w:rsidRPr="00BC7967">
              <w:rPr>
                <w:rFonts w:ascii="Times New Roman" w:hAnsi="Times New Roman"/>
                <w:bCs/>
                <w:sz w:val="24"/>
                <w:szCs w:val="24"/>
              </w:rPr>
              <w:t xml:space="preserve">101., </w:t>
            </w:r>
            <w:r w:rsidRPr="00BC7967">
              <w:rPr>
                <w:rFonts w:ascii="Times New Roman" w:hAnsi="Times New Roman"/>
                <w:bCs/>
                <w:sz w:val="24"/>
                <w:szCs w:val="24"/>
              </w:rPr>
              <w:t>102.</w:t>
            </w:r>
            <w:r w:rsidR="00EA5635" w:rsidRPr="00BC7967">
              <w:rPr>
                <w:rFonts w:ascii="Times New Roman" w:hAnsi="Times New Roman"/>
                <w:bCs/>
                <w:sz w:val="24"/>
                <w:szCs w:val="24"/>
              </w:rPr>
              <w:t xml:space="preserve"> .</w:t>
            </w:r>
            <w:r w:rsidRPr="00BC7967">
              <w:rPr>
                <w:rFonts w:ascii="Times New Roman" w:hAnsi="Times New Roman"/>
                <w:bCs/>
                <w:sz w:val="24"/>
                <w:szCs w:val="24"/>
              </w:rPr>
              <w:t>punkts;</w:t>
            </w:r>
          </w:p>
          <w:p w:rsidR="00B375BC" w:rsidRPr="00BC7967" w:rsidRDefault="00B375BC" w:rsidP="005252E8">
            <w:pPr>
              <w:pStyle w:val="NoSpacing"/>
              <w:jc w:val="both"/>
              <w:rPr>
                <w:rFonts w:ascii="Times New Roman" w:hAnsi="Times New Roman"/>
                <w:sz w:val="24"/>
                <w:szCs w:val="24"/>
              </w:rPr>
            </w:pPr>
            <w:r w:rsidRPr="00BC7967">
              <w:rPr>
                <w:rFonts w:ascii="Times New Roman" w:hAnsi="Times New Roman"/>
                <w:bCs/>
                <w:sz w:val="24"/>
                <w:szCs w:val="24"/>
              </w:rPr>
              <w:t>3) </w:t>
            </w:r>
            <w:r w:rsidRPr="00BC7967">
              <w:rPr>
                <w:rFonts w:ascii="Times New Roman" w:hAnsi="Times New Roman"/>
                <w:sz w:val="24"/>
                <w:szCs w:val="24"/>
              </w:rPr>
              <w:t xml:space="preserve"> </w:t>
            </w:r>
            <w:r w:rsidRPr="00BC7967">
              <w:rPr>
                <w:rFonts w:ascii="Times New Roman" w:hAnsi="Times New Roman"/>
                <w:bCs/>
                <w:sz w:val="24"/>
                <w:szCs w:val="24"/>
              </w:rPr>
              <w:t>Latvijas Administratīvo pārkāpumu kodeksu 46.</w:t>
            </w:r>
            <w:r w:rsidRPr="00BC7967">
              <w:rPr>
                <w:rFonts w:ascii="Times New Roman" w:hAnsi="Times New Roman"/>
                <w:bCs/>
                <w:sz w:val="24"/>
                <w:szCs w:val="24"/>
                <w:vertAlign w:val="superscript"/>
              </w:rPr>
              <w:t xml:space="preserve">1 </w:t>
            </w:r>
            <w:r w:rsidRPr="00BC7967">
              <w:rPr>
                <w:rFonts w:ascii="Times New Roman" w:hAnsi="Times New Roman"/>
                <w:bCs/>
                <w:sz w:val="24"/>
                <w:szCs w:val="24"/>
              </w:rPr>
              <w:t>pantu</w:t>
            </w:r>
            <w:r w:rsidR="008B7DFE" w:rsidRPr="00BC7967">
              <w:rPr>
                <w:rFonts w:ascii="Times New Roman" w:hAnsi="Times New Roman"/>
                <w:bCs/>
                <w:sz w:val="24"/>
                <w:szCs w:val="24"/>
              </w:rPr>
              <w:t>.</w:t>
            </w:r>
          </w:p>
          <w:p w:rsidR="00B375BC" w:rsidRPr="00BC7967" w:rsidRDefault="00B375BC" w:rsidP="005252E8">
            <w:pPr>
              <w:jc w:val="both"/>
              <w:rPr>
                <w:lang w:val="lv-LV"/>
              </w:rPr>
            </w:pPr>
          </w:p>
          <w:p w:rsidR="00782D49" w:rsidRPr="00BC7967" w:rsidRDefault="00782D49" w:rsidP="005252E8">
            <w:pPr>
              <w:jc w:val="both"/>
              <w:rPr>
                <w:noProof/>
                <w:lang w:val="lv-LV"/>
              </w:rPr>
            </w:pPr>
            <w:r w:rsidRPr="00BC7967">
              <w:rPr>
                <w:lang w:val="lv-LV"/>
              </w:rPr>
              <w:t xml:space="preserve">Direktīvas norma tiks pārņemta ar grozījumiem </w:t>
            </w:r>
            <w:r w:rsidRPr="00BC7967">
              <w:rPr>
                <w:noProof/>
                <w:lang w:val="lv-LV"/>
              </w:rPr>
              <w:t>MK noteikumos Nr.416</w:t>
            </w:r>
            <w:r w:rsidR="007D7466" w:rsidRPr="00BC7967">
              <w:rPr>
                <w:noProof/>
                <w:lang w:val="lv-LV"/>
              </w:rPr>
              <w:t xml:space="preserve"> un MK noteikumos Nr.800</w:t>
            </w:r>
            <w:r w:rsidRPr="00BC7967">
              <w:rPr>
                <w:noProof/>
                <w:lang w:val="lv-LV"/>
              </w:rPr>
              <w:t>.</w:t>
            </w:r>
          </w:p>
          <w:p w:rsidR="00782D49" w:rsidRPr="00BC7967" w:rsidRDefault="00782D49" w:rsidP="005252E8">
            <w:pPr>
              <w:jc w:val="both"/>
              <w:rPr>
                <w:lang w:val="lv-LV"/>
              </w:rPr>
            </w:pPr>
          </w:p>
          <w:p w:rsidR="00B375BC" w:rsidRPr="00BC7967" w:rsidRDefault="00B375BC" w:rsidP="004607D9">
            <w:pPr>
              <w:pStyle w:val="NoSpacing"/>
              <w:jc w:val="both"/>
              <w:rPr>
                <w:rFonts w:ascii="Times New Roman" w:hAnsi="Times New Roman"/>
                <w:sz w:val="24"/>
                <w:szCs w:val="24"/>
              </w:rPr>
            </w:pPr>
            <w:r w:rsidRPr="00BC7967">
              <w:rPr>
                <w:rFonts w:ascii="Times New Roman" w:hAnsi="Times New Roman"/>
                <w:sz w:val="24"/>
                <w:szCs w:val="24"/>
              </w:rPr>
              <w:t>Dalībvalstis piemēro noteikumus, kuri vajadzīgi, lai izpildītu šīs direktīvas 1.panta 20.punktu, ciktāl tas attiecas uz Direktīvas 2001/83/EK 85.c pant</w:t>
            </w:r>
            <w:r w:rsidR="006014BC" w:rsidRPr="00BC7967">
              <w:rPr>
                <w:rFonts w:ascii="Times New Roman" w:hAnsi="Times New Roman"/>
                <w:sz w:val="24"/>
                <w:szCs w:val="24"/>
              </w:rPr>
              <w:t>u</w:t>
            </w:r>
            <w:r w:rsidR="006B57C5" w:rsidRPr="00BC7967">
              <w:rPr>
                <w:rFonts w:ascii="Times New Roman" w:hAnsi="Times New Roman"/>
                <w:sz w:val="24"/>
                <w:szCs w:val="24"/>
              </w:rPr>
              <w:t>, kas iekļauts ar šo direktīvu -</w:t>
            </w:r>
            <w:r w:rsidR="006014BC" w:rsidRPr="00BC7967">
              <w:rPr>
                <w:rFonts w:ascii="Times New Roman" w:hAnsi="Times New Roman"/>
                <w:sz w:val="24"/>
                <w:szCs w:val="24"/>
              </w:rPr>
              <w:t> </w:t>
            </w:r>
            <w:r w:rsidRPr="00BC7967">
              <w:rPr>
                <w:rFonts w:ascii="Times New Roman" w:hAnsi="Times New Roman"/>
                <w:sz w:val="24"/>
                <w:szCs w:val="24"/>
              </w:rPr>
              <w:t xml:space="preserve">vēlākais vienu gadu pēc dienas, kad publicēti Eiropas Komisijas īstenošanas akti attiecībā uz: </w:t>
            </w:r>
          </w:p>
          <w:p w:rsidR="00B375BC" w:rsidRPr="00BC7967" w:rsidRDefault="00B375BC" w:rsidP="004607D9">
            <w:pPr>
              <w:pStyle w:val="NoSpacing"/>
              <w:jc w:val="both"/>
              <w:rPr>
                <w:rFonts w:ascii="Times New Roman" w:hAnsi="Times New Roman"/>
                <w:sz w:val="24"/>
                <w:szCs w:val="24"/>
              </w:rPr>
            </w:pPr>
            <w:r w:rsidRPr="00BC7967">
              <w:rPr>
                <w:rFonts w:ascii="Times New Roman" w:hAnsi="Times New Roman"/>
                <w:sz w:val="24"/>
                <w:szCs w:val="24"/>
              </w:rPr>
              <w:t xml:space="preserve">a) tehniskajām, elektroniskajām un kriptogrāfiskajām prasībām, lai varētu pārbaudīt vienotā logotipa autentiskumu; </w:t>
            </w:r>
          </w:p>
          <w:p w:rsidR="00B375BC" w:rsidRPr="00BC7967" w:rsidRDefault="00B375BC" w:rsidP="00495B17">
            <w:pPr>
              <w:pStyle w:val="NoSpacing"/>
              <w:jc w:val="both"/>
              <w:rPr>
                <w:rFonts w:ascii="Times New Roman" w:hAnsi="Times New Roman"/>
                <w:b/>
                <w:sz w:val="18"/>
                <w:szCs w:val="18"/>
              </w:rPr>
            </w:pPr>
            <w:r w:rsidRPr="00BC7967">
              <w:rPr>
                <w:rFonts w:ascii="Times New Roman" w:hAnsi="Times New Roman"/>
                <w:sz w:val="24"/>
                <w:szCs w:val="24"/>
              </w:rPr>
              <w:t>b) vienotā logotipa dizainu, kuru pieņemšana paredzēta 2013.gadā.</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82441D">
            <w:pPr>
              <w:jc w:val="both"/>
              <w:rPr>
                <w:lang w:val="lv-LV"/>
              </w:rPr>
            </w:pPr>
            <w:r w:rsidRPr="00BC7967">
              <w:rPr>
                <w:lang w:val="lv-LV"/>
              </w:rPr>
              <w:t xml:space="preserve">Direktīvas norma pārņemta </w:t>
            </w:r>
            <w:r w:rsidR="0082441D" w:rsidRPr="00BC7967">
              <w:rPr>
                <w:lang w:val="lv-LV"/>
              </w:rPr>
              <w:t>daļēji</w:t>
            </w:r>
            <w:r w:rsidR="00C2076D"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82441D" w:rsidP="003E2EB3">
            <w:pPr>
              <w:jc w:val="both"/>
              <w:rPr>
                <w:lang w:val="lv-LV"/>
              </w:rPr>
            </w:pPr>
            <w:r w:rsidRPr="00BC7967">
              <w:rPr>
                <w:lang w:val="lv-LV"/>
              </w:rPr>
              <w:t>Nav</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lastRenderedPageBreak/>
              <w:t xml:space="preserve">Direktīvas 2011/62/EK </w:t>
            </w:r>
            <w:r w:rsidRPr="00BC7967">
              <w:rPr>
                <w:lang w:val="lv-LV"/>
              </w:rPr>
              <w:t>1.panta 21.punkts a)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EB3546">
            <w:pPr>
              <w:pStyle w:val="NoSpacing"/>
              <w:rPr>
                <w:rFonts w:ascii="Times New Roman" w:hAnsi="Times New Roman"/>
                <w:sz w:val="24"/>
                <w:szCs w:val="24"/>
              </w:rPr>
            </w:pPr>
            <w:r w:rsidRPr="00BC7967">
              <w:rPr>
                <w:rFonts w:ascii="Times New Roman" w:hAnsi="Times New Roman"/>
                <w:sz w:val="24"/>
                <w:szCs w:val="24"/>
              </w:rPr>
              <w:t xml:space="preserve">Direktīvas norma ir ieviesta daļēji ar </w:t>
            </w:r>
            <w:r w:rsidR="001C0906" w:rsidRPr="00BC7967">
              <w:rPr>
                <w:rFonts w:ascii="Times New Roman" w:hAnsi="Times New Roman"/>
                <w:bCs/>
                <w:sz w:val="24"/>
                <w:szCs w:val="24"/>
              </w:rPr>
              <w:t>MK noteikumiem Nr.304</w:t>
            </w:r>
            <w:r w:rsidR="00A54D76" w:rsidRPr="00BC7967">
              <w:rPr>
                <w:rFonts w:ascii="Times New Roman" w:hAnsi="Times New Roman"/>
                <w:bCs/>
                <w:sz w:val="24"/>
                <w:szCs w:val="24"/>
              </w:rPr>
              <w:t>.</w:t>
            </w:r>
          </w:p>
          <w:p w:rsidR="00B375BC" w:rsidRPr="00BC7967" w:rsidRDefault="00B375BC" w:rsidP="00373595">
            <w:pPr>
              <w:pStyle w:val="NoSpacing"/>
              <w:jc w:val="both"/>
              <w:rPr>
                <w:rFonts w:ascii="Times New Roman" w:hAnsi="Times New Roman"/>
                <w:bCs/>
                <w:sz w:val="24"/>
                <w:szCs w:val="24"/>
              </w:rPr>
            </w:pPr>
          </w:p>
          <w:p w:rsidR="001C0906" w:rsidRPr="00BC7967" w:rsidRDefault="001C0906" w:rsidP="002F5B65">
            <w:pPr>
              <w:pStyle w:val="NoSpacing"/>
              <w:jc w:val="both"/>
              <w:rPr>
                <w:rFonts w:ascii="Times New Roman" w:hAnsi="Times New Roman"/>
                <w:bCs/>
                <w:noProof/>
                <w:sz w:val="24"/>
                <w:szCs w:val="24"/>
              </w:rPr>
            </w:pPr>
            <w:r w:rsidRPr="00BC7967">
              <w:rPr>
                <w:rFonts w:ascii="Times New Roman" w:hAnsi="Times New Roman"/>
                <w:noProof/>
                <w:sz w:val="24"/>
                <w:szCs w:val="24"/>
              </w:rPr>
              <w:t xml:space="preserve">Direktīvas norma tiks pārņemta ar grozījumiem </w:t>
            </w:r>
            <w:r w:rsidRPr="00BC7967">
              <w:rPr>
                <w:rFonts w:ascii="Times New Roman" w:hAnsi="Times New Roman"/>
                <w:noProof/>
                <w:spacing w:val="-6"/>
                <w:sz w:val="24"/>
                <w:szCs w:val="24"/>
              </w:rPr>
              <w:t>MK noteikumos Nr.304</w:t>
            </w:r>
            <w:r w:rsidR="006F74E9" w:rsidRPr="00BC7967">
              <w:rPr>
                <w:rFonts w:ascii="Times New Roman" w:hAnsi="Times New Roman"/>
                <w:noProof/>
                <w:spacing w:val="-6"/>
                <w:sz w:val="24"/>
                <w:szCs w:val="24"/>
              </w:rPr>
              <w:t xml:space="preserve"> un MK noteikumos Nr.416,</w:t>
            </w:r>
            <w:r w:rsidRPr="00BC7967">
              <w:rPr>
                <w:rFonts w:ascii="Times New Roman" w:hAnsi="Times New Roman"/>
                <w:noProof/>
                <w:spacing w:val="-6"/>
                <w:sz w:val="24"/>
                <w:szCs w:val="24"/>
              </w:rPr>
              <w:t xml:space="preserve"> </w:t>
            </w:r>
            <w:r w:rsidR="0039747A" w:rsidRPr="00BC7967">
              <w:rPr>
                <w:rFonts w:ascii="Times New Roman" w:hAnsi="Times New Roman"/>
                <w:noProof/>
                <w:sz w:val="24"/>
                <w:szCs w:val="24"/>
              </w:rPr>
              <w:t>un ar MK noteikumiem par aktīvajām vielām</w:t>
            </w:r>
            <w:r w:rsidR="00A54D76" w:rsidRPr="00BC7967">
              <w:rPr>
                <w:rFonts w:ascii="Times New Roman" w:hAnsi="Times New Roman"/>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F633A7">
            <w:pPr>
              <w:jc w:val="both"/>
              <w:rPr>
                <w:lang w:val="lv-LV"/>
              </w:rPr>
            </w:pPr>
            <w:r w:rsidRPr="00BC7967">
              <w:rPr>
                <w:lang w:val="lv-LV"/>
              </w:rPr>
              <w:t xml:space="preserve">Direktīvas norma pārņemta </w:t>
            </w:r>
            <w:r w:rsidR="00F633A7" w:rsidRPr="00BC7967">
              <w:rPr>
                <w:lang w:val="lv-LV"/>
              </w:rPr>
              <w:t>daļēji</w:t>
            </w:r>
            <w:r w:rsidR="000424E6"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F633A7" w:rsidP="00D25418">
            <w:pPr>
              <w:jc w:val="both"/>
              <w:rPr>
                <w:lang w:val="lv-LV"/>
              </w:rPr>
            </w:pPr>
            <w:r w:rsidRPr="00BC7967">
              <w:rPr>
                <w:lang w:val="lv-LV"/>
              </w:rPr>
              <w:t>Nav</w:t>
            </w:r>
          </w:p>
        </w:tc>
      </w:tr>
      <w:tr w:rsidR="008C454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54553E">
            <w:pPr>
              <w:jc w:val="both"/>
              <w:rPr>
                <w:spacing w:val="-6"/>
                <w:lang w:val="lv-LV"/>
              </w:rPr>
            </w:pPr>
            <w:r w:rsidRPr="00BC7967">
              <w:rPr>
                <w:noProof/>
                <w:spacing w:val="-6"/>
                <w:lang w:val="lv-LV"/>
              </w:rPr>
              <w:t>Direktīvas 2011/62/EK 1.panta 21.punkts b) apakšpunkts (izņemot Direktīvas 2001/83 111.panta 6.punkta  pēdējo teikumu)</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39747A">
            <w:pPr>
              <w:pStyle w:val="NoSpacing"/>
              <w:jc w:val="both"/>
              <w:rPr>
                <w:rFonts w:ascii="Times New Roman" w:hAnsi="Times New Roman"/>
                <w:noProof/>
                <w:sz w:val="24"/>
                <w:szCs w:val="24"/>
              </w:rPr>
            </w:pPr>
            <w:r w:rsidRPr="00BC7967">
              <w:rPr>
                <w:rFonts w:ascii="Times New Roman" w:hAnsi="Times New Roman"/>
                <w:bCs/>
                <w:noProof/>
                <w:sz w:val="24"/>
                <w:szCs w:val="24"/>
              </w:rPr>
              <w:t xml:space="preserve">MK </w:t>
            </w:r>
            <w:r w:rsidRPr="00BC7967">
              <w:rPr>
                <w:rFonts w:ascii="Times New Roman" w:hAnsi="Times New Roman"/>
                <w:noProof/>
                <w:spacing w:val="-6"/>
                <w:sz w:val="24"/>
                <w:szCs w:val="24"/>
              </w:rPr>
              <w:t xml:space="preserve">noteikumi Nr.304 un </w:t>
            </w:r>
            <w:r w:rsidRPr="00BC7967">
              <w:rPr>
                <w:rFonts w:ascii="Times New Roman" w:hAnsi="Times New Roman"/>
                <w:bCs/>
                <w:noProof/>
                <w:sz w:val="24"/>
                <w:szCs w:val="24"/>
              </w:rPr>
              <w:t>Farmācijas likuma 61.</w:t>
            </w:r>
            <w:r w:rsidRPr="00BC7967">
              <w:rPr>
                <w:rFonts w:ascii="Times New Roman" w:hAnsi="Times New Roman"/>
                <w:bCs/>
                <w:noProof/>
                <w:sz w:val="24"/>
                <w:szCs w:val="24"/>
                <w:vertAlign w:val="superscript"/>
              </w:rPr>
              <w:t>1</w:t>
            </w:r>
            <w:r w:rsidRPr="00BC7967">
              <w:rPr>
                <w:rFonts w:ascii="Times New Roman" w:hAnsi="Times New Roman"/>
                <w:bCs/>
                <w:noProof/>
                <w:sz w:val="24"/>
                <w:szCs w:val="24"/>
              </w:rPr>
              <w:t>pants</w:t>
            </w:r>
            <w:r w:rsidR="006B57C5" w:rsidRPr="00BC7967">
              <w:rPr>
                <w:rFonts w:ascii="Times New Roman" w:hAnsi="Times New Roman"/>
                <w:bCs/>
                <w:noProof/>
                <w:sz w:val="24"/>
                <w:szCs w:val="24"/>
              </w:rPr>
              <w:t>.</w:t>
            </w:r>
          </w:p>
          <w:p w:rsidR="008C4545" w:rsidRPr="00BC7967" w:rsidRDefault="008C4545" w:rsidP="0039747A">
            <w:pPr>
              <w:pStyle w:val="NoSpacing"/>
              <w:jc w:val="both"/>
              <w:rPr>
                <w:rFonts w:ascii="Times New Roman" w:hAnsi="Times New Roman"/>
                <w:noProof/>
                <w:sz w:val="24"/>
                <w:szCs w:val="24"/>
              </w:rPr>
            </w:pPr>
          </w:p>
          <w:p w:rsidR="008C4545" w:rsidRPr="00BC7967" w:rsidRDefault="008C4545" w:rsidP="002F5B65">
            <w:pPr>
              <w:pStyle w:val="NoSpacing"/>
              <w:jc w:val="both"/>
              <w:rPr>
                <w:rFonts w:ascii="Times New Roman" w:hAnsi="Times New Roman"/>
                <w:sz w:val="24"/>
                <w:szCs w:val="24"/>
              </w:rPr>
            </w:pPr>
            <w:r w:rsidRPr="00BC7967">
              <w:rPr>
                <w:rFonts w:ascii="Times New Roman" w:hAnsi="Times New Roman"/>
                <w:noProof/>
                <w:sz w:val="24"/>
                <w:szCs w:val="24"/>
              </w:rPr>
              <w:t xml:space="preserve">Direktīvas norma tiks pārņemta ar grozījumiem </w:t>
            </w:r>
            <w:r w:rsidRPr="00BC7967">
              <w:rPr>
                <w:rFonts w:ascii="Times New Roman" w:hAnsi="Times New Roman"/>
                <w:noProof/>
                <w:spacing w:val="-6"/>
                <w:sz w:val="24"/>
                <w:szCs w:val="24"/>
              </w:rPr>
              <w:t>MK noteikumos Nr.304</w:t>
            </w:r>
            <w:r w:rsidR="006F74E9" w:rsidRPr="00BC7967">
              <w:rPr>
                <w:rFonts w:ascii="Times New Roman" w:hAnsi="Times New Roman"/>
                <w:noProof/>
                <w:spacing w:val="-6"/>
                <w:sz w:val="24"/>
                <w:szCs w:val="24"/>
              </w:rPr>
              <w:t xml:space="preserve"> un MK noteikumos Nr.416,</w:t>
            </w:r>
            <w:r w:rsidRPr="00BC7967">
              <w:rPr>
                <w:rFonts w:ascii="Times New Roman" w:hAnsi="Times New Roman"/>
                <w:noProof/>
                <w:spacing w:val="-6"/>
                <w:sz w:val="24"/>
                <w:szCs w:val="24"/>
              </w:rPr>
              <w:t xml:space="preserve"> </w:t>
            </w:r>
            <w:r w:rsidRPr="00BC7967">
              <w:rPr>
                <w:rFonts w:ascii="Times New Roman" w:hAnsi="Times New Roman"/>
                <w:noProof/>
                <w:sz w:val="24"/>
                <w:szCs w:val="24"/>
              </w:rPr>
              <w:t>un ar MK noteikumiem par aktīvajām vielām</w:t>
            </w:r>
            <w:r w:rsidR="000424E6" w:rsidRPr="00BC7967">
              <w:rPr>
                <w:rFonts w:ascii="Times New Roman" w:hAnsi="Times New Roman"/>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jc w:val="both"/>
              <w:rPr>
                <w:lang w:val="lv-LV"/>
              </w:rPr>
            </w:pPr>
            <w:r w:rsidRPr="00BC7967">
              <w:rPr>
                <w:lang w:val="lv-LV"/>
              </w:rPr>
              <w:t>Direktīvas norma pārņemta daļēji</w:t>
            </w:r>
            <w:r w:rsidR="000424E6" w:rsidRPr="00BC7967">
              <w:rPr>
                <w:lang w:val="lv-LV"/>
              </w:rPr>
              <w:t>.</w:t>
            </w:r>
          </w:p>
          <w:p w:rsidR="004C1099" w:rsidRPr="00BC7967" w:rsidRDefault="004C1099" w:rsidP="006541EF">
            <w:pPr>
              <w:jc w:val="both"/>
              <w:rPr>
                <w:lang w:val="lv-LV"/>
              </w:rPr>
            </w:pPr>
          </w:p>
          <w:p w:rsidR="004C1099" w:rsidRPr="00BC7967" w:rsidRDefault="004C1099" w:rsidP="006541EF">
            <w:pPr>
              <w:jc w:val="both"/>
              <w:rPr>
                <w:lang w:val="lv-LV"/>
              </w:rPr>
            </w:pPr>
            <w:r w:rsidRPr="00BC7967">
              <w:rPr>
                <w:noProof/>
                <w:spacing w:val="-6"/>
                <w:lang w:val="lv-LV"/>
              </w:rPr>
              <w:t>Direktīvas 2001/83 111.panta 6.punkta  pēdējai teikums nav jāpārņem, jo norma par to, ka ES datu bāze (ES) ir publiski pieejama attiecas uz datu bāzes turētāja Eiropas Zāļu aģentūras pienākumu</w:t>
            </w:r>
            <w:r w:rsidR="000424E6" w:rsidRPr="00BC7967">
              <w:rPr>
                <w:noProof/>
                <w:spacing w:val="-6"/>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jc w:val="both"/>
              <w:rPr>
                <w:lang w:val="lv-LV"/>
              </w:rPr>
            </w:pPr>
            <w:r w:rsidRPr="00BC7967">
              <w:rPr>
                <w:lang w:val="lv-LV"/>
              </w:rPr>
              <w:t>Nav</w:t>
            </w:r>
          </w:p>
        </w:tc>
      </w:tr>
      <w:tr w:rsidR="008C454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jc w:val="both"/>
              <w:rPr>
                <w:noProof/>
                <w:spacing w:val="-6"/>
                <w:lang w:val="lv-LV"/>
              </w:rPr>
            </w:pPr>
            <w:r w:rsidRPr="00BC7967">
              <w:rPr>
                <w:noProof/>
                <w:spacing w:val="-6"/>
                <w:lang w:val="lv-LV"/>
              </w:rPr>
              <w:t>Direktīvas 2011/62/EK 1.panta 21.punkts c) apakšpunkts</w:t>
            </w:r>
          </w:p>
          <w:p w:rsidR="008C4545" w:rsidRPr="00BC7967" w:rsidRDefault="008C4545" w:rsidP="006541EF">
            <w:pPr>
              <w:jc w:val="both"/>
              <w:rPr>
                <w:noProof/>
                <w:spacing w:val="-6"/>
                <w:lang w:val="lv-LV"/>
              </w:rPr>
            </w:pPr>
            <w:r w:rsidRPr="00BC7967">
              <w:rPr>
                <w:rFonts w:eastAsia="Calibri"/>
                <w:noProof/>
                <w:sz w:val="19"/>
                <w:szCs w:val="19"/>
                <w:lang w:val="lv-LV" w:eastAsia="lv-LV"/>
              </w:rPr>
              <w:t>.</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044A04" w:rsidP="002F5B65">
            <w:pPr>
              <w:pStyle w:val="NoSpacing"/>
              <w:jc w:val="both"/>
              <w:rPr>
                <w:rFonts w:ascii="Times New Roman" w:hAnsi="Times New Roman"/>
                <w:noProof/>
                <w:sz w:val="24"/>
                <w:szCs w:val="24"/>
              </w:rPr>
            </w:pPr>
            <w:r w:rsidRPr="00BC7967">
              <w:rPr>
                <w:rFonts w:ascii="Times New Roman" w:hAnsi="Times New Roman"/>
                <w:noProof/>
                <w:sz w:val="24"/>
                <w:szCs w:val="24"/>
              </w:rPr>
              <w:t xml:space="preserve">Direktīvas norma tiks pārņemta ar grozījumiem </w:t>
            </w:r>
            <w:r w:rsidRPr="00BC7967">
              <w:rPr>
                <w:rFonts w:ascii="Times New Roman" w:hAnsi="Times New Roman"/>
                <w:noProof/>
                <w:spacing w:val="-6"/>
                <w:sz w:val="24"/>
                <w:szCs w:val="24"/>
              </w:rPr>
              <w:t xml:space="preserve">MK noteikumos Nr.304 un MK noteikumos Nr.416, </w:t>
            </w:r>
            <w:r w:rsidRPr="00BC7967">
              <w:rPr>
                <w:rFonts w:ascii="Times New Roman" w:hAnsi="Times New Roman"/>
                <w:noProof/>
                <w:sz w:val="24"/>
                <w:szCs w:val="24"/>
              </w:rPr>
              <w:t>un ar MK noteikumiem par aktīvajām vielām.</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044A04" w:rsidP="006541EF">
            <w:pPr>
              <w:jc w:val="both"/>
              <w:rPr>
                <w:noProof/>
                <w:lang w:val="lv-LV"/>
              </w:rPr>
            </w:pPr>
            <w:r w:rsidRPr="00BC7967">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9F5CEB" w:rsidP="006541EF">
            <w:pPr>
              <w:jc w:val="both"/>
              <w:rPr>
                <w:noProof/>
                <w:lang w:val="lv-LV"/>
              </w:rPr>
            </w:pPr>
            <w:r w:rsidRPr="00BC7967">
              <w:rPr>
                <w:lang w:val="lv-LV"/>
              </w:rPr>
              <w:t>Nav</w:t>
            </w:r>
          </w:p>
        </w:tc>
      </w:tr>
      <w:tr w:rsidR="008C454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jc w:val="both"/>
              <w:rPr>
                <w:noProof/>
                <w:spacing w:val="-6"/>
                <w:lang w:val="lv-LV"/>
              </w:rPr>
            </w:pPr>
            <w:r w:rsidRPr="00BC7967">
              <w:rPr>
                <w:noProof/>
                <w:spacing w:val="-6"/>
                <w:lang w:val="lv-LV"/>
              </w:rPr>
              <w:t>Direktīvas 2011/62/EK 1.panta 21.punkts d) apakšpunkts</w:t>
            </w:r>
          </w:p>
          <w:p w:rsidR="008C4545" w:rsidRPr="00BC7967" w:rsidRDefault="008C4545" w:rsidP="006541EF">
            <w:pPr>
              <w:jc w:val="both"/>
              <w:rPr>
                <w:noProof/>
                <w:spacing w:val="-6"/>
                <w:lang w:val="lv-LV"/>
              </w:rPr>
            </w:pP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pStyle w:val="NoSpacing"/>
              <w:jc w:val="both"/>
              <w:rPr>
                <w:rFonts w:ascii="Times New Roman" w:hAnsi="Times New Roman"/>
                <w:noProof/>
                <w:sz w:val="24"/>
                <w:szCs w:val="24"/>
              </w:rPr>
            </w:pPr>
            <w:r w:rsidRPr="00BC7967">
              <w:rPr>
                <w:rFonts w:ascii="Times New Roman" w:hAnsi="Times New Roman"/>
                <w:noProof/>
                <w:sz w:val="24"/>
                <w:szCs w:val="24"/>
              </w:rPr>
              <w:t xml:space="preserve">Ministru kabineta 2013.gada 22.janvāra noteikumi Nr.47 ”Farmakovigilances kārtība” </w:t>
            </w:r>
            <w:r w:rsidR="00D520D7" w:rsidRPr="00BC7967">
              <w:rPr>
                <w:rFonts w:ascii="Times New Roman" w:hAnsi="Times New Roman"/>
                <w:noProof/>
                <w:sz w:val="24"/>
                <w:szCs w:val="24"/>
              </w:rPr>
              <w:t>(</w:t>
            </w:r>
            <w:r w:rsidRPr="00BC7967">
              <w:rPr>
                <w:rFonts w:ascii="Times New Roman" w:hAnsi="Times New Roman"/>
                <w:noProof/>
                <w:sz w:val="24"/>
                <w:szCs w:val="24"/>
              </w:rPr>
              <w:t>56.punkts</w:t>
            </w:r>
            <w:r w:rsidR="00D520D7" w:rsidRPr="00BC7967">
              <w:rPr>
                <w:rFonts w:ascii="Times New Roman" w:hAnsi="Times New Roman"/>
                <w:noProof/>
                <w:sz w:val="24"/>
                <w:szCs w:val="24"/>
              </w:rPr>
              <w:t>)</w:t>
            </w:r>
            <w:r w:rsidR="000424E6" w:rsidRPr="00BC7967">
              <w:rPr>
                <w:rFonts w:ascii="Times New Roman" w:hAnsi="Times New Roman"/>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8C4545" w:rsidP="006541EF">
            <w:pPr>
              <w:jc w:val="both"/>
              <w:rPr>
                <w:noProof/>
                <w:lang w:val="lv-LV"/>
              </w:rPr>
            </w:pPr>
            <w:r w:rsidRPr="00BC7967">
              <w:rPr>
                <w:noProof/>
                <w:lang w:val="lv-LV"/>
              </w:rPr>
              <w:t>Direktīvas norma pārņemta pilnībā</w:t>
            </w:r>
            <w:r w:rsidR="000424E6" w:rsidRPr="00BC7967">
              <w:rPr>
                <w:noProof/>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C4545" w:rsidRPr="00BC7967" w:rsidRDefault="00D520D7" w:rsidP="006541EF">
            <w:pPr>
              <w:jc w:val="both"/>
              <w:rPr>
                <w:noProof/>
                <w:lang w:val="lv-LV"/>
              </w:rPr>
            </w:pPr>
            <w:r w:rsidRPr="00BC7967">
              <w:rPr>
                <w:noProof/>
                <w:lang w:val="lv-LV"/>
              </w:rPr>
              <w:t>Stingrākas prasības neparedz</w:t>
            </w:r>
            <w:r w:rsidR="000424E6" w:rsidRPr="00BC7967">
              <w:rPr>
                <w:noProof/>
                <w:lang w:val="lv-LV"/>
              </w:rPr>
              <w:t>.</w:t>
            </w:r>
          </w:p>
        </w:tc>
      </w:tr>
      <w:tr w:rsidR="0073655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lang w:val="lv-LV"/>
              </w:rPr>
              <w:t>Direktīvas 2011/62/EK 1.panta 22.punkts (Direktīvas 2001/83 111a panta 1.paragrāfs un 111b pants).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pStyle w:val="NoSpacing"/>
              <w:jc w:val="both"/>
              <w:rPr>
                <w:rFonts w:ascii="Times New Roman" w:hAnsi="Times New Roman"/>
                <w:noProof/>
                <w:sz w:val="24"/>
                <w:szCs w:val="24"/>
              </w:rPr>
            </w:pPr>
            <w:r w:rsidRPr="00BC7967">
              <w:rPr>
                <w:rFonts w:ascii="Times New Roman" w:hAnsi="Times New Roman"/>
                <w:noProof/>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spacing w:val="-3"/>
                <w:lang w:val="lv-LV"/>
              </w:rPr>
              <w:t>Nav jāpārņem, jo norma attiecināma uz Eiropas Komisijas pienākumu.</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lang w:val="lv-LV"/>
              </w:rPr>
              <w:t>Nav</w:t>
            </w:r>
          </w:p>
        </w:tc>
      </w:tr>
      <w:tr w:rsidR="0073655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lang w:val="lv-LV"/>
              </w:rPr>
              <w:lastRenderedPageBreak/>
              <w:t>Direktīvas 2011/62/EK 1.panta 22.punkts (Direktīvas 2001/83 111a panta 2.paragrāfs).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lang w:val="lv-LV"/>
              </w:rPr>
              <w:t>Direktīvas norma tiks ieviesta ar grozījumiem:</w:t>
            </w:r>
          </w:p>
          <w:p w:rsidR="00736555" w:rsidRPr="00BC7967" w:rsidRDefault="00736555" w:rsidP="006541EF">
            <w:pPr>
              <w:jc w:val="both"/>
              <w:rPr>
                <w:noProof/>
                <w:lang w:val="lv-LV"/>
              </w:rPr>
            </w:pPr>
            <w:r w:rsidRPr="00BC7967">
              <w:rPr>
                <w:noProof/>
                <w:lang w:val="lv-LV"/>
              </w:rPr>
              <w:t xml:space="preserve">- MK </w:t>
            </w:r>
            <w:r w:rsidRPr="00BC7967">
              <w:rPr>
                <w:bCs/>
                <w:noProof/>
                <w:lang w:val="lv-LV"/>
              </w:rPr>
              <w:t>noteikum</w:t>
            </w:r>
            <w:r w:rsidR="007F48DB" w:rsidRPr="00BC7967">
              <w:rPr>
                <w:bCs/>
                <w:noProof/>
                <w:lang w:val="lv-LV"/>
              </w:rPr>
              <w:t>os</w:t>
            </w:r>
            <w:r w:rsidRPr="00BC7967">
              <w:rPr>
                <w:bCs/>
                <w:noProof/>
                <w:lang w:val="lv-LV"/>
              </w:rPr>
              <w:t xml:space="preserve"> Nr.800, </w:t>
            </w:r>
            <w:r w:rsidRPr="00BC7967">
              <w:rPr>
                <w:noProof/>
                <w:lang w:val="lv-LV"/>
              </w:rPr>
              <w:t>precizējot tajos zāļu  ražošanas/importēšanas licences formu un jaunu zāļu vairumtirdzniecības licences formu atbilst</w:t>
            </w:r>
            <w:r w:rsidR="00C75D11" w:rsidRPr="00BC7967">
              <w:rPr>
                <w:noProof/>
                <w:lang w:val="lv-LV"/>
              </w:rPr>
              <w:t>oši Eiropas Savienības formātam</w:t>
            </w:r>
          </w:p>
          <w:p w:rsidR="00736555" w:rsidRPr="00BC7967" w:rsidRDefault="00736555" w:rsidP="006541EF">
            <w:pPr>
              <w:jc w:val="both"/>
              <w:rPr>
                <w:noProof/>
                <w:lang w:val="lv-LV"/>
              </w:rPr>
            </w:pPr>
            <w:r w:rsidRPr="00BC7967">
              <w:rPr>
                <w:noProof/>
                <w:lang w:val="lv-LV"/>
              </w:rPr>
              <w:t>- </w:t>
            </w:r>
            <w:r w:rsidRPr="00BC7967">
              <w:rPr>
                <w:noProof/>
                <w:spacing w:val="-6"/>
                <w:lang w:val="lv-LV"/>
              </w:rPr>
              <w:t>MK noteikumos Nr.304</w:t>
            </w:r>
            <w:r w:rsidRPr="00BC7967">
              <w:rPr>
                <w:noProof/>
                <w:lang w:val="lv-LV"/>
              </w:rPr>
              <w:t>, precizējot tajā kontroles ziņojuma formu un labas ražošanas prakses sertifikāta formu atbilst</w:t>
            </w:r>
            <w:r w:rsidR="00C75D11" w:rsidRPr="00BC7967">
              <w:rPr>
                <w:noProof/>
                <w:lang w:val="lv-LV"/>
              </w:rPr>
              <w:t>oši Eiropas Savienības formātam</w:t>
            </w:r>
          </w:p>
          <w:p w:rsidR="007F48DB" w:rsidRPr="00BC7967" w:rsidRDefault="006B57C5" w:rsidP="006541EF">
            <w:pPr>
              <w:jc w:val="both"/>
              <w:rPr>
                <w:noProof/>
                <w:lang w:val="lv-LV"/>
              </w:rPr>
            </w:pPr>
            <w:r w:rsidRPr="00BC7967">
              <w:rPr>
                <w:noProof/>
                <w:lang w:val="lv-LV"/>
              </w:rPr>
              <w:t>- </w:t>
            </w:r>
            <w:r w:rsidR="007F48DB" w:rsidRPr="00BC7967">
              <w:rPr>
                <w:noProof/>
                <w:lang w:val="lv-LV"/>
              </w:rPr>
              <w:t>MK noteikumos Nr.416, iestrādājot tajos zāļu labas izplatīšanas prakses formu atbilstoši Eiropas Savienības formātam</w:t>
            </w:r>
          </w:p>
          <w:p w:rsidR="00736555" w:rsidRPr="00BC7967" w:rsidRDefault="006B57C5" w:rsidP="006541EF">
            <w:pPr>
              <w:jc w:val="both"/>
              <w:rPr>
                <w:noProof/>
                <w:lang w:val="lv-LV"/>
              </w:rPr>
            </w:pPr>
            <w:r w:rsidRPr="00BC7967">
              <w:rPr>
                <w:noProof/>
                <w:lang w:val="lv-LV"/>
              </w:rPr>
              <w:t>- </w:t>
            </w:r>
            <w:r w:rsidR="00C75D11" w:rsidRPr="00BC7967">
              <w:rPr>
                <w:noProof/>
                <w:lang w:val="lv-LV"/>
              </w:rPr>
              <w:t>MK noteikumiem par aktīvajām vielām iekļaujot tajā aktīvo vielu labas izplatīšanas prakses sertifikāta formu</w:t>
            </w:r>
            <w:r w:rsidR="000424E6" w:rsidRPr="00BC7967">
              <w:rPr>
                <w:noProof/>
                <w:lang w:val="lv-LV"/>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57F0F" w:rsidRPr="00BC7967" w:rsidRDefault="007F48DB" w:rsidP="006541EF">
            <w:pPr>
              <w:jc w:val="both"/>
              <w:rPr>
                <w:noProof/>
                <w:lang w:val="lv-LV"/>
              </w:rPr>
            </w:pPr>
            <w:r w:rsidRPr="00BC7967">
              <w:rPr>
                <w:noProof/>
                <w:lang w:val="lv-LV"/>
              </w:rPr>
              <w:t xml:space="preserve">Nav </w:t>
            </w:r>
          </w:p>
          <w:p w:rsidR="00736555" w:rsidRPr="00BC7967" w:rsidRDefault="00736555" w:rsidP="006541EF">
            <w:pPr>
              <w:jc w:val="both"/>
              <w:rPr>
                <w:noProof/>
                <w:lang w:val="lv-LV"/>
              </w:rPr>
            </w:pPr>
            <w:r w:rsidRPr="00BC7967">
              <w:rPr>
                <w:noProof/>
                <w:lang w:val="lv-LV"/>
              </w:rPr>
              <w:t>Dalībvalstis kopā ar Eiropas Zāļu aģentūru ir izstrādājušas:</w:t>
            </w:r>
          </w:p>
          <w:p w:rsidR="00736555" w:rsidRPr="00BC7967" w:rsidRDefault="00736555" w:rsidP="006541EF">
            <w:pPr>
              <w:rPr>
                <w:noProof/>
                <w:lang w:val="lv-LV"/>
              </w:rPr>
            </w:pPr>
            <w:r w:rsidRPr="00BC7967">
              <w:rPr>
                <w:noProof/>
                <w:lang w:val="lv-LV"/>
              </w:rPr>
              <w:t>- jaunu zāļu ražošanas/importēšanas licences formu - jaunu zāļu vairumti</w:t>
            </w:r>
            <w:r w:rsidR="00C75D11" w:rsidRPr="00BC7967">
              <w:rPr>
                <w:noProof/>
                <w:lang w:val="lv-LV"/>
              </w:rPr>
              <w:t>r</w:t>
            </w:r>
            <w:r w:rsidRPr="00BC7967">
              <w:rPr>
                <w:noProof/>
                <w:lang w:val="lv-LV"/>
              </w:rPr>
              <w:t>dzniecības licences formu</w:t>
            </w:r>
          </w:p>
          <w:p w:rsidR="00736555" w:rsidRPr="00BC7967" w:rsidRDefault="00736555" w:rsidP="006541EF">
            <w:pPr>
              <w:rPr>
                <w:noProof/>
                <w:lang w:val="lv-LV"/>
              </w:rPr>
            </w:pPr>
            <w:r w:rsidRPr="00BC7967">
              <w:rPr>
                <w:noProof/>
                <w:lang w:val="lv-LV"/>
              </w:rPr>
              <w:t>- jaunu kontroles ziņojuma formu</w:t>
            </w:r>
          </w:p>
          <w:p w:rsidR="00736555" w:rsidRPr="00BC7967" w:rsidRDefault="00736555" w:rsidP="006541EF">
            <w:pPr>
              <w:rPr>
                <w:noProof/>
                <w:lang w:val="lv-LV"/>
              </w:rPr>
            </w:pPr>
            <w:r w:rsidRPr="00BC7967">
              <w:rPr>
                <w:noProof/>
                <w:lang w:val="lv-LV"/>
              </w:rPr>
              <w:t>-  zāļu un aktīvo vielu labas ražošanas prakses sertifikāta formu</w:t>
            </w:r>
          </w:p>
          <w:p w:rsidR="00736555" w:rsidRPr="00BC7967" w:rsidRDefault="00736555" w:rsidP="006541EF">
            <w:pPr>
              <w:jc w:val="both"/>
              <w:rPr>
                <w:noProof/>
                <w:lang w:val="lv-LV"/>
              </w:rPr>
            </w:pPr>
            <w:r w:rsidRPr="00BC7967">
              <w:rPr>
                <w:noProof/>
                <w:lang w:val="lv-LV"/>
              </w:rPr>
              <w:t>- zāļu</w:t>
            </w:r>
            <w:r w:rsidR="00C75D11" w:rsidRPr="00BC7967">
              <w:rPr>
                <w:noProof/>
                <w:lang w:val="lv-LV"/>
              </w:rPr>
              <w:t xml:space="preserve"> un aktīvo vielu</w:t>
            </w:r>
            <w:r w:rsidRPr="00BC7967">
              <w:rPr>
                <w:noProof/>
                <w:lang w:val="lv-LV"/>
              </w:rPr>
              <w:t xml:space="preserve"> labas izplatīšanas prakse</w:t>
            </w:r>
            <w:r w:rsidR="00C75D11" w:rsidRPr="00BC7967">
              <w:rPr>
                <w:noProof/>
                <w:lang w:val="lv-LV"/>
              </w:rPr>
              <w:t>s sertifikāta</w:t>
            </w:r>
            <w:r w:rsidRPr="00BC7967">
              <w:rPr>
                <w:noProof/>
                <w:lang w:val="lv-LV"/>
              </w:rPr>
              <w:t xml:space="preserve"> formu, kura ir iekļauta Eiropas Kopienas apkopojumā par inspicēšanas un informācijas apmaiņas procedūrām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36555" w:rsidRPr="00BC7967" w:rsidRDefault="00736555" w:rsidP="006541EF">
            <w:pPr>
              <w:jc w:val="both"/>
              <w:rPr>
                <w:noProof/>
                <w:lang w:val="lv-LV"/>
              </w:rPr>
            </w:pPr>
            <w:r w:rsidRPr="00BC7967">
              <w:rPr>
                <w:noProof/>
                <w:lang w:val="lv-LV"/>
              </w:rPr>
              <w:t>Nav</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t xml:space="preserve">Direktīvas 2011/62/EK </w:t>
            </w:r>
            <w:r w:rsidRPr="00BC7967">
              <w:rPr>
                <w:lang w:val="lv-LV"/>
              </w:rPr>
              <w:t>1.panta 23.punkts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A475AF">
            <w:pPr>
              <w:rPr>
                <w:lang w:val="lv-LV"/>
              </w:rPr>
            </w:pPr>
            <w:r w:rsidRPr="00BC7967">
              <w:rPr>
                <w:lang w:val="lv-LV"/>
              </w:rPr>
              <w:t>Direktīvas norma tiks pārņemta ar grozījumiem MK noteikumos Nr.376</w:t>
            </w:r>
            <w:r w:rsidR="00B36544" w:rsidRPr="00BC7967">
              <w:rPr>
                <w:lang w:val="lv-LV"/>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A475AF">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A475AF">
            <w:pPr>
              <w:jc w:val="both"/>
              <w:rPr>
                <w:lang w:val="lv-LV"/>
              </w:rPr>
            </w:pPr>
            <w:r w:rsidRPr="00BC7967">
              <w:rPr>
                <w:lang w:val="lv-LV"/>
              </w:rPr>
              <w:t>Nav</w:t>
            </w:r>
          </w:p>
        </w:tc>
      </w:tr>
      <w:tr w:rsidR="00E132C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4134D0">
            <w:pPr>
              <w:jc w:val="both"/>
              <w:rPr>
                <w:noProof/>
                <w:lang w:val="lv-LV"/>
              </w:rPr>
            </w:pPr>
            <w:r w:rsidRPr="00BC7967">
              <w:rPr>
                <w:noProof/>
                <w:lang w:val="lv-LV"/>
              </w:rPr>
              <w:t xml:space="preserve">Direktīvas 2011/62/EK </w:t>
            </w:r>
            <w:r w:rsidRPr="00BC7967">
              <w:rPr>
                <w:lang w:val="lv-LV"/>
              </w:rPr>
              <w:t>1.panta 24.punkts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A475AF">
            <w:pPr>
              <w:pStyle w:val="NoSpacing"/>
              <w:rPr>
                <w:rFonts w:ascii="Times New Roman" w:hAnsi="Times New Roman"/>
                <w:bCs/>
                <w:sz w:val="24"/>
                <w:szCs w:val="24"/>
              </w:rPr>
            </w:pPr>
            <w:r w:rsidRPr="00BC7967">
              <w:rPr>
                <w:rFonts w:ascii="Times New Roman" w:hAnsi="Times New Roman"/>
                <w:sz w:val="24"/>
                <w:szCs w:val="24"/>
              </w:rPr>
              <w:t>Direktīvas norma ir ieviesta</w:t>
            </w:r>
            <w:r w:rsidR="00044A04" w:rsidRPr="00BC7967">
              <w:rPr>
                <w:rFonts w:ascii="Times New Roman" w:hAnsi="Times New Roman"/>
                <w:sz w:val="24"/>
                <w:szCs w:val="24"/>
              </w:rPr>
              <w:t xml:space="preserve"> </w:t>
            </w:r>
            <w:r w:rsidRPr="00BC7967">
              <w:rPr>
                <w:rFonts w:ascii="Times New Roman" w:hAnsi="Times New Roman"/>
                <w:sz w:val="24"/>
                <w:szCs w:val="24"/>
              </w:rPr>
              <w:t xml:space="preserve">ar </w:t>
            </w:r>
            <w:r w:rsidRPr="00BC7967">
              <w:rPr>
                <w:rFonts w:ascii="Times New Roman" w:hAnsi="Times New Roman"/>
                <w:bCs/>
                <w:sz w:val="24"/>
                <w:szCs w:val="24"/>
              </w:rPr>
              <w:t xml:space="preserve">MK noteikumiem Nr.416 </w:t>
            </w:r>
          </w:p>
          <w:p w:rsidR="00E132C5" w:rsidRPr="00BC7967" w:rsidRDefault="00E132C5" w:rsidP="00A475AF">
            <w:pPr>
              <w:rPr>
                <w:lang w:val="lv-LV"/>
              </w:rPr>
            </w:pPr>
            <w:r w:rsidRPr="00BC7967">
              <w:rPr>
                <w:bCs/>
                <w:lang w:val="lv-LV"/>
              </w:rPr>
              <w:t>(</w:t>
            </w:r>
            <w:bookmarkStart w:id="1" w:name="243060"/>
            <w:r w:rsidRPr="00BC7967">
              <w:rPr>
                <w:lang w:val="lv-LV"/>
              </w:rPr>
              <w:t>XI. Rīcība ārkārtas situācijās un zāļu atsaukšanas kārtība</w:t>
            </w:r>
            <w:bookmarkStart w:id="2" w:name="243074"/>
            <w:bookmarkEnd w:id="1"/>
            <w:r w:rsidRPr="00BC7967">
              <w:rPr>
                <w:lang w:val="lv-LV"/>
              </w:rPr>
              <w:t>. XII. Kompetentās iestādes pienākumi un procedūra ātrai reaģēšanai</w:t>
            </w:r>
            <w:bookmarkEnd w:id="2"/>
            <w:r w:rsidRPr="00BC7967">
              <w:rPr>
                <w:lang w:val="lv-LV"/>
              </w:rPr>
              <w:t>)</w:t>
            </w:r>
            <w:r w:rsidR="006B57C5" w:rsidRPr="00BC7967">
              <w:rPr>
                <w:lang w:val="lv-LV"/>
              </w:rPr>
              <w:t>.</w:t>
            </w:r>
          </w:p>
          <w:p w:rsidR="00044A04" w:rsidRPr="00BC7967" w:rsidRDefault="00044A04" w:rsidP="00A475AF">
            <w:pPr>
              <w:rPr>
                <w:lang w:val="lv-LV"/>
              </w:rPr>
            </w:pPr>
          </w:p>
          <w:p w:rsidR="00044A04" w:rsidRPr="00BC7967" w:rsidRDefault="00044A04" w:rsidP="00044A04">
            <w:pPr>
              <w:rPr>
                <w:lang w:val="lv-LV"/>
              </w:rPr>
            </w:pP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Direktīvas norma pārņemta pilnībā</w:t>
            </w:r>
            <w:r w:rsidR="00EB38BD" w:rsidRPr="00BC7967">
              <w:rPr>
                <w:noProof/>
                <w:lang w:val="lv-LV"/>
              </w:rPr>
              <w:t>.</w:t>
            </w:r>
            <w:r w:rsidRPr="00BC7967">
              <w:rPr>
                <w:noProof/>
                <w:lang w:val="lv-LV"/>
              </w:rPr>
              <w:t xml:space="preserve">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A82827" w:rsidP="006541EF">
            <w:pPr>
              <w:jc w:val="both"/>
              <w:rPr>
                <w:noProof/>
                <w:lang w:val="lv-LV"/>
              </w:rPr>
            </w:pPr>
            <w:r w:rsidRPr="00BC7967">
              <w:rPr>
                <w:noProof/>
                <w:lang w:val="lv-LV"/>
              </w:rPr>
              <w:t>Nav</w:t>
            </w:r>
          </w:p>
        </w:tc>
      </w:tr>
      <w:tr w:rsidR="00F63AA4"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3AA4" w:rsidRPr="00BC7967" w:rsidRDefault="00F63AA4" w:rsidP="004134D0">
            <w:pPr>
              <w:jc w:val="both"/>
              <w:rPr>
                <w:noProof/>
                <w:lang w:val="lv-LV"/>
              </w:rPr>
            </w:pPr>
            <w:r w:rsidRPr="00BC7967">
              <w:rPr>
                <w:noProof/>
                <w:lang w:val="lv-LV"/>
              </w:rPr>
              <w:lastRenderedPageBreak/>
              <w:t xml:space="preserve">Direktīvas 2011/62/EK </w:t>
            </w:r>
            <w:r w:rsidRPr="00BC7967">
              <w:rPr>
                <w:lang w:val="lv-LV"/>
              </w:rPr>
              <w:t>1.panta 25.punkts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F48DB" w:rsidRPr="00BC7967" w:rsidRDefault="00513518" w:rsidP="006541EF">
            <w:pPr>
              <w:pStyle w:val="NoSpacing"/>
              <w:rPr>
                <w:rFonts w:ascii="Times New Roman" w:hAnsi="Times New Roman"/>
                <w:noProof/>
                <w:sz w:val="24"/>
                <w:szCs w:val="24"/>
              </w:rPr>
            </w:pPr>
            <w:r w:rsidRPr="00BC7967">
              <w:rPr>
                <w:rFonts w:ascii="Times New Roman" w:hAnsi="Times New Roman"/>
                <w:noProof/>
                <w:sz w:val="24"/>
                <w:szCs w:val="24"/>
              </w:rPr>
              <w:t>1.</w:t>
            </w:r>
            <w:r w:rsidR="003D7055" w:rsidRPr="00BC7967">
              <w:rPr>
                <w:rFonts w:ascii="Times New Roman" w:hAnsi="Times New Roman"/>
                <w:noProof/>
                <w:sz w:val="24"/>
                <w:szCs w:val="24"/>
              </w:rPr>
              <w:t>1</w:t>
            </w:r>
            <w:r w:rsidRPr="00BC7967">
              <w:rPr>
                <w:rFonts w:ascii="Times New Roman" w:hAnsi="Times New Roman"/>
                <w:noProof/>
                <w:sz w:val="24"/>
                <w:szCs w:val="24"/>
              </w:rPr>
              <w:t>0., 1.11</w:t>
            </w:r>
            <w:r w:rsidR="007F48DB" w:rsidRPr="00BC7967">
              <w:rPr>
                <w:rFonts w:ascii="Times New Roman" w:hAnsi="Times New Roman"/>
                <w:noProof/>
                <w:sz w:val="24"/>
                <w:szCs w:val="24"/>
              </w:rPr>
              <w:t>.punkts (attiecībā uz Direktīvas 2001/83/ES 118 c pantu)</w:t>
            </w:r>
            <w:r w:rsidR="006B57C5" w:rsidRPr="00BC7967">
              <w:rPr>
                <w:rFonts w:ascii="Times New Roman" w:hAnsi="Times New Roman"/>
                <w:noProof/>
                <w:sz w:val="24"/>
                <w:szCs w:val="24"/>
              </w:rPr>
              <w:t>.</w:t>
            </w:r>
          </w:p>
          <w:p w:rsidR="007F48DB" w:rsidRPr="00BC7967" w:rsidRDefault="007F48DB" w:rsidP="006541EF">
            <w:pPr>
              <w:pStyle w:val="NoSpacing"/>
              <w:rPr>
                <w:rFonts w:ascii="Times New Roman" w:hAnsi="Times New Roman"/>
                <w:noProof/>
                <w:sz w:val="24"/>
                <w:szCs w:val="24"/>
              </w:rPr>
            </w:pPr>
          </w:p>
          <w:p w:rsidR="00F63AA4" w:rsidRPr="00BC7967" w:rsidRDefault="00F63AA4" w:rsidP="006541EF">
            <w:pPr>
              <w:pStyle w:val="NoSpacing"/>
              <w:rPr>
                <w:rFonts w:ascii="Times New Roman" w:hAnsi="Times New Roman"/>
                <w:noProof/>
                <w:sz w:val="24"/>
                <w:szCs w:val="24"/>
              </w:rPr>
            </w:pPr>
            <w:r w:rsidRPr="00BC7967">
              <w:rPr>
                <w:rFonts w:ascii="Times New Roman" w:hAnsi="Times New Roman"/>
                <w:noProof/>
                <w:sz w:val="24"/>
                <w:szCs w:val="24"/>
              </w:rPr>
              <w:t xml:space="preserve">Direktīvas norma ir ieviesta daļēji ar </w:t>
            </w:r>
            <w:r w:rsidR="007F48DB" w:rsidRPr="00BC7967">
              <w:rPr>
                <w:rFonts w:ascii="Times New Roman" w:hAnsi="Times New Roman"/>
                <w:noProof/>
                <w:sz w:val="24"/>
                <w:szCs w:val="24"/>
              </w:rPr>
              <w:t xml:space="preserve">Latvijas </w:t>
            </w:r>
            <w:r w:rsidRPr="00BC7967">
              <w:rPr>
                <w:rFonts w:ascii="Times New Roman" w:hAnsi="Times New Roman"/>
                <w:bCs/>
                <w:noProof/>
                <w:sz w:val="24"/>
                <w:szCs w:val="24"/>
              </w:rPr>
              <w:t>Administratīvo pārkāpumu kodeksa 46.</w:t>
            </w:r>
            <w:r w:rsidRPr="00BC7967">
              <w:rPr>
                <w:rFonts w:ascii="Times New Roman" w:hAnsi="Times New Roman"/>
                <w:bCs/>
                <w:noProof/>
                <w:sz w:val="24"/>
                <w:szCs w:val="24"/>
                <w:vertAlign w:val="superscript"/>
              </w:rPr>
              <w:t xml:space="preserve">1 </w:t>
            </w:r>
            <w:r w:rsidRPr="00BC7967">
              <w:rPr>
                <w:rFonts w:ascii="Times New Roman" w:hAnsi="Times New Roman"/>
                <w:bCs/>
                <w:noProof/>
                <w:sz w:val="24"/>
                <w:szCs w:val="24"/>
              </w:rPr>
              <w:t xml:space="preserve">pantu attiecībā uz </w:t>
            </w:r>
            <w:r w:rsidRPr="00BC7967">
              <w:rPr>
                <w:rFonts w:ascii="Times New Roman" w:hAnsi="Times New Roman"/>
                <w:noProof/>
                <w:sz w:val="24"/>
                <w:szCs w:val="24"/>
              </w:rPr>
              <w:t>zāļu ražošanas, kontroles un izplatīšanas noteikumu pārkāpšanu, par Latvijas Republikā nereģistrētu vai neatļautu zāļu izplatīšanu, par tādu zāļu izplatīšanu, kurām beidzies derīguma termiņš vai kuru kvalitāte neatbilst apstiprinātās tehnisko normatīvu dokumentācijas prasībām</w:t>
            </w:r>
            <w:r w:rsidR="00EB38BD" w:rsidRPr="00BC7967">
              <w:rPr>
                <w:rFonts w:ascii="Times New Roman" w:hAnsi="Times New Roman"/>
                <w:noProof/>
                <w:sz w:val="24"/>
                <w:szCs w:val="24"/>
              </w:rPr>
              <w:t>.</w:t>
            </w:r>
          </w:p>
          <w:p w:rsidR="00F63AA4" w:rsidRPr="00BC7967" w:rsidRDefault="00F63AA4" w:rsidP="006541EF">
            <w:pPr>
              <w:pStyle w:val="NoSpacing"/>
              <w:jc w:val="both"/>
              <w:rPr>
                <w:rFonts w:ascii="Times New Roman" w:eastAsia="Times New Roman" w:hAnsi="Times New Roman"/>
                <w:noProof/>
                <w:sz w:val="24"/>
                <w:szCs w:val="24"/>
                <w:lang w:eastAsia="lv-LV"/>
              </w:rPr>
            </w:pPr>
          </w:p>
          <w:p w:rsidR="00F63AA4" w:rsidRPr="00BC7967" w:rsidRDefault="00F63AA4" w:rsidP="006541EF">
            <w:pPr>
              <w:pStyle w:val="NoSpacing"/>
              <w:jc w:val="both"/>
              <w:rPr>
                <w:rFonts w:ascii="Times New Roman" w:eastAsia="Times New Roman" w:hAnsi="Times New Roman"/>
                <w:noProof/>
                <w:sz w:val="24"/>
                <w:szCs w:val="24"/>
                <w:lang w:eastAsia="lv-LV"/>
              </w:rPr>
            </w:pPr>
            <w:r w:rsidRPr="00BC7967">
              <w:rPr>
                <w:rFonts w:ascii="Times New Roman" w:eastAsia="Times New Roman" w:hAnsi="Times New Roman"/>
                <w:noProof/>
                <w:sz w:val="24"/>
                <w:szCs w:val="24"/>
                <w:lang w:eastAsia="lv-LV"/>
              </w:rPr>
              <w:t>MK noteikumiem Nr.436 (53.punkts - attiecībā uz Direktīvas 2001/83/ES 118 c pantu).</w:t>
            </w:r>
          </w:p>
          <w:p w:rsidR="00F63AA4" w:rsidRPr="00BC7967" w:rsidRDefault="00F63AA4" w:rsidP="006541EF">
            <w:pPr>
              <w:pStyle w:val="NoSpacing"/>
              <w:rPr>
                <w:rFonts w:ascii="Times New Roman" w:hAnsi="Times New Roman"/>
                <w:noProof/>
                <w:sz w:val="24"/>
                <w:szCs w:val="24"/>
              </w:rPr>
            </w:pPr>
          </w:p>
          <w:p w:rsidR="00F63AA4" w:rsidRPr="00BC7967" w:rsidRDefault="00F63AA4" w:rsidP="006541EF">
            <w:pPr>
              <w:pStyle w:val="NoSpacing"/>
              <w:jc w:val="both"/>
              <w:rPr>
                <w:rFonts w:ascii="Times New Roman" w:hAnsi="Times New Roman"/>
                <w:bCs/>
                <w:noProof/>
                <w:sz w:val="24"/>
                <w:szCs w:val="24"/>
              </w:rPr>
            </w:pPr>
            <w:r w:rsidRPr="00BC7967">
              <w:rPr>
                <w:rFonts w:ascii="Times New Roman" w:hAnsi="Times New Roman"/>
                <w:noProof/>
                <w:sz w:val="24"/>
                <w:szCs w:val="24"/>
              </w:rPr>
              <w:t xml:space="preserve">Direktīvas normas tiks ieviestas ar grozījumiem </w:t>
            </w:r>
            <w:r w:rsidR="007F48DB" w:rsidRPr="00BC7967">
              <w:rPr>
                <w:rFonts w:ascii="Times New Roman" w:hAnsi="Times New Roman"/>
                <w:noProof/>
                <w:sz w:val="24"/>
                <w:szCs w:val="24"/>
              </w:rPr>
              <w:t xml:space="preserve">Latvijas </w:t>
            </w:r>
            <w:r w:rsidRPr="00BC7967">
              <w:rPr>
                <w:rFonts w:ascii="Times New Roman" w:hAnsi="Times New Roman"/>
                <w:bCs/>
                <w:noProof/>
                <w:sz w:val="24"/>
                <w:szCs w:val="24"/>
              </w:rPr>
              <w:t>Administratīvo pārkāpumu kodeksā saistībā ar neatbilstību noteikumiem par aktīvo vielu ražošanu, izplatīšanu, importu un eksportu un palīgvielu izmantošanu</w:t>
            </w:r>
            <w:r w:rsidR="00EB38BD" w:rsidRPr="00BC7967">
              <w:rPr>
                <w:rFonts w:ascii="Times New Roman" w:hAnsi="Times New Roman"/>
                <w:bCs/>
                <w:noProof/>
                <w:sz w:val="24"/>
                <w:szCs w:val="24"/>
              </w:rPr>
              <w:t>.</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3AA4" w:rsidRPr="00BC7967" w:rsidRDefault="00F63AA4" w:rsidP="006541EF">
            <w:pPr>
              <w:jc w:val="both"/>
              <w:rPr>
                <w:noProof/>
                <w:lang w:val="lv-LV"/>
              </w:rPr>
            </w:pPr>
            <w:r w:rsidRPr="00BC7967">
              <w:rPr>
                <w:noProof/>
                <w:lang w:val="lv-LV"/>
              </w:rPr>
              <w:t>Direktīvas norma pārņemta daļēji</w:t>
            </w:r>
            <w:r w:rsidR="00EB38BD" w:rsidRPr="00BC7967">
              <w:rPr>
                <w:noProof/>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3AA4" w:rsidRPr="00BC7967" w:rsidRDefault="00F63AA4" w:rsidP="006541EF">
            <w:pPr>
              <w:jc w:val="both"/>
              <w:rPr>
                <w:noProof/>
                <w:lang w:val="lv-LV"/>
              </w:rPr>
            </w:pPr>
            <w:r w:rsidRPr="00BC7967">
              <w:rPr>
                <w:noProof/>
                <w:lang w:val="lv-LV"/>
              </w:rPr>
              <w:t>Nav</w:t>
            </w:r>
          </w:p>
        </w:tc>
      </w:tr>
      <w:tr w:rsidR="00E132C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Direktīvas 2011/62/EK 1.panta 26.punkts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pStyle w:val="NoSpacing"/>
              <w:rPr>
                <w:rFonts w:ascii="Times New Roman" w:hAnsi="Times New Roman"/>
                <w:noProof/>
                <w:sz w:val="24"/>
                <w:szCs w:val="24"/>
              </w:rPr>
            </w:pPr>
            <w:r w:rsidRPr="00BC7967">
              <w:rPr>
                <w:rFonts w:ascii="Times New Roman" w:hAnsi="Times New Roman"/>
                <w:noProof/>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Nav jāievieš, jo norma attiecas uz Eiropas Komisijas pilnvarām.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Nav</w:t>
            </w:r>
          </w:p>
        </w:tc>
      </w:tr>
      <w:tr w:rsidR="00E132C5"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Direktīvas 2011/62/EK 1.panta 27.punkts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pStyle w:val="NoSpacing"/>
              <w:rPr>
                <w:rFonts w:ascii="Times New Roman" w:hAnsi="Times New Roman"/>
                <w:noProof/>
                <w:sz w:val="24"/>
                <w:szCs w:val="24"/>
              </w:rPr>
            </w:pPr>
            <w:r w:rsidRPr="00BC7967">
              <w:rPr>
                <w:rFonts w:ascii="Times New Roman" w:hAnsi="Times New Roman"/>
                <w:noProof/>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Nav jāievieš, jo norma attiecas uz Eiropas Parlamenta un Padomes pilnvarām.</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132C5" w:rsidRPr="00BC7967" w:rsidRDefault="00E132C5" w:rsidP="006541EF">
            <w:pPr>
              <w:jc w:val="both"/>
              <w:rPr>
                <w:noProof/>
                <w:lang w:val="lv-LV"/>
              </w:rPr>
            </w:pPr>
            <w:r w:rsidRPr="00BC7967">
              <w:rPr>
                <w:noProof/>
                <w:lang w:val="lv-LV"/>
              </w:rPr>
              <w:t>Nav</w:t>
            </w:r>
          </w:p>
        </w:tc>
      </w:tr>
      <w:tr w:rsidR="00B375BC"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4134D0">
            <w:pPr>
              <w:jc w:val="both"/>
              <w:rPr>
                <w:noProof/>
                <w:lang w:val="lv-LV"/>
              </w:rPr>
            </w:pPr>
            <w:r w:rsidRPr="00BC7967">
              <w:rPr>
                <w:noProof/>
                <w:lang w:val="lv-LV"/>
              </w:rPr>
              <w:t xml:space="preserve">Direktīvas 2011/62/EK </w:t>
            </w:r>
            <w:r w:rsidRPr="00BC7967">
              <w:rPr>
                <w:lang w:val="lv-LV"/>
              </w:rPr>
              <w:t>2.panta 2.punkts a)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375BC" w:rsidP="00BB7CBB">
            <w:pPr>
              <w:pStyle w:val="NoSpacing"/>
              <w:jc w:val="both"/>
              <w:rPr>
                <w:rFonts w:ascii="Times New Roman" w:hAnsi="Times New Roman"/>
                <w:sz w:val="24"/>
                <w:szCs w:val="24"/>
              </w:rPr>
            </w:pPr>
            <w:r w:rsidRPr="00BC7967">
              <w:rPr>
                <w:rFonts w:ascii="Times New Roman" w:hAnsi="Times New Roman"/>
                <w:sz w:val="24"/>
                <w:szCs w:val="24"/>
              </w:rPr>
              <w:t>Direktīvas norma tiks pārņemta ar</w:t>
            </w:r>
            <w:r w:rsidR="00BB7CBB" w:rsidRPr="00BC7967">
              <w:rPr>
                <w:rFonts w:ascii="Times New Roman" w:hAnsi="Times New Roman"/>
                <w:sz w:val="24"/>
                <w:szCs w:val="24"/>
              </w:rPr>
              <w:t xml:space="preserve"> </w:t>
            </w:r>
            <w:r w:rsidRPr="00BC7967">
              <w:rPr>
                <w:rFonts w:ascii="Times New Roman" w:hAnsi="Times New Roman"/>
                <w:sz w:val="24"/>
                <w:szCs w:val="24"/>
              </w:rPr>
              <w:t xml:space="preserve">MK noteikumiem par </w:t>
            </w:r>
            <w:r w:rsidR="00BB7CBB" w:rsidRPr="00BC7967">
              <w:rPr>
                <w:rFonts w:ascii="Times New Roman" w:hAnsi="Times New Roman"/>
                <w:sz w:val="24"/>
                <w:szCs w:val="24"/>
              </w:rPr>
              <w:t>aktīvajām vielām</w:t>
            </w:r>
            <w:r w:rsidR="00EB38BD" w:rsidRPr="00BC7967">
              <w:rPr>
                <w:rFonts w:ascii="Times New Roman" w:hAnsi="Times New Roman"/>
                <w:sz w:val="24"/>
                <w:szCs w:val="24"/>
              </w:rPr>
              <w:t>.</w:t>
            </w:r>
          </w:p>
          <w:p w:rsidR="00B375BC" w:rsidRPr="00BC7967" w:rsidRDefault="00B375BC" w:rsidP="006014BC">
            <w:pPr>
              <w:pStyle w:val="NoSpacing"/>
              <w:jc w:val="both"/>
              <w:rPr>
                <w:rFonts w:ascii="Times New Roman" w:hAnsi="Times New Roman"/>
                <w:sz w:val="24"/>
                <w:szCs w:val="24"/>
              </w:rPr>
            </w:pP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D25418">
            <w:pPr>
              <w:jc w:val="both"/>
              <w:rPr>
                <w:lang w:val="lv-LV"/>
              </w:rPr>
            </w:pPr>
            <w:r w:rsidRPr="00BC7967">
              <w:rPr>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375BC" w:rsidRPr="00BC7967" w:rsidRDefault="00B375BC" w:rsidP="00D25418">
            <w:pPr>
              <w:jc w:val="both"/>
              <w:rPr>
                <w:lang w:val="lv-LV"/>
              </w:rPr>
            </w:pPr>
            <w:r w:rsidRPr="00BC7967">
              <w:rPr>
                <w:lang w:val="lv-LV"/>
              </w:rPr>
              <w:t>Nav</w:t>
            </w:r>
          </w:p>
        </w:tc>
      </w:tr>
      <w:tr w:rsidR="00BB7CBB"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4134D0">
            <w:pPr>
              <w:jc w:val="both"/>
              <w:rPr>
                <w:noProof/>
                <w:lang w:val="lv-LV"/>
              </w:rPr>
            </w:pPr>
            <w:r w:rsidRPr="00BC7967">
              <w:rPr>
                <w:noProof/>
                <w:lang w:val="lv-LV"/>
              </w:rPr>
              <w:lastRenderedPageBreak/>
              <w:t xml:space="preserve">Direktīvas 2011/62/EK </w:t>
            </w:r>
            <w:r w:rsidRPr="00BC7967">
              <w:rPr>
                <w:lang w:val="lv-LV"/>
              </w:rPr>
              <w:t>2.panta 2.punkts b)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pStyle w:val="NoSpacing"/>
              <w:rPr>
                <w:rFonts w:ascii="Times New Roman" w:hAnsi="Times New Roman"/>
                <w:noProof/>
                <w:sz w:val="24"/>
                <w:szCs w:val="24"/>
              </w:rPr>
            </w:pPr>
            <w:r w:rsidRPr="00BC7967">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jc w:val="both"/>
              <w:rPr>
                <w:noProof/>
                <w:lang w:val="lv-LV"/>
              </w:rPr>
            </w:pPr>
            <w:r w:rsidRPr="00BC7967">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jc w:val="both"/>
              <w:rPr>
                <w:noProof/>
                <w:lang w:val="lv-LV"/>
              </w:rPr>
            </w:pPr>
            <w:r w:rsidRPr="00BC7967">
              <w:rPr>
                <w:noProof/>
                <w:lang w:val="lv-LV"/>
              </w:rPr>
              <w:t>Nav</w:t>
            </w:r>
          </w:p>
        </w:tc>
      </w:tr>
      <w:tr w:rsidR="00BB7CBB" w:rsidRPr="00BC7967" w:rsidTr="00BC7967">
        <w:tblPrEx>
          <w:tblCellMar>
            <w:left w:w="0" w:type="dxa"/>
            <w:right w:w="0" w:type="dxa"/>
          </w:tblCellMar>
        </w:tblPrEx>
        <w:trPr>
          <w:cantSplit/>
          <w:trHeight w:val="3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4134D0">
            <w:pPr>
              <w:jc w:val="both"/>
              <w:rPr>
                <w:noProof/>
                <w:lang w:val="lv-LV"/>
              </w:rPr>
            </w:pPr>
            <w:r w:rsidRPr="00BC7967">
              <w:rPr>
                <w:noProof/>
                <w:lang w:val="lv-LV"/>
              </w:rPr>
              <w:t xml:space="preserve">Direktīvas 2011/62/EK </w:t>
            </w:r>
            <w:r w:rsidRPr="00BC7967">
              <w:rPr>
                <w:lang w:val="lv-LV"/>
              </w:rPr>
              <w:t>2.panta 2.punkts c) apakšpunkts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pStyle w:val="NoSpacing"/>
              <w:rPr>
                <w:rFonts w:ascii="Times New Roman" w:hAnsi="Times New Roman"/>
                <w:noProof/>
                <w:sz w:val="24"/>
                <w:szCs w:val="24"/>
              </w:rPr>
            </w:pPr>
            <w:r w:rsidRPr="00BC7967">
              <w:rPr>
                <w:rFonts w:ascii="Times New Roman" w:hAnsi="Times New Roman"/>
                <w:noProof/>
                <w:sz w:val="24"/>
                <w:szCs w:val="24"/>
              </w:rPr>
              <w:t>Direktīvas norma tiks pārņemta pēc Eiropas Komisijas deleģētā akta pieņemšanas, kuru Eiropas Komisija paredz pieņemt regulas formā 2013.gadā.</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jc w:val="both"/>
              <w:rPr>
                <w:noProof/>
                <w:lang w:val="lv-LV"/>
              </w:rPr>
            </w:pPr>
            <w:r w:rsidRPr="00BC7967">
              <w:rPr>
                <w:noProof/>
                <w:lang w:val="lv-LV"/>
              </w:rPr>
              <w:t>Nav</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B7CBB" w:rsidRPr="00BC7967" w:rsidRDefault="00BB7CBB" w:rsidP="006541EF">
            <w:pPr>
              <w:jc w:val="both"/>
              <w:rPr>
                <w:noProof/>
                <w:lang w:val="lv-LV"/>
              </w:rPr>
            </w:pPr>
            <w:r w:rsidRPr="00BC7967">
              <w:rPr>
                <w:noProof/>
                <w:lang w:val="lv-LV"/>
              </w:rPr>
              <w:t>Nav</w:t>
            </w:r>
          </w:p>
        </w:tc>
      </w:tr>
      <w:tr w:rsidR="00231BEF" w:rsidRPr="00BC7967" w:rsidTr="00BC7967">
        <w:tblPrEx>
          <w:tblCellMar>
            <w:left w:w="0" w:type="dxa"/>
            <w:right w:w="0" w:type="dxa"/>
          </w:tblCellMar>
        </w:tblPrEx>
        <w:trPr>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1BEF" w:rsidRPr="00BC7967" w:rsidRDefault="00231BEF" w:rsidP="0037714E">
            <w:pPr>
              <w:jc w:val="both"/>
              <w:rPr>
                <w:noProof/>
                <w:lang w:val="lv-LV"/>
              </w:rPr>
            </w:pPr>
            <w:r w:rsidRPr="00BC7967">
              <w:rPr>
                <w:noProof/>
                <w:lang w:val="lv-LV"/>
              </w:rPr>
              <w:t>Direktīvas 2011/62/EK 2.panta 3.punkts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700E0" w:rsidRPr="00BC7967" w:rsidRDefault="007C793F" w:rsidP="00E700E0">
            <w:pPr>
              <w:pStyle w:val="NoSpacing"/>
              <w:jc w:val="both"/>
              <w:rPr>
                <w:rFonts w:ascii="Times New Roman" w:hAnsi="Times New Roman"/>
                <w:noProof/>
                <w:sz w:val="24"/>
                <w:szCs w:val="24"/>
              </w:rPr>
            </w:pPr>
            <w:r w:rsidRPr="00BC7967">
              <w:rPr>
                <w:rFonts w:ascii="Times New Roman" w:hAnsi="Times New Roman"/>
                <w:noProof/>
                <w:sz w:val="24"/>
                <w:szCs w:val="24"/>
              </w:rPr>
              <w:t>1.</w:t>
            </w:r>
            <w:r w:rsidR="00513518" w:rsidRPr="00BC7967">
              <w:rPr>
                <w:rFonts w:ascii="Times New Roman" w:hAnsi="Times New Roman"/>
                <w:noProof/>
                <w:sz w:val="24"/>
                <w:szCs w:val="24"/>
              </w:rPr>
              <w:t>12</w:t>
            </w:r>
            <w:r w:rsidR="00231BEF" w:rsidRPr="00BC7967">
              <w:rPr>
                <w:rFonts w:ascii="Times New Roman" w:hAnsi="Times New Roman"/>
                <w:noProof/>
                <w:sz w:val="24"/>
                <w:szCs w:val="24"/>
              </w:rPr>
              <w:t>.</w:t>
            </w:r>
            <w:r w:rsidR="00EB38BD" w:rsidRPr="00BC7967">
              <w:rPr>
                <w:rFonts w:ascii="Times New Roman" w:hAnsi="Times New Roman"/>
                <w:noProof/>
                <w:sz w:val="24"/>
                <w:szCs w:val="24"/>
              </w:rPr>
              <w:t>apakš</w:t>
            </w:r>
            <w:r w:rsidR="00231BEF" w:rsidRPr="00BC7967">
              <w:rPr>
                <w:rFonts w:ascii="Times New Roman" w:hAnsi="Times New Roman"/>
                <w:noProof/>
                <w:sz w:val="24"/>
                <w:szCs w:val="24"/>
              </w:rPr>
              <w:t xml:space="preserve">punkts </w:t>
            </w:r>
            <w:r w:rsidR="00E700E0" w:rsidRPr="00BC7967">
              <w:rPr>
                <w:rFonts w:ascii="Times New Roman" w:hAnsi="Times New Roman"/>
                <w:noProof/>
                <w:sz w:val="24"/>
                <w:szCs w:val="24"/>
              </w:rPr>
              <w:t xml:space="preserve">(Informatīvā atsauce uz Eiropas Savienības direktīvu) </w:t>
            </w:r>
          </w:p>
          <w:p w:rsidR="00231BEF" w:rsidRPr="00BC7967" w:rsidRDefault="00231BEF" w:rsidP="00231BEF">
            <w:pPr>
              <w:pStyle w:val="NoSpacing"/>
              <w:rPr>
                <w:rFonts w:ascii="Times New Roman" w:hAnsi="Times New Roman"/>
                <w:noProof/>
                <w:sz w:val="24"/>
                <w:szCs w:val="24"/>
              </w:rPr>
            </w:pP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1BEF" w:rsidRPr="00BC7967" w:rsidRDefault="00231BEF" w:rsidP="006541EF">
            <w:pPr>
              <w:jc w:val="both"/>
              <w:rPr>
                <w:noProof/>
                <w:lang w:val="lv-LV"/>
              </w:rPr>
            </w:pPr>
            <w:r w:rsidRPr="00BC7967">
              <w:rPr>
                <w:noProof/>
                <w:lang w:val="lv-LV"/>
              </w:rPr>
              <w:t>Direktīvas norma pārņemta pilnībā</w:t>
            </w:r>
            <w:r w:rsidR="00EB38BD" w:rsidRPr="00BC7967">
              <w:rPr>
                <w:noProof/>
                <w:lang w:val="lv-LV"/>
              </w:rPr>
              <w:t>.</w:t>
            </w:r>
            <w:r w:rsidRPr="00BC7967">
              <w:rPr>
                <w:noProof/>
                <w:lang w:val="lv-LV"/>
              </w:rPr>
              <w:t xml:space="preserve"> </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1BEF" w:rsidRPr="00BC7967" w:rsidRDefault="00231BEF" w:rsidP="006541EF">
            <w:pPr>
              <w:jc w:val="both"/>
              <w:rPr>
                <w:noProof/>
                <w:lang w:val="lv-LV"/>
              </w:rPr>
            </w:pPr>
            <w:r w:rsidRPr="00BC7967">
              <w:rPr>
                <w:noProof/>
                <w:lang w:val="lv-LV"/>
              </w:rPr>
              <w:t>Stingrākas prasības neparedz</w:t>
            </w:r>
            <w:r w:rsidR="00EB38BD" w:rsidRPr="00BC7967">
              <w:rPr>
                <w:noProof/>
                <w:lang w:val="lv-LV"/>
              </w:rPr>
              <w:t>.</w:t>
            </w:r>
          </w:p>
        </w:tc>
      </w:tr>
      <w:tr w:rsidR="009D0E26" w:rsidRPr="00BC7967" w:rsidTr="00BC7967">
        <w:tblPrEx>
          <w:tblCellMar>
            <w:left w:w="0" w:type="dxa"/>
            <w:right w:w="0" w:type="dxa"/>
          </w:tblCellMar>
        </w:tblPrEx>
        <w:trPr>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9D0E26">
            <w:pPr>
              <w:jc w:val="both"/>
              <w:rPr>
                <w:noProof/>
                <w:lang w:val="lv-LV"/>
              </w:rPr>
            </w:pPr>
            <w:r w:rsidRPr="00BC7967">
              <w:rPr>
                <w:noProof/>
                <w:lang w:val="lv-LV"/>
              </w:rPr>
              <w:t>Direktīvas 2011/62/EK 3.pants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743F60">
            <w:pPr>
              <w:pStyle w:val="NoSpacing"/>
              <w:rPr>
                <w:rFonts w:ascii="Times New Roman" w:hAnsi="Times New Roman"/>
                <w:sz w:val="24"/>
                <w:szCs w:val="24"/>
              </w:rPr>
            </w:pPr>
            <w:r w:rsidRPr="00BC7967">
              <w:rPr>
                <w:rFonts w:ascii="Times New Roman" w:hAnsi="Times New Roman"/>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4136CE">
            <w:pPr>
              <w:jc w:val="both"/>
              <w:rPr>
                <w:lang w:val="lv-LV"/>
              </w:rPr>
            </w:pPr>
            <w:r w:rsidRPr="00BC7967">
              <w:rPr>
                <w:lang w:val="lv-LV"/>
              </w:rPr>
              <w:t>Nav jāpārņem, jo attiecas uz Eiropas Komisijas pienākumu</w:t>
            </w:r>
            <w:r w:rsidR="00EB38BD"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4136CE">
            <w:pPr>
              <w:jc w:val="both"/>
              <w:rPr>
                <w:lang w:val="lv-LV"/>
              </w:rPr>
            </w:pPr>
            <w:r w:rsidRPr="00BC7967">
              <w:rPr>
                <w:lang w:val="lv-LV"/>
              </w:rPr>
              <w:t>Nav</w:t>
            </w:r>
          </w:p>
        </w:tc>
      </w:tr>
      <w:tr w:rsidR="009D0E26" w:rsidRPr="00BC7967" w:rsidTr="00BC7967">
        <w:tblPrEx>
          <w:tblCellMar>
            <w:left w:w="0" w:type="dxa"/>
            <w:right w:w="0" w:type="dxa"/>
          </w:tblCellMar>
        </w:tblPrEx>
        <w:trPr>
          <w:cantSplit/>
          <w:trHeight w:val="988"/>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9D0E26">
            <w:pPr>
              <w:jc w:val="both"/>
              <w:rPr>
                <w:noProof/>
                <w:lang w:val="lv-LV"/>
              </w:rPr>
            </w:pPr>
            <w:r w:rsidRPr="00BC7967">
              <w:rPr>
                <w:noProof/>
                <w:lang w:val="lv-LV"/>
              </w:rPr>
              <w:t>Direktīvas 2011/62/EK 4.pants</w:t>
            </w:r>
          </w:p>
        </w:tc>
        <w:tc>
          <w:tcPr>
            <w:tcW w:w="326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743F60">
            <w:pPr>
              <w:pStyle w:val="NoSpacing"/>
              <w:rPr>
                <w:rFonts w:ascii="Times New Roman" w:hAnsi="Times New Roman"/>
                <w:sz w:val="24"/>
                <w:szCs w:val="24"/>
              </w:rPr>
            </w:pPr>
            <w:r w:rsidRPr="00BC7967">
              <w:rPr>
                <w:rFonts w:ascii="Times New Roman" w:hAnsi="Times New Roman"/>
                <w:sz w:val="24"/>
                <w:szCs w:val="24"/>
              </w:rPr>
              <w:t>Nav</w:t>
            </w:r>
          </w:p>
        </w:tc>
        <w:tc>
          <w:tcPr>
            <w:tcW w:w="198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4136CE">
            <w:pPr>
              <w:jc w:val="both"/>
              <w:rPr>
                <w:lang w:val="lv-LV"/>
              </w:rPr>
            </w:pPr>
            <w:r w:rsidRPr="00BC7967">
              <w:rPr>
                <w:lang w:val="lv-LV"/>
              </w:rPr>
              <w:t>Nav jāpārņem, jo attiecas uz Eiropas Komisijas pienākumu</w:t>
            </w:r>
            <w:r w:rsidR="00EB38BD" w:rsidRPr="00BC7967">
              <w:rPr>
                <w:lang w:val="lv-LV"/>
              </w:rPr>
              <w:t>.</w:t>
            </w:r>
          </w:p>
        </w:tc>
        <w:tc>
          <w:tcPr>
            <w:tcW w:w="1276"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D0E26" w:rsidRPr="00BC7967" w:rsidRDefault="009D0E26" w:rsidP="004136CE">
            <w:pPr>
              <w:jc w:val="both"/>
              <w:rPr>
                <w:lang w:val="lv-LV"/>
              </w:rPr>
            </w:pPr>
            <w:r w:rsidRPr="00BC7967">
              <w:rPr>
                <w:lang w:val="lv-LV"/>
              </w:rPr>
              <w:t>Nav</w:t>
            </w:r>
          </w:p>
        </w:tc>
      </w:tr>
      <w:tr w:rsidR="0032589F" w:rsidRPr="00BC7967" w:rsidTr="00BC7967">
        <w:tblPrEx>
          <w:tblCellMar>
            <w:left w:w="0" w:type="dxa"/>
            <w:right w:w="0" w:type="dxa"/>
          </w:tblCellMar>
        </w:tblPrEx>
        <w:trPr>
          <w:cantSplit/>
          <w:trHeight w:val="281"/>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4134D0">
            <w:pPr>
              <w:ind w:left="57"/>
              <w:rPr>
                <w:spacing w:val="-6"/>
                <w:lang w:val="lv-LV"/>
              </w:rPr>
            </w:pPr>
            <w:r w:rsidRPr="00BC7967">
              <w:rPr>
                <w:spacing w:val="-6"/>
                <w:lang w:val="lv-LV"/>
              </w:rPr>
              <w:t>Kā ir izmantota ES tiesību aktā paredzētā rīcības brīvība dalībvalstij pārņemt vai ieviest noteiktas ES tiesību akta normas?</w:t>
            </w:r>
          </w:p>
          <w:p w:rsidR="0032589F" w:rsidRPr="00BC7967" w:rsidRDefault="0032589F" w:rsidP="004134D0">
            <w:pPr>
              <w:ind w:left="57"/>
              <w:rPr>
                <w:spacing w:val="-3"/>
                <w:lang w:val="lv-LV"/>
              </w:rPr>
            </w:pPr>
            <w:r w:rsidRPr="00BC7967">
              <w:rPr>
                <w:spacing w:val="-6"/>
                <w:lang w:val="lv-LV"/>
              </w:rPr>
              <w:t>Kādēļ?</w:t>
            </w:r>
          </w:p>
        </w:tc>
        <w:tc>
          <w:tcPr>
            <w:tcW w:w="6521"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E948A5">
            <w:pPr>
              <w:ind w:left="57"/>
              <w:rPr>
                <w:lang w:val="lv-LV"/>
              </w:rPr>
            </w:pPr>
            <w:r w:rsidRPr="00BC7967">
              <w:rPr>
                <w:lang w:val="lv-LV"/>
              </w:rPr>
              <w:t>Nav attiecināms</w:t>
            </w:r>
            <w:r w:rsidR="00A82827" w:rsidRPr="00BC7967">
              <w:rPr>
                <w:lang w:val="lv-LV"/>
              </w:rPr>
              <w:t>.</w:t>
            </w:r>
          </w:p>
        </w:tc>
      </w:tr>
      <w:tr w:rsidR="0032589F" w:rsidRPr="00BC7967" w:rsidTr="00BC7967">
        <w:tblPrEx>
          <w:tblCellMar>
            <w:left w:w="0" w:type="dxa"/>
            <w:right w:w="0" w:type="dxa"/>
          </w:tblCellMar>
        </w:tblPrEx>
        <w:trPr>
          <w:cantSplit/>
          <w:trHeight w:val="9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4134D0">
            <w:pPr>
              <w:ind w:left="57"/>
              <w:rPr>
                <w:spacing w:val="-6"/>
                <w:lang w:val="lv-LV"/>
              </w:rPr>
            </w:pPr>
            <w:r w:rsidRPr="00BC7967">
              <w:rPr>
                <w:spacing w:val="-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1"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4134D0">
            <w:pPr>
              <w:ind w:left="57"/>
              <w:rPr>
                <w:lang w:val="lv-LV"/>
              </w:rPr>
            </w:pPr>
            <w:r w:rsidRPr="00BC7967">
              <w:rPr>
                <w:lang w:val="lv-LV"/>
              </w:rPr>
              <w:t>Nav attiecināms</w:t>
            </w:r>
            <w:r w:rsidR="001615B5" w:rsidRPr="00BC7967">
              <w:rPr>
                <w:lang w:val="lv-LV"/>
              </w:rPr>
              <w:t>.</w:t>
            </w:r>
          </w:p>
        </w:tc>
      </w:tr>
      <w:tr w:rsidR="0032589F" w:rsidRPr="00BC7967" w:rsidTr="00BC7967">
        <w:tblPrEx>
          <w:tblCellMar>
            <w:left w:w="0" w:type="dxa"/>
            <w:right w:w="0" w:type="dxa"/>
          </w:tblCellMar>
        </w:tblPrEx>
        <w:trPr>
          <w:cantSplit/>
          <w:trHeight w:val="413"/>
        </w:trPr>
        <w:tc>
          <w:tcPr>
            <w:tcW w:w="2977"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4134D0">
            <w:pPr>
              <w:ind w:left="57"/>
              <w:rPr>
                <w:lang w:val="lv-LV"/>
              </w:rPr>
            </w:pPr>
            <w:r w:rsidRPr="00BC7967">
              <w:rPr>
                <w:lang w:val="lv-LV"/>
              </w:rPr>
              <w:t>Cita informācija</w:t>
            </w:r>
          </w:p>
        </w:tc>
        <w:tc>
          <w:tcPr>
            <w:tcW w:w="6521"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2589F" w:rsidRPr="00BC7967" w:rsidRDefault="0032589F" w:rsidP="006A5F30">
            <w:pPr>
              <w:shd w:val="clear" w:color="auto" w:fill="F5F5F5"/>
              <w:jc w:val="both"/>
              <w:textAlignment w:val="top"/>
              <w:rPr>
                <w:lang w:val="lv-LV"/>
              </w:rPr>
            </w:pPr>
            <w:r w:rsidRPr="00BC7967">
              <w:rPr>
                <w:lang w:val="lv-LV"/>
              </w:rPr>
              <w:t>Nav</w:t>
            </w:r>
          </w:p>
        </w:tc>
      </w:tr>
    </w:tbl>
    <w:p w:rsidR="004134D0" w:rsidRPr="00BC7967" w:rsidRDefault="004134D0" w:rsidP="004134D0">
      <w:pPr>
        <w:pStyle w:val="naisf"/>
        <w:spacing w:before="0" w:beforeAutospacing="0" w:after="0" w:afterAutospacing="0"/>
        <w:rPr>
          <w:sz w:val="28"/>
          <w:szCs w:val="28"/>
          <w:lang w:val="lv-LV"/>
        </w:rPr>
      </w:pPr>
    </w:p>
    <w:tbl>
      <w:tblPr>
        <w:tblW w:w="938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147"/>
        <w:gridCol w:w="3402"/>
        <w:gridCol w:w="2835"/>
      </w:tblGrid>
      <w:tr w:rsidR="004134D0" w:rsidRPr="00BC7967" w:rsidTr="00BC7967">
        <w:trPr>
          <w:trHeight w:val="20"/>
        </w:trPr>
        <w:tc>
          <w:tcPr>
            <w:tcW w:w="9384" w:type="dxa"/>
            <w:gridSpan w:val="3"/>
            <w:tcBorders>
              <w:top w:val="outset" w:sz="6" w:space="0" w:color="auto"/>
              <w:left w:val="outset" w:sz="6" w:space="0" w:color="auto"/>
              <w:bottom w:val="outset" w:sz="6" w:space="0" w:color="auto"/>
              <w:right w:val="outset" w:sz="6" w:space="0" w:color="auto"/>
            </w:tcBorders>
            <w:vAlign w:val="center"/>
            <w:hideMark/>
          </w:tcPr>
          <w:p w:rsidR="00FB4613" w:rsidRPr="00BC7967" w:rsidRDefault="004134D0" w:rsidP="00FB4613">
            <w:pPr>
              <w:pStyle w:val="NoSpacing"/>
              <w:rPr>
                <w:rFonts w:ascii="Times New Roman" w:hAnsi="Times New Roman"/>
                <w:b/>
              </w:rPr>
            </w:pPr>
            <w:r w:rsidRPr="00BC7967">
              <w:rPr>
                <w:rFonts w:ascii="Times New Roman" w:hAnsi="Times New Roman"/>
                <w:b/>
              </w:rPr>
              <w:t>2.tabula</w:t>
            </w:r>
          </w:p>
          <w:p w:rsidR="004134D0" w:rsidRPr="00BC7967" w:rsidRDefault="004134D0" w:rsidP="00FB4613">
            <w:pPr>
              <w:pStyle w:val="NoSpacing"/>
              <w:rPr>
                <w:rFonts w:ascii="Times New Roman" w:hAnsi="Times New Roman"/>
                <w:b/>
              </w:rPr>
            </w:pPr>
            <w:r w:rsidRPr="00BC7967">
              <w:rPr>
                <w:rFonts w:ascii="Times New Roman" w:hAnsi="Times New Roman"/>
                <w:b/>
              </w:rPr>
              <w:t>Ar tiesību akta projektu izpildītās vai uzņemtās saistības, kas izriet no starptautiskajiem tiesību aktiem vai starptautiskas institūcijas vai organizācijas dokumentiem.</w:t>
            </w:r>
          </w:p>
          <w:p w:rsidR="004134D0" w:rsidRPr="00BC7967" w:rsidRDefault="004134D0" w:rsidP="00FB4613">
            <w:pPr>
              <w:pStyle w:val="NoSpacing"/>
              <w:rPr>
                <w:sz w:val="28"/>
                <w:szCs w:val="28"/>
              </w:rPr>
            </w:pPr>
            <w:r w:rsidRPr="00BC7967">
              <w:rPr>
                <w:rFonts w:ascii="Times New Roman" w:hAnsi="Times New Roman"/>
                <w:b/>
              </w:rPr>
              <w:lastRenderedPageBreak/>
              <w:t>Pasākumi šo saistību izpildei</w:t>
            </w:r>
          </w:p>
        </w:tc>
      </w:tr>
      <w:tr w:rsidR="004134D0" w:rsidRPr="00BC7967" w:rsidTr="00BC7967">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BC7967" w:rsidRDefault="004134D0" w:rsidP="004134D0">
            <w:pPr>
              <w:pStyle w:val="naisf"/>
              <w:rPr>
                <w:spacing w:val="-6"/>
                <w:lang w:val="lv-LV"/>
              </w:rPr>
            </w:pPr>
            <w:r w:rsidRPr="00BC7967">
              <w:rPr>
                <w:spacing w:val="-6"/>
                <w:lang w:val="lv-LV"/>
              </w:rPr>
              <w:lastRenderedPageBreak/>
              <w:t>Attiecīgā starptautiskā tiesību akta vai starptautiskas institūcijas vai organizācijas dokumenta (turpmāk – starptautiskais dokuments) datums, numurs un nosaukums</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lang w:val="lv-LV"/>
              </w:rPr>
            </w:pPr>
            <w:r w:rsidRPr="00BC7967">
              <w:rPr>
                <w:lang w:val="lv-LV"/>
              </w:rPr>
              <w:t>Projekts šo jomu neskar.</w:t>
            </w:r>
          </w:p>
        </w:tc>
      </w:tr>
      <w:tr w:rsidR="004134D0" w:rsidRPr="00BC7967" w:rsidTr="00BC7967">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BC7967" w:rsidRDefault="004134D0" w:rsidP="004134D0">
            <w:pPr>
              <w:pStyle w:val="naisf"/>
              <w:rPr>
                <w:lang w:val="lv-LV"/>
              </w:rPr>
            </w:pPr>
            <w:r w:rsidRPr="00BC7967">
              <w:rPr>
                <w:lang w:val="lv-LV"/>
              </w:rPr>
              <w:t>A</w:t>
            </w:r>
          </w:p>
        </w:tc>
        <w:tc>
          <w:tcPr>
            <w:tcW w:w="3402" w:type="dxa"/>
            <w:tcBorders>
              <w:top w:val="outset" w:sz="6" w:space="0" w:color="auto"/>
              <w:left w:val="outset" w:sz="6" w:space="0" w:color="auto"/>
              <w:bottom w:val="outset" w:sz="6" w:space="0" w:color="auto"/>
              <w:right w:val="outset" w:sz="6" w:space="0" w:color="auto"/>
            </w:tcBorders>
            <w:vAlign w:val="center"/>
            <w:hideMark/>
          </w:tcPr>
          <w:p w:rsidR="004134D0" w:rsidRPr="00BC7967" w:rsidRDefault="004134D0" w:rsidP="004134D0">
            <w:pPr>
              <w:pStyle w:val="naisf"/>
              <w:rPr>
                <w:lang w:val="lv-LV"/>
              </w:rPr>
            </w:pPr>
            <w:r w:rsidRPr="00BC7967">
              <w:rPr>
                <w:lang w:val="lv-LV"/>
              </w:rPr>
              <w:t>B</w:t>
            </w:r>
          </w:p>
        </w:tc>
        <w:tc>
          <w:tcPr>
            <w:tcW w:w="2835" w:type="dxa"/>
            <w:tcBorders>
              <w:top w:val="outset" w:sz="6" w:space="0" w:color="auto"/>
              <w:left w:val="outset" w:sz="6" w:space="0" w:color="auto"/>
              <w:bottom w:val="outset" w:sz="6" w:space="0" w:color="auto"/>
              <w:right w:val="outset" w:sz="6" w:space="0" w:color="auto"/>
            </w:tcBorders>
            <w:vAlign w:val="center"/>
            <w:hideMark/>
          </w:tcPr>
          <w:p w:rsidR="004134D0" w:rsidRPr="00BC7967" w:rsidRDefault="004134D0" w:rsidP="004134D0">
            <w:pPr>
              <w:pStyle w:val="naisf"/>
              <w:rPr>
                <w:lang w:val="lv-LV"/>
              </w:rPr>
            </w:pPr>
            <w:r w:rsidRPr="00BC7967">
              <w:rPr>
                <w:lang w:val="lv-LV"/>
              </w:rPr>
              <w:t>C</w:t>
            </w:r>
          </w:p>
        </w:tc>
      </w:tr>
      <w:tr w:rsidR="004134D0" w:rsidRPr="00BC7967" w:rsidTr="00BC7967">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spacing w:val="-6"/>
                <w:lang w:val="lv-LV"/>
              </w:rPr>
            </w:pPr>
            <w:r w:rsidRPr="00BC7967">
              <w:rPr>
                <w:spacing w:val="-6"/>
                <w:lang w:val="lv-LV"/>
              </w:rPr>
              <w:t>Starptautiskās saistības (pēc būtības), kas izriet no norādītā starptautiskā dokumenta.</w:t>
            </w:r>
            <w:r w:rsidR="008F447B" w:rsidRPr="00BC7967">
              <w:rPr>
                <w:spacing w:val="-6"/>
                <w:lang w:val="lv-LV"/>
              </w:rPr>
              <w:t xml:space="preserve"> </w:t>
            </w:r>
            <w:r w:rsidRPr="00BC7967">
              <w:rPr>
                <w:spacing w:val="-6"/>
                <w:lang w:val="lv-LV"/>
              </w:rPr>
              <w:t>Konkrēti veicamie pasākumi vai uzdevumi, kas nepieciešami šo starptautisko saistību izpildei</w:t>
            </w:r>
          </w:p>
        </w:tc>
        <w:tc>
          <w:tcPr>
            <w:tcW w:w="3402" w:type="dxa"/>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spacing w:val="-6"/>
                <w:lang w:val="lv-LV"/>
              </w:rPr>
            </w:pPr>
            <w:r w:rsidRPr="00BC7967">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35" w:type="dxa"/>
            <w:tcBorders>
              <w:top w:val="outset" w:sz="6" w:space="0" w:color="auto"/>
              <w:left w:val="outset" w:sz="6" w:space="0" w:color="auto"/>
              <w:bottom w:val="outset" w:sz="6" w:space="0" w:color="auto"/>
              <w:right w:val="outset" w:sz="6" w:space="0" w:color="auto"/>
            </w:tcBorders>
            <w:hideMark/>
          </w:tcPr>
          <w:p w:rsidR="004134D0" w:rsidRPr="00BC7967" w:rsidRDefault="004134D0" w:rsidP="00144DB3">
            <w:pPr>
              <w:pStyle w:val="naisf"/>
              <w:rPr>
                <w:spacing w:val="-6"/>
                <w:lang w:val="lv-LV"/>
              </w:rPr>
            </w:pPr>
            <w:r w:rsidRPr="00BC7967">
              <w:rPr>
                <w:spacing w:val="-6"/>
                <w:lang w:val="lv-LV"/>
              </w:rPr>
              <w:t>Informācija par to, vai starptautiskās saistības, kas minētas šīs tabulas A ailē, tiek izpildītas pilnībā vai daļēji.</w:t>
            </w:r>
            <w:r w:rsidR="008F447B" w:rsidRPr="00BC7967">
              <w:rPr>
                <w:spacing w:val="-6"/>
                <w:lang w:val="lv-LV"/>
              </w:rPr>
              <w:t xml:space="preserve"> </w:t>
            </w:r>
            <w:r w:rsidRPr="00BC7967">
              <w:rPr>
                <w:spacing w:val="-6"/>
                <w:lang w:val="lv-LV"/>
              </w:rPr>
              <w:t>Ja attiecīgās starptautiskās saistības tiek izpildītas daļēji, sniedz attiecīgu skaidrojumu, kā arī precīzi norāda, kad un kādā veidā starptautiskās saistības tiks izpildītas pilnībā.</w:t>
            </w:r>
            <w:r w:rsidR="008F447B" w:rsidRPr="00BC7967">
              <w:rPr>
                <w:spacing w:val="-6"/>
                <w:lang w:val="lv-LV"/>
              </w:rPr>
              <w:t xml:space="preserve"> </w:t>
            </w:r>
            <w:r w:rsidRPr="00BC7967">
              <w:rPr>
                <w:spacing w:val="-6"/>
                <w:lang w:val="lv-LV"/>
              </w:rPr>
              <w:t>Norāda institūciju, kas ir atbildīga par šo saistību izpildi pilnībā</w:t>
            </w:r>
          </w:p>
        </w:tc>
      </w:tr>
      <w:tr w:rsidR="004134D0" w:rsidRPr="00BC7967" w:rsidTr="00BC7967">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lang w:val="lv-LV"/>
              </w:rPr>
            </w:pPr>
            <w:r w:rsidRPr="00BC7967">
              <w:rPr>
                <w:lang w:val="lv-LV"/>
              </w:rPr>
              <w:t>Projekts šo jomu neskar.</w:t>
            </w:r>
          </w:p>
        </w:tc>
        <w:tc>
          <w:tcPr>
            <w:tcW w:w="3402" w:type="dxa"/>
            <w:tcBorders>
              <w:top w:val="outset" w:sz="6" w:space="0" w:color="auto"/>
              <w:left w:val="outset" w:sz="6" w:space="0" w:color="auto"/>
              <w:bottom w:val="outset" w:sz="6" w:space="0" w:color="auto"/>
              <w:right w:val="outset" w:sz="6" w:space="0" w:color="auto"/>
            </w:tcBorders>
            <w:hideMark/>
          </w:tcPr>
          <w:p w:rsidR="004134D0" w:rsidRPr="00BC7967" w:rsidRDefault="008F7702" w:rsidP="00F560C3">
            <w:pPr>
              <w:pStyle w:val="naisf"/>
              <w:ind w:firstLine="114"/>
              <w:rPr>
                <w:lang w:val="lv-LV"/>
              </w:rPr>
            </w:pPr>
            <w:r w:rsidRPr="00BC7967">
              <w:rPr>
                <w:lang w:val="lv-LV"/>
              </w:rPr>
              <w:t>Projekts šo jomu neskar</w:t>
            </w:r>
            <w:r w:rsidR="00A82827" w:rsidRPr="00BC7967">
              <w:rPr>
                <w:lang w:val="lv-LV"/>
              </w:rPr>
              <w:t>.</w:t>
            </w:r>
          </w:p>
        </w:tc>
        <w:tc>
          <w:tcPr>
            <w:tcW w:w="2835" w:type="dxa"/>
            <w:tcBorders>
              <w:top w:val="outset" w:sz="6" w:space="0" w:color="auto"/>
              <w:left w:val="outset" w:sz="6" w:space="0" w:color="auto"/>
              <w:bottom w:val="outset" w:sz="6" w:space="0" w:color="auto"/>
              <w:right w:val="outset" w:sz="6" w:space="0" w:color="auto"/>
            </w:tcBorders>
            <w:hideMark/>
          </w:tcPr>
          <w:p w:rsidR="004134D0" w:rsidRPr="00BC7967" w:rsidRDefault="008F7702" w:rsidP="00F560C3">
            <w:pPr>
              <w:pStyle w:val="naisf"/>
              <w:ind w:firstLine="114"/>
              <w:rPr>
                <w:lang w:val="lv-LV"/>
              </w:rPr>
            </w:pPr>
            <w:r w:rsidRPr="00BC7967">
              <w:rPr>
                <w:lang w:val="lv-LV"/>
              </w:rPr>
              <w:t>Projekts šo jomu neskar</w:t>
            </w:r>
            <w:r w:rsidR="00A82827" w:rsidRPr="00BC7967">
              <w:rPr>
                <w:lang w:val="lv-LV"/>
              </w:rPr>
              <w:t>.</w:t>
            </w:r>
          </w:p>
        </w:tc>
      </w:tr>
      <w:tr w:rsidR="004134D0" w:rsidRPr="00BC7967" w:rsidTr="00BC7967">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spacing w:val="6"/>
                <w:lang w:val="lv-LV"/>
              </w:rPr>
            </w:pPr>
            <w:r w:rsidRPr="00BC7967">
              <w:rPr>
                <w:spacing w:val="6"/>
                <w:lang w:val="lv-LV"/>
              </w:rPr>
              <w:t>Vai starptautiskajā dokumentā paredzētās saistības nav pretrunā ar jau esošajām Latvijas Republikas starptautiskajām saistībām</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BC7967" w:rsidRDefault="008F7702" w:rsidP="00F560C3">
            <w:pPr>
              <w:pStyle w:val="naisf"/>
              <w:ind w:firstLine="114"/>
              <w:jc w:val="both"/>
              <w:rPr>
                <w:lang w:val="lv-LV"/>
              </w:rPr>
            </w:pPr>
            <w:r w:rsidRPr="00BC7967">
              <w:rPr>
                <w:lang w:val="lv-LV"/>
              </w:rPr>
              <w:t>Projekts šo jomu neskar</w:t>
            </w:r>
            <w:r w:rsidR="00A82827" w:rsidRPr="00BC7967">
              <w:rPr>
                <w:lang w:val="lv-LV"/>
              </w:rPr>
              <w:t>.</w:t>
            </w:r>
          </w:p>
        </w:tc>
      </w:tr>
      <w:tr w:rsidR="004134D0" w:rsidRPr="00BC7967" w:rsidTr="00BC7967">
        <w:trPr>
          <w:trHeight w:val="350"/>
        </w:trPr>
        <w:tc>
          <w:tcPr>
            <w:tcW w:w="3147" w:type="dxa"/>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lang w:val="lv-LV"/>
              </w:rPr>
            </w:pPr>
            <w:r w:rsidRPr="00BC7967">
              <w:rPr>
                <w:lang w:val="lv-LV"/>
              </w:rPr>
              <w:t>Cita informācija</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BC7967" w:rsidRDefault="004134D0" w:rsidP="004134D0">
            <w:pPr>
              <w:pStyle w:val="naisf"/>
              <w:rPr>
                <w:lang w:val="lv-LV"/>
              </w:rPr>
            </w:pPr>
            <w:r w:rsidRPr="00BC7967">
              <w:rPr>
                <w:lang w:val="lv-LV"/>
              </w:rPr>
              <w:t>Nav</w:t>
            </w:r>
          </w:p>
        </w:tc>
      </w:tr>
    </w:tbl>
    <w:p w:rsidR="004134D0" w:rsidRPr="00BC7967" w:rsidRDefault="004134D0" w:rsidP="004134D0">
      <w:pPr>
        <w:pStyle w:val="naisf"/>
        <w:spacing w:before="0" w:beforeAutospacing="0" w:after="0" w:afterAutospacing="0"/>
        <w:rPr>
          <w:sz w:val="28"/>
          <w:szCs w:val="28"/>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
        <w:gridCol w:w="2127"/>
        <w:gridCol w:w="6860"/>
      </w:tblGrid>
      <w:tr w:rsidR="004134D0" w:rsidRPr="00BC7967" w:rsidTr="00BC7967">
        <w:tc>
          <w:tcPr>
            <w:tcW w:w="9361" w:type="dxa"/>
            <w:gridSpan w:val="3"/>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t>VI. Sabiedrības līdzdalība un šīs līdzdalības rezultāti</w:t>
            </w:r>
          </w:p>
        </w:tc>
      </w:tr>
      <w:tr w:rsidR="004134D0" w:rsidRPr="00BC7967" w:rsidTr="00BC7967">
        <w:trPr>
          <w:trHeight w:val="553"/>
        </w:trPr>
        <w:tc>
          <w:tcPr>
            <w:tcW w:w="374"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rPr>
                <w:bCs/>
              </w:rPr>
            </w:pPr>
            <w:r w:rsidRPr="00BC7967">
              <w:rPr>
                <w:bCs/>
              </w:rPr>
              <w:t>1.</w:t>
            </w:r>
          </w:p>
        </w:tc>
        <w:tc>
          <w:tcPr>
            <w:tcW w:w="212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tabs>
                <w:tab w:val="left" w:pos="170"/>
              </w:tabs>
              <w:spacing w:before="0" w:after="0"/>
              <w:ind w:left="57" w:right="57"/>
            </w:pPr>
            <w:r w:rsidRPr="00BC7967">
              <w:t>Sabiedrības informēšana par projekta izstrādes uzsākšanu</w:t>
            </w:r>
          </w:p>
        </w:tc>
        <w:tc>
          <w:tcPr>
            <w:tcW w:w="6860" w:type="dxa"/>
            <w:tcBorders>
              <w:top w:val="single" w:sz="4" w:space="0" w:color="auto"/>
              <w:left w:val="single" w:sz="4" w:space="0" w:color="auto"/>
              <w:bottom w:val="single" w:sz="4" w:space="0" w:color="auto"/>
              <w:right w:val="single" w:sz="4" w:space="0" w:color="auto"/>
            </w:tcBorders>
            <w:hideMark/>
          </w:tcPr>
          <w:p w:rsidR="009411F9" w:rsidRPr="00BC7967" w:rsidRDefault="00197E79" w:rsidP="009411F9">
            <w:pPr>
              <w:pStyle w:val="NoSpacing"/>
              <w:jc w:val="both"/>
              <w:rPr>
                <w:rFonts w:ascii="Times New Roman" w:hAnsi="Times New Roman"/>
                <w:spacing w:val="-6"/>
                <w:sz w:val="24"/>
                <w:szCs w:val="24"/>
              </w:rPr>
            </w:pPr>
            <w:r w:rsidRPr="00BC7967">
              <w:rPr>
                <w:rFonts w:ascii="Times New Roman" w:hAnsi="Times New Roman"/>
                <w:spacing w:val="-6"/>
                <w:sz w:val="24"/>
                <w:szCs w:val="24"/>
              </w:rPr>
              <w:t xml:space="preserve">2012.gada </w:t>
            </w:r>
            <w:r w:rsidR="00015256" w:rsidRPr="00BC7967">
              <w:rPr>
                <w:rFonts w:ascii="Times New Roman" w:hAnsi="Times New Roman"/>
                <w:spacing w:val="-6"/>
                <w:sz w:val="24"/>
                <w:szCs w:val="24"/>
              </w:rPr>
              <w:t xml:space="preserve">Farmācijas jomas konsultatīvās padomes ietvaros </w:t>
            </w:r>
            <w:r w:rsidRPr="00BC7967">
              <w:rPr>
                <w:rFonts w:ascii="Times New Roman" w:hAnsi="Times New Roman"/>
                <w:spacing w:val="-6"/>
                <w:sz w:val="24"/>
                <w:szCs w:val="24"/>
              </w:rPr>
              <w:t xml:space="preserve">notikusi apspriede </w:t>
            </w:r>
            <w:r w:rsidR="00015256" w:rsidRPr="00BC7967">
              <w:rPr>
                <w:rFonts w:ascii="Times New Roman" w:hAnsi="Times New Roman"/>
                <w:spacing w:val="-6"/>
                <w:sz w:val="24"/>
                <w:szCs w:val="24"/>
              </w:rPr>
              <w:t xml:space="preserve">Farmācijas jomas konsultatīvās padomes ietvaros </w:t>
            </w:r>
            <w:r w:rsidRPr="00BC7967">
              <w:rPr>
                <w:rFonts w:ascii="Times New Roman" w:hAnsi="Times New Roman"/>
                <w:spacing w:val="-6"/>
                <w:sz w:val="24"/>
                <w:szCs w:val="24"/>
              </w:rPr>
              <w:t xml:space="preserve"> </w:t>
            </w:r>
            <w:r w:rsidR="00015256" w:rsidRPr="00BC7967">
              <w:rPr>
                <w:rFonts w:ascii="Times New Roman" w:hAnsi="Times New Roman"/>
                <w:spacing w:val="-6"/>
                <w:sz w:val="24"/>
                <w:szCs w:val="24"/>
              </w:rPr>
              <w:t xml:space="preserve">sniegta informācija </w:t>
            </w:r>
            <w:r w:rsidRPr="00BC7967">
              <w:rPr>
                <w:rFonts w:ascii="Times New Roman" w:hAnsi="Times New Roman"/>
                <w:spacing w:val="-6"/>
                <w:sz w:val="24"/>
                <w:szCs w:val="24"/>
              </w:rPr>
              <w:t>par Direktīvas 2011/62/ES ieviešanu</w:t>
            </w:r>
            <w:r w:rsidR="00015256" w:rsidRPr="00BC7967">
              <w:rPr>
                <w:rFonts w:ascii="Times New Roman" w:hAnsi="Times New Roman"/>
                <w:spacing w:val="-6"/>
                <w:sz w:val="24"/>
                <w:szCs w:val="24"/>
              </w:rPr>
              <w:t>.</w:t>
            </w:r>
            <w:r w:rsidR="00A26CB1" w:rsidRPr="00BC7967">
              <w:rPr>
                <w:rFonts w:ascii="Times New Roman" w:hAnsi="Times New Roman"/>
                <w:spacing w:val="-6"/>
                <w:sz w:val="24"/>
                <w:szCs w:val="24"/>
              </w:rPr>
              <w:t xml:space="preserve"> Noteikumu projekts saskaņošanai nosūtīts pa e-pastu 2013.gada 30.aprīlī.</w:t>
            </w:r>
          </w:p>
        </w:tc>
      </w:tr>
      <w:tr w:rsidR="004134D0" w:rsidRPr="00BC7967" w:rsidTr="00BC7967">
        <w:trPr>
          <w:trHeight w:val="339"/>
        </w:trPr>
        <w:tc>
          <w:tcPr>
            <w:tcW w:w="374"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rPr>
                <w:bCs/>
              </w:rPr>
            </w:pPr>
            <w:r w:rsidRPr="00BC7967">
              <w:rPr>
                <w:bCs/>
              </w:rPr>
              <w:t>2.</w:t>
            </w:r>
          </w:p>
        </w:tc>
        <w:tc>
          <w:tcPr>
            <w:tcW w:w="212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 xml:space="preserve">Sabiedrības līdzdalība projekta izstrādē </w:t>
            </w:r>
          </w:p>
        </w:tc>
        <w:tc>
          <w:tcPr>
            <w:tcW w:w="6860" w:type="dxa"/>
            <w:tcBorders>
              <w:top w:val="single" w:sz="4" w:space="0" w:color="auto"/>
              <w:left w:val="single" w:sz="4" w:space="0" w:color="auto"/>
              <w:bottom w:val="single" w:sz="4" w:space="0" w:color="auto"/>
              <w:right w:val="single" w:sz="4" w:space="0" w:color="auto"/>
            </w:tcBorders>
            <w:hideMark/>
          </w:tcPr>
          <w:p w:rsidR="004134D0" w:rsidRPr="00BC7967" w:rsidRDefault="00504E0B" w:rsidP="00F560C3">
            <w:pPr>
              <w:pStyle w:val="NoSpacing"/>
              <w:jc w:val="both"/>
              <w:rPr>
                <w:rFonts w:ascii="Times New Roman" w:hAnsi="Times New Roman"/>
                <w:sz w:val="24"/>
                <w:szCs w:val="24"/>
              </w:rPr>
            </w:pPr>
            <w:r w:rsidRPr="00BC7967">
              <w:rPr>
                <w:rFonts w:ascii="Times New Roman" w:hAnsi="Times New Roman"/>
                <w:spacing w:val="-6"/>
                <w:sz w:val="24"/>
                <w:szCs w:val="24"/>
              </w:rPr>
              <w:t xml:space="preserve">Farmācijas jomas konsultatīvās padomes locekļi </w:t>
            </w:r>
            <w:r w:rsidR="00F560C3" w:rsidRPr="00BC7967">
              <w:rPr>
                <w:rFonts w:ascii="Times New Roman" w:hAnsi="Times New Roman"/>
                <w:spacing w:val="-6"/>
                <w:sz w:val="24"/>
                <w:szCs w:val="24"/>
              </w:rPr>
              <w:t>iebildumus</w:t>
            </w:r>
            <w:r w:rsidRPr="00BC7967">
              <w:rPr>
                <w:rFonts w:ascii="Times New Roman" w:hAnsi="Times New Roman"/>
                <w:spacing w:val="-6"/>
                <w:sz w:val="24"/>
                <w:szCs w:val="24"/>
              </w:rPr>
              <w:t xml:space="preserve"> nav izteikuši.</w:t>
            </w:r>
          </w:p>
        </w:tc>
      </w:tr>
      <w:tr w:rsidR="004134D0" w:rsidRPr="00BC7967" w:rsidTr="00BC7967">
        <w:trPr>
          <w:trHeight w:val="375"/>
        </w:trPr>
        <w:tc>
          <w:tcPr>
            <w:tcW w:w="374"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rPr>
                <w:bCs/>
              </w:rPr>
            </w:pPr>
            <w:r w:rsidRPr="00BC7967">
              <w:rPr>
                <w:bCs/>
              </w:rPr>
              <w:t>3.</w:t>
            </w:r>
          </w:p>
        </w:tc>
        <w:tc>
          <w:tcPr>
            <w:tcW w:w="212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 xml:space="preserve">Sabiedrības līdzdalības rezultāti </w:t>
            </w:r>
          </w:p>
        </w:tc>
        <w:tc>
          <w:tcPr>
            <w:tcW w:w="6860" w:type="dxa"/>
            <w:tcBorders>
              <w:top w:val="single" w:sz="4" w:space="0" w:color="auto"/>
              <w:left w:val="single" w:sz="4" w:space="0" w:color="auto"/>
              <w:bottom w:val="single" w:sz="4" w:space="0" w:color="auto"/>
              <w:right w:val="single" w:sz="4" w:space="0" w:color="auto"/>
            </w:tcBorders>
            <w:hideMark/>
          </w:tcPr>
          <w:p w:rsidR="004134D0" w:rsidRPr="00BC7967" w:rsidRDefault="00A82827" w:rsidP="006C488D">
            <w:pPr>
              <w:pStyle w:val="naiskr"/>
              <w:ind w:right="57"/>
              <w:jc w:val="both"/>
            </w:pPr>
            <w:r w:rsidRPr="00BC7967">
              <w:t>Projekts šo jomu neskar.</w:t>
            </w:r>
          </w:p>
        </w:tc>
      </w:tr>
      <w:tr w:rsidR="004134D0" w:rsidRPr="00BC7967" w:rsidTr="00BC7967">
        <w:trPr>
          <w:trHeight w:val="397"/>
        </w:trPr>
        <w:tc>
          <w:tcPr>
            <w:tcW w:w="374"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rPr>
                <w:bCs/>
              </w:rPr>
            </w:pPr>
            <w:r w:rsidRPr="00BC7967">
              <w:rPr>
                <w:bCs/>
              </w:rPr>
              <w:t>4.</w:t>
            </w:r>
          </w:p>
        </w:tc>
        <w:tc>
          <w:tcPr>
            <w:tcW w:w="212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Saeimas un ekspertu līdzdalība</w:t>
            </w:r>
          </w:p>
        </w:tc>
        <w:tc>
          <w:tcPr>
            <w:tcW w:w="6860"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jc w:val="both"/>
            </w:pPr>
            <w:r w:rsidRPr="00BC7967">
              <w:t>Konsultācijas ar Saeimas komisiju vai apakškomisiju, kā arī ar ekspertiem nav notikušas.</w:t>
            </w:r>
          </w:p>
        </w:tc>
      </w:tr>
      <w:tr w:rsidR="004134D0" w:rsidRPr="00BC7967" w:rsidTr="00BC7967">
        <w:trPr>
          <w:trHeight w:val="476"/>
        </w:trPr>
        <w:tc>
          <w:tcPr>
            <w:tcW w:w="374"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rPr>
                <w:bCs/>
              </w:rPr>
            </w:pPr>
            <w:r w:rsidRPr="00BC7967">
              <w:rPr>
                <w:bCs/>
              </w:rPr>
              <w:t>5.</w:t>
            </w:r>
          </w:p>
        </w:tc>
        <w:tc>
          <w:tcPr>
            <w:tcW w:w="212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Cita informācija</w:t>
            </w:r>
          </w:p>
        </w:tc>
        <w:tc>
          <w:tcPr>
            <w:tcW w:w="6860" w:type="dxa"/>
            <w:tcBorders>
              <w:top w:val="single" w:sz="4" w:space="0" w:color="auto"/>
              <w:left w:val="single" w:sz="4" w:space="0" w:color="auto"/>
              <w:bottom w:val="single" w:sz="4" w:space="0" w:color="auto"/>
              <w:right w:val="single" w:sz="4" w:space="0" w:color="auto"/>
            </w:tcBorders>
            <w:hideMark/>
          </w:tcPr>
          <w:p w:rsidR="004134D0" w:rsidRPr="00BC7967" w:rsidRDefault="00015256" w:rsidP="004134D0">
            <w:pPr>
              <w:pStyle w:val="naiskr"/>
              <w:spacing w:before="0" w:after="0"/>
              <w:ind w:left="57" w:right="57"/>
              <w:jc w:val="both"/>
            </w:pPr>
            <w:r w:rsidRPr="00BC7967">
              <w:t xml:space="preserve">Farmācijas jomas konsultatīvās padomes sastāvā darbojas pārstāvji no Latvijas Farmaceitu biedrības, Latvijas Farmācijas arodbiedrības, Aptieku biedrības, Aptieku īpašnieku asociācijas, Latvijas Brīvo </w:t>
            </w:r>
            <w:r w:rsidRPr="00BC7967">
              <w:lastRenderedPageBreak/>
              <w:t>farmaceitu apvienības, Latvijas Ārstu biedrības, Aptieku attīstības biedrības, Latvijas Cilvēku ar īpašām vajadzībām sadarbības organizācijas “</w:t>
            </w:r>
            <w:proofErr w:type="spellStart"/>
            <w:r w:rsidRPr="00BC7967">
              <w:t>Sustento</w:t>
            </w:r>
            <w:proofErr w:type="spellEnd"/>
            <w:r w:rsidRPr="00BC7967">
              <w:t xml:space="preserve">”, Latvijas Ķīmijas un farmācijas uzņēmēju asociācijas, Latvijas Patērētāju interešu aizstāvības asociācijas, Latvijas </w:t>
            </w:r>
            <w:proofErr w:type="spellStart"/>
            <w:r w:rsidRPr="00BC7967">
              <w:t>Patentbrīvo</w:t>
            </w:r>
            <w:proofErr w:type="spellEnd"/>
            <w:r w:rsidRPr="00BC7967">
              <w:t xml:space="preserve"> medikamentu asociācijas, Latvijas Zāļu lieltirgotāju asociācijas un Starptautisko inovatīvo farmaceitisko firmu asociācijas.</w:t>
            </w:r>
          </w:p>
        </w:tc>
      </w:tr>
    </w:tbl>
    <w:p w:rsidR="004134D0" w:rsidRPr="00BC7967" w:rsidRDefault="004134D0" w:rsidP="004134D0">
      <w:pPr>
        <w:pStyle w:val="naisf"/>
        <w:spacing w:before="0" w:beforeAutospacing="0" w:after="0" w:afterAutospacing="0"/>
        <w:rPr>
          <w:sz w:val="28"/>
          <w:szCs w:val="28"/>
          <w:lang w:val="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2437"/>
        <w:gridCol w:w="6521"/>
      </w:tblGrid>
      <w:tr w:rsidR="004134D0" w:rsidRPr="00BC7967" w:rsidTr="00BC7967">
        <w:tc>
          <w:tcPr>
            <w:tcW w:w="9384" w:type="dxa"/>
            <w:gridSpan w:val="3"/>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t>VII. Tiesību akta projekta izpildes nodrošināšana un tās ietekme uz institūcijām</w:t>
            </w:r>
          </w:p>
        </w:tc>
      </w:tr>
      <w:tr w:rsidR="004134D0" w:rsidRPr="00BC7967" w:rsidTr="00BC7967">
        <w:trPr>
          <w:trHeight w:val="427"/>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rPr>
                <w:b w:val="0"/>
              </w:rPr>
              <w:t>1.</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f"/>
              <w:spacing w:before="0" w:beforeAutospacing="0" w:after="0" w:afterAutospacing="0"/>
              <w:ind w:left="57" w:right="57"/>
              <w:rPr>
                <w:lang w:val="lv-LV"/>
              </w:rPr>
            </w:pPr>
            <w:r w:rsidRPr="00BC7967">
              <w:rPr>
                <w:lang w:val="lv-LV"/>
              </w:rPr>
              <w:t xml:space="preserve">Projekta izpildē iesaistītās institūcijas </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A82827" w:rsidP="004134D0">
            <w:pPr>
              <w:pStyle w:val="NoSpacing"/>
              <w:jc w:val="both"/>
              <w:rPr>
                <w:rFonts w:ascii="Times New Roman" w:hAnsi="Times New Roman"/>
                <w:sz w:val="24"/>
                <w:szCs w:val="24"/>
              </w:rPr>
            </w:pPr>
            <w:r w:rsidRPr="00BC7967">
              <w:rPr>
                <w:rFonts w:ascii="Times New Roman" w:hAnsi="Times New Roman"/>
                <w:sz w:val="24"/>
                <w:szCs w:val="24"/>
              </w:rPr>
              <w:t>Zāļu valsts aģentūra</w:t>
            </w:r>
          </w:p>
          <w:p w:rsidR="004134D0" w:rsidRPr="00BC7967" w:rsidRDefault="00A82827" w:rsidP="004134D0">
            <w:pPr>
              <w:pStyle w:val="NoSpacing"/>
              <w:jc w:val="both"/>
              <w:rPr>
                <w:rFonts w:ascii="Times New Roman" w:hAnsi="Times New Roman"/>
                <w:sz w:val="24"/>
                <w:szCs w:val="24"/>
              </w:rPr>
            </w:pPr>
            <w:r w:rsidRPr="00BC7967">
              <w:rPr>
                <w:rFonts w:ascii="Times New Roman" w:hAnsi="Times New Roman"/>
                <w:sz w:val="24"/>
                <w:szCs w:val="24"/>
              </w:rPr>
              <w:t>Veselības inspekcija</w:t>
            </w:r>
          </w:p>
          <w:p w:rsidR="00A82827" w:rsidRPr="00BC7967" w:rsidRDefault="00A82827" w:rsidP="004134D0">
            <w:pPr>
              <w:pStyle w:val="NoSpacing"/>
              <w:jc w:val="both"/>
              <w:rPr>
                <w:rFonts w:ascii="Times New Roman" w:hAnsi="Times New Roman"/>
                <w:sz w:val="24"/>
                <w:szCs w:val="24"/>
              </w:rPr>
            </w:pPr>
            <w:r w:rsidRPr="00BC7967">
              <w:rPr>
                <w:rFonts w:ascii="Times New Roman" w:hAnsi="Times New Roman"/>
                <w:sz w:val="24"/>
                <w:szCs w:val="24"/>
              </w:rPr>
              <w:t>Pārtikas un veterinārais dienests</w:t>
            </w:r>
          </w:p>
          <w:p w:rsidR="00A82827" w:rsidRPr="00BC7967" w:rsidRDefault="00A82827" w:rsidP="004134D0">
            <w:pPr>
              <w:pStyle w:val="NoSpacing"/>
              <w:jc w:val="both"/>
              <w:rPr>
                <w:rFonts w:ascii="Times New Roman" w:hAnsi="Times New Roman"/>
                <w:sz w:val="24"/>
                <w:szCs w:val="24"/>
              </w:rPr>
            </w:pPr>
            <w:r w:rsidRPr="00BC7967">
              <w:rPr>
                <w:rFonts w:ascii="Times New Roman" w:hAnsi="Times New Roman"/>
                <w:sz w:val="24"/>
                <w:szCs w:val="24"/>
              </w:rPr>
              <w:t>Muitas iestādes</w:t>
            </w:r>
          </w:p>
        </w:tc>
      </w:tr>
      <w:tr w:rsidR="004134D0" w:rsidRPr="00BC7967" w:rsidTr="00BC7967">
        <w:trPr>
          <w:trHeight w:val="463"/>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rPr>
                <w:b w:val="0"/>
              </w:rPr>
              <w:t>2.</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f"/>
              <w:spacing w:before="0" w:beforeAutospacing="0" w:after="0" w:afterAutospacing="0"/>
              <w:ind w:left="57" w:right="57"/>
              <w:rPr>
                <w:lang w:val="lv-LV"/>
              </w:rPr>
            </w:pPr>
            <w:r w:rsidRPr="00BC7967">
              <w:rPr>
                <w:lang w:val="lv-LV"/>
              </w:rPr>
              <w:t xml:space="preserve">Projekta izpildes ietekme uz pārvaldes funkcijām </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352190" w:rsidP="002A1C12">
            <w:pPr>
              <w:pStyle w:val="NoSpacing"/>
              <w:jc w:val="both"/>
              <w:rPr>
                <w:rFonts w:ascii="Times New Roman" w:hAnsi="Times New Roman"/>
                <w:sz w:val="24"/>
                <w:szCs w:val="24"/>
              </w:rPr>
            </w:pPr>
            <w:r w:rsidRPr="00BC7967">
              <w:rPr>
                <w:rFonts w:ascii="Times New Roman" w:hAnsi="Times New Roman"/>
                <w:spacing w:val="-6"/>
                <w:sz w:val="24"/>
                <w:szCs w:val="24"/>
                <w:lang w:eastAsia="lv-LV"/>
              </w:rPr>
              <w:t>Noteikumu projekts</w:t>
            </w:r>
            <w:r w:rsidR="004134D0" w:rsidRPr="00BC7967">
              <w:rPr>
                <w:rFonts w:ascii="Times New Roman" w:hAnsi="Times New Roman"/>
                <w:spacing w:val="-6"/>
                <w:sz w:val="24"/>
                <w:szCs w:val="24"/>
                <w:lang w:eastAsia="lv-LV"/>
              </w:rPr>
              <w:t xml:space="preserve"> </w:t>
            </w:r>
            <w:r w:rsidR="00E00E85" w:rsidRPr="00BC7967">
              <w:rPr>
                <w:rFonts w:ascii="Times New Roman" w:hAnsi="Times New Roman"/>
                <w:spacing w:val="-6"/>
                <w:sz w:val="24"/>
                <w:szCs w:val="24"/>
                <w:lang w:eastAsia="lv-LV"/>
              </w:rPr>
              <w:t>pastiprina</w:t>
            </w:r>
            <w:r w:rsidR="004134D0" w:rsidRPr="00BC7967">
              <w:rPr>
                <w:rFonts w:ascii="Times New Roman" w:hAnsi="Times New Roman"/>
                <w:spacing w:val="-6"/>
                <w:sz w:val="24"/>
                <w:szCs w:val="24"/>
                <w:lang w:eastAsia="lv-LV"/>
              </w:rPr>
              <w:t xml:space="preserve"> </w:t>
            </w:r>
            <w:r w:rsidR="00A82827" w:rsidRPr="00BC7967">
              <w:rPr>
                <w:rFonts w:ascii="Times New Roman" w:hAnsi="Times New Roman"/>
                <w:sz w:val="24"/>
                <w:szCs w:val="24"/>
              </w:rPr>
              <w:t>Pārtikas un veterinārā dienesta</w:t>
            </w:r>
            <w:r w:rsidR="00E00E85" w:rsidRPr="00BC7967">
              <w:rPr>
                <w:rFonts w:ascii="Times New Roman" w:hAnsi="Times New Roman"/>
                <w:sz w:val="24"/>
                <w:szCs w:val="24"/>
              </w:rPr>
              <w:t xml:space="preserve"> un Muitas iestāžu</w:t>
            </w:r>
            <w:r w:rsidR="002A1C12" w:rsidRPr="00BC7967">
              <w:rPr>
                <w:rFonts w:ascii="Times New Roman" w:hAnsi="Times New Roman"/>
                <w:sz w:val="24"/>
                <w:szCs w:val="24"/>
              </w:rPr>
              <w:t xml:space="preserve"> </w:t>
            </w:r>
            <w:r w:rsidR="004134D0" w:rsidRPr="00BC7967">
              <w:rPr>
                <w:rFonts w:ascii="Times New Roman" w:hAnsi="Times New Roman"/>
                <w:spacing w:val="-6"/>
                <w:sz w:val="24"/>
                <w:szCs w:val="24"/>
              </w:rPr>
              <w:t>uzraudzības funkcijas</w:t>
            </w:r>
            <w:r w:rsidR="00E00E85" w:rsidRPr="00BC7967">
              <w:rPr>
                <w:rFonts w:ascii="Times New Roman" w:hAnsi="Times New Roman"/>
                <w:spacing w:val="-6"/>
                <w:sz w:val="24"/>
                <w:szCs w:val="24"/>
              </w:rPr>
              <w:t>.</w:t>
            </w:r>
          </w:p>
        </w:tc>
      </w:tr>
      <w:tr w:rsidR="004134D0" w:rsidRPr="00BC7967" w:rsidTr="00BC7967">
        <w:trPr>
          <w:trHeight w:val="725"/>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rPr>
                <w:b w:val="0"/>
              </w:rPr>
              <w:t>3.</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f"/>
              <w:spacing w:before="0" w:beforeAutospacing="0" w:after="0" w:afterAutospacing="0"/>
              <w:ind w:left="57" w:right="57"/>
              <w:rPr>
                <w:spacing w:val="-6"/>
                <w:lang w:val="lv-LV"/>
              </w:rPr>
            </w:pPr>
            <w:r w:rsidRPr="00BC7967">
              <w:rPr>
                <w:spacing w:val="-6"/>
                <w:lang w:val="lv-LV"/>
              </w:rPr>
              <w:t>Projekta izpildes ietekme uz pārvaldes institucionālo struktūru.</w:t>
            </w:r>
          </w:p>
          <w:p w:rsidR="004134D0" w:rsidRPr="00BC7967" w:rsidRDefault="004134D0" w:rsidP="004134D0">
            <w:pPr>
              <w:pStyle w:val="naisf"/>
              <w:spacing w:before="0" w:beforeAutospacing="0" w:after="0" w:afterAutospacing="0"/>
              <w:ind w:left="57" w:right="57"/>
              <w:rPr>
                <w:lang w:val="lv-LV"/>
              </w:rPr>
            </w:pPr>
            <w:r w:rsidRPr="00BC7967">
              <w:rPr>
                <w:spacing w:val="-6"/>
                <w:lang w:val="lv-LV"/>
              </w:rPr>
              <w:t>Jaunu institūciju izveide</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5D480E" w:rsidP="00990459">
            <w:pPr>
              <w:pStyle w:val="naisnod"/>
              <w:spacing w:before="0" w:after="0"/>
              <w:ind w:left="57" w:right="57"/>
              <w:jc w:val="left"/>
              <w:rPr>
                <w:b w:val="0"/>
              </w:rPr>
            </w:pPr>
            <w:r w:rsidRPr="00BC7967">
              <w:rPr>
                <w:b w:val="0"/>
              </w:rPr>
              <w:t>P</w:t>
            </w:r>
            <w:r w:rsidR="005412A1" w:rsidRPr="00BC7967">
              <w:rPr>
                <w:b w:val="0"/>
              </w:rPr>
              <w:t>rojekts šo jomu neskar</w:t>
            </w:r>
            <w:r w:rsidR="00074A9C" w:rsidRPr="00BC7967">
              <w:rPr>
                <w:b w:val="0"/>
              </w:rPr>
              <w:t>.</w:t>
            </w:r>
          </w:p>
        </w:tc>
      </w:tr>
      <w:tr w:rsidR="004134D0" w:rsidRPr="00BC7967" w:rsidTr="00BC7967">
        <w:trPr>
          <w:trHeight w:val="780"/>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rPr>
                <w:b w:val="0"/>
              </w:rPr>
              <w:t>4.</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f"/>
              <w:spacing w:before="0" w:beforeAutospacing="0" w:after="0" w:afterAutospacing="0"/>
              <w:ind w:left="57" w:right="57"/>
              <w:rPr>
                <w:spacing w:val="-6"/>
                <w:lang w:val="lv-LV"/>
              </w:rPr>
            </w:pPr>
            <w:r w:rsidRPr="00BC7967">
              <w:rPr>
                <w:spacing w:val="-6"/>
                <w:lang w:val="lv-LV"/>
              </w:rPr>
              <w:t>Projekta izpildes ietekme uz pārvaldes institucionālo struktūru.</w:t>
            </w:r>
          </w:p>
          <w:p w:rsidR="004134D0" w:rsidRPr="00BC7967" w:rsidRDefault="004134D0" w:rsidP="004134D0">
            <w:pPr>
              <w:pStyle w:val="naisf"/>
              <w:spacing w:before="0" w:beforeAutospacing="0" w:after="0" w:afterAutospacing="0"/>
              <w:ind w:left="57" w:right="57"/>
              <w:rPr>
                <w:lang w:val="lv-LV"/>
              </w:rPr>
            </w:pPr>
            <w:r w:rsidRPr="00BC7967">
              <w:rPr>
                <w:spacing w:val="-6"/>
                <w:lang w:val="lv-LV"/>
              </w:rPr>
              <w:t>Esošu institūciju likvidācija</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5D480E" w:rsidP="00990459">
            <w:pPr>
              <w:pStyle w:val="naisnod"/>
              <w:spacing w:before="0" w:after="0"/>
              <w:ind w:left="57" w:right="57"/>
              <w:jc w:val="left"/>
              <w:rPr>
                <w:b w:val="0"/>
              </w:rPr>
            </w:pPr>
            <w:r w:rsidRPr="00BC7967">
              <w:rPr>
                <w:b w:val="0"/>
              </w:rPr>
              <w:t>P</w:t>
            </w:r>
            <w:r w:rsidR="005412A1" w:rsidRPr="00BC7967">
              <w:rPr>
                <w:b w:val="0"/>
              </w:rPr>
              <w:t>rojekts šo jomu neskar</w:t>
            </w:r>
            <w:r w:rsidR="00074A9C" w:rsidRPr="00BC7967">
              <w:rPr>
                <w:b w:val="0"/>
              </w:rPr>
              <w:t>.</w:t>
            </w:r>
          </w:p>
        </w:tc>
      </w:tr>
      <w:tr w:rsidR="004134D0" w:rsidRPr="00BC7967" w:rsidTr="00BC7967">
        <w:trPr>
          <w:trHeight w:val="703"/>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nod"/>
              <w:spacing w:before="0" w:after="0"/>
              <w:ind w:left="57" w:right="57"/>
              <w:rPr>
                <w:b w:val="0"/>
              </w:rPr>
            </w:pPr>
            <w:r w:rsidRPr="00BC7967">
              <w:rPr>
                <w:b w:val="0"/>
              </w:rPr>
              <w:t>5.</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f"/>
              <w:spacing w:before="0" w:beforeAutospacing="0" w:after="0" w:afterAutospacing="0"/>
              <w:ind w:left="57" w:right="57"/>
              <w:rPr>
                <w:spacing w:val="-6"/>
                <w:lang w:val="lv-LV"/>
              </w:rPr>
            </w:pPr>
            <w:r w:rsidRPr="00BC7967">
              <w:rPr>
                <w:spacing w:val="-6"/>
                <w:lang w:val="lv-LV"/>
              </w:rPr>
              <w:t>Projekta izpildes ietekme uz pārvaldes institucionālo struktūru.</w:t>
            </w:r>
          </w:p>
          <w:p w:rsidR="004134D0" w:rsidRPr="00BC7967" w:rsidRDefault="004134D0" w:rsidP="004134D0">
            <w:pPr>
              <w:pStyle w:val="naisf"/>
              <w:spacing w:before="0" w:beforeAutospacing="0" w:after="0" w:afterAutospacing="0"/>
              <w:ind w:left="57" w:right="57"/>
              <w:rPr>
                <w:lang w:val="lv-LV"/>
              </w:rPr>
            </w:pPr>
            <w:r w:rsidRPr="00BC7967">
              <w:rPr>
                <w:spacing w:val="-6"/>
                <w:lang w:val="lv-LV"/>
              </w:rPr>
              <w:t>Esošu institūciju reorganizācija</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5412A1" w:rsidP="00990459">
            <w:pPr>
              <w:pStyle w:val="naisnod"/>
              <w:spacing w:before="0" w:after="0"/>
              <w:ind w:left="57" w:right="57"/>
              <w:jc w:val="both"/>
              <w:rPr>
                <w:b w:val="0"/>
              </w:rPr>
            </w:pPr>
            <w:r w:rsidRPr="00BC7967">
              <w:rPr>
                <w:b w:val="0"/>
              </w:rPr>
              <w:t>Projekts šo jomu neskar</w:t>
            </w:r>
            <w:r w:rsidR="00074A9C" w:rsidRPr="00BC7967">
              <w:rPr>
                <w:b w:val="0"/>
              </w:rPr>
              <w:t>.</w:t>
            </w:r>
          </w:p>
        </w:tc>
      </w:tr>
      <w:tr w:rsidR="004134D0" w:rsidRPr="00BC7967" w:rsidTr="00BC7967">
        <w:trPr>
          <w:trHeight w:val="365"/>
        </w:trPr>
        <w:tc>
          <w:tcPr>
            <w:tcW w:w="426"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6.</w:t>
            </w:r>
          </w:p>
        </w:tc>
        <w:tc>
          <w:tcPr>
            <w:tcW w:w="2437"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Cita informācija</w:t>
            </w:r>
          </w:p>
        </w:tc>
        <w:tc>
          <w:tcPr>
            <w:tcW w:w="6521" w:type="dxa"/>
            <w:tcBorders>
              <w:top w:val="single" w:sz="4" w:space="0" w:color="auto"/>
              <w:left w:val="single" w:sz="4" w:space="0" w:color="auto"/>
              <w:bottom w:val="single" w:sz="4" w:space="0" w:color="auto"/>
              <w:right w:val="single" w:sz="4" w:space="0" w:color="auto"/>
            </w:tcBorders>
            <w:hideMark/>
          </w:tcPr>
          <w:p w:rsidR="004134D0" w:rsidRPr="00BC7967" w:rsidRDefault="004134D0" w:rsidP="004134D0">
            <w:pPr>
              <w:pStyle w:val="naiskr"/>
              <w:spacing w:before="0" w:after="0"/>
              <w:ind w:left="57" w:right="57"/>
            </w:pPr>
            <w:r w:rsidRPr="00BC7967">
              <w:t>Nav</w:t>
            </w:r>
          </w:p>
        </w:tc>
      </w:tr>
    </w:tbl>
    <w:p w:rsidR="00485A9E" w:rsidRPr="00BC7967" w:rsidRDefault="00485A9E" w:rsidP="00485A9E">
      <w:pPr>
        <w:rPr>
          <w:b/>
          <w:sz w:val="28"/>
          <w:szCs w:val="28"/>
          <w:lang w:val="lv-LV"/>
        </w:rPr>
      </w:pPr>
    </w:p>
    <w:p w:rsidR="00CB2893" w:rsidRPr="00BC7967" w:rsidRDefault="00F26B24" w:rsidP="00CB2893">
      <w:pPr>
        <w:jc w:val="both"/>
        <w:rPr>
          <w:i/>
          <w:sz w:val="28"/>
          <w:szCs w:val="28"/>
          <w:lang w:val="lv-LV"/>
        </w:rPr>
      </w:pPr>
      <w:r w:rsidRPr="00BC7967">
        <w:rPr>
          <w:i/>
          <w:sz w:val="28"/>
          <w:szCs w:val="28"/>
          <w:lang w:val="lv-LV"/>
        </w:rPr>
        <w:t>Anotācijas III sadaļa</w:t>
      </w:r>
      <w:r w:rsidR="00B53498" w:rsidRPr="00BC7967">
        <w:rPr>
          <w:i/>
          <w:sz w:val="28"/>
          <w:szCs w:val="28"/>
          <w:lang w:val="lv-LV"/>
        </w:rPr>
        <w:t> – </w:t>
      </w:r>
      <w:r w:rsidRPr="00BC7967">
        <w:rPr>
          <w:i/>
          <w:sz w:val="28"/>
          <w:szCs w:val="28"/>
          <w:lang w:val="lv-LV"/>
        </w:rPr>
        <w:t>projekts šo jomu neskar</w:t>
      </w:r>
    </w:p>
    <w:p w:rsidR="005E78B5" w:rsidRPr="00BC7967" w:rsidRDefault="005E78B5" w:rsidP="00CB2893">
      <w:pPr>
        <w:jc w:val="both"/>
        <w:rPr>
          <w:sz w:val="28"/>
          <w:szCs w:val="28"/>
          <w:lang w:val="lv-LV"/>
        </w:rPr>
      </w:pPr>
    </w:p>
    <w:p w:rsidR="00B53498" w:rsidRPr="00BC7967" w:rsidRDefault="00B53498" w:rsidP="00A87F98">
      <w:pPr>
        <w:ind w:firstLine="720"/>
        <w:jc w:val="both"/>
        <w:rPr>
          <w:sz w:val="28"/>
          <w:szCs w:val="28"/>
          <w:lang w:val="lv-LV"/>
        </w:rPr>
      </w:pPr>
    </w:p>
    <w:p w:rsidR="00CB2893" w:rsidRPr="00BC7967" w:rsidRDefault="00CB2893" w:rsidP="00A87F98">
      <w:pPr>
        <w:ind w:firstLine="720"/>
        <w:jc w:val="both"/>
        <w:rPr>
          <w:rStyle w:val="Strong"/>
          <w:b w:val="0"/>
          <w:bCs w:val="0"/>
          <w:sz w:val="28"/>
          <w:szCs w:val="28"/>
          <w:lang w:val="lv-LV"/>
        </w:rPr>
      </w:pPr>
      <w:r w:rsidRPr="00BC7967">
        <w:rPr>
          <w:sz w:val="28"/>
          <w:szCs w:val="28"/>
          <w:lang w:val="lv-LV"/>
        </w:rPr>
        <w:t>Veselības ministre</w:t>
      </w:r>
      <w:r w:rsidRPr="00BC7967">
        <w:rPr>
          <w:sz w:val="28"/>
          <w:szCs w:val="28"/>
          <w:lang w:val="lv-LV"/>
        </w:rPr>
        <w:tab/>
      </w:r>
      <w:r w:rsidRPr="00BC7967">
        <w:rPr>
          <w:sz w:val="28"/>
          <w:szCs w:val="28"/>
          <w:lang w:val="lv-LV"/>
        </w:rPr>
        <w:tab/>
      </w:r>
      <w:r w:rsidRPr="00BC7967">
        <w:rPr>
          <w:sz w:val="28"/>
          <w:szCs w:val="28"/>
          <w:lang w:val="lv-LV"/>
        </w:rPr>
        <w:tab/>
      </w:r>
      <w:r w:rsidRPr="00BC7967">
        <w:rPr>
          <w:sz w:val="28"/>
          <w:szCs w:val="28"/>
          <w:lang w:val="lv-LV"/>
        </w:rPr>
        <w:tab/>
      </w:r>
      <w:r w:rsidRPr="00BC7967">
        <w:rPr>
          <w:sz w:val="28"/>
          <w:szCs w:val="28"/>
          <w:lang w:val="lv-LV"/>
        </w:rPr>
        <w:tab/>
      </w:r>
      <w:r w:rsidRPr="00BC7967">
        <w:rPr>
          <w:sz w:val="28"/>
          <w:szCs w:val="28"/>
          <w:lang w:val="lv-LV"/>
        </w:rPr>
        <w:tab/>
        <w:t>I.Circene</w:t>
      </w:r>
    </w:p>
    <w:p w:rsidR="00A4357A" w:rsidRPr="00BC7967" w:rsidRDefault="00A4357A" w:rsidP="00A4357A">
      <w:pPr>
        <w:pStyle w:val="NoSpacing"/>
        <w:tabs>
          <w:tab w:val="left" w:pos="2270"/>
        </w:tabs>
        <w:jc w:val="both"/>
        <w:rPr>
          <w:rFonts w:ascii="Times New Roman" w:hAnsi="Times New Roman"/>
          <w:sz w:val="24"/>
          <w:szCs w:val="24"/>
        </w:rPr>
      </w:pPr>
    </w:p>
    <w:p w:rsidR="005D480E" w:rsidRPr="00BC7967" w:rsidRDefault="005D480E" w:rsidP="00A4357A">
      <w:pPr>
        <w:pStyle w:val="NoSpacing"/>
        <w:tabs>
          <w:tab w:val="left" w:pos="2270"/>
        </w:tabs>
        <w:jc w:val="both"/>
        <w:rPr>
          <w:rFonts w:ascii="Times New Roman" w:hAnsi="Times New Roman"/>
          <w:sz w:val="24"/>
          <w:szCs w:val="24"/>
        </w:rPr>
      </w:pPr>
    </w:p>
    <w:p w:rsidR="005D480E" w:rsidRPr="00BC7967" w:rsidRDefault="005D480E" w:rsidP="00A4357A">
      <w:pPr>
        <w:pStyle w:val="NoSpacing"/>
        <w:tabs>
          <w:tab w:val="left" w:pos="2270"/>
        </w:tabs>
        <w:jc w:val="both"/>
        <w:rPr>
          <w:rFonts w:ascii="Times New Roman" w:hAnsi="Times New Roman"/>
          <w:sz w:val="24"/>
          <w:szCs w:val="24"/>
        </w:rPr>
      </w:pPr>
    </w:p>
    <w:p w:rsidR="009C5152" w:rsidRPr="00C6588A" w:rsidRDefault="00CB2315" w:rsidP="00B53498">
      <w:pPr>
        <w:pStyle w:val="NoSpacing"/>
        <w:tabs>
          <w:tab w:val="left" w:pos="3210"/>
        </w:tabs>
        <w:jc w:val="both"/>
        <w:rPr>
          <w:rFonts w:ascii="Times New Roman" w:hAnsi="Times New Roman"/>
          <w:sz w:val="24"/>
          <w:szCs w:val="24"/>
        </w:rPr>
      </w:pPr>
      <w:r>
        <w:rPr>
          <w:rFonts w:ascii="Times New Roman" w:hAnsi="Times New Roman"/>
          <w:sz w:val="24"/>
          <w:szCs w:val="24"/>
        </w:rPr>
        <w:t>25</w:t>
      </w:r>
      <w:r w:rsidR="00E44F49" w:rsidRPr="00C6588A">
        <w:rPr>
          <w:rFonts w:ascii="Times New Roman" w:hAnsi="Times New Roman"/>
          <w:sz w:val="24"/>
          <w:szCs w:val="24"/>
        </w:rPr>
        <w:t>.06</w:t>
      </w:r>
      <w:r w:rsidR="003F4D5E" w:rsidRPr="00C6588A">
        <w:rPr>
          <w:rFonts w:ascii="Times New Roman" w:hAnsi="Times New Roman"/>
          <w:sz w:val="24"/>
          <w:szCs w:val="24"/>
        </w:rPr>
        <w:t>.</w:t>
      </w:r>
      <w:r w:rsidR="00A4357A" w:rsidRPr="00C6588A">
        <w:rPr>
          <w:rFonts w:ascii="Times New Roman" w:hAnsi="Times New Roman"/>
          <w:sz w:val="24"/>
          <w:szCs w:val="24"/>
        </w:rPr>
        <w:t xml:space="preserve">2013. </w:t>
      </w:r>
      <w:r w:rsidR="00DF7D33">
        <w:rPr>
          <w:rFonts w:ascii="Times New Roman" w:hAnsi="Times New Roman"/>
          <w:sz w:val="24"/>
          <w:szCs w:val="24"/>
        </w:rPr>
        <w:t>11</w:t>
      </w:r>
      <w:r w:rsidR="00A4357A" w:rsidRPr="00C6588A">
        <w:rPr>
          <w:rFonts w:ascii="Times New Roman" w:hAnsi="Times New Roman"/>
          <w:sz w:val="24"/>
          <w:szCs w:val="24"/>
        </w:rPr>
        <w:t>:</w:t>
      </w:r>
      <w:r w:rsidR="00F4094C">
        <w:rPr>
          <w:rFonts w:ascii="Times New Roman" w:hAnsi="Times New Roman"/>
          <w:sz w:val="24"/>
          <w:szCs w:val="24"/>
        </w:rPr>
        <w:t>26</w:t>
      </w:r>
    </w:p>
    <w:p w:rsidR="00A4357A" w:rsidRPr="00C6588A" w:rsidRDefault="002C5CE7" w:rsidP="009C5152">
      <w:pPr>
        <w:pStyle w:val="NoSpacing"/>
        <w:tabs>
          <w:tab w:val="left" w:pos="2270"/>
        </w:tabs>
        <w:jc w:val="both"/>
        <w:rPr>
          <w:rFonts w:ascii="Times New Roman" w:hAnsi="Times New Roman"/>
          <w:sz w:val="24"/>
          <w:szCs w:val="24"/>
        </w:rPr>
      </w:pPr>
      <w:r w:rsidRPr="00C6588A">
        <w:rPr>
          <w:rFonts w:ascii="Times New Roman" w:hAnsi="Times New Roman"/>
          <w:sz w:val="24"/>
          <w:szCs w:val="24"/>
        </w:rPr>
        <w:t>5</w:t>
      </w:r>
      <w:r w:rsidR="00CB2315">
        <w:rPr>
          <w:rFonts w:ascii="Times New Roman" w:hAnsi="Times New Roman"/>
          <w:sz w:val="24"/>
          <w:szCs w:val="24"/>
        </w:rPr>
        <w:t>196</w:t>
      </w:r>
    </w:p>
    <w:p w:rsidR="00A4357A" w:rsidRPr="00C6588A" w:rsidRDefault="00A4357A" w:rsidP="00A4357A">
      <w:pPr>
        <w:pStyle w:val="NoSpacing"/>
        <w:jc w:val="both"/>
        <w:rPr>
          <w:rFonts w:ascii="Times New Roman" w:hAnsi="Times New Roman"/>
          <w:sz w:val="24"/>
          <w:szCs w:val="24"/>
        </w:rPr>
      </w:pPr>
      <w:r w:rsidRPr="00C6588A">
        <w:rPr>
          <w:rFonts w:ascii="Times New Roman" w:hAnsi="Times New Roman"/>
          <w:sz w:val="24"/>
          <w:szCs w:val="24"/>
        </w:rPr>
        <w:t>I.Mača</w:t>
      </w:r>
    </w:p>
    <w:p w:rsidR="00660339" w:rsidRPr="00C6588A" w:rsidRDefault="00A4357A" w:rsidP="00E47152">
      <w:pPr>
        <w:pStyle w:val="NoSpacing"/>
        <w:jc w:val="both"/>
        <w:rPr>
          <w:rFonts w:ascii="Times New Roman" w:hAnsi="Times New Roman"/>
          <w:sz w:val="24"/>
          <w:szCs w:val="24"/>
        </w:rPr>
      </w:pPr>
      <w:r w:rsidRPr="00C6588A">
        <w:rPr>
          <w:rFonts w:ascii="Times New Roman" w:hAnsi="Times New Roman"/>
          <w:sz w:val="24"/>
          <w:szCs w:val="24"/>
        </w:rPr>
        <w:t xml:space="preserve">67876117, </w:t>
      </w:r>
      <w:hyperlink r:id="rId9" w:history="1">
        <w:r w:rsidRPr="00C6588A">
          <w:rPr>
            <w:rStyle w:val="Hyperlink"/>
            <w:rFonts w:ascii="Times New Roman" w:hAnsi="Times New Roman"/>
            <w:color w:val="auto"/>
            <w:sz w:val="24"/>
            <w:szCs w:val="24"/>
            <w:u w:val="none"/>
          </w:rPr>
          <w:t>Inguna.Maca@vm.gov.lv</w:t>
        </w:r>
      </w:hyperlink>
    </w:p>
    <w:sectPr w:rsidR="00660339" w:rsidRPr="00C6588A" w:rsidSect="00722013">
      <w:headerReference w:type="default" r:id="rId10"/>
      <w:footerReference w:type="default" r:id="rId11"/>
      <w:footerReference w:type="first" r:id="rId12"/>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60" w:rsidRDefault="00086F60" w:rsidP="00CB2893">
      <w:r>
        <w:separator/>
      </w:r>
    </w:p>
  </w:endnote>
  <w:endnote w:type="continuationSeparator" w:id="0">
    <w:p w:rsidR="00086F60" w:rsidRDefault="00086F60"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60" w:rsidRPr="0018045A" w:rsidRDefault="00B10825" w:rsidP="00CD2521">
    <w:pPr>
      <w:pStyle w:val="Footer"/>
      <w:jc w:val="both"/>
      <w:rPr>
        <w:lang w:val="lv-LV"/>
      </w:rPr>
    </w:pPr>
    <w:r>
      <w:rPr>
        <w:lang w:val="lv-LV"/>
      </w:rPr>
      <w:t>VMAnot_25</w:t>
    </w:r>
    <w:r w:rsidR="00086F60">
      <w:rPr>
        <w:lang w:val="lv-LV"/>
      </w:rPr>
      <w:t>06</w:t>
    </w:r>
    <w:r w:rsidR="00086F60" w:rsidRPr="0012535A">
      <w:rPr>
        <w:lang w:val="lv-LV"/>
      </w:rPr>
      <w:t>13_</w:t>
    </w:r>
    <w:r w:rsidR="00086F60">
      <w:rPr>
        <w:lang w:val="lv-LV"/>
      </w:rPr>
      <w:t>VSS452</w:t>
    </w:r>
    <w:r w:rsidR="00086F60" w:rsidRPr="0018045A">
      <w:rPr>
        <w:lang w:val="lv-LV"/>
      </w:rPr>
      <w:t>; Ministru kabineta noteikumu projekts ”Grozījumi Ministru kabineta 2007.gada 26.jūnija noteikumos Nr.436 ”Zāļu ievešanas un izvešanas kārtība””</w:t>
    </w:r>
  </w:p>
  <w:p w:rsidR="00086F60" w:rsidRPr="0018045A" w:rsidRDefault="00086F60" w:rsidP="00B47DC5">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60" w:rsidRPr="0012535A" w:rsidRDefault="00B10825" w:rsidP="00950477">
    <w:pPr>
      <w:pStyle w:val="Footer"/>
      <w:jc w:val="both"/>
      <w:rPr>
        <w:lang w:val="lv-LV"/>
      </w:rPr>
    </w:pPr>
    <w:r>
      <w:rPr>
        <w:lang w:val="lv-LV"/>
      </w:rPr>
      <w:t>VMAnot_25</w:t>
    </w:r>
    <w:r w:rsidR="00086F60">
      <w:rPr>
        <w:lang w:val="lv-LV"/>
      </w:rPr>
      <w:t>06</w:t>
    </w:r>
    <w:r w:rsidR="00086F60" w:rsidRPr="0012535A">
      <w:rPr>
        <w:lang w:val="lv-LV"/>
      </w:rPr>
      <w:t>13_</w:t>
    </w:r>
    <w:r w:rsidR="00086F60">
      <w:rPr>
        <w:lang w:val="lv-LV"/>
      </w:rPr>
      <w:t>VSS452</w:t>
    </w:r>
    <w:r w:rsidR="00086F60" w:rsidRPr="0012535A">
      <w:rPr>
        <w:lang w:val="lv-LV"/>
      </w:rPr>
      <w:t>; Ministru kabineta noteikumu projekts ”Grozījumi Ministru kabineta 2007.gada 26.jūnija noteikumos Nr.436 ”Zāļu ievešanas un izvešanas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60" w:rsidRDefault="00086F60" w:rsidP="00CB2893">
      <w:r>
        <w:separator/>
      </w:r>
    </w:p>
  </w:footnote>
  <w:footnote w:type="continuationSeparator" w:id="0">
    <w:p w:rsidR="00086F60" w:rsidRDefault="00086F60"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F60" w:rsidRDefault="003A4256">
    <w:pPr>
      <w:pStyle w:val="Header"/>
      <w:jc w:val="center"/>
    </w:pPr>
    <w:fldSimple w:instr=" PAGE   \* MERGEFORMAT ">
      <w:r w:rsidR="00F4094C">
        <w:rPr>
          <w:noProof/>
        </w:rPr>
        <w:t>24</w:t>
      </w:r>
    </w:fldSimple>
  </w:p>
  <w:p w:rsidR="00086F60" w:rsidRDefault="00086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9"/>
    <w:multiLevelType w:val="hybridMultilevel"/>
    <w:tmpl w:val="518CEA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C7FD4"/>
    <w:multiLevelType w:val="hybridMultilevel"/>
    <w:tmpl w:val="99027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D12F72"/>
    <w:multiLevelType w:val="hybridMultilevel"/>
    <w:tmpl w:val="5D809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5B0E03"/>
    <w:multiLevelType w:val="hybridMultilevel"/>
    <w:tmpl w:val="9B78E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91153"/>
    <w:multiLevelType w:val="hybridMultilevel"/>
    <w:tmpl w:val="AC082656"/>
    <w:lvl w:ilvl="0" w:tplc="75A010B0">
      <w:start w:val="1"/>
      <w:numFmt w:val="lowerLetter"/>
      <w:lvlText w:val="%1)"/>
      <w:lvlJc w:val="left"/>
      <w:pPr>
        <w:ind w:left="720" w:hanging="360"/>
      </w:pPr>
      <w:rPr>
        <w:rFonts w:hint="default"/>
        <w:color w:val="333333"/>
        <w:sz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42B5CD7"/>
    <w:multiLevelType w:val="hybridMultilevel"/>
    <w:tmpl w:val="1A9C5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1">
    <w:nsid w:val="49810EFF"/>
    <w:multiLevelType w:val="hybridMultilevel"/>
    <w:tmpl w:val="6D5277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F20982"/>
    <w:multiLevelType w:val="hybridMultilevel"/>
    <w:tmpl w:val="3AA891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C0550C"/>
    <w:multiLevelType w:val="hybridMultilevel"/>
    <w:tmpl w:val="A7AE36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7"/>
  </w:num>
  <w:num w:numId="7">
    <w:abstractNumId w:val="13"/>
  </w:num>
  <w:num w:numId="8">
    <w:abstractNumId w:val="6"/>
  </w:num>
  <w:num w:numId="9">
    <w:abstractNumId w:val="8"/>
  </w:num>
  <w:num w:numId="10">
    <w:abstractNumId w:val="11"/>
  </w:num>
  <w:num w:numId="11">
    <w:abstractNumId w:val="4"/>
  </w:num>
  <w:num w:numId="12">
    <w:abstractNumId w:val="1"/>
  </w:num>
  <w:num w:numId="13">
    <w:abstractNumId w:val="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9A"/>
    <w:rsid w:val="00001EF2"/>
    <w:rsid w:val="0000228C"/>
    <w:rsid w:val="00002559"/>
    <w:rsid w:val="00003659"/>
    <w:rsid w:val="00003C89"/>
    <w:rsid w:val="00005208"/>
    <w:rsid w:val="0000558C"/>
    <w:rsid w:val="0000613D"/>
    <w:rsid w:val="00006E22"/>
    <w:rsid w:val="0000718E"/>
    <w:rsid w:val="00007FAA"/>
    <w:rsid w:val="00010861"/>
    <w:rsid w:val="00010CDF"/>
    <w:rsid w:val="00011558"/>
    <w:rsid w:val="000117F2"/>
    <w:rsid w:val="000127B3"/>
    <w:rsid w:val="00012BFE"/>
    <w:rsid w:val="00012FFB"/>
    <w:rsid w:val="00013BD0"/>
    <w:rsid w:val="00015256"/>
    <w:rsid w:val="000155B8"/>
    <w:rsid w:val="00015964"/>
    <w:rsid w:val="00016CD7"/>
    <w:rsid w:val="00016ECD"/>
    <w:rsid w:val="0002034A"/>
    <w:rsid w:val="00020485"/>
    <w:rsid w:val="00020906"/>
    <w:rsid w:val="00020A20"/>
    <w:rsid w:val="000213A2"/>
    <w:rsid w:val="00021C8F"/>
    <w:rsid w:val="00022C05"/>
    <w:rsid w:val="00023126"/>
    <w:rsid w:val="00023CF5"/>
    <w:rsid w:val="00023EB6"/>
    <w:rsid w:val="0002589B"/>
    <w:rsid w:val="000258B6"/>
    <w:rsid w:val="00027257"/>
    <w:rsid w:val="00027846"/>
    <w:rsid w:val="00027D57"/>
    <w:rsid w:val="00030EEF"/>
    <w:rsid w:val="00031188"/>
    <w:rsid w:val="00032BCC"/>
    <w:rsid w:val="00035CEA"/>
    <w:rsid w:val="00036198"/>
    <w:rsid w:val="000364FB"/>
    <w:rsid w:val="000367B6"/>
    <w:rsid w:val="000404ED"/>
    <w:rsid w:val="000424E6"/>
    <w:rsid w:val="00042608"/>
    <w:rsid w:val="00044972"/>
    <w:rsid w:val="00044A04"/>
    <w:rsid w:val="00046C3E"/>
    <w:rsid w:val="000474E0"/>
    <w:rsid w:val="0004750B"/>
    <w:rsid w:val="00047C33"/>
    <w:rsid w:val="00050905"/>
    <w:rsid w:val="00050EA3"/>
    <w:rsid w:val="00052ABA"/>
    <w:rsid w:val="00052C5D"/>
    <w:rsid w:val="000535C7"/>
    <w:rsid w:val="000538E3"/>
    <w:rsid w:val="0005425A"/>
    <w:rsid w:val="000551ED"/>
    <w:rsid w:val="0005624A"/>
    <w:rsid w:val="000616E4"/>
    <w:rsid w:val="00061C6C"/>
    <w:rsid w:val="000639A9"/>
    <w:rsid w:val="000639C0"/>
    <w:rsid w:val="00063BC6"/>
    <w:rsid w:val="000640FB"/>
    <w:rsid w:val="00064E34"/>
    <w:rsid w:val="000676C0"/>
    <w:rsid w:val="00070972"/>
    <w:rsid w:val="00070AAB"/>
    <w:rsid w:val="00070C8F"/>
    <w:rsid w:val="00071924"/>
    <w:rsid w:val="00072A2E"/>
    <w:rsid w:val="00072EAE"/>
    <w:rsid w:val="00073417"/>
    <w:rsid w:val="00074428"/>
    <w:rsid w:val="00074A9C"/>
    <w:rsid w:val="00074FDB"/>
    <w:rsid w:val="00075530"/>
    <w:rsid w:val="00075CB7"/>
    <w:rsid w:val="00077473"/>
    <w:rsid w:val="0007751C"/>
    <w:rsid w:val="0008146C"/>
    <w:rsid w:val="0008348C"/>
    <w:rsid w:val="00083B1E"/>
    <w:rsid w:val="00083E00"/>
    <w:rsid w:val="000846B6"/>
    <w:rsid w:val="00085FFD"/>
    <w:rsid w:val="000863BB"/>
    <w:rsid w:val="00086975"/>
    <w:rsid w:val="00086DC5"/>
    <w:rsid w:val="00086F60"/>
    <w:rsid w:val="00087FA1"/>
    <w:rsid w:val="00090184"/>
    <w:rsid w:val="00092538"/>
    <w:rsid w:val="000931C2"/>
    <w:rsid w:val="00096225"/>
    <w:rsid w:val="00096BF0"/>
    <w:rsid w:val="00096C3F"/>
    <w:rsid w:val="00097411"/>
    <w:rsid w:val="000A015C"/>
    <w:rsid w:val="000A0FCE"/>
    <w:rsid w:val="000A1209"/>
    <w:rsid w:val="000A16CA"/>
    <w:rsid w:val="000A19B1"/>
    <w:rsid w:val="000A3086"/>
    <w:rsid w:val="000A58BA"/>
    <w:rsid w:val="000A614A"/>
    <w:rsid w:val="000A66DA"/>
    <w:rsid w:val="000A6C30"/>
    <w:rsid w:val="000B0AC6"/>
    <w:rsid w:val="000B19B6"/>
    <w:rsid w:val="000B251B"/>
    <w:rsid w:val="000B3BE4"/>
    <w:rsid w:val="000B3DD2"/>
    <w:rsid w:val="000B3FB7"/>
    <w:rsid w:val="000B4A2A"/>
    <w:rsid w:val="000B4DC9"/>
    <w:rsid w:val="000B6BA6"/>
    <w:rsid w:val="000B725F"/>
    <w:rsid w:val="000B778C"/>
    <w:rsid w:val="000B7AA0"/>
    <w:rsid w:val="000C03F3"/>
    <w:rsid w:val="000C0FC9"/>
    <w:rsid w:val="000C2321"/>
    <w:rsid w:val="000C259E"/>
    <w:rsid w:val="000C32AD"/>
    <w:rsid w:val="000C358D"/>
    <w:rsid w:val="000C4733"/>
    <w:rsid w:val="000C4E9F"/>
    <w:rsid w:val="000C50A4"/>
    <w:rsid w:val="000C5484"/>
    <w:rsid w:val="000C61FD"/>
    <w:rsid w:val="000D0EF3"/>
    <w:rsid w:val="000D142E"/>
    <w:rsid w:val="000D24D0"/>
    <w:rsid w:val="000D2653"/>
    <w:rsid w:val="000D30C8"/>
    <w:rsid w:val="000D3F72"/>
    <w:rsid w:val="000D66E3"/>
    <w:rsid w:val="000D6996"/>
    <w:rsid w:val="000D79E9"/>
    <w:rsid w:val="000D7E97"/>
    <w:rsid w:val="000E0ECE"/>
    <w:rsid w:val="000E128E"/>
    <w:rsid w:val="000E1F01"/>
    <w:rsid w:val="000E3068"/>
    <w:rsid w:val="000E33E5"/>
    <w:rsid w:val="000E34DE"/>
    <w:rsid w:val="000E44C0"/>
    <w:rsid w:val="000E4C59"/>
    <w:rsid w:val="000E4EF6"/>
    <w:rsid w:val="000E5134"/>
    <w:rsid w:val="000E5623"/>
    <w:rsid w:val="000E5642"/>
    <w:rsid w:val="000E5A1E"/>
    <w:rsid w:val="000E6DC8"/>
    <w:rsid w:val="000E6FF6"/>
    <w:rsid w:val="000E7116"/>
    <w:rsid w:val="000F0872"/>
    <w:rsid w:val="000F1993"/>
    <w:rsid w:val="000F1E84"/>
    <w:rsid w:val="000F215C"/>
    <w:rsid w:val="000F248E"/>
    <w:rsid w:val="000F25E3"/>
    <w:rsid w:val="000F63CB"/>
    <w:rsid w:val="000F73C3"/>
    <w:rsid w:val="000F7478"/>
    <w:rsid w:val="0010123C"/>
    <w:rsid w:val="0010193C"/>
    <w:rsid w:val="0010348D"/>
    <w:rsid w:val="001034FD"/>
    <w:rsid w:val="00103C93"/>
    <w:rsid w:val="00103F60"/>
    <w:rsid w:val="0010475B"/>
    <w:rsid w:val="00106744"/>
    <w:rsid w:val="00106B6D"/>
    <w:rsid w:val="00106E49"/>
    <w:rsid w:val="0011015E"/>
    <w:rsid w:val="00110A3F"/>
    <w:rsid w:val="001113B6"/>
    <w:rsid w:val="00111DD7"/>
    <w:rsid w:val="001129C8"/>
    <w:rsid w:val="0011592A"/>
    <w:rsid w:val="00116331"/>
    <w:rsid w:val="0011644F"/>
    <w:rsid w:val="001164E6"/>
    <w:rsid w:val="001176B2"/>
    <w:rsid w:val="00120CD4"/>
    <w:rsid w:val="00120F93"/>
    <w:rsid w:val="00123D54"/>
    <w:rsid w:val="00123FBC"/>
    <w:rsid w:val="00124208"/>
    <w:rsid w:val="00124AC5"/>
    <w:rsid w:val="0012535A"/>
    <w:rsid w:val="00125BD1"/>
    <w:rsid w:val="0012667B"/>
    <w:rsid w:val="00131F58"/>
    <w:rsid w:val="001336D0"/>
    <w:rsid w:val="00133F2F"/>
    <w:rsid w:val="00135123"/>
    <w:rsid w:val="001356D2"/>
    <w:rsid w:val="00135E59"/>
    <w:rsid w:val="00136DDE"/>
    <w:rsid w:val="00137E23"/>
    <w:rsid w:val="00141217"/>
    <w:rsid w:val="00141EA5"/>
    <w:rsid w:val="0014384D"/>
    <w:rsid w:val="001444FF"/>
    <w:rsid w:val="001448BC"/>
    <w:rsid w:val="00144D82"/>
    <w:rsid w:val="00144DB3"/>
    <w:rsid w:val="00146FA1"/>
    <w:rsid w:val="00147C7C"/>
    <w:rsid w:val="001512CE"/>
    <w:rsid w:val="001525F6"/>
    <w:rsid w:val="00153693"/>
    <w:rsid w:val="00154570"/>
    <w:rsid w:val="00155AC5"/>
    <w:rsid w:val="00155B54"/>
    <w:rsid w:val="00155DB0"/>
    <w:rsid w:val="00156061"/>
    <w:rsid w:val="001609B9"/>
    <w:rsid w:val="001615B5"/>
    <w:rsid w:val="001615FD"/>
    <w:rsid w:val="0016272A"/>
    <w:rsid w:val="0016281F"/>
    <w:rsid w:val="001630A1"/>
    <w:rsid w:val="001648A7"/>
    <w:rsid w:val="00164DFE"/>
    <w:rsid w:val="00165216"/>
    <w:rsid w:val="00165849"/>
    <w:rsid w:val="00165EA9"/>
    <w:rsid w:val="00170B67"/>
    <w:rsid w:val="00171CBB"/>
    <w:rsid w:val="00171E86"/>
    <w:rsid w:val="00172B60"/>
    <w:rsid w:val="0017318A"/>
    <w:rsid w:val="00173792"/>
    <w:rsid w:val="00173B06"/>
    <w:rsid w:val="00173B68"/>
    <w:rsid w:val="00174528"/>
    <w:rsid w:val="00174C6B"/>
    <w:rsid w:val="00174EE9"/>
    <w:rsid w:val="0017659B"/>
    <w:rsid w:val="00177807"/>
    <w:rsid w:val="0018045A"/>
    <w:rsid w:val="0018103F"/>
    <w:rsid w:val="00181FD3"/>
    <w:rsid w:val="00182D52"/>
    <w:rsid w:val="00183A10"/>
    <w:rsid w:val="001844D0"/>
    <w:rsid w:val="00185D59"/>
    <w:rsid w:val="0018735F"/>
    <w:rsid w:val="00187E46"/>
    <w:rsid w:val="00187F32"/>
    <w:rsid w:val="00190A0D"/>
    <w:rsid w:val="00191E34"/>
    <w:rsid w:val="001926F4"/>
    <w:rsid w:val="00192B03"/>
    <w:rsid w:val="00193809"/>
    <w:rsid w:val="00193D34"/>
    <w:rsid w:val="00196C13"/>
    <w:rsid w:val="00196FBE"/>
    <w:rsid w:val="00197301"/>
    <w:rsid w:val="00197A5E"/>
    <w:rsid w:val="00197E79"/>
    <w:rsid w:val="001A0AA6"/>
    <w:rsid w:val="001A25F8"/>
    <w:rsid w:val="001A25FA"/>
    <w:rsid w:val="001A3ACE"/>
    <w:rsid w:val="001A59B1"/>
    <w:rsid w:val="001A5E30"/>
    <w:rsid w:val="001A6C3F"/>
    <w:rsid w:val="001A7345"/>
    <w:rsid w:val="001A77B7"/>
    <w:rsid w:val="001A7FB2"/>
    <w:rsid w:val="001B02DD"/>
    <w:rsid w:val="001B361C"/>
    <w:rsid w:val="001B45AA"/>
    <w:rsid w:val="001B48EB"/>
    <w:rsid w:val="001B4AD9"/>
    <w:rsid w:val="001B6625"/>
    <w:rsid w:val="001B685D"/>
    <w:rsid w:val="001B6B99"/>
    <w:rsid w:val="001C0906"/>
    <w:rsid w:val="001C1FAC"/>
    <w:rsid w:val="001C2D8D"/>
    <w:rsid w:val="001C2FF0"/>
    <w:rsid w:val="001C3035"/>
    <w:rsid w:val="001C32A5"/>
    <w:rsid w:val="001C33F8"/>
    <w:rsid w:val="001C3F6E"/>
    <w:rsid w:val="001C6B9D"/>
    <w:rsid w:val="001D0698"/>
    <w:rsid w:val="001D0F6A"/>
    <w:rsid w:val="001D10C6"/>
    <w:rsid w:val="001D1743"/>
    <w:rsid w:val="001D269C"/>
    <w:rsid w:val="001D273C"/>
    <w:rsid w:val="001D3896"/>
    <w:rsid w:val="001D3FAB"/>
    <w:rsid w:val="001D5313"/>
    <w:rsid w:val="001E080D"/>
    <w:rsid w:val="001E0B9E"/>
    <w:rsid w:val="001E2007"/>
    <w:rsid w:val="001E3D9E"/>
    <w:rsid w:val="001E4D7C"/>
    <w:rsid w:val="001E68F7"/>
    <w:rsid w:val="001E690E"/>
    <w:rsid w:val="001F155D"/>
    <w:rsid w:val="001F2135"/>
    <w:rsid w:val="001F324C"/>
    <w:rsid w:val="001F378B"/>
    <w:rsid w:val="002006D2"/>
    <w:rsid w:val="0020129F"/>
    <w:rsid w:val="002012CC"/>
    <w:rsid w:val="00202829"/>
    <w:rsid w:val="0020359B"/>
    <w:rsid w:val="00203D8D"/>
    <w:rsid w:val="00203DE2"/>
    <w:rsid w:val="002051CB"/>
    <w:rsid w:val="00205255"/>
    <w:rsid w:val="00206043"/>
    <w:rsid w:val="00211483"/>
    <w:rsid w:val="002117D8"/>
    <w:rsid w:val="00212275"/>
    <w:rsid w:val="00216C97"/>
    <w:rsid w:val="00216E7A"/>
    <w:rsid w:val="00217C3D"/>
    <w:rsid w:val="00220757"/>
    <w:rsid w:val="0022124A"/>
    <w:rsid w:val="0022215C"/>
    <w:rsid w:val="00222EF4"/>
    <w:rsid w:val="00224852"/>
    <w:rsid w:val="00224A40"/>
    <w:rsid w:val="00224E45"/>
    <w:rsid w:val="002269B0"/>
    <w:rsid w:val="00227B09"/>
    <w:rsid w:val="00227CD0"/>
    <w:rsid w:val="00231BEF"/>
    <w:rsid w:val="00231C29"/>
    <w:rsid w:val="00232311"/>
    <w:rsid w:val="002329DB"/>
    <w:rsid w:val="00232BD7"/>
    <w:rsid w:val="00234237"/>
    <w:rsid w:val="002349BB"/>
    <w:rsid w:val="00234D06"/>
    <w:rsid w:val="00236DF8"/>
    <w:rsid w:val="00241034"/>
    <w:rsid w:val="00241184"/>
    <w:rsid w:val="00242A09"/>
    <w:rsid w:val="00243381"/>
    <w:rsid w:val="002444C1"/>
    <w:rsid w:val="00244F7E"/>
    <w:rsid w:val="002468CF"/>
    <w:rsid w:val="00250BB5"/>
    <w:rsid w:val="00254673"/>
    <w:rsid w:val="00255DCA"/>
    <w:rsid w:val="00256D42"/>
    <w:rsid w:val="00257F0F"/>
    <w:rsid w:val="0026007F"/>
    <w:rsid w:val="002600AD"/>
    <w:rsid w:val="00262B67"/>
    <w:rsid w:val="0026362B"/>
    <w:rsid w:val="00264F6C"/>
    <w:rsid w:val="002659DE"/>
    <w:rsid w:val="00265E30"/>
    <w:rsid w:val="00266066"/>
    <w:rsid w:val="0026778F"/>
    <w:rsid w:val="00267857"/>
    <w:rsid w:val="00270413"/>
    <w:rsid w:val="00271F51"/>
    <w:rsid w:val="002720C8"/>
    <w:rsid w:val="002721FB"/>
    <w:rsid w:val="00272A73"/>
    <w:rsid w:val="00273252"/>
    <w:rsid w:val="002743AB"/>
    <w:rsid w:val="002748F4"/>
    <w:rsid w:val="00274D7B"/>
    <w:rsid w:val="00275243"/>
    <w:rsid w:val="0027638C"/>
    <w:rsid w:val="00276851"/>
    <w:rsid w:val="00276E83"/>
    <w:rsid w:val="00277E4A"/>
    <w:rsid w:val="002802FA"/>
    <w:rsid w:val="00281A6E"/>
    <w:rsid w:val="00281B45"/>
    <w:rsid w:val="00281DB0"/>
    <w:rsid w:val="0028304C"/>
    <w:rsid w:val="0028328F"/>
    <w:rsid w:val="0028438E"/>
    <w:rsid w:val="00284EBC"/>
    <w:rsid w:val="002858DF"/>
    <w:rsid w:val="002863C6"/>
    <w:rsid w:val="00286FD8"/>
    <w:rsid w:val="00290A4A"/>
    <w:rsid w:val="00291D81"/>
    <w:rsid w:val="002920B4"/>
    <w:rsid w:val="00292E58"/>
    <w:rsid w:val="0029328D"/>
    <w:rsid w:val="00293B62"/>
    <w:rsid w:val="00294F06"/>
    <w:rsid w:val="002958CE"/>
    <w:rsid w:val="002A00C5"/>
    <w:rsid w:val="002A14E9"/>
    <w:rsid w:val="002A161C"/>
    <w:rsid w:val="002A1BB8"/>
    <w:rsid w:val="002A1C12"/>
    <w:rsid w:val="002A25B9"/>
    <w:rsid w:val="002A2663"/>
    <w:rsid w:val="002A312F"/>
    <w:rsid w:val="002A3135"/>
    <w:rsid w:val="002A39BC"/>
    <w:rsid w:val="002A4616"/>
    <w:rsid w:val="002A60B7"/>
    <w:rsid w:val="002A64F9"/>
    <w:rsid w:val="002A7337"/>
    <w:rsid w:val="002A7636"/>
    <w:rsid w:val="002A7E62"/>
    <w:rsid w:val="002B00DD"/>
    <w:rsid w:val="002B015F"/>
    <w:rsid w:val="002B01ED"/>
    <w:rsid w:val="002B0817"/>
    <w:rsid w:val="002B2C44"/>
    <w:rsid w:val="002B2CBA"/>
    <w:rsid w:val="002B405C"/>
    <w:rsid w:val="002B44EE"/>
    <w:rsid w:val="002B4575"/>
    <w:rsid w:val="002B48FE"/>
    <w:rsid w:val="002B588D"/>
    <w:rsid w:val="002B667F"/>
    <w:rsid w:val="002C0158"/>
    <w:rsid w:val="002C09EC"/>
    <w:rsid w:val="002C139F"/>
    <w:rsid w:val="002C2789"/>
    <w:rsid w:val="002C2F8F"/>
    <w:rsid w:val="002C382A"/>
    <w:rsid w:val="002C3A96"/>
    <w:rsid w:val="002C3C41"/>
    <w:rsid w:val="002C53E6"/>
    <w:rsid w:val="002C5CE7"/>
    <w:rsid w:val="002C70A1"/>
    <w:rsid w:val="002D03B6"/>
    <w:rsid w:val="002D0A97"/>
    <w:rsid w:val="002D0B40"/>
    <w:rsid w:val="002D173A"/>
    <w:rsid w:val="002D211B"/>
    <w:rsid w:val="002D2BF3"/>
    <w:rsid w:val="002D2D67"/>
    <w:rsid w:val="002D3650"/>
    <w:rsid w:val="002D3A5E"/>
    <w:rsid w:val="002D427C"/>
    <w:rsid w:val="002D4E98"/>
    <w:rsid w:val="002D5110"/>
    <w:rsid w:val="002D6B8C"/>
    <w:rsid w:val="002D6ED5"/>
    <w:rsid w:val="002D72DE"/>
    <w:rsid w:val="002D77C3"/>
    <w:rsid w:val="002E1D0A"/>
    <w:rsid w:val="002E2A00"/>
    <w:rsid w:val="002E349A"/>
    <w:rsid w:val="002E46BA"/>
    <w:rsid w:val="002E6DA0"/>
    <w:rsid w:val="002F1031"/>
    <w:rsid w:val="002F1B5A"/>
    <w:rsid w:val="002F28E4"/>
    <w:rsid w:val="002F3755"/>
    <w:rsid w:val="002F3E4C"/>
    <w:rsid w:val="002F43EE"/>
    <w:rsid w:val="002F5B5D"/>
    <w:rsid w:val="002F5B65"/>
    <w:rsid w:val="002F5F38"/>
    <w:rsid w:val="002F76BF"/>
    <w:rsid w:val="002F7A3A"/>
    <w:rsid w:val="0030015A"/>
    <w:rsid w:val="00300A11"/>
    <w:rsid w:val="00304587"/>
    <w:rsid w:val="0030518D"/>
    <w:rsid w:val="003056C3"/>
    <w:rsid w:val="00305D7F"/>
    <w:rsid w:val="00307532"/>
    <w:rsid w:val="00311781"/>
    <w:rsid w:val="00311AC2"/>
    <w:rsid w:val="00312031"/>
    <w:rsid w:val="003124A7"/>
    <w:rsid w:val="0031332A"/>
    <w:rsid w:val="00315D16"/>
    <w:rsid w:val="00316543"/>
    <w:rsid w:val="0031799C"/>
    <w:rsid w:val="00320778"/>
    <w:rsid w:val="00320D27"/>
    <w:rsid w:val="00321257"/>
    <w:rsid w:val="0032303C"/>
    <w:rsid w:val="003230EE"/>
    <w:rsid w:val="00323B7B"/>
    <w:rsid w:val="00323EEF"/>
    <w:rsid w:val="0032478C"/>
    <w:rsid w:val="0032589F"/>
    <w:rsid w:val="00326C6F"/>
    <w:rsid w:val="00330B8F"/>
    <w:rsid w:val="00330C77"/>
    <w:rsid w:val="00332320"/>
    <w:rsid w:val="0033252A"/>
    <w:rsid w:val="00332DC5"/>
    <w:rsid w:val="003333CB"/>
    <w:rsid w:val="00333595"/>
    <w:rsid w:val="00333A13"/>
    <w:rsid w:val="00333D26"/>
    <w:rsid w:val="00333F42"/>
    <w:rsid w:val="003341D8"/>
    <w:rsid w:val="003345FB"/>
    <w:rsid w:val="00336345"/>
    <w:rsid w:val="0034089D"/>
    <w:rsid w:val="00340CF9"/>
    <w:rsid w:val="0034143D"/>
    <w:rsid w:val="00342C5C"/>
    <w:rsid w:val="003431B7"/>
    <w:rsid w:val="00343D5C"/>
    <w:rsid w:val="00344414"/>
    <w:rsid w:val="00344B19"/>
    <w:rsid w:val="0034592D"/>
    <w:rsid w:val="00345DE8"/>
    <w:rsid w:val="0034672E"/>
    <w:rsid w:val="00346895"/>
    <w:rsid w:val="0034698A"/>
    <w:rsid w:val="0034760E"/>
    <w:rsid w:val="003506D2"/>
    <w:rsid w:val="00350DEA"/>
    <w:rsid w:val="00350EC6"/>
    <w:rsid w:val="00351843"/>
    <w:rsid w:val="00352190"/>
    <w:rsid w:val="00352639"/>
    <w:rsid w:val="00352D4F"/>
    <w:rsid w:val="00353F8D"/>
    <w:rsid w:val="00354417"/>
    <w:rsid w:val="00356B31"/>
    <w:rsid w:val="00357331"/>
    <w:rsid w:val="00357CE0"/>
    <w:rsid w:val="00360504"/>
    <w:rsid w:val="003605B6"/>
    <w:rsid w:val="00363BF0"/>
    <w:rsid w:val="00365723"/>
    <w:rsid w:val="003660D1"/>
    <w:rsid w:val="00366195"/>
    <w:rsid w:val="00366A46"/>
    <w:rsid w:val="00367229"/>
    <w:rsid w:val="003708E7"/>
    <w:rsid w:val="0037090F"/>
    <w:rsid w:val="00370BF6"/>
    <w:rsid w:val="003715AE"/>
    <w:rsid w:val="00371B37"/>
    <w:rsid w:val="00371EA2"/>
    <w:rsid w:val="00372F6F"/>
    <w:rsid w:val="003732A1"/>
    <w:rsid w:val="00373595"/>
    <w:rsid w:val="00374185"/>
    <w:rsid w:val="003745DD"/>
    <w:rsid w:val="00374711"/>
    <w:rsid w:val="00374D74"/>
    <w:rsid w:val="00376763"/>
    <w:rsid w:val="0037714E"/>
    <w:rsid w:val="003777FF"/>
    <w:rsid w:val="00381DA4"/>
    <w:rsid w:val="00382E29"/>
    <w:rsid w:val="00383694"/>
    <w:rsid w:val="003849A2"/>
    <w:rsid w:val="00386538"/>
    <w:rsid w:val="00387D0E"/>
    <w:rsid w:val="00390B3E"/>
    <w:rsid w:val="00390C06"/>
    <w:rsid w:val="00392359"/>
    <w:rsid w:val="003924A6"/>
    <w:rsid w:val="003930FB"/>
    <w:rsid w:val="00394C74"/>
    <w:rsid w:val="00395DA8"/>
    <w:rsid w:val="00396584"/>
    <w:rsid w:val="0039747A"/>
    <w:rsid w:val="00397497"/>
    <w:rsid w:val="00397498"/>
    <w:rsid w:val="0039786A"/>
    <w:rsid w:val="003A1305"/>
    <w:rsid w:val="003A18EE"/>
    <w:rsid w:val="003A1EB7"/>
    <w:rsid w:val="003A2134"/>
    <w:rsid w:val="003A3E82"/>
    <w:rsid w:val="003A4256"/>
    <w:rsid w:val="003A5C24"/>
    <w:rsid w:val="003A5F1F"/>
    <w:rsid w:val="003A60C2"/>
    <w:rsid w:val="003A65E2"/>
    <w:rsid w:val="003A6F8A"/>
    <w:rsid w:val="003A7D4F"/>
    <w:rsid w:val="003B1D2F"/>
    <w:rsid w:val="003B3939"/>
    <w:rsid w:val="003B593B"/>
    <w:rsid w:val="003B65FE"/>
    <w:rsid w:val="003B6EE2"/>
    <w:rsid w:val="003B7C58"/>
    <w:rsid w:val="003C00B6"/>
    <w:rsid w:val="003C029A"/>
    <w:rsid w:val="003C3E55"/>
    <w:rsid w:val="003C4839"/>
    <w:rsid w:val="003C6879"/>
    <w:rsid w:val="003C70A8"/>
    <w:rsid w:val="003C70B0"/>
    <w:rsid w:val="003D0542"/>
    <w:rsid w:val="003D07CE"/>
    <w:rsid w:val="003D0DC2"/>
    <w:rsid w:val="003D170E"/>
    <w:rsid w:val="003D204B"/>
    <w:rsid w:val="003D2411"/>
    <w:rsid w:val="003D2614"/>
    <w:rsid w:val="003D32C7"/>
    <w:rsid w:val="003D32CF"/>
    <w:rsid w:val="003D457C"/>
    <w:rsid w:val="003D45B5"/>
    <w:rsid w:val="003D46E2"/>
    <w:rsid w:val="003D57E3"/>
    <w:rsid w:val="003D7055"/>
    <w:rsid w:val="003D72F8"/>
    <w:rsid w:val="003E140B"/>
    <w:rsid w:val="003E24A1"/>
    <w:rsid w:val="003E2EB3"/>
    <w:rsid w:val="003E6725"/>
    <w:rsid w:val="003F010D"/>
    <w:rsid w:val="003F06B5"/>
    <w:rsid w:val="003F0C56"/>
    <w:rsid w:val="003F2433"/>
    <w:rsid w:val="003F264B"/>
    <w:rsid w:val="003F2839"/>
    <w:rsid w:val="003F3C32"/>
    <w:rsid w:val="003F4D5E"/>
    <w:rsid w:val="003F5045"/>
    <w:rsid w:val="003F6263"/>
    <w:rsid w:val="003F6D61"/>
    <w:rsid w:val="003F70F4"/>
    <w:rsid w:val="00401F09"/>
    <w:rsid w:val="00402A02"/>
    <w:rsid w:val="00403EFF"/>
    <w:rsid w:val="004050E7"/>
    <w:rsid w:val="004056A1"/>
    <w:rsid w:val="00405A9B"/>
    <w:rsid w:val="00405F34"/>
    <w:rsid w:val="0040694B"/>
    <w:rsid w:val="00406A87"/>
    <w:rsid w:val="004075D5"/>
    <w:rsid w:val="00407A9B"/>
    <w:rsid w:val="00410FD7"/>
    <w:rsid w:val="00411E1F"/>
    <w:rsid w:val="00411F2B"/>
    <w:rsid w:val="00412D3D"/>
    <w:rsid w:val="004134D0"/>
    <w:rsid w:val="004136CE"/>
    <w:rsid w:val="00413D49"/>
    <w:rsid w:val="0041446A"/>
    <w:rsid w:val="00414510"/>
    <w:rsid w:val="004149EC"/>
    <w:rsid w:val="00415AA1"/>
    <w:rsid w:val="00415BF5"/>
    <w:rsid w:val="004177F0"/>
    <w:rsid w:val="00417C3C"/>
    <w:rsid w:val="00422BAC"/>
    <w:rsid w:val="00422E2C"/>
    <w:rsid w:val="00424B4E"/>
    <w:rsid w:val="004251C2"/>
    <w:rsid w:val="00426F6D"/>
    <w:rsid w:val="004307EF"/>
    <w:rsid w:val="004313AB"/>
    <w:rsid w:val="00432FD5"/>
    <w:rsid w:val="00433962"/>
    <w:rsid w:val="00434681"/>
    <w:rsid w:val="00435879"/>
    <w:rsid w:val="00435BCB"/>
    <w:rsid w:val="0043622F"/>
    <w:rsid w:val="004429A5"/>
    <w:rsid w:val="00443A67"/>
    <w:rsid w:val="00443FCC"/>
    <w:rsid w:val="004447BA"/>
    <w:rsid w:val="0044516C"/>
    <w:rsid w:val="00445834"/>
    <w:rsid w:val="0044662B"/>
    <w:rsid w:val="00447E5B"/>
    <w:rsid w:val="00450E7F"/>
    <w:rsid w:val="00451663"/>
    <w:rsid w:val="0045174B"/>
    <w:rsid w:val="00452BE4"/>
    <w:rsid w:val="00453287"/>
    <w:rsid w:val="0045352D"/>
    <w:rsid w:val="00453556"/>
    <w:rsid w:val="00454155"/>
    <w:rsid w:val="004546F7"/>
    <w:rsid w:val="00454E96"/>
    <w:rsid w:val="00455A1D"/>
    <w:rsid w:val="00456109"/>
    <w:rsid w:val="00456504"/>
    <w:rsid w:val="00456F06"/>
    <w:rsid w:val="004606BF"/>
    <w:rsid w:val="004607D9"/>
    <w:rsid w:val="0046121C"/>
    <w:rsid w:val="00461300"/>
    <w:rsid w:val="00461B90"/>
    <w:rsid w:val="004621FB"/>
    <w:rsid w:val="00462A69"/>
    <w:rsid w:val="00463FE8"/>
    <w:rsid w:val="00464A01"/>
    <w:rsid w:val="00464E03"/>
    <w:rsid w:val="00465C7E"/>
    <w:rsid w:val="004674DF"/>
    <w:rsid w:val="004708B9"/>
    <w:rsid w:val="004709DE"/>
    <w:rsid w:val="00470CBA"/>
    <w:rsid w:val="004712C4"/>
    <w:rsid w:val="004719E3"/>
    <w:rsid w:val="00472B84"/>
    <w:rsid w:val="004745BE"/>
    <w:rsid w:val="00474B43"/>
    <w:rsid w:val="004758BA"/>
    <w:rsid w:val="004764E5"/>
    <w:rsid w:val="00476B20"/>
    <w:rsid w:val="0047771C"/>
    <w:rsid w:val="004811DA"/>
    <w:rsid w:val="00483A65"/>
    <w:rsid w:val="0048585D"/>
    <w:rsid w:val="00485A9E"/>
    <w:rsid w:val="0048647E"/>
    <w:rsid w:val="0048662C"/>
    <w:rsid w:val="004872B9"/>
    <w:rsid w:val="0048753A"/>
    <w:rsid w:val="00492670"/>
    <w:rsid w:val="00493383"/>
    <w:rsid w:val="00494804"/>
    <w:rsid w:val="00494867"/>
    <w:rsid w:val="00494BD2"/>
    <w:rsid w:val="00495B17"/>
    <w:rsid w:val="004960AE"/>
    <w:rsid w:val="004962EC"/>
    <w:rsid w:val="004969D6"/>
    <w:rsid w:val="00496AE5"/>
    <w:rsid w:val="00496B23"/>
    <w:rsid w:val="004A0F32"/>
    <w:rsid w:val="004A13E8"/>
    <w:rsid w:val="004A19D4"/>
    <w:rsid w:val="004A1E90"/>
    <w:rsid w:val="004A245A"/>
    <w:rsid w:val="004A2F48"/>
    <w:rsid w:val="004A3CD2"/>
    <w:rsid w:val="004A4330"/>
    <w:rsid w:val="004A460D"/>
    <w:rsid w:val="004A5CA6"/>
    <w:rsid w:val="004A64D2"/>
    <w:rsid w:val="004A7F09"/>
    <w:rsid w:val="004B012E"/>
    <w:rsid w:val="004B04C2"/>
    <w:rsid w:val="004B07C3"/>
    <w:rsid w:val="004B32E6"/>
    <w:rsid w:val="004B4BD0"/>
    <w:rsid w:val="004B531A"/>
    <w:rsid w:val="004B5969"/>
    <w:rsid w:val="004B6B48"/>
    <w:rsid w:val="004B6E15"/>
    <w:rsid w:val="004B70EC"/>
    <w:rsid w:val="004B749A"/>
    <w:rsid w:val="004C06C4"/>
    <w:rsid w:val="004C1099"/>
    <w:rsid w:val="004C3E41"/>
    <w:rsid w:val="004C3F8F"/>
    <w:rsid w:val="004C6DFC"/>
    <w:rsid w:val="004D13C0"/>
    <w:rsid w:val="004D1468"/>
    <w:rsid w:val="004D18E1"/>
    <w:rsid w:val="004D1DF8"/>
    <w:rsid w:val="004D27D7"/>
    <w:rsid w:val="004D28FE"/>
    <w:rsid w:val="004D2CE3"/>
    <w:rsid w:val="004D4105"/>
    <w:rsid w:val="004D4234"/>
    <w:rsid w:val="004D4C52"/>
    <w:rsid w:val="004D5543"/>
    <w:rsid w:val="004D734D"/>
    <w:rsid w:val="004D7857"/>
    <w:rsid w:val="004E092A"/>
    <w:rsid w:val="004E25CF"/>
    <w:rsid w:val="004E27E3"/>
    <w:rsid w:val="004E352C"/>
    <w:rsid w:val="004E4379"/>
    <w:rsid w:val="004E5C1C"/>
    <w:rsid w:val="004E6717"/>
    <w:rsid w:val="004E7619"/>
    <w:rsid w:val="004E788B"/>
    <w:rsid w:val="004F0C73"/>
    <w:rsid w:val="004F1832"/>
    <w:rsid w:val="004F1E47"/>
    <w:rsid w:val="004F1F32"/>
    <w:rsid w:val="004F52AE"/>
    <w:rsid w:val="004F5B55"/>
    <w:rsid w:val="004F68A6"/>
    <w:rsid w:val="004F6D1E"/>
    <w:rsid w:val="004F704C"/>
    <w:rsid w:val="004F798B"/>
    <w:rsid w:val="004F7C1B"/>
    <w:rsid w:val="00501553"/>
    <w:rsid w:val="005023BF"/>
    <w:rsid w:val="00502C7E"/>
    <w:rsid w:val="00503613"/>
    <w:rsid w:val="00503E30"/>
    <w:rsid w:val="00503EB5"/>
    <w:rsid w:val="00503FE7"/>
    <w:rsid w:val="00504E0B"/>
    <w:rsid w:val="005051C0"/>
    <w:rsid w:val="0050533C"/>
    <w:rsid w:val="0050591F"/>
    <w:rsid w:val="005062B8"/>
    <w:rsid w:val="0050659B"/>
    <w:rsid w:val="00506961"/>
    <w:rsid w:val="005076BD"/>
    <w:rsid w:val="00507C0E"/>
    <w:rsid w:val="00510F92"/>
    <w:rsid w:val="005116DC"/>
    <w:rsid w:val="0051256F"/>
    <w:rsid w:val="00513518"/>
    <w:rsid w:val="00513D71"/>
    <w:rsid w:val="00513F15"/>
    <w:rsid w:val="00517218"/>
    <w:rsid w:val="00517616"/>
    <w:rsid w:val="00517794"/>
    <w:rsid w:val="00517A11"/>
    <w:rsid w:val="00520B8E"/>
    <w:rsid w:val="00520E93"/>
    <w:rsid w:val="005224D8"/>
    <w:rsid w:val="00523F5E"/>
    <w:rsid w:val="0052471F"/>
    <w:rsid w:val="005252E8"/>
    <w:rsid w:val="00525472"/>
    <w:rsid w:val="00527815"/>
    <w:rsid w:val="00527AC8"/>
    <w:rsid w:val="00527F00"/>
    <w:rsid w:val="00530015"/>
    <w:rsid w:val="00530233"/>
    <w:rsid w:val="005312BE"/>
    <w:rsid w:val="00531657"/>
    <w:rsid w:val="00533239"/>
    <w:rsid w:val="00534192"/>
    <w:rsid w:val="005350AA"/>
    <w:rsid w:val="0053563C"/>
    <w:rsid w:val="00536E90"/>
    <w:rsid w:val="00536F27"/>
    <w:rsid w:val="00537924"/>
    <w:rsid w:val="0054061F"/>
    <w:rsid w:val="005412A1"/>
    <w:rsid w:val="00541485"/>
    <w:rsid w:val="005433DD"/>
    <w:rsid w:val="00543A95"/>
    <w:rsid w:val="0054408D"/>
    <w:rsid w:val="005454A0"/>
    <w:rsid w:val="0054553E"/>
    <w:rsid w:val="00545AE4"/>
    <w:rsid w:val="00546505"/>
    <w:rsid w:val="00547553"/>
    <w:rsid w:val="00547B05"/>
    <w:rsid w:val="00547CBE"/>
    <w:rsid w:val="005506BD"/>
    <w:rsid w:val="00553DD2"/>
    <w:rsid w:val="005541E7"/>
    <w:rsid w:val="0055429B"/>
    <w:rsid w:val="005549AE"/>
    <w:rsid w:val="00555114"/>
    <w:rsid w:val="00556D5C"/>
    <w:rsid w:val="00556EA6"/>
    <w:rsid w:val="0055743A"/>
    <w:rsid w:val="005577C6"/>
    <w:rsid w:val="0055797A"/>
    <w:rsid w:val="00560428"/>
    <w:rsid w:val="00560A34"/>
    <w:rsid w:val="005618FE"/>
    <w:rsid w:val="005620B0"/>
    <w:rsid w:val="005630B2"/>
    <w:rsid w:val="00563E81"/>
    <w:rsid w:val="005651EB"/>
    <w:rsid w:val="005655D2"/>
    <w:rsid w:val="005676C9"/>
    <w:rsid w:val="00567C0E"/>
    <w:rsid w:val="00570F3B"/>
    <w:rsid w:val="00571807"/>
    <w:rsid w:val="00571846"/>
    <w:rsid w:val="00571A9B"/>
    <w:rsid w:val="00571EE5"/>
    <w:rsid w:val="00572259"/>
    <w:rsid w:val="005737B2"/>
    <w:rsid w:val="0057389D"/>
    <w:rsid w:val="00574EAE"/>
    <w:rsid w:val="00575397"/>
    <w:rsid w:val="0057550B"/>
    <w:rsid w:val="00575E90"/>
    <w:rsid w:val="00576C1C"/>
    <w:rsid w:val="00577451"/>
    <w:rsid w:val="00577D8A"/>
    <w:rsid w:val="0058620B"/>
    <w:rsid w:val="00586C6E"/>
    <w:rsid w:val="00586ECA"/>
    <w:rsid w:val="00586F05"/>
    <w:rsid w:val="0058713B"/>
    <w:rsid w:val="005871EF"/>
    <w:rsid w:val="0058744C"/>
    <w:rsid w:val="005878D7"/>
    <w:rsid w:val="005900CA"/>
    <w:rsid w:val="00590E04"/>
    <w:rsid w:val="00590FCC"/>
    <w:rsid w:val="00591279"/>
    <w:rsid w:val="00592143"/>
    <w:rsid w:val="005923E0"/>
    <w:rsid w:val="005925AD"/>
    <w:rsid w:val="00592697"/>
    <w:rsid w:val="00594664"/>
    <w:rsid w:val="00594BA3"/>
    <w:rsid w:val="00596131"/>
    <w:rsid w:val="00596207"/>
    <w:rsid w:val="00596F38"/>
    <w:rsid w:val="005979EB"/>
    <w:rsid w:val="005A037D"/>
    <w:rsid w:val="005A08A2"/>
    <w:rsid w:val="005A1DF9"/>
    <w:rsid w:val="005A30B3"/>
    <w:rsid w:val="005A36FE"/>
    <w:rsid w:val="005A381F"/>
    <w:rsid w:val="005A3B6B"/>
    <w:rsid w:val="005A4E91"/>
    <w:rsid w:val="005A55B6"/>
    <w:rsid w:val="005A577B"/>
    <w:rsid w:val="005A57CE"/>
    <w:rsid w:val="005A6483"/>
    <w:rsid w:val="005A6ABA"/>
    <w:rsid w:val="005A7707"/>
    <w:rsid w:val="005B0026"/>
    <w:rsid w:val="005B0520"/>
    <w:rsid w:val="005B0DBE"/>
    <w:rsid w:val="005B22FF"/>
    <w:rsid w:val="005B4164"/>
    <w:rsid w:val="005B4F4C"/>
    <w:rsid w:val="005B7014"/>
    <w:rsid w:val="005B7380"/>
    <w:rsid w:val="005B760B"/>
    <w:rsid w:val="005B7C9C"/>
    <w:rsid w:val="005B7D43"/>
    <w:rsid w:val="005B7D91"/>
    <w:rsid w:val="005B7E9F"/>
    <w:rsid w:val="005B7F01"/>
    <w:rsid w:val="005C1A5C"/>
    <w:rsid w:val="005C1C77"/>
    <w:rsid w:val="005C2531"/>
    <w:rsid w:val="005C55BD"/>
    <w:rsid w:val="005C5DCD"/>
    <w:rsid w:val="005C6885"/>
    <w:rsid w:val="005C707A"/>
    <w:rsid w:val="005D4010"/>
    <w:rsid w:val="005D480E"/>
    <w:rsid w:val="005D4C35"/>
    <w:rsid w:val="005D588E"/>
    <w:rsid w:val="005D5B87"/>
    <w:rsid w:val="005D5C08"/>
    <w:rsid w:val="005D641D"/>
    <w:rsid w:val="005D651E"/>
    <w:rsid w:val="005E0460"/>
    <w:rsid w:val="005E06A7"/>
    <w:rsid w:val="005E06CD"/>
    <w:rsid w:val="005E17ED"/>
    <w:rsid w:val="005E38BC"/>
    <w:rsid w:val="005E3C37"/>
    <w:rsid w:val="005E3F05"/>
    <w:rsid w:val="005E4BE0"/>
    <w:rsid w:val="005E4F9B"/>
    <w:rsid w:val="005E50F5"/>
    <w:rsid w:val="005E523D"/>
    <w:rsid w:val="005E53DD"/>
    <w:rsid w:val="005E53FB"/>
    <w:rsid w:val="005E56AB"/>
    <w:rsid w:val="005E5C8F"/>
    <w:rsid w:val="005E5E37"/>
    <w:rsid w:val="005E78B5"/>
    <w:rsid w:val="005E7E70"/>
    <w:rsid w:val="005F102C"/>
    <w:rsid w:val="005F105D"/>
    <w:rsid w:val="005F1A36"/>
    <w:rsid w:val="005F20F1"/>
    <w:rsid w:val="005F31DB"/>
    <w:rsid w:val="005F3AD5"/>
    <w:rsid w:val="005F4064"/>
    <w:rsid w:val="005F47A7"/>
    <w:rsid w:val="005F4F41"/>
    <w:rsid w:val="005F502F"/>
    <w:rsid w:val="005F5AC6"/>
    <w:rsid w:val="005F5FF9"/>
    <w:rsid w:val="005F626A"/>
    <w:rsid w:val="006014BC"/>
    <w:rsid w:val="0060153A"/>
    <w:rsid w:val="00601E27"/>
    <w:rsid w:val="00603C6F"/>
    <w:rsid w:val="006049DC"/>
    <w:rsid w:val="00604B28"/>
    <w:rsid w:val="00604FE7"/>
    <w:rsid w:val="006059EB"/>
    <w:rsid w:val="006068D2"/>
    <w:rsid w:val="00607061"/>
    <w:rsid w:val="0061053A"/>
    <w:rsid w:val="00610B04"/>
    <w:rsid w:val="00610B7B"/>
    <w:rsid w:val="006110B4"/>
    <w:rsid w:val="00612A64"/>
    <w:rsid w:val="006134BB"/>
    <w:rsid w:val="00613A22"/>
    <w:rsid w:val="00614771"/>
    <w:rsid w:val="0061583A"/>
    <w:rsid w:val="00615876"/>
    <w:rsid w:val="00616C32"/>
    <w:rsid w:val="00616F34"/>
    <w:rsid w:val="00617CA3"/>
    <w:rsid w:val="006202C7"/>
    <w:rsid w:val="00623DF0"/>
    <w:rsid w:val="00624B6C"/>
    <w:rsid w:val="00624D64"/>
    <w:rsid w:val="006250DD"/>
    <w:rsid w:val="006261FF"/>
    <w:rsid w:val="006266C1"/>
    <w:rsid w:val="00626EAD"/>
    <w:rsid w:val="006308D7"/>
    <w:rsid w:val="00630A2E"/>
    <w:rsid w:val="0063134A"/>
    <w:rsid w:val="006319B4"/>
    <w:rsid w:val="00631D60"/>
    <w:rsid w:val="00632C2B"/>
    <w:rsid w:val="006343A2"/>
    <w:rsid w:val="0063459B"/>
    <w:rsid w:val="00636FFA"/>
    <w:rsid w:val="00637474"/>
    <w:rsid w:val="006402B2"/>
    <w:rsid w:val="0064051F"/>
    <w:rsid w:val="00640B8A"/>
    <w:rsid w:val="00640D72"/>
    <w:rsid w:val="006412A2"/>
    <w:rsid w:val="00641C48"/>
    <w:rsid w:val="00641D4B"/>
    <w:rsid w:val="00643D5C"/>
    <w:rsid w:val="00644EEE"/>
    <w:rsid w:val="0064714F"/>
    <w:rsid w:val="006479CA"/>
    <w:rsid w:val="00647B05"/>
    <w:rsid w:val="00647DEC"/>
    <w:rsid w:val="00647FE9"/>
    <w:rsid w:val="00650317"/>
    <w:rsid w:val="00650A1B"/>
    <w:rsid w:val="0065252E"/>
    <w:rsid w:val="00652780"/>
    <w:rsid w:val="006534F1"/>
    <w:rsid w:val="0065370F"/>
    <w:rsid w:val="00653A0F"/>
    <w:rsid w:val="00653CC9"/>
    <w:rsid w:val="0065415D"/>
    <w:rsid w:val="006541EF"/>
    <w:rsid w:val="006551C1"/>
    <w:rsid w:val="00655540"/>
    <w:rsid w:val="00655F47"/>
    <w:rsid w:val="00656F73"/>
    <w:rsid w:val="00660339"/>
    <w:rsid w:val="0066048C"/>
    <w:rsid w:val="00661AB8"/>
    <w:rsid w:val="006627AC"/>
    <w:rsid w:val="00662CDC"/>
    <w:rsid w:val="0066553F"/>
    <w:rsid w:val="0066578A"/>
    <w:rsid w:val="0066690A"/>
    <w:rsid w:val="00671585"/>
    <w:rsid w:val="00672CEC"/>
    <w:rsid w:val="0067328C"/>
    <w:rsid w:val="00674464"/>
    <w:rsid w:val="00674826"/>
    <w:rsid w:val="00674EA3"/>
    <w:rsid w:val="006751B5"/>
    <w:rsid w:val="00676148"/>
    <w:rsid w:val="006764B9"/>
    <w:rsid w:val="006823B9"/>
    <w:rsid w:val="00684082"/>
    <w:rsid w:val="006843F8"/>
    <w:rsid w:val="00684B98"/>
    <w:rsid w:val="006855F0"/>
    <w:rsid w:val="00686AEA"/>
    <w:rsid w:val="0069237F"/>
    <w:rsid w:val="00692624"/>
    <w:rsid w:val="00694963"/>
    <w:rsid w:val="0069529C"/>
    <w:rsid w:val="00695AFC"/>
    <w:rsid w:val="00695C18"/>
    <w:rsid w:val="006A0592"/>
    <w:rsid w:val="006A0D91"/>
    <w:rsid w:val="006A0DD9"/>
    <w:rsid w:val="006A1372"/>
    <w:rsid w:val="006A18A5"/>
    <w:rsid w:val="006A1AC3"/>
    <w:rsid w:val="006A1BE2"/>
    <w:rsid w:val="006A3774"/>
    <w:rsid w:val="006A3944"/>
    <w:rsid w:val="006A3AA3"/>
    <w:rsid w:val="006A40DA"/>
    <w:rsid w:val="006A43CD"/>
    <w:rsid w:val="006A46E9"/>
    <w:rsid w:val="006A5101"/>
    <w:rsid w:val="006A5F30"/>
    <w:rsid w:val="006A629D"/>
    <w:rsid w:val="006A64BB"/>
    <w:rsid w:val="006A655F"/>
    <w:rsid w:val="006B14FA"/>
    <w:rsid w:val="006B2772"/>
    <w:rsid w:val="006B3174"/>
    <w:rsid w:val="006B404C"/>
    <w:rsid w:val="006B43F7"/>
    <w:rsid w:val="006B52E7"/>
    <w:rsid w:val="006B57C5"/>
    <w:rsid w:val="006B7B11"/>
    <w:rsid w:val="006B7E6D"/>
    <w:rsid w:val="006C0422"/>
    <w:rsid w:val="006C052A"/>
    <w:rsid w:val="006C1229"/>
    <w:rsid w:val="006C138E"/>
    <w:rsid w:val="006C26E2"/>
    <w:rsid w:val="006C2C24"/>
    <w:rsid w:val="006C488D"/>
    <w:rsid w:val="006C4DC1"/>
    <w:rsid w:val="006C5573"/>
    <w:rsid w:val="006C7156"/>
    <w:rsid w:val="006C7175"/>
    <w:rsid w:val="006D1EF7"/>
    <w:rsid w:val="006D2340"/>
    <w:rsid w:val="006D2E59"/>
    <w:rsid w:val="006D42D9"/>
    <w:rsid w:val="006D5447"/>
    <w:rsid w:val="006D67CA"/>
    <w:rsid w:val="006E176A"/>
    <w:rsid w:val="006E1EB0"/>
    <w:rsid w:val="006E2A35"/>
    <w:rsid w:val="006E5607"/>
    <w:rsid w:val="006E676D"/>
    <w:rsid w:val="006E72EE"/>
    <w:rsid w:val="006F118E"/>
    <w:rsid w:val="006F15D9"/>
    <w:rsid w:val="006F33FD"/>
    <w:rsid w:val="006F355B"/>
    <w:rsid w:val="006F3933"/>
    <w:rsid w:val="006F3CE1"/>
    <w:rsid w:val="006F50D0"/>
    <w:rsid w:val="006F536B"/>
    <w:rsid w:val="006F5C60"/>
    <w:rsid w:val="006F720C"/>
    <w:rsid w:val="006F74E9"/>
    <w:rsid w:val="00700DA8"/>
    <w:rsid w:val="0070162A"/>
    <w:rsid w:val="007021F3"/>
    <w:rsid w:val="0070262A"/>
    <w:rsid w:val="00702E6A"/>
    <w:rsid w:val="0070356D"/>
    <w:rsid w:val="00703827"/>
    <w:rsid w:val="00705043"/>
    <w:rsid w:val="00705302"/>
    <w:rsid w:val="007057C7"/>
    <w:rsid w:val="007100CA"/>
    <w:rsid w:val="00710DA7"/>
    <w:rsid w:val="007116A5"/>
    <w:rsid w:val="00712F30"/>
    <w:rsid w:val="00714689"/>
    <w:rsid w:val="007147F7"/>
    <w:rsid w:val="0071590E"/>
    <w:rsid w:val="00717303"/>
    <w:rsid w:val="0071759A"/>
    <w:rsid w:val="007211CA"/>
    <w:rsid w:val="00722013"/>
    <w:rsid w:val="00722F4C"/>
    <w:rsid w:val="00724FF0"/>
    <w:rsid w:val="00725638"/>
    <w:rsid w:val="00725834"/>
    <w:rsid w:val="00725E6A"/>
    <w:rsid w:val="007275C7"/>
    <w:rsid w:val="00731092"/>
    <w:rsid w:val="007310FC"/>
    <w:rsid w:val="007323D7"/>
    <w:rsid w:val="0073285C"/>
    <w:rsid w:val="00732D7E"/>
    <w:rsid w:val="00733C13"/>
    <w:rsid w:val="007348F6"/>
    <w:rsid w:val="00736555"/>
    <w:rsid w:val="0074046D"/>
    <w:rsid w:val="00740DCB"/>
    <w:rsid w:val="00740E52"/>
    <w:rsid w:val="007414AF"/>
    <w:rsid w:val="00743F60"/>
    <w:rsid w:val="007441A3"/>
    <w:rsid w:val="0074536C"/>
    <w:rsid w:val="00745A77"/>
    <w:rsid w:val="007479B5"/>
    <w:rsid w:val="007508B5"/>
    <w:rsid w:val="00752379"/>
    <w:rsid w:val="0075287F"/>
    <w:rsid w:val="00752A04"/>
    <w:rsid w:val="0075302A"/>
    <w:rsid w:val="00753D87"/>
    <w:rsid w:val="00754720"/>
    <w:rsid w:val="007547E1"/>
    <w:rsid w:val="00760861"/>
    <w:rsid w:val="007623B4"/>
    <w:rsid w:val="00762657"/>
    <w:rsid w:val="007635A2"/>
    <w:rsid w:val="00763E00"/>
    <w:rsid w:val="00763E64"/>
    <w:rsid w:val="0076702F"/>
    <w:rsid w:val="00767CEC"/>
    <w:rsid w:val="00770B0C"/>
    <w:rsid w:val="00771EA6"/>
    <w:rsid w:val="00772762"/>
    <w:rsid w:val="00772D47"/>
    <w:rsid w:val="007738D6"/>
    <w:rsid w:val="00774171"/>
    <w:rsid w:val="0077497C"/>
    <w:rsid w:val="0077570D"/>
    <w:rsid w:val="00775B93"/>
    <w:rsid w:val="00776714"/>
    <w:rsid w:val="00776771"/>
    <w:rsid w:val="0078091D"/>
    <w:rsid w:val="007814AA"/>
    <w:rsid w:val="00781587"/>
    <w:rsid w:val="00781677"/>
    <w:rsid w:val="00781ACA"/>
    <w:rsid w:val="00781BED"/>
    <w:rsid w:val="007820F0"/>
    <w:rsid w:val="00782D49"/>
    <w:rsid w:val="00783DDF"/>
    <w:rsid w:val="00784BF3"/>
    <w:rsid w:val="00786222"/>
    <w:rsid w:val="00787BBB"/>
    <w:rsid w:val="00791F07"/>
    <w:rsid w:val="00792EB9"/>
    <w:rsid w:val="007956E9"/>
    <w:rsid w:val="00797D75"/>
    <w:rsid w:val="007A0DC3"/>
    <w:rsid w:val="007A18C0"/>
    <w:rsid w:val="007A3041"/>
    <w:rsid w:val="007A4933"/>
    <w:rsid w:val="007A5621"/>
    <w:rsid w:val="007A6CDC"/>
    <w:rsid w:val="007A7A9B"/>
    <w:rsid w:val="007B02CC"/>
    <w:rsid w:val="007B0316"/>
    <w:rsid w:val="007B0A56"/>
    <w:rsid w:val="007B1B60"/>
    <w:rsid w:val="007B2AC2"/>
    <w:rsid w:val="007B4F20"/>
    <w:rsid w:val="007B5858"/>
    <w:rsid w:val="007B6C10"/>
    <w:rsid w:val="007B7669"/>
    <w:rsid w:val="007C01EA"/>
    <w:rsid w:val="007C1123"/>
    <w:rsid w:val="007C1238"/>
    <w:rsid w:val="007C20ED"/>
    <w:rsid w:val="007C250E"/>
    <w:rsid w:val="007C29CD"/>
    <w:rsid w:val="007C3EDD"/>
    <w:rsid w:val="007C45F8"/>
    <w:rsid w:val="007C4C9F"/>
    <w:rsid w:val="007C77B4"/>
    <w:rsid w:val="007C78BD"/>
    <w:rsid w:val="007C793F"/>
    <w:rsid w:val="007C7A41"/>
    <w:rsid w:val="007D15E7"/>
    <w:rsid w:val="007D1FE3"/>
    <w:rsid w:val="007D38D4"/>
    <w:rsid w:val="007D3D2F"/>
    <w:rsid w:val="007D4EB3"/>
    <w:rsid w:val="007D693A"/>
    <w:rsid w:val="007D7466"/>
    <w:rsid w:val="007D7A99"/>
    <w:rsid w:val="007E00C5"/>
    <w:rsid w:val="007E1B16"/>
    <w:rsid w:val="007E1F4A"/>
    <w:rsid w:val="007E2C5E"/>
    <w:rsid w:val="007E40DF"/>
    <w:rsid w:val="007E47C8"/>
    <w:rsid w:val="007E5AB8"/>
    <w:rsid w:val="007E65E0"/>
    <w:rsid w:val="007E6947"/>
    <w:rsid w:val="007E7B55"/>
    <w:rsid w:val="007F09D8"/>
    <w:rsid w:val="007F0D26"/>
    <w:rsid w:val="007F0FEC"/>
    <w:rsid w:val="007F22EF"/>
    <w:rsid w:val="007F48DB"/>
    <w:rsid w:val="007F5E24"/>
    <w:rsid w:val="007F6A28"/>
    <w:rsid w:val="007F750D"/>
    <w:rsid w:val="007F7F3A"/>
    <w:rsid w:val="0080020F"/>
    <w:rsid w:val="0080092A"/>
    <w:rsid w:val="00800AC5"/>
    <w:rsid w:val="00801AA8"/>
    <w:rsid w:val="008037C1"/>
    <w:rsid w:val="008047D0"/>
    <w:rsid w:val="0080564D"/>
    <w:rsid w:val="00806424"/>
    <w:rsid w:val="00807AAE"/>
    <w:rsid w:val="00807C42"/>
    <w:rsid w:val="0081028E"/>
    <w:rsid w:val="00811B9F"/>
    <w:rsid w:val="00811D1E"/>
    <w:rsid w:val="0081245E"/>
    <w:rsid w:val="00813771"/>
    <w:rsid w:val="008138FD"/>
    <w:rsid w:val="00813C19"/>
    <w:rsid w:val="00814E84"/>
    <w:rsid w:val="00815869"/>
    <w:rsid w:val="00815C89"/>
    <w:rsid w:val="008170E4"/>
    <w:rsid w:val="0081799D"/>
    <w:rsid w:val="0082128D"/>
    <w:rsid w:val="00822BEA"/>
    <w:rsid w:val="0082441D"/>
    <w:rsid w:val="008266A9"/>
    <w:rsid w:val="00827D4C"/>
    <w:rsid w:val="00827DFE"/>
    <w:rsid w:val="008303C7"/>
    <w:rsid w:val="00831384"/>
    <w:rsid w:val="00832F5A"/>
    <w:rsid w:val="0083309E"/>
    <w:rsid w:val="008333DA"/>
    <w:rsid w:val="0083358A"/>
    <w:rsid w:val="00834CD2"/>
    <w:rsid w:val="008353D5"/>
    <w:rsid w:val="0083684F"/>
    <w:rsid w:val="008441D0"/>
    <w:rsid w:val="00844E3F"/>
    <w:rsid w:val="00845B87"/>
    <w:rsid w:val="0085061E"/>
    <w:rsid w:val="00850BEB"/>
    <w:rsid w:val="008510DE"/>
    <w:rsid w:val="00851676"/>
    <w:rsid w:val="008539EC"/>
    <w:rsid w:val="0085504F"/>
    <w:rsid w:val="00855D58"/>
    <w:rsid w:val="00855EC1"/>
    <w:rsid w:val="00856C4B"/>
    <w:rsid w:val="008577E0"/>
    <w:rsid w:val="008579F8"/>
    <w:rsid w:val="00860A2B"/>
    <w:rsid w:val="008615D6"/>
    <w:rsid w:val="00861E2A"/>
    <w:rsid w:val="00863425"/>
    <w:rsid w:val="00863730"/>
    <w:rsid w:val="00863A5E"/>
    <w:rsid w:val="008656B5"/>
    <w:rsid w:val="00865FE6"/>
    <w:rsid w:val="0086620E"/>
    <w:rsid w:val="00867421"/>
    <w:rsid w:val="0087239E"/>
    <w:rsid w:val="00875C6F"/>
    <w:rsid w:val="00876159"/>
    <w:rsid w:val="0087669A"/>
    <w:rsid w:val="00880451"/>
    <w:rsid w:val="0088225D"/>
    <w:rsid w:val="00882DA1"/>
    <w:rsid w:val="008833C9"/>
    <w:rsid w:val="00884438"/>
    <w:rsid w:val="0088589A"/>
    <w:rsid w:val="00886C79"/>
    <w:rsid w:val="0089094B"/>
    <w:rsid w:val="0089212D"/>
    <w:rsid w:val="0089306F"/>
    <w:rsid w:val="0089389A"/>
    <w:rsid w:val="00894AC7"/>
    <w:rsid w:val="00894D14"/>
    <w:rsid w:val="00895B9B"/>
    <w:rsid w:val="0089641B"/>
    <w:rsid w:val="0089740E"/>
    <w:rsid w:val="00897567"/>
    <w:rsid w:val="008A1606"/>
    <w:rsid w:val="008A1754"/>
    <w:rsid w:val="008A220A"/>
    <w:rsid w:val="008A2ACA"/>
    <w:rsid w:val="008A30B2"/>
    <w:rsid w:val="008A3503"/>
    <w:rsid w:val="008A3749"/>
    <w:rsid w:val="008A59CA"/>
    <w:rsid w:val="008A638A"/>
    <w:rsid w:val="008A70F3"/>
    <w:rsid w:val="008A75E8"/>
    <w:rsid w:val="008B060C"/>
    <w:rsid w:val="008B1B9C"/>
    <w:rsid w:val="008B2AC4"/>
    <w:rsid w:val="008B361E"/>
    <w:rsid w:val="008B5090"/>
    <w:rsid w:val="008B5475"/>
    <w:rsid w:val="008B5D6E"/>
    <w:rsid w:val="008B61D9"/>
    <w:rsid w:val="008B675E"/>
    <w:rsid w:val="008B7BB0"/>
    <w:rsid w:val="008B7DFE"/>
    <w:rsid w:val="008C13DC"/>
    <w:rsid w:val="008C27B5"/>
    <w:rsid w:val="008C2924"/>
    <w:rsid w:val="008C4545"/>
    <w:rsid w:val="008C7396"/>
    <w:rsid w:val="008D042F"/>
    <w:rsid w:val="008D080D"/>
    <w:rsid w:val="008D10FC"/>
    <w:rsid w:val="008D1A96"/>
    <w:rsid w:val="008D1E6B"/>
    <w:rsid w:val="008D2603"/>
    <w:rsid w:val="008D2617"/>
    <w:rsid w:val="008D269E"/>
    <w:rsid w:val="008D2842"/>
    <w:rsid w:val="008D2B90"/>
    <w:rsid w:val="008D2EC3"/>
    <w:rsid w:val="008D338D"/>
    <w:rsid w:val="008D479C"/>
    <w:rsid w:val="008D580E"/>
    <w:rsid w:val="008D6A6E"/>
    <w:rsid w:val="008D6F79"/>
    <w:rsid w:val="008D6FDA"/>
    <w:rsid w:val="008E0F37"/>
    <w:rsid w:val="008E0FB6"/>
    <w:rsid w:val="008E153A"/>
    <w:rsid w:val="008E24FC"/>
    <w:rsid w:val="008E3863"/>
    <w:rsid w:val="008E3A08"/>
    <w:rsid w:val="008E3F4D"/>
    <w:rsid w:val="008E5C2A"/>
    <w:rsid w:val="008E5C4E"/>
    <w:rsid w:val="008E5D46"/>
    <w:rsid w:val="008E5D79"/>
    <w:rsid w:val="008E6944"/>
    <w:rsid w:val="008E6DC4"/>
    <w:rsid w:val="008E6DF3"/>
    <w:rsid w:val="008F1A69"/>
    <w:rsid w:val="008F235D"/>
    <w:rsid w:val="008F2721"/>
    <w:rsid w:val="008F2C67"/>
    <w:rsid w:val="008F447B"/>
    <w:rsid w:val="008F5F9E"/>
    <w:rsid w:val="008F720A"/>
    <w:rsid w:val="008F7702"/>
    <w:rsid w:val="00900E7C"/>
    <w:rsid w:val="0090141C"/>
    <w:rsid w:val="00901A8F"/>
    <w:rsid w:val="00902066"/>
    <w:rsid w:val="00902168"/>
    <w:rsid w:val="0090265A"/>
    <w:rsid w:val="0090424D"/>
    <w:rsid w:val="009049AE"/>
    <w:rsid w:val="009052B2"/>
    <w:rsid w:val="00905698"/>
    <w:rsid w:val="00906903"/>
    <w:rsid w:val="00907AD4"/>
    <w:rsid w:val="00907AFE"/>
    <w:rsid w:val="00910080"/>
    <w:rsid w:val="00911073"/>
    <w:rsid w:val="009116E6"/>
    <w:rsid w:val="00911C05"/>
    <w:rsid w:val="00912C2F"/>
    <w:rsid w:val="00912C31"/>
    <w:rsid w:val="00912D2D"/>
    <w:rsid w:val="00914070"/>
    <w:rsid w:val="00914CF6"/>
    <w:rsid w:val="00915251"/>
    <w:rsid w:val="00915398"/>
    <w:rsid w:val="0091610A"/>
    <w:rsid w:val="00916208"/>
    <w:rsid w:val="00917146"/>
    <w:rsid w:val="009175C7"/>
    <w:rsid w:val="00920C8B"/>
    <w:rsid w:val="00922353"/>
    <w:rsid w:val="009224AB"/>
    <w:rsid w:val="009228B5"/>
    <w:rsid w:val="00922C3C"/>
    <w:rsid w:val="00923EBB"/>
    <w:rsid w:val="0092412A"/>
    <w:rsid w:val="009274D4"/>
    <w:rsid w:val="00930658"/>
    <w:rsid w:val="00930802"/>
    <w:rsid w:val="00930A20"/>
    <w:rsid w:val="009319F2"/>
    <w:rsid w:val="00931B33"/>
    <w:rsid w:val="00932CD7"/>
    <w:rsid w:val="009336E6"/>
    <w:rsid w:val="00933C7A"/>
    <w:rsid w:val="00934AE9"/>
    <w:rsid w:val="00935891"/>
    <w:rsid w:val="00935CF5"/>
    <w:rsid w:val="00935E4E"/>
    <w:rsid w:val="009364C8"/>
    <w:rsid w:val="00937774"/>
    <w:rsid w:val="00937F40"/>
    <w:rsid w:val="009411F9"/>
    <w:rsid w:val="00944E95"/>
    <w:rsid w:val="009450A3"/>
    <w:rsid w:val="00950477"/>
    <w:rsid w:val="0095047B"/>
    <w:rsid w:val="0095085A"/>
    <w:rsid w:val="00951361"/>
    <w:rsid w:val="00952728"/>
    <w:rsid w:val="0095378B"/>
    <w:rsid w:val="00953B01"/>
    <w:rsid w:val="00953C2C"/>
    <w:rsid w:val="00955362"/>
    <w:rsid w:val="009568A7"/>
    <w:rsid w:val="00957389"/>
    <w:rsid w:val="009607B9"/>
    <w:rsid w:val="009612EA"/>
    <w:rsid w:val="009622D4"/>
    <w:rsid w:val="00963A31"/>
    <w:rsid w:val="00963AE1"/>
    <w:rsid w:val="0096473E"/>
    <w:rsid w:val="00964910"/>
    <w:rsid w:val="00966565"/>
    <w:rsid w:val="00967043"/>
    <w:rsid w:val="00967ABA"/>
    <w:rsid w:val="009707DA"/>
    <w:rsid w:val="00971542"/>
    <w:rsid w:val="00973CD8"/>
    <w:rsid w:val="009748AA"/>
    <w:rsid w:val="00977D46"/>
    <w:rsid w:val="009825DF"/>
    <w:rsid w:val="00982722"/>
    <w:rsid w:val="0098275A"/>
    <w:rsid w:val="009829D4"/>
    <w:rsid w:val="0098333F"/>
    <w:rsid w:val="0098404C"/>
    <w:rsid w:val="009845AA"/>
    <w:rsid w:val="009865E1"/>
    <w:rsid w:val="00987D9C"/>
    <w:rsid w:val="00987FF8"/>
    <w:rsid w:val="009901AF"/>
    <w:rsid w:val="00990459"/>
    <w:rsid w:val="009917CD"/>
    <w:rsid w:val="009918AE"/>
    <w:rsid w:val="009918F6"/>
    <w:rsid w:val="00991C1D"/>
    <w:rsid w:val="009920B4"/>
    <w:rsid w:val="009921E7"/>
    <w:rsid w:val="00992838"/>
    <w:rsid w:val="009929DA"/>
    <w:rsid w:val="00992E82"/>
    <w:rsid w:val="00992EB2"/>
    <w:rsid w:val="00994414"/>
    <w:rsid w:val="009A00E5"/>
    <w:rsid w:val="009A037D"/>
    <w:rsid w:val="009A05B2"/>
    <w:rsid w:val="009A069C"/>
    <w:rsid w:val="009A1BBD"/>
    <w:rsid w:val="009A1F18"/>
    <w:rsid w:val="009A2044"/>
    <w:rsid w:val="009A2561"/>
    <w:rsid w:val="009A267D"/>
    <w:rsid w:val="009A371E"/>
    <w:rsid w:val="009A39BE"/>
    <w:rsid w:val="009A4979"/>
    <w:rsid w:val="009A56B8"/>
    <w:rsid w:val="009A64A9"/>
    <w:rsid w:val="009A7A93"/>
    <w:rsid w:val="009B110D"/>
    <w:rsid w:val="009B2A03"/>
    <w:rsid w:val="009B324D"/>
    <w:rsid w:val="009B3473"/>
    <w:rsid w:val="009B3F17"/>
    <w:rsid w:val="009B6184"/>
    <w:rsid w:val="009B73EB"/>
    <w:rsid w:val="009C0244"/>
    <w:rsid w:val="009C05C2"/>
    <w:rsid w:val="009C1A31"/>
    <w:rsid w:val="009C2681"/>
    <w:rsid w:val="009C2D7A"/>
    <w:rsid w:val="009C363E"/>
    <w:rsid w:val="009C3B77"/>
    <w:rsid w:val="009C5152"/>
    <w:rsid w:val="009C545F"/>
    <w:rsid w:val="009C5B02"/>
    <w:rsid w:val="009C62B5"/>
    <w:rsid w:val="009C66C0"/>
    <w:rsid w:val="009C6B88"/>
    <w:rsid w:val="009D0B77"/>
    <w:rsid w:val="009D0E26"/>
    <w:rsid w:val="009D1322"/>
    <w:rsid w:val="009D282B"/>
    <w:rsid w:val="009D43FD"/>
    <w:rsid w:val="009D4629"/>
    <w:rsid w:val="009D4B03"/>
    <w:rsid w:val="009D57AE"/>
    <w:rsid w:val="009D5B55"/>
    <w:rsid w:val="009D5F88"/>
    <w:rsid w:val="009D5FB6"/>
    <w:rsid w:val="009D729F"/>
    <w:rsid w:val="009D72D2"/>
    <w:rsid w:val="009D7468"/>
    <w:rsid w:val="009E0421"/>
    <w:rsid w:val="009E09BC"/>
    <w:rsid w:val="009E0C00"/>
    <w:rsid w:val="009E12C2"/>
    <w:rsid w:val="009E16B1"/>
    <w:rsid w:val="009E2AD9"/>
    <w:rsid w:val="009E3915"/>
    <w:rsid w:val="009E736A"/>
    <w:rsid w:val="009E7976"/>
    <w:rsid w:val="009F0BFE"/>
    <w:rsid w:val="009F252A"/>
    <w:rsid w:val="009F27F2"/>
    <w:rsid w:val="009F3D0F"/>
    <w:rsid w:val="009F4390"/>
    <w:rsid w:val="009F4F9B"/>
    <w:rsid w:val="009F5CEB"/>
    <w:rsid w:val="009F5E75"/>
    <w:rsid w:val="009F5EBE"/>
    <w:rsid w:val="009F6A62"/>
    <w:rsid w:val="00A003D9"/>
    <w:rsid w:val="00A0040D"/>
    <w:rsid w:val="00A007BE"/>
    <w:rsid w:val="00A012FC"/>
    <w:rsid w:val="00A03208"/>
    <w:rsid w:val="00A03FD4"/>
    <w:rsid w:val="00A058F9"/>
    <w:rsid w:val="00A05B22"/>
    <w:rsid w:val="00A06587"/>
    <w:rsid w:val="00A06DED"/>
    <w:rsid w:val="00A070C3"/>
    <w:rsid w:val="00A07CE8"/>
    <w:rsid w:val="00A07E9D"/>
    <w:rsid w:val="00A107B0"/>
    <w:rsid w:val="00A1107B"/>
    <w:rsid w:val="00A11748"/>
    <w:rsid w:val="00A11938"/>
    <w:rsid w:val="00A11DA2"/>
    <w:rsid w:val="00A132DA"/>
    <w:rsid w:val="00A13678"/>
    <w:rsid w:val="00A14925"/>
    <w:rsid w:val="00A17401"/>
    <w:rsid w:val="00A17A33"/>
    <w:rsid w:val="00A2099A"/>
    <w:rsid w:val="00A20A56"/>
    <w:rsid w:val="00A226C9"/>
    <w:rsid w:val="00A23724"/>
    <w:rsid w:val="00A248F5"/>
    <w:rsid w:val="00A24CED"/>
    <w:rsid w:val="00A24FF1"/>
    <w:rsid w:val="00A257E2"/>
    <w:rsid w:val="00A267FA"/>
    <w:rsid w:val="00A2689C"/>
    <w:rsid w:val="00A26CB1"/>
    <w:rsid w:val="00A2789E"/>
    <w:rsid w:val="00A304FF"/>
    <w:rsid w:val="00A3069C"/>
    <w:rsid w:val="00A3102C"/>
    <w:rsid w:val="00A34470"/>
    <w:rsid w:val="00A346B5"/>
    <w:rsid w:val="00A34AF7"/>
    <w:rsid w:val="00A3609C"/>
    <w:rsid w:val="00A362E6"/>
    <w:rsid w:val="00A41916"/>
    <w:rsid w:val="00A4313F"/>
    <w:rsid w:val="00A4357A"/>
    <w:rsid w:val="00A436AE"/>
    <w:rsid w:val="00A44275"/>
    <w:rsid w:val="00A4507F"/>
    <w:rsid w:val="00A450F5"/>
    <w:rsid w:val="00A45778"/>
    <w:rsid w:val="00A45D4C"/>
    <w:rsid w:val="00A46AFA"/>
    <w:rsid w:val="00A46D46"/>
    <w:rsid w:val="00A475AF"/>
    <w:rsid w:val="00A479D2"/>
    <w:rsid w:val="00A51FC8"/>
    <w:rsid w:val="00A53BF1"/>
    <w:rsid w:val="00A54343"/>
    <w:rsid w:val="00A54D76"/>
    <w:rsid w:val="00A55739"/>
    <w:rsid w:val="00A55983"/>
    <w:rsid w:val="00A559B1"/>
    <w:rsid w:val="00A56A44"/>
    <w:rsid w:val="00A56ECC"/>
    <w:rsid w:val="00A57276"/>
    <w:rsid w:val="00A573F5"/>
    <w:rsid w:val="00A578A8"/>
    <w:rsid w:val="00A57E97"/>
    <w:rsid w:val="00A61210"/>
    <w:rsid w:val="00A6144E"/>
    <w:rsid w:val="00A62DFF"/>
    <w:rsid w:val="00A65468"/>
    <w:rsid w:val="00A655D5"/>
    <w:rsid w:val="00A66A2B"/>
    <w:rsid w:val="00A66EE7"/>
    <w:rsid w:val="00A71F91"/>
    <w:rsid w:val="00A72BAA"/>
    <w:rsid w:val="00A72D53"/>
    <w:rsid w:val="00A730DD"/>
    <w:rsid w:val="00A7313E"/>
    <w:rsid w:val="00A73187"/>
    <w:rsid w:val="00A74C62"/>
    <w:rsid w:val="00A74D13"/>
    <w:rsid w:val="00A769B0"/>
    <w:rsid w:val="00A76A65"/>
    <w:rsid w:val="00A800A1"/>
    <w:rsid w:val="00A80FD9"/>
    <w:rsid w:val="00A81835"/>
    <w:rsid w:val="00A82827"/>
    <w:rsid w:val="00A828E5"/>
    <w:rsid w:val="00A832A5"/>
    <w:rsid w:val="00A832FE"/>
    <w:rsid w:val="00A83B5C"/>
    <w:rsid w:val="00A85F5C"/>
    <w:rsid w:val="00A87023"/>
    <w:rsid w:val="00A87F98"/>
    <w:rsid w:val="00A90FB1"/>
    <w:rsid w:val="00A91EAA"/>
    <w:rsid w:val="00A92A4A"/>
    <w:rsid w:val="00A92B7C"/>
    <w:rsid w:val="00A94912"/>
    <w:rsid w:val="00A95384"/>
    <w:rsid w:val="00A95E8E"/>
    <w:rsid w:val="00A975BC"/>
    <w:rsid w:val="00AA06BA"/>
    <w:rsid w:val="00AA1A9A"/>
    <w:rsid w:val="00AA2905"/>
    <w:rsid w:val="00AA2A75"/>
    <w:rsid w:val="00AA346F"/>
    <w:rsid w:val="00AA34BE"/>
    <w:rsid w:val="00AA3A0C"/>
    <w:rsid w:val="00AA4265"/>
    <w:rsid w:val="00AA48B5"/>
    <w:rsid w:val="00AA4CE7"/>
    <w:rsid w:val="00AA4F8F"/>
    <w:rsid w:val="00AA62C8"/>
    <w:rsid w:val="00AA6877"/>
    <w:rsid w:val="00AA7EF2"/>
    <w:rsid w:val="00AB1C98"/>
    <w:rsid w:val="00AB2B0D"/>
    <w:rsid w:val="00AB2F41"/>
    <w:rsid w:val="00AB37BB"/>
    <w:rsid w:val="00AB37CC"/>
    <w:rsid w:val="00AB43C0"/>
    <w:rsid w:val="00AB4A01"/>
    <w:rsid w:val="00AB4B06"/>
    <w:rsid w:val="00AB54B5"/>
    <w:rsid w:val="00AB56BA"/>
    <w:rsid w:val="00AB5A0D"/>
    <w:rsid w:val="00AB647D"/>
    <w:rsid w:val="00AB652C"/>
    <w:rsid w:val="00AB65DF"/>
    <w:rsid w:val="00AB7DC3"/>
    <w:rsid w:val="00AB7FE9"/>
    <w:rsid w:val="00AC0B7F"/>
    <w:rsid w:val="00AC1433"/>
    <w:rsid w:val="00AC1982"/>
    <w:rsid w:val="00AC213B"/>
    <w:rsid w:val="00AC2916"/>
    <w:rsid w:val="00AC3338"/>
    <w:rsid w:val="00AC404C"/>
    <w:rsid w:val="00AC469E"/>
    <w:rsid w:val="00AC4989"/>
    <w:rsid w:val="00AC5385"/>
    <w:rsid w:val="00AC7066"/>
    <w:rsid w:val="00AC7362"/>
    <w:rsid w:val="00AD0A27"/>
    <w:rsid w:val="00AD135E"/>
    <w:rsid w:val="00AD3332"/>
    <w:rsid w:val="00AD4A98"/>
    <w:rsid w:val="00AD4E21"/>
    <w:rsid w:val="00AD542A"/>
    <w:rsid w:val="00AD752D"/>
    <w:rsid w:val="00AD794C"/>
    <w:rsid w:val="00AD7D6A"/>
    <w:rsid w:val="00AE0BC6"/>
    <w:rsid w:val="00AE16E3"/>
    <w:rsid w:val="00AE2E63"/>
    <w:rsid w:val="00AE3508"/>
    <w:rsid w:val="00AE4C2E"/>
    <w:rsid w:val="00AE511F"/>
    <w:rsid w:val="00AE58EE"/>
    <w:rsid w:val="00AE6037"/>
    <w:rsid w:val="00AF046F"/>
    <w:rsid w:val="00AF0F6E"/>
    <w:rsid w:val="00AF2508"/>
    <w:rsid w:val="00AF2A1B"/>
    <w:rsid w:val="00AF35DD"/>
    <w:rsid w:val="00AF491B"/>
    <w:rsid w:val="00AF5550"/>
    <w:rsid w:val="00B01916"/>
    <w:rsid w:val="00B0376E"/>
    <w:rsid w:val="00B03A89"/>
    <w:rsid w:val="00B03E7E"/>
    <w:rsid w:val="00B05455"/>
    <w:rsid w:val="00B057F1"/>
    <w:rsid w:val="00B07572"/>
    <w:rsid w:val="00B104D8"/>
    <w:rsid w:val="00B1073B"/>
    <w:rsid w:val="00B10825"/>
    <w:rsid w:val="00B1174D"/>
    <w:rsid w:val="00B12448"/>
    <w:rsid w:val="00B124EC"/>
    <w:rsid w:val="00B13802"/>
    <w:rsid w:val="00B13E9F"/>
    <w:rsid w:val="00B1431F"/>
    <w:rsid w:val="00B14E58"/>
    <w:rsid w:val="00B150EF"/>
    <w:rsid w:val="00B1565C"/>
    <w:rsid w:val="00B15AD7"/>
    <w:rsid w:val="00B16554"/>
    <w:rsid w:val="00B166EC"/>
    <w:rsid w:val="00B21A66"/>
    <w:rsid w:val="00B22BC1"/>
    <w:rsid w:val="00B22FF9"/>
    <w:rsid w:val="00B23491"/>
    <w:rsid w:val="00B23B31"/>
    <w:rsid w:val="00B2408B"/>
    <w:rsid w:val="00B242FC"/>
    <w:rsid w:val="00B250DE"/>
    <w:rsid w:val="00B2646E"/>
    <w:rsid w:val="00B269DF"/>
    <w:rsid w:val="00B27542"/>
    <w:rsid w:val="00B279EE"/>
    <w:rsid w:val="00B301F1"/>
    <w:rsid w:val="00B324D7"/>
    <w:rsid w:val="00B32D30"/>
    <w:rsid w:val="00B3416F"/>
    <w:rsid w:val="00B34924"/>
    <w:rsid w:val="00B36544"/>
    <w:rsid w:val="00B375BC"/>
    <w:rsid w:val="00B41CF5"/>
    <w:rsid w:val="00B41F68"/>
    <w:rsid w:val="00B420DE"/>
    <w:rsid w:val="00B43CC4"/>
    <w:rsid w:val="00B4407E"/>
    <w:rsid w:val="00B44576"/>
    <w:rsid w:val="00B4672C"/>
    <w:rsid w:val="00B46EBC"/>
    <w:rsid w:val="00B476F5"/>
    <w:rsid w:val="00B4793C"/>
    <w:rsid w:val="00B47DC5"/>
    <w:rsid w:val="00B5150E"/>
    <w:rsid w:val="00B5163D"/>
    <w:rsid w:val="00B53498"/>
    <w:rsid w:val="00B54538"/>
    <w:rsid w:val="00B54E7C"/>
    <w:rsid w:val="00B5555E"/>
    <w:rsid w:val="00B56077"/>
    <w:rsid w:val="00B57C7C"/>
    <w:rsid w:val="00B60698"/>
    <w:rsid w:val="00B60FCF"/>
    <w:rsid w:val="00B610CF"/>
    <w:rsid w:val="00B61176"/>
    <w:rsid w:val="00B6154C"/>
    <w:rsid w:val="00B6158F"/>
    <w:rsid w:val="00B617F9"/>
    <w:rsid w:val="00B650E4"/>
    <w:rsid w:val="00B66292"/>
    <w:rsid w:val="00B66C6C"/>
    <w:rsid w:val="00B6795F"/>
    <w:rsid w:val="00B7201B"/>
    <w:rsid w:val="00B72EC0"/>
    <w:rsid w:val="00B7327A"/>
    <w:rsid w:val="00B76438"/>
    <w:rsid w:val="00B769EA"/>
    <w:rsid w:val="00B772C9"/>
    <w:rsid w:val="00B80552"/>
    <w:rsid w:val="00B80A18"/>
    <w:rsid w:val="00B80AD9"/>
    <w:rsid w:val="00B8130E"/>
    <w:rsid w:val="00B82E6A"/>
    <w:rsid w:val="00B86702"/>
    <w:rsid w:val="00B87DC0"/>
    <w:rsid w:val="00B90428"/>
    <w:rsid w:val="00B90C40"/>
    <w:rsid w:val="00B90FC9"/>
    <w:rsid w:val="00B92195"/>
    <w:rsid w:val="00B92B47"/>
    <w:rsid w:val="00B9395B"/>
    <w:rsid w:val="00B969E3"/>
    <w:rsid w:val="00B9757B"/>
    <w:rsid w:val="00B97F8C"/>
    <w:rsid w:val="00BA008C"/>
    <w:rsid w:val="00BA2028"/>
    <w:rsid w:val="00BA3BA2"/>
    <w:rsid w:val="00BA3CFB"/>
    <w:rsid w:val="00BB1209"/>
    <w:rsid w:val="00BB1BA4"/>
    <w:rsid w:val="00BB3435"/>
    <w:rsid w:val="00BB35FE"/>
    <w:rsid w:val="00BB41A8"/>
    <w:rsid w:val="00BB44F5"/>
    <w:rsid w:val="00BB54F3"/>
    <w:rsid w:val="00BB639F"/>
    <w:rsid w:val="00BB6400"/>
    <w:rsid w:val="00BB666C"/>
    <w:rsid w:val="00BB6885"/>
    <w:rsid w:val="00BB7CBB"/>
    <w:rsid w:val="00BC0F29"/>
    <w:rsid w:val="00BC253E"/>
    <w:rsid w:val="00BC2A97"/>
    <w:rsid w:val="00BC2B7B"/>
    <w:rsid w:val="00BC2D50"/>
    <w:rsid w:val="00BC396B"/>
    <w:rsid w:val="00BC49A0"/>
    <w:rsid w:val="00BC6DAD"/>
    <w:rsid w:val="00BC71D4"/>
    <w:rsid w:val="00BC78D6"/>
    <w:rsid w:val="00BC7967"/>
    <w:rsid w:val="00BC7CA8"/>
    <w:rsid w:val="00BD18AA"/>
    <w:rsid w:val="00BD3A90"/>
    <w:rsid w:val="00BD4802"/>
    <w:rsid w:val="00BD4E48"/>
    <w:rsid w:val="00BD5469"/>
    <w:rsid w:val="00BD6288"/>
    <w:rsid w:val="00BE2252"/>
    <w:rsid w:val="00BE48E6"/>
    <w:rsid w:val="00BE4DC6"/>
    <w:rsid w:val="00BE4F93"/>
    <w:rsid w:val="00BE540B"/>
    <w:rsid w:val="00BE5810"/>
    <w:rsid w:val="00BE5A08"/>
    <w:rsid w:val="00BE6BB5"/>
    <w:rsid w:val="00BF0688"/>
    <w:rsid w:val="00BF0D0F"/>
    <w:rsid w:val="00BF1064"/>
    <w:rsid w:val="00BF1CE5"/>
    <w:rsid w:val="00BF2054"/>
    <w:rsid w:val="00BF229E"/>
    <w:rsid w:val="00BF3292"/>
    <w:rsid w:val="00BF467F"/>
    <w:rsid w:val="00BF4C00"/>
    <w:rsid w:val="00BF5CF3"/>
    <w:rsid w:val="00BF774E"/>
    <w:rsid w:val="00BF7780"/>
    <w:rsid w:val="00C006CA"/>
    <w:rsid w:val="00C00FFC"/>
    <w:rsid w:val="00C02F1A"/>
    <w:rsid w:val="00C03137"/>
    <w:rsid w:val="00C039A3"/>
    <w:rsid w:val="00C049F1"/>
    <w:rsid w:val="00C04F8C"/>
    <w:rsid w:val="00C059C9"/>
    <w:rsid w:val="00C05A7E"/>
    <w:rsid w:val="00C07CCF"/>
    <w:rsid w:val="00C11440"/>
    <w:rsid w:val="00C114F9"/>
    <w:rsid w:val="00C11C7D"/>
    <w:rsid w:val="00C125BF"/>
    <w:rsid w:val="00C1331B"/>
    <w:rsid w:val="00C13675"/>
    <w:rsid w:val="00C157ED"/>
    <w:rsid w:val="00C16DC7"/>
    <w:rsid w:val="00C16E42"/>
    <w:rsid w:val="00C17A24"/>
    <w:rsid w:val="00C206DA"/>
    <w:rsid w:val="00C2076D"/>
    <w:rsid w:val="00C20911"/>
    <w:rsid w:val="00C20D02"/>
    <w:rsid w:val="00C20E23"/>
    <w:rsid w:val="00C21E53"/>
    <w:rsid w:val="00C21F1D"/>
    <w:rsid w:val="00C22988"/>
    <w:rsid w:val="00C252CA"/>
    <w:rsid w:val="00C267CF"/>
    <w:rsid w:val="00C26CEF"/>
    <w:rsid w:val="00C27E1A"/>
    <w:rsid w:val="00C30284"/>
    <w:rsid w:val="00C30420"/>
    <w:rsid w:val="00C31AB2"/>
    <w:rsid w:val="00C31EA8"/>
    <w:rsid w:val="00C31FF9"/>
    <w:rsid w:val="00C3216E"/>
    <w:rsid w:val="00C333B7"/>
    <w:rsid w:val="00C33585"/>
    <w:rsid w:val="00C33784"/>
    <w:rsid w:val="00C352A8"/>
    <w:rsid w:val="00C35A50"/>
    <w:rsid w:val="00C35D2F"/>
    <w:rsid w:val="00C36254"/>
    <w:rsid w:val="00C36669"/>
    <w:rsid w:val="00C36F94"/>
    <w:rsid w:val="00C37692"/>
    <w:rsid w:val="00C40898"/>
    <w:rsid w:val="00C42152"/>
    <w:rsid w:val="00C43293"/>
    <w:rsid w:val="00C45719"/>
    <w:rsid w:val="00C47E59"/>
    <w:rsid w:val="00C507DA"/>
    <w:rsid w:val="00C511F5"/>
    <w:rsid w:val="00C526BF"/>
    <w:rsid w:val="00C52B74"/>
    <w:rsid w:val="00C52FB9"/>
    <w:rsid w:val="00C53C4D"/>
    <w:rsid w:val="00C54328"/>
    <w:rsid w:val="00C546D2"/>
    <w:rsid w:val="00C55077"/>
    <w:rsid w:val="00C552D4"/>
    <w:rsid w:val="00C5792D"/>
    <w:rsid w:val="00C600AB"/>
    <w:rsid w:val="00C61BE7"/>
    <w:rsid w:val="00C61C5E"/>
    <w:rsid w:val="00C63273"/>
    <w:rsid w:val="00C636F0"/>
    <w:rsid w:val="00C639FE"/>
    <w:rsid w:val="00C6588A"/>
    <w:rsid w:val="00C673EF"/>
    <w:rsid w:val="00C6791D"/>
    <w:rsid w:val="00C67E06"/>
    <w:rsid w:val="00C71DD0"/>
    <w:rsid w:val="00C72681"/>
    <w:rsid w:val="00C75D11"/>
    <w:rsid w:val="00C7614E"/>
    <w:rsid w:val="00C7771B"/>
    <w:rsid w:val="00C77FAC"/>
    <w:rsid w:val="00C80861"/>
    <w:rsid w:val="00C819CC"/>
    <w:rsid w:val="00C83918"/>
    <w:rsid w:val="00C839E0"/>
    <w:rsid w:val="00C83E96"/>
    <w:rsid w:val="00C8416B"/>
    <w:rsid w:val="00C847D4"/>
    <w:rsid w:val="00C84C42"/>
    <w:rsid w:val="00C84D11"/>
    <w:rsid w:val="00C857E6"/>
    <w:rsid w:val="00C85F34"/>
    <w:rsid w:val="00C865F7"/>
    <w:rsid w:val="00C86D5E"/>
    <w:rsid w:val="00C8754A"/>
    <w:rsid w:val="00C87A2F"/>
    <w:rsid w:val="00C906B6"/>
    <w:rsid w:val="00C90F2A"/>
    <w:rsid w:val="00C91378"/>
    <w:rsid w:val="00C91CC9"/>
    <w:rsid w:val="00C9289F"/>
    <w:rsid w:val="00C93C0C"/>
    <w:rsid w:val="00C945A7"/>
    <w:rsid w:val="00C97E61"/>
    <w:rsid w:val="00CA0C3B"/>
    <w:rsid w:val="00CA0E7A"/>
    <w:rsid w:val="00CA13FE"/>
    <w:rsid w:val="00CA1E33"/>
    <w:rsid w:val="00CA20D1"/>
    <w:rsid w:val="00CA46CA"/>
    <w:rsid w:val="00CA5D5A"/>
    <w:rsid w:val="00CA6A38"/>
    <w:rsid w:val="00CB024E"/>
    <w:rsid w:val="00CB12DC"/>
    <w:rsid w:val="00CB13F0"/>
    <w:rsid w:val="00CB2098"/>
    <w:rsid w:val="00CB20F7"/>
    <w:rsid w:val="00CB2315"/>
    <w:rsid w:val="00CB2893"/>
    <w:rsid w:val="00CB2BCA"/>
    <w:rsid w:val="00CB4333"/>
    <w:rsid w:val="00CB54A1"/>
    <w:rsid w:val="00CB54E9"/>
    <w:rsid w:val="00CB55D2"/>
    <w:rsid w:val="00CB5E68"/>
    <w:rsid w:val="00CB60B0"/>
    <w:rsid w:val="00CC0874"/>
    <w:rsid w:val="00CC187B"/>
    <w:rsid w:val="00CC41AC"/>
    <w:rsid w:val="00CC578F"/>
    <w:rsid w:val="00CC69A4"/>
    <w:rsid w:val="00CC7907"/>
    <w:rsid w:val="00CC7D9E"/>
    <w:rsid w:val="00CD2521"/>
    <w:rsid w:val="00CD3CEF"/>
    <w:rsid w:val="00CD5FB5"/>
    <w:rsid w:val="00CD62E3"/>
    <w:rsid w:val="00CD6E62"/>
    <w:rsid w:val="00CD71A7"/>
    <w:rsid w:val="00CD762C"/>
    <w:rsid w:val="00CE03AA"/>
    <w:rsid w:val="00CE25E5"/>
    <w:rsid w:val="00CE3482"/>
    <w:rsid w:val="00CE3635"/>
    <w:rsid w:val="00CE3889"/>
    <w:rsid w:val="00CE58CB"/>
    <w:rsid w:val="00CF0396"/>
    <w:rsid w:val="00CF0601"/>
    <w:rsid w:val="00CF199A"/>
    <w:rsid w:val="00CF1A9C"/>
    <w:rsid w:val="00CF2CA8"/>
    <w:rsid w:val="00CF5375"/>
    <w:rsid w:val="00CF5C80"/>
    <w:rsid w:val="00CF5D65"/>
    <w:rsid w:val="00CF63F8"/>
    <w:rsid w:val="00CF6891"/>
    <w:rsid w:val="00D008AA"/>
    <w:rsid w:val="00D0151E"/>
    <w:rsid w:val="00D02825"/>
    <w:rsid w:val="00D0397E"/>
    <w:rsid w:val="00D05C20"/>
    <w:rsid w:val="00D0603C"/>
    <w:rsid w:val="00D0743D"/>
    <w:rsid w:val="00D106D6"/>
    <w:rsid w:val="00D118D5"/>
    <w:rsid w:val="00D11C3F"/>
    <w:rsid w:val="00D12C62"/>
    <w:rsid w:val="00D12CCE"/>
    <w:rsid w:val="00D1592E"/>
    <w:rsid w:val="00D16E0C"/>
    <w:rsid w:val="00D206C2"/>
    <w:rsid w:val="00D21AF8"/>
    <w:rsid w:val="00D22C3F"/>
    <w:rsid w:val="00D25418"/>
    <w:rsid w:val="00D25489"/>
    <w:rsid w:val="00D25E7A"/>
    <w:rsid w:val="00D2614D"/>
    <w:rsid w:val="00D27D00"/>
    <w:rsid w:val="00D27DC0"/>
    <w:rsid w:val="00D27E75"/>
    <w:rsid w:val="00D30843"/>
    <w:rsid w:val="00D30ECB"/>
    <w:rsid w:val="00D30FAC"/>
    <w:rsid w:val="00D319D8"/>
    <w:rsid w:val="00D32026"/>
    <w:rsid w:val="00D33F8D"/>
    <w:rsid w:val="00D35975"/>
    <w:rsid w:val="00D363BF"/>
    <w:rsid w:val="00D371F4"/>
    <w:rsid w:val="00D373A8"/>
    <w:rsid w:val="00D40ADF"/>
    <w:rsid w:val="00D426C4"/>
    <w:rsid w:val="00D42B07"/>
    <w:rsid w:val="00D44445"/>
    <w:rsid w:val="00D44960"/>
    <w:rsid w:val="00D44A19"/>
    <w:rsid w:val="00D44F2C"/>
    <w:rsid w:val="00D45818"/>
    <w:rsid w:val="00D45B38"/>
    <w:rsid w:val="00D46046"/>
    <w:rsid w:val="00D47F9F"/>
    <w:rsid w:val="00D5016E"/>
    <w:rsid w:val="00D50EE4"/>
    <w:rsid w:val="00D51D96"/>
    <w:rsid w:val="00D520D7"/>
    <w:rsid w:val="00D528E1"/>
    <w:rsid w:val="00D53282"/>
    <w:rsid w:val="00D5389B"/>
    <w:rsid w:val="00D53B32"/>
    <w:rsid w:val="00D5464B"/>
    <w:rsid w:val="00D556B6"/>
    <w:rsid w:val="00D559AF"/>
    <w:rsid w:val="00D55C3A"/>
    <w:rsid w:val="00D57A99"/>
    <w:rsid w:val="00D6058B"/>
    <w:rsid w:val="00D60CB2"/>
    <w:rsid w:val="00D6311B"/>
    <w:rsid w:val="00D646B9"/>
    <w:rsid w:val="00D65AED"/>
    <w:rsid w:val="00D65D86"/>
    <w:rsid w:val="00D7023C"/>
    <w:rsid w:val="00D70D47"/>
    <w:rsid w:val="00D712DC"/>
    <w:rsid w:val="00D72712"/>
    <w:rsid w:val="00D72906"/>
    <w:rsid w:val="00D72D8E"/>
    <w:rsid w:val="00D73002"/>
    <w:rsid w:val="00D7357E"/>
    <w:rsid w:val="00D76AC3"/>
    <w:rsid w:val="00D77F29"/>
    <w:rsid w:val="00D80661"/>
    <w:rsid w:val="00D8181B"/>
    <w:rsid w:val="00D84318"/>
    <w:rsid w:val="00D84CF1"/>
    <w:rsid w:val="00D84EB8"/>
    <w:rsid w:val="00D85BF1"/>
    <w:rsid w:val="00D8602C"/>
    <w:rsid w:val="00D86123"/>
    <w:rsid w:val="00D86717"/>
    <w:rsid w:val="00D8747D"/>
    <w:rsid w:val="00D87C0C"/>
    <w:rsid w:val="00D92358"/>
    <w:rsid w:val="00D92395"/>
    <w:rsid w:val="00D93E74"/>
    <w:rsid w:val="00D9518E"/>
    <w:rsid w:val="00D962A0"/>
    <w:rsid w:val="00D962FE"/>
    <w:rsid w:val="00D96603"/>
    <w:rsid w:val="00DA0D4B"/>
    <w:rsid w:val="00DA1D71"/>
    <w:rsid w:val="00DA21BB"/>
    <w:rsid w:val="00DA2221"/>
    <w:rsid w:val="00DA275D"/>
    <w:rsid w:val="00DA2F1C"/>
    <w:rsid w:val="00DA34EF"/>
    <w:rsid w:val="00DA40F5"/>
    <w:rsid w:val="00DA42B0"/>
    <w:rsid w:val="00DA4831"/>
    <w:rsid w:val="00DA4D7E"/>
    <w:rsid w:val="00DA50BB"/>
    <w:rsid w:val="00DA5A67"/>
    <w:rsid w:val="00DA6037"/>
    <w:rsid w:val="00DA658E"/>
    <w:rsid w:val="00DA6770"/>
    <w:rsid w:val="00DB0C0C"/>
    <w:rsid w:val="00DB23FC"/>
    <w:rsid w:val="00DB2E0B"/>
    <w:rsid w:val="00DB3712"/>
    <w:rsid w:val="00DB3E6C"/>
    <w:rsid w:val="00DB605F"/>
    <w:rsid w:val="00DB6368"/>
    <w:rsid w:val="00DB6779"/>
    <w:rsid w:val="00DB7C7A"/>
    <w:rsid w:val="00DC0614"/>
    <w:rsid w:val="00DC0FA7"/>
    <w:rsid w:val="00DC171A"/>
    <w:rsid w:val="00DC29B2"/>
    <w:rsid w:val="00DC2C81"/>
    <w:rsid w:val="00DC3B86"/>
    <w:rsid w:val="00DC3F70"/>
    <w:rsid w:val="00DC5F97"/>
    <w:rsid w:val="00DC64EE"/>
    <w:rsid w:val="00DC64FB"/>
    <w:rsid w:val="00DC6833"/>
    <w:rsid w:val="00DC68F8"/>
    <w:rsid w:val="00DC6A4F"/>
    <w:rsid w:val="00DC6BBF"/>
    <w:rsid w:val="00DC78AB"/>
    <w:rsid w:val="00DC7C37"/>
    <w:rsid w:val="00DD0AEC"/>
    <w:rsid w:val="00DD0D13"/>
    <w:rsid w:val="00DD2B39"/>
    <w:rsid w:val="00DD374D"/>
    <w:rsid w:val="00DD4EC6"/>
    <w:rsid w:val="00DD5BEE"/>
    <w:rsid w:val="00DD6D22"/>
    <w:rsid w:val="00DD709B"/>
    <w:rsid w:val="00DD7B6D"/>
    <w:rsid w:val="00DE04B9"/>
    <w:rsid w:val="00DE3DD9"/>
    <w:rsid w:val="00DE5593"/>
    <w:rsid w:val="00DE6B17"/>
    <w:rsid w:val="00DE709C"/>
    <w:rsid w:val="00DE75F5"/>
    <w:rsid w:val="00DF0683"/>
    <w:rsid w:val="00DF2106"/>
    <w:rsid w:val="00DF2D70"/>
    <w:rsid w:val="00DF3314"/>
    <w:rsid w:val="00DF52F3"/>
    <w:rsid w:val="00DF5FE9"/>
    <w:rsid w:val="00DF7D33"/>
    <w:rsid w:val="00E00271"/>
    <w:rsid w:val="00E00CF0"/>
    <w:rsid w:val="00E00E85"/>
    <w:rsid w:val="00E01403"/>
    <w:rsid w:val="00E02AC6"/>
    <w:rsid w:val="00E02C69"/>
    <w:rsid w:val="00E10295"/>
    <w:rsid w:val="00E11611"/>
    <w:rsid w:val="00E117C8"/>
    <w:rsid w:val="00E11805"/>
    <w:rsid w:val="00E132C5"/>
    <w:rsid w:val="00E13378"/>
    <w:rsid w:val="00E13470"/>
    <w:rsid w:val="00E14069"/>
    <w:rsid w:val="00E158FA"/>
    <w:rsid w:val="00E15BD2"/>
    <w:rsid w:val="00E1762F"/>
    <w:rsid w:val="00E20041"/>
    <w:rsid w:val="00E20E61"/>
    <w:rsid w:val="00E21BA9"/>
    <w:rsid w:val="00E233B4"/>
    <w:rsid w:val="00E24826"/>
    <w:rsid w:val="00E27CDA"/>
    <w:rsid w:val="00E30794"/>
    <w:rsid w:val="00E3104B"/>
    <w:rsid w:val="00E32ACC"/>
    <w:rsid w:val="00E32DC4"/>
    <w:rsid w:val="00E33153"/>
    <w:rsid w:val="00E33589"/>
    <w:rsid w:val="00E33AD4"/>
    <w:rsid w:val="00E35FD2"/>
    <w:rsid w:val="00E36725"/>
    <w:rsid w:val="00E3735F"/>
    <w:rsid w:val="00E404C1"/>
    <w:rsid w:val="00E41DAB"/>
    <w:rsid w:val="00E41F2C"/>
    <w:rsid w:val="00E41F65"/>
    <w:rsid w:val="00E41F85"/>
    <w:rsid w:val="00E4284E"/>
    <w:rsid w:val="00E428A1"/>
    <w:rsid w:val="00E4372E"/>
    <w:rsid w:val="00E4432E"/>
    <w:rsid w:val="00E4470E"/>
    <w:rsid w:val="00E44F49"/>
    <w:rsid w:val="00E46A34"/>
    <w:rsid w:val="00E470AB"/>
    <w:rsid w:val="00E47152"/>
    <w:rsid w:val="00E52480"/>
    <w:rsid w:val="00E5376B"/>
    <w:rsid w:val="00E537CE"/>
    <w:rsid w:val="00E53EE2"/>
    <w:rsid w:val="00E543A2"/>
    <w:rsid w:val="00E561B9"/>
    <w:rsid w:val="00E56363"/>
    <w:rsid w:val="00E62C64"/>
    <w:rsid w:val="00E64D7C"/>
    <w:rsid w:val="00E654EA"/>
    <w:rsid w:val="00E65CA7"/>
    <w:rsid w:val="00E668CC"/>
    <w:rsid w:val="00E671EF"/>
    <w:rsid w:val="00E67CE3"/>
    <w:rsid w:val="00E700E0"/>
    <w:rsid w:val="00E7063A"/>
    <w:rsid w:val="00E71AAA"/>
    <w:rsid w:val="00E72133"/>
    <w:rsid w:val="00E742DC"/>
    <w:rsid w:val="00E75BF8"/>
    <w:rsid w:val="00E75D00"/>
    <w:rsid w:val="00E76254"/>
    <w:rsid w:val="00E76574"/>
    <w:rsid w:val="00E766BD"/>
    <w:rsid w:val="00E7698C"/>
    <w:rsid w:val="00E8022C"/>
    <w:rsid w:val="00E81E09"/>
    <w:rsid w:val="00E821AB"/>
    <w:rsid w:val="00E8247E"/>
    <w:rsid w:val="00E82869"/>
    <w:rsid w:val="00E82E07"/>
    <w:rsid w:val="00E82FED"/>
    <w:rsid w:val="00E845E5"/>
    <w:rsid w:val="00E850E5"/>
    <w:rsid w:val="00E86978"/>
    <w:rsid w:val="00E86D01"/>
    <w:rsid w:val="00E870A5"/>
    <w:rsid w:val="00E879B6"/>
    <w:rsid w:val="00E87B38"/>
    <w:rsid w:val="00E9049A"/>
    <w:rsid w:val="00E9085D"/>
    <w:rsid w:val="00E90FE8"/>
    <w:rsid w:val="00E91126"/>
    <w:rsid w:val="00E92D27"/>
    <w:rsid w:val="00E930D5"/>
    <w:rsid w:val="00E94048"/>
    <w:rsid w:val="00E948A5"/>
    <w:rsid w:val="00E94D16"/>
    <w:rsid w:val="00E95FD0"/>
    <w:rsid w:val="00E967B9"/>
    <w:rsid w:val="00E96DC9"/>
    <w:rsid w:val="00E97651"/>
    <w:rsid w:val="00EA1504"/>
    <w:rsid w:val="00EA20D0"/>
    <w:rsid w:val="00EA4F0A"/>
    <w:rsid w:val="00EA4FAA"/>
    <w:rsid w:val="00EA5635"/>
    <w:rsid w:val="00EA5867"/>
    <w:rsid w:val="00EA5873"/>
    <w:rsid w:val="00EA61CA"/>
    <w:rsid w:val="00EA7FF7"/>
    <w:rsid w:val="00EB0E5B"/>
    <w:rsid w:val="00EB1375"/>
    <w:rsid w:val="00EB1904"/>
    <w:rsid w:val="00EB1E97"/>
    <w:rsid w:val="00EB2114"/>
    <w:rsid w:val="00EB280B"/>
    <w:rsid w:val="00EB3546"/>
    <w:rsid w:val="00EB36EB"/>
    <w:rsid w:val="00EB38BD"/>
    <w:rsid w:val="00EB464F"/>
    <w:rsid w:val="00EB5E62"/>
    <w:rsid w:val="00EC07B3"/>
    <w:rsid w:val="00EC50C0"/>
    <w:rsid w:val="00EC63ED"/>
    <w:rsid w:val="00EC70E1"/>
    <w:rsid w:val="00EC772D"/>
    <w:rsid w:val="00EC7D7F"/>
    <w:rsid w:val="00EC7FC7"/>
    <w:rsid w:val="00ED077A"/>
    <w:rsid w:val="00ED0D1B"/>
    <w:rsid w:val="00ED103F"/>
    <w:rsid w:val="00ED1CC5"/>
    <w:rsid w:val="00ED1DBF"/>
    <w:rsid w:val="00ED2300"/>
    <w:rsid w:val="00ED3297"/>
    <w:rsid w:val="00ED3B4E"/>
    <w:rsid w:val="00ED4FC0"/>
    <w:rsid w:val="00ED55A3"/>
    <w:rsid w:val="00ED5D8F"/>
    <w:rsid w:val="00ED66A5"/>
    <w:rsid w:val="00EE018F"/>
    <w:rsid w:val="00EE1AC2"/>
    <w:rsid w:val="00EE2272"/>
    <w:rsid w:val="00EE36F1"/>
    <w:rsid w:val="00EE3F89"/>
    <w:rsid w:val="00EE4A7C"/>
    <w:rsid w:val="00EE5163"/>
    <w:rsid w:val="00EE600F"/>
    <w:rsid w:val="00EE7B08"/>
    <w:rsid w:val="00EF0E74"/>
    <w:rsid w:val="00EF2A87"/>
    <w:rsid w:val="00EF2C60"/>
    <w:rsid w:val="00EF3396"/>
    <w:rsid w:val="00EF3AAA"/>
    <w:rsid w:val="00EF3BE8"/>
    <w:rsid w:val="00EF46CC"/>
    <w:rsid w:val="00EF54FE"/>
    <w:rsid w:val="00EF7435"/>
    <w:rsid w:val="00F000F5"/>
    <w:rsid w:val="00F0077F"/>
    <w:rsid w:val="00F00812"/>
    <w:rsid w:val="00F022F5"/>
    <w:rsid w:val="00F02BBA"/>
    <w:rsid w:val="00F04434"/>
    <w:rsid w:val="00F054BA"/>
    <w:rsid w:val="00F102AC"/>
    <w:rsid w:val="00F11EF3"/>
    <w:rsid w:val="00F11FCD"/>
    <w:rsid w:val="00F12412"/>
    <w:rsid w:val="00F12BDC"/>
    <w:rsid w:val="00F14747"/>
    <w:rsid w:val="00F148E9"/>
    <w:rsid w:val="00F15001"/>
    <w:rsid w:val="00F15169"/>
    <w:rsid w:val="00F160FD"/>
    <w:rsid w:val="00F1610C"/>
    <w:rsid w:val="00F16CF1"/>
    <w:rsid w:val="00F17D31"/>
    <w:rsid w:val="00F2260E"/>
    <w:rsid w:val="00F24A59"/>
    <w:rsid w:val="00F25C3D"/>
    <w:rsid w:val="00F26B24"/>
    <w:rsid w:val="00F26CF4"/>
    <w:rsid w:val="00F27237"/>
    <w:rsid w:val="00F277A2"/>
    <w:rsid w:val="00F30BDE"/>
    <w:rsid w:val="00F32012"/>
    <w:rsid w:val="00F32948"/>
    <w:rsid w:val="00F33F2A"/>
    <w:rsid w:val="00F3775C"/>
    <w:rsid w:val="00F40759"/>
    <w:rsid w:val="00F4094C"/>
    <w:rsid w:val="00F40C7F"/>
    <w:rsid w:val="00F4248B"/>
    <w:rsid w:val="00F42504"/>
    <w:rsid w:val="00F42A2D"/>
    <w:rsid w:val="00F43B7A"/>
    <w:rsid w:val="00F44714"/>
    <w:rsid w:val="00F44A71"/>
    <w:rsid w:val="00F47537"/>
    <w:rsid w:val="00F47869"/>
    <w:rsid w:val="00F47D0E"/>
    <w:rsid w:val="00F50224"/>
    <w:rsid w:val="00F51A2F"/>
    <w:rsid w:val="00F51AFE"/>
    <w:rsid w:val="00F52AE4"/>
    <w:rsid w:val="00F533E9"/>
    <w:rsid w:val="00F560C3"/>
    <w:rsid w:val="00F601CA"/>
    <w:rsid w:val="00F60E65"/>
    <w:rsid w:val="00F633A7"/>
    <w:rsid w:val="00F63AA4"/>
    <w:rsid w:val="00F63EDC"/>
    <w:rsid w:val="00F647CD"/>
    <w:rsid w:val="00F6497D"/>
    <w:rsid w:val="00F64C36"/>
    <w:rsid w:val="00F653F5"/>
    <w:rsid w:val="00F66EC7"/>
    <w:rsid w:val="00F70175"/>
    <w:rsid w:val="00F71105"/>
    <w:rsid w:val="00F727C1"/>
    <w:rsid w:val="00F72D1B"/>
    <w:rsid w:val="00F73B15"/>
    <w:rsid w:val="00F75127"/>
    <w:rsid w:val="00F756A0"/>
    <w:rsid w:val="00F7577A"/>
    <w:rsid w:val="00F7711F"/>
    <w:rsid w:val="00F80B76"/>
    <w:rsid w:val="00F8171E"/>
    <w:rsid w:val="00F81DC0"/>
    <w:rsid w:val="00F82533"/>
    <w:rsid w:val="00F82E15"/>
    <w:rsid w:val="00F835EB"/>
    <w:rsid w:val="00F83B34"/>
    <w:rsid w:val="00F83E58"/>
    <w:rsid w:val="00F83FAC"/>
    <w:rsid w:val="00F86920"/>
    <w:rsid w:val="00F86E5C"/>
    <w:rsid w:val="00F87057"/>
    <w:rsid w:val="00F87866"/>
    <w:rsid w:val="00F87B31"/>
    <w:rsid w:val="00F90493"/>
    <w:rsid w:val="00F9165A"/>
    <w:rsid w:val="00F91965"/>
    <w:rsid w:val="00F92E97"/>
    <w:rsid w:val="00F94B7B"/>
    <w:rsid w:val="00F9575C"/>
    <w:rsid w:val="00F958EA"/>
    <w:rsid w:val="00F95FE4"/>
    <w:rsid w:val="00F96449"/>
    <w:rsid w:val="00F964EE"/>
    <w:rsid w:val="00F97948"/>
    <w:rsid w:val="00FA1834"/>
    <w:rsid w:val="00FA4428"/>
    <w:rsid w:val="00FA493E"/>
    <w:rsid w:val="00FA5818"/>
    <w:rsid w:val="00FA70C9"/>
    <w:rsid w:val="00FA78AA"/>
    <w:rsid w:val="00FB042C"/>
    <w:rsid w:val="00FB0E5A"/>
    <w:rsid w:val="00FB2C0F"/>
    <w:rsid w:val="00FB4613"/>
    <w:rsid w:val="00FB4B9E"/>
    <w:rsid w:val="00FB5C7B"/>
    <w:rsid w:val="00FB6BD6"/>
    <w:rsid w:val="00FB6C0F"/>
    <w:rsid w:val="00FB7121"/>
    <w:rsid w:val="00FC118A"/>
    <w:rsid w:val="00FC12D6"/>
    <w:rsid w:val="00FC60E0"/>
    <w:rsid w:val="00FC692F"/>
    <w:rsid w:val="00FC6D37"/>
    <w:rsid w:val="00FD0A6D"/>
    <w:rsid w:val="00FD1A7A"/>
    <w:rsid w:val="00FD245D"/>
    <w:rsid w:val="00FD3543"/>
    <w:rsid w:val="00FD3656"/>
    <w:rsid w:val="00FD4B11"/>
    <w:rsid w:val="00FD5359"/>
    <w:rsid w:val="00FD5588"/>
    <w:rsid w:val="00FD5FB2"/>
    <w:rsid w:val="00FD61D3"/>
    <w:rsid w:val="00FD6433"/>
    <w:rsid w:val="00FD664F"/>
    <w:rsid w:val="00FD7A62"/>
    <w:rsid w:val="00FE07EE"/>
    <w:rsid w:val="00FE098F"/>
    <w:rsid w:val="00FE226E"/>
    <w:rsid w:val="00FE558A"/>
    <w:rsid w:val="00FE5E67"/>
    <w:rsid w:val="00FE65A5"/>
    <w:rsid w:val="00FE6B77"/>
    <w:rsid w:val="00FE7A66"/>
    <w:rsid w:val="00FF033D"/>
    <w:rsid w:val="00FF10A5"/>
    <w:rsid w:val="00FF150F"/>
    <w:rsid w:val="00FF265C"/>
    <w:rsid w:val="00FF2FB2"/>
    <w:rsid w:val="00FF5C45"/>
    <w:rsid w:val="00FF6195"/>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uiPriority w:val="99"/>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aliases w:val="normal"/>
    <w:basedOn w:val="Normal"/>
    <w:link w:val="HeaderChar"/>
    <w:unhideWhenUsed/>
    <w:rsid w:val="00CB2893"/>
    <w:pPr>
      <w:tabs>
        <w:tab w:val="center" w:pos="4153"/>
        <w:tab w:val="right" w:pos="8306"/>
      </w:tabs>
    </w:pPr>
  </w:style>
  <w:style w:type="character" w:customStyle="1" w:styleId="HeaderChar">
    <w:name w:val="Header Char"/>
    <w:aliases w:val="normal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eastAsia="en-US"/>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unhideWhenUsed/>
    <w:rsid w:val="004134D0"/>
    <w:rPr>
      <w:color w:val="000000"/>
      <w:sz w:val="20"/>
      <w:szCs w:val="20"/>
      <w:lang w:val="lv-LV" w:eastAsia="lv-LV"/>
    </w:rPr>
  </w:style>
  <w:style w:type="character" w:customStyle="1" w:styleId="FootnoteTextChar">
    <w:name w:val="Footnote Text Char"/>
    <w:basedOn w:val="DefaultParagraphFont"/>
    <w:link w:val="FootnoteText"/>
    <w:uiPriority w:val="99"/>
    <w:rsid w:val="004134D0"/>
    <w:rPr>
      <w:rFonts w:ascii="Times New Roman" w:eastAsia="Times New Roman" w:hAnsi="Times New Roman"/>
      <w:color w:val="000000"/>
    </w:rPr>
  </w:style>
  <w:style w:type="paragraph" w:styleId="Title">
    <w:name w:val="Title"/>
    <w:basedOn w:val="Normal"/>
    <w:link w:val="TitleChar"/>
    <w:qFormat/>
    <w:rsid w:val="004134D0"/>
    <w:pPr>
      <w:jc w:val="center"/>
    </w:pPr>
    <w:rPr>
      <w:b/>
      <w:color w:val="000000"/>
      <w:sz w:val="28"/>
      <w:szCs w:val="20"/>
      <w:lang w:val="lv-LV"/>
    </w:rPr>
  </w:style>
  <w:style w:type="character" w:customStyle="1" w:styleId="TitleChar">
    <w:name w:val="Title Char"/>
    <w:basedOn w:val="DefaultParagraphFont"/>
    <w:link w:val="Title"/>
    <w:rsid w:val="004134D0"/>
    <w:rPr>
      <w:rFonts w:ascii="Times New Roman" w:eastAsia="Times New Roman" w:hAnsi="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rsid w:val="004134D0"/>
  </w:style>
  <w:style w:type="paragraph" w:customStyle="1" w:styleId="tvhtml1">
    <w:name w:val="tv_html1"/>
    <w:basedOn w:val="Normal"/>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rsid w:val="00CB54E9"/>
  </w:style>
  <w:style w:type="paragraph" w:customStyle="1" w:styleId="tv2131">
    <w:name w:val="tv2131"/>
    <w:basedOn w:val="Normal"/>
    <w:rsid w:val="006C4DC1"/>
    <w:pPr>
      <w:spacing w:before="240" w:line="360" w:lineRule="auto"/>
      <w:ind w:firstLine="300"/>
      <w:jc w:val="both"/>
    </w:pPr>
    <w:rPr>
      <w:rFonts w:ascii="Verdana" w:hAnsi="Verdana"/>
      <w:sz w:val="18"/>
      <w:szCs w:val="18"/>
      <w:lang w:val="lv-LV" w:eastAsia="lv-LV"/>
    </w:rPr>
  </w:style>
  <w:style w:type="character" w:customStyle="1" w:styleId="fontsize21">
    <w:name w:val="fontsize21"/>
    <w:basedOn w:val="DefaultParagraphFont"/>
    <w:rsid w:val="00292E58"/>
    <w:rPr>
      <w:i/>
      <w:iCs/>
      <w:sz w:val="10"/>
      <w:szCs w:val="10"/>
    </w:rPr>
  </w:style>
  <w:style w:type="paragraph" w:customStyle="1" w:styleId="labojumupamats1">
    <w:name w:val="labojumu_pamats1"/>
    <w:basedOn w:val="Normal"/>
    <w:rsid w:val="006A3774"/>
    <w:pPr>
      <w:spacing w:before="56" w:line="360" w:lineRule="auto"/>
      <w:ind w:firstLine="374"/>
    </w:pPr>
    <w:rPr>
      <w:rFonts w:ascii="Verdana" w:hAnsi="Verdana"/>
      <w:i/>
      <w:iCs/>
      <w:sz w:val="21"/>
      <w:szCs w:val="21"/>
      <w:lang w:val="lv-LV" w:eastAsia="lv-LV"/>
    </w:rPr>
  </w:style>
  <w:style w:type="character" w:customStyle="1" w:styleId="spelle">
    <w:name w:val="spelle"/>
    <w:basedOn w:val="DefaultParagraphFont"/>
    <w:rsid w:val="00C91378"/>
  </w:style>
  <w:style w:type="paragraph" w:customStyle="1" w:styleId="tv2133">
    <w:name w:val="tv2133"/>
    <w:basedOn w:val="Normal"/>
    <w:rsid w:val="00517616"/>
    <w:pPr>
      <w:spacing w:line="360" w:lineRule="auto"/>
      <w:ind w:firstLine="300"/>
    </w:pPr>
    <w:rPr>
      <w:color w:val="414142"/>
      <w:sz w:val="20"/>
      <w:szCs w:val="20"/>
      <w:lang w:val="en-US"/>
    </w:rPr>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19192669">
      <w:bodyDiv w:val="1"/>
      <w:marLeft w:val="0"/>
      <w:marRight w:val="0"/>
      <w:marTop w:val="0"/>
      <w:marBottom w:val="0"/>
      <w:divBdr>
        <w:top w:val="none" w:sz="0" w:space="0" w:color="auto"/>
        <w:left w:val="none" w:sz="0" w:space="0" w:color="auto"/>
        <w:bottom w:val="none" w:sz="0" w:space="0" w:color="auto"/>
        <w:right w:val="none" w:sz="0" w:space="0" w:color="auto"/>
      </w:divBdr>
    </w:div>
    <w:div w:id="328096226">
      <w:bodyDiv w:val="1"/>
      <w:marLeft w:val="0"/>
      <w:marRight w:val="0"/>
      <w:marTop w:val="0"/>
      <w:marBottom w:val="0"/>
      <w:divBdr>
        <w:top w:val="none" w:sz="0" w:space="0" w:color="auto"/>
        <w:left w:val="none" w:sz="0" w:space="0" w:color="auto"/>
        <w:bottom w:val="none" w:sz="0" w:space="0" w:color="auto"/>
        <w:right w:val="none" w:sz="0" w:space="0" w:color="auto"/>
      </w:divBdr>
      <w:divsChild>
        <w:div w:id="1574314630">
          <w:marLeft w:val="0"/>
          <w:marRight w:val="0"/>
          <w:marTop w:val="0"/>
          <w:marBottom w:val="0"/>
          <w:divBdr>
            <w:top w:val="none" w:sz="0" w:space="0" w:color="auto"/>
            <w:left w:val="none" w:sz="0" w:space="0" w:color="auto"/>
            <w:bottom w:val="none" w:sz="0" w:space="0" w:color="auto"/>
            <w:right w:val="none" w:sz="0" w:space="0" w:color="auto"/>
          </w:divBdr>
          <w:divsChild>
            <w:div w:id="1832790395">
              <w:marLeft w:val="0"/>
              <w:marRight w:val="0"/>
              <w:marTop w:val="0"/>
              <w:marBottom w:val="0"/>
              <w:divBdr>
                <w:top w:val="none" w:sz="0" w:space="0" w:color="auto"/>
                <w:left w:val="none" w:sz="0" w:space="0" w:color="auto"/>
                <w:bottom w:val="none" w:sz="0" w:space="0" w:color="auto"/>
                <w:right w:val="none" w:sz="0" w:space="0" w:color="auto"/>
              </w:divBdr>
              <w:divsChild>
                <w:div w:id="1682197158">
                  <w:marLeft w:val="0"/>
                  <w:marRight w:val="0"/>
                  <w:marTop w:val="0"/>
                  <w:marBottom w:val="0"/>
                  <w:divBdr>
                    <w:top w:val="none" w:sz="0" w:space="0" w:color="auto"/>
                    <w:left w:val="none" w:sz="0" w:space="0" w:color="auto"/>
                    <w:bottom w:val="none" w:sz="0" w:space="0" w:color="auto"/>
                    <w:right w:val="none" w:sz="0" w:space="0" w:color="auto"/>
                  </w:divBdr>
                  <w:divsChild>
                    <w:div w:id="1537280640">
                      <w:marLeft w:val="0"/>
                      <w:marRight w:val="0"/>
                      <w:marTop w:val="0"/>
                      <w:marBottom w:val="0"/>
                      <w:divBdr>
                        <w:top w:val="none" w:sz="0" w:space="0" w:color="auto"/>
                        <w:left w:val="none" w:sz="0" w:space="0" w:color="auto"/>
                        <w:bottom w:val="none" w:sz="0" w:space="0" w:color="auto"/>
                        <w:right w:val="none" w:sz="0" w:space="0" w:color="auto"/>
                      </w:divBdr>
                      <w:divsChild>
                        <w:div w:id="1380398596">
                          <w:marLeft w:val="0"/>
                          <w:marRight w:val="0"/>
                          <w:marTop w:val="0"/>
                          <w:marBottom w:val="0"/>
                          <w:divBdr>
                            <w:top w:val="none" w:sz="0" w:space="0" w:color="auto"/>
                            <w:left w:val="none" w:sz="0" w:space="0" w:color="auto"/>
                            <w:bottom w:val="none" w:sz="0" w:space="0" w:color="auto"/>
                            <w:right w:val="none" w:sz="0" w:space="0" w:color="auto"/>
                          </w:divBdr>
                          <w:divsChild>
                            <w:div w:id="420416078">
                              <w:marLeft w:val="0"/>
                              <w:marRight w:val="0"/>
                              <w:marTop w:val="0"/>
                              <w:marBottom w:val="0"/>
                              <w:divBdr>
                                <w:top w:val="none" w:sz="0" w:space="0" w:color="auto"/>
                                <w:left w:val="none" w:sz="0" w:space="0" w:color="auto"/>
                                <w:bottom w:val="none" w:sz="0" w:space="0" w:color="auto"/>
                                <w:right w:val="none" w:sz="0" w:space="0" w:color="auto"/>
                              </w:divBdr>
                              <w:divsChild>
                                <w:div w:id="2104835584">
                                  <w:marLeft w:val="0"/>
                                  <w:marRight w:val="0"/>
                                  <w:marTop w:val="0"/>
                                  <w:marBottom w:val="0"/>
                                  <w:divBdr>
                                    <w:top w:val="none" w:sz="0" w:space="0" w:color="auto"/>
                                    <w:left w:val="none" w:sz="0" w:space="0" w:color="auto"/>
                                    <w:bottom w:val="none" w:sz="0" w:space="0" w:color="auto"/>
                                    <w:right w:val="none" w:sz="0" w:space="0" w:color="auto"/>
                                  </w:divBdr>
                                  <w:divsChild>
                                    <w:div w:id="320744601">
                                      <w:marLeft w:val="0"/>
                                      <w:marRight w:val="0"/>
                                      <w:marTop w:val="0"/>
                                      <w:marBottom w:val="0"/>
                                      <w:divBdr>
                                        <w:top w:val="single" w:sz="4" w:space="0" w:color="F5F5F5"/>
                                        <w:left w:val="single" w:sz="4" w:space="0" w:color="F5F5F5"/>
                                        <w:bottom w:val="single" w:sz="4" w:space="0" w:color="F5F5F5"/>
                                        <w:right w:val="single" w:sz="4" w:space="0" w:color="F5F5F5"/>
                                      </w:divBdr>
                                      <w:divsChild>
                                        <w:div w:id="27873389">
                                          <w:marLeft w:val="0"/>
                                          <w:marRight w:val="0"/>
                                          <w:marTop w:val="0"/>
                                          <w:marBottom w:val="0"/>
                                          <w:divBdr>
                                            <w:top w:val="none" w:sz="0" w:space="0" w:color="auto"/>
                                            <w:left w:val="none" w:sz="0" w:space="0" w:color="auto"/>
                                            <w:bottom w:val="none" w:sz="0" w:space="0" w:color="auto"/>
                                            <w:right w:val="none" w:sz="0" w:space="0" w:color="auto"/>
                                          </w:divBdr>
                                          <w:divsChild>
                                            <w:div w:id="1381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06193771">
      <w:bodyDiv w:val="1"/>
      <w:marLeft w:val="0"/>
      <w:marRight w:val="0"/>
      <w:marTop w:val="0"/>
      <w:marBottom w:val="0"/>
      <w:divBdr>
        <w:top w:val="none" w:sz="0" w:space="0" w:color="auto"/>
        <w:left w:val="none" w:sz="0" w:space="0" w:color="auto"/>
        <w:bottom w:val="none" w:sz="0" w:space="0" w:color="auto"/>
        <w:right w:val="none" w:sz="0" w:space="0" w:color="auto"/>
      </w:divBdr>
      <w:divsChild>
        <w:div w:id="496850580">
          <w:marLeft w:val="0"/>
          <w:marRight w:val="0"/>
          <w:marTop w:val="0"/>
          <w:marBottom w:val="0"/>
          <w:divBdr>
            <w:top w:val="none" w:sz="0" w:space="0" w:color="auto"/>
            <w:left w:val="none" w:sz="0" w:space="0" w:color="auto"/>
            <w:bottom w:val="none" w:sz="0" w:space="0" w:color="auto"/>
            <w:right w:val="none" w:sz="0" w:space="0" w:color="auto"/>
          </w:divBdr>
          <w:divsChild>
            <w:div w:id="948244348">
              <w:marLeft w:val="0"/>
              <w:marRight w:val="0"/>
              <w:marTop w:val="0"/>
              <w:marBottom w:val="0"/>
              <w:divBdr>
                <w:top w:val="none" w:sz="0" w:space="0" w:color="auto"/>
                <w:left w:val="none" w:sz="0" w:space="0" w:color="auto"/>
                <w:bottom w:val="none" w:sz="0" w:space="0" w:color="auto"/>
                <w:right w:val="none" w:sz="0" w:space="0" w:color="auto"/>
              </w:divBdr>
              <w:divsChild>
                <w:div w:id="885603347">
                  <w:marLeft w:val="0"/>
                  <w:marRight w:val="0"/>
                  <w:marTop w:val="0"/>
                  <w:marBottom w:val="0"/>
                  <w:divBdr>
                    <w:top w:val="none" w:sz="0" w:space="0" w:color="auto"/>
                    <w:left w:val="none" w:sz="0" w:space="0" w:color="auto"/>
                    <w:bottom w:val="none" w:sz="0" w:space="0" w:color="auto"/>
                    <w:right w:val="none" w:sz="0" w:space="0" w:color="auto"/>
                  </w:divBdr>
                  <w:divsChild>
                    <w:div w:id="1955405767">
                      <w:marLeft w:val="0"/>
                      <w:marRight w:val="0"/>
                      <w:marTop w:val="0"/>
                      <w:marBottom w:val="0"/>
                      <w:divBdr>
                        <w:top w:val="none" w:sz="0" w:space="0" w:color="auto"/>
                        <w:left w:val="none" w:sz="0" w:space="0" w:color="auto"/>
                        <w:bottom w:val="none" w:sz="0" w:space="0" w:color="auto"/>
                        <w:right w:val="none" w:sz="0" w:space="0" w:color="auto"/>
                      </w:divBdr>
                      <w:divsChild>
                        <w:div w:id="1913660965">
                          <w:marLeft w:val="0"/>
                          <w:marRight w:val="0"/>
                          <w:marTop w:val="0"/>
                          <w:marBottom w:val="0"/>
                          <w:divBdr>
                            <w:top w:val="none" w:sz="0" w:space="0" w:color="auto"/>
                            <w:left w:val="none" w:sz="0" w:space="0" w:color="auto"/>
                            <w:bottom w:val="none" w:sz="0" w:space="0" w:color="auto"/>
                            <w:right w:val="none" w:sz="0" w:space="0" w:color="auto"/>
                          </w:divBdr>
                          <w:divsChild>
                            <w:div w:id="176235595">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sChild>
                                    <w:div w:id="771054613">
                                      <w:marLeft w:val="0"/>
                                      <w:marRight w:val="0"/>
                                      <w:marTop w:val="0"/>
                                      <w:marBottom w:val="0"/>
                                      <w:divBdr>
                                        <w:top w:val="single" w:sz="8" w:space="0" w:color="F5F5F5"/>
                                        <w:left w:val="single" w:sz="8" w:space="0" w:color="F5F5F5"/>
                                        <w:bottom w:val="single" w:sz="8" w:space="0" w:color="F5F5F5"/>
                                        <w:right w:val="single" w:sz="8" w:space="0" w:color="F5F5F5"/>
                                      </w:divBdr>
                                      <w:divsChild>
                                        <w:div w:id="483090840">
                                          <w:marLeft w:val="0"/>
                                          <w:marRight w:val="0"/>
                                          <w:marTop w:val="0"/>
                                          <w:marBottom w:val="0"/>
                                          <w:divBdr>
                                            <w:top w:val="none" w:sz="0" w:space="0" w:color="auto"/>
                                            <w:left w:val="none" w:sz="0" w:space="0" w:color="auto"/>
                                            <w:bottom w:val="none" w:sz="0" w:space="0" w:color="auto"/>
                                            <w:right w:val="none" w:sz="0" w:space="0" w:color="auto"/>
                                          </w:divBdr>
                                          <w:divsChild>
                                            <w:div w:id="596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594643">
      <w:bodyDiv w:val="1"/>
      <w:marLeft w:val="0"/>
      <w:marRight w:val="0"/>
      <w:marTop w:val="0"/>
      <w:marBottom w:val="0"/>
      <w:divBdr>
        <w:top w:val="none" w:sz="0" w:space="0" w:color="auto"/>
        <w:left w:val="none" w:sz="0" w:space="0" w:color="auto"/>
        <w:bottom w:val="none" w:sz="0" w:space="0" w:color="auto"/>
        <w:right w:val="none" w:sz="0" w:space="0" w:color="auto"/>
      </w:divBdr>
      <w:divsChild>
        <w:div w:id="1955166564">
          <w:marLeft w:val="0"/>
          <w:marRight w:val="0"/>
          <w:marTop w:val="0"/>
          <w:marBottom w:val="0"/>
          <w:divBdr>
            <w:top w:val="none" w:sz="0" w:space="0" w:color="auto"/>
            <w:left w:val="none" w:sz="0" w:space="0" w:color="auto"/>
            <w:bottom w:val="none" w:sz="0" w:space="0" w:color="auto"/>
            <w:right w:val="none" w:sz="0" w:space="0" w:color="auto"/>
          </w:divBdr>
          <w:divsChild>
            <w:div w:id="1275281826">
              <w:marLeft w:val="0"/>
              <w:marRight w:val="0"/>
              <w:marTop w:val="0"/>
              <w:marBottom w:val="0"/>
              <w:divBdr>
                <w:top w:val="none" w:sz="0" w:space="0" w:color="auto"/>
                <w:left w:val="none" w:sz="0" w:space="0" w:color="auto"/>
                <w:bottom w:val="none" w:sz="0" w:space="0" w:color="auto"/>
                <w:right w:val="none" w:sz="0" w:space="0" w:color="auto"/>
              </w:divBdr>
              <w:divsChild>
                <w:div w:id="1508716379">
                  <w:marLeft w:val="0"/>
                  <w:marRight w:val="0"/>
                  <w:marTop w:val="0"/>
                  <w:marBottom w:val="0"/>
                  <w:divBdr>
                    <w:top w:val="none" w:sz="0" w:space="0" w:color="auto"/>
                    <w:left w:val="none" w:sz="0" w:space="0" w:color="auto"/>
                    <w:bottom w:val="none" w:sz="0" w:space="0" w:color="auto"/>
                    <w:right w:val="none" w:sz="0" w:space="0" w:color="auto"/>
                  </w:divBdr>
                  <w:divsChild>
                    <w:div w:id="656080958">
                      <w:marLeft w:val="0"/>
                      <w:marRight w:val="0"/>
                      <w:marTop w:val="0"/>
                      <w:marBottom w:val="0"/>
                      <w:divBdr>
                        <w:top w:val="none" w:sz="0" w:space="0" w:color="auto"/>
                        <w:left w:val="none" w:sz="0" w:space="0" w:color="auto"/>
                        <w:bottom w:val="none" w:sz="0" w:space="0" w:color="auto"/>
                        <w:right w:val="none" w:sz="0" w:space="0" w:color="auto"/>
                      </w:divBdr>
                      <w:divsChild>
                        <w:div w:id="933826752">
                          <w:marLeft w:val="0"/>
                          <w:marRight w:val="0"/>
                          <w:marTop w:val="0"/>
                          <w:marBottom w:val="0"/>
                          <w:divBdr>
                            <w:top w:val="none" w:sz="0" w:space="0" w:color="auto"/>
                            <w:left w:val="none" w:sz="0" w:space="0" w:color="auto"/>
                            <w:bottom w:val="none" w:sz="0" w:space="0" w:color="auto"/>
                            <w:right w:val="none" w:sz="0" w:space="0" w:color="auto"/>
                          </w:divBdr>
                          <w:divsChild>
                            <w:div w:id="335614971">
                              <w:marLeft w:val="0"/>
                              <w:marRight w:val="0"/>
                              <w:marTop w:val="480"/>
                              <w:marBottom w:val="240"/>
                              <w:divBdr>
                                <w:top w:val="none" w:sz="0" w:space="0" w:color="auto"/>
                                <w:left w:val="none" w:sz="0" w:space="0" w:color="auto"/>
                                <w:bottom w:val="none" w:sz="0" w:space="0" w:color="auto"/>
                                <w:right w:val="none" w:sz="0" w:space="0" w:color="auto"/>
                              </w:divBdr>
                            </w:div>
                            <w:div w:id="409840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432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76">
          <w:marLeft w:val="0"/>
          <w:marRight w:val="0"/>
          <w:marTop w:val="0"/>
          <w:marBottom w:val="0"/>
          <w:divBdr>
            <w:top w:val="none" w:sz="0" w:space="0" w:color="auto"/>
            <w:left w:val="none" w:sz="0" w:space="0" w:color="auto"/>
            <w:bottom w:val="none" w:sz="0" w:space="0" w:color="auto"/>
            <w:right w:val="none" w:sz="0" w:space="0" w:color="auto"/>
          </w:divBdr>
          <w:divsChild>
            <w:div w:id="1069769494">
              <w:marLeft w:val="0"/>
              <w:marRight w:val="0"/>
              <w:marTop w:val="0"/>
              <w:marBottom w:val="0"/>
              <w:divBdr>
                <w:top w:val="none" w:sz="0" w:space="0" w:color="auto"/>
                <w:left w:val="none" w:sz="0" w:space="0" w:color="auto"/>
                <w:bottom w:val="none" w:sz="0" w:space="0" w:color="auto"/>
                <w:right w:val="none" w:sz="0" w:space="0" w:color="auto"/>
              </w:divBdr>
              <w:divsChild>
                <w:div w:id="1149594179">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0"/>
                      <w:marRight w:val="0"/>
                      <w:marTop w:val="0"/>
                      <w:marBottom w:val="0"/>
                      <w:divBdr>
                        <w:top w:val="none" w:sz="0" w:space="0" w:color="auto"/>
                        <w:left w:val="none" w:sz="0" w:space="0" w:color="auto"/>
                        <w:bottom w:val="none" w:sz="0" w:space="0" w:color="auto"/>
                        <w:right w:val="none" w:sz="0" w:space="0" w:color="auto"/>
                      </w:divBdr>
                      <w:divsChild>
                        <w:div w:id="1966691520">
                          <w:marLeft w:val="0"/>
                          <w:marRight w:val="0"/>
                          <w:marTop w:val="0"/>
                          <w:marBottom w:val="0"/>
                          <w:divBdr>
                            <w:top w:val="none" w:sz="0" w:space="0" w:color="auto"/>
                            <w:left w:val="none" w:sz="0" w:space="0" w:color="auto"/>
                            <w:bottom w:val="none" w:sz="0" w:space="0" w:color="auto"/>
                            <w:right w:val="none" w:sz="0" w:space="0" w:color="auto"/>
                          </w:divBdr>
                          <w:divsChild>
                            <w:div w:id="745498337">
                              <w:marLeft w:val="0"/>
                              <w:marRight w:val="0"/>
                              <w:marTop w:val="0"/>
                              <w:marBottom w:val="0"/>
                              <w:divBdr>
                                <w:top w:val="none" w:sz="0" w:space="0" w:color="auto"/>
                                <w:left w:val="none" w:sz="0" w:space="0" w:color="auto"/>
                                <w:bottom w:val="none" w:sz="0" w:space="0" w:color="auto"/>
                                <w:right w:val="none" w:sz="0" w:space="0" w:color="auto"/>
                              </w:divBdr>
                              <w:divsChild>
                                <w:div w:id="1836722267">
                                  <w:marLeft w:val="0"/>
                                  <w:marRight w:val="0"/>
                                  <w:marTop w:val="0"/>
                                  <w:marBottom w:val="0"/>
                                  <w:divBdr>
                                    <w:top w:val="none" w:sz="0" w:space="0" w:color="auto"/>
                                    <w:left w:val="none" w:sz="0" w:space="0" w:color="auto"/>
                                    <w:bottom w:val="none" w:sz="0" w:space="0" w:color="auto"/>
                                    <w:right w:val="none" w:sz="0" w:space="0" w:color="auto"/>
                                  </w:divBdr>
                                  <w:divsChild>
                                    <w:div w:id="1355690791">
                                      <w:marLeft w:val="0"/>
                                      <w:marRight w:val="0"/>
                                      <w:marTop w:val="0"/>
                                      <w:marBottom w:val="0"/>
                                      <w:divBdr>
                                        <w:top w:val="single" w:sz="8" w:space="0" w:color="F5F5F5"/>
                                        <w:left w:val="single" w:sz="8" w:space="0" w:color="F5F5F5"/>
                                        <w:bottom w:val="single" w:sz="8" w:space="0" w:color="F5F5F5"/>
                                        <w:right w:val="single" w:sz="8" w:space="0" w:color="F5F5F5"/>
                                      </w:divBdr>
                                      <w:divsChild>
                                        <w:div w:id="120736482">
                                          <w:marLeft w:val="0"/>
                                          <w:marRight w:val="0"/>
                                          <w:marTop w:val="0"/>
                                          <w:marBottom w:val="0"/>
                                          <w:divBdr>
                                            <w:top w:val="none" w:sz="0" w:space="0" w:color="auto"/>
                                            <w:left w:val="none" w:sz="0" w:space="0" w:color="auto"/>
                                            <w:bottom w:val="none" w:sz="0" w:space="0" w:color="auto"/>
                                            <w:right w:val="none" w:sz="0" w:space="0" w:color="auto"/>
                                          </w:divBdr>
                                          <w:divsChild>
                                            <w:div w:id="1889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873538">
      <w:bodyDiv w:val="1"/>
      <w:marLeft w:val="0"/>
      <w:marRight w:val="0"/>
      <w:marTop w:val="0"/>
      <w:marBottom w:val="0"/>
      <w:divBdr>
        <w:top w:val="none" w:sz="0" w:space="0" w:color="auto"/>
        <w:left w:val="none" w:sz="0" w:space="0" w:color="auto"/>
        <w:bottom w:val="none" w:sz="0" w:space="0" w:color="auto"/>
        <w:right w:val="none" w:sz="0" w:space="0" w:color="auto"/>
      </w:divBdr>
      <w:divsChild>
        <w:div w:id="835877821">
          <w:marLeft w:val="0"/>
          <w:marRight w:val="0"/>
          <w:marTop w:val="0"/>
          <w:marBottom w:val="0"/>
          <w:divBdr>
            <w:top w:val="none" w:sz="0" w:space="0" w:color="auto"/>
            <w:left w:val="none" w:sz="0" w:space="0" w:color="auto"/>
            <w:bottom w:val="none" w:sz="0" w:space="0" w:color="auto"/>
            <w:right w:val="none" w:sz="0" w:space="0" w:color="auto"/>
          </w:divBdr>
          <w:divsChild>
            <w:div w:id="1566837975">
              <w:marLeft w:val="0"/>
              <w:marRight w:val="0"/>
              <w:marTop w:val="0"/>
              <w:marBottom w:val="0"/>
              <w:divBdr>
                <w:top w:val="none" w:sz="0" w:space="0" w:color="auto"/>
                <w:left w:val="none" w:sz="0" w:space="0" w:color="auto"/>
                <w:bottom w:val="none" w:sz="0" w:space="0" w:color="auto"/>
                <w:right w:val="none" w:sz="0" w:space="0" w:color="auto"/>
              </w:divBdr>
              <w:divsChild>
                <w:div w:id="1773473315">
                  <w:marLeft w:val="0"/>
                  <w:marRight w:val="0"/>
                  <w:marTop w:val="0"/>
                  <w:marBottom w:val="0"/>
                  <w:divBdr>
                    <w:top w:val="none" w:sz="0" w:space="0" w:color="auto"/>
                    <w:left w:val="none" w:sz="0" w:space="0" w:color="auto"/>
                    <w:bottom w:val="none" w:sz="0" w:space="0" w:color="auto"/>
                    <w:right w:val="none" w:sz="0" w:space="0" w:color="auto"/>
                  </w:divBdr>
                  <w:divsChild>
                    <w:div w:id="556010549">
                      <w:marLeft w:val="0"/>
                      <w:marRight w:val="0"/>
                      <w:marTop w:val="0"/>
                      <w:marBottom w:val="0"/>
                      <w:divBdr>
                        <w:top w:val="none" w:sz="0" w:space="0" w:color="auto"/>
                        <w:left w:val="none" w:sz="0" w:space="0" w:color="auto"/>
                        <w:bottom w:val="none" w:sz="0" w:space="0" w:color="auto"/>
                        <w:right w:val="none" w:sz="0" w:space="0" w:color="auto"/>
                      </w:divBdr>
                      <w:divsChild>
                        <w:div w:id="1119763204">
                          <w:marLeft w:val="0"/>
                          <w:marRight w:val="0"/>
                          <w:marTop w:val="0"/>
                          <w:marBottom w:val="0"/>
                          <w:divBdr>
                            <w:top w:val="none" w:sz="0" w:space="0" w:color="auto"/>
                            <w:left w:val="none" w:sz="0" w:space="0" w:color="auto"/>
                            <w:bottom w:val="none" w:sz="0" w:space="0" w:color="auto"/>
                            <w:right w:val="none" w:sz="0" w:space="0" w:color="auto"/>
                          </w:divBdr>
                          <w:divsChild>
                            <w:div w:id="18462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29025">
      <w:bodyDiv w:val="1"/>
      <w:marLeft w:val="0"/>
      <w:marRight w:val="0"/>
      <w:marTop w:val="0"/>
      <w:marBottom w:val="0"/>
      <w:divBdr>
        <w:top w:val="none" w:sz="0" w:space="0" w:color="auto"/>
        <w:left w:val="none" w:sz="0" w:space="0" w:color="auto"/>
        <w:bottom w:val="none" w:sz="0" w:space="0" w:color="auto"/>
        <w:right w:val="none" w:sz="0" w:space="0" w:color="auto"/>
      </w:divBdr>
      <w:divsChild>
        <w:div w:id="191302892">
          <w:marLeft w:val="0"/>
          <w:marRight w:val="0"/>
          <w:marTop w:val="0"/>
          <w:marBottom w:val="0"/>
          <w:divBdr>
            <w:top w:val="none" w:sz="0" w:space="0" w:color="auto"/>
            <w:left w:val="none" w:sz="0" w:space="0" w:color="auto"/>
            <w:bottom w:val="none" w:sz="0" w:space="0" w:color="auto"/>
            <w:right w:val="none" w:sz="0" w:space="0" w:color="auto"/>
          </w:divBdr>
          <w:divsChild>
            <w:div w:id="228269762">
              <w:marLeft w:val="0"/>
              <w:marRight w:val="0"/>
              <w:marTop w:val="0"/>
              <w:marBottom w:val="0"/>
              <w:divBdr>
                <w:top w:val="none" w:sz="0" w:space="0" w:color="auto"/>
                <w:left w:val="none" w:sz="0" w:space="0" w:color="auto"/>
                <w:bottom w:val="none" w:sz="0" w:space="0" w:color="auto"/>
                <w:right w:val="none" w:sz="0" w:space="0" w:color="auto"/>
              </w:divBdr>
              <w:divsChild>
                <w:div w:id="412746369">
                  <w:marLeft w:val="0"/>
                  <w:marRight w:val="0"/>
                  <w:marTop w:val="0"/>
                  <w:marBottom w:val="0"/>
                  <w:divBdr>
                    <w:top w:val="none" w:sz="0" w:space="0" w:color="auto"/>
                    <w:left w:val="none" w:sz="0" w:space="0" w:color="auto"/>
                    <w:bottom w:val="none" w:sz="0" w:space="0" w:color="auto"/>
                    <w:right w:val="none" w:sz="0" w:space="0" w:color="auto"/>
                  </w:divBdr>
                  <w:divsChild>
                    <w:div w:id="1929801323">
                      <w:marLeft w:val="0"/>
                      <w:marRight w:val="0"/>
                      <w:marTop w:val="0"/>
                      <w:marBottom w:val="0"/>
                      <w:divBdr>
                        <w:top w:val="none" w:sz="0" w:space="0" w:color="auto"/>
                        <w:left w:val="none" w:sz="0" w:space="0" w:color="auto"/>
                        <w:bottom w:val="none" w:sz="0" w:space="0" w:color="auto"/>
                        <w:right w:val="none" w:sz="0" w:space="0" w:color="auto"/>
                      </w:divBdr>
                      <w:divsChild>
                        <w:div w:id="674844080">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0"/>
                              <w:marRight w:val="0"/>
                              <w:marTop w:val="0"/>
                              <w:marBottom w:val="0"/>
                              <w:divBdr>
                                <w:top w:val="none" w:sz="0" w:space="0" w:color="auto"/>
                                <w:left w:val="none" w:sz="0" w:space="0" w:color="auto"/>
                                <w:bottom w:val="none" w:sz="0" w:space="0" w:color="auto"/>
                                <w:right w:val="none" w:sz="0" w:space="0" w:color="auto"/>
                              </w:divBdr>
                              <w:divsChild>
                                <w:div w:id="1880431246">
                                  <w:marLeft w:val="0"/>
                                  <w:marRight w:val="0"/>
                                  <w:marTop w:val="0"/>
                                  <w:marBottom w:val="0"/>
                                  <w:divBdr>
                                    <w:top w:val="none" w:sz="0" w:space="0" w:color="auto"/>
                                    <w:left w:val="none" w:sz="0" w:space="0" w:color="auto"/>
                                    <w:bottom w:val="none" w:sz="0" w:space="0" w:color="auto"/>
                                    <w:right w:val="none" w:sz="0" w:space="0" w:color="auto"/>
                                  </w:divBdr>
                                  <w:divsChild>
                                    <w:div w:id="1527789304">
                                      <w:marLeft w:val="0"/>
                                      <w:marRight w:val="0"/>
                                      <w:marTop w:val="0"/>
                                      <w:marBottom w:val="0"/>
                                      <w:divBdr>
                                        <w:top w:val="single" w:sz="8" w:space="0" w:color="F5F5F5"/>
                                        <w:left w:val="single" w:sz="8" w:space="0" w:color="F5F5F5"/>
                                        <w:bottom w:val="single" w:sz="8" w:space="0" w:color="F5F5F5"/>
                                        <w:right w:val="single" w:sz="8" w:space="0" w:color="F5F5F5"/>
                                      </w:divBdr>
                                      <w:divsChild>
                                        <w:div w:id="684287919">
                                          <w:marLeft w:val="0"/>
                                          <w:marRight w:val="0"/>
                                          <w:marTop w:val="0"/>
                                          <w:marBottom w:val="0"/>
                                          <w:divBdr>
                                            <w:top w:val="none" w:sz="0" w:space="0" w:color="auto"/>
                                            <w:left w:val="none" w:sz="0" w:space="0" w:color="auto"/>
                                            <w:bottom w:val="none" w:sz="0" w:space="0" w:color="auto"/>
                                            <w:right w:val="none" w:sz="0" w:space="0" w:color="auto"/>
                                          </w:divBdr>
                                          <w:divsChild>
                                            <w:div w:id="1670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18413">
      <w:bodyDiv w:val="1"/>
      <w:marLeft w:val="0"/>
      <w:marRight w:val="0"/>
      <w:marTop w:val="0"/>
      <w:marBottom w:val="0"/>
      <w:divBdr>
        <w:top w:val="none" w:sz="0" w:space="0" w:color="auto"/>
        <w:left w:val="none" w:sz="0" w:space="0" w:color="auto"/>
        <w:bottom w:val="none" w:sz="0" w:space="0" w:color="auto"/>
        <w:right w:val="none" w:sz="0" w:space="0" w:color="auto"/>
      </w:divBdr>
      <w:divsChild>
        <w:div w:id="463542672">
          <w:marLeft w:val="0"/>
          <w:marRight w:val="0"/>
          <w:marTop w:val="0"/>
          <w:marBottom w:val="0"/>
          <w:divBdr>
            <w:top w:val="none" w:sz="0" w:space="0" w:color="auto"/>
            <w:left w:val="none" w:sz="0" w:space="0" w:color="auto"/>
            <w:bottom w:val="none" w:sz="0" w:space="0" w:color="auto"/>
            <w:right w:val="none" w:sz="0" w:space="0" w:color="auto"/>
          </w:divBdr>
          <w:divsChild>
            <w:div w:id="1367025417">
              <w:marLeft w:val="0"/>
              <w:marRight w:val="0"/>
              <w:marTop w:val="0"/>
              <w:marBottom w:val="0"/>
              <w:divBdr>
                <w:top w:val="none" w:sz="0" w:space="0" w:color="auto"/>
                <w:left w:val="none" w:sz="0" w:space="0" w:color="auto"/>
                <w:bottom w:val="none" w:sz="0" w:space="0" w:color="auto"/>
                <w:right w:val="none" w:sz="0" w:space="0" w:color="auto"/>
              </w:divBdr>
              <w:divsChild>
                <w:div w:id="1675034923">
                  <w:marLeft w:val="0"/>
                  <w:marRight w:val="0"/>
                  <w:marTop w:val="0"/>
                  <w:marBottom w:val="0"/>
                  <w:divBdr>
                    <w:top w:val="none" w:sz="0" w:space="0" w:color="auto"/>
                    <w:left w:val="none" w:sz="0" w:space="0" w:color="auto"/>
                    <w:bottom w:val="none" w:sz="0" w:space="0" w:color="auto"/>
                    <w:right w:val="none" w:sz="0" w:space="0" w:color="auto"/>
                  </w:divBdr>
                  <w:divsChild>
                    <w:div w:id="8873343">
                      <w:marLeft w:val="0"/>
                      <w:marRight w:val="0"/>
                      <w:marTop w:val="0"/>
                      <w:marBottom w:val="0"/>
                      <w:divBdr>
                        <w:top w:val="none" w:sz="0" w:space="0" w:color="auto"/>
                        <w:left w:val="none" w:sz="0" w:space="0" w:color="auto"/>
                        <w:bottom w:val="none" w:sz="0" w:space="0" w:color="auto"/>
                        <w:right w:val="none" w:sz="0" w:space="0" w:color="auto"/>
                      </w:divBdr>
                      <w:divsChild>
                        <w:div w:id="923874301">
                          <w:marLeft w:val="0"/>
                          <w:marRight w:val="0"/>
                          <w:marTop w:val="0"/>
                          <w:marBottom w:val="0"/>
                          <w:divBdr>
                            <w:top w:val="none" w:sz="0" w:space="0" w:color="auto"/>
                            <w:left w:val="none" w:sz="0" w:space="0" w:color="auto"/>
                            <w:bottom w:val="none" w:sz="0" w:space="0" w:color="auto"/>
                            <w:right w:val="none" w:sz="0" w:space="0" w:color="auto"/>
                          </w:divBdr>
                          <w:divsChild>
                            <w:div w:id="496582685">
                              <w:marLeft w:val="0"/>
                              <w:marRight w:val="0"/>
                              <w:marTop w:val="0"/>
                              <w:marBottom w:val="0"/>
                              <w:divBdr>
                                <w:top w:val="none" w:sz="0" w:space="0" w:color="auto"/>
                                <w:left w:val="none" w:sz="0" w:space="0" w:color="auto"/>
                                <w:bottom w:val="none" w:sz="0" w:space="0" w:color="auto"/>
                                <w:right w:val="none" w:sz="0" w:space="0" w:color="auto"/>
                              </w:divBdr>
                              <w:divsChild>
                                <w:div w:id="2043822535">
                                  <w:marLeft w:val="0"/>
                                  <w:marRight w:val="0"/>
                                  <w:marTop w:val="0"/>
                                  <w:marBottom w:val="0"/>
                                  <w:divBdr>
                                    <w:top w:val="none" w:sz="0" w:space="0" w:color="auto"/>
                                    <w:left w:val="none" w:sz="0" w:space="0" w:color="auto"/>
                                    <w:bottom w:val="none" w:sz="0" w:space="0" w:color="auto"/>
                                    <w:right w:val="none" w:sz="0" w:space="0" w:color="auto"/>
                                  </w:divBdr>
                                  <w:divsChild>
                                    <w:div w:id="682249922">
                                      <w:marLeft w:val="0"/>
                                      <w:marRight w:val="0"/>
                                      <w:marTop w:val="0"/>
                                      <w:marBottom w:val="0"/>
                                      <w:divBdr>
                                        <w:top w:val="single" w:sz="8" w:space="0" w:color="F5F5F5"/>
                                        <w:left w:val="single" w:sz="8" w:space="0" w:color="F5F5F5"/>
                                        <w:bottom w:val="single" w:sz="8" w:space="0" w:color="F5F5F5"/>
                                        <w:right w:val="single" w:sz="8" w:space="0" w:color="F5F5F5"/>
                                      </w:divBdr>
                                      <w:divsChild>
                                        <w:div w:id="1513686314">
                                          <w:marLeft w:val="0"/>
                                          <w:marRight w:val="0"/>
                                          <w:marTop w:val="0"/>
                                          <w:marBottom w:val="0"/>
                                          <w:divBdr>
                                            <w:top w:val="none" w:sz="0" w:space="0" w:color="auto"/>
                                            <w:left w:val="none" w:sz="0" w:space="0" w:color="auto"/>
                                            <w:bottom w:val="none" w:sz="0" w:space="0" w:color="auto"/>
                                            <w:right w:val="none" w:sz="0" w:space="0" w:color="auto"/>
                                          </w:divBdr>
                                          <w:divsChild>
                                            <w:div w:id="1488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6589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99">
          <w:marLeft w:val="0"/>
          <w:marRight w:val="0"/>
          <w:marTop w:val="0"/>
          <w:marBottom w:val="0"/>
          <w:divBdr>
            <w:top w:val="none" w:sz="0" w:space="0" w:color="auto"/>
            <w:left w:val="none" w:sz="0" w:space="0" w:color="auto"/>
            <w:bottom w:val="none" w:sz="0" w:space="0" w:color="auto"/>
            <w:right w:val="none" w:sz="0" w:space="0" w:color="auto"/>
          </w:divBdr>
          <w:divsChild>
            <w:div w:id="231087813">
              <w:marLeft w:val="0"/>
              <w:marRight w:val="0"/>
              <w:marTop w:val="0"/>
              <w:marBottom w:val="0"/>
              <w:divBdr>
                <w:top w:val="none" w:sz="0" w:space="0" w:color="auto"/>
                <w:left w:val="none" w:sz="0" w:space="0" w:color="auto"/>
                <w:bottom w:val="none" w:sz="0" w:space="0" w:color="auto"/>
                <w:right w:val="none" w:sz="0" w:space="0" w:color="auto"/>
              </w:divBdr>
              <w:divsChild>
                <w:div w:id="1593199862">
                  <w:marLeft w:val="0"/>
                  <w:marRight w:val="0"/>
                  <w:marTop w:val="0"/>
                  <w:marBottom w:val="0"/>
                  <w:divBdr>
                    <w:top w:val="none" w:sz="0" w:space="0" w:color="auto"/>
                    <w:left w:val="none" w:sz="0" w:space="0" w:color="auto"/>
                    <w:bottom w:val="none" w:sz="0" w:space="0" w:color="auto"/>
                    <w:right w:val="none" w:sz="0" w:space="0" w:color="auto"/>
                  </w:divBdr>
                  <w:divsChild>
                    <w:div w:id="507448597">
                      <w:marLeft w:val="0"/>
                      <w:marRight w:val="0"/>
                      <w:marTop w:val="0"/>
                      <w:marBottom w:val="0"/>
                      <w:divBdr>
                        <w:top w:val="none" w:sz="0" w:space="0" w:color="auto"/>
                        <w:left w:val="none" w:sz="0" w:space="0" w:color="auto"/>
                        <w:bottom w:val="none" w:sz="0" w:space="0" w:color="auto"/>
                        <w:right w:val="none" w:sz="0" w:space="0" w:color="auto"/>
                      </w:divBdr>
                      <w:divsChild>
                        <w:div w:id="775029230">
                          <w:marLeft w:val="0"/>
                          <w:marRight w:val="0"/>
                          <w:marTop w:val="0"/>
                          <w:marBottom w:val="0"/>
                          <w:divBdr>
                            <w:top w:val="none" w:sz="0" w:space="0" w:color="auto"/>
                            <w:left w:val="none" w:sz="0" w:space="0" w:color="auto"/>
                            <w:bottom w:val="none" w:sz="0" w:space="0" w:color="auto"/>
                            <w:right w:val="none" w:sz="0" w:space="0" w:color="auto"/>
                          </w:divBdr>
                          <w:divsChild>
                            <w:div w:id="1089733830">
                              <w:marLeft w:val="0"/>
                              <w:marRight w:val="0"/>
                              <w:marTop w:val="0"/>
                              <w:marBottom w:val="0"/>
                              <w:divBdr>
                                <w:top w:val="none" w:sz="0" w:space="0" w:color="auto"/>
                                <w:left w:val="none" w:sz="0" w:space="0" w:color="auto"/>
                                <w:bottom w:val="none" w:sz="0" w:space="0" w:color="auto"/>
                                <w:right w:val="none" w:sz="0" w:space="0" w:color="auto"/>
                              </w:divBdr>
                              <w:divsChild>
                                <w:div w:id="592780592">
                                  <w:marLeft w:val="0"/>
                                  <w:marRight w:val="0"/>
                                  <w:marTop w:val="0"/>
                                  <w:marBottom w:val="0"/>
                                  <w:divBdr>
                                    <w:top w:val="none" w:sz="0" w:space="0" w:color="auto"/>
                                    <w:left w:val="none" w:sz="0" w:space="0" w:color="auto"/>
                                    <w:bottom w:val="none" w:sz="0" w:space="0" w:color="auto"/>
                                    <w:right w:val="none" w:sz="0" w:space="0" w:color="auto"/>
                                  </w:divBdr>
                                  <w:divsChild>
                                    <w:div w:id="436684078">
                                      <w:marLeft w:val="0"/>
                                      <w:marRight w:val="0"/>
                                      <w:marTop w:val="0"/>
                                      <w:marBottom w:val="0"/>
                                      <w:divBdr>
                                        <w:top w:val="single" w:sz="8" w:space="0" w:color="F5F5F5"/>
                                        <w:left w:val="single" w:sz="8" w:space="0" w:color="F5F5F5"/>
                                        <w:bottom w:val="single" w:sz="8" w:space="0" w:color="F5F5F5"/>
                                        <w:right w:val="single" w:sz="8" w:space="0" w:color="F5F5F5"/>
                                      </w:divBdr>
                                      <w:divsChild>
                                        <w:div w:id="513618708">
                                          <w:marLeft w:val="0"/>
                                          <w:marRight w:val="0"/>
                                          <w:marTop w:val="0"/>
                                          <w:marBottom w:val="0"/>
                                          <w:divBdr>
                                            <w:top w:val="none" w:sz="0" w:space="0" w:color="auto"/>
                                            <w:left w:val="none" w:sz="0" w:space="0" w:color="auto"/>
                                            <w:bottom w:val="none" w:sz="0" w:space="0" w:color="auto"/>
                                            <w:right w:val="none" w:sz="0" w:space="0" w:color="auto"/>
                                          </w:divBdr>
                                          <w:divsChild>
                                            <w:div w:id="109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956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75">
          <w:marLeft w:val="0"/>
          <w:marRight w:val="0"/>
          <w:marTop w:val="0"/>
          <w:marBottom w:val="0"/>
          <w:divBdr>
            <w:top w:val="none" w:sz="0" w:space="0" w:color="auto"/>
            <w:left w:val="none" w:sz="0" w:space="0" w:color="auto"/>
            <w:bottom w:val="none" w:sz="0" w:space="0" w:color="auto"/>
            <w:right w:val="none" w:sz="0" w:space="0" w:color="auto"/>
          </w:divBdr>
          <w:divsChild>
            <w:div w:id="1632007099">
              <w:marLeft w:val="0"/>
              <w:marRight w:val="0"/>
              <w:marTop w:val="0"/>
              <w:marBottom w:val="0"/>
              <w:divBdr>
                <w:top w:val="none" w:sz="0" w:space="0" w:color="auto"/>
                <w:left w:val="none" w:sz="0" w:space="0" w:color="auto"/>
                <w:bottom w:val="none" w:sz="0" w:space="0" w:color="auto"/>
                <w:right w:val="none" w:sz="0" w:space="0" w:color="auto"/>
              </w:divBdr>
              <w:divsChild>
                <w:div w:id="1862668642">
                  <w:marLeft w:val="0"/>
                  <w:marRight w:val="0"/>
                  <w:marTop w:val="0"/>
                  <w:marBottom w:val="0"/>
                  <w:divBdr>
                    <w:top w:val="none" w:sz="0" w:space="0" w:color="auto"/>
                    <w:left w:val="none" w:sz="0" w:space="0" w:color="auto"/>
                    <w:bottom w:val="none" w:sz="0" w:space="0" w:color="auto"/>
                    <w:right w:val="none" w:sz="0" w:space="0" w:color="auto"/>
                  </w:divBdr>
                  <w:divsChild>
                    <w:div w:id="860894668">
                      <w:marLeft w:val="0"/>
                      <w:marRight w:val="0"/>
                      <w:marTop w:val="0"/>
                      <w:marBottom w:val="0"/>
                      <w:divBdr>
                        <w:top w:val="none" w:sz="0" w:space="0" w:color="auto"/>
                        <w:left w:val="none" w:sz="0" w:space="0" w:color="auto"/>
                        <w:bottom w:val="none" w:sz="0" w:space="0" w:color="auto"/>
                        <w:right w:val="none" w:sz="0" w:space="0" w:color="auto"/>
                      </w:divBdr>
                      <w:divsChild>
                        <w:div w:id="430200976">
                          <w:marLeft w:val="0"/>
                          <w:marRight w:val="0"/>
                          <w:marTop w:val="0"/>
                          <w:marBottom w:val="0"/>
                          <w:divBdr>
                            <w:top w:val="none" w:sz="0" w:space="0" w:color="auto"/>
                            <w:left w:val="none" w:sz="0" w:space="0" w:color="auto"/>
                            <w:bottom w:val="none" w:sz="0" w:space="0" w:color="auto"/>
                            <w:right w:val="none" w:sz="0" w:space="0" w:color="auto"/>
                          </w:divBdr>
                          <w:divsChild>
                            <w:div w:id="422839914">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0"/>
                                  <w:marRight w:val="0"/>
                                  <w:marTop w:val="0"/>
                                  <w:marBottom w:val="0"/>
                                  <w:divBdr>
                                    <w:top w:val="none" w:sz="0" w:space="0" w:color="auto"/>
                                    <w:left w:val="none" w:sz="0" w:space="0" w:color="auto"/>
                                    <w:bottom w:val="none" w:sz="0" w:space="0" w:color="auto"/>
                                    <w:right w:val="none" w:sz="0" w:space="0" w:color="auto"/>
                                  </w:divBdr>
                                  <w:divsChild>
                                    <w:div w:id="1972323795">
                                      <w:marLeft w:val="0"/>
                                      <w:marRight w:val="0"/>
                                      <w:marTop w:val="0"/>
                                      <w:marBottom w:val="0"/>
                                      <w:divBdr>
                                        <w:top w:val="single" w:sz="8" w:space="0" w:color="F5F5F5"/>
                                        <w:left w:val="single" w:sz="8" w:space="0" w:color="F5F5F5"/>
                                        <w:bottom w:val="single" w:sz="8" w:space="0" w:color="F5F5F5"/>
                                        <w:right w:val="single" w:sz="8" w:space="0" w:color="F5F5F5"/>
                                      </w:divBdr>
                                      <w:divsChild>
                                        <w:div w:id="677199269">
                                          <w:marLeft w:val="0"/>
                                          <w:marRight w:val="0"/>
                                          <w:marTop w:val="0"/>
                                          <w:marBottom w:val="0"/>
                                          <w:divBdr>
                                            <w:top w:val="none" w:sz="0" w:space="0" w:color="auto"/>
                                            <w:left w:val="none" w:sz="0" w:space="0" w:color="auto"/>
                                            <w:bottom w:val="none" w:sz="0" w:space="0" w:color="auto"/>
                                            <w:right w:val="none" w:sz="0" w:space="0" w:color="auto"/>
                                          </w:divBdr>
                                          <w:divsChild>
                                            <w:div w:id="1462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133319">
      <w:bodyDiv w:val="1"/>
      <w:marLeft w:val="0"/>
      <w:marRight w:val="0"/>
      <w:marTop w:val="0"/>
      <w:marBottom w:val="0"/>
      <w:divBdr>
        <w:top w:val="none" w:sz="0" w:space="0" w:color="auto"/>
        <w:left w:val="none" w:sz="0" w:space="0" w:color="auto"/>
        <w:bottom w:val="none" w:sz="0" w:space="0" w:color="auto"/>
        <w:right w:val="none" w:sz="0" w:space="0" w:color="auto"/>
      </w:divBdr>
      <w:divsChild>
        <w:div w:id="347370620">
          <w:marLeft w:val="0"/>
          <w:marRight w:val="0"/>
          <w:marTop w:val="0"/>
          <w:marBottom w:val="0"/>
          <w:divBdr>
            <w:top w:val="none" w:sz="0" w:space="0" w:color="auto"/>
            <w:left w:val="none" w:sz="0" w:space="0" w:color="auto"/>
            <w:bottom w:val="none" w:sz="0" w:space="0" w:color="auto"/>
            <w:right w:val="none" w:sz="0" w:space="0" w:color="auto"/>
          </w:divBdr>
          <w:divsChild>
            <w:div w:id="1577939720">
              <w:marLeft w:val="0"/>
              <w:marRight w:val="0"/>
              <w:marTop w:val="0"/>
              <w:marBottom w:val="0"/>
              <w:divBdr>
                <w:top w:val="none" w:sz="0" w:space="0" w:color="auto"/>
                <w:left w:val="none" w:sz="0" w:space="0" w:color="auto"/>
                <w:bottom w:val="none" w:sz="0" w:space="0" w:color="auto"/>
                <w:right w:val="none" w:sz="0" w:space="0" w:color="auto"/>
              </w:divBdr>
              <w:divsChild>
                <w:div w:id="1474709722">
                  <w:marLeft w:val="0"/>
                  <w:marRight w:val="0"/>
                  <w:marTop w:val="0"/>
                  <w:marBottom w:val="0"/>
                  <w:divBdr>
                    <w:top w:val="none" w:sz="0" w:space="0" w:color="auto"/>
                    <w:left w:val="none" w:sz="0" w:space="0" w:color="auto"/>
                    <w:bottom w:val="none" w:sz="0" w:space="0" w:color="auto"/>
                    <w:right w:val="none" w:sz="0" w:space="0" w:color="auto"/>
                  </w:divBdr>
                  <w:divsChild>
                    <w:div w:id="1947690967">
                      <w:marLeft w:val="0"/>
                      <w:marRight w:val="0"/>
                      <w:marTop w:val="0"/>
                      <w:marBottom w:val="0"/>
                      <w:divBdr>
                        <w:top w:val="none" w:sz="0" w:space="0" w:color="auto"/>
                        <w:left w:val="none" w:sz="0" w:space="0" w:color="auto"/>
                        <w:bottom w:val="none" w:sz="0" w:space="0" w:color="auto"/>
                        <w:right w:val="none" w:sz="0" w:space="0" w:color="auto"/>
                      </w:divBdr>
                      <w:divsChild>
                        <w:div w:id="1669408327">
                          <w:marLeft w:val="0"/>
                          <w:marRight w:val="0"/>
                          <w:marTop w:val="0"/>
                          <w:marBottom w:val="0"/>
                          <w:divBdr>
                            <w:top w:val="none" w:sz="0" w:space="0" w:color="auto"/>
                            <w:left w:val="none" w:sz="0" w:space="0" w:color="auto"/>
                            <w:bottom w:val="none" w:sz="0" w:space="0" w:color="auto"/>
                            <w:right w:val="none" w:sz="0" w:space="0" w:color="auto"/>
                          </w:divBdr>
                          <w:divsChild>
                            <w:div w:id="317001778">
                              <w:marLeft w:val="0"/>
                              <w:marRight w:val="0"/>
                              <w:marTop w:val="0"/>
                              <w:marBottom w:val="0"/>
                              <w:divBdr>
                                <w:top w:val="none" w:sz="0" w:space="0" w:color="auto"/>
                                <w:left w:val="none" w:sz="0" w:space="0" w:color="auto"/>
                                <w:bottom w:val="none" w:sz="0" w:space="0" w:color="auto"/>
                                <w:right w:val="none" w:sz="0" w:space="0" w:color="auto"/>
                              </w:divBdr>
                              <w:divsChild>
                                <w:div w:id="1033699695">
                                  <w:marLeft w:val="0"/>
                                  <w:marRight w:val="0"/>
                                  <w:marTop w:val="0"/>
                                  <w:marBottom w:val="0"/>
                                  <w:divBdr>
                                    <w:top w:val="none" w:sz="0" w:space="0" w:color="auto"/>
                                    <w:left w:val="none" w:sz="0" w:space="0" w:color="auto"/>
                                    <w:bottom w:val="none" w:sz="0" w:space="0" w:color="auto"/>
                                    <w:right w:val="none" w:sz="0" w:space="0" w:color="auto"/>
                                  </w:divBdr>
                                  <w:divsChild>
                                    <w:div w:id="1597058626">
                                      <w:marLeft w:val="0"/>
                                      <w:marRight w:val="0"/>
                                      <w:marTop w:val="0"/>
                                      <w:marBottom w:val="0"/>
                                      <w:divBdr>
                                        <w:top w:val="single" w:sz="8" w:space="0" w:color="F5F5F5"/>
                                        <w:left w:val="single" w:sz="8" w:space="0" w:color="F5F5F5"/>
                                        <w:bottom w:val="single" w:sz="8" w:space="0" w:color="F5F5F5"/>
                                        <w:right w:val="single" w:sz="8" w:space="0" w:color="F5F5F5"/>
                                      </w:divBdr>
                                      <w:divsChild>
                                        <w:div w:id="15734975">
                                          <w:marLeft w:val="0"/>
                                          <w:marRight w:val="0"/>
                                          <w:marTop w:val="0"/>
                                          <w:marBottom w:val="0"/>
                                          <w:divBdr>
                                            <w:top w:val="none" w:sz="0" w:space="0" w:color="auto"/>
                                            <w:left w:val="none" w:sz="0" w:space="0" w:color="auto"/>
                                            <w:bottom w:val="none" w:sz="0" w:space="0" w:color="auto"/>
                                            <w:right w:val="none" w:sz="0" w:space="0" w:color="auto"/>
                                          </w:divBdr>
                                          <w:divsChild>
                                            <w:div w:id="2119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 w:id="20242858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891">
          <w:marLeft w:val="0"/>
          <w:marRight w:val="0"/>
          <w:marTop w:val="0"/>
          <w:marBottom w:val="0"/>
          <w:divBdr>
            <w:top w:val="none" w:sz="0" w:space="0" w:color="auto"/>
            <w:left w:val="none" w:sz="0" w:space="0" w:color="auto"/>
            <w:bottom w:val="none" w:sz="0" w:space="0" w:color="auto"/>
            <w:right w:val="none" w:sz="0" w:space="0" w:color="auto"/>
          </w:divBdr>
          <w:divsChild>
            <w:div w:id="501120201">
              <w:marLeft w:val="0"/>
              <w:marRight w:val="0"/>
              <w:marTop w:val="0"/>
              <w:marBottom w:val="0"/>
              <w:divBdr>
                <w:top w:val="none" w:sz="0" w:space="0" w:color="auto"/>
                <w:left w:val="none" w:sz="0" w:space="0" w:color="auto"/>
                <w:bottom w:val="none" w:sz="0" w:space="0" w:color="auto"/>
                <w:right w:val="none" w:sz="0" w:space="0" w:color="auto"/>
              </w:divBdr>
              <w:divsChild>
                <w:div w:id="1050180607">
                  <w:marLeft w:val="0"/>
                  <w:marRight w:val="0"/>
                  <w:marTop w:val="0"/>
                  <w:marBottom w:val="0"/>
                  <w:divBdr>
                    <w:top w:val="none" w:sz="0" w:space="0" w:color="auto"/>
                    <w:left w:val="none" w:sz="0" w:space="0" w:color="auto"/>
                    <w:bottom w:val="none" w:sz="0" w:space="0" w:color="auto"/>
                    <w:right w:val="none" w:sz="0" w:space="0" w:color="auto"/>
                  </w:divBdr>
                  <w:divsChild>
                    <w:div w:id="1476994923">
                      <w:marLeft w:val="0"/>
                      <w:marRight w:val="0"/>
                      <w:marTop w:val="0"/>
                      <w:marBottom w:val="0"/>
                      <w:divBdr>
                        <w:top w:val="none" w:sz="0" w:space="0" w:color="auto"/>
                        <w:left w:val="none" w:sz="0" w:space="0" w:color="auto"/>
                        <w:bottom w:val="none" w:sz="0" w:space="0" w:color="auto"/>
                        <w:right w:val="none" w:sz="0" w:space="0" w:color="auto"/>
                      </w:divBdr>
                      <w:divsChild>
                        <w:div w:id="1669600553">
                          <w:marLeft w:val="0"/>
                          <w:marRight w:val="0"/>
                          <w:marTop w:val="0"/>
                          <w:marBottom w:val="0"/>
                          <w:divBdr>
                            <w:top w:val="none" w:sz="0" w:space="0" w:color="auto"/>
                            <w:left w:val="none" w:sz="0" w:space="0" w:color="auto"/>
                            <w:bottom w:val="none" w:sz="0" w:space="0" w:color="auto"/>
                            <w:right w:val="none" w:sz="0" w:space="0" w:color="auto"/>
                          </w:divBdr>
                          <w:divsChild>
                            <w:div w:id="524749677">
                              <w:marLeft w:val="0"/>
                              <w:marRight w:val="0"/>
                              <w:marTop w:val="0"/>
                              <w:marBottom w:val="0"/>
                              <w:divBdr>
                                <w:top w:val="none" w:sz="0" w:space="0" w:color="auto"/>
                                <w:left w:val="none" w:sz="0" w:space="0" w:color="auto"/>
                                <w:bottom w:val="none" w:sz="0" w:space="0" w:color="auto"/>
                                <w:right w:val="none" w:sz="0" w:space="0" w:color="auto"/>
                              </w:divBdr>
                              <w:divsChild>
                                <w:div w:id="243610892">
                                  <w:marLeft w:val="0"/>
                                  <w:marRight w:val="0"/>
                                  <w:marTop w:val="0"/>
                                  <w:marBottom w:val="0"/>
                                  <w:divBdr>
                                    <w:top w:val="none" w:sz="0" w:space="0" w:color="auto"/>
                                    <w:left w:val="none" w:sz="0" w:space="0" w:color="auto"/>
                                    <w:bottom w:val="none" w:sz="0" w:space="0" w:color="auto"/>
                                    <w:right w:val="none" w:sz="0" w:space="0" w:color="auto"/>
                                  </w:divBdr>
                                  <w:divsChild>
                                    <w:div w:id="726104697">
                                      <w:marLeft w:val="0"/>
                                      <w:marRight w:val="0"/>
                                      <w:marTop w:val="0"/>
                                      <w:marBottom w:val="0"/>
                                      <w:divBdr>
                                        <w:top w:val="single" w:sz="6" w:space="0" w:color="F5F5F5"/>
                                        <w:left w:val="single" w:sz="6" w:space="0" w:color="F5F5F5"/>
                                        <w:bottom w:val="single" w:sz="6" w:space="0" w:color="F5F5F5"/>
                                        <w:right w:val="single" w:sz="6" w:space="0" w:color="F5F5F5"/>
                                      </w:divBdr>
                                      <w:divsChild>
                                        <w:div w:id="1440951931">
                                          <w:marLeft w:val="0"/>
                                          <w:marRight w:val="0"/>
                                          <w:marTop w:val="0"/>
                                          <w:marBottom w:val="0"/>
                                          <w:divBdr>
                                            <w:top w:val="none" w:sz="0" w:space="0" w:color="auto"/>
                                            <w:left w:val="none" w:sz="0" w:space="0" w:color="auto"/>
                                            <w:bottom w:val="none" w:sz="0" w:space="0" w:color="auto"/>
                                            <w:right w:val="none" w:sz="0" w:space="0" w:color="auto"/>
                                          </w:divBdr>
                                          <w:divsChild>
                                            <w:div w:id="1454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files/counterf_par_trade/plann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una.Mac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8BFD-8C63-4A26-AFBB-90E041E1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6179</Words>
  <Characters>35225</Characters>
  <Application>Microsoft Office Word</Application>
  <DocSecurity>0</DocSecurity>
  <Lines>293</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2007.gada 26.jūnija noteikumos Nr.436 "Zāļu ievešanas un izvešanas kārtība"" anotācija</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26.jūnija noteikumos Nr.436 "Zāļu ievešanas un izvešanas kārtība"" anotācija</dc:title>
  <dc:subject>Projekta anotācija</dc:subject>
  <dc:creator>Ingūna Mača</dc:creator>
  <dc:description>tālr. 67876117; inguna.maca@vm.gov.lv</dc:description>
  <cp:lastModifiedBy>imaca</cp:lastModifiedBy>
  <cp:revision>43</cp:revision>
  <cp:lastPrinted>2013-04-15T06:42:00Z</cp:lastPrinted>
  <dcterms:created xsi:type="dcterms:W3CDTF">2013-06-13T07:17:00Z</dcterms:created>
  <dcterms:modified xsi:type="dcterms:W3CDTF">2013-06-25T08:26:00Z</dcterms:modified>
</cp:coreProperties>
</file>