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1D55DC" w:rsidRDefault="00663130"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bookmarkStart w:id="0" w:name="OLE_LINK1"/>
      <w:bookmarkStart w:id="1" w:name="OLE_LINK2"/>
      <w:r w:rsidR="002E50CE" w:rsidRPr="001D55DC">
        <w:rPr>
          <w:rFonts w:ascii="Times New Roman" w:hAnsi="Times New Roman" w:cs="Times New Roman"/>
          <w:sz w:val="28"/>
          <w:szCs w:val="28"/>
          <w:lang w:val="lv-LV"/>
        </w:rPr>
        <w:t>Ministru kabineta noteikumu</w:t>
      </w:r>
    </w:p>
    <w:p w:rsidR="0054042E" w:rsidRPr="001D55DC" w:rsidRDefault="008F0541" w:rsidP="00025013">
      <w:pPr>
        <w:spacing w:after="0" w:line="240" w:lineRule="auto"/>
        <w:jc w:val="center"/>
        <w:rPr>
          <w:rFonts w:ascii="Times New Roman" w:hAnsi="Times New Roman" w:cs="Times New Roman"/>
          <w:b/>
          <w:sz w:val="28"/>
          <w:szCs w:val="28"/>
          <w:lang w:val="lv-LV"/>
        </w:rPr>
      </w:pPr>
      <w:r w:rsidRPr="001D55DC">
        <w:rPr>
          <w:rFonts w:ascii="Times New Roman" w:hAnsi="Times New Roman" w:cs="Times New Roman"/>
          <w:b/>
          <w:bCs/>
          <w:sz w:val="28"/>
          <w:szCs w:val="28"/>
          <w:lang w:val="lv-LV"/>
        </w:rPr>
        <w:t>„</w:t>
      </w:r>
      <w:bookmarkEnd w:id="0"/>
      <w:bookmarkEnd w:id="1"/>
      <w:r w:rsidR="001D55DC" w:rsidRPr="001D55DC">
        <w:rPr>
          <w:rFonts w:ascii="Times New Roman" w:hAnsi="Times New Roman" w:cs="Times New Roman"/>
          <w:b/>
          <w:bCs/>
          <w:sz w:val="28"/>
          <w:szCs w:val="28"/>
          <w:lang w:val="lv-LV"/>
        </w:rPr>
        <w:t>Ārstniecības personu un ārstniecības atbalsta personu profesionālo zināšanu pārbaudes, sertifikāta noformēšanas, reģistrēšanas un tā dublikāta izgatavošanas maksas pakalpojumu cenrādi</w:t>
      </w:r>
      <w:r w:rsidR="001D55DC">
        <w:rPr>
          <w:rFonts w:ascii="Times New Roman" w:hAnsi="Times New Roman" w:cs="Times New Roman"/>
          <w:b/>
          <w:bCs/>
          <w:sz w:val="28"/>
          <w:szCs w:val="28"/>
          <w:lang w:val="lv-LV"/>
        </w:rPr>
        <w:t>s</w:t>
      </w:r>
      <w:r w:rsidR="001D55DC" w:rsidRPr="001D55DC">
        <w:rPr>
          <w:rFonts w:ascii="Times New Roman" w:hAnsi="Times New Roman" w:cs="Times New Roman"/>
          <w:b/>
          <w:bCs/>
          <w:sz w:val="28"/>
          <w:szCs w:val="28"/>
          <w:lang w:val="lv-LV"/>
        </w:rPr>
        <w:t>”</w:t>
      </w:r>
    </w:p>
    <w:p w:rsidR="00BC4DEC" w:rsidRPr="001D55DC" w:rsidRDefault="0054042E" w:rsidP="0054042E">
      <w:pPr>
        <w:spacing w:after="0" w:line="240" w:lineRule="auto"/>
        <w:jc w:val="center"/>
        <w:rPr>
          <w:rFonts w:ascii="Times New Roman" w:hAnsi="Times New Roman" w:cs="Times New Roman"/>
          <w:sz w:val="28"/>
          <w:szCs w:val="28"/>
          <w:lang w:val="lv-LV"/>
        </w:rPr>
      </w:pPr>
      <w:r w:rsidRPr="001D55DC">
        <w:rPr>
          <w:rFonts w:ascii="Times New Roman" w:hAnsi="Times New Roman" w:cs="Times New Roman"/>
          <w:sz w:val="28"/>
          <w:szCs w:val="28"/>
          <w:lang w:val="lv-LV"/>
        </w:rPr>
        <w:t>P</w:t>
      </w:r>
      <w:r w:rsidR="002E50CE" w:rsidRPr="001D55DC">
        <w:rPr>
          <w:rFonts w:ascii="Times New Roman" w:hAnsi="Times New Roman" w:cs="Times New Roman"/>
          <w:sz w:val="28"/>
          <w:szCs w:val="28"/>
          <w:lang w:val="lv-LV"/>
        </w:rPr>
        <w:t>rojekta</w:t>
      </w:r>
      <w:r w:rsidRPr="001D55DC">
        <w:rPr>
          <w:rFonts w:ascii="Times New Roman" w:hAnsi="Times New Roman" w:cs="Times New Roman"/>
          <w:sz w:val="28"/>
          <w:szCs w:val="28"/>
          <w:lang w:val="lv-LV"/>
        </w:rPr>
        <w:t xml:space="preserve"> </w:t>
      </w:r>
      <w:r w:rsidR="00E8755F" w:rsidRPr="001D55DC">
        <w:rPr>
          <w:rFonts w:ascii="Times New Roman" w:hAnsi="Times New Roman" w:cs="Times New Roman"/>
          <w:sz w:val="28"/>
          <w:szCs w:val="28"/>
          <w:lang w:val="lv-LV"/>
        </w:rPr>
        <w:t xml:space="preserve">sākotnējās </w:t>
      </w:r>
      <w:r w:rsidR="009501D0" w:rsidRPr="001D55DC">
        <w:rPr>
          <w:rFonts w:ascii="Times New Roman" w:hAnsi="Times New Roman" w:cs="Times New Roman"/>
          <w:sz w:val="28"/>
          <w:szCs w:val="28"/>
          <w:lang w:val="lv-LV"/>
        </w:rPr>
        <w:t>(</w:t>
      </w:r>
      <w:proofErr w:type="spellStart"/>
      <w:r w:rsidR="009501D0" w:rsidRPr="001D55DC">
        <w:rPr>
          <w:rFonts w:ascii="Times New Roman" w:hAnsi="Times New Roman" w:cs="Times New Roman"/>
          <w:sz w:val="28"/>
          <w:szCs w:val="28"/>
          <w:lang w:val="lv-LV"/>
        </w:rPr>
        <w:t>ex-ante</w:t>
      </w:r>
      <w:proofErr w:type="spellEnd"/>
      <w:r w:rsidR="009501D0" w:rsidRPr="001D55DC">
        <w:rPr>
          <w:rFonts w:ascii="Times New Roman" w:hAnsi="Times New Roman" w:cs="Times New Roman"/>
          <w:sz w:val="28"/>
          <w:szCs w:val="28"/>
          <w:lang w:val="lv-LV"/>
        </w:rPr>
        <w:t xml:space="preserve">) </w:t>
      </w:r>
      <w:r w:rsidR="00E8755F" w:rsidRPr="001D55DC">
        <w:rPr>
          <w:rFonts w:ascii="Times New Roman" w:hAnsi="Times New Roman" w:cs="Times New Roman"/>
          <w:sz w:val="28"/>
          <w:szCs w:val="28"/>
          <w:lang w:val="lv-LV"/>
        </w:rPr>
        <w:t>ietekmes novērtējuma ziņojum</w:t>
      </w:r>
      <w:r w:rsidR="008F0541" w:rsidRPr="001D55DC">
        <w:rPr>
          <w:rFonts w:ascii="Times New Roman" w:hAnsi="Times New Roman" w:cs="Times New Roman"/>
          <w:sz w:val="28"/>
          <w:szCs w:val="28"/>
          <w:lang w:val="lv-LV"/>
        </w:rPr>
        <w:t>s</w:t>
      </w:r>
    </w:p>
    <w:p w:rsidR="00BA30E3" w:rsidRPr="001D55DC" w:rsidRDefault="00E8755F" w:rsidP="0054042E">
      <w:pPr>
        <w:spacing w:after="0" w:line="240" w:lineRule="auto"/>
        <w:jc w:val="center"/>
        <w:rPr>
          <w:rFonts w:ascii="Times New Roman" w:hAnsi="Times New Roman" w:cs="Times New Roman"/>
          <w:sz w:val="28"/>
          <w:szCs w:val="28"/>
          <w:lang w:val="lv-LV"/>
        </w:rPr>
      </w:pPr>
      <w:r w:rsidRPr="001D55DC">
        <w:rPr>
          <w:rFonts w:ascii="Times New Roman" w:hAnsi="Times New Roman" w:cs="Times New Roman"/>
          <w:i/>
          <w:sz w:val="28"/>
          <w:szCs w:val="28"/>
          <w:lang w:val="lv-LV"/>
        </w:rPr>
        <w:t>(anotācija)</w:t>
      </w:r>
      <w:r w:rsidR="001D732D" w:rsidRPr="001D55DC">
        <w:rPr>
          <w:rFonts w:ascii="Times New Roman" w:hAnsi="Times New Roman" w:cs="Times New Roman"/>
          <w:i/>
          <w:sz w:val="28"/>
          <w:szCs w:val="28"/>
          <w:lang w:val="lv-LV"/>
        </w:rPr>
        <w:t xml:space="preserve"> </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6C440B" w:rsidRPr="006C440B" w:rsidRDefault="006C440B" w:rsidP="00955B43">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00CB29AE" w:rsidRPr="00CB29AE">
              <w:rPr>
                <w:rFonts w:ascii="Times New Roman" w:hAnsi="Times New Roman" w:cs="Times New Roman"/>
                <w:i/>
                <w:sz w:val="24"/>
                <w:szCs w:val="24"/>
                <w:lang w:val="lv-LV"/>
              </w:rPr>
              <w:t>Euro</w:t>
            </w:r>
            <w:proofErr w:type="spellEnd"/>
            <w:r w:rsidR="00CB29AE" w:rsidRPr="00CB29AE">
              <w:rPr>
                <w:rFonts w:ascii="Times New Roman" w:hAnsi="Times New Roman" w:cs="Times New Roman"/>
                <w:sz w:val="24"/>
                <w:szCs w:val="24"/>
                <w:lang w:val="lv-LV"/>
              </w:rPr>
              <w:t xml:space="preserve"> ieviešanas kārtības likuma 30.panta pirmā un ceturtā daļa.</w:t>
            </w:r>
            <w:r w:rsidR="00955B43">
              <w:rPr>
                <w:rFonts w:ascii="Times New Roman" w:hAnsi="Times New Roman" w:cs="Times New Roman"/>
                <w:sz w:val="24"/>
                <w:szCs w:val="24"/>
                <w:lang w:val="lv-LV"/>
              </w:rPr>
              <w:t xml:space="preserve"> Ministru kabineta 2012.gada 27.jūnija rīkojuma Nr.282 „Par „Koncepciju par normatīvo aktu sakārtošanu saistībā ar eiro ieviešanu Latvijā”” 7.1.</w:t>
            </w:r>
            <w:r w:rsidR="00955B43" w:rsidRPr="006C440B">
              <w:rPr>
                <w:rFonts w:ascii="Times New Roman" w:hAnsi="Times New Roman" w:cs="Times New Roman"/>
                <w:sz w:val="24"/>
                <w:szCs w:val="24"/>
                <w:lang w:val="lv-LV"/>
              </w:rPr>
              <w:t>apakšpunktu un Latvijas Nacionālā</w:t>
            </w:r>
            <w:r w:rsidR="00955B43" w:rsidRPr="006C440B">
              <w:rPr>
                <w:rFonts w:ascii="Times New Roman" w:hAnsi="Times New Roman" w:cs="Times New Roman"/>
                <w:i/>
                <w:sz w:val="24"/>
                <w:szCs w:val="24"/>
                <w:lang w:val="lv-LV"/>
              </w:rPr>
              <w:t xml:space="preserve"> </w:t>
            </w:r>
            <w:proofErr w:type="spellStart"/>
            <w:r w:rsidR="00955B43" w:rsidRPr="006C440B">
              <w:rPr>
                <w:rFonts w:ascii="Times New Roman" w:hAnsi="Times New Roman" w:cs="Times New Roman"/>
                <w:i/>
                <w:sz w:val="24"/>
                <w:szCs w:val="24"/>
                <w:lang w:val="lv-LV"/>
              </w:rPr>
              <w:t>euro</w:t>
            </w:r>
            <w:proofErr w:type="spellEnd"/>
            <w:r w:rsidR="00955B43" w:rsidRPr="006C440B">
              <w:rPr>
                <w:rFonts w:ascii="Times New Roman" w:hAnsi="Times New Roman" w:cs="Times New Roman"/>
                <w:sz w:val="24"/>
                <w:szCs w:val="24"/>
                <w:lang w:val="lv-LV"/>
              </w:rPr>
              <w:t xml:space="preserve"> ieviešanas plāna (apstiprināts ar Ministru kabineta 2013.gada 4.aprīļa rīkojumu Nr.136) 1.pielikuma J2.2.2 apakšpunktu.</w:t>
            </w:r>
          </w:p>
          <w:p w:rsidR="00CB29AE" w:rsidRPr="00CB29AE" w:rsidRDefault="006C440B" w:rsidP="00955B43">
            <w:pPr>
              <w:spacing w:after="0" w:line="240" w:lineRule="auto"/>
              <w:jc w:val="both"/>
              <w:rPr>
                <w:rFonts w:ascii="Times New Roman" w:hAnsi="Times New Roman" w:cs="Times New Roman"/>
                <w:sz w:val="24"/>
                <w:szCs w:val="24"/>
                <w:lang w:val="lv-LV"/>
              </w:rPr>
            </w:pPr>
            <w:r w:rsidRPr="006C440B">
              <w:rPr>
                <w:rFonts w:ascii="Times New Roman" w:hAnsi="Times New Roman" w:cs="Times New Roman"/>
                <w:sz w:val="24"/>
                <w:szCs w:val="24"/>
                <w:lang w:val="lv-LV"/>
              </w:rPr>
              <w:t xml:space="preserve">   Ministru kabineta 2013.gada 29.maija rīkojuma Nr.212 „Par tiesību aktu grozījumu virzību saistībā ar </w:t>
            </w:r>
            <w:proofErr w:type="spellStart"/>
            <w:r w:rsidRPr="006C440B">
              <w:rPr>
                <w:rFonts w:ascii="Times New Roman" w:hAnsi="Times New Roman" w:cs="Times New Roman"/>
                <w:i/>
                <w:sz w:val="24"/>
                <w:szCs w:val="24"/>
                <w:lang w:val="lv-LV"/>
              </w:rPr>
              <w:t>euro</w:t>
            </w:r>
            <w:proofErr w:type="spellEnd"/>
            <w:r w:rsidRPr="006C440B">
              <w:rPr>
                <w:rFonts w:ascii="Times New Roman" w:hAnsi="Times New Roman" w:cs="Times New Roman"/>
                <w:sz w:val="24"/>
                <w:szCs w:val="24"/>
                <w:lang w:val="lv-LV"/>
              </w:rPr>
              <w:t xml:space="preserve"> ieviešanu Latvijā” (prot.Nr.30, 52.§) 1.3. un 1.6.apakšpunkts.</w:t>
            </w:r>
            <w:r w:rsidRPr="005B4D09">
              <w:rPr>
                <w:rFonts w:ascii="Times New Roman" w:hAnsi="Times New Roman" w:cs="Times New Roman"/>
                <w:sz w:val="24"/>
                <w:szCs w:val="24"/>
              </w:rPr>
              <w:t xml:space="preserve">  </w:t>
            </w:r>
            <w:r>
              <w:rPr>
                <w:rFonts w:ascii="Times New Roman" w:hAnsi="Times New Roman" w:cs="Times New Roman"/>
                <w:sz w:val="24"/>
                <w:szCs w:val="24"/>
              </w:rPr>
              <w:t xml:space="preserve">   </w:t>
            </w:r>
            <w:r w:rsidR="00955B43">
              <w:rPr>
                <w:rFonts w:ascii="Times New Roman" w:hAnsi="Times New Roman" w:cs="Times New Roman"/>
                <w:sz w:val="24"/>
                <w:szCs w:val="24"/>
                <w:lang w:val="lv-LV"/>
              </w:rPr>
              <w:t xml:space="preserve">  </w:t>
            </w:r>
          </w:p>
        </w:tc>
      </w:tr>
      <w:tr w:rsidR="00CB29AE" w:rsidRPr="00AA7CA8"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1D55DC" w:rsidRDefault="00CB29AE" w:rsidP="001D55DC">
            <w:pPr>
              <w:spacing w:after="0" w:line="240" w:lineRule="auto"/>
              <w:jc w:val="both"/>
              <w:rPr>
                <w:rFonts w:ascii="Times New Roman" w:eastAsia="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955B43" w:rsidRPr="001D55DC">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955B43" w:rsidRPr="001D55DC">
              <w:rPr>
                <w:rFonts w:ascii="Times New Roman" w:eastAsia="Times New Roman" w:hAnsi="Times New Roman" w:cs="Times New Roman"/>
                <w:i/>
                <w:sz w:val="24"/>
                <w:szCs w:val="24"/>
                <w:lang w:val="lv-LV" w:eastAsia="lv-LV"/>
              </w:rPr>
              <w:t>euro</w:t>
            </w:r>
            <w:proofErr w:type="spellEnd"/>
            <w:r w:rsidR="00E93116" w:rsidRPr="001D55DC">
              <w:rPr>
                <w:rFonts w:ascii="Times New Roman" w:eastAsia="Times New Roman" w:hAnsi="Times New Roman" w:cs="Times New Roman"/>
                <w:sz w:val="24"/>
                <w:szCs w:val="24"/>
                <w:lang w:val="lv-LV" w:eastAsia="lv-LV"/>
              </w:rPr>
              <w:t xml:space="preserve">, ir </w:t>
            </w:r>
            <w:r w:rsidR="00955B43" w:rsidRPr="001D55DC">
              <w:rPr>
                <w:rFonts w:ascii="Times New Roman" w:eastAsia="Times New Roman" w:hAnsi="Times New Roman" w:cs="Times New Roman"/>
                <w:sz w:val="24"/>
                <w:szCs w:val="24"/>
                <w:lang w:val="lv-LV" w:eastAsia="lv-LV"/>
              </w:rPr>
              <w:t xml:space="preserve">nepieciešams </w:t>
            </w:r>
            <w:r w:rsidR="00E93116" w:rsidRPr="001D55DC">
              <w:rPr>
                <w:rFonts w:ascii="Times New Roman" w:eastAsia="Times New Roman" w:hAnsi="Times New Roman" w:cs="Times New Roman"/>
                <w:sz w:val="24"/>
                <w:szCs w:val="24"/>
                <w:lang w:val="lv-LV" w:eastAsia="lv-LV"/>
              </w:rPr>
              <w:t xml:space="preserve">izstrādāt Ministru kabineta noteikumu </w:t>
            </w:r>
            <w:r w:rsidR="001D55DC" w:rsidRPr="001D55DC">
              <w:rPr>
                <w:rFonts w:ascii="Times New Roman" w:hAnsi="Times New Roman" w:cs="Times New Roman"/>
                <w:bCs/>
                <w:sz w:val="24"/>
                <w:szCs w:val="24"/>
                <w:lang w:val="lv-LV"/>
              </w:rPr>
              <w:t>„Ārstniecības personu un ārstniecības atbalsta personu profesionālo zināšanu pārbaudes, sertifikāta noformēšanas, reģistrēšanas un tā dublikāta izgatavošanas maksas pakalpojumu cenrādis”</w:t>
            </w:r>
            <w:r w:rsidR="00E93116" w:rsidRPr="001D55DC">
              <w:rPr>
                <w:rFonts w:ascii="Times New Roman" w:eastAsia="Times New Roman" w:hAnsi="Times New Roman" w:cs="Times New Roman"/>
                <w:sz w:val="24"/>
                <w:szCs w:val="24"/>
                <w:lang w:val="lv-LV" w:eastAsia="lv-LV"/>
              </w:rPr>
              <w:t xml:space="preserve"> projektu. Nepieciešams </w:t>
            </w:r>
            <w:r w:rsidR="00E93116" w:rsidRPr="001D55DC">
              <w:rPr>
                <w:rFonts w:ascii="Times New Roman" w:hAnsi="Times New Roman" w:cs="Times New Roman"/>
                <w:iCs/>
                <w:sz w:val="24"/>
                <w:szCs w:val="24"/>
                <w:lang w:val="lv-LV"/>
              </w:rPr>
              <w:t>n</w:t>
            </w:r>
            <w:r w:rsidRPr="001D55DC">
              <w:rPr>
                <w:rFonts w:ascii="Times New Roman" w:hAnsi="Times New Roman" w:cs="Times New Roman"/>
                <w:iCs/>
                <w:sz w:val="24"/>
                <w:szCs w:val="24"/>
                <w:lang w:val="lv-LV"/>
              </w:rPr>
              <w:t xml:space="preserve">odrošināt tiesību akta pielāgošanu  </w:t>
            </w:r>
            <w:proofErr w:type="spellStart"/>
            <w:r w:rsidRPr="001D55DC">
              <w:rPr>
                <w:rFonts w:ascii="Times New Roman" w:hAnsi="Times New Roman" w:cs="Times New Roman"/>
                <w:i/>
                <w:iCs/>
                <w:sz w:val="24"/>
                <w:szCs w:val="24"/>
                <w:lang w:val="lv-LV"/>
              </w:rPr>
              <w:t>euro</w:t>
            </w:r>
            <w:proofErr w:type="spellEnd"/>
            <w:r w:rsidRPr="001D55DC">
              <w:rPr>
                <w:rFonts w:ascii="Times New Roman" w:hAnsi="Times New Roman" w:cs="Times New Roman"/>
                <w:iCs/>
                <w:sz w:val="24"/>
                <w:szCs w:val="24"/>
                <w:lang w:val="lv-LV"/>
              </w:rPr>
              <w:t xml:space="preserve"> ieviešanai.</w:t>
            </w:r>
          </w:p>
        </w:tc>
      </w:tr>
      <w:tr w:rsidR="00CB29AE" w:rsidRPr="009008AC"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AA7CA8" w:rsidTr="001D55DC">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1B3054" w:rsidRPr="00AE2092" w:rsidRDefault="00CB29AE" w:rsidP="001D55DC">
            <w:pPr>
              <w:jc w:val="both"/>
              <w:rPr>
                <w:rFonts w:ascii="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E93116">
              <w:rPr>
                <w:rFonts w:ascii="Times New Roman" w:eastAsia="Times New Roman" w:hAnsi="Times New Roman" w:cs="Times New Roman"/>
                <w:sz w:val="24"/>
                <w:szCs w:val="24"/>
                <w:lang w:val="lv-LV" w:eastAsia="lv-LV"/>
              </w:rPr>
              <w:t>Šā projekta mērķis ir</w:t>
            </w:r>
            <w:r w:rsidR="001D55DC">
              <w:rPr>
                <w:rFonts w:ascii="Times New Roman" w:eastAsia="Times New Roman" w:hAnsi="Times New Roman" w:cs="Times New Roman"/>
                <w:sz w:val="24"/>
                <w:szCs w:val="24"/>
                <w:lang w:val="lv-LV" w:eastAsia="lv-LV"/>
              </w:rPr>
              <w:t xml:space="preserve"> pielāgot Ministru kabineta 2013</w:t>
            </w:r>
            <w:r w:rsidR="00E93116">
              <w:rPr>
                <w:rFonts w:ascii="Times New Roman" w:eastAsia="Times New Roman" w:hAnsi="Times New Roman" w:cs="Times New Roman"/>
                <w:sz w:val="24"/>
                <w:szCs w:val="24"/>
                <w:lang w:val="lv-LV" w:eastAsia="lv-LV"/>
              </w:rPr>
              <w:t>.</w:t>
            </w:r>
            <w:r w:rsidR="00E93116" w:rsidRPr="001D55DC">
              <w:rPr>
                <w:rFonts w:ascii="Times New Roman" w:eastAsia="Times New Roman" w:hAnsi="Times New Roman" w:cs="Times New Roman"/>
                <w:sz w:val="24"/>
                <w:szCs w:val="24"/>
                <w:lang w:val="lv-LV" w:eastAsia="lv-LV"/>
              </w:rPr>
              <w:t>gada 1</w:t>
            </w:r>
            <w:r w:rsidR="001D55DC" w:rsidRPr="001D55DC">
              <w:rPr>
                <w:rFonts w:ascii="Times New Roman" w:eastAsia="Times New Roman" w:hAnsi="Times New Roman" w:cs="Times New Roman"/>
                <w:sz w:val="24"/>
                <w:szCs w:val="24"/>
                <w:lang w:val="lv-LV" w:eastAsia="lv-LV"/>
              </w:rPr>
              <w:t>5</w:t>
            </w:r>
            <w:r w:rsidR="00E93116" w:rsidRPr="001D55DC">
              <w:rPr>
                <w:rFonts w:ascii="Times New Roman" w:eastAsia="Times New Roman" w:hAnsi="Times New Roman" w:cs="Times New Roman"/>
                <w:sz w:val="24"/>
                <w:szCs w:val="24"/>
                <w:lang w:val="lv-LV" w:eastAsia="lv-LV"/>
              </w:rPr>
              <w:t>.</w:t>
            </w:r>
            <w:r w:rsidR="001D55DC" w:rsidRPr="001D55DC">
              <w:rPr>
                <w:rFonts w:ascii="Times New Roman" w:eastAsia="Times New Roman" w:hAnsi="Times New Roman" w:cs="Times New Roman"/>
                <w:sz w:val="24"/>
                <w:szCs w:val="24"/>
                <w:lang w:val="lv-LV" w:eastAsia="lv-LV"/>
              </w:rPr>
              <w:t>janvāra noteikumus Nr.31</w:t>
            </w:r>
            <w:r w:rsidR="001D55DC">
              <w:rPr>
                <w:rFonts w:ascii="Times New Roman" w:eastAsia="Times New Roman" w:hAnsi="Times New Roman" w:cs="Times New Roman"/>
                <w:sz w:val="24"/>
                <w:szCs w:val="24"/>
                <w:lang w:val="lv-LV" w:eastAsia="lv-LV"/>
              </w:rPr>
              <w:t xml:space="preserve"> </w:t>
            </w:r>
            <w:r w:rsidR="001D55DC" w:rsidRPr="001D55DC">
              <w:rPr>
                <w:rFonts w:ascii="Times New Roman" w:hAnsi="Times New Roman" w:cs="Times New Roman"/>
                <w:bCs/>
                <w:sz w:val="24"/>
                <w:szCs w:val="24"/>
                <w:lang w:val="lv-LV"/>
              </w:rPr>
              <w:t>„Ārstniecības personu un ārstniecības atbalsta personu profesionālo zināšanu pārbaudes, sertifikāta noformēšanas, reģistrēšanas un tā dublikāta izgatavošanas maksas pakalpojumu cenrādis”</w:t>
            </w:r>
            <w:r w:rsidR="00E93116" w:rsidRPr="001D55DC">
              <w:rPr>
                <w:rFonts w:ascii="Times New Roman" w:eastAsia="Times New Roman" w:hAnsi="Times New Roman" w:cs="Times New Roman"/>
                <w:sz w:val="24"/>
                <w:szCs w:val="24"/>
                <w:lang w:val="lv-LV" w:eastAsia="lv-LV"/>
              </w:rPr>
              <w:t xml:space="preserve"> </w:t>
            </w:r>
            <w:proofErr w:type="spellStart"/>
            <w:r w:rsidR="00E93116" w:rsidRPr="001D55DC">
              <w:rPr>
                <w:rFonts w:ascii="Times New Roman" w:eastAsia="Times New Roman" w:hAnsi="Times New Roman" w:cs="Times New Roman"/>
                <w:i/>
                <w:sz w:val="24"/>
                <w:szCs w:val="24"/>
                <w:lang w:val="lv-LV" w:eastAsia="lv-LV"/>
              </w:rPr>
              <w:t>euro</w:t>
            </w:r>
            <w:proofErr w:type="spellEnd"/>
            <w:r w:rsidR="00E93116" w:rsidRPr="001D55DC">
              <w:rPr>
                <w:rFonts w:ascii="Times New Roman" w:eastAsia="Times New Roman" w:hAnsi="Times New Roman" w:cs="Times New Roman"/>
                <w:sz w:val="24"/>
                <w:szCs w:val="24"/>
                <w:lang w:val="lv-LV" w:eastAsia="lv-LV"/>
              </w:rPr>
              <w:t xml:space="preserve"> ieviešanai, t.i., k</w:t>
            </w:r>
            <w:r w:rsidRPr="001D55DC">
              <w:rPr>
                <w:rFonts w:ascii="Times New Roman" w:eastAsia="Times New Roman" w:hAnsi="Times New Roman" w:cs="Times New Roman"/>
                <w:sz w:val="24"/>
                <w:szCs w:val="24"/>
                <w:lang w:val="lv-LV" w:eastAsia="lv-LV"/>
              </w:rPr>
              <w:t xml:space="preserve">onvertēt maksas pakalpojumu cenas no latiem uz </w:t>
            </w:r>
            <w:proofErr w:type="spellStart"/>
            <w:r w:rsidRPr="001D55DC">
              <w:rPr>
                <w:rFonts w:ascii="Times New Roman" w:eastAsia="Times New Roman" w:hAnsi="Times New Roman" w:cs="Times New Roman"/>
                <w:i/>
                <w:sz w:val="24"/>
                <w:szCs w:val="24"/>
                <w:lang w:val="lv-LV" w:eastAsia="lv-LV"/>
              </w:rPr>
              <w:t>euro</w:t>
            </w:r>
            <w:proofErr w:type="spellEnd"/>
            <w:r w:rsidRPr="001D55DC">
              <w:rPr>
                <w:rFonts w:ascii="Times New Roman" w:eastAsia="Times New Roman" w:hAnsi="Times New Roman" w:cs="Times New Roman"/>
                <w:sz w:val="24"/>
                <w:szCs w:val="24"/>
                <w:lang w:val="lv-LV" w:eastAsia="lv-LV"/>
              </w:rPr>
              <w:t xml:space="preserve"> atbilstoši </w:t>
            </w:r>
            <w:proofErr w:type="spellStart"/>
            <w:r w:rsidR="00E93116" w:rsidRPr="001D55DC">
              <w:rPr>
                <w:rFonts w:ascii="Times New Roman" w:hAnsi="Times New Roman" w:cs="Times New Roman"/>
                <w:i/>
                <w:sz w:val="24"/>
                <w:szCs w:val="24"/>
                <w:lang w:val="lv-LV"/>
              </w:rPr>
              <w:t>E</w:t>
            </w:r>
            <w:r w:rsidR="00955B43" w:rsidRPr="001D55DC">
              <w:rPr>
                <w:rFonts w:ascii="Times New Roman" w:hAnsi="Times New Roman" w:cs="Times New Roman"/>
                <w:i/>
                <w:sz w:val="24"/>
                <w:szCs w:val="24"/>
                <w:lang w:val="lv-LV"/>
              </w:rPr>
              <w:t>uro</w:t>
            </w:r>
            <w:proofErr w:type="spellEnd"/>
            <w:r w:rsidRPr="001D55DC">
              <w:rPr>
                <w:rFonts w:ascii="Times New Roman" w:eastAsia="Times New Roman" w:hAnsi="Times New Roman" w:cs="Times New Roman"/>
                <w:sz w:val="24"/>
                <w:szCs w:val="24"/>
                <w:lang w:val="lv-LV" w:eastAsia="lv-LV"/>
              </w:rPr>
              <w:t xml:space="preserve"> ieviešanas </w:t>
            </w:r>
            <w:r w:rsidR="00955B43" w:rsidRPr="001D55DC">
              <w:rPr>
                <w:rFonts w:ascii="Times New Roman" w:eastAsia="Times New Roman" w:hAnsi="Times New Roman" w:cs="Times New Roman"/>
                <w:sz w:val="24"/>
                <w:szCs w:val="24"/>
                <w:lang w:val="lv-LV" w:eastAsia="lv-LV"/>
              </w:rPr>
              <w:t>kārtības likuma</w:t>
            </w:r>
            <w:r w:rsidR="00955B43">
              <w:rPr>
                <w:rFonts w:ascii="Times New Roman" w:eastAsia="Times New Roman" w:hAnsi="Times New Roman" w:cs="Times New Roman"/>
                <w:sz w:val="24"/>
                <w:szCs w:val="24"/>
                <w:lang w:val="lv-LV" w:eastAsia="lv-LV"/>
              </w:rPr>
              <w:t xml:space="preserve"> 6.pantā atrunātajam</w:t>
            </w:r>
            <w:r>
              <w:rPr>
                <w:rFonts w:ascii="Times New Roman" w:eastAsia="Times New Roman" w:hAnsi="Times New Roman" w:cs="Times New Roman"/>
                <w:sz w:val="24"/>
                <w:szCs w:val="24"/>
                <w:lang w:val="lv-LV" w:eastAsia="lv-LV"/>
              </w:rPr>
              <w:t xml:space="preserve"> principa</w:t>
            </w:r>
            <w:r w:rsidR="00955B43">
              <w:rPr>
                <w:rFonts w:ascii="Times New Roman" w:eastAsia="Times New Roman" w:hAnsi="Times New Roman" w:cs="Times New Roman"/>
                <w:sz w:val="24"/>
                <w:szCs w:val="24"/>
                <w:lang w:val="lv-LV" w:eastAsia="lv-LV"/>
              </w:rPr>
              <w:t>m</w:t>
            </w:r>
            <w:r>
              <w:rPr>
                <w:rFonts w:ascii="Times New Roman" w:eastAsia="Times New Roman" w:hAnsi="Times New Roman" w:cs="Times New Roman"/>
                <w:sz w:val="24"/>
                <w:szCs w:val="24"/>
                <w:lang w:val="lv-LV" w:eastAsia="lv-LV"/>
              </w:rPr>
              <w:t xml:space="preserve">, kas balstīts uz </w:t>
            </w:r>
            <w:r>
              <w:rPr>
                <w:rFonts w:ascii="Times New Roman" w:eastAsia="Times New Roman" w:hAnsi="Times New Roman" w:cs="Times New Roman"/>
                <w:sz w:val="24"/>
                <w:szCs w:val="24"/>
                <w:lang w:val="lv-LV" w:eastAsia="lv-LV"/>
              </w:rPr>
              <w:lastRenderedPageBreak/>
              <w:t>Eiropas Savienības Padomes noteikto valūtas maiņas kursu un matemātiskās noapaļošanas principiem.</w:t>
            </w:r>
            <w:r w:rsidR="00E93116">
              <w:rPr>
                <w:rFonts w:ascii="Times New Roman" w:eastAsia="Times New Roman" w:hAnsi="Times New Roman" w:cs="Times New Roman"/>
                <w:sz w:val="24"/>
                <w:szCs w:val="24"/>
                <w:lang w:val="lv-LV" w:eastAsia="lv-LV"/>
              </w:rPr>
              <w:t xml:space="preserve"> Grozītās tiesību normas </w:t>
            </w:r>
            <w:proofErr w:type="spellStart"/>
            <w:r w:rsidR="00E93116" w:rsidRPr="00E93116">
              <w:rPr>
                <w:rFonts w:ascii="Times New Roman" w:eastAsia="Times New Roman" w:hAnsi="Times New Roman" w:cs="Times New Roman"/>
                <w:i/>
                <w:sz w:val="24"/>
                <w:szCs w:val="24"/>
                <w:lang w:val="lv-LV" w:eastAsia="lv-LV"/>
              </w:rPr>
              <w:t>euro</w:t>
            </w:r>
            <w:proofErr w:type="spellEnd"/>
            <w:r w:rsidR="00E93116">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w:t>
            </w:r>
            <w:r w:rsidR="00AE2092">
              <w:rPr>
                <w:rFonts w:ascii="Times New Roman" w:eastAsia="Times New Roman" w:hAnsi="Times New Roman" w:cs="Times New Roman"/>
                <w:sz w:val="24"/>
                <w:szCs w:val="24"/>
                <w:lang w:val="lv-LV" w:eastAsia="lv-LV"/>
              </w:rPr>
              <w:t xml:space="preserve">                       </w:t>
            </w:r>
            <w:r w:rsidR="001B3054">
              <w:rPr>
                <w:rFonts w:ascii="Times New Roman" w:eastAsia="Times New Roman" w:hAnsi="Times New Roman" w:cs="Times New Roman"/>
                <w:sz w:val="24"/>
                <w:szCs w:val="24"/>
                <w:lang w:val="lv-LV" w:eastAsia="lv-LV"/>
              </w:rPr>
              <w:t xml:space="preserve">Ar noteikumu projekta pieņemšanu pilnībā tiks atrisināta anotācijas I sadaļas 2.punktā minētā problēma. </w:t>
            </w:r>
            <w:r w:rsidR="00AE2092">
              <w:rPr>
                <w:rFonts w:ascii="Times New Roman" w:eastAsia="Times New Roman" w:hAnsi="Times New Roman" w:cs="Times New Roman"/>
                <w:sz w:val="24"/>
                <w:szCs w:val="24"/>
                <w:lang w:val="lv-LV" w:eastAsia="lv-LV"/>
              </w:rPr>
              <w:t xml:space="preserve">Saskaņā ar </w:t>
            </w:r>
            <w:r w:rsidR="00AE2092" w:rsidRPr="00AE2092">
              <w:rPr>
                <w:rFonts w:ascii="Times New Roman" w:eastAsia="Times New Roman" w:hAnsi="Times New Roman" w:cs="Times New Roman"/>
                <w:sz w:val="24"/>
                <w:szCs w:val="24"/>
                <w:lang w:val="lv-LV" w:eastAsia="lv-LV"/>
              </w:rPr>
              <w:t xml:space="preserve">valsts iestāžu juridisko dienestu vadītāju sanāksmes 2013.gada 6.jūnija protokolu Nr.2 </w:t>
            </w:r>
            <w:r w:rsidR="00AE2092">
              <w:rPr>
                <w:rFonts w:ascii="Times New Roman" w:hAnsi="Times New Roman" w:cs="Times New Roman"/>
                <w:sz w:val="24"/>
                <w:szCs w:val="24"/>
                <w:lang w:val="lv-LV"/>
              </w:rPr>
              <w:t>s</w:t>
            </w:r>
            <w:r w:rsidR="00AE2092" w:rsidRPr="00AE2092">
              <w:rPr>
                <w:rFonts w:ascii="Times New Roman" w:hAnsi="Times New Roman" w:cs="Times New Roman"/>
                <w:sz w:val="24"/>
                <w:szCs w:val="24"/>
                <w:lang w:val="lv-LV"/>
              </w:rPr>
              <w:t xml:space="preserve">kaidras naudas maksājumiem, kuri atbilstoši </w:t>
            </w:r>
            <w:proofErr w:type="spellStart"/>
            <w:r w:rsidR="00AE2092" w:rsidRPr="00AE2092">
              <w:rPr>
                <w:rFonts w:ascii="Times New Roman" w:hAnsi="Times New Roman" w:cs="Times New Roman"/>
                <w:i/>
                <w:sz w:val="24"/>
                <w:szCs w:val="24"/>
                <w:lang w:val="lv-LV"/>
              </w:rPr>
              <w:t>Euro</w:t>
            </w:r>
            <w:proofErr w:type="spellEnd"/>
            <w:r w:rsidR="00AE2092" w:rsidRPr="00AE2092">
              <w:rPr>
                <w:rFonts w:ascii="Times New Roman" w:hAnsi="Times New Roman" w:cs="Times New Roman"/>
                <w:sz w:val="24"/>
                <w:szCs w:val="24"/>
                <w:lang w:val="lv-LV"/>
              </w:rPr>
              <w:t xml:space="preserve"> ieviešanas kārtības likumā noteiktajā vienlaicīgas apgrozības periodā </w:t>
            </w:r>
            <w:r w:rsidR="006C440B">
              <w:rPr>
                <w:rFonts w:ascii="Times New Roman" w:hAnsi="Times New Roman" w:cs="Times New Roman"/>
                <w:sz w:val="24"/>
                <w:szCs w:val="24"/>
                <w:lang w:val="lv-LV"/>
              </w:rPr>
              <w:t xml:space="preserve">tiks </w:t>
            </w:r>
            <w:r w:rsidR="00AE2092" w:rsidRPr="00AE2092">
              <w:rPr>
                <w:rFonts w:ascii="Times New Roman" w:hAnsi="Times New Roman" w:cs="Times New Roman"/>
                <w:sz w:val="24"/>
                <w:szCs w:val="24"/>
                <w:lang w:val="lv-LV"/>
              </w:rPr>
              <w:t>veikti latos, piemēro</w:t>
            </w:r>
            <w:r w:rsidR="006C440B">
              <w:rPr>
                <w:rFonts w:ascii="Times New Roman" w:hAnsi="Times New Roman" w:cs="Times New Roman"/>
                <w:sz w:val="24"/>
                <w:szCs w:val="24"/>
                <w:lang w:val="lv-LV"/>
              </w:rPr>
              <w:t>s</w:t>
            </w:r>
            <w:r w:rsidR="00AE2092" w:rsidRPr="00AE2092">
              <w:rPr>
                <w:rFonts w:ascii="Times New Roman" w:hAnsi="Times New Roman" w:cs="Times New Roman"/>
                <w:sz w:val="24"/>
                <w:szCs w:val="24"/>
                <w:lang w:val="lv-LV"/>
              </w:rPr>
              <w:t xml:space="preserve"> Ministru kabineta 2013.gada 15.janvāra noteikumus Nr.31 „</w:t>
            </w:r>
            <w:r w:rsidR="00AE2092" w:rsidRPr="00AE2092">
              <w:rPr>
                <w:rFonts w:ascii="Times New Roman" w:hAnsi="Times New Roman" w:cs="Times New Roman"/>
                <w:bCs/>
                <w:sz w:val="24"/>
                <w:szCs w:val="24"/>
                <w:lang w:val="lv-LV"/>
              </w:rPr>
              <w:t>Ārstniecības personu un ārstniecības atbalsta personu profesionālo zināšanu pārbaudes, sertifikāta noformēšanas, reģistrēšanas un tā dublikāta izgatavošanas maksas pakalpojumu cenrādis” redakcijā, kas bija spēkā līdz 2013.gada 31.decembrim.</w:t>
            </w:r>
            <w:r w:rsidR="00AE2092">
              <w:rPr>
                <w:rFonts w:ascii="Times New Roman" w:hAnsi="Times New Roman" w:cs="Times New Roman"/>
                <w:sz w:val="24"/>
                <w:szCs w:val="24"/>
                <w:lang w:val="lv-LV"/>
              </w:rPr>
              <w:t xml:space="preserve"> </w:t>
            </w:r>
            <w:r w:rsidR="00AE2092" w:rsidRPr="00AE2092">
              <w:rPr>
                <w:rFonts w:ascii="Times New Roman" w:eastAsia="Times New Roman" w:hAnsi="Times New Roman" w:cs="Times New Roman"/>
                <w:sz w:val="24"/>
                <w:szCs w:val="24"/>
                <w:lang w:val="lv-LV" w:eastAsia="lv-LV"/>
              </w:rPr>
              <w:t xml:space="preserve">Noteikumu projekta spēkā stāšanās paredzēta </w:t>
            </w:r>
            <w:proofErr w:type="spellStart"/>
            <w:r w:rsidR="00AE2092" w:rsidRPr="00AE2092">
              <w:rPr>
                <w:rFonts w:ascii="Times New Roman" w:eastAsia="Times New Roman" w:hAnsi="Times New Roman" w:cs="Times New Roman"/>
                <w:i/>
                <w:sz w:val="24"/>
                <w:szCs w:val="24"/>
                <w:lang w:val="lv-LV" w:eastAsia="lv-LV"/>
              </w:rPr>
              <w:t>euro</w:t>
            </w:r>
            <w:proofErr w:type="spellEnd"/>
            <w:r w:rsidR="00AE2092" w:rsidRPr="00AE2092">
              <w:rPr>
                <w:rFonts w:ascii="Times New Roman" w:eastAsia="Times New Roman" w:hAnsi="Times New Roman" w:cs="Times New Roman"/>
                <w:sz w:val="24"/>
                <w:szCs w:val="24"/>
                <w:lang w:val="lv-LV" w:eastAsia="lv-LV"/>
              </w:rPr>
              <w:t xml:space="preserve"> ieviešanas dienā, savukārt,  Ministru kabineta </w:t>
            </w:r>
            <w:r w:rsidR="00AE2092">
              <w:rPr>
                <w:rFonts w:ascii="Times New Roman" w:hAnsi="Times New Roman" w:cs="Times New Roman"/>
                <w:sz w:val="24"/>
                <w:szCs w:val="24"/>
                <w:lang w:val="lv-LV"/>
              </w:rPr>
              <w:t>2013.gada 15.janvāra noteikumi</w:t>
            </w:r>
            <w:r w:rsidR="00AE2092" w:rsidRPr="00AE2092">
              <w:rPr>
                <w:rFonts w:ascii="Times New Roman" w:hAnsi="Times New Roman" w:cs="Times New Roman"/>
                <w:sz w:val="24"/>
                <w:szCs w:val="24"/>
                <w:lang w:val="lv-LV"/>
              </w:rPr>
              <w:t xml:space="preserve"> Nr.31 „</w:t>
            </w:r>
            <w:r w:rsidR="00AE2092" w:rsidRPr="00AE2092">
              <w:rPr>
                <w:rFonts w:ascii="Times New Roman" w:hAnsi="Times New Roman" w:cs="Times New Roman"/>
                <w:bCs/>
                <w:sz w:val="24"/>
                <w:szCs w:val="24"/>
                <w:lang w:val="lv-LV"/>
              </w:rPr>
              <w:t>Ārstniecības personu un ārstniecības atbalsta personu profesionālo zināšanu pārbaudes, sertifikāta noformēšanas, reģistrēšanas un tā dublikāta izgatavošanas maksas pakalpojumu cenrādis”</w:t>
            </w:r>
            <w:r w:rsidR="00AE2092" w:rsidRPr="00AE2092">
              <w:rPr>
                <w:rFonts w:ascii="Times New Roman" w:eastAsia="Times New Roman" w:hAnsi="Times New Roman" w:cs="Times New Roman"/>
                <w:sz w:val="24"/>
                <w:szCs w:val="24"/>
                <w:lang w:val="lv-LV" w:eastAsia="lv-LV"/>
              </w:rPr>
              <w:t xml:space="preserve"> zaudēs spēku.</w:t>
            </w:r>
          </w:p>
        </w:tc>
      </w:tr>
      <w:tr w:rsidR="00CB29AE" w:rsidRPr="00F359DF"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AA7CA8"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1B141F" w:rsidRDefault="00BC4DEC" w:rsidP="00E93116">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Sabiedrības līdzdalība netika nodrošināta, jo noteikumu projekts ir tehnisks projekts, ka paredz tikai maksas pakalpojumu cenu konvertāciju no latiem uz </w:t>
            </w:r>
            <w:proofErr w:type="spellStart"/>
            <w:r w:rsidRPr="006C440B">
              <w:rPr>
                <w:rFonts w:ascii="Times New Roman" w:hAnsi="Times New Roman" w:cs="Times New Roman"/>
                <w:bCs/>
                <w:i/>
                <w:sz w:val="24"/>
                <w:szCs w:val="24"/>
                <w:lang w:val="lv-LV"/>
              </w:rPr>
              <w:t>euro</w:t>
            </w:r>
            <w:proofErr w:type="spellEnd"/>
            <w:r>
              <w:rPr>
                <w:rFonts w:ascii="Times New Roman" w:hAnsi="Times New Roman" w:cs="Times New Roman"/>
                <w:bCs/>
                <w:sz w:val="24"/>
                <w:szCs w:val="24"/>
                <w:lang w:val="lv-LV"/>
              </w:rPr>
              <w:t>, nekādi citi grozījumi cenrādī nav pare</w:t>
            </w:r>
            <w:r w:rsidR="00E93116">
              <w:rPr>
                <w:rFonts w:ascii="Times New Roman" w:hAnsi="Times New Roman" w:cs="Times New Roman"/>
                <w:bCs/>
                <w:sz w:val="24"/>
                <w:szCs w:val="24"/>
                <w:lang w:val="lv-LV"/>
              </w:rPr>
              <w:t>d</w:t>
            </w:r>
            <w:r>
              <w:rPr>
                <w:rFonts w:ascii="Times New Roman" w:hAnsi="Times New Roman" w:cs="Times New Roman"/>
                <w:bCs/>
                <w:sz w:val="24"/>
                <w:szCs w:val="24"/>
                <w:lang w:val="lv-LV"/>
              </w:rPr>
              <w:t>zēti.</w:t>
            </w:r>
            <w:r w:rsidR="00E93116">
              <w:rPr>
                <w:rFonts w:ascii="Times New Roman" w:hAnsi="Times New Roman" w:cs="Times New Roman"/>
                <w:bCs/>
                <w:sz w:val="24"/>
                <w:szCs w:val="24"/>
                <w:lang w:val="lv-LV"/>
              </w:rPr>
              <w:t xml:space="preserve"> Projekts nemaina pastāvošo tiesisko regulējumu pēc būtības. </w:t>
            </w:r>
          </w:p>
        </w:tc>
      </w:tr>
      <w:tr w:rsidR="00CB29AE" w:rsidRPr="009008AC"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B6450E" w:rsidRPr="009008AC" w:rsidRDefault="006C440B" w:rsidP="006C440B">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B6450E">
              <w:rPr>
                <w:rFonts w:ascii="Times New Roman" w:eastAsia="Times New Roman" w:hAnsi="Times New Roman" w:cs="Times New Roman"/>
                <w:sz w:val="24"/>
                <w:szCs w:val="24"/>
                <w:lang w:val="lv-LV" w:eastAsia="lv-LV"/>
              </w:rPr>
              <w:t xml:space="preserve">Saskaņā ar </w:t>
            </w:r>
            <w:proofErr w:type="spellStart"/>
            <w:r w:rsidR="00B6450E" w:rsidRPr="00B6450E">
              <w:rPr>
                <w:rFonts w:ascii="Times New Roman" w:eastAsia="Times New Roman" w:hAnsi="Times New Roman" w:cs="Times New Roman"/>
                <w:i/>
                <w:sz w:val="24"/>
                <w:szCs w:val="24"/>
                <w:lang w:val="lv-LV" w:eastAsia="lv-LV"/>
              </w:rPr>
              <w:t>Euro</w:t>
            </w:r>
            <w:proofErr w:type="spellEnd"/>
            <w:r w:rsidR="00B6450E">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w:t>
            </w:r>
            <w:r w:rsidR="00B6450E">
              <w:rPr>
                <w:rFonts w:ascii="Times New Roman" w:eastAsia="Times New Roman" w:hAnsi="Times New Roman" w:cs="Times New Roman"/>
                <w:sz w:val="24"/>
                <w:szCs w:val="24"/>
                <w:lang w:val="lv-LV" w:eastAsia="lv-LV"/>
              </w:rPr>
              <w:lastRenderedPageBreak/>
              <w:t xml:space="preserve">pirms </w:t>
            </w:r>
            <w:proofErr w:type="spellStart"/>
            <w:r w:rsidR="00B6450E">
              <w:rPr>
                <w:rFonts w:ascii="Times New Roman" w:eastAsia="Times New Roman" w:hAnsi="Times New Roman" w:cs="Times New Roman"/>
                <w:sz w:val="24"/>
                <w:szCs w:val="24"/>
                <w:lang w:val="lv-LV" w:eastAsia="lv-LV"/>
              </w:rPr>
              <w:t>euro</w:t>
            </w:r>
            <w:proofErr w:type="spellEnd"/>
            <w:r w:rsidR="00B6450E">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5E31B4"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1D55DC" w:rsidRPr="001D55DC" w:rsidRDefault="0054042E" w:rsidP="001D55DC">
            <w:pPr>
              <w:spacing w:line="270" w:lineRule="atLeast"/>
              <w:jc w:val="both"/>
              <w:rPr>
                <w:rFonts w:ascii="Times New Roman" w:hAnsi="Times New Roman" w:cs="Times New Roman"/>
                <w:sz w:val="24"/>
                <w:szCs w:val="24"/>
                <w:lang w:val="lv-LV"/>
              </w:rPr>
            </w:pPr>
            <w:r>
              <w:t xml:space="preserve">    </w:t>
            </w:r>
            <w:r w:rsidR="001D55DC" w:rsidRPr="001D55DC">
              <w:rPr>
                <w:rFonts w:ascii="Times New Roman" w:hAnsi="Times New Roman" w:cs="Times New Roman"/>
                <w:sz w:val="24"/>
                <w:szCs w:val="24"/>
                <w:lang w:val="lv-LV"/>
              </w:rPr>
              <w:t>Tā kā, pildot deleģēto valsts pārvaldes uzdevumu, Latvijas Ārstu biedrība,  Latvijas Ārstniecības personu profesionālo organizāciju savienība un Latvijas Māsu asociācija ar maksas pakalpojumu sniegšanu saistītos izdevumus sedz no pašu līdzekļiem un nevienā no valsts budžeta programmā</w:t>
            </w:r>
            <w:r w:rsidR="001D55DC">
              <w:rPr>
                <w:rFonts w:ascii="Times New Roman" w:hAnsi="Times New Roman" w:cs="Times New Roman"/>
                <w:sz w:val="24"/>
                <w:szCs w:val="24"/>
                <w:lang w:val="lv-LV"/>
              </w:rPr>
              <w:t>m</w:t>
            </w:r>
            <w:r w:rsidR="001D55DC" w:rsidRPr="001D55DC">
              <w:rPr>
                <w:rFonts w:ascii="Times New Roman" w:hAnsi="Times New Roman" w:cs="Times New Roman"/>
                <w:sz w:val="24"/>
                <w:szCs w:val="24"/>
                <w:lang w:val="lv-LV"/>
              </w:rPr>
              <w:t>/apakšprogrammām finanšu līdzekļi valsts pārvaldes uzdevuma nodrošināšanai minētajām organizācijām nav tikuši piešķirti, tad tie uzskatāmi par ārpus valsts budžeta ieņēmumiem un tiem atbilstošiem izdevumiem.</w:t>
            </w:r>
            <w:r w:rsidR="001D55DC">
              <w:rPr>
                <w:rFonts w:ascii="Times New Roman" w:hAnsi="Times New Roman" w:cs="Times New Roman"/>
                <w:sz w:val="24"/>
                <w:szCs w:val="24"/>
                <w:lang w:val="lv-LV"/>
              </w:rPr>
              <w:t xml:space="preserve"> </w:t>
            </w:r>
            <w:r w:rsidR="00766DC5" w:rsidRPr="001D55DC">
              <w:rPr>
                <w:rFonts w:ascii="Times New Roman" w:hAnsi="Times New Roman" w:cs="Times New Roman"/>
                <w:sz w:val="24"/>
                <w:szCs w:val="24"/>
                <w:lang w:val="lv-LV"/>
              </w:rPr>
              <w:t xml:space="preserve">Noteikumu projekts </w:t>
            </w:r>
            <w:r w:rsidR="001D55DC">
              <w:rPr>
                <w:rFonts w:ascii="Times New Roman" w:hAnsi="Times New Roman" w:cs="Times New Roman"/>
                <w:sz w:val="24"/>
                <w:szCs w:val="24"/>
                <w:lang w:val="lv-LV"/>
              </w:rPr>
              <w:t>nerada ietekmi uz valsts budžetu.</w:t>
            </w:r>
            <w:r w:rsidR="00766DC5" w:rsidRPr="001D55DC">
              <w:rPr>
                <w:rFonts w:ascii="Times New Roman" w:hAnsi="Times New Roman" w:cs="Times New Roman"/>
                <w:sz w:val="24"/>
                <w:szCs w:val="24"/>
                <w:lang w:val="lv-LV"/>
              </w:rPr>
              <w:t xml:space="preserve">. </w:t>
            </w:r>
          </w:p>
          <w:p w:rsidR="00C135D0" w:rsidRDefault="003D0945" w:rsidP="003D0945">
            <w:pPr>
              <w:pStyle w:val="naisf"/>
              <w:spacing w:before="0" w:after="0"/>
              <w:ind w:firstLine="0"/>
            </w:pPr>
            <w:r>
              <w:t xml:space="preserve">2013.gadā plānoti ieņēmumi no maksas pakalpojumu sniegšanas 96 807 latu apmērā, 2014.gadā – 109 526 lati/155 841 </w:t>
            </w:r>
            <w:proofErr w:type="spellStart"/>
            <w:r>
              <w:t>euro</w:t>
            </w:r>
            <w:proofErr w:type="spellEnd"/>
            <w:r>
              <w:t xml:space="preserve">, 2015.gadā – 105 634 lati/150 304 </w:t>
            </w:r>
            <w:proofErr w:type="spellStart"/>
            <w:r>
              <w:t>euro</w:t>
            </w:r>
            <w:proofErr w:type="spellEnd"/>
            <w:r>
              <w:t>.</w:t>
            </w:r>
          </w:p>
          <w:p w:rsidR="003D0945" w:rsidRPr="005E31B4" w:rsidRDefault="003D0945" w:rsidP="003D0945">
            <w:pPr>
              <w:pStyle w:val="naisf"/>
              <w:spacing w:before="0" w:after="0"/>
              <w:ind w:firstLine="0"/>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5E31B4" w:rsidRDefault="004C6F0E" w:rsidP="003D0945">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AA7CA8"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FB653A">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w:t>
            </w:r>
            <w:r w:rsidRPr="00FB653A">
              <w:rPr>
                <w:rFonts w:ascii="Times New Roman" w:eastAsia="Times New Roman" w:hAnsi="Times New Roman" w:cs="Times New Roman"/>
                <w:sz w:val="24"/>
                <w:szCs w:val="24"/>
                <w:lang w:val="lv-LV" w:eastAsia="lv-LV"/>
              </w:rPr>
              <w:t xml:space="preserve">projekta izpildi nodrošinās </w:t>
            </w:r>
            <w:r w:rsidR="00FB653A" w:rsidRPr="00FB653A">
              <w:rPr>
                <w:rFonts w:ascii="Times New Roman" w:hAnsi="Times New Roman" w:cs="Times New Roman"/>
                <w:sz w:val="24"/>
                <w:szCs w:val="24"/>
                <w:lang w:val="lv-LV"/>
              </w:rPr>
              <w:t>Latvijas Ārstu biedrība, Latvijas Ārstniecības personu profesionālo organizāciju savienība un Latvijas Māsu asociācija.</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1B3054" w:rsidP="00CB29A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001A4A" w:rsidRDefault="00001A4A" w:rsidP="00FB653A">
      <w:pPr>
        <w:pStyle w:val="naisf"/>
        <w:spacing w:before="0" w:after="0"/>
        <w:ind w:firstLine="0"/>
        <w:rPr>
          <w:color w:val="000000"/>
          <w:sz w:val="28"/>
          <w:szCs w:val="28"/>
        </w:rPr>
      </w:pPr>
    </w:p>
    <w:p w:rsidR="004276F7" w:rsidRDefault="004276F7" w:rsidP="001B3054">
      <w:pPr>
        <w:pStyle w:val="naisf"/>
        <w:spacing w:before="0" w:after="0"/>
        <w:ind w:firstLine="0"/>
        <w:rPr>
          <w:color w:val="000000"/>
          <w:sz w:val="28"/>
          <w:szCs w:val="28"/>
        </w:rPr>
      </w:pPr>
    </w:p>
    <w:p w:rsidR="006C440B" w:rsidRDefault="006C440B"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 xml:space="preserve">Veselības ministre                                                                         </w:t>
      </w:r>
      <w:proofErr w:type="spellStart"/>
      <w:r>
        <w:rPr>
          <w:color w:val="000000"/>
          <w:sz w:val="28"/>
          <w:szCs w:val="28"/>
        </w:rPr>
        <w:t>I.Circene</w:t>
      </w:r>
      <w:proofErr w:type="spellEnd"/>
    </w:p>
    <w:p w:rsidR="0054042E" w:rsidRDefault="0054042E" w:rsidP="0054042E">
      <w:pPr>
        <w:suppressAutoHyphens/>
        <w:spacing w:after="0" w:line="240" w:lineRule="auto"/>
        <w:rPr>
          <w:rFonts w:ascii="Times New Roman" w:hAnsi="Times New Roman" w:cs="Times New Roman"/>
          <w:sz w:val="24"/>
          <w:szCs w:val="24"/>
          <w:lang w:val="lv-LV"/>
        </w:rPr>
      </w:pPr>
    </w:p>
    <w:p w:rsidR="004276F7" w:rsidRDefault="004276F7" w:rsidP="0054042E">
      <w:pPr>
        <w:suppressAutoHyphens/>
        <w:spacing w:after="0" w:line="240" w:lineRule="auto"/>
        <w:rPr>
          <w:rFonts w:ascii="Times New Roman" w:hAnsi="Times New Roman" w:cs="Times New Roman"/>
          <w:sz w:val="24"/>
          <w:szCs w:val="24"/>
          <w:lang w:val="lv-LV"/>
        </w:rPr>
      </w:pPr>
    </w:p>
    <w:p w:rsidR="006C440B" w:rsidRDefault="006C440B" w:rsidP="0054042E">
      <w:pPr>
        <w:suppressAutoHyphens/>
        <w:spacing w:after="0" w:line="240" w:lineRule="auto"/>
        <w:rPr>
          <w:rFonts w:ascii="Times New Roman" w:hAnsi="Times New Roman" w:cs="Times New Roman"/>
          <w:sz w:val="24"/>
          <w:szCs w:val="24"/>
          <w:lang w:val="lv-LV"/>
        </w:rPr>
      </w:pPr>
    </w:p>
    <w:p w:rsidR="006C440B" w:rsidRDefault="006C440B" w:rsidP="0054042E">
      <w:pPr>
        <w:suppressAutoHyphens/>
        <w:spacing w:after="0" w:line="240" w:lineRule="auto"/>
        <w:rPr>
          <w:rFonts w:ascii="Times New Roman" w:hAnsi="Times New Roman" w:cs="Times New Roman"/>
          <w:sz w:val="24"/>
          <w:szCs w:val="24"/>
          <w:lang w:val="lv-LV"/>
        </w:rPr>
      </w:pPr>
    </w:p>
    <w:p w:rsidR="007B3B32" w:rsidRDefault="007B3B32"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25.07.2013  11:49</w:t>
      </w:r>
    </w:p>
    <w:p w:rsidR="0054042E" w:rsidRPr="00540000" w:rsidRDefault="006C440B" w:rsidP="0054042E">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911</w:t>
      </w:r>
    </w:p>
    <w:p w:rsidR="0054042E" w:rsidRPr="00540000" w:rsidRDefault="0054042E" w:rsidP="0054042E">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54042E" w:rsidRPr="00540000" w:rsidRDefault="0054042E" w:rsidP="0054042E">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30" w:rsidRDefault="00ED6C30" w:rsidP="00D176BF">
      <w:pPr>
        <w:spacing w:after="0" w:line="240" w:lineRule="auto"/>
      </w:pPr>
      <w:r>
        <w:separator/>
      </w:r>
    </w:p>
  </w:endnote>
  <w:endnote w:type="continuationSeparator" w:id="0">
    <w:p w:rsidR="00ED6C30" w:rsidRDefault="00ED6C30"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30" w:rsidRPr="001D55DC" w:rsidRDefault="00ED6C30" w:rsidP="001D55DC">
    <w:pPr>
      <w:jc w:val="both"/>
      <w:rPr>
        <w:rFonts w:ascii="Times New Roman" w:hAnsi="Times New Roman" w:cs="Times New Roman"/>
        <w:lang w:val="lv-LV"/>
      </w:rPr>
    </w:pPr>
    <w:r>
      <w:rPr>
        <w:rFonts w:ascii="Times New Roman" w:hAnsi="Times New Roman" w:cs="Times New Roman"/>
        <w:lang w:val="lv-LV"/>
      </w:rPr>
      <w:t>VMAnot_2507</w:t>
    </w:r>
    <w:r w:rsidRPr="001D55DC">
      <w:rPr>
        <w:rFonts w:ascii="Times New Roman" w:hAnsi="Times New Roman" w:cs="Times New Roman"/>
        <w:lang w:val="lv-LV"/>
      </w:rPr>
      <w:t xml:space="preserve">13_LAB; </w:t>
    </w:r>
    <w:bookmarkStart w:id="2" w:name="OLE_LINK23"/>
    <w:bookmarkStart w:id="3" w:name="OLE_LINK24"/>
    <w:bookmarkStart w:id="4" w:name="_Hlk355788435"/>
    <w:r w:rsidRPr="001D55DC">
      <w:rPr>
        <w:rFonts w:ascii="Times New Roman" w:hAnsi="Times New Roman" w:cs="Times New Roman"/>
        <w:lang w:val="lv-LV"/>
      </w:rPr>
      <w:t xml:space="preserve">Ministru kabineta noteikumu </w:t>
    </w:r>
    <w:r w:rsidRPr="001D55DC">
      <w:rPr>
        <w:rFonts w:ascii="Times New Roman" w:hAnsi="Times New Roman" w:cs="Times New Roman"/>
        <w:bCs/>
        <w:lang w:val="lv-LV"/>
      </w:rPr>
      <w:t>„Ārstniecības personu un ārstniecības atbalsta personu profesionālo zināšanu pārbaudes, sertifikāta noformēšanas, reģistrēšanas un tā dublikāta izgatavošanas maksas pakalpojumu cenrādi</w:t>
    </w:r>
    <w:r>
      <w:rPr>
        <w:rFonts w:ascii="Times New Roman" w:hAnsi="Times New Roman" w:cs="Times New Roman"/>
        <w:bCs/>
        <w:lang w:val="lv-LV"/>
      </w:rPr>
      <w:t>s</w:t>
    </w:r>
    <w:r w:rsidRPr="001D55DC">
      <w:rPr>
        <w:rFonts w:ascii="Times New Roman" w:hAnsi="Times New Roman" w:cs="Times New Roman"/>
        <w:bCs/>
        <w:lang w:val="lv-LV"/>
      </w:rPr>
      <w:t xml:space="preserve">” </w:t>
    </w:r>
    <w:r w:rsidRPr="001D55DC">
      <w:rPr>
        <w:rFonts w:ascii="Times New Roman" w:hAnsi="Times New Roman" w:cs="Times New Roman"/>
        <w:lang w:val="lv-LV"/>
      </w:rPr>
      <w:t>projekta</w:t>
    </w:r>
    <w:r w:rsidRPr="001D55DC">
      <w:rPr>
        <w:rFonts w:ascii="Times New Roman" w:hAnsi="Times New Roman" w:cs="Times New Roman"/>
        <w:bCs/>
        <w:lang w:val="lv-LV"/>
      </w:rPr>
      <w:t xml:space="preserve"> </w:t>
    </w:r>
    <w:r w:rsidRPr="001D55DC">
      <w:rPr>
        <w:rFonts w:ascii="Times New Roman" w:hAnsi="Times New Roman" w:cs="Times New Roman"/>
        <w:lang w:val="lv-LV"/>
      </w:rPr>
      <w:t>sākotnējās (</w:t>
    </w:r>
    <w:proofErr w:type="spellStart"/>
    <w:r w:rsidRPr="001D55DC">
      <w:rPr>
        <w:rFonts w:ascii="Times New Roman" w:hAnsi="Times New Roman" w:cs="Times New Roman"/>
        <w:lang w:val="lv-LV"/>
      </w:rPr>
      <w:t>ex-ante</w:t>
    </w:r>
    <w:proofErr w:type="spellEnd"/>
    <w:r w:rsidRPr="001D55DC">
      <w:rPr>
        <w:rFonts w:ascii="Times New Roman" w:hAnsi="Times New Roman" w:cs="Times New Roman"/>
        <w:lang w:val="lv-LV"/>
      </w:rPr>
      <w:t>) ietekmes novērtējuma ziņojums (anotācija)</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30" w:rsidRPr="001D55DC" w:rsidRDefault="00ED6C30" w:rsidP="00E8755F">
    <w:pPr>
      <w:jc w:val="both"/>
      <w:rPr>
        <w:rFonts w:ascii="Times New Roman" w:hAnsi="Times New Roman" w:cs="Times New Roman"/>
        <w:lang w:val="lv-LV"/>
      </w:rPr>
    </w:pPr>
    <w:r>
      <w:rPr>
        <w:rFonts w:ascii="Times New Roman" w:hAnsi="Times New Roman" w:cs="Times New Roman"/>
        <w:lang w:val="lv-LV"/>
      </w:rPr>
      <w:t>VMAnot_2507</w:t>
    </w:r>
    <w:r w:rsidRPr="001D55DC">
      <w:rPr>
        <w:rFonts w:ascii="Times New Roman" w:hAnsi="Times New Roman" w:cs="Times New Roman"/>
        <w:lang w:val="lv-LV"/>
      </w:rPr>
      <w:t xml:space="preserve">13_LAB; </w:t>
    </w:r>
    <w:bookmarkStart w:id="5" w:name="_Hlk243982562"/>
    <w:bookmarkStart w:id="6" w:name="OLE_LINK5"/>
    <w:bookmarkStart w:id="7" w:name="OLE_LINK6"/>
    <w:bookmarkStart w:id="8" w:name="OLE_LINK7"/>
    <w:bookmarkStart w:id="9" w:name="OLE_LINK14"/>
    <w:bookmarkStart w:id="10" w:name="OLE_LINK15"/>
    <w:bookmarkStart w:id="11" w:name="OLE_LINK3"/>
    <w:bookmarkStart w:id="12" w:name="OLE_LINK4"/>
    <w:bookmarkStart w:id="13" w:name="OLE_LINK10"/>
    <w:r w:rsidRPr="001D55DC">
      <w:rPr>
        <w:rFonts w:ascii="Times New Roman" w:hAnsi="Times New Roman" w:cs="Times New Roman"/>
        <w:lang w:val="lv-LV"/>
      </w:rPr>
      <w:t xml:space="preserve">Ministru kabineta noteikumu </w:t>
    </w:r>
    <w:bookmarkStart w:id="14" w:name="OLE_LINK17"/>
    <w:bookmarkStart w:id="15" w:name="OLE_LINK18"/>
    <w:bookmarkStart w:id="16" w:name="OLE_LINK19"/>
    <w:bookmarkStart w:id="17" w:name="_Hlk320622195"/>
    <w:bookmarkStart w:id="18" w:name="OLE_LINK20"/>
    <w:bookmarkEnd w:id="5"/>
    <w:bookmarkEnd w:id="6"/>
    <w:bookmarkEnd w:id="7"/>
    <w:bookmarkEnd w:id="8"/>
    <w:bookmarkEnd w:id="9"/>
    <w:bookmarkEnd w:id="10"/>
    <w:r w:rsidRPr="001D55DC">
      <w:rPr>
        <w:rFonts w:ascii="Times New Roman" w:hAnsi="Times New Roman" w:cs="Times New Roman"/>
        <w:bCs/>
        <w:lang w:val="lv-LV"/>
      </w:rPr>
      <w:t>„Ārstniecības personu un ārstniecības atbalsta personu profesionālo zināšanu pārbaudes, sertifikāta noformēšanas, reģistrēšanas un tā dublikāta izgatavošanas maksas pakalpojumu cenrādi</w:t>
    </w:r>
    <w:r>
      <w:rPr>
        <w:rFonts w:ascii="Times New Roman" w:hAnsi="Times New Roman" w:cs="Times New Roman"/>
        <w:bCs/>
        <w:lang w:val="lv-LV"/>
      </w:rPr>
      <w:t>s</w:t>
    </w:r>
    <w:r w:rsidRPr="001D55DC">
      <w:rPr>
        <w:rFonts w:ascii="Times New Roman" w:hAnsi="Times New Roman" w:cs="Times New Roman"/>
        <w:bCs/>
        <w:lang w:val="lv-LV"/>
      </w:rPr>
      <w:t xml:space="preserve">” </w:t>
    </w:r>
    <w:r w:rsidRPr="001D55DC">
      <w:rPr>
        <w:rFonts w:ascii="Times New Roman" w:hAnsi="Times New Roman" w:cs="Times New Roman"/>
        <w:lang w:val="lv-LV"/>
      </w:rPr>
      <w:t>projekt</w:t>
    </w:r>
    <w:bookmarkEnd w:id="14"/>
    <w:bookmarkEnd w:id="15"/>
    <w:bookmarkEnd w:id="16"/>
    <w:bookmarkEnd w:id="17"/>
    <w:bookmarkEnd w:id="18"/>
    <w:r w:rsidRPr="001D55DC">
      <w:rPr>
        <w:rFonts w:ascii="Times New Roman" w:hAnsi="Times New Roman" w:cs="Times New Roman"/>
        <w:lang w:val="lv-LV"/>
      </w:rPr>
      <w:t>a</w:t>
    </w:r>
    <w:r w:rsidRPr="001D55DC">
      <w:rPr>
        <w:rFonts w:ascii="Times New Roman" w:hAnsi="Times New Roman" w:cs="Times New Roman"/>
        <w:bCs/>
        <w:lang w:val="lv-LV"/>
      </w:rPr>
      <w:t xml:space="preserve"> </w:t>
    </w:r>
    <w:r w:rsidRPr="001D55DC">
      <w:rPr>
        <w:rFonts w:ascii="Times New Roman" w:hAnsi="Times New Roman" w:cs="Times New Roman"/>
        <w:lang w:val="lv-LV"/>
      </w:rPr>
      <w:t>sākotnējās (</w:t>
    </w:r>
    <w:proofErr w:type="spellStart"/>
    <w:r w:rsidRPr="001D55DC">
      <w:rPr>
        <w:rFonts w:ascii="Times New Roman" w:hAnsi="Times New Roman" w:cs="Times New Roman"/>
        <w:lang w:val="lv-LV"/>
      </w:rPr>
      <w:t>ex-ante</w:t>
    </w:r>
    <w:proofErr w:type="spellEnd"/>
    <w:r w:rsidRPr="001D55DC">
      <w:rPr>
        <w:rFonts w:ascii="Times New Roman" w:hAnsi="Times New Roman" w:cs="Times New Roman"/>
        <w:lang w:val="lv-LV"/>
      </w:rPr>
      <w:t>) ietekmes novērtējuma ziņojums (anotācija)</w:t>
    </w:r>
    <w:bookmarkEnd w:id="11"/>
    <w:bookmarkEnd w:id="12"/>
    <w:bookmarkEnd w:id="13"/>
  </w:p>
  <w:p w:rsidR="00ED6C30" w:rsidRPr="00C80A77" w:rsidRDefault="00ED6C30">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30" w:rsidRDefault="00ED6C30" w:rsidP="00D176BF">
      <w:pPr>
        <w:spacing w:after="0" w:line="240" w:lineRule="auto"/>
      </w:pPr>
      <w:r>
        <w:separator/>
      </w:r>
    </w:p>
  </w:footnote>
  <w:footnote w:type="continuationSeparator" w:id="0">
    <w:p w:rsidR="00ED6C30" w:rsidRDefault="00ED6C30"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ED6C30" w:rsidRDefault="00ED6C30">
        <w:pPr>
          <w:pStyle w:val="Header"/>
          <w:jc w:val="center"/>
        </w:pPr>
        <w:r w:rsidRPr="008F0541">
          <w:rPr>
            <w:rFonts w:ascii="Times New Roman" w:hAnsi="Times New Roman" w:cs="Times New Roman"/>
          </w:rPr>
          <w:fldChar w:fldCharType="begin"/>
        </w:r>
        <w:r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7B3B32">
          <w:rPr>
            <w:rFonts w:ascii="Times New Roman" w:hAnsi="Times New Roman" w:cs="Times New Roman"/>
            <w:noProof/>
          </w:rPr>
          <w:t>5</w:t>
        </w:r>
        <w:r w:rsidRPr="008F0541">
          <w:rPr>
            <w:rFonts w:ascii="Times New Roman" w:hAnsi="Times New Roman" w:cs="Times New Roman"/>
          </w:rPr>
          <w:fldChar w:fldCharType="end"/>
        </w:r>
      </w:p>
    </w:sdtContent>
  </w:sdt>
  <w:p w:rsidR="00ED6C30" w:rsidRDefault="00ED6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5B14EF1"/>
    <w:multiLevelType w:val="hybridMultilevel"/>
    <w:tmpl w:val="F2B24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4">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2"/>
  </w:num>
  <w:num w:numId="5">
    <w:abstractNumId w:val="16"/>
  </w:num>
  <w:num w:numId="6">
    <w:abstractNumId w:val="18"/>
  </w:num>
  <w:num w:numId="7">
    <w:abstractNumId w:val="2"/>
  </w:num>
  <w:num w:numId="8">
    <w:abstractNumId w:val="11"/>
  </w:num>
  <w:num w:numId="9">
    <w:abstractNumId w:val="0"/>
  </w:num>
  <w:num w:numId="10">
    <w:abstractNumId w:val="1"/>
  </w:num>
  <w:num w:numId="11">
    <w:abstractNumId w:val="13"/>
  </w:num>
  <w:num w:numId="12">
    <w:abstractNumId w:val="10"/>
  </w:num>
  <w:num w:numId="13">
    <w:abstractNumId w:val="6"/>
  </w:num>
  <w:num w:numId="14">
    <w:abstractNumId w:val="14"/>
  </w:num>
  <w:num w:numId="15">
    <w:abstractNumId w:val="4"/>
  </w:num>
  <w:num w:numId="16">
    <w:abstractNumId w:val="17"/>
  </w:num>
  <w:num w:numId="17">
    <w:abstractNumId w:val="15"/>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01A4A"/>
    <w:rsid w:val="00011728"/>
    <w:rsid w:val="000178DB"/>
    <w:rsid w:val="0002007C"/>
    <w:rsid w:val="00020C0C"/>
    <w:rsid w:val="00025013"/>
    <w:rsid w:val="000253A5"/>
    <w:rsid w:val="0004227B"/>
    <w:rsid w:val="00046E58"/>
    <w:rsid w:val="000528B6"/>
    <w:rsid w:val="00053897"/>
    <w:rsid w:val="00060E6A"/>
    <w:rsid w:val="00063230"/>
    <w:rsid w:val="00067F88"/>
    <w:rsid w:val="000752B8"/>
    <w:rsid w:val="00076727"/>
    <w:rsid w:val="00076978"/>
    <w:rsid w:val="000833C5"/>
    <w:rsid w:val="000834BE"/>
    <w:rsid w:val="000914ED"/>
    <w:rsid w:val="0009665A"/>
    <w:rsid w:val="0009784C"/>
    <w:rsid w:val="000A4F85"/>
    <w:rsid w:val="000C5F3C"/>
    <w:rsid w:val="000C77C4"/>
    <w:rsid w:val="000D1549"/>
    <w:rsid w:val="000D469D"/>
    <w:rsid w:val="000E03FB"/>
    <w:rsid w:val="000F0009"/>
    <w:rsid w:val="000F08D1"/>
    <w:rsid w:val="000F12B2"/>
    <w:rsid w:val="000F53A1"/>
    <w:rsid w:val="00101CAA"/>
    <w:rsid w:val="001028CB"/>
    <w:rsid w:val="00104C96"/>
    <w:rsid w:val="0011335C"/>
    <w:rsid w:val="0011591E"/>
    <w:rsid w:val="00135079"/>
    <w:rsid w:val="00142244"/>
    <w:rsid w:val="0014731E"/>
    <w:rsid w:val="00150589"/>
    <w:rsid w:val="00154FFB"/>
    <w:rsid w:val="00171B5A"/>
    <w:rsid w:val="0017506D"/>
    <w:rsid w:val="00176877"/>
    <w:rsid w:val="00191346"/>
    <w:rsid w:val="001941BF"/>
    <w:rsid w:val="001962D0"/>
    <w:rsid w:val="001A0BBA"/>
    <w:rsid w:val="001B05B2"/>
    <w:rsid w:val="001B141F"/>
    <w:rsid w:val="001B3054"/>
    <w:rsid w:val="001B4C40"/>
    <w:rsid w:val="001B51C8"/>
    <w:rsid w:val="001C0BF7"/>
    <w:rsid w:val="001D55DC"/>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64A5"/>
    <w:rsid w:val="00292F2A"/>
    <w:rsid w:val="002A4881"/>
    <w:rsid w:val="002A51C6"/>
    <w:rsid w:val="002B4988"/>
    <w:rsid w:val="002E50CE"/>
    <w:rsid w:val="00306641"/>
    <w:rsid w:val="00312F06"/>
    <w:rsid w:val="003139BF"/>
    <w:rsid w:val="00314CA8"/>
    <w:rsid w:val="0031547E"/>
    <w:rsid w:val="0031647C"/>
    <w:rsid w:val="003203BC"/>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0945"/>
    <w:rsid w:val="003D1D07"/>
    <w:rsid w:val="003E306E"/>
    <w:rsid w:val="003E4ED8"/>
    <w:rsid w:val="003F0001"/>
    <w:rsid w:val="003F0CA5"/>
    <w:rsid w:val="003F412B"/>
    <w:rsid w:val="003F4512"/>
    <w:rsid w:val="003F6650"/>
    <w:rsid w:val="004013E2"/>
    <w:rsid w:val="00406D82"/>
    <w:rsid w:val="00411537"/>
    <w:rsid w:val="004144CF"/>
    <w:rsid w:val="00417F29"/>
    <w:rsid w:val="004234B0"/>
    <w:rsid w:val="00425645"/>
    <w:rsid w:val="0042610B"/>
    <w:rsid w:val="004276F7"/>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E0EDB"/>
    <w:rsid w:val="004E32E7"/>
    <w:rsid w:val="005054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5572"/>
    <w:rsid w:val="005866EF"/>
    <w:rsid w:val="0059461C"/>
    <w:rsid w:val="005C3B8C"/>
    <w:rsid w:val="005D15E8"/>
    <w:rsid w:val="005D4AE6"/>
    <w:rsid w:val="005E31B4"/>
    <w:rsid w:val="005F5533"/>
    <w:rsid w:val="005F76A5"/>
    <w:rsid w:val="00605BE7"/>
    <w:rsid w:val="00611A72"/>
    <w:rsid w:val="006230C6"/>
    <w:rsid w:val="00636C85"/>
    <w:rsid w:val="00646059"/>
    <w:rsid w:val="00651E70"/>
    <w:rsid w:val="006528C4"/>
    <w:rsid w:val="006614D3"/>
    <w:rsid w:val="00663130"/>
    <w:rsid w:val="00663B03"/>
    <w:rsid w:val="0066508E"/>
    <w:rsid w:val="00666600"/>
    <w:rsid w:val="00675CEE"/>
    <w:rsid w:val="00675D97"/>
    <w:rsid w:val="00676BDA"/>
    <w:rsid w:val="00677602"/>
    <w:rsid w:val="00687C83"/>
    <w:rsid w:val="00694649"/>
    <w:rsid w:val="00696792"/>
    <w:rsid w:val="006A467A"/>
    <w:rsid w:val="006A5353"/>
    <w:rsid w:val="006A7D54"/>
    <w:rsid w:val="006B1A03"/>
    <w:rsid w:val="006B2600"/>
    <w:rsid w:val="006B35FF"/>
    <w:rsid w:val="006C126F"/>
    <w:rsid w:val="006C440B"/>
    <w:rsid w:val="006C63FD"/>
    <w:rsid w:val="006C64C5"/>
    <w:rsid w:val="006C71B1"/>
    <w:rsid w:val="006E0ADB"/>
    <w:rsid w:val="006E1B1F"/>
    <w:rsid w:val="006E49B0"/>
    <w:rsid w:val="006E5FD1"/>
    <w:rsid w:val="006E619B"/>
    <w:rsid w:val="006E7258"/>
    <w:rsid w:val="006F40E3"/>
    <w:rsid w:val="007014D9"/>
    <w:rsid w:val="0070292C"/>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B3B32"/>
    <w:rsid w:val="007C16A4"/>
    <w:rsid w:val="007C6501"/>
    <w:rsid w:val="007D1667"/>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8018F"/>
    <w:rsid w:val="008946F9"/>
    <w:rsid w:val="008A3639"/>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6F64"/>
    <w:rsid w:val="0093718E"/>
    <w:rsid w:val="00943978"/>
    <w:rsid w:val="009501D0"/>
    <w:rsid w:val="00953993"/>
    <w:rsid w:val="00955B43"/>
    <w:rsid w:val="00964BD3"/>
    <w:rsid w:val="0097354B"/>
    <w:rsid w:val="00992F12"/>
    <w:rsid w:val="009937C4"/>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FBA"/>
    <w:rsid w:val="009F2D54"/>
    <w:rsid w:val="00A01DA9"/>
    <w:rsid w:val="00A14F85"/>
    <w:rsid w:val="00A17681"/>
    <w:rsid w:val="00A226E5"/>
    <w:rsid w:val="00A22853"/>
    <w:rsid w:val="00A2298F"/>
    <w:rsid w:val="00A36BC2"/>
    <w:rsid w:val="00A47AD0"/>
    <w:rsid w:val="00A57CED"/>
    <w:rsid w:val="00A619FC"/>
    <w:rsid w:val="00A62C32"/>
    <w:rsid w:val="00A76594"/>
    <w:rsid w:val="00A77B33"/>
    <w:rsid w:val="00A83D9E"/>
    <w:rsid w:val="00A858EB"/>
    <w:rsid w:val="00A90041"/>
    <w:rsid w:val="00A9062C"/>
    <w:rsid w:val="00A90A37"/>
    <w:rsid w:val="00A90B79"/>
    <w:rsid w:val="00A917BE"/>
    <w:rsid w:val="00AA1216"/>
    <w:rsid w:val="00AA536F"/>
    <w:rsid w:val="00AA6256"/>
    <w:rsid w:val="00AA7CA8"/>
    <w:rsid w:val="00AB0053"/>
    <w:rsid w:val="00AB1850"/>
    <w:rsid w:val="00AB1D0C"/>
    <w:rsid w:val="00AC15D9"/>
    <w:rsid w:val="00AD23CD"/>
    <w:rsid w:val="00AD6B1B"/>
    <w:rsid w:val="00AE2092"/>
    <w:rsid w:val="00AE471D"/>
    <w:rsid w:val="00AF0A73"/>
    <w:rsid w:val="00AF1B69"/>
    <w:rsid w:val="00AF22E3"/>
    <w:rsid w:val="00B01999"/>
    <w:rsid w:val="00B02314"/>
    <w:rsid w:val="00B10414"/>
    <w:rsid w:val="00B107D0"/>
    <w:rsid w:val="00B20BC2"/>
    <w:rsid w:val="00B26EF6"/>
    <w:rsid w:val="00B32EF7"/>
    <w:rsid w:val="00B35014"/>
    <w:rsid w:val="00B41505"/>
    <w:rsid w:val="00B51920"/>
    <w:rsid w:val="00B555F1"/>
    <w:rsid w:val="00B621B6"/>
    <w:rsid w:val="00B62ED7"/>
    <w:rsid w:val="00B6450E"/>
    <w:rsid w:val="00B64674"/>
    <w:rsid w:val="00B807E7"/>
    <w:rsid w:val="00B90517"/>
    <w:rsid w:val="00B9753B"/>
    <w:rsid w:val="00BA2565"/>
    <w:rsid w:val="00BA30E3"/>
    <w:rsid w:val="00BB1494"/>
    <w:rsid w:val="00BB4AF8"/>
    <w:rsid w:val="00BC4DEC"/>
    <w:rsid w:val="00BC6D08"/>
    <w:rsid w:val="00BE2810"/>
    <w:rsid w:val="00BF2451"/>
    <w:rsid w:val="00BF6ECA"/>
    <w:rsid w:val="00C13395"/>
    <w:rsid w:val="00C135D0"/>
    <w:rsid w:val="00C27CC2"/>
    <w:rsid w:val="00C4647A"/>
    <w:rsid w:val="00C4720E"/>
    <w:rsid w:val="00C473DB"/>
    <w:rsid w:val="00C50A62"/>
    <w:rsid w:val="00C519B9"/>
    <w:rsid w:val="00C56CE1"/>
    <w:rsid w:val="00C56E67"/>
    <w:rsid w:val="00C624C4"/>
    <w:rsid w:val="00C64D79"/>
    <w:rsid w:val="00C71D38"/>
    <w:rsid w:val="00C7638F"/>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D1F0F"/>
    <w:rsid w:val="00CD5BDB"/>
    <w:rsid w:val="00CE0648"/>
    <w:rsid w:val="00CE149F"/>
    <w:rsid w:val="00CE1F61"/>
    <w:rsid w:val="00CE37A3"/>
    <w:rsid w:val="00CE5A39"/>
    <w:rsid w:val="00CF6FA9"/>
    <w:rsid w:val="00CF7CAA"/>
    <w:rsid w:val="00D02021"/>
    <w:rsid w:val="00D0490D"/>
    <w:rsid w:val="00D110E9"/>
    <w:rsid w:val="00D176BF"/>
    <w:rsid w:val="00D23050"/>
    <w:rsid w:val="00D301EC"/>
    <w:rsid w:val="00D34275"/>
    <w:rsid w:val="00D34FB1"/>
    <w:rsid w:val="00D3690A"/>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E5F34"/>
    <w:rsid w:val="00DF5AB3"/>
    <w:rsid w:val="00DF6D63"/>
    <w:rsid w:val="00DF78E2"/>
    <w:rsid w:val="00E01C8A"/>
    <w:rsid w:val="00E03159"/>
    <w:rsid w:val="00E411FA"/>
    <w:rsid w:val="00E46C79"/>
    <w:rsid w:val="00E47831"/>
    <w:rsid w:val="00E556DE"/>
    <w:rsid w:val="00E57163"/>
    <w:rsid w:val="00E60065"/>
    <w:rsid w:val="00E60824"/>
    <w:rsid w:val="00E631DF"/>
    <w:rsid w:val="00E80D61"/>
    <w:rsid w:val="00E8692C"/>
    <w:rsid w:val="00E8755F"/>
    <w:rsid w:val="00E921DA"/>
    <w:rsid w:val="00E930F3"/>
    <w:rsid w:val="00E93116"/>
    <w:rsid w:val="00E9665D"/>
    <w:rsid w:val="00EA44C5"/>
    <w:rsid w:val="00EB40E9"/>
    <w:rsid w:val="00EB4AD0"/>
    <w:rsid w:val="00EB5C7D"/>
    <w:rsid w:val="00EC07C2"/>
    <w:rsid w:val="00EC7079"/>
    <w:rsid w:val="00ED26BA"/>
    <w:rsid w:val="00ED2F20"/>
    <w:rsid w:val="00ED67DB"/>
    <w:rsid w:val="00ED6C30"/>
    <w:rsid w:val="00EF50BE"/>
    <w:rsid w:val="00F04828"/>
    <w:rsid w:val="00F12C9C"/>
    <w:rsid w:val="00F14078"/>
    <w:rsid w:val="00F14405"/>
    <w:rsid w:val="00F319E8"/>
    <w:rsid w:val="00F359DF"/>
    <w:rsid w:val="00F408B2"/>
    <w:rsid w:val="00F44DBB"/>
    <w:rsid w:val="00F6163C"/>
    <w:rsid w:val="00F63AD2"/>
    <w:rsid w:val="00F64741"/>
    <w:rsid w:val="00F70AF2"/>
    <w:rsid w:val="00F714F8"/>
    <w:rsid w:val="00F76510"/>
    <w:rsid w:val="00F77370"/>
    <w:rsid w:val="00F81A95"/>
    <w:rsid w:val="00F81B85"/>
    <w:rsid w:val="00F85632"/>
    <w:rsid w:val="00F90BB0"/>
    <w:rsid w:val="00F92DAB"/>
    <w:rsid w:val="00F9329C"/>
    <w:rsid w:val="00F94F58"/>
    <w:rsid w:val="00FB11D6"/>
    <w:rsid w:val="00FB5418"/>
    <w:rsid w:val="00FB5823"/>
    <w:rsid w:val="00FB5831"/>
    <w:rsid w:val="00FB653A"/>
    <w:rsid w:val="00FC0A93"/>
    <w:rsid w:val="00FD543A"/>
    <w:rsid w:val="00FD54E0"/>
    <w:rsid w:val="00FE58E6"/>
    <w:rsid w:val="00FE665B"/>
    <w:rsid w:val="00FF06BE"/>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Ministru kabineta noteikumu „Ārstniecības personu un ārstniecības atbalsta personu profesionālo zināšanu pārbaudes, sertifikāta noformēšanas, reģistrēšanas un tā dublikāta izgatavošanas maksas pakalpojumu cenrādis” projekta sākotnējās (ex-ante) ietekmes M</vt:lpstr>
    </vt:vector>
  </TitlesOfParts>
  <Company>Veselības ministrija</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„Ārstniecības personu un ārstniecības atbalsta personu profesionālo zināšanu pārbaudes, sertifikāta noformēšanas, reģistrēšanas un tā dublikāta izgatavošanas maksas pakalpojumu cenrādis” projekta sākotnējās (ex-ante) ietekmes Ministru kabineta noteikumu „Ārstniecības personu un ārstniecības atbalsta personu profesionālo zināšanu pārbaudes, sertifikāta noformēšanas, reģistrēšanas un tā dublikāta izgatavošanas maksas pakalpojumu cenrādis” projekta sākotnējās (ex-ante) ietekmes Ministru kabineta noteikumu „Ārstniecības personu un ārstniecības atbalsta personu profesionālo zināšanu pārbaudes, sertifikāta noformēšanas, reģistrēšanas un tā dublikāta izgatavošanas maksas pakalpojumu cenrādis”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6</cp:revision>
  <cp:lastPrinted>2013-04-18T13:44:00Z</cp:lastPrinted>
  <dcterms:created xsi:type="dcterms:W3CDTF">2013-06-05T10:43:00Z</dcterms:created>
  <dcterms:modified xsi:type="dcterms:W3CDTF">2013-07-25T08:49:00Z</dcterms:modified>
</cp:coreProperties>
</file>