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8" w:rsidRPr="004468B2" w:rsidRDefault="00005208" w:rsidP="00005208">
      <w:pPr>
        <w:jc w:val="both"/>
        <w:rPr>
          <w:sz w:val="28"/>
          <w:szCs w:val="28"/>
          <w:lang w:val="lv-LV"/>
        </w:rPr>
      </w:pPr>
    </w:p>
    <w:p w:rsidR="00CB2893" w:rsidRPr="004468B2" w:rsidRDefault="00CB2893" w:rsidP="00A87F98">
      <w:pPr>
        <w:ind w:right="185"/>
        <w:jc w:val="center"/>
        <w:rPr>
          <w:b/>
          <w:sz w:val="28"/>
          <w:szCs w:val="28"/>
          <w:lang w:val="lv-LV"/>
        </w:rPr>
      </w:pPr>
      <w:r w:rsidRPr="004468B2">
        <w:rPr>
          <w:b/>
          <w:sz w:val="28"/>
          <w:szCs w:val="28"/>
          <w:lang w:val="lv-LV"/>
        </w:rPr>
        <w:t>Ministru kabineta noteikumu projekta</w:t>
      </w:r>
    </w:p>
    <w:p w:rsidR="003A1EB7" w:rsidRPr="004468B2" w:rsidRDefault="003A1EB7" w:rsidP="000C5484">
      <w:pPr>
        <w:jc w:val="center"/>
        <w:rPr>
          <w:b/>
          <w:sz w:val="28"/>
          <w:szCs w:val="28"/>
          <w:lang w:val="lv-LV"/>
        </w:rPr>
      </w:pPr>
      <w:r w:rsidRPr="004468B2">
        <w:rPr>
          <w:b/>
          <w:sz w:val="28"/>
          <w:szCs w:val="28"/>
          <w:lang w:val="lv-LV"/>
        </w:rPr>
        <w:t>”</w:t>
      </w:r>
      <w:r w:rsidR="00B47DC5" w:rsidRPr="004468B2">
        <w:rPr>
          <w:b/>
          <w:sz w:val="28"/>
          <w:szCs w:val="28"/>
          <w:lang w:val="lv-LV"/>
        </w:rPr>
        <w:t>Grozījumi Ministru kabineta 2007.gada 26.jūnija noteikumos Nr.416 ”Zāļu izplatīšanas un</w:t>
      </w:r>
      <w:r w:rsidR="00274D7B" w:rsidRPr="004468B2">
        <w:rPr>
          <w:b/>
          <w:sz w:val="28"/>
          <w:szCs w:val="28"/>
          <w:lang w:val="lv-LV"/>
        </w:rPr>
        <w:t xml:space="preserve"> kvalitātes kontroles kārtība””</w:t>
      </w:r>
    </w:p>
    <w:p w:rsidR="00B47DC5" w:rsidRPr="004468B2" w:rsidRDefault="00B47DC5" w:rsidP="00B47DC5">
      <w:pPr>
        <w:jc w:val="center"/>
        <w:rPr>
          <w:b/>
          <w:bCs/>
          <w:sz w:val="28"/>
          <w:szCs w:val="28"/>
          <w:lang w:val="lv-LV"/>
        </w:rPr>
      </w:pPr>
      <w:r w:rsidRPr="004468B2">
        <w:rPr>
          <w:b/>
          <w:sz w:val="28"/>
          <w:szCs w:val="28"/>
          <w:lang w:val="lv-LV"/>
        </w:rPr>
        <w:t xml:space="preserve">sākotnējās ietekmes novērtējuma ziņojums </w:t>
      </w:r>
      <w:r w:rsidRPr="004468B2">
        <w:rPr>
          <w:b/>
          <w:bCs/>
          <w:sz w:val="28"/>
          <w:szCs w:val="28"/>
          <w:lang w:val="lv-LV"/>
        </w:rPr>
        <w:t>(anotācija)</w:t>
      </w:r>
    </w:p>
    <w:p w:rsidR="00B47DC5" w:rsidRPr="004468B2" w:rsidRDefault="00B47DC5" w:rsidP="000C5484">
      <w:pPr>
        <w:jc w:val="center"/>
        <w:rPr>
          <w:b/>
          <w:bCs/>
          <w:sz w:val="28"/>
          <w:szCs w:val="28"/>
          <w:lang w:val="lv-LV"/>
        </w:rPr>
      </w:pPr>
    </w:p>
    <w:p w:rsidR="004134D0" w:rsidRPr="004468B2" w:rsidRDefault="004134D0" w:rsidP="004134D0">
      <w:pPr>
        <w:pStyle w:val="naislab"/>
        <w:spacing w:before="0" w:after="0"/>
        <w:jc w:val="left"/>
        <w:outlineLvl w:val="0"/>
        <w:rPr>
          <w:b/>
          <w:color w:val="auto"/>
          <w:sz w:val="28"/>
          <w:szCs w:val="28"/>
        </w:rPr>
      </w:pPr>
    </w:p>
    <w:tbl>
      <w:tblPr>
        <w:tblW w:w="12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32"/>
        <w:gridCol w:w="264"/>
        <w:gridCol w:w="293"/>
        <w:gridCol w:w="1258"/>
        <w:gridCol w:w="996"/>
        <w:gridCol w:w="25"/>
        <w:gridCol w:w="117"/>
        <w:gridCol w:w="1036"/>
        <w:gridCol w:w="2083"/>
        <w:gridCol w:w="221"/>
        <w:gridCol w:w="1763"/>
        <w:gridCol w:w="1276"/>
        <w:gridCol w:w="1083"/>
        <w:gridCol w:w="20"/>
        <w:gridCol w:w="1432"/>
      </w:tblGrid>
      <w:tr w:rsidR="004134D0" w:rsidRPr="004468B2" w:rsidTr="008B675E">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rPr>
                <w:b w:val="0"/>
              </w:rPr>
            </w:pPr>
            <w:r w:rsidRPr="004468B2">
              <w:t>I. Tiesību akta projekta izstrādes nepieciešamība</w:t>
            </w:r>
          </w:p>
        </w:tc>
      </w:tr>
      <w:tr w:rsidR="004134D0" w:rsidRPr="004468B2" w:rsidTr="008B675E">
        <w:trPr>
          <w:gridBefore w:val="1"/>
          <w:gridAfter w:val="3"/>
          <w:wBefore w:w="34" w:type="dxa"/>
          <w:wAfter w:w="2535"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1.</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ind w:hanging="10"/>
            </w:pPr>
            <w:r w:rsidRPr="004468B2">
              <w:t>Pamatojums</w:t>
            </w:r>
          </w:p>
        </w:tc>
        <w:tc>
          <w:tcPr>
            <w:tcW w:w="7517" w:type="dxa"/>
            <w:gridSpan w:val="8"/>
            <w:tcBorders>
              <w:top w:val="single" w:sz="4" w:space="0" w:color="auto"/>
              <w:left w:val="single" w:sz="4" w:space="0" w:color="auto"/>
              <w:bottom w:val="single" w:sz="4" w:space="0" w:color="auto"/>
              <w:right w:val="single" w:sz="4" w:space="0" w:color="auto"/>
            </w:tcBorders>
            <w:hideMark/>
          </w:tcPr>
          <w:p w:rsidR="00FA3A92"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1. </w:t>
            </w:r>
            <w:r w:rsidR="004134D0" w:rsidRPr="004468B2">
              <w:rPr>
                <w:rFonts w:ascii="Times New Roman" w:hAnsi="Times New Roman"/>
                <w:sz w:val="24"/>
                <w:szCs w:val="24"/>
              </w:rPr>
              <w:t>Ministru kabineta noteikumu projekts ”</w:t>
            </w:r>
            <w:r w:rsidR="00572259" w:rsidRPr="004468B2">
              <w:rPr>
                <w:rFonts w:ascii="Times New Roman" w:hAnsi="Times New Roman"/>
                <w:sz w:val="24"/>
                <w:szCs w:val="24"/>
              </w:rPr>
              <w:t>Grozījumi Ministru kabineta 2007.gada 26.jūnija noteikumos Nr.416 ”Zāļu izplatīšanas un kvalitātes kontroles kārtība””</w:t>
            </w:r>
            <w:r w:rsidR="00203DE2" w:rsidRPr="004468B2">
              <w:rPr>
                <w:rFonts w:ascii="Times New Roman" w:hAnsi="Times New Roman"/>
                <w:sz w:val="24"/>
                <w:szCs w:val="24"/>
              </w:rPr>
              <w:t xml:space="preserve"> </w:t>
            </w:r>
            <w:r w:rsidR="004134D0" w:rsidRPr="004468B2">
              <w:rPr>
                <w:rFonts w:ascii="Times New Roman" w:hAnsi="Times New Roman"/>
                <w:sz w:val="24"/>
                <w:szCs w:val="24"/>
              </w:rPr>
              <w:t>(turpmāk - N</w:t>
            </w:r>
            <w:r w:rsidR="00D9518E" w:rsidRPr="004468B2">
              <w:rPr>
                <w:rFonts w:ascii="Times New Roman" w:hAnsi="Times New Roman"/>
                <w:sz w:val="24"/>
                <w:szCs w:val="24"/>
              </w:rPr>
              <w:t>oteikumu projekts) ir izstrādāts</w:t>
            </w:r>
            <w:r w:rsidR="004134D0" w:rsidRPr="004468B2">
              <w:rPr>
                <w:rFonts w:ascii="Times New Roman" w:hAnsi="Times New Roman"/>
                <w:sz w:val="24"/>
                <w:szCs w:val="24"/>
              </w:rPr>
              <w:t xml:space="preserve"> saistībā ar</w:t>
            </w:r>
            <w:r w:rsidRPr="004468B2">
              <w:rPr>
                <w:rFonts w:ascii="Times New Roman" w:hAnsi="Times New Roman"/>
                <w:sz w:val="24"/>
                <w:szCs w:val="24"/>
              </w:rPr>
              <w:t xml:space="preserve"> </w:t>
            </w:r>
            <w:r w:rsidR="004134D0" w:rsidRPr="004468B2">
              <w:rPr>
                <w:rFonts w:ascii="Times New Roman" w:hAnsi="Times New Roman"/>
                <w:sz w:val="24"/>
                <w:szCs w:val="24"/>
              </w:rPr>
              <w:t>Farmācijas liku</w:t>
            </w:r>
            <w:r w:rsidR="008E6DC4" w:rsidRPr="004468B2">
              <w:rPr>
                <w:rFonts w:ascii="Times New Roman" w:hAnsi="Times New Roman"/>
                <w:sz w:val="24"/>
                <w:szCs w:val="24"/>
              </w:rPr>
              <w:t>ma 5.panta 3</w:t>
            </w:r>
            <w:r w:rsidR="00EE4A7C" w:rsidRPr="004468B2">
              <w:rPr>
                <w:rFonts w:ascii="Times New Roman" w:hAnsi="Times New Roman"/>
                <w:sz w:val="24"/>
                <w:szCs w:val="24"/>
              </w:rPr>
              <w:t>.</w:t>
            </w:r>
            <w:r w:rsidRPr="004468B2">
              <w:rPr>
                <w:rFonts w:ascii="Times New Roman" w:hAnsi="Times New Roman"/>
                <w:sz w:val="24"/>
                <w:szCs w:val="24"/>
              </w:rPr>
              <w:t>punktu,</w:t>
            </w:r>
            <w:r w:rsidR="008E6DC4" w:rsidRPr="004468B2">
              <w:rPr>
                <w:rFonts w:ascii="Times New Roman" w:hAnsi="Times New Roman"/>
                <w:sz w:val="24"/>
                <w:szCs w:val="24"/>
              </w:rPr>
              <w:t xml:space="preserve"> lai</w:t>
            </w:r>
            <w:r w:rsidRPr="004468B2">
              <w:rPr>
                <w:rFonts w:ascii="Times New Roman" w:hAnsi="Times New Roman"/>
                <w:sz w:val="24"/>
                <w:szCs w:val="24"/>
              </w:rPr>
              <w:t xml:space="preserve"> </w:t>
            </w:r>
            <w:r w:rsidR="004134D0" w:rsidRPr="004468B2">
              <w:rPr>
                <w:rFonts w:ascii="Times New Roman" w:hAnsi="Times New Roman"/>
                <w:sz w:val="24"/>
                <w:szCs w:val="24"/>
              </w:rPr>
              <w:t>ieviestu normas, kas izriet no</w:t>
            </w:r>
            <w:r w:rsidRPr="004468B2">
              <w:rPr>
                <w:rFonts w:ascii="Times New Roman" w:hAnsi="Times New Roman"/>
                <w:sz w:val="24"/>
                <w:szCs w:val="24"/>
              </w:rPr>
              <w:t>:</w:t>
            </w:r>
          </w:p>
          <w:p w:rsidR="00BF0D0F"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1) </w:t>
            </w:r>
            <w:r w:rsidR="004134D0" w:rsidRPr="004468B2">
              <w:rPr>
                <w:rFonts w:ascii="Times New Roman" w:hAnsi="Times New Roman"/>
                <w:sz w:val="24"/>
                <w:szCs w:val="24"/>
              </w:rPr>
              <w:t xml:space="preserve">Eiropas Parlamenta un Padomes 2011.gada 8.jūnija Direktīvas 2011/62/ES, ar ko groza Direktīvu 2001/83/EK par Kopienas kodeksu, kas attiecas uz cilvēkiem paredzētām zālēm, attiecībā uz to, kā novērst viltotu zāļu nokļūšanu legālas piegādes ķēdē, </w:t>
            </w:r>
            <w:r w:rsidR="009336E6" w:rsidRPr="004468B2">
              <w:rPr>
                <w:rFonts w:ascii="Times New Roman" w:hAnsi="Times New Roman"/>
                <w:sz w:val="24"/>
                <w:szCs w:val="24"/>
              </w:rPr>
              <w:t xml:space="preserve">(turpmāk - Direktīva 2011/62/ES), </w:t>
            </w:r>
            <w:r w:rsidR="004134D0" w:rsidRPr="004468B2">
              <w:rPr>
                <w:rFonts w:ascii="Times New Roman" w:hAnsi="Times New Roman"/>
                <w:sz w:val="24"/>
                <w:szCs w:val="24"/>
              </w:rPr>
              <w:t xml:space="preserve">un kurā ir iekļauti </w:t>
            </w:r>
            <w:r w:rsidR="008B5D6E" w:rsidRPr="004468B2">
              <w:rPr>
                <w:rFonts w:ascii="Times New Roman" w:hAnsi="Times New Roman"/>
                <w:sz w:val="24"/>
                <w:szCs w:val="24"/>
              </w:rPr>
              <w:t xml:space="preserve">noteikumi </w:t>
            </w:r>
            <w:r w:rsidR="00F51A2F" w:rsidRPr="004468B2">
              <w:rPr>
                <w:rFonts w:ascii="Times New Roman" w:hAnsi="Times New Roman"/>
                <w:sz w:val="24"/>
                <w:szCs w:val="24"/>
              </w:rPr>
              <w:t xml:space="preserve">par zāļu vairumtirdzniecību un </w:t>
            </w:r>
            <w:r w:rsidR="009336E6" w:rsidRPr="004468B2">
              <w:rPr>
                <w:rFonts w:ascii="Times New Roman" w:hAnsi="Times New Roman"/>
                <w:sz w:val="24"/>
                <w:szCs w:val="24"/>
              </w:rPr>
              <w:t xml:space="preserve">par </w:t>
            </w:r>
            <w:r w:rsidR="00572259" w:rsidRPr="004468B2">
              <w:rPr>
                <w:rFonts w:ascii="Times New Roman" w:hAnsi="Times New Roman"/>
                <w:sz w:val="24"/>
                <w:szCs w:val="24"/>
              </w:rPr>
              <w:t>starpniecības darījumiem</w:t>
            </w:r>
            <w:r w:rsidR="00F51A2F" w:rsidRPr="004468B2">
              <w:rPr>
                <w:rFonts w:ascii="Times New Roman" w:hAnsi="Times New Roman"/>
                <w:sz w:val="24"/>
                <w:szCs w:val="24"/>
              </w:rPr>
              <w:t xml:space="preserve"> ar zālēm.</w:t>
            </w:r>
          </w:p>
          <w:p w:rsidR="00FA3A92" w:rsidRPr="004468B2" w:rsidRDefault="00FA3A92" w:rsidP="00FA3A92">
            <w:pPr>
              <w:jc w:val="both"/>
              <w:rPr>
                <w:lang w:val="lv-LV"/>
              </w:rPr>
            </w:pPr>
            <w:r w:rsidRPr="004468B2">
              <w:rPr>
                <w:lang w:val="lv-LV"/>
              </w:rPr>
              <w:t xml:space="preserve">2) Eiropas Parlamenta un Padomes 2012.gada 25.oktobra Direktīvas 2012/26/ES, ar ko Direktīvu 2001/83/EK groza attiecībā uz </w:t>
            </w:r>
            <w:proofErr w:type="spellStart"/>
            <w:r w:rsidRPr="004468B2">
              <w:rPr>
                <w:lang w:val="lv-LV"/>
              </w:rPr>
              <w:t>farmakovigilanci</w:t>
            </w:r>
            <w:proofErr w:type="spellEnd"/>
            <w:r w:rsidRPr="004468B2">
              <w:rPr>
                <w:lang w:val="lv-LV"/>
              </w:rPr>
              <w:t>, (turpmāk - Direktīva 2012/26/ES), un kurā ir iekļauti noteikumi, kas skaidro procedūru darbības specifisku ar zāļu drošumu saistītu problēmu gadījumos un pienācīgi novērtētu reģistrētu zāļu risku vai labumu.</w:t>
            </w:r>
          </w:p>
          <w:p w:rsidR="00FA3A92"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 xml:space="preserve">3) Eiropas Parlamenta un Padomes 2010.gada 15.decembra Direktīvas Nr.2010/84/ES, ar kuru attiecībā uz </w:t>
            </w:r>
            <w:proofErr w:type="spellStart"/>
            <w:r w:rsidRPr="004468B2">
              <w:rPr>
                <w:rFonts w:ascii="Times New Roman" w:hAnsi="Times New Roman"/>
                <w:sz w:val="24"/>
                <w:szCs w:val="24"/>
              </w:rPr>
              <w:t>farmakovigilanci</w:t>
            </w:r>
            <w:proofErr w:type="spellEnd"/>
            <w:r w:rsidRPr="004468B2">
              <w:rPr>
                <w:rFonts w:ascii="Times New Roman" w:hAnsi="Times New Roman"/>
                <w:sz w:val="24"/>
                <w:szCs w:val="24"/>
              </w:rPr>
              <w:t xml:space="preserve"> groza Direktīvu 2001/83/EK par Kopienas kodeksu, kas attiecas uz cilvēkiem paredzētām zālēm (turpmāk - Direktīva Nr.2010/84/ES).</w:t>
            </w:r>
          </w:p>
          <w:p w:rsidR="00FA3A92"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2. Ministru kabineta 2012.gada 30.oktobra sēdes protokola Nr.60 48.§ 7.3.apakšpunktā dotā uzdevuma izpilde.</w:t>
            </w:r>
          </w:p>
          <w:p w:rsidR="00FA3A92"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 xml:space="preserve">3. Eiropas Komisijas </w:t>
            </w:r>
            <w:r w:rsidRPr="004468B2">
              <w:rPr>
                <w:rFonts w:ascii="Times New Roman" w:hAnsi="Times New Roman"/>
                <w:iCs/>
                <w:sz w:val="24"/>
                <w:szCs w:val="24"/>
              </w:rPr>
              <w:t>2013.gada 20.marta formāls paziņojums pārkāpuma procedūras lietā Nr.</w:t>
            </w:r>
            <w:r w:rsidRPr="004468B2">
              <w:rPr>
                <w:rFonts w:ascii="Times New Roman" w:hAnsi="Times New Roman"/>
                <w:sz w:val="24"/>
                <w:szCs w:val="24"/>
              </w:rPr>
              <w:t>2013/0162.</w:t>
            </w:r>
          </w:p>
          <w:p w:rsidR="00FA3A92" w:rsidRPr="004468B2" w:rsidRDefault="00FA3A92" w:rsidP="00FA3A92">
            <w:pPr>
              <w:pStyle w:val="NoSpacing"/>
              <w:jc w:val="both"/>
              <w:rPr>
                <w:rFonts w:ascii="Times New Roman" w:hAnsi="Times New Roman"/>
                <w:sz w:val="24"/>
                <w:szCs w:val="24"/>
              </w:rPr>
            </w:pPr>
            <w:r w:rsidRPr="004468B2">
              <w:rPr>
                <w:rFonts w:ascii="Times New Roman" w:hAnsi="Times New Roman"/>
                <w:sz w:val="24"/>
                <w:szCs w:val="24"/>
              </w:rPr>
              <w:t>4. Ministru kabineta 2013.gada 19.februāra sēdes protokola Nr.10 24.§ ”Informatīvais ziņojums "Par Latvijas kā Eiropas Savienības dalībvalsts saistību izpildi laika periodā līdz 2013.gada 31.augustam un par ierosinātajām (turpinātajām) pārkāpuma procedūru lietām pret Latviju laika periodā līdz 2013.gada 1.februārim" (</w:t>
            </w:r>
            <w:r w:rsidRPr="004468B2">
              <w:rPr>
                <w:rFonts w:ascii="Times New Roman" w:hAnsi="Times New Roman"/>
                <w:bCs/>
                <w:sz w:val="24"/>
                <w:szCs w:val="24"/>
              </w:rPr>
              <w:t xml:space="preserve">TA-319-IP) </w:t>
            </w:r>
            <w:r w:rsidRPr="004468B2">
              <w:rPr>
                <w:rFonts w:ascii="Times New Roman" w:hAnsi="Times New Roman"/>
                <w:sz w:val="24"/>
                <w:szCs w:val="24"/>
              </w:rPr>
              <w:t>6.2.apakšpunktā dotā uzdevuma izpilde.</w:t>
            </w:r>
          </w:p>
          <w:p w:rsidR="00086975" w:rsidRPr="004468B2" w:rsidRDefault="00FA3A92" w:rsidP="00DA0989">
            <w:pPr>
              <w:pStyle w:val="NoSpacing"/>
              <w:jc w:val="both"/>
              <w:rPr>
                <w:rFonts w:ascii="Times New Roman" w:hAnsi="Times New Roman"/>
                <w:sz w:val="24"/>
                <w:szCs w:val="24"/>
              </w:rPr>
            </w:pPr>
            <w:r w:rsidRPr="004468B2">
              <w:rPr>
                <w:rFonts w:ascii="Times New Roman" w:hAnsi="Times New Roman"/>
                <w:sz w:val="24"/>
                <w:szCs w:val="24"/>
              </w:rPr>
              <w:t xml:space="preserve">5. Ministru prezidenta 2013.gada 16.marta rezolūcija Nr.2013 -REZ-12/2012-JUR-246-568 (Valsts kancelejas uzdevums </w:t>
            </w:r>
            <w:r w:rsidRPr="004468B2">
              <w:rPr>
                <w:rFonts w:ascii="Times New Roman" w:hAnsi="Times New Roman"/>
                <w:bCs/>
                <w:sz w:val="24"/>
                <w:szCs w:val="24"/>
              </w:rPr>
              <w:t xml:space="preserve">2013 – UZD - 936), kas nosaka atbilstoši </w:t>
            </w:r>
            <w:r w:rsidRPr="004468B2">
              <w:rPr>
                <w:rFonts w:ascii="Times New Roman" w:hAnsi="Times New Roman"/>
                <w:sz w:val="24"/>
                <w:szCs w:val="24"/>
              </w:rPr>
              <w:t>Ministru kabineta 2009.gada 7.aprīļa noteikumu Nr.300 ”Ministru kabineta kārtības rullis” 234.punktam sagatavot un iesniegt Ministru kabinetā Farmācijas likuma (2012.gada 29.novembra likuma ”</w:t>
            </w:r>
            <w:r w:rsidR="00AF5550" w:rsidRPr="004468B2">
              <w:rPr>
                <w:rFonts w:ascii="Times New Roman" w:hAnsi="Times New Roman"/>
                <w:sz w:val="24"/>
                <w:szCs w:val="24"/>
              </w:rPr>
              <w:t xml:space="preserve">Grozījumi Farmācijas likumā” redakcijā) 5.panta 25.punktā minēto </w:t>
            </w:r>
            <w:r w:rsidR="00AF5550" w:rsidRPr="004468B2">
              <w:rPr>
                <w:rFonts w:ascii="Times New Roman" w:hAnsi="Times New Roman"/>
                <w:sz w:val="24"/>
                <w:szCs w:val="24"/>
              </w:rPr>
              <w:lastRenderedPageBreak/>
              <w:t>tiesību aktu projektu, lai noteiktu zāļu pieejamības analīzei nepieciešamo zāļu vairumtirdzniecības realizācijas datu izplatīšanas kārtību un apjomu.</w:t>
            </w:r>
          </w:p>
        </w:tc>
      </w:tr>
      <w:tr w:rsidR="004134D0" w:rsidRPr="004468B2" w:rsidTr="008B675E">
        <w:trPr>
          <w:gridBefore w:val="1"/>
          <w:gridAfter w:val="3"/>
          <w:wBefore w:w="34" w:type="dxa"/>
          <w:wAfter w:w="2535" w:type="dxa"/>
          <w:trHeight w:val="472"/>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lastRenderedPageBreak/>
              <w:t>2.</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tabs>
                <w:tab w:val="left" w:pos="170"/>
              </w:tabs>
            </w:pPr>
            <w:r w:rsidRPr="004468B2">
              <w:t>Pašreizējā situācija un problēmas</w:t>
            </w:r>
          </w:p>
        </w:tc>
        <w:tc>
          <w:tcPr>
            <w:tcW w:w="7517" w:type="dxa"/>
            <w:gridSpan w:val="8"/>
            <w:tcBorders>
              <w:top w:val="single" w:sz="4" w:space="0" w:color="auto"/>
              <w:left w:val="single" w:sz="4" w:space="0" w:color="auto"/>
              <w:bottom w:val="single" w:sz="4" w:space="0" w:color="auto"/>
              <w:right w:val="single" w:sz="4" w:space="0" w:color="auto"/>
            </w:tcBorders>
          </w:tcPr>
          <w:p w:rsidR="000535C7" w:rsidRPr="004468B2" w:rsidRDefault="00A17401" w:rsidP="00BD1AA8">
            <w:pPr>
              <w:pStyle w:val="NoSpacing"/>
              <w:jc w:val="both"/>
              <w:rPr>
                <w:rFonts w:ascii="Times New Roman" w:hAnsi="Times New Roman"/>
                <w:sz w:val="24"/>
                <w:szCs w:val="24"/>
              </w:rPr>
            </w:pPr>
            <w:r w:rsidRPr="004468B2">
              <w:rPr>
                <w:rFonts w:ascii="Times New Roman" w:hAnsi="Times New Roman"/>
                <w:sz w:val="24"/>
                <w:szCs w:val="24"/>
              </w:rPr>
              <w:t>1. </w:t>
            </w:r>
            <w:r w:rsidR="004134D0" w:rsidRPr="004468B2">
              <w:rPr>
                <w:rFonts w:ascii="Times New Roman" w:hAnsi="Times New Roman"/>
                <w:sz w:val="24"/>
                <w:szCs w:val="24"/>
              </w:rPr>
              <w:t xml:space="preserve">Eiropas Savienībā satraucošā apmērā atklāj aizvien vairāk zāļu, kuras ir viltotas saistībā ar to identitāti, ražošanas vēsturi vai avotu. Minētajās zālēs parasti ir nestandarta vai viltotas sastāvdaļas, vai tajās nav sastāvdaļu vai ir sastāvdaļas, tostarp aktīvās vielas, nepareizās devās, tādējādi nopietni apdraudot sabiedrības veselību. </w:t>
            </w:r>
            <w:r w:rsidR="00CE58CB" w:rsidRPr="004468B2">
              <w:rPr>
                <w:rFonts w:ascii="Times New Roman" w:hAnsi="Times New Roman"/>
                <w:sz w:val="24"/>
                <w:szCs w:val="24"/>
              </w:rPr>
              <w:t>Viltotas zāles pie pacientiem nonāk ne tikai, izmantojot nelegālus līdzekļus, bet arī pa legālo piegādes ķēdi. Tas īpaši apdraud cilvēku veselību un var izraisīt pacientu neuzticību arī legālajai piegādes ķēdei.</w:t>
            </w:r>
            <w:r w:rsidR="0058620B" w:rsidRPr="004468B2">
              <w:rPr>
                <w:rFonts w:ascii="Times New Roman" w:hAnsi="Times New Roman"/>
                <w:sz w:val="24"/>
                <w:szCs w:val="24"/>
              </w:rPr>
              <w:t xml:space="preserve"> Šo s</w:t>
            </w:r>
            <w:r w:rsidR="00CE58CB" w:rsidRPr="004468B2">
              <w:rPr>
                <w:rFonts w:ascii="Times New Roman" w:hAnsi="Times New Roman"/>
                <w:sz w:val="24"/>
                <w:szCs w:val="24"/>
              </w:rPr>
              <w:t>abiedrības veselības apdraudējumu ir atzinusi arī Pasaules Veselības organizācija</w:t>
            </w:r>
            <w:r w:rsidR="0058620B" w:rsidRPr="004468B2">
              <w:rPr>
                <w:rFonts w:ascii="Times New Roman" w:hAnsi="Times New Roman"/>
                <w:sz w:val="24"/>
                <w:szCs w:val="24"/>
              </w:rPr>
              <w:t xml:space="preserve">. </w:t>
            </w:r>
            <w:r w:rsidR="009D7468" w:rsidRPr="004468B2">
              <w:rPr>
                <w:rFonts w:ascii="Times New Roman" w:hAnsi="Times New Roman"/>
                <w:sz w:val="24"/>
                <w:szCs w:val="24"/>
              </w:rPr>
              <w:t>Viltotas aktīvās vielas un nekvalitatīvas aktīvās vielas ir būtisks drauds sabiedrības veselībai, jo šīs vielas var izmantot zāļu ražošanai</w:t>
            </w:r>
            <w:r w:rsidR="000535C7" w:rsidRPr="004468B2">
              <w:rPr>
                <w:rFonts w:ascii="Times New Roman" w:hAnsi="Times New Roman"/>
                <w:sz w:val="24"/>
                <w:szCs w:val="24"/>
              </w:rPr>
              <w:t xml:space="preserve">, un </w:t>
            </w:r>
            <w:r w:rsidR="009D7468" w:rsidRPr="004468B2">
              <w:rPr>
                <w:rFonts w:ascii="Times New Roman" w:hAnsi="Times New Roman"/>
                <w:sz w:val="24"/>
                <w:szCs w:val="24"/>
              </w:rPr>
              <w:t xml:space="preserve">šādi draudi ir jānovērš, nosakot stingrākas pārbaužu prasības, ko piemēro aktīvo vielu ražotājiem, </w:t>
            </w:r>
            <w:r w:rsidR="00AA7EF2" w:rsidRPr="004468B2">
              <w:rPr>
                <w:rFonts w:ascii="Times New Roman" w:hAnsi="Times New Roman"/>
                <w:sz w:val="24"/>
                <w:szCs w:val="24"/>
              </w:rPr>
              <w:t>importētājiem un izplatītājiem.</w:t>
            </w:r>
          </w:p>
          <w:p w:rsidR="00684082" w:rsidRPr="004468B2" w:rsidRDefault="00684082" w:rsidP="00BD1AA8">
            <w:pPr>
              <w:pStyle w:val="NoSpacing"/>
              <w:jc w:val="both"/>
              <w:rPr>
                <w:rFonts w:ascii="Times New Roman" w:hAnsi="Times New Roman"/>
                <w:bCs/>
                <w:kern w:val="36"/>
                <w:sz w:val="24"/>
                <w:szCs w:val="24"/>
                <w:lang w:eastAsia="lv-LV"/>
              </w:rPr>
            </w:pPr>
            <w:r w:rsidRPr="004468B2">
              <w:rPr>
                <w:rFonts w:ascii="Times New Roman" w:hAnsi="Times New Roman"/>
                <w:sz w:val="24"/>
                <w:szCs w:val="24"/>
                <w:lang w:eastAsia="lv-LV"/>
              </w:rPr>
              <w:t xml:space="preserve">Eiropas Parlamenta deputāte Marisa </w:t>
            </w:r>
            <w:proofErr w:type="spellStart"/>
            <w:r w:rsidRPr="004468B2">
              <w:rPr>
                <w:rFonts w:ascii="Times New Roman" w:hAnsi="Times New Roman"/>
                <w:sz w:val="24"/>
                <w:szCs w:val="24"/>
                <w:lang w:eastAsia="lv-LV"/>
              </w:rPr>
              <w:t>Matias</w:t>
            </w:r>
            <w:proofErr w:type="spellEnd"/>
            <w:r w:rsidRPr="004468B2">
              <w:rPr>
                <w:rFonts w:ascii="Times New Roman" w:hAnsi="Times New Roman"/>
                <w:sz w:val="24"/>
                <w:szCs w:val="24"/>
                <w:lang w:eastAsia="lv-LV"/>
              </w:rPr>
              <w:t xml:space="preserve"> (GUE/NGL, Portugāle), atbildīgā par jautājuma virzību Parlamentā norādīja:</w:t>
            </w:r>
            <w:r w:rsidR="00EC07B3" w:rsidRPr="004468B2">
              <w:rPr>
                <w:rFonts w:ascii="Times New Roman" w:hAnsi="Times New Roman"/>
                <w:sz w:val="24"/>
                <w:szCs w:val="24"/>
                <w:lang w:eastAsia="lv-LV"/>
              </w:rPr>
              <w:t xml:space="preserve"> </w:t>
            </w:r>
            <w:r w:rsidRPr="004468B2">
              <w:rPr>
                <w:rFonts w:ascii="Times New Roman" w:hAnsi="Times New Roman"/>
                <w:sz w:val="24"/>
                <w:szCs w:val="24"/>
                <w:lang w:eastAsia="lv-LV"/>
              </w:rPr>
              <w:t>"Viltotās zāles ir klusie slepkavas, jo tās var saturēt toksiskas vielas, kuras ne tikai bojā veselību, bet var pat nogalināt to lietotājus. Likumu neesamība iedrošina viltošanu, kas pēc būtības ir krimināli sodāma darbība, un mēs varam redzēt, ka šāda veida kriminālas aktivitātes ir pieau</w:t>
            </w:r>
            <w:r w:rsidR="00AA7EF2" w:rsidRPr="004468B2">
              <w:rPr>
                <w:rFonts w:ascii="Times New Roman" w:hAnsi="Times New Roman"/>
                <w:sz w:val="24"/>
                <w:szCs w:val="24"/>
                <w:lang w:eastAsia="lv-LV"/>
              </w:rPr>
              <w:t>gušas milzīgos apmēros - </w:t>
            </w:r>
            <w:r w:rsidRPr="004468B2">
              <w:rPr>
                <w:rFonts w:ascii="Times New Roman" w:hAnsi="Times New Roman"/>
                <w:sz w:val="24"/>
                <w:szCs w:val="24"/>
                <w:lang w:eastAsia="lv-LV"/>
              </w:rPr>
              <w:t xml:space="preserve">kopš 2005.gada viltoto zāļu konfiscēšanas gadījumi ir pieauguši par 400%. Direktīvas galvenais mērķis ir pasargāt </w:t>
            </w:r>
            <w:r w:rsidR="00D47F9F" w:rsidRPr="004468B2">
              <w:rPr>
                <w:rFonts w:ascii="Times New Roman" w:hAnsi="Times New Roman"/>
                <w:sz w:val="24"/>
                <w:szCs w:val="24"/>
                <w:lang w:eastAsia="lv-LV"/>
              </w:rPr>
              <w:t>pacientus".</w:t>
            </w:r>
          </w:p>
          <w:p w:rsidR="008E3863" w:rsidRPr="004468B2" w:rsidRDefault="00CB54E9" w:rsidP="00BD1AA8">
            <w:pPr>
              <w:pStyle w:val="NoSpacing"/>
              <w:jc w:val="both"/>
              <w:rPr>
                <w:rFonts w:ascii="Times New Roman" w:hAnsi="Times New Roman"/>
                <w:sz w:val="24"/>
                <w:szCs w:val="24"/>
              </w:rPr>
            </w:pPr>
            <w:r w:rsidRPr="004468B2">
              <w:rPr>
                <w:rStyle w:val="c3"/>
                <w:rFonts w:ascii="Times New Roman" w:hAnsi="Times New Roman"/>
                <w:sz w:val="24"/>
                <w:szCs w:val="24"/>
              </w:rPr>
              <w:t>L</w:t>
            </w:r>
            <w:r w:rsidRPr="004468B2">
              <w:rPr>
                <w:rFonts w:ascii="Times New Roman" w:hAnsi="Times New Roman"/>
                <w:sz w:val="24"/>
                <w:szCs w:val="24"/>
                <w:lang w:eastAsia="lv-LV"/>
              </w:rPr>
              <w:t>atvijas zāļu tirgus ir neliels, salīdzinot ar lielāko ES valstu zāļu tirgiem.</w:t>
            </w:r>
            <w:r w:rsidRPr="004468B2">
              <w:rPr>
                <w:rFonts w:ascii="Times New Roman" w:hAnsi="Times New Roman"/>
                <w:sz w:val="24"/>
                <w:szCs w:val="24"/>
              </w:rPr>
              <w:t xml:space="preserve"> Latvijā nav datu par viltotu zāļu izplatīšanu, tomēr</w:t>
            </w:r>
            <w:r w:rsidRPr="004468B2">
              <w:rPr>
                <w:rFonts w:ascii="Times New Roman" w:hAnsi="Times New Roman"/>
                <w:sz w:val="24"/>
                <w:szCs w:val="24"/>
                <w:lang w:eastAsia="lv-LV"/>
              </w:rPr>
              <w:t xml:space="preserve"> Latvijā zāļu viltojumi ir aktuāls jautājums, jo Latvija ir ES ārējā robeža, un tā importē zāles no trešajām valstīm, kā arī Latvija ir tranzītvalsts.</w:t>
            </w:r>
            <w:r w:rsidR="00A17401" w:rsidRPr="004468B2">
              <w:rPr>
                <w:rFonts w:ascii="Times New Roman" w:hAnsi="Times New Roman"/>
                <w:sz w:val="24"/>
                <w:szCs w:val="24"/>
                <w:lang w:eastAsia="lv-LV"/>
              </w:rPr>
              <w:t xml:space="preserve"> </w:t>
            </w:r>
            <w:r w:rsidR="008E3863" w:rsidRPr="004468B2">
              <w:rPr>
                <w:rFonts w:ascii="Times New Roman" w:hAnsi="Times New Roman"/>
                <w:sz w:val="24"/>
                <w:szCs w:val="24"/>
              </w:rPr>
              <w:t xml:space="preserve">Lai palielinātu zāļu drošību Eiropas </w:t>
            </w:r>
            <w:r w:rsidR="008E3863" w:rsidRPr="004468B2">
              <w:rPr>
                <w:rStyle w:val="hps"/>
                <w:rFonts w:ascii="Times New Roman" w:hAnsi="Times New Roman"/>
                <w:sz w:val="24"/>
                <w:szCs w:val="24"/>
              </w:rPr>
              <w:t>Savienība (</w:t>
            </w:r>
            <w:r w:rsidR="008E3863" w:rsidRPr="004468B2">
              <w:rPr>
                <w:rFonts w:ascii="Times New Roman" w:hAnsi="Times New Roman"/>
                <w:sz w:val="24"/>
                <w:szCs w:val="24"/>
              </w:rPr>
              <w:t xml:space="preserve">ES) ir </w:t>
            </w:r>
            <w:r w:rsidR="008E3863" w:rsidRPr="004468B2">
              <w:rPr>
                <w:rStyle w:val="hps"/>
                <w:rFonts w:ascii="Times New Roman" w:hAnsi="Times New Roman"/>
                <w:sz w:val="24"/>
                <w:szCs w:val="24"/>
              </w:rPr>
              <w:t>reformējusi</w:t>
            </w:r>
            <w:r w:rsidR="008E3863" w:rsidRPr="004468B2">
              <w:rPr>
                <w:rFonts w:ascii="Times New Roman" w:hAnsi="Times New Roman"/>
                <w:sz w:val="24"/>
                <w:szCs w:val="24"/>
              </w:rPr>
              <w:t xml:space="preserve"> </w:t>
            </w:r>
            <w:r w:rsidR="008E3863" w:rsidRPr="004468B2">
              <w:rPr>
                <w:rStyle w:val="hps"/>
                <w:rFonts w:ascii="Times New Roman" w:hAnsi="Times New Roman"/>
                <w:sz w:val="24"/>
                <w:szCs w:val="24"/>
              </w:rPr>
              <w:t>noteikumus</w:t>
            </w:r>
            <w:r w:rsidR="008E3863" w:rsidRPr="004468B2">
              <w:rPr>
                <w:rFonts w:ascii="Times New Roman" w:hAnsi="Times New Roman"/>
                <w:sz w:val="24"/>
                <w:szCs w:val="24"/>
              </w:rPr>
              <w:t xml:space="preserve"> par zāļu izplatīšanu vairumtirdzniecībā, tajā skaitā nosakot starpniecības darījumu ar zālēm uzraudzību, ar Direktīvu 2001/62/ES. Lai ieviestu Direktīvas 2011/62/ES normas:</w:t>
            </w:r>
          </w:p>
          <w:p w:rsidR="00A832FE" w:rsidRPr="004468B2" w:rsidRDefault="006319B4" w:rsidP="00BD1AA8">
            <w:pPr>
              <w:pStyle w:val="NoSpacing"/>
              <w:jc w:val="both"/>
              <w:rPr>
                <w:rFonts w:ascii="Times New Roman" w:hAnsi="Times New Roman"/>
                <w:bCs/>
                <w:sz w:val="24"/>
                <w:szCs w:val="24"/>
              </w:rPr>
            </w:pPr>
            <w:r w:rsidRPr="004468B2">
              <w:rPr>
                <w:rFonts w:ascii="Times New Roman" w:hAnsi="Times New Roman"/>
                <w:sz w:val="24"/>
                <w:szCs w:val="24"/>
              </w:rPr>
              <w:t>1) </w:t>
            </w:r>
            <w:r w:rsidR="00EC07B3" w:rsidRPr="004468B2">
              <w:rPr>
                <w:rFonts w:ascii="Times New Roman" w:hAnsi="Times New Roman"/>
                <w:sz w:val="24"/>
                <w:szCs w:val="24"/>
              </w:rPr>
              <w:t xml:space="preserve">Pašreiz </w:t>
            </w:r>
            <w:r w:rsidR="00BF0688" w:rsidRPr="004468B2">
              <w:rPr>
                <w:rFonts w:ascii="Times New Roman" w:hAnsi="Times New Roman"/>
                <w:sz w:val="24"/>
                <w:szCs w:val="24"/>
              </w:rPr>
              <w:t>Farmācijas likumā</w:t>
            </w:r>
            <w:r w:rsidR="00EC07B3" w:rsidRPr="004468B2">
              <w:rPr>
                <w:rFonts w:ascii="Times New Roman" w:hAnsi="Times New Roman"/>
                <w:sz w:val="24"/>
                <w:szCs w:val="24"/>
              </w:rPr>
              <w:t xml:space="preserve"> ir iekļauta viltoto zāļu definīcija</w:t>
            </w:r>
            <w:r w:rsidR="00BF0688" w:rsidRPr="004468B2">
              <w:rPr>
                <w:rFonts w:ascii="Times New Roman" w:hAnsi="Times New Roman"/>
                <w:sz w:val="24"/>
                <w:szCs w:val="24"/>
              </w:rPr>
              <w:t xml:space="preserve"> </w:t>
            </w:r>
            <w:r w:rsidR="00BF0688" w:rsidRPr="004468B2">
              <w:rPr>
                <w:rFonts w:ascii="Times New Roman" w:hAnsi="Times New Roman"/>
                <w:noProof/>
                <w:sz w:val="24"/>
                <w:szCs w:val="24"/>
              </w:rPr>
              <w:t>(1.panta 16.</w:t>
            </w:r>
            <w:r w:rsidR="00BF0688" w:rsidRPr="004468B2">
              <w:rPr>
                <w:rFonts w:ascii="Times New Roman" w:hAnsi="Times New Roman"/>
                <w:noProof/>
                <w:sz w:val="24"/>
                <w:szCs w:val="24"/>
                <w:vertAlign w:val="superscript"/>
              </w:rPr>
              <w:t>1</w:t>
            </w:r>
            <w:r w:rsidR="00BF0688" w:rsidRPr="004468B2">
              <w:rPr>
                <w:rFonts w:ascii="Times New Roman" w:hAnsi="Times New Roman"/>
                <w:noProof/>
                <w:sz w:val="24"/>
                <w:szCs w:val="24"/>
              </w:rPr>
              <w:t>punkts)</w:t>
            </w:r>
            <w:r w:rsidR="00EC07B3" w:rsidRPr="004468B2">
              <w:rPr>
                <w:rFonts w:ascii="Times New Roman" w:hAnsi="Times New Roman"/>
                <w:sz w:val="24"/>
                <w:szCs w:val="24"/>
              </w:rPr>
              <w:t xml:space="preserve">, deleģējums Zāļu valsts aģentūrai novērtēt un pārbaudīt zāļu </w:t>
            </w:r>
            <w:r w:rsidR="00BF0688" w:rsidRPr="004468B2">
              <w:rPr>
                <w:rFonts w:ascii="Times New Roman" w:hAnsi="Times New Roman"/>
                <w:sz w:val="24"/>
                <w:szCs w:val="24"/>
              </w:rPr>
              <w:t>vairumtirgotāju</w:t>
            </w:r>
            <w:r w:rsidR="00EC07B3" w:rsidRPr="004468B2">
              <w:rPr>
                <w:rFonts w:ascii="Times New Roman" w:hAnsi="Times New Roman"/>
                <w:sz w:val="24"/>
                <w:szCs w:val="24"/>
              </w:rPr>
              <w:t xml:space="preserve"> atbilstību labas </w:t>
            </w:r>
            <w:r w:rsidR="00EC07B3" w:rsidRPr="004468B2">
              <w:rPr>
                <w:rFonts w:ascii="Times New Roman" w:hAnsi="Times New Roman"/>
                <w:spacing w:val="-2"/>
                <w:sz w:val="24"/>
                <w:szCs w:val="24"/>
              </w:rPr>
              <w:t>izplatīšanas prakses prasībām un izsniegt labas izplatīšanas prakses sertifikātus</w:t>
            </w:r>
            <w:r w:rsidR="00BF0688" w:rsidRPr="004468B2">
              <w:rPr>
                <w:rFonts w:ascii="Times New Roman" w:hAnsi="Times New Roman"/>
                <w:spacing w:val="-2"/>
                <w:sz w:val="24"/>
                <w:szCs w:val="24"/>
              </w:rPr>
              <w:t xml:space="preserve"> (10.panta </w:t>
            </w:r>
            <w:r w:rsidR="00BF0688" w:rsidRPr="004468B2">
              <w:rPr>
                <w:rFonts w:ascii="Times New Roman" w:hAnsi="Times New Roman"/>
                <w:sz w:val="24"/>
                <w:szCs w:val="24"/>
              </w:rPr>
              <w:t>12</w:t>
            </w:r>
            <w:r w:rsidR="00BF0688" w:rsidRPr="004468B2">
              <w:rPr>
                <w:rFonts w:ascii="Times New Roman" w:hAnsi="Times New Roman"/>
                <w:sz w:val="24"/>
                <w:szCs w:val="24"/>
                <w:vertAlign w:val="superscript"/>
              </w:rPr>
              <w:t>3</w:t>
            </w:r>
            <w:r w:rsidR="00BF0688" w:rsidRPr="004468B2">
              <w:rPr>
                <w:rFonts w:ascii="Times New Roman" w:hAnsi="Times New Roman"/>
                <w:sz w:val="24"/>
                <w:szCs w:val="24"/>
              </w:rPr>
              <w:t xml:space="preserve"> punkts)</w:t>
            </w:r>
            <w:r w:rsidR="00EC07B3" w:rsidRPr="004468B2">
              <w:rPr>
                <w:rFonts w:ascii="Times New Roman" w:hAnsi="Times New Roman"/>
                <w:spacing w:val="-2"/>
                <w:sz w:val="24"/>
                <w:szCs w:val="24"/>
              </w:rPr>
              <w:t xml:space="preserve">, kā arī </w:t>
            </w:r>
            <w:r w:rsidR="00EC07B3" w:rsidRPr="004468B2">
              <w:rPr>
                <w:rFonts w:ascii="Times New Roman" w:hAnsi="Times New Roman"/>
                <w:iCs/>
                <w:spacing w:val="-3"/>
                <w:sz w:val="24"/>
                <w:szCs w:val="24"/>
              </w:rPr>
              <w:t>noteikts, ka starpniecības darījumi ar cilvēkiem paredzētajām zālēm atļauti,</w:t>
            </w:r>
            <w:r w:rsidR="00EC07B3" w:rsidRPr="004468B2">
              <w:rPr>
                <w:rFonts w:ascii="Times New Roman" w:hAnsi="Times New Roman"/>
                <w:iCs/>
                <w:sz w:val="24"/>
                <w:szCs w:val="24"/>
              </w:rPr>
              <w:t xml:space="preserve"> ja persona ir reģistrējusies Zāļu valsts aģentūrā normatīvajos aktos par zāļu</w:t>
            </w:r>
            <w:r w:rsidR="00BF0688" w:rsidRPr="004468B2">
              <w:rPr>
                <w:rFonts w:ascii="Times New Roman" w:hAnsi="Times New Roman"/>
                <w:iCs/>
                <w:sz w:val="24"/>
                <w:szCs w:val="24"/>
              </w:rPr>
              <w:t xml:space="preserve"> izplatīšanu noteiktajā kārtībā (</w:t>
            </w:r>
            <w:r w:rsidR="00BF0688" w:rsidRPr="004468B2">
              <w:rPr>
                <w:rFonts w:ascii="Times New Roman" w:hAnsi="Times New Roman"/>
                <w:bCs/>
                <w:sz w:val="24"/>
                <w:szCs w:val="24"/>
              </w:rPr>
              <w:t>25.</w:t>
            </w:r>
            <w:r w:rsidR="00BF0688" w:rsidRPr="004468B2">
              <w:rPr>
                <w:rFonts w:ascii="Times New Roman" w:hAnsi="Times New Roman"/>
                <w:bCs/>
                <w:sz w:val="24"/>
                <w:szCs w:val="24"/>
                <w:vertAlign w:val="superscript"/>
              </w:rPr>
              <w:t>3</w:t>
            </w:r>
            <w:r w:rsidR="00BF0688" w:rsidRPr="004468B2">
              <w:rPr>
                <w:rFonts w:ascii="Times New Roman" w:hAnsi="Times New Roman"/>
                <w:bCs/>
                <w:sz w:val="24"/>
                <w:szCs w:val="24"/>
              </w:rPr>
              <w:t>pants),</w:t>
            </w:r>
            <w:r w:rsidR="00BF0688" w:rsidRPr="004468B2">
              <w:rPr>
                <w:rFonts w:ascii="Times New Roman" w:hAnsi="Times New Roman"/>
                <w:sz w:val="24"/>
                <w:szCs w:val="24"/>
              </w:rPr>
              <w:t xml:space="preserve"> </w:t>
            </w:r>
            <w:r w:rsidR="00EC07B3" w:rsidRPr="004468B2">
              <w:rPr>
                <w:rFonts w:ascii="Times New Roman" w:hAnsi="Times New Roman"/>
                <w:iCs/>
                <w:sz w:val="24"/>
                <w:szCs w:val="24"/>
              </w:rPr>
              <w:t xml:space="preserve">kas atbilst </w:t>
            </w:r>
            <w:r w:rsidR="00EC07B3" w:rsidRPr="004468B2">
              <w:rPr>
                <w:rFonts w:ascii="Times New Roman" w:hAnsi="Times New Roman"/>
                <w:bCs/>
                <w:sz w:val="24"/>
                <w:szCs w:val="24"/>
              </w:rPr>
              <w:t>Direktīva 2011/62/ES prasībām.</w:t>
            </w:r>
          </w:p>
          <w:p w:rsidR="006541EF" w:rsidRPr="004468B2" w:rsidRDefault="006541EF" w:rsidP="00BD1AA8">
            <w:pPr>
              <w:pStyle w:val="NoSpacing"/>
              <w:jc w:val="both"/>
              <w:rPr>
                <w:rFonts w:ascii="Times New Roman" w:hAnsi="Times New Roman"/>
                <w:sz w:val="24"/>
                <w:szCs w:val="24"/>
              </w:rPr>
            </w:pPr>
          </w:p>
          <w:p w:rsidR="003715AE"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2)</w:t>
            </w:r>
            <w:r w:rsidR="008E3863" w:rsidRPr="004468B2">
              <w:rPr>
                <w:rFonts w:ascii="Times New Roman" w:hAnsi="Times New Roman"/>
                <w:sz w:val="24"/>
                <w:szCs w:val="24"/>
              </w:rPr>
              <w:t> </w:t>
            </w:r>
            <w:r w:rsidR="003715AE" w:rsidRPr="004468B2">
              <w:rPr>
                <w:rFonts w:ascii="Times New Roman" w:hAnsi="Times New Roman"/>
                <w:sz w:val="24"/>
                <w:szCs w:val="24"/>
              </w:rPr>
              <w:t>MK noteikumu Nr.416 5.7.apakšpunktā i</w:t>
            </w:r>
            <w:r w:rsidR="00FA4428" w:rsidRPr="004468B2">
              <w:rPr>
                <w:rFonts w:ascii="Times New Roman" w:hAnsi="Times New Roman"/>
                <w:sz w:val="24"/>
                <w:szCs w:val="24"/>
              </w:rPr>
              <w:t xml:space="preserve">etvertā viltoto zāļu definīcija </w:t>
            </w:r>
            <w:r w:rsidR="003715AE" w:rsidRPr="004468B2">
              <w:rPr>
                <w:rFonts w:ascii="Times New Roman" w:hAnsi="Times New Roman"/>
                <w:sz w:val="24"/>
                <w:szCs w:val="24"/>
              </w:rPr>
              <w:t>dublē Farmācijas likumā ietverto normatīvo regulējumu 1.panta 16.</w:t>
            </w:r>
            <w:r w:rsidR="003715AE" w:rsidRPr="004468B2">
              <w:rPr>
                <w:rFonts w:ascii="Times New Roman" w:hAnsi="Times New Roman"/>
                <w:sz w:val="24"/>
                <w:szCs w:val="24"/>
                <w:vertAlign w:val="superscript"/>
              </w:rPr>
              <w:t>1</w:t>
            </w:r>
            <w:r w:rsidR="006541EF" w:rsidRPr="004468B2">
              <w:rPr>
                <w:rFonts w:ascii="Times New Roman" w:hAnsi="Times New Roman"/>
                <w:sz w:val="24"/>
                <w:szCs w:val="24"/>
              </w:rPr>
              <w:t>punktā. L</w:t>
            </w:r>
            <w:r w:rsidR="003715AE" w:rsidRPr="004468B2">
              <w:rPr>
                <w:rFonts w:ascii="Times New Roman" w:hAnsi="Times New Roman"/>
                <w:sz w:val="24"/>
                <w:szCs w:val="24"/>
              </w:rPr>
              <w:t>īdz ar to MK noteikumi Nr.416 ir jāprecizē atb</w:t>
            </w:r>
            <w:r w:rsidR="003345FB" w:rsidRPr="004468B2">
              <w:rPr>
                <w:rFonts w:ascii="Times New Roman" w:hAnsi="Times New Roman"/>
                <w:sz w:val="24"/>
                <w:szCs w:val="24"/>
              </w:rPr>
              <w:t>ilstoši Ministru kabineta 2009.</w:t>
            </w:r>
            <w:r w:rsidR="00A92B7C" w:rsidRPr="004468B2">
              <w:rPr>
                <w:rFonts w:ascii="Times New Roman" w:hAnsi="Times New Roman"/>
                <w:sz w:val="24"/>
                <w:szCs w:val="24"/>
              </w:rPr>
              <w:t>gada 3.</w:t>
            </w:r>
            <w:r w:rsidR="003715AE" w:rsidRPr="004468B2">
              <w:rPr>
                <w:rFonts w:ascii="Times New Roman" w:hAnsi="Times New Roman"/>
                <w:sz w:val="24"/>
                <w:szCs w:val="24"/>
              </w:rPr>
              <w:t>februāra noteik</w:t>
            </w:r>
            <w:r w:rsidR="003345FB" w:rsidRPr="004468B2">
              <w:rPr>
                <w:rFonts w:ascii="Times New Roman" w:hAnsi="Times New Roman"/>
                <w:sz w:val="24"/>
                <w:szCs w:val="24"/>
              </w:rPr>
              <w:t>umu Nr.</w:t>
            </w:r>
            <w:r w:rsidR="003715AE" w:rsidRPr="004468B2">
              <w:rPr>
                <w:rFonts w:ascii="Times New Roman" w:hAnsi="Times New Roman"/>
                <w:sz w:val="24"/>
                <w:szCs w:val="24"/>
              </w:rPr>
              <w:t xml:space="preserve">108 ”Normatīvo aktu projektu sagatavošanas noteikumi” </w:t>
            </w:r>
            <w:r w:rsidR="003715AE" w:rsidRPr="004468B2">
              <w:rPr>
                <w:rFonts w:ascii="Times New Roman" w:hAnsi="Times New Roman"/>
                <w:bCs/>
                <w:sz w:val="24"/>
                <w:szCs w:val="24"/>
              </w:rPr>
              <w:t>(turpmāk - MK noteikumi Nr.108) 3.2.apakšpunktam.</w:t>
            </w:r>
          </w:p>
          <w:p w:rsidR="00A832FE" w:rsidRPr="004468B2" w:rsidRDefault="00A832FE" w:rsidP="00BD1AA8">
            <w:pPr>
              <w:pStyle w:val="NoSpacing"/>
              <w:jc w:val="both"/>
              <w:rPr>
                <w:rFonts w:ascii="Times New Roman" w:hAnsi="Times New Roman"/>
                <w:sz w:val="24"/>
                <w:szCs w:val="24"/>
              </w:rPr>
            </w:pPr>
          </w:p>
          <w:p w:rsidR="00603C6F"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3)</w:t>
            </w:r>
            <w:r w:rsidR="00E671EF" w:rsidRPr="004468B2">
              <w:rPr>
                <w:rFonts w:ascii="Times New Roman" w:hAnsi="Times New Roman"/>
                <w:sz w:val="24"/>
                <w:szCs w:val="24"/>
              </w:rPr>
              <w:t> </w:t>
            </w:r>
            <w:r w:rsidR="009A39BE" w:rsidRPr="004468B2">
              <w:rPr>
                <w:rFonts w:ascii="Times New Roman" w:hAnsi="Times New Roman"/>
                <w:sz w:val="24"/>
                <w:szCs w:val="24"/>
              </w:rPr>
              <w:t>Jānosaka</w:t>
            </w:r>
            <w:r w:rsidR="00AF0F6E" w:rsidRPr="004468B2">
              <w:rPr>
                <w:rFonts w:ascii="Times New Roman" w:hAnsi="Times New Roman"/>
                <w:sz w:val="24"/>
                <w:szCs w:val="24"/>
              </w:rPr>
              <w:t xml:space="preserve"> definējums</w:t>
            </w:r>
            <w:r w:rsidR="008577E0" w:rsidRPr="004468B2">
              <w:rPr>
                <w:rFonts w:ascii="Times New Roman" w:hAnsi="Times New Roman"/>
                <w:sz w:val="24"/>
                <w:szCs w:val="24"/>
              </w:rPr>
              <w:t xml:space="preserve"> </w:t>
            </w:r>
            <w:r w:rsidR="006541EF" w:rsidRPr="004468B2">
              <w:rPr>
                <w:rFonts w:ascii="Times New Roman" w:hAnsi="Times New Roman"/>
                <w:sz w:val="24"/>
                <w:szCs w:val="24"/>
              </w:rPr>
              <w:t xml:space="preserve">un prasības </w:t>
            </w:r>
            <w:r w:rsidR="008577E0" w:rsidRPr="004468B2">
              <w:rPr>
                <w:rFonts w:ascii="Times New Roman" w:hAnsi="Times New Roman"/>
                <w:sz w:val="24"/>
                <w:szCs w:val="24"/>
              </w:rPr>
              <w:t>starpniecības darījumiem ar zālēm</w:t>
            </w:r>
            <w:r w:rsidR="00AF0F6E" w:rsidRPr="004468B2">
              <w:rPr>
                <w:rFonts w:ascii="Times New Roman" w:hAnsi="Times New Roman"/>
                <w:sz w:val="24"/>
                <w:szCs w:val="24"/>
              </w:rPr>
              <w:t xml:space="preserve"> </w:t>
            </w:r>
            <w:r w:rsidR="00A832FE" w:rsidRPr="004468B2">
              <w:rPr>
                <w:rFonts w:ascii="Times New Roman" w:hAnsi="Times New Roman"/>
                <w:sz w:val="24"/>
                <w:szCs w:val="24"/>
              </w:rPr>
              <w:t>atbilstoši Direktīvas 2011/62/ES 1</w:t>
            </w:r>
            <w:r w:rsidR="00A3069C" w:rsidRPr="004468B2">
              <w:rPr>
                <w:rFonts w:ascii="Times New Roman" w:hAnsi="Times New Roman"/>
                <w:sz w:val="24"/>
                <w:szCs w:val="24"/>
              </w:rPr>
              <w:t xml:space="preserve">.panta 1.punkta b) apakšpunktam un 19.punktam, </w:t>
            </w:r>
            <w:r w:rsidR="006541EF" w:rsidRPr="004468B2">
              <w:rPr>
                <w:rFonts w:ascii="Times New Roman" w:hAnsi="Times New Roman"/>
                <w:sz w:val="24"/>
                <w:szCs w:val="24"/>
              </w:rPr>
              <w:t xml:space="preserve">jo starpniecības darījums ar zālēm Direktīvā 2011/62/ES ir definēts kā darbības saistībā ar zāļu pārdošanu vai iepirkšanu, </w:t>
            </w:r>
            <w:r w:rsidR="00603C6F" w:rsidRPr="004468B2">
              <w:rPr>
                <w:rFonts w:ascii="Times New Roman" w:hAnsi="Times New Roman"/>
                <w:sz w:val="24"/>
                <w:szCs w:val="24"/>
              </w:rPr>
              <w:t xml:space="preserve">kas ir zāļu izplatīšanas sastāvā </w:t>
            </w:r>
            <w:r w:rsidR="006541EF" w:rsidRPr="004468B2">
              <w:rPr>
                <w:rFonts w:ascii="Times New Roman" w:hAnsi="Times New Roman"/>
                <w:sz w:val="24"/>
                <w:szCs w:val="24"/>
              </w:rPr>
              <w:t>Farmācijas</w:t>
            </w:r>
            <w:r w:rsidR="006541EF" w:rsidRPr="004468B2">
              <w:rPr>
                <w:rFonts w:ascii="Times New Roman" w:hAnsi="Times New Roman"/>
                <w:bCs/>
                <w:sz w:val="24"/>
                <w:szCs w:val="24"/>
              </w:rPr>
              <w:t xml:space="preserve"> </w:t>
            </w:r>
            <w:r w:rsidR="00603C6F" w:rsidRPr="004468B2">
              <w:rPr>
                <w:rFonts w:ascii="Times New Roman" w:hAnsi="Times New Roman"/>
                <w:sz w:val="24"/>
                <w:szCs w:val="24"/>
              </w:rPr>
              <w:t xml:space="preserve">(1.panta 8.punkts), un Farmācijas likuma </w:t>
            </w:r>
            <w:r w:rsidR="00603C6F" w:rsidRPr="004468B2">
              <w:rPr>
                <w:rFonts w:ascii="Times New Roman" w:hAnsi="Times New Roman"/>
                <w:bCs/>
                <w:sz w:val="24"/>
                <w:szCs w:val="24"/>
              </w:rPr>
              <w:t>5.panta 3.punktā ir noteikta Ministru kabineta kompetence izdot normatīvo aktu, kas regulē zāļu izplatīšanu.</w:t>
            </w:r>
            <w:r w:rsidR="009920B4" w:rsidRPr="004468B2">
              <w:rPr>
                <w:rFonts w:ascii="Times New Roman" w:hAnsi="Times New Roman"/>
                <w:bCs/>
                <w:sz w:val="24"/>
                <w:szCs w:val="24"/>
              </w:rPr>
              <w:t xml:space="preserve"> </w:t>
            </w:r>
            <w:r w:rsidR="00603C6F" w:rsidRPr="004468B2">
              <w:rPr>
                <w:rFonts w:ascii="Times New Roman" w:hAnsi="Times New Roman"/>
                <w:sz w:val="24"/>
                <w:szCs w:val="24"/>
              </w:rPr>
              <w:t>Zāļu izplatīšanas tīkls kļūst aizvien sarežģītāks, un tajā ir daudz dalībnieku, un lai nodrošinātu piegādes ķēdes uzticamību, tiesību aktiem, kuri attiecas uz zālēm, vajadzētu būt vērstiem uz visiem piegādes ķēdes dalībniekiem. Tas attiecas ne tikai uz zāļu izplatītājiem vairumtirdzniecībā, kuru darbību jau regul</w:t>
            </w:r>
            <w:r w:rsidR="00A3069C" w:rsidRPr="004468B2">
              <w:rPr>
                <w:rFonts w:ascii="Times New Roman" w:hAnsi="Times New Roman"/>
                <w:sz w:val="24"/>
                <w:szCs w:val="24"/>
              </w:rPr>
              <w:t>ē F</w:t>
            </w:r>
            <w:r w:rsidR="00603C6F" w:rsidRPr="004468B2">
              <w:rPr>
                <w:rFonts w:ascii="Times New Roman" w:hAnsi="Times New Roman"/>
                <w:sz w:val="24"/>
                <w:szCs w:val="24"/>
              </w:rPr>
              <w:t>arm</w:t>
            </w:r>
            <w:r w:rsidR="00A3069C" w:rsidRPr="004468B2">
              <w:rPr>
                <w:rFonts w:ascii="Times New Roman" w:hAnsi="Times New Roman"/>
                <w:sz w:val="24"/>
                <w:szCs w:val="24"/>
              </w:rPr>
              <w:t>ācijas likums</w:t>
            </w:r>
            <w:r w:rsidR="00603C6F" w:rsidRPr="004468B2">
              <w:rPr>
                <w:rFonts w:ascii="Times New Roman" w:hAnsi="Times New Roman"/>
                <w:sz w:val="24"/>
                <w:szCs w:val="24"/>
              </w:rPr>
              <w:t xml:space="preserve"> un MK noteikumi Nr.416, bet arī uz starpniekiem, kuri iesaistīti zāļu pārdošanā vai pirkšanā, bet paši nenodarbojas ar minēto zāļu pārdošanu vai pirkšanu, kuriem tās nepieder, un kuri paši nerīkojas ar zālēm.</w:t>
            </w:r>
            <w:r w:rsidR="00994414" w:rsidRPr="004468B2">
              <w:rPr>
                <w:rFonts w:ascii="Times New Roman" w:hAnsi="Times New Roman"/>
                <w:sz w:val="24"/>
                <w:szCs w:val="24"/>
              </w:rPr>
              <w:t xml:space="preserve"> Līdz ar to par starpniecības darījumu ar zālēm nav uzskatāma to zāļu pirkšana un pārdošana, kuru veic zāļu vairumtirgotājs, </w:t>
            </w:r>
            <w:r w:rsidR="00C86DB0" w:rsidRPr="004468B2">
              <w:rPr>
                <w:rFonts w:ascii="Times New Roman" w:hAnsi="Times New Roman"/>
                <w:sz w:val="24"/>
                <w:szCs w:val="24"/>
              </w:rPr>
              <w:t xml:space="preserve">un </w:t>
            </w:r>
            <w:r w:rsidR="00994414" w:rsidRPr="004468B2">
              <w:rPr>
                <w:rFonts w:ascii="Times New Roman" w:hAnsi="Times New Roman"/>
                <w:sz w:val="24"/>
                <w:szCs w:val="24"/>
              </w:rPr>
              <w:t>kurš iepirktās vai pārdotās zāles pats izplata zāļu vairumtirdzniecībā.</w:t>
            </w:r>
          </w:p>
          <w:p w:rsidR="00C17BB4" w:rsidRPr="004468B2" w:rsidRDefault="009920B4" w:rsidP="00BD1AA8">
            <w:pPr>
              <w:pStyle w:val="Bezatstarpm1"/>
              <w:jc w:val="both"/>
              <w:rPr>
                <w:rFonts w:ascii="Times New Roman" w:hAnsi="Times New Roman"/>
                <w:sz w:val="24"/>
                <w:szCs w:val="24"/>
                <w:lang w:val="lv-LV"/>
              </w:rPr>
            </w:pPr>
            <w:r w:rsidRPr="004468B2">
              <w:rPr>
                <w:rFonts w:ascii="Times New Roman" w:hAnsi="Times New Roman"/>
                <w:sz w:val="24"/>
                <w:szCs w:val="24"/>
                <w:lang w:val="lv-LV"/>
              </w:rPr>
              <w:t>Jāpastiprina arī zāļu vairum</w:t>
            </w:r>
            <w:r w:rsidR="00C17BB4" w:rsidRPr="004468B2">
              <w:rPr>
                <w:rFonts w:ascii="Times New Roman" w:hAnsi="Times New Roman"/>
                <w:sz w:val="24"/>
                <w:szCs w:val="24"/>
                <w:lang w:val="lv-LV"/>
              </w:rPr>
              <w:t xml:space="preserve">tirgotāja pienākumi atbilstoši </w:t>
            </w:r>
            <w:r w:rsidRPr="004468B2">
              <w:rPr>
                <w:rFonts w:ascii="Times New Roman" w:hAnsi="Times New Roman"/>
                <w:sz w:val="24"/>
                <w:szCs w:val="24"/>
                <w:lang w:val="lv-LV"/>
              </w:rPr>
              <w:t>Direktīvas 2011/62/ES 17.panta b), c) un d) apakšpunktam,</w:t>
            </w:r>
            <w:r w:rsidR="000364FB" w:rsidRPr="004468B2">
              <w:rPr>
                <w:rFonts w:ascii="Times New Roman" w:hAnsi="Times New Roman"/>
                <w:sz w:val="24"/>
                <w:szCs w:val="24"/>
                <w:lang w:val="lv-LV"/>
              </w:rPr>
              <w:t xml:space="preserve"> un j</w:t>
            </w:r>
            <w:r w:rsidR="00603C6F" w:rsidRPr="004468B2">
              <w:rPr>
                <w:rFonts w:ascii="Times New Roman" w:hAnsi="Times New Roman"/>
                <w:sz w:val="24"/>
                <w:szCs w:val="24"/>
                <w:lang w:val="lv-LV"/>
              </w:rPr>
              <w:t xml:space="preserve">ākonkretizē </w:t>
            </w:r>
            <w:r w:rsidR="005E0460" w:rsidRPr="004468B2">
              <w:rPr>
                <w:rFonts w:ascii="Times New Roman" w:hAnsi="Times New Roman"/>
                <w:sz w:val="24"/>
                <w:szCs w:val="24"/>
                <w:lang w:val="lv-LV"/>
              </w:rPr>
              <w:t>zālēm</w:t>
            </w:r>
            <w:r w:rsidR="0055429B" w:rsidRPr="004468B2">
              <w:rPr>
                <w:rFonts w:ascii="Times New Roman" w:hAnsi="Times New Roman"/>
                <w:sz w:val="24"/>
                <w:szCs w:val="24"/>
                <w:lang w:val="lv-LV"/>
              </w:rPr>
              <w:t xml:space="preserve"> </w:t>
            </w:r>
            <w:r w:rsidR="005F4F41" w:rsidRPr="004468B2">
              <w:rPr>
                <w:rFonts w:ascii="Times New Roman" w:hAnsi="Times New Roman"/>
                <w:sz w:val="24"/>
                <w:szCs w:val="24"/>
                <w:lang w:val="lv-LV"/>
              </w:rPr>
              <w:t>laba</w:t>
            </w:r>
            <w:r w:rsidR="0055429B" w:rsidRPr="004468B2">
              <w:rPr>
                <w:rFonts w:ascii="Times New Roman" w:hAnsi="Times New Roman"/>
                <w:sz w:val="24"/>
                <w:szCs w:val="24"/>
                <w:lang w:val="lv-LV"/>
              </w:rPr>
              <w:t>s</w:t>
            </w:r>
            <w:r w:rsidR="005F4F41" w:rsidRPr="004468B2">
              <w:rPr>
                <w:rFonts w:ascii="Times New Roman" w:hAnsi="Times New Roman"/>
                <w:sz w:val="24"/>
                <w:szCs w:val="24"/>
                <w:lang w:val="lv-LV"/>
              </w:rPr>
              <w:t xml:space="preserve"> izplatīšanas prakses </w:t>
            </w:r>
            <w:r w:rsidR="006541EF" w:rsidRPr="004468B2">
              <w:rPr>
                <w:rFonts w:ascii="Times New Roman" w:hAnsi="Times New Roman"/>
                <w:sz w:val="24"/>
                <w:szCs w:val="24"/>
                <w:lang w:val="lv-LV"/>
              </w:rPr>
              <w:t xml:space="preserve">uzraudzība un </w:t>
            </w:r>
            <w:r w:rsidR="00603C6F" w:rsidRPr="004468B2">
              <w:rPr>
                <w:rFonts w:ascii="Times New Roman" w:hAnsi="Times New Roman"/>
                <w:sz w:val="24"/>
                <w:szCs w:val="24"/>
                <w:lang w:val="lv-LV"/>
              </w:rPr>
              <w:t xml:space="preserve">zāļu labas izplatīšanas prakses </w:t>
            </w:r>
            <w:r w:rsidR="005F4F41" w:rsidRPr="004468B2">
              <w:rPr>
                <w:rFonts w:ascii="Times New Roman" w:hAnsi="Times New Roman"/>
                <w:sz w:val="24"/>
                <w:szCs w:val="24"/>
                <w:lang w:val="lv-LV"/>
              </w:rPr>
              <w:t xml:space="preserve">sertifikāta izsniegšanas kārtība </w:t>
            </w:r>
            <w:r w:rsidR="00A92A4A" w:rsidRPr="004468B2">
              <w:rPr>
                <w:rFonts w:ascii="Times New Roman" w:hAnsi="Times New Roman"/>
                <w:sz w:val="24"/>
                <w:szCs w:val="24"/>
                <w:lang w:val="lv-LV"/>
              </w:rPr>
              <w:t>atbi</w:t>
            </w:r>
            <w:r w:rsidR="007B2AC2" w:rsidRPr="004468B2">
              <w:rPr>
                <w:rFonts w:ascii="Times New Roman" w:hAnsi="Times New Roman"/>
                <w:sz w:val="24"/>
                <w:szCs w:val="24"/>
                <w:lang w:val="lv-LV"/>
              </w:rPr>
              <w:t xml:space="preserve">lstoši </w:t>
            </w:r>
            <w:r w:rsidR="00603C6F" w:rsidRPr="004468B2">
              <w:rPr>
                <w:rFonts w:ascii="Times New Roman" w:hAnsi="Times New Roman"/>
                <w:sz w:val="24"/>
                <w:szCs w:val="24"/>
                <w:lang w:val="lv-LV"/>
              </w:rPr>
              <w:t xml:space="preserve">Direktīvas 2011/62/ES </w:t>
            </w:r>
            <w:r w:rsidR="00D157EA" w:rsidRPr="004468B2">
              <w:rPr>
                <w:rFonts w:ascii="Times New Roman" w:hAnsi="Times New Roman"/>
                <w:sz w:val="24"/>
                <w:szCs w:val="24"/>
                <w:lang w:val="lv-LV"/>
              </w:rPr>
              <w:t>1.panta 21.punkta normai</w:t>
            </w:r>
            <w:r w:rsidR="006A0592" w:rsidRPr="004468B2">
              <w:rPr>
                <w:rFonts w:ascii="Times New Roman" w:hAnsi="Times New Roman"/>
                <w:sz w:val="24"/>
                <w:szCs w:val="24"/>
                <w:lang w:val="lv-LV"/>
              </w:rPr>
              <w:t>.</w:t>
            </w:r>
          </w:p>
          <w:p w:rsidR="007D4EB3" w:rsidRPr="004468B2" w:rsidRDefault="00C17BB4" w:rsidP="005D2028">
            <w:pPr>
              <w:pStyle w:val="Bezatstarpm1"/>
              <w:jc w:val="both"/>
              <w:rPr>
                <w:rFonts w:ascii="Times New Roman" w:hAnsi="Times New Roman"/>
                <w:sz w:val="24"/>
                <w:szCs w:val="24"/>
                <w:lang w:val="lv-LV"/>
              </w:rPr>
            </w:pPr>
            <w:r w:rsidRPr="004468B2">
              <w:rPr>
                <w:rFonts w:ascii="Times New Roman" w:hAnsi="Times New Roman"/>
                <w:sz w:val="24"/>
                <w:szCs w:val="24"/>
                <w:lang w:val="lv-LV"/>
              </w:rPr>
              <w:t xml:space="preserve">Pašreiz MK noteikumu Nr.416 III. nodaļā ir ietvertas </w:t>
            </w:r>
            <w:r w:rsidRPr="004468B2">
              <w:rPr>
                <w:rFonts w:ascii="Times New Roman" w:hAnsi="Times New Roman"/>
                <w:bCs/>
                <w:sz w:val="24"/>
                <w:szCs w:val="24"/>
                <w:lang w:val="lv-LV"/>
              </w:rPr>
              <w:t xml:space="preserve">zāļu labas izplatīšanas prakses prasības, kurās nav attiecinātas uz </w:t>
            </w:r>
            <w:r w:rsidRPr="004468B2">
              <w:rPr>
                <w:rFonts w:ascii="Times New Roman" w:hAnsi="Times New Roman"/>
                <w:sz w:val="24"/>
                <w:szCs w:val="24"/>
                <w:lang w:val="lv-LV"/>
              </w:rPr>
              <w:t>personām, kas nodarbojas ar zāļu izplatīšanas starpniecību,</w:t>
            </w:r>
            <w:r w:rsidRPr="004468B2">
              <w:rPr>
                <w:rFonts w:ascii="Times New Roman" w:hAnsi="Times New Roman"/>
                <w:bCs/>
                <w:sz w:val="24"/>
                <w:szCs w:val="24"/>
                <w:lang w:val="lv-LV"/>
              </w:rPr>
              <w:t xml:space="preserve"> un </w:t>
            </w:r>
            <w:r w:rsidRPr="004468B2">
              <w:rPr>
                <w:rFonts w:ascii="Times New Roman" w:hAnsi="Times New Roman"/>
                <w:noProof/>
                <w:sz w:val="24"/>
                <w:szCs w:val="24"/>
                <w:lang w:val="lv-LV"/>
              </w:rPr>
              <w:t xml:space="preserve">Eiropas Komisija 2013.gada 7.martā ir pieņēmusi un publiskojusi </w:t>
            </w:r>
            <w:r w:rsidRPr="004468B2">
              <w:rPr>
                <w:rFonts w:ascii="Times New Roman" w:hAnsi="Times New Roman"/>
                <w:sz w:val="24"/>
                <w:szCs w:val="24"/>
                <w:lang w:val="lv-LV"/>
              </w:rPr>
              <w:t xml:space="preserve">(OJ C68, 8.3.2013, p.1) </w:t>
            </w:r>
            <w:r w:rsidRPr="004468B2">
              <w:rPr>
                <w:rFonts w:ascii="Times New Roman" w:hAnsi="Times New Roman"/>
                <w:noProof/>
                <w:sz w:val="24"/>
                <w:szCs w:val="24"/>
                <w:lang w:val="lv-LV"/>
              </w:rPr>
              <w:t>pamatnostādnes (</w:t>
            </w:r>
            <w:r w:rsidRPr="004468B2">
              <w:rPr>
                <w:rFonts w:ascii="Times New Roman" w:hAnsi="Times New Roman"/>
                <w:i/>
                <w:noProof/>
                <w:sz w:val="24"/>
                <w:szCs w:val="24"/>
                <w:lang w:val="en-GB"/>
              </w:rPr>
              <w:t>guidelines</w:t>
            </w:r>
            <w:r w:rsidRPr="004468B2">
              <w:rPr>
                <w:rFonts w:ascii="Times New Roman" w:hAnsi="Times New Roman"/>
                <w:noProof/>
                <w:sz w:val="24"/>
                <w:szCs w:val="24"/>
                <w:lang w:val="lv-LV"/>
              </w:rPr>
              <w:t>) Nr.</w:t>
            </w:r>
            <w:r w:rsidRPr="004468B2">
              <w:rPr>
                <w:rFonts w:ascii="Times New Roman" w:hAnsi="Times New Roman"/>
                <w:sz w:val="24"/>
                <w:szCs w:val="24"/>
                <w:lang w:val="lv-LV"/>
              </w:rPr>
              <w:t xml:space="preserve">2013/C 68/01 par cilvēkiem paredzētu zāļu </w:t>
            </w:r>
            <w:r w:rsidRPr="004468B2">
              <w:rPr>
                <w:rFonts w:ascii="Times New Roman" w:hAnsi="Times New Roman"/>
                <w:bCs/>
                <w:sz w:val="24"/>
                <w:szCs w:val="24"/>
                <w:lang w:val="lv-LV"/>
              </w:rPr>
              <w:t xml:space="preserve">labu izplatīšanas praksi (stājas spēkā ar 2013.gada 8.septembri), kurās ir iekļautas prasības arī </w:t>
            </w:r>
            <w:r w:rsidRPr="004468B2">
              <w:rPr>
                <w:rFonts w:ascii="Times New Roman" w:hAnsi="Times New Roman"/>
                <w:sz w:val="24"/>
                <w:szCs w:val="24"/>
                <w:lang w:val="lv-LV"/>
              </w:rPr>
              <w:t xml:space="preserve">starpniecības darījumiem ar zālēm, jānosaka pārejas periods </w:t>
            </w:r>
            <w:r w:rsidRPr="004468B2">
              <w:rPr>
                <w:rFonts w:ascii="Times New Roman" w:hAnsi="Times New Roman"/>
                <w:bCs/>
                <w:sz w:val="24"/>
                <w:szCs w:val="24"/>
                <w:lang w:val="lv-LV"/>
              </w:rPr>
              <w:t xml:space="preserve">labas izplatīšanas prakses prasību ievērošanai, </w:t>
            </w:r>
            <w:r w:rsidRPr="004468B2">
              <w:rPr>
                <w:rFonts w:ascii="Times New Roman" w:hAnsi="Times New Roman"/>
                <w:sz w:val="24"/>
                <w:szCs w:val="24"/>
                <w:lang w:val="lv-LV"/>
              </w:rPr>
              <w:t>personām, kas nodarbojas ar zāļu izplatīšanas starpniecību</w:t>
            </w:r>
            <w:r w:rsidRPr="004468B2">
              <w:rPr>
                <w:rFonts w:ascii="Times New Roman" w:hAnsi="Times New Roman"/>
                <w:sz w:val="24"/>
                <w:szCs w:val="24"/>
              </w:rPr>
              <w:t xml:space="preserve"> (</w:t>
            </w:r>
            <w:r w:rsidRPr="004468B2">
              <w:rPr>
                <w:rFonts w:ascii="Times New Roman" w:hAnsi="Times New Roman"/>
                <w:i/>
                <w:noProof/>
                <w:sz w:val="24"/>
                <w:szCs w:val="24"/>
              </w:rPr>
              <w:t xml:space="preserve">http://eur-lex.europa.eu/LexUriServ/LexUriServ.do?uri=OJ:C:2013:068:0001:0014:LV:PDF) </w:t>
            </w:r>
          </w:p>
          <w:p w:rsidR="00A92A4A" w:rsidRPr="004468B2" w:rsidRDefault="006319B4" w:rsidP="0079759D">
            <w:pPr>
              <w:spacing w:before="100" w:beforeAutospacing="1" w:after="100" w:afterAutospacing="1"/>
              <w:jc w:val="both"/>
            </w:pPr>
            <w:r w:rsidRPr="004468B2">
              <w:t>4)</w:t>
            </w:r>
            <w:r w:rsidR="005B4F4C" w:rsidRPr="004468B2">
              <w:t> Jāpārskata MK noteikumu Nr.</w:t>
            </w:r>
            <w:r w:rsidR="006C4DC1" w:rsidRPr="004468B2">
              <w:t>416 normas par zāļu iegādi no trešajām</w:t>
            </w:r>
            <w:r w:rsidR="002C382A" w:rsidRPr="004468B2">
              <w:t xml:space="preserve"> valstīm</w:t>
            </w:r>
            <w:r w:rsidR="006C4DC1" w:rsidRPr="004468B2">
              <w:t xml:space="preserve"> </w:t>
            </w:r>
            <w:r w:rsidR="0076702F" w:rsidRPr="004468B2">
              <w:t>un eksportu uz trešajām valstīm</w:t>
            </w:r>
            <w:r w:rsidR="006C4DC1" w:rsidRPr="004468B2">
              <w:t xml:space="preserve"> </w:t>
            </w:r>
            <w:r w:rsidR="0076702F" w:rsidRPr="004468B2">
              <w:t>atbilstoši Direktīva</w:t>
            </w:r>
            <w:r w:rsidR="00C52FB9" w:rsidRPr="004468B2">
              <w:t>s</w:t>
            </w:r>
            <w:r w:rsidR="0076702F" w:rsidRPr="004468B2">
              <w:t xml:space="preserve"> 2011/62/ES</w:t>
            </w:r>
            <w:r w:rsidR="00C52FB9" w:rsidRPr="004468B2">
              <w:t>, 1.panta 19.punkta normai</w:t>
            </w:r>
            <w:r w:rsidR="00E00271" w:rsidRPr="004468B2">
              <w:t xml:space="preserve"> un Direktīvas 2012/26/ES 1.panta 6.punkta normai</w:t>
            </w:r>
            <w:r w:rsidR="00517A11" w:rsidRPr="004468B2">
              <w:t>.</w:t>
            </w:r>
            <w:r w:rsidR="00352D4F" w:rsidRPr="004468B2">
              <w:t xml:space="preserve"> </w:t>
            </w:r>
            <w:r w:rsidR="00AB7767" w:rsidRPr="004468B2">
              <w:t xml:space="preserve">Eiropas Savienības tirgū zāles var ievest, ja nav nodoma tās importēt, proti, ja tās nav paredzēts laist brīvā apgrozībā. Ja zāles iegādājas nelegālā veidā pastāv liels viltojuma risks, un tās apdraud sabiedrības veselību Eiropas Savienībā. </w:t>
            </w:r>
            <w:r w:rsidR="00AB7767" w:rsidRPr="004468B2">
              <w:rPr>
                <w:lang w:val="lv-LV"/>
              </w:rPr>
              <w:t>Tāpēc zāļu vairumtirgotājam ir jāpārzina legālie zāļu iegādes avoti. Vienlaicīgi arī Eiropas Savienībā var konstatēt viltotās un nekvalitatīvas zāles, kuras eksportējot var nonākt</w:t>
            </w:r>
            <w:r w:rsidR="00AB7767" w:rsidRPr="004468B2">
              <w:t xml:space="preserve"> pie pacientiem trešajās valstīs. Direktīvas 2011/62 princips liek dalībvalstīm pieņemt </w:t>
            </w:r>
            <w:r w:rsidR="00AB7767" w:rsidRPr="004468B2">
              <w:lastRenderedPageBreak/>
              <w:t>pasākumus lai novērstu viltoto zāļu nokļūšanu apritē</w:t>
            </w:r>
            <w:r w:rsidR="00C362D1" w:rsidRPr="004468B2">
              <w:t xml:space="preserve"> (tai skaitā eksportējot)</w:t>
            </w:r>
            <w:r w:rsidR="00AB7767" w:rsidRPr="004468B2">
              <w:t xml:space="preserve">, ja tās ievestas Savienības teritorijā. </w:t>
            </w:r>
            <w:r w:rsidR="00517A11" w:rsidRPr="004468B2">
              <w:t>P</w:t>
            </w:r>
            <w:r w:rsidR="006C4DC1" w:rsidRPr="004468B2">
              <w:t xml:space="preserve">ašreiz MK noteikumu Nr.416 12.2.apakšpunkta norma </w:t>
            </w:r>
            <w:r w:rsidR="003345FB" w:rsidRPr="004468B2">
              <w:t>nosaka</w:t>
            </w:r>
            <w:r w:rsidR="006C4DC1" w:rsidRPr="004468B2">
              <w:t xml:space="preserve"> zāļu vairumtirgotājam prasību zāles </w:t>
            </w:r>
            <w:r w:rsidR="003345FB" w:rsidRPr="004468B2">
              <w:t xml:space="preserve">iegādāties </w:t>
            </w:r>
            <w:r w:rsidR="006C4DC1" w:rsidRPr="004468B2">
              <w:t xml:space="preserve">no personām, kurām ir </w:t>
            </w:r>
            <w:r w:rsidR="0071590E" w:rsidRPr="004468B2">
              <w:t>licence</w:t>
            </w:r>
            <w:r w:rsidR="00292E58" w:rsidRPr="004468B2">
              <w:t xml:space="preserve"> zāļu lieltirgotavas </w:t>
            </w:r>
            <w:r w:rsidR="0071590E" w:rsidRPr="004468B2">
              <w:t>darbībai, licence</w:t>
            </w:r>
            <w:r w:rsidR="00292E58" w:rsidRPr="004468B2">
              <w:t xml:space="preserve"> zāļu ražošanai vai importēšanai</w:t>
            </w:r>
            <w:r w:rsidR="009A267D" w:rsidRPr="004468B2">
              <w:t xml:space="preserve">, vai arī no </w:t>
            </w:r>
            <w:r w:rsidR="00292E58" w:rsidRPr="004468B2">
              <w:t>zāļu vairumtirgotājiem, kuri</w:t>
            </w:r>
            <w:r w:rsidR="000616E4" w:rsidRPr="004468B2">
              <w:t xml:space="preserve">em ir </w:t>
            </w:r>
            <w:r w:rsidR="00292E58" w:rsidRPr="004468B2">
              <w:t xml:space="preserve">citā Eiropas </w:t>
            </w:r>
            <w:r w:rsidR="00292E58" w:rsidRPr="004468B2">
              <w:rPr>
                <w:lang w:val="lv-LV"/>
              </w:rPr>
              <w:t xml:space="preserve">Ekonomikas zonas valstī izsniegta </w:t>
            </w:r>
            <w:r w:rsidR="000616E4" w:rsidRPr="004468B2">
              <w:rPr>
                <w:lang w:val="lv-LV"/>
              </w:rPr>
              <w:t>licence</w:t>
            </w:r>
            <w:r w:rsidR="00292E58" w:rsidRPr="004468B2">
              <w:rPr>
                <w:lang w:val="lv-LV"/>
              </w:rPr>
              <w:t xml:space="preserve"> zāļu vairumtirdzniecībai </w:t>
            </w:r>
            <w:r w:rsidR="005B0C8C" w:rsidRPr="004468B2">
              <w:rPr>
                <w:lang w:val="lv-LV"/>
              </w:rPr>
              <w:t>vai zāļu ražošanai/importēšanai, bet tas netiek attiecināts uz trešajām valstīm.</w:t>
            </w:r>
            <w:r w:rsidR="000616E4" w:rsidRPr="004468B2">
              <w:rPr>
                <w:lang w:val="lv-LV"/>
              </w:rPr>
              <w:t xml:space="preserve"> </w:t>
            </w:r>
            <w:r w:rsidR="00B20926" w:rsidRPr="004468B2">
              <w:rPr>
                <w:lang w:val="lv-LV"/>
              </w:rPr>
              <w:t>Jāņem vērā arī fakts, ka t</w:t>
            </w:r>
            <w:r w:rsidR="000616E4" w:rsidRPr="004468B2">
              <w:rPr>
                <w:lang w:val="lv-LV"/>
              </w:rPr>
              <w:t>rešajās valstī</w:t>
            </w:r>
            <w:r w:rsidR="00AA4265" w:rsidRPr="004468B2">
              <w:rPr>
                <w:lang w:val="lv-LV"/>
              </w:rPr>
              <w:t>s tiesību akti var neparedzēt šā</w:t>
            </w:r>
            <w:r w:rsidR="001B45AA" w:rsidRPr="004468B2">
              <w:rPr>
                <w:lang w:val="lv-LV"/>
              </w:rPr>
              <w:t>das lice</w:t>
            </w:r>
            <w:r w:rsidR="00DA40F5" w:rsidRPr="004468B2">
              <w:rPr>
                <w:lang w:val="lv-LV"/>
              </w:rPr>
              <w:t>nces</w:t>
            </w:r>
            <w:r w:rsidR="00C52FB9" w:rsidRPr="004468B2">
              <w:rPr>
                <w:lang w:val="lv-LV"/>
              </w:rPr>
              <w:t>. L</w:t>
            </w:r>
            <w:r w:rsidR="001B45AA" w:rsidRPr="004468B2">
              <w:rPr>
                <w:lang w:val="lv-LV"/>
              </w:rPr>
              <w:t xml:space="preserve">īdz ar to pastāvošais regulējums var radīt </w:t>
            </w:r>
            <w:r w:rsidR="00B20926" w:rsidRPr="004468B2">
              <w:rPr>
                <w:lang w:val="lv-LV"/>
              </w:rPr>
              <w:t xml:space="preserve">arī </w:t>
            </w:r>
            <w:r w:rsidR="001B45AA" w:rsidRPr="004468B2">
              <w:rPr>
                <w:lang w:val="lv-LV"/>
              </w:rPr>
              <w:t>risku zāļu pieejamībai</w:t>
            </w:r>
            <w:r w:rsidR="00517A11" w:rsidRPr="004468B2">
              <w:rPr>
                <w:lang w:val="lv-LV"/>
              </w:rPr>
              <w:t>.</w:t>
            </w:r>
            <w:r w:rsidR="00352D4F" w:rsidRPr="004468B2">
              <w:rPr>
                <w:lang w:val="lv-LV"/>
              </w:rPr>
              <w:t xml:space="preserve"> </w:t>
            </w:r>
            <w:r w:rsidR="00517A11" w:rsidRPr="004468B2">
              <w:rPr>
                <w:lang w:val="lv-LV"/>
              </w:rPr>
              <w:t>T</w:t>
            </w:r>
            <w:r w:rsidR="005B4F4C" w:rsidRPr="004468B2">
              <w:rPr>
                <w:lang w:val="lv-LV"/>
              </w:rPr>
              <w:t>re</w:t>
            </w:r>
            <w:r w:rsidR="002C09EC" w:rsidRPr="004468B2">
              <w:rPr>
                <w:lang w:val="lv-LV"/>
              </w:rPr>
              <w:t>šo valstu tiesību akti</w:t>
            </w:r>
            <w:r w:rsidR="005B4F4C" w:rsidRPr="004468B2">
              <w:rPr>
                <w:lang w:val="lv-LV"/>
              </w:rPr>
              <w:t xml:space="preserve"> </w:t>
            </w:r>
            <w:r w:rsidR="002C09EC" w:rsidRPr="004468B2">
              <w:rPr>
                <w:lang w:val="lv-LV"/>
              </w:rPr>
              <w:t>var nenot</w:t>
            </w:r>
            <w:r w:rsidR="00F90493" w:rsidRPr="004468B2">
              <w:rPr>
                <w:lang w:val="lv-LV"/>
              </w:rPr>
              <w:t>eikt</w:t>
            </w:r>
            <w:r w:rsidR="002C09EC" w:rsidRPr="004468B2">
              <w:rPr>
                <w:lang w:val="lv-LV"/>
              </w:rPr>
              <w:t xml:space="preserve"> prasību</w:t>
            </w:r>
            <w:r w:rsidR="00944E95" w:rsidRPr="004468B2">
              <w:rPr>
                <w:lang w:val="lv-LV"/>
              </w:rPr>
              <w:t xml:space="preserve"> pēc zāļu reģistrācijas dalībvalstīs</w:t>
            </w:r>
            <w:r w:rsidR="00E543A2" w:rsidRPr="004468B2">
              <w:rPr>
                <w:lang w:val="lv-LV"/>
              </w:rPr>
              <w:t>.</w:t>
            </w:r>
            <w:r w:rsidR="00352D4F" w:rsidRPr="004468B2">
              <w:rPr>
                <w:lang w:val="lv-LV"/>
              </w:rPr>
              <w:t xml:space="preserve"> </w:t>
            </w:r>
            <w:r w:rsidR="00517A11" w:rsidRPr="004468B2">
              <w:rPr>
                <w:lang w:val="lv-LV"/>
              </w:rPr>
              <w:t>T</w:t>
            </w:r>
            <w:r w:rsidR="00AB1C98" w:rsidRPr="004468B2">
              <w:rPr>
                <w:lang w:val="lv-LV"/>
              </w:rPr>
              <w:t>rešajām valstīm iespējami citi zāļu saņemšanas nosacījumi, nekā to paredz MK noteikumu Nr.416 30.1</w:t>
            </w:r>
            <w:r w:rsidR="00EA5774" w:rsidRPr="004468B2">
              <w:rPr>
                <w:lang w:val="lv-LV"/>
              </w:rPr>
              <w:t>.</w:t>
            </w:r>
            <w:r w:rsidR="00AB1C98" w:rsidRPr="004468B2">
              <w:rPr>
                <w:lang w:val="lv-LV"/>
              </w:rPr>
              <w:t>apakšpunkta norma</w:t>
            </w:r>
            <w:r w:rsidR="00E543A2" w:rsidRPr="004468B2">
              <w:rPr>
                <w:lang w:val="lv-LV"/>
              </w:rPr>
              <w:t xml:space="preserve">, </w:t>
            </w:r>
            <w:r w:rsidR="005B0C8C" w:rsidRPr="004468B2">
              <w:rPr>
                <w:lang w:val="lv-LV"/>
              </w:rPr>
              <w:t xml:space="preserve">atbilstoši attiecīgajā trešā valstī piemērojamiem normatīvajiem un administratīvajiem aktiem. </w:t>
            </w:r>
            <w:r w:rsidR="00A26BC5" w:rsidRPr="004468B2">
              <w:rPr>
                <w:lang w:val="lv-LV"/>
              </w:rPr>
              <w:t xml:space="preserve">Direktīvas 2011/62/ES, 1.panta 19.punkta un Direktīvas 2012/26/ES 1.panta 6.punkta normas </w:t>
            </w:r>
            <w:r w:rsidR="00A26BC5" w:rsidRPr="004468B2">
              <w:rPr>
                <w:b/>
                <w:lang w:val="lv-LV"/>
              </w:rPr>
              <w:t xml:space="preserve">mērķis ir </w:t>
            </w:r>
            <w:r w:rsidR="00A26BC5" w:rsidRPr="004468B2">
              <w:rPr>
                <w:b/>
                <w:u w:val="single"/>
                <w:lang w:val="lv-LV"/>
              </w:rPr>
              <w:t>veicināt</w:t>
            </w:r>
            <w:r w:rsidR="00A26BC5" w:rsidRPr="004468B2">
              <w:rPr>
                <w:b/>
                <w:lang w:val="lv-LV"/>
              </w:rPr>
              <w:t xml:space="preserve"> pašus eksportētājus noskaidrot trešajās valstīs vai attiecīgā persona no kuras saņem vai kurai piegādā zāles darbojas legāli</w:t>
            </w:r>
            <w:r w:rsidR="007F33D2" w:rsidRPr="004468B2">
              <w:rPr>
                <w:lang w:val="lv-LV"/>
              </w:rPr>
              <w:t xml:space="preserve">, lai samazinātu viltotu zāļu iegādes risku. </w:t>
            </w:r>
            <w:r w:rsidR="00D9742B" w:rsidRPr="004468B2">
              <w:rPr>
                <w:lang w:val="lv-LV"/>
              </w:rPr>
              <w:t xml:space="preserve">Direktīvas 2011/62/ES un Direktīvas 2012/26/ES normas </w:t>
            </w:r>
            <w:r w:rsidR="006315FF" w:rsidRPr="004468B2">
              <w:rPr>
                <w:lang w:val="lv-LV"/>
              </w:rPr>
              <w:t xml:space="preserve">(spēkā ar 2013.gada 28.oktobri) </w:t>
            </w:r>
            <w:r w:rsidR="00D9742B" w:rsidRPr="004468B2">
              <w:rPr>
                <w:lang w:val="lv-LV"/>
              </w:rPr>
              <w:t xml:space="preserve">neparedz dalībvalsts kompetentajām institūcijām pienākumu </w:t>
            </w:r>
            <w:r w:rsidR="002C373D" w:rsidRPr="004468B2">
              <w:rPr>
                <w:lang w:val="lv-LV"/>
              </w:rPr>
              <w:t xml:space="preserve">pārzināt </w:t>
            </w:r>
            <w:r w:rsidR="00D9742B" w:rsidRPr="004468B2">
              <w:rPr>
                <w:lang w:val="lv-LV"/>
              </w:rPr>
              <w:t>regulējumu trešajās valstīs un personas, kas ir tiesīgas veikt noteiktas darbības ar zālēm trešajās valstīs saskaņā ar attiecīgajā trešā valstī piemērojamiem normatīvajiem un administratīvajiem aktiem</w:t>
            </w:r>
            <w:r w:rsidR="00A42926" w:rsidRPr="004468B2">
              <w:rPr>
                <w:lang w:val="lv-LV"/>
              </w:rPr>
              <w:t>.</w:t>
            </w:r>
            <w:r w:rsidR="007716B7" w:rsidRPr="004468B2">
              <w:rPr>
                <w:lang w:val="lv-LV"/>
              </w:rPr>
              <w:t xml:space="preserve"> </w:t>
            </w:r>
            <w:r w:rsidR="00A674D9">
              <w:rPr>
                <w:lang w:val="lv-LV"/>
              </w:rPr>
              <w:t>20</w:t>
            </w:r>
            <w:r w:rsidR="00AA5B61" w:rsidRPr="004468B2">
              <w:rPr>
                <w:lang w:val="lv-LV"/>
              </w:rPr>
              <w:t xml:space="preserve">13.gada 25.jūlijā esam saņēmuši </w:t>
            </w:r>
            <w:r w:rsidR="00BD1AA8" w:rsidRPr="004468B2">
              <w:rPr>
                <w:lang w:val="lv-LV"/>
              </w:rPr>
              <w:t xml:space="preserve">arī </w:t>
            </w:r>
            <w:r w:rsidR="00AA5B61" w:rsidRPr="004468B2">
              <w:rPr>
                <w:lang w:val="lv-LV"/>
              </w:rPr>
              <w:t xml:space="preserve">no </w:t>
            </w:r>
            <w:r w:rsidR="00AA5B61" w:rsidRPr="004468B2">
              <w:rPr>
                <w:rStyle w:val="hps"/>
                <w:lang w:val="lv-LV"/>
              </w:rPr>
              <w:t>Eiropas</w:t>
            </w:r>
            <w:r w:rsidR="00AA5B61" w:rsidRPr="004468B2">
              <w:rPr>
                <w:lang w:val="lv-LV"/>
              </w:rPr>
              <w:t xml:space="preserve"> </w:t>
            </w:r>
            <w:r w:rsidR="00AA5B61" w:rsidRPr="004468B2">
              <w:rPr>
                <w:rStyle w:val="hps"/>
                <w:lang w:val="lv-LV"/>
              </w:rPr>
              <w:t>Komisija</w:t>
            </w:r>
            <w:r w:rsidR="00DB3DB0" w:rsidRPr="004468B2">
              <w:rPr>
                <w:lang w:val="lv-LV"/>
              </w:rPr>
              <w:t xml:space="preserve">s </w:t>
            </w:r>
            <w:r w:rsidR="00AA5B61" w:rsidRPr="004468B2">
              <w:rPr>
                <w:rStyle w:val="hps"/>
                <w:lang w:val="lv-LV"/>
              </w:rPr>
              <w:t>Veselības un</w:t>
            </w:r>
            <w:r w:rsidR="00AA5B61" w:rsidRPr="004468B2">
              <w:rPr>
                <w:lang w:val="lv-LV"/>
              </w:rPr>
              <w:t xml:space="preserve"> </w:t>
            </w:r>
            <w:r w:rsidR="00AA5B61" w:rsidRPr="004468B2">
              <w:rPr>
                <w:rStyle w:val="hps"/>
                <w:lang w:val="lv-LV"/>
              </w:rPr>
              <w:t>patērētāju</w:t>
            </w:r>
            <w:r w:rsidR="00DB3DB0" w:rsidRPr="004468B2">
              <w:rPr>
                <w:lang w:val="lv-LV"/>
              </w:rPr>
              <w:t xml:space="preserve"> ģenerāldirektorāta </w:t>
            </w:r>
            <w:r w:rsidR="00AA5B61" w:rsidRPr="004468B2">
              <w:rPr>
                <w:rStyle w:val="hps"/>
                <w:lang w:val="lv-LV"/>
              </w:rPr>
              <w:t>D6</w:t>
            </w:r>
            <w:r w:rsidR="00AA5B61" w:rsidRPr="004468B2">
              <w:rPr>
                <w:lang w:val="lv-LV"/>
              </w:rPr>
              <w:t xml:space="preserve"> </w:t>
            </w:r>
            <w:r w:rsidR="00DB3DB0" w:rsidRPr="004468B2">
              <w:rPr>
                <w:lang w:val="lv-LV"/>
              </w:rPr>
              <w:t xml:space="preserve">nodaļas </w:t>
            </w:r>
            <w:r w:rsidR="00AA5B61" w:rsidRPr="004468B2">
              <w:rPr>
                <w:rStyle w:val="hps"/>
                <w:lang w:val="lv-LV"/>
              </w:rPr>
              <w:t>"</w:t>
            </w:r>
            <w:r w:rsidR="00DB3DB0" w:rsidRPr="004468B2">
              <w:rPr>
                <w:lang w:val="lv-LV"/>
              </w:rPr>
              <w:t>Z</w:t>
            </w:r>
            <w:r w:rsidR="00AA5B61" w:rsidRPr="004468B2">
              <w:rPr>
                <w:lang w:val="lv-LV"/>
              </w:rPr>
              <w:t>āles</w:t>
            </w:r>
            <w:r w:rsidR="00BD1AA8" w:rsidRPr="004468B2">
              <w:rPr>
                <w:lang w:val="lv-LV"/>
              </w:rPr>
              <w:t> </w:t>
            </w:r>
            <w:r w:rsidR="00AA5B61" w:rsidRPr="004468B2">
              <w:rPr>
                <w:rStyle w:val="hps"/>
                <w:lang w:val="lv-LV"/>
              </w:rPr>
              <w:t>-</w:t>
            </w:r>
            <w:r w:rsidR="004E1F86" w:rsidRPr="004468B2">
              <w:rPr>
                <w:lang w:val="lv-LV"/>
              </w:rPr>
              <w:t> </w:t>
            </w:r>
            <w:r w:rsidR="00AA5B61" w:rsidRPr="004468B2">
              <w:rPr>
                <w:rStyle w:val="hps"/>
                <w:lang w:val="lv-LV"/>
              </w:rPr>
              <w:t>kvalitāte, drošība</w:t>
            </w:r>
            <w:r w:rsidR="00AA5B61" w:rsidRPr="004468B2">
              <w:rPr>
                <w:lang w:val="lv-LV"/>
              </w:rPr>
              <w:t xml:space="preserve"> </w:t>
            </w:r>
            <w:r w:rsidR="00AA5B61" w:rsidRPr="004468B2">
              <w:rPr>
                <w:rStyle w:val="hps"/>
                <w:lang w:val="lv-LV"/>
              </w:rPr>
              <w:t>un</w:t>
            </w:r>
            <w:r w:rsidR="00AA5B61" w:rsidRPr="004468B2">
              <w:rPr>
                <w:lang w:val="lv-LV"/>
              </w:rPr>
              <w:t xml:space="preserve"> </w:t>
            </w:r>
            <w:r w:rsidR="00AA5B61" w:rsidRPr="004468B2">
              <w:rPr>
                <w:rStyle w:val="hps"/>
                <w:lang w:val="lv-LV"/>
              </w:rPr>
              <w:t>efektivitāte</w:t>
            </w:r>
            <w:r w:rsidR="00BD1AA8" w:rsidRPr="004468B2">
              <w:rPr>
                <w:rStyle w:val="hps"/>
                <w:lang w:val="lv-LV"/>
              </w:rPr>
              <w:t xml:space="preserve"> (</w:t>
            </w:r>
            <w:r w:rsidR="00BD1AA8" w:rsidRPr="004468B2">
              <w:rPr>
                <w:bCs/>
                <w:i/>
                <w:lang w:val="it-IT"/>
              </w:rPr>
              <w:t xml:space="preserve">Patrizia TOSETTI, PhD </w:t>
            </w:r>
            <w:r w:rsidR="00BD1AA8" w:rsidRPr="004468B2">
              <w:rPr>
                <w:i/>
                <w:lang w:val="it-IT"/>
              </w:rPr>
              <w:t>Policy officer)</w:t>
            </w:r>
            <w:r w:rsidR="004A5AF2" w:rsidRPr="004468B2">
              <w:rPr>
                <w:i/>
                <w:lang w:val="it-IT"/>
              </w:rPr>
              <w:t xml:space="preserve"> </w:t>
            </w:r>
            <w:r w:rsidR="004A5AF2" w:rsidRPr="004468B2">
              <w:rPr>
                <w:lang w:val="it-IT"/>
              </w:rPr>
              <w:t>e</w:t>
            </w:r>
            <w:r w:rsidR="004E1F86" w:rsidRPr="004468B2">
              <w:rPr>
                <w:lang w:val="it-IT"/>
              </w:rPr>
              <w:t> </w:t>
            </w:r>
            <w:r w:rsidR="004A5AF2" w:rsidRPr="004468B2">
              <w:rPr>
                <w:lang w:val="it-IT"/>
              </w:rPr>
              <w:t>-</w:t>
            </w:r>
            <w:r w:rsidR="004E1F86" w:rsidRPr="004468B2">
              <w:rPr>
                <w:lang w:val="it-IT"/>
              </w:rPr>
              <w:t> </w:t>
            </w:r>
            <w:r w:rsidR="004A5AF2" w:rsidRPr="004468B2">
              <w:rPr>
                <w:lang w:val="it-IT"/>
              </w:rPr>
              <w:t xml:space="preserve">pastā informāciju par to, ka </w:t>
            </w:r>
            <w:r w:rsidR="004A5AF2" w:rsidRPr="004468B2">
              <w:rPr>
                <w:lang w:val="lv-LV"/>
              </w:rPr>
              <w:t xml:space="preserve">Eiropas Parlamenta un Padomes 2001.gada 6.novembra Direktīvas </w:t>
            </w:r>
            <w:hyperlink r:id="rId8" w:tgtFrame="_blank" w:tooltip="Atvērt direktīvas konsolidēto versiju" w:history="1">
              <w:r w:rsidR="004A5AF2" w:rsidRPr="004468B2">
                <w:rPr>
                  <w:rStyle w:val="Hyperlink"/>
                  <w:color w:val="auto"/>
                  <w:u w:val="none"/>
                  <w:lang w:val="lv-LV"/>
                </w:rPr>
                <w:t>2001/83/EK</w:t>
              </w:r>
            </w:hyperlink>
            <w:r w:rsidR="004A5AF2" w:rsidRPr="004468B2">
              <w:rPr>
                <w:lang w:val="lv-LV"/>
              </w:rPr>
              <w:t xml:space="preserve"> par Kopienas kodeksu, kas attiecas uz cilvēkiem paredzētām zālēm (ar grozījumiem) (turpmāk - Direktīva 2001/83/ES)</w:t>
            </w:r>
            <w:r w:rsidR="00682CAA" w:rsidRPr="004468B2">
              <w:rPr>
                <w:lang w:val="lv-LV"/>
              </w:rPr>
              <w:t xml:space="preserve"> 85a panta </w:t>
            </w:r>
            <w:r w:rsidR="00682CAA" w:rsidRPr="004468B2">
              <w:rPr>
                <w:rStyle w:val="hps"/>
                <w:lang w:val="lv-LV"/>
              </w:rPr>
              <w:t>norma</w:t>
            </w:r>
            <w:r w:rsidR="004A5AF2" w:rsidRPr="004468B2">
              <w:rPr>
                <w:lang w:val="lv-LV"/>
              </w:rPr>
              <w:t xml:space="preserve"> </w:t>
            </w:r>
            <w:r w:rsidR="00682CAA" w:rsidRPr="004468B2">
              <w:rPr>
                <w:lang w:val="lv-LV"/>
              </w:rPr>
              <w:t>uz</w:t>
            </w:r>
            <w:r w:rsidR="004A5AF2" w:rsidRPr="004468B2">
              <w:rPr>
                <w:rStyle w:val="hps"/>
                <w:lang w:val="lv-LV"/>
              </w:rPr>
              <w:t>liek uz</w:t>
            </w:r>
            <w:r w:rsidR="004A5AF2" w:rsidRPr="004468B2">
              <w:rPr>
                <w:lang w:val="lv-LV"/>
              </w:rPr>
              <w:t xml:space="preserve"> </w:t>
            </w:r>
            <w:r w:rsidR="004A5AF2" w:rsidRPr="004468B2">
              <w:rPr>
                <w:rStyle w:val="hps"/>
                <w:lang w:val="lv-LV"/>
              </w:rPr>
              <w:t>vairumtirgotājiem</w:t>
            </w:r>
            <w:r w:rsidR="004A5AF2" w:rsidRPr="004468B2">
              <w:rPr>
                <w:lang w:val="lv-LV"/>
              </w:rPr>
              <w:t xml:space="preserve"> </w:t>
            </w:r>
            <w:r w:rsidR="004A5AF2" w:rsidRPr="004468B2">
              <w:rPr>
                <w:rStyle w:val="hps"/>
                <w:lang w:val="lv-LV"/>
              </w:rPr>
              <w:t>atbildīb</w:t>
            </w:r>
            <w:r w:rsidR="00682CAA" w:rsidRPr="004468B2">
              <w:rPr>
                <w:rStyle w:val="hps"/>
                <w:lang w:val="lv-LV"/>
              </w:rPr>
              <w:t>u</w:t>
            </w:r>
            <w:r w:rsidR="004A5AF2" w:rsidRPr="004468B2">
              <w:rPr>
                <w:lang w:val="lv-LV"/>
              </w:rPr>
              <w:t xml:space="preserve">, lai </w:t>
            </w:r>
            <w:r w:rsidR="00682CAA" w:rsidRPr="004468B2">
              <w:rPr>
                <w:lang w:val="lv-LV"/>
              </w:rPr>
              <w:t xml:space="preserve">viņi </w:t>
            </w:r>
            <w:r w:rsidR="004A5AF2" w:rsidRPr="004468B2">
              <w:rPr>
                <w:lang w:val="lv-LV"/>
              </w:rPr>
              <w:t xml:space="preserve">pārliecinātos, ka viņi </w:t>
            </w:r>
            <w:r w:rsidR="004A5AF2" w:rsidRPr="004468B2">
              <w:rPr>
                <w:rStyle w:val="hps"/>
                <w:lang w:val="lv-LV"/>
              </w:rPr>
              <w:t>tikai piegādā</w:t>
            </w:r>
            <w:r w:rsidR="004A5AF2" w:rsidRPr="004468B2">
              <w:rPr>
                <w:lang w:val="lv-LV"/>
              </w:rPr>
              <w:t xml:space="preserve"> </w:t>
            </w:r>
            <w:r w:rsidR="00682CAA" w:rsidRPr="004468B2">
              <w:rPr>
                <w:lang w:val="lv-LV"/>
              </w:rPr>
              <w:t xml:space="preserve">zāles </w:t>
            </w:r>
            <w:r w:rsidR="00682CAA" w:rsidRPr="004468B2">
              <w:rPr>
                <w:rStyle w:val="hps"/>
                <w:lang w:val="lv-LV"/>
              </w:rPr>
              <w:t>trešajās valstīs personām un iegādājas zāles trešajās valstīs no personām</w:t>
            </w:r>
            <w:r w:rsidR="004A5AF2" w:rsidRPr="004468B2">
              <w:rPr>
                <w:rStyle w:val="hps"/>
                <w:lang w:val="lv-LV"/>
              </w:rPr>
              <w:t>, k</w:t>
            </w:r>
            <w:r w:rsidR="00682CAA" w:rsidRPr="004468B2">
              <w:rPr>
                <w:rStyle w:val="hps"/>
                <w:lang w:val="lv-LV"/>
              </w:rPr>
              <w:t>uru darbība</w:t>
            </w:r>
            <w:r w:rsidR="004A5AF2" w:rsidRPr="004468B2">
              <w:rPr>
                <w:lang w:val="lv-LV"/>
              </w:rPr>
              <w:t xml:space="preserve"> </w:t>
            </w:r>
            <w:r w:rsidR="004A5AF2" w:rsidRPr="004468B2">
              <w:rPr>
                <w:rStyle w:val="hps"/>
                <w:lang w:val="lv-LV"/>
              </w:rPr>
              <w:t>ir atļaut</w:t>
            </w:r>
            <w:r w:rsidR="004A5AF2" w:rsidRPr="004468B2">
              <w:rPr>
                <w:lang w:val="lv-LV"/>
              </w:rPr>
              <w:t xml:space="preserve"> </w:t>
            </w:r>
            <w:r w:rsidR="004A5AF2" w:rsidRPr="004468B2">
              <w:rPr>
                <w:rStyle w:val="hps"/>
                <w:lang w:val="lv-LV"/>
              </w:rPr>
              <w:t>vai kuras ir tiesīgas</w:t>
            </w:r>
            <w:r w:rsidR="004A5AF2" w:rsidRPr="004468B2">
              <w:rPr>
                <w:lang w:val="lv-LV"/>
              </w:rPr>
              <w:t xml:space="preserve"> </w:t>
            </w:r>
            <w:r w:rsidR="004A5AF2" w:rsidRPr="004468B2">
              <w:rPr>
                <w:rStyle w:val="hps"/>
                <w:lang w:val="lv-LV"/>
              </w:rPr>
              <w:t>piegādāt</w:t>
            </w:r>
            <w:r w:rsidR="004A5AF2" w:rsidRPr="004468B2">
              <w:rPr>
                <w:lang w:val="lv-LV"/>
              </w:rPr>
              <w:t xml:space="preserve"> </w:t>
            </w:r>
            <w:r w:rsidR="004A5AF2" w:rsidRPr="004468B2">
              <w:rPr>
                <w:rStyle w:val="hps"/>
                <w:lang w:val="lv-LV"/>
              </w:rPr>
              <w:t>zāles saskaņā</w:t>
            </w:r>
            <w:r w:rsidR="004A5AF2" w:rsidRPr="004468B2">
              <w:rPr>
                <w:lang w:val="lv-LV"/>
              </w:rPr>
              <w:t xml:space="preserve"> </w:t>
            </w:r>
            <w:r w:rsidR="004A5AF2" w:rsidRPr="004468B2">
              <w:rPr>
                <w:rStyle w:val="hps"/>
                <w:lang w:val="lv-LV"/>
              </w:rPr>
              <w:t>ar piemērojamiem</w:t>
            </w:r>
            <w:r w:rsidR="004A5AF2" w:rsidRPr="004468B2">
              <w:rPr>
                <w:lang w:val="lv-LV"/>
              </w:rPr>
              <w:t xml:space="preserve"> </w:t>
            </w:r>
            <w:r w:rsidR="004A5AF2" w:rsidRPr="004468B2">
              <w:rPr>
                <w:rStyle w:val="hps"/>
                <w:lang w:val="lv-LV"/>
              </w:rPr>
              <w:t>juridiskajiem un administratīvajiem</w:t>
            </w:r>
            <w:r w:rsidR="004A5AF2" w:rsidRPr="004468B2">
              <w:rPr>
                <w:lang w:val="lv-LV"/>
              </w:rPr>
              <w:t xml:space="preserve"> </w:t>
            </w:r>
            <w:r w:rsidR="004A5AF2" w:rsidRPr="004468B2">
              <w:rPr>
                <w:rStyle w:val="hps"/>
                <w:lang w:val="lv-LV"/>
              </w:rPr>
              <w:t>noteikumiem</w:t>
            </w:r>
            <w:r w:rsidR="004A5AF2" w:rsidRPr="004468B2">
              <w:rPr>
                <w:lang w:val="lv-LV"/>
              </w:rPr>
              <w:t xml:space="preserve"> </w:t>
            </w:r>
            <w:r w:rsidR="00682CAA" w:rsidRPr="004468B2">
              <w:rPr>
                <w:rStyle w:val="hps"/>
                <w:lang w:val="lv-LV"/>
              </w:rPr>
              <w:t>trešajā</w:t>
            </w:r>
            <w:r w:rsidR="004A5AF2" w:rsidRPr="004468B2">
              <w:rPr>
                <w:rStyle w:val="hps"/>
                <w:lang w:val="lv-LV"/>
              </w:rPr>
              <w:t xml:space="preserve"> valst</w:t>
            </w:r>
            <w:r w:rsidR="00682CAA" w:rsidRPr="004468B2">
              <w:rPr>
                <w:rStyle w:val="hps"/>
                <w:lang w:val="lv-LV"/>
              </w:rPr>
              <w:t xml:space="preserve">ī. </w:t>
            </w:r>
            <w:r w:rsidR="0079759D" w:rsidRPr="004468B2">
              <w:rPr>
                <w:lang w:val="lv-LV"/>
              </w:rPr>
              <w:t>Direktīva</w:t>
            </w:r>
            <w:r w:rsidR="00D77867" w:rsidRPr="004468B2">
              <w:rPr>
                <w:lang w:val="lv-LV"/>
              </w:rPr>
              <w:t>s</w:t>
            </w:r>
            <w:r w:rsidR="0079759D" w:rsidRPr="004468B2">
              <w:rPr>
                <w:lang w:val="lv-LV"/>
              </w:rPr>
              <w:t xml:space="preserve"> 2001/83/ES 85a panta </w:t>
            </w:r>
            <w:r w:rsidR="0079759D" w:rsidRPr="004468B2">
              <w:rPr>
                <w:rStyle w:val="hps"/>
                <w:lang w:val="lv-LV"/>
              </w:rPr>
              <w:t>norma</w:t>
            </w:r>
            <w:r w:rsidR="0079759D" w:rsidRPr="004468B2">
              <w:rPr>
                <w:lang w:val="lv-LV"/>
              </w:rPr>
              <w:t xml:space="preserve"> </w:t>
            </w:r>
            <w:r w:rsidR="0079759D" w:rsidRPr="004468B2">
              <w:rPr>
                <w:rStyle w:val="hps"/>
                <w:lang w:val="lv-LV"/>
              </w:rPr>
              <w:t>neuzliek</w:t>
            </w:r>
            <w:r w:rsidR="0079759D" w:rsidRPr="004468B2">
              <w:rPr>
                <w:lang w:val="lv-LV"/>
              </w:rPr>
              <w:t xml:space="preserve"> </w:t>
            </w:r>
            <w:r w:rsidR="0079759D" w:rsidRPr="004468B2">
              <w:rPr>
                <w:rStyle w:val="hps"/>
                <w:lang w:val="lv-LV"/>
              </w:rPr>
              <w:t>papildu pienākumu</w:t>
            </w:r>
            <w:r w:rsidR="0079759D" w:rsidRPr="004468B2">
              <w:rPr>
                <w:lang w:val="lv-LV"/>
              </w:rPr>
              <w:t xml:space="preserve"> </w:t>
            </w:r>
            <w:r w:rsidR="0079759D" w:rsidRPr="004468B2">
              <w:rPr>
                <w:rStyle w:val="hps"/>
                <w:lang w:val="lv-LV"/>
              </w:rPr>
              <w:t>dalībvalstu kompetentajām iestādēm</w:t>
            </w:r>
            <w:r w:rsidR="0079759D" w:rsidRPr="004468B2">
              <w:t xml:space="preserve">. </w:t>
            </w:r>
            <w:r w:rsidR="007716B7" w:rsidRPr="004468B2">
              <w:rPr>
                <w:lang w:val="lv-LV"/>
              </w:rPr>
              <w:t>Pašreiz Zāļu valsta aģentūras rīcībā nav arī informācija</w:t>
            </w:r>
            <w:r w:rsidR="00DB3DB0" w:rsidRPr="004468B2">
              <w:rPr>
                <w:lang w:val="lv-LV"/>
              </w:rPr>
              <w:t>s,</w:t>
            </w:r>
            <w:r w:rsidR="007716B7" w:rsidRPr="004468B2">
              <w:rPr>
                <w:lang w:val="lv-LV"/>
              </w:rPr>
              <w:t xml:space="preserve"> uz kurām valstīm zāles eksportē, un šādas informācijas pieprasīšanu neparedz </w:t>
            </w:r>
            <w:r w:rsidR="00295A1F" w:rsidRPr="004468B2">
              <w:rPr>
                <w:lang w:val="lv-LV"/>
              </w:rPr>
              <w:t xml:space="preserve">arī </w:t>
            </w:r>
            <w:r w:rsidR="007716B7" w:rsidRPr="004468B2">
              <w:rPr>
                <w:lang w:val="lv-LV"/>
              </w:rPr>
              <w:t>normatīvie akti.</w:t>
            </w:r>
            <w:r w:rsidR="00295A1F" w:rsidRPr="004468B2">
              <w:rPr>
                <w:lang w:val="lv-LV"/>
              </w:rPr>
              <w:t xml:space="preserve"> </w:t>
            </w:r>
            <w:r w:rsidR="00DB3DB0" w:rsidRPr="004468B2">
              <w:rPr>
                <w:lang w:val="lv-LV"/>
              </w:rPr>
              <w:t xml:space="preserve">Lai </w:t>
            </w:r>
            <w:r w:rsidR="00915955" w:rsidRPr="004468B2">
              <w:rPr>
                <w:lang w:val="lv-LV"/>
              </w:rPr>
              <w:t>zāļu vairumtirgotāji</w:t>
            </w:r>
            <w:r w:rsidR="00E86BCC" w:rsidRPr="004468B2">
              <w:rPr>
                <w:lang w:val="lv-LV"/>
              </w:rPr>
              <w:t>em būt iespēja</w:t>
            </w:r>
            <w:r w:rsidR="00915955" w:rsidRPr="004468B2">
              <w:rPr>
                <w:lang w:val="lv-LV"/>
              </w:rPr>
              <w:t xml:space="preserve"> uzzināt par noteiktu regulējumu trešajās valstīs  un </w:t>
            </w:r>
            <w:r w:rsidR="00DB3DB0" w:rsidRPr="004468B2">
              <w:rPr>
                <w:lang w:val="lv-LV"/>
              </w:rPr>
              <w:t xml:space="preserve">par </w:t>
            </w:r>
            <w:r w:rsidR="00915955" w:rsidRPr="004468B2">
              <w:rPr>
                <w:lang w:val="lv-LV"/>
              </w:rPr>
              <w:t>personām, kas ir tiesīgas veikt noteiktas darbības ar zālēm trešajās valstīs</w:t>
            </w:r>
            <w:r w:rsidR="00DB3DB0" w:rsidRPr="004468B2">
              <w:rPr>
                <w:lang w:val="lv-LV"/>
              </w:rPr>
              <w:t>,</w:t>
            </w:r>
            <w:r w:rsidR="00915955" w:rsidRPr="004468B2">
              <w:rPr>
                <w:lang w:val="lv-LV"/>
              </w:rPr>
              <w:t xml:space="preserve"> Zāļu valsts aģentūra var</w:t>
            </w:r>
            <w:r w:rsidR="007716B7" w:rsidRPr="004468B2">
              <w:rPr>
                <w:lang w:val="lv-LV"/>
              </w:rPr>
              <w:t>ētu</w:t>
            </w:r>
            <w:r w:rsidR="00915955" w:rsidRPr="004468B2">
              <w:rPr>
                <w:lang w:val="lv-LV"/>
              </w:rPr>
              <w:t xml:space="preserve"> ievietot savā tīmekļa vietnē saiti</w:t>
            </w:r>
            <w:r w:rsidR="00E86BCC" w:rsidRPr="004468B2">
              <w:rPr>
                <w:lang w:val="lv-LV"/>
              </w:rPr>
              <w:t xml:space="preserve"> uz kompetento</w:t>
            </w:r>
            <w:r w:rsidR="0079759D" w:rsidRPr="004468B2">
              <w:rPr>
                <w:lang w:val="lv-LV"/>
              </w:rPr>
              <w:t xml:space="preserve"> </w:t>
            </w:r>
            <w:r w:rsidR="00E86BCC" w:rsidRPr="004468B2">
              <w:rPr>
                <w:lang w:val="lv-LV"/>
              </w:rPr>
              <w:t>iestāžu sarakstu</w:t>
            </w:r>
            <w:r w:rsidR="00915955" w:rsidRPr="004468B2">
              <w:rPr>
                <w:lang w:val="lv-LV"/>
              </w:rPr>
              <w:t xml:space="preserve"> trešajās valstīs, </w:t>
            </w:r>
            <w:r w:rsidR="00915955" w:rsidRPr="004468B2">
              <w:rPr>
                <w:rStyle w:val="hps"/>
                <w:lang w:val="lv-LV"/>
              </w:rPr>
              <w:t>kuras piedalās</w:t>
            </w:r>
            <w:r w:rsidR="00915955" w:rsidRPr="004468B2">
              <w:rPr>
                <w:lang w:val="lv-LV"/>
              </w:rPr>
              <w:t xml:space="preserve"> </w:t>
            </w:r>
            <w:r w:rsidR="00915955" w:rsidRPr="004468B2">
              <w:rPr>
                <w:rStyle w:val="hps"/>
                <w:lang w:val="lv-LV"/>
              </w:rPr>
              <w:t>Pasaules veselības organizācijas sertifikācijas</w:t>
            </w:r>
            <w:r w:rsidR="00915955" w:rsidRPr="004468B2">
              <w:rPr>
                <w:lang w:val="lv-LV"/>
              </w:rPr>
              <w:t xml:space="preserve"> </w:t>
            </w:r>
            <w:r w:rsidR="00915955" w:rsidRPr="004468B2">
              <w:rPr>
                <w:rStyle w:val="hps"/>
                <w:lang w:val="lv-LV"/>
              </w:rPr>
              <w:t>shēmas</w:t>
            </w:r>
            <w:r w:rsidR="00915955" w:rsidRPr="004468B2">
              <w:rPr>
                <w:lang w:val="lv-LV"/>
              </w:rPr>
              <w:t xml:space="preserve"> </w:t>
            </w:r>
            <w:r w:rsidR="00915955" w:rsidRPr="004468B2">
              <w:rPr>
                <w:rStyle w:val="hps"/>
                <w:lang w:val="lv-LV"/>
              </w:rPr>
              <w:t>par</w:t>
            </w:r>
            <w:r w:rsidR="0079759D" w:rsidRPr="004468B2">
              <w:rPr>
                <w:rStyle w:val="hps"/>
                <w:lang w:val="lv-LV"/>
              </w:rPr>
              <w:t xml:space="preserve"> </w:t>
            </w:r>
            <w:r w:rsidR="00915955" w:rsidRPr="004468B2">
              <w:rPr>
                <w:rStyle w:val="hps"/>
                <w:lang w:val="lv-LV"/>
              </w:rPr>
              <w:t>starptautiskajā</w:t>
            </w:r>
            <w:r w:rsidR="00915955" w:rsidRPr="004468B2">
              <w:rPr>
                <w:lang w:val="lv-LV"/>
              </w:rPr>
              <w:t xml:space="preserve"> </w:t>
            </w:r>
            <w:r w:rsidR="00915955" w:rsidRPr="004468B2">
              <w:rPr>
                <w:rStyle w:val="hps"/>
                <w:lang w:val="lv-LV"/>
              </w:rPr>
              <w:t>tirdzniecības apritē esošo</w:t>
            </w:r>
            <w:r w:rsidR="00081194" w:rsidRPr="004468B2">
              <w:rPr>
                <w:lang w:val="lv-LV"/>
              </w:rPr>
              <w:t xml:space="preserve"> </w:t>
            </w:r>
            <w:r w:rsidR="00915955" w:rsidRPr="004468B2">
              <w:rPr>
                <w:rStyle w:val="hps"/>
                <w:lang w:val="lv-LV"/>
              </w:rPr>
              <w:t>farmaceitisko produktu kvalitāti (</w:t>
            </w:r>
            <w:hyperlink r:id="rId9" w:history="1">
              <w:r w:rsidR="00915955" w:rsidRPr="004468B2">
                <w:rPr>
                  <w:rStyle w:val="Hyperlink"/>
                  <w:color w:val="auto"/>
                  <w:u w:val="none"/>
                </w:rPr>
                <w:t>http://www.who.int/medicines/areas/quality_safety/regulation_legislation/certification/contacts/en/index.html</w:t>
              </w:r>
            </w:hyperlink>
            <w:r w:rsidR="00DB3DB0" w:rsidRPr="004468B2">
              <w:rPr>
                <w:lang w:val="lv-LV"/>
              </w:rPr>
              <w:t>)</w:t>
            </w:r>
            <w:r w:rsidR="00645148" w:rsidRPr="004468B2">
              <w:rPr>
                <w:lang w:val="lv-LV"/>
              </w:rPr>
              <w:t>,</w:t>
            </w:r>
            <w:r w:rsidR="000843C4" w:rsidRPr="004468B2">
              <w:rPr>
                <w:lang w:val="lv-LV"/>
              </w:rPr>
              <w:t xml:space="preserve"> ar kuriem vairumtirgotāji varētu </w:t>
            </w:r>
            <w:r w:rsidR="000843C4" w:rsidRPr="004468B2">
              <w:rPr>
                <w:lang w:val="lv-LV"/>
              </w:rPr>
              <w:lastRenderedPageBreak/>
              <w:t>sazināties</w:t>
            </w:r>
            <w:r w:rsidR="00DB3DB0" w:rsidRPr="004468B2">
              <w:rPr>
                <w:lang w:val="lv-LV"/>
              </w:rPr>
              <w:t xml:space="preserve">, </w:t>
            </w:r>
            <w:r w:rsidR="000843C4" w:rsidRPr="004468B2">
              <w:rPr>
                <w:lang w:val="lv-LV"/>
              </w:rPr>
              <w:t>kā arī turpināt</w:t>
            </w:r>
            <w:r w:rsidR="00DB3DB0" w:rsidRPr="004468B2">
              <w:rPr>
                <w:lang w:val="lv-LV"/>
              </w:rPr>
              <w:t xml:space="preserve"> izzināt šīs norma</w:t>
            </w:r>
            <w:r w:rsidR="000843C4" w:rsidRPr="004468B2">
              <w:rPr>
                <w:lang w:val="lv-LV"/>
              </w:rPr>
              <w:t>s</w:t>
            </w:r>
            <w:r w:rsidR="00DB3DB0" w:rsidRPr="004468B2">
              <w:rPr>
                <w:lang w:val="lv-LV"/>
              </w:rPr>
              <w:t xml:space="preserve"> īstenošanu citās dalībvalst</w:t>
            </w:r>
            <w:r w:rsidR="00B321E1" w:rsidRPr="004468B2">
              <w:rPr>
                <w:lang w:val="lv-LV"/>
              </w:rPr>
              <w:t>īs, lai identificētu</w:t>
            </w:r>
            <w:r w:rsidR="000843C4" w:rsidRPr="004468B2">
              <w:rPr>
                <w:lang w:val="lv-LV"/>
              </w:rPr>
              <w:t xml:space="preserve"> izpildi veicinošos</w:t>
            </w:r>
            <w:r w:rsidR="00DB3DB0" w:rsidRPr="004468B2">
              <w:rPr>
                <w:lang w:val="lv-LV"/>
              </w:rPr>
              <w:t xml:space="preserve"> pasākumus.</w:t>
            </w:r>
            <w:r w:rsidR="00BD1AA8" w:rsidRPr="004468B2">
              <w:rPr>
                <w:lang w:val="lv-LV"/>
              </w:rPr>
              <w:t xml:space="preserve"> </w:t>
            </w:r>
            <w:r w:rsidR="00F32465" w:rsidRPr="004468B2">
              <w:rPr>
                <w:lang w:val="lv-LV"/>
              </w:rPr>
              <w:t>Savukārt i</w:t>
            </w:r>
            <w:r w:rsidR="00CF062C" w:rsidRPr="004468B2">
              <w:rPr>
                <w:lang w:val="lv-LV"/>
              </w:rPr>
              <w:t>nformācija</w:t>
            </w:r>
            <w:r w:rsidR="0073012D" w:rsidRPr="004468B2">
              <w:rPr>
                <w:lang w:val="lv-LV"/>
              </w:rPr>
              <w:t xml:space="preserve"> par tirdzniecības barjerām ar ko saskaras mūsdienās eksportētāji, īpaši trešo valstu tirgos,</w:t>
            </w:r>
            <w:r w:rsidR="00CF062C" w:rsidRPr="004468B2">
              <w:rPr>
                <w:lang w:val="lv-LV"/>
              </w:rPr>
              <w:t xml:space="preserve"> </w:t>
            </w:r>
            <w:r w:rsidR="0073012D" w:rsidRPr="004468B2">
              <w:rPr>
                <w:lang w:val="lv-LV"/>
              </w:rPr>
              <w:t xml:space="preserve">ir pieejama Ekonomikas ministrijas tīmekļa vietnē: </w:t>
            </w:r>
            <w:hyperlink r:id="rId10" w:history="1">
              <w:r w:rsidR="0073012D" w:rsidRPr="004468B2">
                <w:rPr>
                  <w:rStyle w:val="Hyperlink"/>
                  <w:color w:val="auto"/>
                  <w:u w:val="none"/>
                  <w:lang w:val="lv-LV"/>
                </w:rPr>
                <w:t>http://www.em.gov.lv/em/2nd/?cat=30291</w:t>
              </w:r>
            </w:hyperlink>
          </w:p>
          <w:p w:rsidR="00B12448"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5)</w:t>
            </w:r>
            <w:r w:rsidR="00ED0D1B" w:rsidRPr="004468B2">
              <w:rPr>
                <w:rFonts w:ascii="Times New Roman" w:hAnsi="Times New Roman"/>
                <w:sz w:val="24"/>
                <w:szCs w:val="24"/>
              </w:rPr>
              <w:t> </w:t>
            </w:r>
            <w:r w:rsidR="00D30FAC" w:rsidRPr="004468B2">
              <w:rPr>
                <w:rFonts w:ascii="Times New Roman" w:hAnsi="Times New Roman"/>
                <w:sz w:val="24"/>
                <w:szCs w:val="24"/>
              </w:rPr>
              <w:t xml:space="preserve">Direktīvas 2011/62/ES 1.panta 10.punkta norma paredz uzdevumu dalībvalstīm veikt vajadzīgos pasākumus, lai nepieļautu, ka zāles, kuras ieved </w:t>
            </w:r>
            <w:r w:rsidR="00CF5C80" w:rsidRPr="004468B2">
              <w:rPr>
                <w:rFonts w:ascii="Times New Roman" w:hAnsi="Times New Roman"/>
                <w:sz w:val="24"/>
                <w:szCs w:val="24"/>
              </w:rPr>
              <w:t xml:space="preserve">Eiropas </w:t>
            </w:r>
            <w:r w:rsidR="00D30FAC" w:rsidRPr="004468B2">
              <w:rPr>
                <w:rFonts w:ascii="Times New Roman" w:hAnsi="Times New Roman"/>
                <w:sz w:val="24"/>
                <w:szCs w:val="24"/>
              </w:rPr>
              <w:t>Savienībā un kuras nav paredzēts laist Savienības tirgū, nokļūst apritē, ja ir pietiekami pamatota</w:t>
            </w:r>
            <w:r w:rsidR="00CF5C80" w:rsidRPr="004468B2">
              <w:rPr>
                <w:rFonts w:ascii="Times New Roman" w:hAnsi="Times New Roman"/>
                <w:sz w:val="24"/>
                <w:szCs w:val="24"/>
              </w:rPr>
              <w:t>s aizdomas, ka tās ir viltotas.</w:t>
            </w:r>
            <w:r w:rsidR="00D72906" w:rsidRPr="004468B2">
              <w:rPr>
                <w:rFonts w:ascii="Times New Roman" w:hAnsi="Times New Roman"/>
                <w:sz w:val="24"/>
                <w:szCs w:val="24"/>
              </w:rPr>
              <w:t xml:space="preserve"> </w:t>
            </w:r>
            <w:r w:rsidR="00B12448" w:rsidRPr="004468B2">
              <w:rPr>
                <w:rFonts w:ascii="Times New Roman" w:hAnsi="Times New Roman"/>
                <w:sz w:val="24"/>
                <w:szCs w:val="24"/>
                <w:lang w:eastAsia="lv-LV"/>
              </w:rPr>
              <w:t>Eiropas Komisija</w:t>
            </w:r>
            <w:r w:rsidR="00D72906" w:rsidRPr="004468B2">
              <w:rPr>
                <w:rFonts w:ascii="Times New Roman" w:hAnsi="Times New Roman"/>
                <w:sz w:val="24"/>
                <w:szCs w:val="24"/>
                <w:lang w:eastAsia="lv-LV"/>
              </w:rPr>
              <w:t>i ir tiesības pieņemt</w:t>
            </w:r>
            <w:r w:rsidR="00CF5C80" w:rsidRPr="004468B2">
              <w:rPr>
                <w:rFonts w:ascii="Times New Roman" w:hAnsi="Times New Roman"/>
                <w:sz w:val="24"/>
                <w:szCs w:val="24"/>
                <w:lang w:eastAsia="lv-LV"/>
              </w:rPr>
              <w:t xml:space="preserve"> </w:t>
            </w:r>
            <w:r w:rsidR="00D72906" w:rsidRPr="004468B2">
              <w:rPr>
                <w:rFonts w:ascii="Times New Roman" w:hAnsi="Times New Roman"/>
                <w:sz w:val="24"/>
                <w:szCs w:val="24"/>
                <w:lang w:eastAsia="lv-LV"/>
              </w:rPr>
              <w:t>deleģēto aktu līdz 2013.gada 2.janvārim šajā jautājumā, bet pašreiz</w:t>
            </w:r>
            <w:r w:rsidR="00CF5C80" w:rsidRPr="004468B2">
              <w:rPr>
                <w:rFonts w:ascii="Times New Roman" w:hAnsi="Times New Roman"/>
                <w:sz w:val="24"/>
                <w:szCs w:val="24"/>
                <w:lang w:eastAsia="lv-LV"/>
              </w:rPr>
              <w:t xml:space="preserve"> Eiropas Komisija </w:t>
            </w:r>
            <w:r w:rsidR="00D72906" w:rsidRPr="004468B2">
              <w:rPr>
                <w:rFonts w:ascii="Times New Roman" w:hAnsi="Times New Roman"/>
                <w:sz w:val="24"/>
                <w:szCs w:val="24"/>
                <w:lang w:eastAsia="lv-LV"/>
              </w:rPr>
              <w:t xml:space="preserve">izvērtē tā nepieciešamību, </w:t>
            </w:r>
            <w:r w:rsidR="00CF5C80" w:rsidRPr="004468B2">
              <w:rPr>
                <w:rFonts w:ascii="Times New Roman" w:hAnsi="Times New Roman"/>
                <w:sz w:val="24"/>
                <w:szCs w:val="24"/>
                <w:lang w:eastAsia="lv-LV"/>
              </w:rPr>
              <w:t xml:space="preserve">tāpēc </w:t>
            </w:r>
            <w:r w:rsidR="00B12448" w:rsidRPr="004468B2">
              <w:rPr>
                <w:rFonts w:ascii="Times New Roman" w:hAnsi="Times New Roman"/>
                <w:sz w:val="24"/>
                <w:szCs w:val="24"/>
                <w:lang w:eastAsia="lv-LV"/>
              </w:rPr>
              <w:t>dalībvalstīm ir pašām</w:t>
            </w:r>
            <w:r w:rsidR="00D72906" w:rsidRPr="004468B2">
              <w:rPr>
                <w:rFonts w:ascii="Times New Roman" w:hAnsi="Times New Roman"/>
                <w:sz w:val="24"/>
                <w:szCs w:val="24"/>
                <w:lang w:eastAsia="lv-LV"/>
              </w:rPr>
              <w:t xml:space="preserve"> jānosaka pasākumi</w:t>
            </w:r>
            <w:r w:rsidR="00B12448" w:rsidRPr="004468B2">
              <w:rPr>
                <w:rFonts w:ascii="Times New Roman" w:hAnsi="Times New Roman"/>
                <w:sz w:val="24"/>
                <w:szCs w:val="24"/>
                <w:lang w:eastAsia="lv-LV"/>
              </w:rPr>
              <w:t xml:space="preserve"> </w:t>
            </w:r>
            <w:r w:rsidR="00B12448" w:rsidRPr="004468B2">
              <w:rPr>
                <w:rFonts w:ascii="Times New Roman" w:hAnsi="Times New Roman"/>
                <w:bCs/>
                <w:sz w:val="24"/>
                <w:szCs w:val="24"/>
              </w:rPr>
              <w:t>2011/62/ES 1.panta 10.punkta normas ieviešanā attiecībā uz Direktīvas 2001/83/ES 52 b panta 1.punkta normu</w:t>
            </w:r>
            <w:r w:rsidR="009A7A93" w:rsidRPr="004468B2">
              <w:rPr>
                <w:rFonts w:ascii="Times New Roman" w:hAnsi="Times New Roman"/>
                <w:bCs/>
                <w:sz w:val="24"/>
                <w:szCs w:val="24"/>
              </w:rPr>
              <w:t>.</w:t>
            </w:r>
          </w:p>
          <w:p w:rsidR="00B12448" w:rsidRPr="004468B2" w:rsidRDefault="00B12448" w:rsidP="00BD1AA8">
            <w:pPr>
              <w:pStyle w:val="NoSpacing"/>
              <w:jc w:val="both"/>
              <w:rPr>
                <w:rFonts w:ascii="Times New Roman" w:hAnsi="Times New Roman"/>
                <w:sz w:val="24"/>
                <w:szCs w:val="24"/>
              </w:rPr>
            </w:pPr>
            <w:r w:rsidRPr="004468B2">
              <w:rPr>
                <w:rFonts w:ascii="Times New Roman" w:hAnsi="Times New Roman"/>
                <w:bCs/>
                <w:sz w:val="24"/>
                <w:szCs w:val="24"/>
              </w:rPr>
              <w:t xml:space="preserve">Latvijā </w:t>
            </w:r>
            <w:r w:rsidR="000A015C" w:rsidRPr="004468B2">
              <w:rPr>
                <w:rFonts w:ascii="Times New Roman" w:hAnsi="Times New Roman"/>
                <w:bCs/>
                <w:sz w:val="24"/>
                <w:szCs w:val="24"/>
              </w:rPr>
              <w:t xml:space="preserve">pašreiz </w:t>
            </w:r>
            <w:r w:rsidR="000A015C" w:rsidRPr="004468B2">
              <w:rPr>
                <w:rFonts w:ascii="Times New Roman" w:hAnsi="Times New Roman"/>
                <w:sz w:val="24"/>
                <w:szCs w:val="24"/>
              </w:rPr>
              <w:t xml:space="preserve">MK noteikumos Nr.416 </w:t>
            </w:r>
            <w:r w:rsidRPr="004468B2">
              <w:rPr>
                <w:rFonts w:ascii="Times New Roman" w:hAnsi="Times New Roman"/>
                <w:sz w:val="24"/>
                <w:szCs w:val="24"/>
              </w:rPr>
              <w:t xml:space="preserve">ir </w:t>
            </w:r>
            <w:r w:rsidR="000A015C" w:rsidRPr="004468B2">
              <w:rPr>
                <w:rFonts w:ascii="Times New Roman" w:hAnsi="Times New Roman"/>
                <w:sz w:val="24"/>
                <w:szCs w:val="24"/>
              </w:rPr>
              <w:t>paredzēti pasākumi</w:t>
            </w:r>
            <w:r w:rsidR="004D2CE3" w:rsidRPr="004468B2">
              <w:rPr>
                <w:rFonts w:ascii="Times New Roman" w:hAnsi="Times New Roman"/>
                <w:sz w:val="24"/>
                <w:szCs w:val="24"/>
              </w:rPr>
              <w:t>, lai</w:t>
            </w:r>
            <w:r w:rsidR="00D76AC3" w:rsidRPr="004468B2">
              <w:rPr>
                <w:rFonts w:ascii="Times New Roman" w:hAnsi="Times New Roman"/>
                <w:sz w:val="24"/>
                <w:szCs w:val="24"/>
              </w:rPr>
              <w:t xml:space="preserve"> samazinātu risku viltotu</w:t>
            </w:r>
            <w:r w:rsidR="00131F58" w:rsidRPr="004468B2">
              <w:rPr>
                <w:rFonts w:ascii="Times New Roman" w:hAnsi="Times New Roman"/>
                <w:sz w:val="24"/>
                <w:szCs w:val="24"/>
              </w:rPr>
              <w:t xml:space="preserve"> zāļu nokļūšanai tirgū.</w:t>
            </w:r>
            <w:r w:rsidR="004D2CE3" w:rsidRPr="004468B2">
              <w:rPr>
                <w:rFonts w:ascii="Times New Roman" w:hAnsi="Times New Roman"/>
                <w:sz w:val="24"/>
                <w:szCs w:val="24"/>
              </w:rPr>
              <w:t xml:space="preserve"> Ir ieviesta viltoto zāļu definīcija</w:t>
            </w:r>
            <w:r w:rsidR="00131F58" w:rsidRPr="004468B2">
              <w:rPr>
                <w:rFonts w:ascii="Times New Roman" w:hAnsi="Times New Roman"/>
                <w:sz w:val="24"/>
                <w:szCs w:val="24"/>
              </w:rPr>
              <w:t xml:space="preserve">, </w:t>
            </w:r>
            <w:r w:rsidRPr="004468B2">
              <w:rPr>
                <w:rFonts w:ascii="Times New Roman" w:hAnsi="Times New Roman"/>
                <w:sz w:val="24"/>
                <w:szCs w:val="24"/>
              </w:rPr>
              <w:t>noteiktas procedūras rīcībai viltotu zāļu konstatēšanas gadījumā, kā arī tad, kad radušas aizdomas par viltojumu. Ir noteikta Veselības inspekcijas kompetence. Veselības inspekcijas kon</w:t>
            </w:r>
            <w:r w:rsidR="004D2CE3" w:rsidRPr="004468B2">
              <w:rPr>
                <w:rFonts w:ascii="Times New Roman" w:hAnsi="Times New Roman"/>
                <w:sz w:val="24"/>
                <w:szCs w:val="24"/>
              </w:rPr>
              <w:t>troles un uzraudzības  prasība</w:t>
            </w:r>
            <w:r w:rsidR="00F90493" w:rsidRPr="004468B2">
              <w:rPr>
                <w:rFonts w:ascii="Times New Roman" w:hAnsi="Times New Roman"/>
                <w:sz w:val="24"/>
                <w:szCs w:val="24"/>
              </w:rPr>
              <w:t>s</w:t>
            </w:r>
            <w:r w:rsidR="004D2CE3" w:rsidRPr="004468B2">
              <w:rPr>
                <w:rFonts w:ascii="Times New Roman" w:hAnsi="Times New Roman"/>
                <w:sz w:val="24"/>
                <w:szCs w:val="24"/>
              </w:rPr>
              <w:t xml:space="preserve"> </w:t>
            </w:r>
            <w:r w:rsidRPr="004468B2">
              <w:rPr>
                <w:rFonts w:ascii="Times New Roman" w:hAnsi="Times New Roman"/>
                <w:sz w:val="24"/>
                <w:szCs w:val="24"/>
              </w:rPr>
              <w:t>un zāļu izplatīšanas un kvalitātes kontroles prasības tiek piemērotas arī uz brīvostām un speciālajām ekonomiskajām zonām un Muitas likuma 9.panta otrajā daļā minētajām vietām. Sīkāk  zāļu pārbaudes procedūras un kritēriji nav noteikti.</w:t>
            </w:r>
            <w:r w:rsidR="000A015C" w:rsidRPr="004468B2">
              <w:rPr>
                <w:rFonts w:ascii="Times New Roman" w:hAnsi="Times New Roman"/>
                <w:sz w:val="24"/>
                <w:szCs w:val="24"/>
              </w:rPr>
              <w:t xml:space="preserve"> </w:t>
            </w:r>
            <w:r w:rsidRPr="004468B2">
              <w:rPr>
                <w:rFonts w:ascii="Times New Roman" w:hAnsi="Times New Roman"/>
                <w:sz w:val="24"/>
                <w:szCs w:val="24"/>
              </w:rPr>
              <w:t xml:space="preserve">Zāļu ievešanu no trešajām valstīm Latvijā un izvešanu uz trešajām valstīm regulē </w:t>
            </w:r>
            <w:r w:rsidR="00F90493" w:rsidRPr="004468B2">
              <w:rPr>
                <w:rFonts w:ascii="Times New Roman" w:hAnsi="Times New Roman"/>
                <w:sz w:val="24"/>
                <w:szCs w:val="24"/>
              </w:rPr>
              <w:t xml:space="preserve">MK </w:t>
            </w:r>
            <w:r w:rsidRPr="004468B2">
              <w:rPr>
                <w:rFonts w:ascii="Times New Roman" w:hAnsi="Times New Roman"/>
                <w:sz w:val="24"/>
                <w:szCs w:val="24"/>
              </w:rPr>
              <w:t>noteikumi Nr.416</w:t>
            </w:r>
            <w:r w:rsidR="00F90493" w:rsidRPr="004468B2">
              <w:rPr>
                <w:rFonts w:ascii="Times New Roman" w:hAnsi="Times New Roman"/>
                <w:sz w:val="24"/>
                <w:szCs w:val="24"/>
              </w:rPr>
              <w:t>.</w:t>
            </w:r>
            <w:r w:rsidRPr="004468B2">
              <w:rPr>
                <w:rFonts w:ascii="Times New Roman" w:hAnsi="Times New Roman"/>
                <w:sz w:val="24"/>
                <w:szCs w:val="24"/>
              </w:rPr>
              <w:t xml:space="preserve"> Šajos noteikumos ir noteikts, ka muitas noliktavai, kurā paredzēts uzglabāt zāles, nepieciešams Veselības inspekcijas atzinums par noliktavas atbilstību normatīvajos aktos par zāļu izplatīšanu noteikta</w:t>
            </w:r>
            <w:r w:rsidR="0050533C" w:rsidRPr="004468B2">
              <w:rPr>
                <w:rFonts w:ascii="Times New Roman" w:hAnsi="Times New Roman"/>
                <w:sz w:val="24"/>
                <w:szCs w:val="24"/>
              </w:rPr>
              <w:t>jām zāļu uzglabāšanas prasībām.</w:t>
            </w:r>
          </w:p>
          <w:p w:rsidR="00B12448" w:rsidRPr="004468B2" w:rsidRDefault="00B12448" w:rsidP="00BD1AA8">
            <w:pPr>
              <w:pStyle w:val="NoSpacing"/>
              <w:jc w:val="both"/>
              <w:rPr>
                <w:rFonts w:ascii="Times New Roman" w:hAnsi="Times New Roman"/>
                <w:sz w:val="24"/>
                <w:szCs w:val="24"/>
              </w:rPr>
            </w:pPr>
            <w:r w:rsidRPr="004468B2">
              <w:rPr>
                <w:rFonts w:ascii="Times New Roman" w:hAnsi="Times New Roman"/>
                <w:sz w:val="24"/>
                <w:szCs w:val="24"/>
              </w:rPr>
              <w:t>Lai varētu izsekot zāļu izcelsmei, tad zāļu valdītājs kravas importam uz līguma pamata izmanto transporta pakalpojumus, ko</w:t>
            </w:r>
            <w:r w:rsidR="00262B67" w:rsidRPr="004468B2">
              <w:rPr>
                <w:rFonts w:ascii="Times New Roman" w:hAnsi="Times New Roman"/>
                <w:sz w:val="24"/>
                <w:szCs w:val="24"/>
              </w:rPr>
              <w:t xml:space="preserve"> sniedz cita persona (turpmāk - </w:t>
            </w:r>
            <w:proofErr w:type="spellStart"/>
            <w:r w:rsidRPr="004468B2">
              <w:rPr>
                <w:rFonts w:ascii="Times New Roman" w:hAnsi="Times New Roman"/>
                <w:sz w:val="24"/>
                <w:szCs w:val="24"/>
              </w:rPr>
              <w:t>komercpārvadātājs</w:t>
            </w:r>
            <w:proofErr w:type="spellEnd"/>
            <w:r w:rsidRPr="004468B2">
              <w:rPr>
                <w:rFonts w:ascii="Times New Roman" w:hAnsi="Times New Roman"/>
                <w:sz w:val="24"/>
                <w:szCs w:val="24"/>
              </w:rPr>
              <w:t xml:space="preserve">), tad </w:t>
            </w:r>
            <w:proofErr w:type="spellStart"/>
            <w:r w:rsidRPr="004468B2">
              <w:rPr>
                <w:rFonts w:ascii="Times New Roman" w:hAnsi="Times New Roman"/>
                <w:sz w:val="24"/>
                <w:szCs w:val="24"/>
              </w:rPr>
              <w:t>komercpārvadātājs</w:t>
            </w:r>
            <w:proofErr w:type="spellEnd"/>
            <w:r w:rsidRPr="004468B2">
              <w:rPr>
                <w:rFonts w:ascii="Times New Roman" w:hAnsi="Times New Roman"/>
                <w:sz w:val="24"/>
                <w:szCs w:val="24"/>
              </w:rPr>
              <w:t xml:space="preserve"> uzrāda muitas iestādē līgumu, kas noslēgts starp zāļu valdītāju un </w:t>
            </w:r>
            <w:proofErr w:type="spellStart"/>
            <w:r w:rsidRPr="004468B2">
              <w:rPr>
                <w:rFonts w:ascii="Times New Roman" w:hAnsi="Times New Roman"/>
                <w:sz w:val="24"/>
                <w:szCs w:val="24"/>
              </w:rPr>
              <w:t>komercpārvadātāju</w:t>
            </w:r>
            <w:proofErr w:type="spellEnd"/>
            <w:r w:rsidRPr="004468B2">
              <w:rPr>
                <w:rFonts w:ascii="Times New Roman" w:hAnsi="Times New Roman"/>
                <w:sz w:val="24"/>
                <w:szCs w:val="24"/>
              </w:rPr>
              <w:t xml:space="preserve"> par transporta pakalpojumu sniegšanu, vai zāļu valdītāja pilnvarojumu veikt attiecīgo darbību.</w:t>
            </w:r>
            <w:r w:rsidR="00262B67" w:rsidRPr="004468B2">
              <w:rPr>
                <w:rFonts w:ascii="Times New Roman" w:hAnsi="Times New Roman"/>
                <w:sz w:val="24"/>
                <w:szCs w:val="24"/>
              </w:rPr>
              <w:t xml:space="preserve"> </w:t>
            </w:r>
            <w:r w:rsidRPr="004468B2">
              <w:rPr>
                <w:rFonts w:ascii="Times New Roman" w:hAnsi="Times New Roman"/>
                <w:sz w:val="24"/>
                <w:szCs w:val="24"/>
              </w:rPr>
              <w:t>Savukārt zāļu kravai, kuru ieved no trešajām valstīm, pamatojoties uz citas Eiropas Savienības dalībvalsts kompetentās iestādes izsniegtu licenci zāļu ražošanai/importēšanai, un transportē cauri Latvijas teritorijai tranzītā (tajā skaitā novieto muitas noliktavā), Zāļu valsts aģentūras izsniegta speciāla atļauja (licence) zāļu ražošanai/importēšanai nav nepieciešama. Sīkāk šo zāļu pārbaudes kritēriji nav noteikti.</w:t>
            </w:r>
          </w:p>
          <w:p w:rsidR="00B12448" w:rsidRPr="004468B2" w:rsidRDefault="00B12448" w:rsidP="00BD1AA8">
            <w:pPr>
              <w:pStyle w:val="NoSpacing"/>
              <w:jc w:val="both"/>
              <w:rPr>
                <w:rFonts w:ascii="Times New Roman" w:hAnsi="Times New Roman"/>
                <w:sz w:val="24"/>
                <w:szCs w:val="24"/>
              </w:rPr>
            </w:pPr>
            <w:r w:rsidRPr="004468B2">
              <w:rPr>
                <w:rFonts w:ascii="Times New Roman" w:hAnsi="Times New Roman"/>
                <w:sz w:val="24"/>
                <w:szCs w:val="24"/>
              </w:rPr>
              <w:t xml:space="preserve">Latvijā kontrolējamo narkotisko vielu, psihotropo vielu un prekursoru II un III sarakstā iekļauto narkotisko un psihotropo vielu un zāļu tranzīta noteikumus un bruņotās apsardzes kārtību, lai novērstu narkotisko un psihotropo vielu un zāļu kontrabandu, un to novirzi nelegālajā apritē, kā arī nelikumīgu tranzītu, regulē Ministru kabineta 1996.gada 13.augusta </w:t>
            </w:r>
            <w:r w:rsidRPr="004468B2">
              <w:rPr>
                <w:rFonts w:ascii="Times New Roman" w:hAnsi="Times New Roman"/>
                <w:sz w:val="24"/>
                <w:szCs w:val="24"/>
              </w:rPr>
              <w:lastRenderedPageBreak/>
              <w:t>noteikumi Nr.327 ”Narkotisko un psihotropo vielu un zāļu tranzīta noteikumi”, nosakot procedūras un prasības, ka tranzīta operācijām nepieciešama Zāļu valsts aģentūras atļauja.</w:t>
            </w:r>
            <w:r w:rsidR="00262B67" w:rsidRPr="004468B2">
              <w:rPr>
                <w:rFonts w:ascii="Times New Roman" w:hAnsi="Times New Roman"/>
                <w:sz w:val="24"/>
                <w:szCs w:val="24"/>
              </w:rPr>
              <w:t xml:space="preserve"> </w:t>
            </w:r>
            <w:r w:rsidRPr="004468B2">
              <w:rPr>
                <w:rFonts w:ascii="Times New Roman" w:hAnsi="Times New Roman"/>
                <w:sz w:val="24"/>
                <w:szCs w:val="24"/>
              </w:rPr>
              <w:t xml:space="preserve">Ņemot vērā augstāk minēto </w:t>
            </w:r>
            <w:r w:rsidR="00262B67" w:rsidRPr="004468B2">
              <w:rPr>
                <w:rFonts w:ascii="Times New Roman" w:hAnsi="Times New Roman"/>
                <w:sz w:val="24"/>
                <w:szCs w:val="24"/>
              </w:rPr>
              <w:t xml:space="preserve">varam uzskatīt, ka </w:t>
            </w:r>
            <w:r w:rsidR="00123D54" w:rsidRPr="004468B2">
              <w:rPr>
                <w:rFonts w:ascii="Times New Roman" w:hAnsi="Times New Roman"/>
                <w:sz w:val="24"/>
                <w:szCs w:val="24"/>
              </w:rPr>
              <w:t>šis regulējums</w:t>
            </w:r>
            <w:r w:rsidRPr="004468B2">
              <w:rPr>
                <w:rFonts w:ascii="Times New Roman" w:hAnsi="Times New Roman"/>
                <w:sz w:val="24"/>
                <w:szCs w:val="24"/>
              </w:rPr>
              <w:t xml:space="preserve"> jau paredz pasākumus, kas zināmā aspektā uzrauga zāles</w:t>
            </w:r>
            <w:r w:rsidR="00D72906" w:rsidRPr="004468B2">
              <w:rPr>
                <w:rFonts w:ascii="Times New Roman" w:hAnsi="Times New Roman"/>
                <w:sz w:val="24"/>
                <w:szCs w:val="24"/>
              </w:rPr>
              <w:t>,</w:t>
            </w:r>
            <w:r w:rsidRPr="004468B2">
              <w:rPr>
                <w:rFonts w:ascii="Times New Roman" w:hAnsi="Times New Roman"/>
                <w:sz w:val="24"/>
                <w:szCs w:val="24"/>
              </w:rPr>
              <w:t xml:space="preserve"> kurus ieved Eiropas Savienībā</w:t>
            </w:r>
            <w:r w:rsidR="00D72906" w:rsidRPr="004468B2">
              <w:rPr>
                <w:rFonts w:ascii="Times New Roman" w:hAnsi="Times New Roman"/>
                <w:sz w:val="24"/>
                <w:szCs w:val="24"/>
              </w:rPr>
              <w:t>,</w:t>
            </w:r>
            <w:r w:rsidRPr="004468B2">
              <w:rPr>
                <w:rFonts w:ascii="Times New Roman" w:hAnsi="Times New Roman"/>
                <w:sz w:val="24"/>
                <w:szCs w:val="24"/>
              </w:rPr>
              <w:t xml:space="preserve"> un kuras nav paredzēt</w:t>
            </w:r>
            <w:r w:rsidR="00D72906" w:rsidRPr="004468B2">
              <w:rPr>
                <w:rFonts w:ascii="Times New Roman" w:hAnsi="Times New Roman"/>
                <w:sz w:val="24"/>
                <w:szCs w:val="24"/>
              </w:rPr>
              <w:t>a</w:t>
            </w:r>
            <w:r w:rsidRPr="004468B2">
              <w:rPr>
                <w:rFonts w:ascii="Times New Roman" w:hAnsi="Times New Roman"/>
                <w:sz w:val="24"/>
                <w:szCs w:val="24"/>
              </w:rPr>
              <w:t xml:space="preserve">s laist Eiropas Savienības tirgū, kas izriet no Direktīvas </w:t>
            </w:r>
            <w:r w:rsidRPr="004468B2">
              <w:rPr>
                <w:rFonts w:ascii="Times New Roman" w:hAnsi="Times New Roman"/>
                <w:bCs/>
                <w:sz w:val="24"/>
                <w:szCs w:val="24"/>
              </w:rPr>
              <w:t>2011/62/ES 1.panta 10.punkta normas (attiecībā uz Direktīvas 2001/83/ES 52 b panta 1.punktu)</w:t>
            </w:r>
            <w:r w:rsidR="00262B67" w:rsidRPr="004468B2">
              <w:rPr>
                <w:rFonts w:ascii="Times New Roman" w:hAnsi="Times New Roman"/>
                <w:sz w:val="24"/>
                <w:szCs w:val="24"/>
              </w:rPr>
              <w:t>.</w:t>
            </w:r>
          </w:p>
          <w:p w:rsidR="00262B67" w:rsidRPr="004468B2" w:rsidRDefault="00262B67" w:rsidP="00BD1AA8">
            <w:pPr>
              <w:pStyle w:val="NoSpacing"/>
              <w:jc w:val="both"/>
              <w:rPr>
                <w:rFonts w:ascii="Times New Roman" w:hAnsi="Times New Roman"/>
                <w:sz w:val="24"/>
                <w:szCs w:val="24"/>
              </w:rPr>
            </w:pPr>
          </w:p>
          <w:p w:rsidR="00DA1D71"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6)</w:t>
            </w:r>
            <w:r w:rsidR="00ED0D1B" w:rsidRPr="004468B2">
              <w:rPr>
                <w:rFonts w:ascii="Times New Roman" w:hAnsi="Times New Roman"/>
                <w:sz w:val="24"/>
                <w:szCs w:val="24"/>
              </w:rPr>
              <w:t> </w:t>
            </w:r>
            <w:r w:rsidR="007F5E24" w:rsidRPr="004468B2">
              <w:rPr>
                <w:rFonts w:ascii="Times New Roman" w:hAnsi="Times New Roman"/>
                <w:sz w:val="24"/>
                <w:szCs w:val="24"/>
              </w:rPr>
              <w:t xml:space="preserve">Latvijā ir jau </w:t>
            </w:r>
            <w:r w:rsidR="00455A1D" w:rsidRPr="004468B2">
              <w:rPr>
                <w:rFonts w:ascii="Times New Roman" w:hAnsi="Times New Roman"/>
                <w:sz w:val="24"/>
                <w:szCs w:val="24"/>
              </w:rPr>
              <w:t>ieviest</w:t>
            </w:r>
            <w:r w:rsidR="00FD664F" w:rsidRPr="004468B2">
              <w:rPr>
                <w:rFonts w:ascii="Times New Roman" w:hAnsi="Times New Roman"/>
                <w:sz w:val="24"/>
                <w:szCs w:val="24"/>
              </w:rPr>
              <w:t>i</w:t>
            </w:r>
            <w:r w:rsidR="00FD7A62" w:rsidRPr="004468B2">
              <w:rPr>
                <w:rFonts w:ascii="Times New Roman" w:hAnsi="Times New Roman"/>
                <w:sz w:val="24"/>
                <w:szCs w:val="24"/>
              </w:rPr>
              <w:t xml:space="preserve"> ar sabiedrības veselības aizsardzību pamatoti nosacījumi zāļu piegādei mazumtirdzniecībā. </w:t>
            </w:r>
            <w:r w:rsidR="00BE2252" w:rsidRPr="004468B2">
              <w:rPr>
                <w:rFonts w:ascii="Times New Roman" w:hAnsi="Times New Roman"/>
                <w:sz w:val="24"/>
                <w:szCs w:val="24"/>
              </w:rPr>
              <w:t>Ar tīmekļa starpniecību ir atļauts izplatīt iedzīvotājiem (Latvijas Republikas teritorijā) tikai bezrecepšu zāles</w:t>
            </w:r>
            <w:r w:rsidR="00575397" w:rsidRPr="004468B2">
              <w:rPr>
                <w:rFonts w:ascii="Times New Roman" w:hAnsi="Times New Roman"/>
                <w:sz w:val="24"/>
                <w:szCs w:val="24"/>
              </w:rPr>
              <w:t>, un z</w:t>
            </w:r>
            <w:r w:rsidR="00372F6F" w:rsidRPr="004468B2">
              <w:rPr>
                <w:rFonts w:ascii="Times New Roman" w:hAnsi="Times New Roman"/>
                <w:sz w:val="24"/>
                <w:szCs w:val="24"/>
              </w:rPr>
              <w:t xml:space="preserve">āļu izplatīšana mazumtirdzniecībā ar tīmekļa starpniecību atļauta tikai </w:t>
            </w:r>
            <w:r w:rsidR="00FD0A6D" w:rsidRPr="004468B2">
              <w:rPr>
                <w:rFonts w:ascii="Times New Roman" w:hAnsi="Times New Roman"/>
                <w:sz w:val="24"/>
                <w:szCs w:val="24"/>
              </w:rPr>
              <w:t xml:space="preserve">licencētai </w:t>
            </w:r>
            <w:r w:rsidR="00372F6F" w:rsidRPr="004468B2">
              <w:rPr>
                <w:rFonts w:ascii="Times New Roman" w:hAnsi="Times New Roman"/>
                <w:sz w:val="24"/>
                <w:szCs w:val="24"/>
              </w:rPr>
              <w:t>aptiekai</w:t>
            </w:r>
            <w:r w:rsidR="00F52AE4" w:rsidRPr="004468B2">
              <w:rPr>
                <w:rFonts w:ascii="Times New Roman" w:hAnsi="Times New Roman"/>
                <w:sz w:val="24"/>
                <w:szCs w:val="24"/>
              </w:rPr>
              <w:t xml:space="preserve">, kura </w:t>
            </w:r>
            <w:r w:rsidR="00FD664F" w:rsidRPr="004468B2">
              <w:rPr>
                <w:rFonts w:ascii="Times New Roman" w:hAnsi="Times New Roman"/>
                <w:sz w:val="24"/>
                <w:szCs w:val="24"/>
              </w:rPr>
              <w:t xml:space="preserve">ir </w:t>
            </w:r>
            <w:r w:rsidR="00F52AE4" w:rsidRPr="004468B2">
              <w:rPr>
                <w:rFonts w:ascii="Times New Roman" w:hAnsi="Times New Roman"/>
                <w:sz w:val="24"/>
                <w:szCs w:val="24"/>
              </w:rPr>
              <w:t>nodrošinājusi iedzīvotājiem iespēju visu diennakti ar tīmekļa starpniecību sazināties ar aptieku un saņemt no tās bezmaksas informāciju un konsultācijas par minētajām zālēm farmaceitiskās aprūpes nodrošināšanā atbilstoši normatīvajiem aktiem par aptiekas atvēršanas un darbības prasībām</w:t>
            </w:r>
            <w:r w:rsidR="00E02C69" w:rsidRPr="004468B2">
              <w:rPr>
                <w:rFonts w:ascii="Times New Roman" w:hAnsi="Times New Roman"/>
                <w:sz w:val="24"/>
                <w:szCs w:val="24"/>
              </w:rPr>
              <w:t>.</w:t>
            </w:r>
            <w:r w:rsidR="00DA1D71" w:rsidRPr="004468B2">
              <w:rPr>
                <w:rFonts w:ascii="Times New Roman" w:hAnsi="Times New Roman"/>
                <w:sz w:val="24"/>
                <w:szCs w:val="24"/>
                <w:lang w:eastAsia="lv-LV"/>
              </w:rPr>
              <w:t xml:space="preserve"> Aptieka, kura izplata zāles mazumtirdzniecībā ar tīmekļa starpniecību, nekavējoties nodrošina tīmekļa vietnē sniegtās informācijas aktualizāciju un informē Zāļu valsts aģentūru un Veselības inspekciju par domēna vārdu, elektronisko pasta adresi, kā arī par grozījumiem tajos.</w:t>
            </w:r>
          </w:p>
          <w:p w:rsidR="00DA1D71" w:rsidRPr="004468B2" w:rsidRDefault="00454E96" w:rsidP="00BD1AA8">
            <w:pPr>
              <w:pStyle w:val="NoSpacing"/>
              <w:jc w:val="both"/>
              <w:rPr>
                <w:rFonts w:ascii="Times New Roman" w:hAnsi="Times New Roman"/>
                <w:sz w:val="24"/>
                <w:szCs w:val="24"/>
              </w:rPr>
            </w:pPr>
            <w:r w:rsidRPr="004468B2">
              <w:rPr>
                <w:rFonts w:ascii="Times New Roman" w:hAnsi="Times New Roman"/>
                <w:sz w:val="24"/>
                <w:szCs w:val="24"/>
              </w:rPr>
              <w:t>Aptiekai atļauts izplatīt  zāles ar tīmekļa starpniecību, ja tas ir norādīts aptieka licencē kā speciālās darbības nosacījums.</w:t>
            </w:r>
            <w:r w:rsidR="00F52AE4" w:rsidRPr="004468B2">
              <w:rPr>
                <w:rFonts w:ascii="Times New Roman" w:hAnsi="Times New Roman"/>
                <w:sz w:val="24"/>
                <w:szCs w:val="24"/>
              </w:rPr>
              <w:t xml:space="preserve"> Aptiekas tīmekļa </w:t>
            </w:r>
            <w:r w:rsidR="00DA1D71" w:rsidRPr="004468B2">
              <w:rPr>
                <w:rFonts w:ascii="Times New Roman" w:hAnsi="Times New Roman"/>
                <w:sz w:val="24"/>
                <w:szCs w:val="24"/>
              </w:rPr>
              <w:t>vietnei</w:t>
            </w:r>
            <w:r w:rsidR="00F52AE4" w:rsidRPr="004468B2">
              <w:rPr>
                <w:rFonts w:ascii="Times New Roman" w:hAnsi="Times New Roman"/>
                <w:sz w:val="24"/>
                <w:szCs w:val="24"/>
              </w:rPr>
              <w:t xml:space="preserve"> </w:t>
            </w:r>
          </w:p>
          <w:p w:rsidR="004313AB" w:rsidRPr="004468B2" w:rsidRDefault="008B060C" w:rsidP="00BD1AA8">
            <w:pPr>
              <w:pStyle w:val="NoSpacing"/>
              <w:jc w:val="both"/>
              <w:rPr>
                <w:rFonts w:ascii="Times New Roman" w:hAnsi="Times New Roman"/>
                <w:sz w:val="24"/>
                <w:szCs w:val="24"/>
              </w:rPr>
            </w:pPr>
            <w:r w:rsidRPr="004468B2">
              <w:rPr>
                <w:rFonts w:ascii="Times New Roman" w:hAnsi="Times New Roman"/>
                <w:sz w:val="24"/>
                <w:szCs w:val="24"/>
              </w:rPr>
              <w:t>ir noteikta</w:t>
            </w:r>
            <w:r w:rsidR="0050533C" w:rsidRPr="004468B2">
              <w:rPr>
                <w:rFonts w:ascii="Times New Roman" w:hAnsi="Times New Roman"/>
                <w:sz w:val="24"/>
                <w:szCs w:val="24"/>
              </w:rPr>
              <w:t xml:space="preserve"> struktūra un saturs:</w:t>
            </w:r>
          </w:p>
          <w:p w:rsidR="004313AB" w:rsidRPr="004468B2" w:rsidRDefault="007F09D8" w:rsidP="00BD1AA8">
            <w:pPr>
              <w:pStyle w:val="NoSpacing"/>
              <w:jc w:val="both"/>
              <w:rPr>
                <w:rFonts w:ascii="Times New Roman" w:hAnsi="Times New Roman"/>
                <w:sz w:val="24"/>
                <w:szCs w:val="24"/>
              </w:rPr>
            </w:pPr>
            <w:r w:rsidRPr="004468B2">
              <w:rPr>
                <w:rFonts w:ascii="Times New Roman" w:hAnsi="Times New Roman"/>
                <w:sz w:val="24"/>
                <w:szCs w:val="24"/>
              </w:rPr>
              <w:t>a)</w:t>
            </w:r>
            <w:r w:rsidR="004313AB" w:rsidRPr="004468B2">
              <w:rPr>
                <w:rFonts w:ascii="Times New Roman" w:hAnsi="Times New Roman"/>
                <w:sz w:val="24"/>
                <w:szCs w:val="24"/>
              </w:rPr>
              <w:t xml:space="preserve">aptiekas funkciju nodrošināšana un </w:t>
            </w:r>
            <w:r w:rsidR="0050533C" w:rsidRPr="004468B2">
              <w:rPr>
                <w:rFonts w:ascii="Times New Roman" w:hAnsi="Times New Roman"/>
                <w:sz w:val="24"/>
                <w:szCs w:val="24"/>
              </w:rPr>
              <w:t>elektroniskās saziņas iespējas:</w:t>
            </w:r>
          </w:p>
          <w:p w:rsidR="004313AB" w:rsidRPr="004468B2" w:rsidRDefault="007F09D8"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aptiekas sniegto pakalpojumu pārskats ar paskaidrojumiem pa</w:t>
            </w:r>
            <w:r w:rsidR="0050533C" w:rsidRPr="004468B2">
              <w:rPr>
                <w:rFonts w:ascii="Times New Roman" w:hAnsi="Times New Roman"/>
                <w:sz w:val="24"/>
                <w:szCs w:val="24"/>
              </w:rPr>
              <w:t>r iespējām saņemt pakalpojumus;</w:t>
            </w:r>
          </w:p>
          <w:p w:rsidR="004313AB" w:rsidRPr="004468B2" w:rsidRDefault="007F09D8"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 xml:space="preserve">ja pakalpojumu saņemšanai nepieciešams iesniegums uz noteikta parauga veidlapas, nodrošina veidlapu pieejamību un iespēju izdrukāt tās no tīmekļa vietnes (PDF vai citos universālos formātos) vai aizpildīt tieši tīmekļa vietnē, kā arī sniedz paskaidrojumus par veidlapu pareizu aizpildīšanu. Ja veidlapas tiek aizpildītas vairākās valodās, paskaidrojumus sniedz arī attiecīgajās valodās; </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 xml:space="preserve">interaktīvo elementu (piemēram, “Jūsu jautājums”, “Aptiekas atbilde”, “Iesniegumi, sūdzības”, “Atbildes uz iesniegumiem, sūdzībām”) pieejamība; </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iespēja nosūtīt aptiekai vēstuli (iesniegumu) elektroni</w:t>
            </w:r>
            <w:r w:rsidR="0050533C" w:rsidRPr="004468B2">
              <w:rPr>
                <w:rFonts w:ascii="Times New Roman" w:hAnsi="Times New Roman"/>
                <w:sz w:val="24"/>
                <w:szCs w:val="24"/>
              </w:rPr>
              <w:t>ski (piemēram, izmantojot XML);</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norādīta elektroniskā pasta adrese un iespēja nosūtīt priekšlikumus par tīm</w:t>
            </w:r>
            <w:r w:rsidR="0050533C" w:rsidRPr="004468B2">
              <w:rPr>
                <w:rFonts w:ascii="Times New Roman" w:hAnsi="Times New Roman"/>
                <w:sz w:val="24"/>
                <w:szCs w:val="24"/>
              </w:rPr>
              <w:t>ekļa vietni;</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b)</w:t>
            </w:r>
            <w:r w:rsidR="002C066E" w:rsidRPr="004468B2">
              <w:rPr>
                <w:rFonts w:ascii="Times New Roman" w:hAnsi="Times New Roman"/>
                <w:sz w:val="24"/>
                <w:szCs w:val="24"/>
              </w:rPr>
              <w:t> </w:t>
            </w:r>
            <w:r w:rsidR="0050533C" w:rsidRPr="004468B2">
              <w:rPr>
                <w:rFonts w:ascii="Times New Roman" w:hAnsi="Times New Roman"/>
                <w:sz w:val="24"/>
                <w:szCs w:val="24"/>
              </w:rPr>
              <w:t>ziņas par aptieku:</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w:t>
            </w:r>
            <w:r w:rsidR="002C066E" w:rsidRPr="004468B2">
              <w:rPr>
                <w:rFonts w:ascii="Times New Roman" w:hAnsi="Times New Roman"/>
                <w:sz w:val="24"/>
                <w:szCs w:val="24"/>
              </w:rPr>
              <w:t> </w:t>
            </w:r>
            <w:r w:rsidR="004313AB" w:rsidRPr="004468B2">
              <w:rPr>
                <w:rFonts w:ascii="Times New Roman" w:hAnsi="Times New Roman"/>
                <w:sz w:val="24"/>
                <w:szCs w:val="24"/>
              </w:rPr>
              <w:t>aptiekas nosaukums, adrese, darba laiks, tālruņa un faksa numurs, speciālās atļaujas (licences) numurs, speciālās atļaujas (licences) turētāja firma, adrese, reģistrāci</w:t>
            </w:r>
            <w:r w:rsidR="0050533C" w:rsidRPr="004468B2">
              <w:rPr>
                <w:rFonts w:ascii="Times New Roman" w:hAnsi="Times New Roman"/>
                <w:sz w:val="24"/>
                <w:szCs w:val="24"/>
              </w:rPr>
              <w:t>jas numurs un bankas rekvizīti;</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lastRenderedPageBreak/>
              <w:t xml:space="preserve">- </w:t>
            </w:r>
            <w:r w:rsidR="004313AB" w:rsidRPr="004468B2">
              <w:rPr>
                <w:rFonts w:ascii="Times New Roman" w:hAnsi="Times New Roman"/>
                <w:sz w:val="24"/>
                <w:szCs w:val="24"/>
              </w:rPr>
              <w:t xml:space="preserve"> tā farmaceita vārds, uzvārds un reģistrācijas numurs Latvijas Farmaceitu biedrībā, kurš </w:t>
            </w:r>
            <w:r w:rsidR="0050533C" w:rsidRPr="004468B2">
              <w:rPr>
                <w:rFonts w:ascii="Times New Roman" w:hAnsi="Times New Roman"/>
                <w:sz w:val="24"/>
                <w:szCs w:val="24"/>
              </w:rPr>
              <w:t>sniedz konsultācijas par zālēm;</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 xml:space="preserve">- </w:t>
            </w:r>
            <w:r w:rsidR="0050533C" w:rsidRPr="004468B2">
              <w:rPr>
                <w:rFonts w:ascii="Times New Roman" w:hAnsi="Times New Roman"/>
                <w:sz w:val="24"/>
                <w:szCs w:val="24"/>
              </w:rPr>
              <w:t>grafiskie papildu elementi – </w:t>
            </w:r>
            <w:r w:rsidR="004313AB" w:rsidRPr="004468B2">
              <w:rPr>
                <w:rFonts w:ascii="Times New Roman" w:hAnsi="Times New Roman"/>
                <w:sz w:val="24"/>
                <w:szCs w:val="24"/>
              </w:rPr>
              <w:t>aptiekas atrašanās vietas karte ar norādi par tuvāko sabiedrisko transportu un aptiekai izsniegtās speciālās atļaujas (licences) aptiekas atvēršanai</w:t>
            </w:r>
            <w:r w:rsidR="0050533C" w:rsidRPr="004468B2">
              <w:rPr>
                <w:rFonts w:ascii="Times New Roman" w:hAnsi="Times New Roman"/>
                <w:sz w:val="24"/>
                <w:szCs w:val="24"/>
              </w:rPr>
              <w:t xml:space="preserve"> (darbībai) grafisks attēls;</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 xml:space="preserve">c) </w:t>
            </w:r>
            <w:r w:rsidR="004313AB" w:rsidRPr="004468B2">
              <w:rPr>
                <w:rFonts w:ascii="Times New Roman" w:hAnsi="Times New Roman"/>
                <w:sz w:val="24"/>
                <w:szCs w:val="24"/>
              </w:rPr>
              <w:t>tīmekļa vietnē ievietotās informācija</w:t>
            </w:r>
            <w:r w:rsidR="0050533C" w:rsidRPr="004468B2">
              <w:rPr>
                <w:rFonts w:ascii="Times New Roman" w:hAnsi="Times New Roman"/>
                <w:sz w:val="24"/>
                <w:szCs w:val="24"/>
              </w:rPr>
              <w:t>s pēdējais atjaunošanas datums;</w:t>
            </w:r>
          </w:p>
          <w:p w:rsidR="004313AB" w:rsidRPr="004468B2" w:rsidRDefault="00A2099A" w:rsidP="00BD1AA8">
            <w:pPr>
              <w:pStyle w:val="NoSpacing"/>
              <w:jc w:val="both"/>
              <w:rPr>
                <w:rFonts w:ascii="Times New Roman" w:hAnsi="Times New Roman"/>
                <w:sz w:val="24"/>
                <w:szCs w:val="24"/>
              </w:rPr>
            </w:pPr>
            <w:r w:rsidRPr="004468B2">
              <w:rPr>
                <w:rFonts w:ascii="Times New Roman" w:hAnsi="Times New Roman"/>
                <w:sz w:val="24"/>
                <w:szCs w:val="24"/>
              </w:rPr>
              <w:t>d) </w:t>
            </w:r>
            <w:r w:rsidR="004313AB" w:rsidRPr="004468B2">
              <w:rPr>
                <w:rFonts w:ascii="Times New Roman" w:hAnsi="Times New Roman"/>
                <w:sz w:val="24"/>
                <w:szCs w:val="24"/>
              </w:rPr>
              <w:t>saite uz sākuma lapu, kā arī saites uz augstāka līmeņa lapām, ja tīmekļa vietnes serverim ir vairāku līmeņu struktūra.</w:t>
            </w:r>
          </w:p>
          <w:p w:rsidR="00E7698C" w:rsidRPr="004468B2" w:rsidRDefault="00D72906" w:rsidP="00BD1AA8">
            <w:pPr>
              <w:pStyle w:val="NoSpacing"/>
              <w:jc w:val="both"/>
              <w:rPr>
                <w:rFonts w:ascii="Times New Roman" w:hAnsi="Times New Roman"/>
                <w:sz w:val="24"/>
                <w:szCs w:val="24"/>
              </w:rPr>
            </w:pPr>
            <w:r w:rsidRPr="004468B2">
              <w:rPr>
                <w:rFonts w:ascii="Times New Roman" w:hAnsi="Times New Roman"/>
                <w:sz w:val="24"/>
                <w:szCs w:val="24"/>
              </w:rPr>
              <w:t>Š</w:t>
            </w:r>
            <w:r w:rsidR="00123D54" w:rsidRPr="004468B2">
              <w:rPr>
                <w:rFonts w:ascii="Times New Roman" w:hAnsi="Times New Roman"/>
                <w:sz w:val="24"/>
                <w:szCs w:val="24"/>
              </w:rPr>
              <w:t xml:space="preserve">is regulējums </w:t>
            </w:r>
            <w:r w:rsidRPr="004468B2">
              <w:rPr>
                <w:rFonts w:ascii="Times New Roman" w:hAnsi="Times New Roman"/>
                <w:sz w:val="24"/>
                <w:szCs w:val="24"/>
              </w:rPr>
              <w:t>ir jāprecizē</w:t>
            </w:r>
            <w:r w:rsidR="00123D54" w:rsidRPr="004468B2">
              <w:rPr>
                <w:rFonts w:ascii="Times New Roman" w:hAnsi="Times New Roman"/>
                <w:sz w:val="24"/>
                <w:szCs w:val="24"/>
              </w:rPr>
              <w:t xml:space="preserve"> </w:t>
            </w:r>
            <w:r w:rsidRPr="004468B2">
              <w:rPr>
                <w:rFonts w:ascii="Times New Roman" w:hAnsi="Times New Roman"/>
                <w:sz w:val="24"/>
                <w:szCs w:val="24"/>
              </w:rPr>
              <w:t>atbilstoši</w:t>
            </w:r>
            <w:r w:rsidR="00123D54" w:rsidRPr="004468B2">
              <w:rPr>
                <w:rFonts w:ascii="Times New Roman" w:hAnsi="Times New Roman"/>
                <w:sz w:val="24"/>
                <w:szCs w:val="24"/>
              </w:rPr>
              <w:t xml:space="preserve"> Direktīvas </w:t>
            </w:r>
            <w:r w:rsidR="00123D54" w:rsidRPr="004468B2">
              <w:rPr>
                <w:rFonts w:ascii="Times New Roman" w:hAnsi="Times New Roman"/>
                <w:bCs/>
                <w:sz w:val="24"/>
                <w:szCs w:val="24"/>
              </w:rPr>
              <w:t>2011/62/ES 1.panta 20</w:t>
            </w:r>
            <w:r w:rsidRPr="004468B2">
              <w:rPr>
                <w:rFonts w:ascii="Times New Roman" w:hAnsi="Times New Roman"/>
                <w:bCs/>
                <w:sz w:val="24"/>
                <w:szCs w:val="24"/>
              </w:rPr>
              <w:t xml:space="preserve">.punkta norma, kas </w:t>
            </w:r>
            <w:r w:rsidR="00E4470E" w:rsidRPr="004468B2">
              <w:rPr>
                <w:rFonts w:ascii="Times New Roman" w:hAnsi="Times New Roman"/>
                <w:bCs/>
                <w:sz w:val="24"/>
                <w:szCs w:val="24"/>
                <w:lang w:eastAsia="lv-LV"/>
              </w:rPr>
              <w:t xml:space="preserve">nosaka </w:t>
            </w:r>
            <w:r w:rsidRPr="004468B2">
              <w:rPr>
                <w:rFonts w:ascii="Times New Roman" w:hAnsi="Times New Roman"/>
                <w:bCs/>
                <w:sz w:val="24"/>
                <w:szCs w:val="24"/>
                <w:lang w:eastAsia="lv-LV"/>
              </w:rPr>
              <w:t xml:space="preserve">arī </w:t>
            </w:r>
            <w:r w:rsidR="00E4470E" w:rsidRPr="004468B2">
              <w:rPr>
                <w:rFonts w:ascii="Times New Roman" w:hAnsi="Times New Roman"/>
                <w:bCs/>
                <w:sz w:val="24"/>
                <w:szCs w:val="24"/>
                <w:lang w:eastAsia="lv-LV"/>
              </w:rPr>
              <w:t>prasību</w:t>
            </w:r>
            <w:r w:rsidR="00E4470E" w:rsidRPr="004468B2">
              <w:rPr>
                <w:rFonts w:ascii="Times New Roman" w:hAnsi="Times New Roman"/>
                <w:i/>
                <w:sz w:val="24"/>
                <w:szCs w:val="24"/>
              </w:rPr>
              <w:t xml:space="preserve"> </w:t>
            </w:r>
            <w:r w:rsidR="00E4470E" w:rsidRPr="004468B2">
              <w:rPr>
                <w:rFonts w:ascii="Times New Roman" w:hAnsi="Times New Roman"/>
                <w:sz w:val="24"/>
                <w:szCs w:val="24"/>
              </w:rPr>
              <w:t>aptiekai, kura uzsāk pārdot zāles ar tīmekļa starpniecību, paziņot kompetentajai iestādei par zāļu izplatīšana uzsākšanas datumu ar tīmekļa starpniecību. Pašreiz normatīvajos aktos šāda prasība nav noteikta</w:t>
            </w:r>
            <w:r w:rsidR="00E4470E" w:rsidRPr="004468B2">
              <w:rPr>
                <w:rFonts w:ascii="Times New Roman" w:hAnsi="Times New Roman"/>
                <w:sz w:val="24"/>
                <w:szCs w:val="24"/>
                <w:lang w:eastAsia="lv-LV"/>
              </w:rPr>
              <w:t>.</w:t>
            </w:r>
            <w:r w:rsidR="00E7698C" w:rsidRPr="004468B2">
              <w:rPr>
                <w:rFonts w:ascii="Times New Roman" w:hAnsi="Times New Roman"/>
                <w:sz w:val="24"/>
                <w:szCs w:val="24"/>
                <w:lang w:eastAsia="lv-LV"/>
              </w:rPr>
              <w:t xml:space="preserve"> </w:t>
            </w:r>
            <w:r w:rsidR="00E7698C" w:rsidRPr="004468B2">
              <w:rPr>
                <w:rFonts w:ascii="Times New Roman" w:hAnsi="Times New Roman"/>
                <w:sz w:val="24"/>
                <w:szCs w:val="24"/>
              </w:rPr>
              <w:t>Direktīvas 2011/62</w:t>
            </w:r>
            <w:r w:rsidR="00D00EC7" w:rsidRPr="004468B2">
              <w:rPr>
                <w:rFonts w:ascii="Times New Roman" w:hAnsi="Times New Roman"/>
                <w:sz w:val="24"/>
                <w:szCs w:val="24"/>
              </w:rPr>
              <w:t>/ES</w:t>
            </w:r>
            <w:r w:rsidR="00E7698C" w:rsidRPr="004468B2">
              <w:rPr>
                <w:rFonts w:ascii="Times New Roman" w:hAnsi="Times New Roman"/>
                <w:sz w:val="24"/>
                <w:szCs w:val="24"/>
              </w:rPr>
              <w:t xml:space="preserve"> 1.panta 20.punkta norma nosaka aptiekām, kuras izplata zāles ar tīmekļa starpniecību, norādīt savās tīmekļa vietnēs vienotu logotipu, kur apstiprina Eiropas Komisija. Eiropas Komisija paredz 2013.gadā pieņemt  īstenošanas aktu attiecībā uz tehniskajām, elektroniskajām un kriptogrāfiskajām prasībām, </w:t>
            </w:r>
            <w:r w:rsidR="00073417" w:rsidRPr="004468B2">
              <w:rPr>
                <w:rFonts w:ascii="Times New Roman" w:hAnsi="Times New Roman"/>
                <w:sz w:val="24"/>
                <w:szCs w:val="24"/>
              </w:rPr>
              <w:t xml:space="preserve">ieviešot visām interneta aptiekām vienotu atpazīstamu logotipu, kā arī, </w:t>
            </w:r>
            <w:r w:rsidR="00E7698C" w:rsidRPr="004468B2">
              <w:rPr>
                <w:rFonts w:ascii="Times New Roman" w:hAnsi="Times New Roman"/>
                <w:sz w:val="24"/>
                <w:szCs w:val="24"/>
              </w:rPr>
              <w:t>lai varētu pārbaudīt vienotā logotipa autentiskumu, arī  vienotā logotipa dizainu.</w:t>
            </w:r>
          </w:p>
          <w:p w:rsidR="00E4470E" w:rsidRPr="004468B2" w:rsidRDefault="00E4470E" w:rsidP="00BD1AA8">
            <w:pPr>
              <w:pStyle w:val="NoSpacing"/>
              <w:jc w:val="both"/>
              <w:rPr>
                <w:rFonts w:ascii="Times New Roman" w:hAnsi="Times New Roman"/>
                <w:sz w:val="24"/>
                <w:szCs w:val="24"/>
              </w:rPr>
            </w:pPr>
          </w:p>
          <w:p w:rsidR="00DC64EE" w:rsidRPr="004468B2" w:rsidRDefault="00BC2B7B" w:rsidP="00BD1AA8">
            <w:pPr>
              <w:pStyle w:val="NoSpacing"/>
              <w:jc w:val="both"/>
              <w:rPr>
                <w:rFonts w:ascii="Times New Roman" w:hAnsi="Times New Roman"/>
                <w:sz w:val="24"/>
                <w:szCs w:val="24"/>
              </w:rPr>
            </w:pPr>
            <w:r w:rsidRPr="004468B2">
              <w:rPr>
                <w:rFonts w:ascii="Times New Roman" w:hAnsi="Times New Roman"/>
                <w:sz w:val="24"/>
                <w:szCs w:val="24"/>
              </w:rPr>
              <w:t>Viens no kritiskajiem riskiem</w:t>
            </w:r>
            <w:r w:rsidR="00C33784" w:rsidRPr="004468B2">
              <w:rPr>
                <w:rFonts w:ascii="Times New Roman" w:hAnsi="Times New Roman"/>
                <w:sz w:val="24"/>
                <w:szCs w:val="24"/>
              </w:rPr>
              <w:t xml:space="preserve"> </w:t>
            </w:r>
            <w:r w:rsidRPr="004468B2">
              <w:rPr>
                <w:rFonts w:ascii="Times New Roman" w:hAnsi="Times New Roman"/>
                <w:sz w:val="24"/>
                <w:szCs w:val="24"/>
              </w:rPr>
              <w:t>saistībā ar Direktīvas 2011/62/ES prasību ieviešanu ir saistīts</w:t>
            </w:r>
            <w:r w:rsidR="00C33784" w:rsidRPr="004468B2">
              <w:rPr>
                <w:rFonts w:ascii="Times New Roman" w:hAnsi="Times New Roman"/>
                <w:sz w:val="24"/>
                <w:szCs w:val="24"/>
              </w:rPr>
              <w:t xml:space="preserve"> ar to, ka</w:t>
            </w:r>
            <w:r w:rsidR="00E7698C" w:rsidRPr="004468B2">
              <w:rPr>
                <w:rFonts w:ascii="Times New Roman" w:hAnsi="Times New Roman"/>
                <w:sz w:val="24"/>
                <w:szCs w:val="24"/>
              </w:rPr>
              <w:t xml:space="preserve"> </w:t>
            </w:r>
            <w:r w:rsidR="00120F93" w:rsidRPr="004468B2">
              <w:rPr>
                <w:rFonts w:ascii="Times New Roman" w:hAnsi="Times New Roman"/>
                <w:sz w:val="24"/>
                <w:szCs w:val="24"/>
              </w:rPr>
              <w:t xml:space="preserve">Direktīvas 2011/62/ES 1.panta 21.punkta norma nosaka prasības zāļu vairumtirgotājam pārbaudīt vai saņemtās zāles nav viltotas, pārbaudot uz tām esošas drošuma pazīmes, bet pašreiz Eiropas Komisija nav pieņēmusi </w:t>
            </w:r>
            <w:r w:rsidR="00DC78AB" w:rsidRPr="004468B2">
              <w:rPr>
                <w:rFonts w:ascii="Times New Roman" w:hAnsi="Times New Roman"/>
                <w:sz w:val="24"/>
                <w:szCs w:val="24"/>
              </w:rPr>
              <w:t>deleģētos aktus par drošuma pazīmju (unikālais identifikators</w:t>
            </w:r>
            <w:r w:rsidR="00D11C3F" w:rsidRPr="004468B2">
              <w:rPr>
                <w:rFonts w:ascii="Times New Roman" w:hAnsi="Times New Roman"/>
                <w:sz w:val="24"/>
                <w:szCs w:val="24"/>
              </w:rPr>
              <w:t>) raksturojumu un tehniskajām speci</w:t>
            </w:r>
            <w:r w:rsidR="00DC78AB" w:rsidRPr="004468B2">
              <w:rPr>
                <w:rFonts w:ascii="Times New Roman" w:hAnsi="Times New Roman"/>
                <w:sz w:val="24"/>
                <w:szCs w:val="24"/>
              </w:rPr>
              <w:t xml:space="preserve">fikācijām, </w:t>
            </w:r>
            <w:r w:rsidR="00D11C3F" w:rsidRPr="004468B2">
              <w:rPr>
                <w:rFonts w:ascii="Times New Roman" w:hAnsi="Times New Roman"/>
                <w:sz w:val="24"/>
                <w:szCs w:val="24"/>
              </w:rPr>
              <w:t>recepšu zā</w:t>
            </w:r>
            <w:r w:rsidR="00DC78AB" w:rsidRPr="004468B2">
              <w:rPr>
                <w:rFonts w:ascii="Times New Roman" w:hAnsi="Times New Roman"/>
                <w:sz w:val="24"/>
                <w:szCs w:val="24"/>
              </w:rPr>
              <w:t>ļu vai zāļu kategoriju sarakstu</w:t>
            </w:r>
            <w:r w:rsidR="00D11C3F" w:rsidRPr="004468B2">
              <w:rPr>
                <w:rFonts w:ascii="Times New Roman" w:hAnsi="Times New Roman"/>
                <w:sz w:val="24"/>
                <w:szCs w:val="24"/>
              </w:rPr>
              <w:t xml:space="preserve">, </w:t>
            </w:r>
            <w:r w:rsidR="00DC78AB" w:rsidRPr="004468B2">
              <w:rPr>
                <w:rFonts w:ascii="Times New Roman" w:hAnsi="Times New Roman"/>
                <w:sz w:val="24"/>
                <w:szCs w:val="24"/>
              </w:rPr>
              <w:t xml:space="preserve">kurām drošuma pazīmes nenorāda, </w:t>
            </w:r>
            <w:r w:rsidR="00D11C3F" w:rsidRPr="004468B2">
              <w:rPr>
                <w:rFonts w:ascii="Times New Roman" w:hAnsi="Times New Roman"/>
                <w:sz w:val="24"/>
                <w:szCs w:val="24"/>
              </w:rPr>
              <w:t>bezrecepšu zāļu vai zāļu kategoriju sarakstu</w:t>
            </w:r>
            <w:r w:rsidR="00DC78AB" w:rsidRPr="004468B2">
              <w:rPr>
                <w:rFonts w:ascii="Times New Roman" w:hAnsi="Times New Roman"/>
                <w:sz w:val="24"/>
                <w:szCs w:val="24"/>
              </w:rPr>
              <w:t xml:space="preserve">, kurām drošuma pazīmes norāda, kā arī  </w:t>
            </w:r>
            <w:r w:rsidR="00D11C3F" w:rsidRPr="004468B2">
              <w:rPr>
                <w:rFonts w:ascii="Times New Roman" w:hAnsi="Times New Roman"/>
                <w:sz w:val="24"/>
                <w:szCs w:val="24"/>
              </w:rPr>
              <w:t>paziņošanas procedūras par zālēm, par kurām ir aizdomas par viltojumu, un ātru šādu ziņojumu izvērtēšanas</w:t>
            </w:r>
            <w:r w:rsidR="00DC78AB" w:rsidRPr="004468B2">
              <w:rPr>
                <w:rFonts w:ascii="Times New Roman" w:hAnsi="Times New Roman"/>
                <w:sz w:val="24"/>
                <w:szCs w:val="24"/>
              </w:rPr>
              <w:t xml:space="preserve"> un lēmumu pieņemšanas sistēmu, un </w:t>
            </w:r>
            <w:r w:rsidR="00D11C3F" w:rsidRPr="004468B2">
              <w:rPr>
                <w:rFonts w:ascii="Times New Roman" w:hAnsi="Times New Roman"/>
                <w:sz w:val="24"/>
                <w:szCs w:val="24"/>
              </w:rPr>
              <w:t>drošuma pazīmju</w:t>
            </w:r>
            <w:r w:rsidR="0050533C" w:rsidRPr="004468B2">
              <w:rPr>
                <w:rFonts w:ascii="Times New Roman" w:hAnsi="Times New Roman"/>
                <w:sz w:val="24"/>
                <w:szCs w:val="24"/>
              </w:rPr>
              <w:t xml:space="preserve"> pārbaudes paņēmienus, ko veic </w:t>
            </w:r>
            <w:r w:rsidR="00D11C3F" w:rsidRPr="004468B2">
              <w:rPr>
                <w:rFonts w:ascii="Times New Roman" w:hAnsi="Times New Roman"/>
                <w:sz w:val="24"/>
                <w:szCs w:val="24"/>
              </w:rPr>
              <w:t>ražotāj</w:t>
            </w:r>
            <w:r w:rsidR="00DC78AB" w:rsidRPr="004468B2">
              <w:rPr>
                <w:rFonts w:ascii="Times New Roman" w:hAnsi="Times New Roman"/>
                <w:sz w:val="24"/>
                <w:szCs w:val="24"/>
              </w:rPr>
              <w:t xml:space="preserve">i, vairumtirgotāji, farmaceiti, un </w:t>
            </w:r>
            <w:r w:rsidR="00D11C3F" w:rsidRPr="004468B2">
              <w:rPr>
                <w:rFonts w:ascii="Times New Roman" w:hAnsi="Times New Roman"/>
                <w:sz w:val="24"/>
                <w:szCs w:val="24"/>
              </w:rPr>
              <w:t>nosacījumus repozitoriju sistēmas izveid</w:t>
            </w:r>
            <w:r w:rsidR="00155AC5" w:rsidRPr="004468B2">
              <w:rPr>
                <w:rFonts w:ascii="Times New Roman" w:hAnsi="Times New Roman"/>
                <w:sz w:val="24"/>
                <w:szCs w:val="24"/>
              </w:rPr>
              <w:t>ei, pārvaldībai un pieejamībai</w:t>
            </w:r>
            <w:r w:rsidR="00D11C3F" w:rsidRPr="004468B2">
              <w:rPr>
                <w:rFonts w:ascii="Times New Roman" w:hAnsi="Times New Roman"/>
                <w:sz w:val="24"/>
                <w:szCs w:val="24"/>
              </w:rPr>
              <w:t>, kurā glabā informācij</w:t>
            </w:r>
            <w:r w:rsidR="0050533C" w:rsidRPr="004468B2">
              <w:rPr>
                <w:rFonts w:ascii="Times New Roman" w:hAnsi="Times New Roman"/>
                <w:sz w:val="24"/>
                <w:szCs w:val="24"/>
              </w:rPr>
              <w:t>u par drošuma pazīmēm, kas ļauj - </w:t>
            </w:r>
            <w:r w:rsidR="00D11C3F" w:rsidRPr="004468B2">
              <w:rPr>
                <w:rFonts w:ascii="Times New Roman" w:hAnsi="Times New Roman"/>
                <w:sz w:val="24"/>
                <w:szCs w:val="24"/>
              </w:rPr>
              <w:t>pārbaudīt zāļu a</w:t>
            </w:r>
            <w:r w:rsidR="00155AC5" w:rsidRPr="004468B2">
              <w:rPr>
                <w:rFonts w:ascii="Times New Roman" w:hAnsi="Times New Roman"/>
                <w:sz w:val="24"/>
                <w:szCs w:val="24"/>
              </w:rPr>
              <w:t>utentiskumu un identificēt tās. Deleģēto</w:t>
            </w:r>
            <w:r w:rsidR="00D11C3F" w:rsidRPr="004468B2">
              <w:rPr>
                <w:rFonts w:ascii="Times New Roman" w:hAnsi="Times New Roman"/>
                <w:sz w:val="24"/>
                <w:szCs w:val="24"/>
              </w:rPr>
              <w:t xml:space="preserve"> </w:t>
            </w:r>
            <w:r w:rsidR="00155AC5" w:rsidRPr="004468B2">
              <w:rPr>
                <w:rFonts w:ascii="Times New Roman" w:hAnsi="Times New Roman"/>
                <w:sz w:val="24"/>
                <w:szCs w:val="24"/>
              </w:rPr>
              <w:t xml:space="preserve">aktu </w:t>
            </w:r>
            <w:r w:rsidR="00D11C3F" w:rsidRPr="004468B2">
              <w:rPr>
                <w:rFonts w:ascii="Times New Roman" w:hAnsi="Times New Roman"/>
                <w:sz w:val="24"/>
                <w:szCs w:val="24"/>
              </w:rPr>
              <w:t xml:space="preserve"> </w:t>
            </w:r>
            <w:r w:rsidR="00E7698C" w:rsidRPr="004468B2">
              <w:rPr>
                <w:rFonts w:ascii="Times New Roman" w:hAnsi="Times New Roman"/>
                <w:sz w:val="24"/>
                <w:szCs w:val="24"/>
              </w:rPr>
              <w:t>Eiropas Komisija</w:t>
            </w:r>
            <w:r w:rsidR="00155AC5" w:rsidRPr="004468B2">
              <w:rPr>
                <w:rFonts w:ascii="Times New Roman" w:hAnsi="Times New Roman"/>
                <w:sz w:val="24"/>
                <w:szCs w:val="24"/>
              </w:rPr>
              <w:t xml:space="preserve"> regulas formā paredz pieņemt 2014.gadā. Direktīva 2011/62/ES 2.panta 2.punkta b) apakšpunkta norma paredz dalībvalstīm </w:t>
            </w:r>
            <w:r w:rsidR="00D11C3F" w:rsidRPr="004468B2">
              <w:rPr>
                <w:rFonts w:ascii="Times New Roman" w:hAnsi="Times New Roman"/>
                <w:sz w:val="24"/>
                <w:szCs w:val="24"/>
              </w:rPr>
              <w:t>piemēro</w:t>
            </w:r>
            <w:r w:rsidR="00155AC5" w:rsidRPr="004468B2">
              <w:rPr>
                <w:rFonts w:ascii="Times New Roman" w:hAnsi="Times New Roman"/>
                <w:sz w:val="24"/>
                <w:szCs w:val="24"/>
              </w:rPr>
              <w:t>t</w:t>
            </w:r>
            <w:r w:rsidR="00D11C3F" w:rsidRPr="004468B2">
              <w:rPr>
                <w:rFonts w:ascii="Times New Roman" w:hAnsi="Times New Roman"/>
                <w:sz w:val="24"/>
                <w:szCs w:val="24"/>
              </w:rPr>
              <w:t xml:space="preserve"> noteikumus, kas vajadzīgi, lai izpildītu šīs </w:t>
            </w:r>
            <w:r w:rsidR="00EA1504" w:rsidRPr="004468B2">
              <w:rPr>
                <w:rFonts w:ascii="Times New Roman" w:hAnsi="Times New Roman"/>
                <w:sz w:val="24"/>
                <w:szCs w:val="24"/>
              </w:rPr>
              <w:t xml:space="preserve">prasības saistībā ar drošuma pazīmju piemērošanu </w:t>
            </w:r>
            <w:r w:rsidR="00D11C3F" w:rsidRPr="004468B2">
              <w:rPr>
                <w:rFonts w:ascii="Times New Roman" w:hAnsi="Times New Roman"/>
                <w:sz w:val="24"/>
                <w:szCs w:val="24"/>
              </w:rPr>
              <w:t xml:space="preserve">no dienas, kad pagājuši trīs gadi pēc dienas, kad publicēti </w:t>
            </w:r>
            <w:r w:rsidR="00EA1504" w:rsidRPr="004468B2">
              <w:rPr>
                <w:rFonts w:ascii="Times New Roman" w:hAnsi="Times New Roman"/>
                <w:sz w:val="24"/>
                <w:szCs w:val="24"/>
              </w:rPr>
              <w:t>iepriekšminētie deleģētie akti.</w:t>
            </w:r>
          </w:p>
          <w:p w:rsidR="00E7698C" w:rsidRPr="004468B2" w:rsidRDefault="00E7698C" w:rsidP="00BD1AA8">
            <w:pPr>
              <w:pStyle w:val="NoSpacing"/>
              <w:jc w:val="both"/>
              <w:rPr>
                <w:rFonts w:ascii="Times New Roman" w:hAnsi="Times New Roman"/>
                <w:sz w:val="24"/>
                <w:szCs w:val="24"/>
              </w:rPr>
            </w:pPr>
          </w:p>
          <w:p w:rsidR="00ED0D1B"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7)</w:t>
            </w:r>
            <w:r w:rsidR="00E7698C" w:rsidRPr="004468B2">
              <w:rPr>
                <w:rFonts w:ascii="Times New Roman" w:hAnsi="Times New Roman"/>
                <w:sz w:val="24"/>
                <w:szCs w:val="24"/>
              </w:rPr>
              <w:t> Jāprecizē arī zāļu atsaukšanas sist</w:t>
            </w:r>
            <w:r w:rsidR="00073417" w:rsidRPr="004468B2">
              <w:rPr>
                <w:rFonts w:ascii="Times New Roman" w:hAnsi="Times New Roman"/>
                <w:sz w:val="24"/>
                <w:szCs w:val="24"/>
              </w:rPr>
              <w:t xml:space="preserve">ēma atbilstoši </w:t>
            </w:r>
            <w:r w:rsidR="00E7698C" w:rsidRPr="004468B2">
              <w:rPr>
                <w:rFonts w:ascii="Times New Roman" w:hAnsi="Times New Roman"/>
                <w:sz w:val="24"/>
                <w:szCs w:val="24"/>
              </w:rPr>
              <w:t>Direktīvas Nr.2010/84/ES 1.panta</w:t>
            </w:r>
            <w:r w:rsidR="00073417" w:rsidRPr="004468B2">
              <w:rPr>
                <w:rFonts w:ascii="Times New Roman" w:hAnsi="Times New Roman"/>
                <w:sz w:val="24"/>
                <w:szCs w:val="24"/>
              </w:rPr>
              <w:t xml:space="preserve"> 23</w:t>
            </w:r>
            <w:r w:rsidR="00E7698C" w:rsidRPr="004468B2">
              <w:rPr>
                <w:rFonts w:ascii="Times New Roman" w:hAnsi="Times New Roman"/>
                <w:sz w:val="24"/>
                <w:szCs w:val="24"/>
              </w:rPr>
              <w:t>.punkta a) apakšpunkta norma</w:t>
            </w:r>
            <w:r w:rsidR="00073417" w:rsidRPr="004468B2">
              <w:rPr>
                <w:rFonts w:ascii="Times New Roman" w:hAnsi="Times New Roman"/>
                <w:sz w:val="24"/>
                <w:szCs w:val="24"/>
              </w:rPr>
              <w:t>i, kas</w:t>
            </w:r>
            <w:r w:rsidR="00E7698C" w:rsidRPr="004468B2">
              <w:rPr>
                <w:rFonts w:ascii="Times New Roman" w:hAnsi="Times New Roman"/>
                <w:sz w:val="24"/>
                <w:szCs w:val="24"/>
              </w:rPr>
              <w:t xml:space="preserve"> pieļauj ārkārtas apstākļos pārejas periodā </w:t>
            </w:r>
            <w:r w:rsidR="00073417" w:rsidRPr="004468B2">
              <w:rPr>
                <w:rFonts w:ascii="Times New Roman" w:hAnsi="Times New Roman"/>
                <w:sz w:val="24"/>
                <w:szCs w:val="24"/>
              </w:rPr>
              <w:t xml:space="preserve">piegādāt </w:t>
            </w:r>
            <w:r w:rsidR="00E7698C" w:rsidRPr="004468B2">
              <w:rPr>
                <w:rFonts w:ascii="Times New Roman" w:hAnsi="Times New Roman"/>
                <w:sz w:val="24"/>
                <w:szCs w:val="24"/>
              </w:rPr>
              <w:t>pacientiem</w:t>
            </w:r>
            <w:r w:rsidR="00073417" w:rsidRPr="004468B2">
              <w:rPr>
                <w:rFonts w:ascii="Times New Roman" w:hAnsi="Times New Roman"/>
                <w:sz w:val="24"/>
                <w:szCs w:val="24"/>
              </w:rPr>
              <w:t xml:space="preserve"> zāles</w:t>
            </w:r>
            <w:r w:rsidR="00E7698C" w:rsidRPr="004468B2">
              <w:rPr>
                <w:rFonts w:ascii="Times New Roman" w:hAnsi="Times New Roman"/>
                <w:sz w:val="24"/>
                <w:szCs w:val="24"/>
              </w:rPr>
              <w:t xml:space="preserve">, kas ar tām jau tiek ārstēti, ja zāļu piegāde tiek aizliegta, vai zāles tiek atsauktas no tirgus. Līdz ar to ir novērstas situācijas, kad zāļu nepieejamības dēļ pacients tomēr </w:t>
            </w:r>
            <w:r w:rsidR="00E7698C" w:rsidRPr="004468B2">
              <w:rPr>
                <w:rFonts w:ascii="Times New Roman" w:hAnsi="Times New Roman"/>
                <w:sz w:val="24"/>
                <w:szCs w:val="24"/>
              </w:rPr>
              <w:lastRenderedPageBreak/>
              <w:t>nepieciešamās zāles var saņemt</w:t>
            </w:r>
            <w:r w:rsidR="00E3735F" w:rsidRPr="004468B2">
              <w:rPr>
                <w:rFonts w:ascii="Times New Roman" w:hAnsi="Times New Roman"/>
                <w:sz w:val="24"/>
                <w:szCs w:val="24"/>
              </w:rPr>
              <w:t>.</w:t>
            </w:r>
            <w:r w:rsidR="00073417" w:rsidRPr="004468B2">
              <w:rPr>
                <w:rFonts w:ascii="Times New Roman" w:hAnsi="Times New Roman"/>
                <w:sz w:val="24"/>
                <w:szCs w:val="24"/>
              </w:rPr>
              <w:t xml:space="preserve"> </w:t>
            </w:r>
            <w:r w:rsidR="00E3735F" w:rsidRPr="004468B2">
              <w:rPr>
                <w:rFonts w:ascii="Times New Roman" w:hAnsi="Times New Roman"/>
                <w:sz w:val="24"/>
                <w:szCs w:val="24"/>
              </w:rPr>
              <w:t>MK noteikumu</w:t>
            </w:r>
            <w:r w:rsidR="002C066E" w:rsidRPr="004468B2">
              <w:rPr>
                <w:rFonts w:ascii="Times New Roman" w:hAnsi="Times New Roman"/>
                <w:bCs/>
                <w:sz w:val="24"/>
                <w:szCs w:val="24"/>
              </w:rPr>
              <w:t xml:space="preserve"> Nr.416 </w:t>
            </w:r>
            <w:r w:rsidR="00E3735F" w:rsidRPr="004468B2">
              <w:rPr>
                <w:rFonts w:ascii="Times New Roman" w:hAnsi="Times New Roman"/>
                <w:sz w:val="24"/>
                <w:szCs w:val="24"/>
              </w:rPr>
              <w:t>XI.</w:t>
            </w:r>
            <w:r w:rsidR="002C066E" w:rsidRPr="004468B2">
              <w:rPr>
                <w:rFonts w:ascii="Times New Roman" w:hAnsi="Times New Roman"/>
                <w:sz w:val="24"/>
                <w:szCs w:val="24"/>
              </w:rPr>
              <w:t> </w:t>
            </w:r>
            <w:r w:rsidR="00E3735F" w:rsidRPr="004468B2">
              <w:rPr>
                <w:rFonts w:ascii="Times New Roman" w:hAnsi="Times New Roman"/>
                <w:sz w:val="24"/>
                <w:szCs w:val="24"/>
              </w:rPr>
              <w:t>nodaļa ”Rīcība ārkārtas situācijās un zāļu atsaukšanas kārtība”</w:t>
            </w:r>
            <w:r w:rsidR="00074FDB" w:rsidRPr="004468B2">
              <w:rPr>
                <w:rFonts w:ascii="Times New Roman" w:hAnsi="Times New Roman"/>
                <w:sz w:val="24"/>
                <w:szCs w:val="24"/>
              </w:rPr>
              <w:t xml:space="preserve"> </w:t>
            </w:r>
            <w:r w:rsidR="00E3735F" w:rsidRPr="004468B2">
              <w:rPr>
                <w:rFonts w:ascii="Times New Roman" w:hAnsi="Times New Roman"/>
                <w:sz w:val="24"/>
                <w:szCs w:val="24"/>
              </w:rPr>
              <w:t>un XII.</w:t>
            </w:r>
            <w:r w:rsidR="002C066E" w:rsidRPr="004468B2">
              <w:rPr>
                <w:rFonts w:ascii="Times New Roman" w:hAnsi="Times New Roman"/>
                <w:sz w:val="24"/>
                <w:szCs w:val="24"/>
              </w:rPr>
              <w:t> </w:t>
            </w:r>
            <w:r w:rsidR="00E3735F" w:rsidRPr="004468B2">
              <w:rPr>
                <w:rFonts w:ascii="Times New Roman" w:hAnsi="Times New Roman"/>
                <w:sz w:val="24"/>
                <w:szCs w:val="24"/>
              </w:rPr>
              <w:t>nodaļa ”Kompetentās iestādes pienākumi un procedūra ātrai reaģēšanai”</w:t>
            </w:r>
            <w:r w:rsidR="002802FA" w:rsidRPr="004468B2">
              <w:rPr>
                <w:rFonts w:ascii="Times New Roman" w:hAnsi="Times New Roman"/>
                <w:sz w:val="24"/>
                <w:szCs w:val="24"/>
              </w:rPr>
              <w:t xml:space="preserve"> </w:t>
            </w:r>
            <w:r w:rsidR="00280EDB" w:rsidRPr="004468B2">
              <w:rPr>
                <w:rFonts w:ascii="Times New Roman" w:hAnsi="Times New Roman"/>
                <w:sz w:val="24"/>
                <w:szCs w:val="24"/>
              </w:rPr>
              <w:t>nosaka zāļ</w:t>
            </w:r>
            <w:r w:rsidR="00E3735F" w:rsidRPr="004468B2">
              <w:rPr>
                <w:rFonts w:ascii="Times New Roman" w:hAnsi="Times New Roman"/>
                <w:sz w:val="24"/>
                <w:szCs w:val="24"/>
              </w:rPr>
              <w:t>u at</w:t>
            </w:r>
            <w:r w:rsidR="00F90493" w:rsidRPr="004468B2">
              <w:rPr>
                <w:rFonts w:ascii="Times New Roman" w:hAnsi="Times New Roman"/>
                <w:sz w:val="24"/>
                <w:szCs w:val="24"/>
              </w:rPr>
              <w:t>s</w:t>
            </w:r>
            <w:r w:rsidR="00E3735F" w:rsidRPr="004468B2">
              <w:rPr>
                <w:rFonts w:ascii="Times New Roman" w:hAnsi="Times New Roman"/>
                <w:sz w:val="24"/>
                <w:szCs w:val="24"/>
              </w:rPr>
              <w:t>aukš</w:t>
            </w:r>
            <w:r w:rsidR="00F90493" w:rsidRPr="004468B2">
              <w:rPr>
                <w:rFonts w:ascii="Times New Roman" w:hAnsi="Times New Roman"/>
                <w:sz w:val="24"/>
                <w:szCs w:val="24"/>
              </w:rPr>
              <w:t>a</w:t>
            </w:r>
            <w:r w:rsidR="00E3735F" w:rsidRPr="004468B2">
              <w:rPr>
                <w:rFonts w:ascii="Times New Roman" w:hAnsi="Times New Roman"/>
                <w:sz w:val="24"/>
                <w:szCs w:val="24"/>
              </w:rPr>
              <w:t xml:space="preserve">nas procedūras, kuras ir jāprecizē </w:t>
            </w:r>
            <w:r w:rsidR="00073417" w:rsidRPr="004468B2">
              <w:rPr>
                <w:rFonts w:ascii="Times New Roman" w:hAnsi="Times New Roman"/>
                <w:sz w:val="24"/>
                <w:szCs w:val="24"/>
              </w:rPr>
              <w:t xml:space="preserve">atbilstoši Direktīvas </w:t>
            </w:r>
            <w:r w:rsidR="00616C32" w:rsidRPr="004468B2">
              <w:rPr>
                <w:rFonts w:ascii="Times New Roman" w:hAnsi="Times New Roman"/>
                <w:sz w:val="24"/>
                <w:szCs w:val="24"/>
              </w:rPr>
              <w:t xml:space="preserve">Nr.2011/62/ES 1.panta 24.punkta, </w:t>
            </w:r>
            <w:r w:rsidR="006D1EF7" w:rsidRPr="004468B2">
              <w:rPr>
                <w:rFonts w:ascii="Times New Roman" w:hAnsi="Times New Roman"/>
                <w:sz w:val="24"/>
                <w:szCs w:val="24"/>
              </w:rPr>
              <w:t>Nr.2010/84/ES 1.panta 23</w:t>
            </w:r>
            <w:r w:rsidR="00073417" w:rsidRPr="004468B2">
              <w:rPr>
                <w:rFonts w:ascii="Times New Roman" w:hAnsi="Times New Roman"/>
                <w:sz w:val="24"/>
                <w:szCs w:val="24"/>
              </w:rPr>
              <w:t>.punkta normai</w:t>
            </w:r>
            <w:r w:rsidR="00895B9B" w:rsidRPr="004468B2">
              <w:rPr>
                <w:rFonts w:ascii="Times New Roman" w:hAnsi="Times New Roman"/>
                <w:sz w:val="24"/>
                <w:szCs w:val="24"/>
              </w:rPr>
              <w:t xml:space="preserve"> un Direktīvas Nr.2012/26/ES 1.panta 1. un 12.punkta normai</w:t>
            </w:r>
            <w:r w:rsidR="00073417" w:rsidRPr="004468B2">
              <w:rPr>
                <w:rFonts w:ascii="Times New Roman" w:hAnsi="Times New Roman"/>
                <w:sz w:val="24"/>
                <w:szCs w:val="24"/>
              </w:rPr>
              <w:t>.</w:t>
            </w:r>
          </w:p>
          <w:p w:rsidR="002802FA" w:rsidRPr="004468B2" w:rsidRDefault="002802FA" w:rsidP="00BD1AA8">
            <w:pPr>
              <w:pStyle w:val="NoSpacing"/>
              <w:jc w:val="both"/>
              <w:rPr>
                <w:rFonts w:ascii="Times New Roman" w:hAnsi="Times New Roman"/>
                <w:sz w:val="24"/>
                <w:szCs w:val="24"/>
              </w:rPr>
            </w:pPr>
          </w:p>
          <w:p w:rsidR="003A34FA" w:rsidRPr="004468B2" w:rsidRDefault="003A34FA" w:rsidP="00BD1AA8">
            <w:pPr>
              <w:pStyle w:val="NoSpacing"/>
              <w:jc w:val="both"/>
              <w:rPr>
                <w:rFonts w:ascii="Times New Roman" w:hAnsi="Times New Roman"/>
                <w:sz w:val="24"/>
                <w:szCs w:val="24"/>
                <w:lang w:eastAsia="lv-LV"/>
              </w:rPr>
            </w:pPr>
            <w:r w:rsidRPr="004468B2">
              <w:rPr>
                <w:rFonts w:ascii="Times New Roman" w:hAnsi="Times New Roman"/>
                <w:sz w:val="24"/>
                <w:szCs w:val="24"/>
              </w:rPr>
              <w:t>8) Pašreiz MK noteikumos 416 nav normu, kas noteiktu paralēlajam izplatītājam pienākumu Eiropas</w:t>
            </w:r>
            <w:r w:rsidRPr="004468B2">
              <w:rPr>
                <w:rFonts w:ascii="Times New Roman" w:hAnsi="Times New Roman"/>
                <w:sz w:val="24"/>
                <w:szCs w:val="24"/>
                <w:vertAlign w:val="superscript"/>
              </w:rPr>
              <w:t xml:space="preserve"> </w:t>
            </w:r>
            <w:r w:rsidRPr="004468B2">
              <w:rPr>
                <w:rFonts w:ascii="Times New Roman" w:hAnsi="Times New Roman"/>
                <w:sz w:val="24"/>
                <w:szCs w:val="24"/>
              </w:rPr>
              <w:t xml:space="preserve">Zāļu Aģentūrai maksāt nodevu par zālēm, kuras ir reģistrētas saskaņā ar Eiropas Parlamenta un Padomes regulu Nr. </w:t>
            </w:r>
            <w:hyperlink r:id="rId11" w:tgtFrame="_blank" w:history="1">
              <w:r w:rsidRPr="004468B2">
                <w:rPr>
                  <w:rFonts w:ascii="Times New Roman" w:hAnsi="Times New Roman"/>
                  <w:sz w:val="24"/>
                  <w:szCs w:val="24"/>
                </w:rPr>
                <w:t>726/2004</w:t>
              </w:r>
            </w:hyperlink>
            <w:r w:rsidRPr="004468B2">
              <w:rPr>
                <w:rFonts w:ascii="Times New Roman" w:hAnsi="Times New Roman"/>
                <w:sz w:val="24"/>
                <w:szCs w:val="24"/>
              </w:rPr>
              <w:t xml:space="preserve">, lai tā pārbaudītu, ka tirdzniecības atļaujās paredzētie nosacījumi ir ievēroti atbilstoši Direktīvas 2011/62/ES 1.panta 15.punkta normai (attiecas uz Direktīvas 2001/83/ES </w:t>
            </w:r>
            <w:r w:rsidR="000601B5" w:rsidRPr="004468B2">
              <w:rPr>
                <w:rFonts w:ascii="Times New Roman" w:hAnsi="Times New Roman"/>
                <w:sz w:val="24"/>
                <w:szCs w:val="24"/>
              </w:rPr>
              <w:t>76.panta 4.punktu).</w:t>
            </w:r>
            <w:r w:rsidR="00B918B3" w:rsidRPr="004468B2">
              <w:rPr>
                <w:rFonts w:ascii="Times New Roman" w:hAnsi="Times New Roman"/>
                <w:sz w:val="24"/>
                <w:szCs w:val="24"/>
              </w:rPr>
              <w:t xml:space="preserve"> Tas attiecas uz zālēm, kuras Eiropas Savienībā reģistrē centralizēti Eiropas zāļu aģentūra atbilstoši Eiropas Parlamenta un Padomes 2004.gada 31.marta Regulai (EK) Nr. </w:t>
            </w:r>
            <w:hyperlink r:id="rId12" w:tgtFrame="_blank" w:history="1">
              <w:r w:rsidR="00B918B3" w:rsidRPr="004468B2">
                <w:rPr>
                  <w:rFonts w:ascii="Times New Roman" w:hAnsi="Times New Roman"/>
                  <w:sz w:val="24"/>
                  <w:szCs w:val="24"/>
                </w:rPr>
                <w:t>726/2004</w:t>
              </w:r>
            </w:hyperlink>
            <w:r w:rsidR="00B918B3" w:rsidRPr="004468B2">
              <w:rPr>
                <w:rFonts w:ascii="Times New Roman" w:hAnsi="Times New Roman"/>
                <w:sz w:val="24"/>
                <w:szCs w:val="24"/>
              </w:rPr>
              <w:t>, ar ko nosaka cilvēkiem paredzēto un veterināro zāļu reģistrēšanas un uzraudzības Kopienas procedūras un izveido Eiropas Zāļu aģentūru</w:t>
            </w:r>
            <w:r w:rsidR="00A14065" w:rsidRPr="004468B2">
              <w:rPr>
                <w:rFonts w:ascii="Times New Roman" w:hAnsi="Times New Roman"/>
                <w:sz w:val="24"/>
                <w:szCs w:val="24"/>
              </w:rPr>
              <w:t>.</w:t>
            </w:r>
            <w:r w:rsidR="00B918B3" w:rsidRPr="004468B2">
              <w:rPr>
                <w:rFonts w:ascii="Times New Roman" w:hAnsi="Times New Roman"/>
                <w:sz w:val="24"/>
                <w:szCs w:val="24"/>
              </w:rPr>
              <w:t xml:space="preserve"> Eiropas Zāļu aģentūrai maksa par pakalpojumiem ir noteikta </w:t>
            </w:r>
            <w:r w:rsidR="00B918B3" w:rsidRPr="004468B2">
              <w:rPr>
                <w:rFonts w:ascii="Times New Roman" w:hAnsi="Times New Roman"/>
                <w:bCs/>
                <w:sz w:val="24"/>
                <w:szCs w:val="24"/>
              </w:rPr>
              <w:t xml:space="preserve">Padomes 1995. gada 10. </w:t>
            </w:r>
            <w:r w:rsidR="00183317" w:rsidRPr="004468B2">
              <w:rPr>
                <w:rFonts w:ascii="Times New Roman" w:hAnsi="Times New Roman"/>
                <w:bCs/>
                <w:sz w:val="24"/>
                <w:szCs w:val="24"/>
              </w:rPr>
              <w:t>februāris regulā  (EK) Nr.</w:t>
            </w:r>
            <w:r w:rsidR="00B918B3" w:rsidRPr="004468B2">
              <w:rPr>
                <w:rFonts w:ascii="Times New Roman" w:hAnsi="Times New Roman"/>
                <w:bCs/>
                <w:sz w:val="24"/>
                <w:szCs w:val="24"/>
              </w:rPr>
              <w:t xml:space="preserve">297/95 par maksām, kas maksājamas Eiropas Zāļu novērtēšanas aģentūrai, </w:t>
            </w:r>
            <w:r w:rsidR="00AA3928" w:rsidRPr="004468B2">
              <w:rPr>
                <w:rFonts w:ascii="Times New Roman" w:hAnsi="Times New Roman"/>
                <w:sz w:val="24"/>
                <w:szCs w:val="24"/>
              </w:rPr>
              <w:t xml:space="preserve">(OV L 35, 15.2.1995., 1. lpp.) </w:t>
            </w:r>
            <w:r w:rsidR="00183317" w:rsidRPr="004468B2">
              <w:rPr>
                <w:rFonts w:ascii="Times New Roman" w:hAnsi="Times New Roman"/>
                <w:sz w:val="24"/>
                <w:szCs w:val="24"/>
              </w:rPr>
              <w:t>(</w:t>
            </w:r>
            <w:r w:rsidR="00AA3928" w:rsidRPr="004468B2">
              <w:rPr>
                <w:rFonts w:ascii="Times New Roman" w:hAnsi="Times New Roman"/>
                <w:sz w:val="24"/>
                <w:szCs w:val="24"/>
              </w:rPr>
              <w:t>ar grozījumiem)</w:t>
            </w:r>
            <w:r w:rsidR="00183317" w:rsidRPr="004468B2">
              <w:rPr>
                <w:rFonts w:ascii="Times New Roman" w:hAnsi="Times New Roman"/>
                <w:sz w:val="24"/>
                <w:szCs w:val="24"/>
              </w:rPr>
              <w:t xml:space="preserve"> (turpmāk – Padomes regula Nr.297/95)</w:t>
            </w:r>
            <w:r w:rsidR="00AA3928" w:rsidRPr="004468B2">
              <w:rPr>
                <w:rFonts w:ascii="Times New Roman" w:hAnsi="Times New Roman"/>
                <w:sz w:val="24"/>
                <w:szCs w:val="24"/>
              </w:rPr>
              <w:t xml:space="preserve">. Detalizētāka informācija </w:t>
            </w:r>
            <w:r w:rsidR="00183317" w:rsidRPr="004468B2">
              <w:rPr>
                <w:rFonts w:ascii="Times New Roman" w:hAnsi="Times New Roman"/>
                <w:sz w:val="24"/>
                <w:szCs w:val="24"/>
              </w:rPr>
              <w:t xml:space="preserve">ir </w:t>
            </w:r>
            <w:r w:rsidR="00AA3928" w:rsidRPr="004468B2">
              <w:rPr>
                <w:rFonts w:ascii="Times New Roman" w:hAnsi="Times New Roman"/>
                <w:sz w:val="24"/>
                <w:szCs w:val="24"/>
              </w:rPr>
              <w:t xml:space="preserve">ietverta Eiropas Zāļu aģentūras </w:t>
            </w:r>
            <w:r w:rsidR="00183317" w:rsidRPr="004468B2">
              <w:rPr>
                <w:rFonts w:ascii="Times New Roman" w:hAnsi="Times New Roman"/>
                <w:sz w:val="24"/>
                <w:szCs w:val="24"/>
              </w:rPr>
              <w:t>paskaidrojumos (21.03.2013.)</w:t>
            </w:r>
            <w:r w:rsidR="002C066E" w:rsidRPr="004468B2">
              <w:rPr>
                <w:rFonts w:ascii="Times New Roman" w:hAnsi="Times New Roman"/>
                <w:sz w:val="24"/>
                <w:szCs w:val="24"/>
              </w:rPr>
              <w:t xml:space="preserve"> </w:t>
            </w:r>
            <w:r w:rsidR="00AA3928" w:rsidRPr="004468B2">
              <w:rPr>
                <w:rFonts w:ascii="Times New Roman" w:hAnsi="Times New Roman"/>
                <w:sz w:val="24"/>
                <w:szCs w:val="24"/>
              </w:rPr>
              <w:t>(</w:t>
            </w:r>
            <w:hyperlink r:id="rId13" w:history="1">
              <w:r w:rsidR="00AA3928" w:rsidRPr="004468B2">
                <w:rPr>
                  <w:rStyle w:val="Hyperlink"/>
                  <w:rFonts w:ascii="Times New Roman" w:hAnsi="Times New Roman"/>
                  <w:color w:val="auto"/>
                  <w:sz w:val="24"/>
                  <w:szCs w:val="24"/>
                  <w:u w:val="none"/>
                </w:rPr>
                <w:t>http://www.ema.europa.eu/docs/en_GB/document_library/Other/2012/03/WC500124904.pdf</w:t>
              </w:r>
            </w:hyperlink>
            <w:r w:rsidR="00AA3928" w:rsidRPr="004468B2">
              <w:rPr>
                <w:rFonts w:ascii="Times New Roman" w:hAnsi="Times New Roman"/>
                <w:sz w:val="24"/>
                <w:szCs w:val="24"/>
              </w:rPr>
              <w:t>)</w:t>
            </w:r>
            <w:r w:rsidR="00E16C2E" w:rsidRPr="004468B2">
              <w:rPr>
                <w:rFonts w:ascii="Times New Roman" w:hAnsi="Times New Roman"/>
                <w:sz w:val="24"/>
                <w:szCs w:val="24"/>
              </w:rPr>
              <w:t xml:space="preserve"> - </w:t>
            </w:r>
            <w:r w:rsidR="00183317" w:rsidRPr="004468B2">
              <w:rPr>
                <w:rFonts w:ascii="Times New Roman" w:hAnsi="Times New Roman"/>
                <w:sz w:val="24"/>
                <w:szCs w:val="24"/>
              </w:rPr>
              <w:t>Padomes re</w:t>
            </w:r>
            <w:r w:rsidR="00E16C2E" w:rsidRPr="004468B2">
              <w:rPr>
                <w:rFonts w:ascii="Times New Roman" w:hAnsi="Times New Roman"/>
                <w:sz w:val="24"/>
                <w:szCs w:val="24"/>
              </w:rPr>
              <w:t>gulas</w:t>
            </w:r>
            <w:r w:rsidR="00183317" w:rsidRPr="004468B2">
              <w:rPr>
                <w:rFonts w:ascii="Times New Roman" w:hAnsi="Times New Roman"/>
                <w:sz w:val="24"/>
                <w:szCs w:val="24"/>
              </w:rPr>
              <w:t xml:space="preserve"> Nr.297/95</w:t>
            </w:r>
            <w:r w:rsidR="00310D75" w:rsidRPr="004468B2">
              <w:rPr>
                <w:rFonts w:ascii="Times New Roman" w:hAnsi="Times New Roman"/>
                <w:sz w:val="24"/>
                <w:szCs w:val="24"/>
              </w:rPr>
              <w:t xml:space="preserve"> </w:t>
            </w:r>
            <w:r w:rsidR="00E16C2E" w:rsidRPr="004468B2">
              <w:rPr>
                <w:rFonts w:ascii="Times New Roman" w:hAnsi="Times New Roman"/>
                <w:sz w:val="24"/>
                <w:szCs w:val="24"/>
              </w:rPr>
              <w:t>ieviešanas noteikumus ir apstiprinājusi Eiropas Zāļu aģentūras vadības komiteja (</w:t>
            </w:r>
            <w:r w:rsidR="00E16C2E" w:rsidRPr="004468B2">
              <w:rPr>
                <w:rFonts w:ascii="Times New Roman" w:hAnsi="Times New Roman"/>
                <w:i/>
                <w:sz w:val="24"/>
                <w:szCs w:val="24"/>
                <w:lang w:val="en-GB" w:eastAsia="lv-LV"/>
              </w:rPr>
              <w:t>Management Board</w:t>
            </w:r>
            <w:r w:rsidR="00E16C2E" w:rsidRPr="004468B2">
              <w:rPr>
                <w:rFonts w:ascii="Times New Roman" w:hAnsi="Times New Roman"/>
                <w:sz w:val="24"/>
                <w:szCs w:val="24"/>
                <w:lang w:eastAsia="lv-LV"/>
              </w:rPr>
              <w:t>), kurā Latvijas pārstāvis ir no Zāļu valsts aģentūras.</w:t>
            </w:r>
          </w:p>
          <w:p w:rsidR="00AA3928" w:rsidRPr="004468B2" w:rsidRDefault="00AA3928" w:rsidP="00BD1AA8">
            <w:pPr>
              <w:pStyle w:val="NoSpacing"/>
              <w:jc w:val="both"/>
              <w:rPr>
                <w:rFonts w:ascii="Times New Roman" w:hAnsi="Times New Roman"/>
                <w:sz w:val="24"/>
                <w:szCs w:val="24"/>
              </w:rPr>
            </w:pPr>
          </w:p>
          <w:p w:rsidR="00CE4314" w:rsidRPr="004468B2" w:rsidRDefault="00CE4314" w:rsidP="00BD1AA8">
            <w:pPr>
              <w:pStyle w:val="Bezatstarpm1"/>
              <w:jc w:val="both"/>
              <w:rPr>
                <w:rFonts w:ascii="Times New Roman" w:hAnsi="Times New Roman"/>
                <w:sz w:val="24"/>
                <w:szCs w:val="24"/>
                <w:lang w:val="lv-LV"/>
              </w:rPr>
            </w:pPr>
            <w:r w:rsidRPr="004468B2">
              <w:rPr>
                <w:rFonts w:ascii="Times New Roman" w:hAnsi="Times New Roman"/>
                <w:sz w:val="24"/>
                <w:szCs w:val="24"/>
                <w:lang w:val="lv-LV"/>
              </w:rPr>
              <w:t>9) M</w:t>
            </w:r>
            <w:r w:rsidR="00A93490" w:rsidRPr="004468B2">
              <w:rPr>
                <w:rFonts w:ascii="Times New Roman" w:hAnsi="Times New Roman"/>
                <w:sz w:val="24"/>
                <w:szCs w:val="24"/>
                <w:lang w:val="lv-LV"/>
              </w:rPr>
              <w:t xml:space="preserve">K noteikumu Nr.416 12.punkta </w:t>
            </w:r>
            <w:r w:rsidR="00955DB4" w:rsidRPr="004468B2">
              <w:rPr>
                <w:rFonts w:ascii="Times New Roman" w:hAnsi="Times New Roman"/>
                <w:sz w:val="24"/>
                <w:szCs w:val="24"/>
                <w:lang w:val="lv-LV"/>
              </w:rPr>
              <w:t xml:space="preserve">norma </w:t>
            </w:r>
            <w:r w:rsidR="00A93490" w:rsidRPr="004468B2">
              <w:rPr>
                <w:rFonts w:ascii="Times New Roman" w:hAnsi="Times New Roman"/>
                <w:sz w:val="24"/>
                <w:szCs w:val="24"/>
                <w:lang w:val="lv-LV"/>
              </w:rPr>
              <w:t xml:space="preserve">nosaka, ka zāļu </w:t>
            </w:r>
            <w:r w:rsidR="004C229F" w:rsidRPr="004468B2">
              <w:rPr>
                <w:rFonts w:ascii="Times New Roman" w:hAnsi="Times New Roman"/>
                <w:sz w:val="24"/>
                <w:szCs w:val="24"/>
                <w:lang w:val="lv-LV"/>
              </w:rPr>
              <w:t>vairumtirgotājam</w:t>
            </w:r>
            <w:r w:rsidR="00A93490" w:rsidRPr="004468B2">
              <w:rPr>
                <w:rFonts w:ascii="Times New Roman" w:hAnsi="Times New Roman"/>
                <w:sz w:val="24"/>
                <w:szCs w:val="24"/>
                <w:lang w:val="lv-LV"/>
              </w:rPr>
              <w:t xml:space="preserve"> ir jāievēro laba </w:t>
            </w:r>
            <w:r w:rsidR="004C229F" w:rsidRPr="004468B2">
              <w:rPr>
                <w:rFonts w:ascii="Times New Roman" w:hAnsi="Times New Roman"/>
                <w:sz w:val="24"/>
                <w:szCs w:val="24"/>
                <w:lang w:val="lv-LV"/>
              </w:rPr>
              <w:t>izplatīšanas prakse</w:t>
            </w:r>
            <w:r w:rsidR="00A93490" w:rsidRPr="004468B2">
              <w:rPr>
                <w:rFonts w:ascii="Times New Roman" w:hAnsi="Times New Roman"/>
                <w:sz w:val="24"/>
                <w:szCs w:val="24"/>
                <w:lang w:val="lv-LV"/>
              </w:rPr>
              <w:t>.</w:t>
            </w:r>
            <w:r w:rsidRPr="004468B2">
              <w:rPr>
                <w:rFonts w:ascii="Times New Roman" w:hAnsi="Times New Roman"/>
                <w:sz w:val="24"/>
                <w:szCs w:val="24"/>
                <w:lang w:val="lv-LV"/>
              </w:rPr>
              <w:t xml:space="preserve"> </w:t>
            </w:r>
            <w:r w:rsidR="00A93490" w:rsidRPr="004468B2">
              <w:rPr>
                <w:rFonts w:ascii="Times New Roman" w:hAnsi="Times New Roman"/>
                <w:sz w:val="24"/>
                <w:szCs w:val="24"/>
                <w:lang w:val="lv-LV"/>
              </w:rPr>
              <w:t>Farmācijas likuma 10.panta 12</w:t>
            </w:r>
            <w:r w:rsidR="00A93490" w:rsidRPr="004468B2">
              <w:rPr>
                <w:rFonts w:ascii="Times New Roman" w:hAnsi="Times New Roman"/>
                <w:sz w:val="24"/>
                <w:szCs w:val="24"/>
                <w:vertAlign w:val="superscript"/>
                <w:lang w:val="lv-LV"/>
              </w:rPr>
              <w:t>3</w:t>
            </w:r>
            <w:r w:rsidR="00A93490" w:rsidRPr="004468B2">
              <w:rPr>
                <w:rFonts w:ascii="Times New Roman" w:hAnsi="Times New Roman"/>
                <w:sz w:val="24"/>
                <w:szCs w:val="24"/>
                <w:lang w:val="lv-LV"/>
              </w:rPr>
              <w:t>) punkta norma nosaka Zāļu valsts aģentūras funkciju novērtēt un pārbaudīt zāļu izplatītāju atbilstību labas izplatīša</w:t>
            </w:r>
            <w:r w:rsidR="009F1C5C" w:rsidRPr="004468B2">
              <w:rPr>
                <w:rFonts w:ascii="Times New Roman" w:hAnsi="Times New Roman"/>
                <w:sz w:val="24"/>
                <w:szCs w:val="24"/>
                <w:lang w:val="lv-LV"/>
              </w:rPr>
              <w:t>nas prakses prasībām un izsniegt</w:t>
            </w:r>
            <w:r w:rsidR="00A93490" w:rsidRPr="004468B2">
              <w:rPr>
                <w:rFonts w:ascii="Times New Roman" w:hAnsi="Times New Roman"/>
                <w:sz w:val="24"/>
                <w:szCs w:val="24"/>
                <w:lang w:val="lv-LV"/>
              </w:rPr>
              <w:t xml:space="preserve"> labas iz</w:t>
            </w:r>
            <w:r w:rsidR="009F1C5C" w:rsidRPr="004468B2">
              <w:rPr>
                <w:rFonts w:ascii="Times New Roman" w:hAnsi="Times New Roman"/>
                <w:sz w:val="24"/>
                <w:szCs w:val="24"/>
                <w:lang w:val="lv-LV"/>
              </w:rPr>
              <w:t xml:space="preserve">platīšanas prakses sertifikātus, bet MK noteikumos </w:t>
            </w:r>
            <w:r w:rsidRPr="004468B2">
              <w:rPr>
                <w:rFonts w:ascii="Times New Roman" w:hAnsi="Times New Roman"/>
                <w:sz w:val="24"/>
                <w:szCs w:val="24"/>
                <w:lang w:val="lv-LV"/>
              </w:rPr>
              <w:t xml:space="preserve">Nr.416 nav ieviesta zāļu labas izplatīšanas prakses sertifikāta </w:t>
            </w:r>
            <w:r w:rsidR="009F1C5C" w:rsidRPr="004468B2">
              <w:rPr>
                <w:rFonts w:ascii="Times New Roman" w:hAnsi="Times New Roman"/>
                <w:sz w:val="24"/>
                <w:szCs w:val="24"/>
                <w:lang w:val="lv-LV"/>
              </w:rPr>
              <w:t xml:space="preserve">veidlapas </w:t>
            </w:r>
            <w:r w:rsidRPr="004468B2">
              <w:rPr>
                <w:rFonts w:ascii="Times New Roman" w:hAnsi="Times New Roman"/>
                <w:sz w:val="24"/>
                <w:szCs w:val="24"/>
                <w:lang w:val="lv-LV"/>
              </w:rPr>
              <w:t xml:space="preserve">forma. </w:t>
            </w:r>
            <w:r w:rsidRPr="004468B2">
              <w:rPr>
                <w:rFonts w:ascii="Times New Roman" w:hAnsi="Times New Roman"/>
                <w:noProof/>
                <w:sz w:val="24"/>
                <w:szCs w:val="24"/>
                <w:lang w:val="lv-LV"/>
              </w:rPr>
              <w:t>Saskaņā ar Direktīvas 2011/62/EK 1.panta 22.punkta  (Direktīvas 2001/83 111a panta 2.paragrāfs) normu dalībvalstis kopā ar Eiropas zāļu aģentūru ir vienojušās noteikt zāļu labas izplatīšanas</w:t>
            </w:r>
            <w:r w:rsidRPr="004468B2">
              <w:rPr>
                <w:rFonts w:ascii="Times New Roman" w:hAnsi="Times New Roman"/>
                <w:noProof/>
                <w:sz w:val="24"/>
                <w:szCs w:val="24"/>
              </w:rPr>
              <w:t xml:space="preserve"> prakses sertifikāta formu, ietverot tajā pārbau</w:t>
            </w:r>
            <w:r w:rsidR="004C229F" w:rsidRPr="004468B2">
              <w:rPr>
                <w:rFonts w:ascii="Times New Roman" w:hAnsi="Times New Roman"/>
                <w:noProof/>
                <w:sz w:val="24"/>
                <w:szCs w:val="24"/>
              </w:rPr>
              <w:t>des regularitātes periodiskumu, un sertifikāta veidlapas formu</w:t>
            </w:r>
            <w:r w:rsidRPr="004468B2">
              <w:rPr>
                <w:rFonts w:ascii="Times New Roman" w:hAnsi="Times New Roman"/>
                <w:noProof/>
                <w:sz w:val="24"/>
                <w:szCs w:val="24"/>
              </w:rPr>
              <w:t xml:space="preserve"> ir apstiprinājusi Eiropas Komisija, </w:t>
            </w:r>
            <w:r w:rsidR="004C229F" w:rsidRPr="004468B2">
              <w:rPr>
                <w:rFonts w:ascii="Times New Roman" w:hAnsi="Times New Roman"/>
                <w:noProof/>
                <w:sz w:val="24"/>
                <w:szCs w:val="24"/>
              </w:rPr>
              <w:t>to</w:t>
            </w:r>
            <w:r w:rsidRPr="004468B2">
              <w:rPr>
                <w:rFonts w:ascii="Times New Roman" w:hAnsi="Times New Roman"/>
                <w:noProof/>
                <w:sz w:val="24"/>
                <w:szCs w:val="24"/>
              </w:rPr>
              <w:t xml:space="preserve"> </w:t>
            </w:r>
            <w:r w:rsidR="004C229F" w:rsidRPr="004468B2">
              <w:rPr>
                <w:rFonts w:ascii="Times New Roman" w:hAnsi="Times New Roman"/>
                <w:noProof/>
                <w:sz w:val="24"/>
                <w:szCs w:val="24"/>
                <w:lang w:val="lv-LV"/>
              </w:rPr>
              <w:t>ietverot</w:t>
            </w:r>
            <w:r w:rsidRPr="004468B2">
              <w:rPr>
                <w:rFonts w:ascii="Times New Roman" w:hAnsi="Times New Roman"/>
                <w:sz w:val="24"/>
                <w:szCs w:val="24"/>
                <w:lang w:val="lv-LV"/>
              </w:rPr>
              <w:t xml:space="preserve"> Eiropas Kopienas apkopojumā par inspicēšanas un informācijas apmaiņas procedūrām (publiski pieejamas Eiropas Zāļu aģentūras tīmekļa vietnē).</w:t>
            </w:r>
          </w:p>
          <w:p w:rsidR="00CE4314" w:rsidRPr="004468B2" w:rsidRDefault="00CE4314" w:rsidP="00BD1AA8">
            <w:pPr>
              <w:pStyle w:val="NoSpacing"/>
              <w:jc w:val="both"/>
              <w:rPr>
                <w:rFonts w:ascii="Times New Roman" w:hAnsi="Times New Roman"/>
                <w:sz w:val="24"/>
                <w:szCs w:val="24"/>
              </w:rPr>
            </w:pPr>
          </w:p>
          <w:p w:rsidR="006319B4"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 xml:space="preserve">2. Saskaņā ar Noteikumu Nr.416 18.punktu un 19.punktu personām, kurām ir atļauja nodarboties ar zāļu vairumtirdzniecību, ir noteikta prasība paziņot Zāļu valsts aģentūrai zāļu realizācijas datus, tajā skaitā par paralēli </w:t>
            </w:r>
            <w:r w:rsidRPr="004468B2">
              <w:rPr>
                <w:rFonts w:ascii="Times New Roman" w:hAnsi="Times New Roman"/>
                <w:sz w:val="24"/>
                <w:szCs w:val="24"/>
              </w:rPr>
              <w:lastRenderedPageBreak/>
              <w:t>importētām un paralēli izplatītām zālēm, par katru mēnesi, kā arī datus par importēto un eksportēto zāļu daudzumu. Savukārt, saskaņā ar 146.4.apakšpuntu Zāļu valsts aģentūra nodrošina zāļu patēriņa analīzi, rezultātu apkopošanu un publiskošanu. Noteikumos Nr.416 nav noteikta zāļu vairumtirdzniecības realizācijas datu izplatīšanas kārtība un apjomi. Ņemot vērā minēto, nepieciešams Noteikumus Nr.416 papildināt ar atsauci uz Farmācijas likuma 5.panta 25.punktu un iekļaut prasības, kas nosaka zāļu vairumtirdzniecības realizācijas datu izplatīšanas kārtību un apjomus. Tāpat nepieciešams precizēt 12.5.2, 12.5.3. un 18.1. apakšpunktā norādītos vairumtirgotāja datus, attiecībā uz zāļu daudzumu. Iepakojumā var būt atšķirīgs zāļu daudzums, tāpēc, sniedzot vairumtirdzniecības datus, ir jānorāda gan iepakojumu skaits, gan skaits (</w:t>
            </w:r>
            <w:r w:rsidR="002C066E" w:rsidRPr="004468B2">
              <w:rPr>
                <w:rFonts w:ascii="Times New Roman" w:hAnsi="Times New Roman"/>
                <w:sz w:val="24"/>
                <w:szCs w:val="24"/>
              </w:rPr>
              <w:t xml:space="preserve">piemēram, lietojot saīsinājumu </w:t>
            </w:r>
            <w:proofErr w:type="spellStart"/>
            <w:r w:rsidRPr="004468B2">
              <w:rPr>
                <w:rFonts w:ascii="Times New Roman" w:hAnsi="Times New Roman"/>
                <w:sz w:val="24"/>
                <w:szCs w:val="24"/>
              </w:rPr>
              <w:t>tab</w:t>
            </w:r>
            <w:r w:rsidR="002C066E" w:rsidRPr="004468B2">
              <w:rPr>
                <w:rFonts w:ascii="Times New Roman" w:hAnsi="Times New Roman"/>
                <w:sz w:val="24"/>
                <w:szCs w:val="24"/>
              </w:rPr>
              <w:t>l</w:t>
            </w:r>
            <w:proofErr w:type="spellEnd"/>
            <w:r w:rsidR="002C066E" w:rsidRPr="004468B2">
              <w:rPr>
                <w:rFonts w:ascii="Times New Roman" w:hAnsi="Times New Roman"/>
                <w:sz w:val="24"/>
                <w:szCs w:val="24"/>
              </w:rPr>
              <w:t xml:space="preserve">. </w:t>
            </w:r>
            <w:proofErr w:type="spellStart"/>
            <w:r w:rsidR="002C066E" w:rsidRPr="004468B2">
              <w:rPr>
                <w:rFonts w:ascii="Times New Roman" w:hAnsi="Times New Roman"/>
                <w:sz w:val="24"/>
                <w:szCs w:val="24"/>
              </w:rPr>
              <w:t>amp</w:t>
            </w:r>
            <w:proofErr w:type="spellEnd"/>
            <w:r w:rsidR="002C066E" w:rsidRPr="004468B2">
              <w:rPr>
                <w:rFonts w:ascii="Times New Roman" w:hAnsi="Times New Roman"/>
                <w:sz w:val="24"/>
                <w:szCs w:val="24"/>
              </w:rPr>
              <w:t>, ml</w:t>
            </w:r>
            <w:r w:rsidRPr="004468B2">
              <w:rPr>
                <w:rFonts w:ascii="Times New Roman" w:hAnsi="Times New Roman"/>
                <w:sz w:val="24"/>
                <w:szCs w:val="24"/>
              </w:rPr>
              <w:t>) iepakojumā, lai novērstu iekļautās normas dažādu interpretējumu.</w:t>
            </w:r>
          </w:p>
          <w:p w:rsidR="00280EDB"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 xml:space="preserve">Grozījumi Farmācijas likumā, kas izdarīti ar 29.11.2012. likumu, paplašina Zāļu valsts aģentūras funkcijas un nosaka tiesības ar 2013.gada 1.jūliju sniegt informāciju par zāļu pieejamības analīzei nepieciešamajiem zāļu (izņemot veterinārās zāles) vairumtirdzniecības realizācijas datiem pēc zāļu starptautiskā nepatentētā nosaukuma, kā arī nosaka deleģējumu Ministru kabinetam noteikt šo datu izplatīšanas kārtību un apjomu. </w:t>
            </w:r>
            <w:r w:rsidR="00280EDB" w:rsidRPr="004468B2">
              <w:rPr>
                <w:rFonts w:ascii="Times New Roman" w:hAnsi="Times New Roman"/>
                <w:sz w:val="24"/>
                <w:szCs w:val="24"/>
              </w:rPr>
              <w:t xml:space="preserve">Minētās normas iekļaušana Noteikumu projektā ir vērsta uz zāļu pieejamības uzlabošanu, jo zāļu vairumtirdzniecības realizācijas dati būs pieejami nolūkā veikt zāļu pieejamības analīzi, prognozēt zāļu tirgus attīstību. Šo datu pieprasītājs var būt jebkura persona (komersants, lai plānotu zāļu pieejamību pacientiem, pētnieks, kurš nodarbojas ar zāļu tirgus izpēti, </w:t>
            </w:r>
            <w:r w:rsidR="002C066E" w:rsidRPr="004468B2">
              <w:rPr>
                <w:rFonts w:ascii="Times New Roman" w:hAnsi="Times New Roman"/>
                <w:sz w:val="24"/>
                <w:szCs w:val="24"/>
              </w:rPr>
              <w:t>tajā skaitā farmācijas students - </w:t>
            </w:r>
            <w:r w:rsidR="00280EDB" w:rsidRPr="004468B2">
              <w:rPr>
                <w:rFonts w:ascii="Times New Roman" w:hAnsi="Times New Roman"/>
                <w:sz w:val="24"/>
                <w:szCs w:val="24"/>
              </w:rPr>
              <w:t>maģistra vai doktora darba izstrādei u.c. personas</w:t>
            </w:r>
            <w:r w:rsidR="00D00EC7" w:rsidRPr="004468B2">
              <w:rPr>
                <w:rFonts w:ascii="Times New Roman" w:hAnsi="Times New Roman"/>
                <w:sz w:val="24"/>
                <w:szCs w:val="24"/>
              </w:rPr>
              <w:t>)</w:t>
            </w:r>
            <w:r w:rsidR="00280EDB" w:rsidRPr="004468B2">
              <w:rPr>
                <w:rFonts w:ascii="Times New Roman" w:hAnsi="Times New Roman"/>
                <w:sz w:val="24"/>
                <w:szCs w:val="24"/>
              </w:rPr>
              <w:t>. Zāļu vairumtirdzniecības realizācijas dati tiks sniegti apkopotā veidā, kas identificē tikai zāļu saņēmēja grupu (aptiekas, zāļu lieltirgotavas), nevis konkrētu komersantu.</w:t>
            </w:r>
          </w:p>
          <w:p w:rsidR="006319B4" w:rsidRPr="004468B2" w:rsidRDefault="006319B4" w:rsidP="00BD1AA8">
            <w:pPr>
              <w:pStyle w:val="NoSpacing"/>
              <w:jc w:val="both"/>
              <w:rPr>
                <w:rFonts w:ascii="Times New Roman" w:hAnsi="Times New Roman"/>
                <w:sz w:val="24"/>
                <w:szCs w:val="24"/>
              </w:rPr>
            </w:pPr>
            <w:r w:rsidRPr="004468B2">
              <w:rPr>
                <w:rFonts w:ascii="Times New Roman" w:hAnsi="Times New Roman"/>
                <w:sz w:val="24"/>
                <w:szCs w:val="24"/>
              </w:rPr>
              <w:t>Ņemot vērā minēto,</w:t>
            </w:r>
            <w:r w:rsidR="001360E6" w:rsidRPr="004468B2">
              <w:rPr>
                <w:rFonts w:ascii="Times New Roman" w:hAnsi="Times New Roman"/>
                <w:sz w:val="24"/>
                <w:szCs w:val="24"/>
              </w:rPr>
              <w:t xml:space="preserve"> nepieciešams</w:t>
            </w:r>
            <w:r w:rsidRPr="004468B2">
              <w:rPr>
                <w:rFonts w:ascii="Times New Roman" w:hAnsi="Times New Roman"/>
                <w:sz w:val="24"/>
                <w:szCs w:val="24"/>
              </w:rPr>
              <w:t xml:space="preserve"> </w:t>
            </w:r>
            <w:r w:rsidR="001360E6" w:rsidRPr="004468B2">
              <w:rPr>
                <w:rFonts w:ascii="Times New Roman" w:hAnsi="Times New Roman"/>
                <w:sz w:val="24"/>
                <w:szCs w:val="24"/>
              </w:rPr>
              <w:t>grozīt MK noteikumu</w:t>
            </w:r>
            <w:r w:rsidRPr="004468B2">
              <w:rPr>
                <w:rFonts w:ascii="Times New Roman" w:hAnsi="Times New Roman"/>
                <w:sz w:val="24"/>
                <w:szCs w:val="24"/>
              </w:rPr>
              <w:t xml:space="preserve"> Nr.416</w:t>
            </w:r>
            <w:r w:rsidR="001360E6" w:rsidRPr="004468B2">
              <w:rPr>
                <w:rFonts w:ascii="Times New Roman" w:hAnsi="Times New Roman"/>
                <w:sz w:val="24"/>
                <w:szCs w:val="24"/>
              </w:rPr>
              <w:t xml:space="preserve"> normas</w:t>
            </w:r>
            <w:r w:rsidRPr="004468B2">
              <w:rPr>
                <w:rFonts w:ascii="Times New Roman" w:hAnsi="Times New Roman"/>
                <w:sz w:val="24"/>
                <w:szCs w:val="24"/>
              </w:rPr>
              <w:t xml:space="preserve">, lai iestrādātu </w:t>
            </w:r>
            <w:r w:rsidR="001360E6" w:rsidRPr="004468B2">
              <w:rPr>
                <w:rFonts w:ascii="Times New Roman" w:hAnsi="Times New Roman"/>
                <w:sz w:val="24"/>
                <w:szCs w:val="24"/>
              </w:rPr>
              <w:t>prasības</w:t>
            </w:r>
            <w:r w:rsidRPr="004468B2">
              <w:rPr>
                <w:rFonts w:ascii="Times New Roman" w:hAnsi="Times New Roman"/>
                <w:sz w:val="24"/>
                <w:szCs w:val="24"/>
              </w:rPr>
              <w:t xml:space="preserve"> attiecībā uz z</w:t>
            </w:r>
            <w:r w:rsidR="001360E6" w:rsidRPr="004468B2">
              <w:rPr>
                <w:rFonts w:ascii="Times New Roman" w:hAnsi="Times New Roman"/>
                <w:sz w:val="24"/>
                <w:szCs w:val="24"/>
              </w:rPr>
              <w:t>āļu realizācijas datu sniegšanu un a</w:t>
            </w:r>
            <w:r w:rsidR="00846485" w:rsidRPr="004468B2">
              <w:rPr>
                <w:rFonts w:ascii="Times New Roman" w:eastAsia="Times New Roman" w:hAnsi="Times New Roman"/>
                <w:sz w:val="24"/>
                <w:szCs w:val="24"/>
                <w:lang w:eastAsia="lv-LV"/>
              </w:rPr>
              <w:t>tbilstoši diskusijām Saeimas Sociālo un darba lietu komisijas 2012.gada 4., 12. un 17.septembra sēdēs, pieņemtais laika mērs statistikas datu analīzei</w:t>
            </w:r>
            <w:r w:rsidR="001360E6" w:rsidRPr="004468B2">
              <w:rPr>
                <w:rFonts w:ascii="Times New Roman" w:hAnsi="Times New Roman"/>
                <w:sz w:val="24"/>
                <w:szCs w:val="24"/>
              </w:rPr>
              <w:t xml:space="preserve"> ir noteikts</w:t>
            </w:r>
            <w:r w:rsidR="00846485" w:rsidRPr="004468B2">
              <w:rPr>
                <w:rFonts w:ascii="Times New Roman" w:eastAsia="Times New Roman" w:hAnsi="Times New Roman"/>
                <w:sz w:val="24"/>
                <w:szCs w:val="24"/>
                <w:lang w:eastAsia="lv-LV"/>
              </w:rPr>
              <w:t xml:space="preserve"> dati ceturkšņa</w:t>
            </w:r>
            <w:r w:rsidR="002B390D" w:rsidRPr="004468B2">
              <w:rPr>
                <w:rFonts w:ascii="Times New Roman" w:eastAsia="Times New Roman" w:hAnsi="Times New Roman"/>
                <w:sz w:val="24"/>
                <w:szCs w:val="24"/>
                <w:lang w:eastAsia="lv-LV"/>
              </w:rPr>
              <w:t xml:space="preserve"> – sadalījumā pa mēnešiem,</w:t>
            </w:r>
            <w:r w:rsidR="00846485" w:rsidRPr="004468B2">
              <w:rPr>
                <w:rFonts w:ascii="Times New Roman" w:eastAsia="Times New Roman" w:hAnsi="Times New Roman"/>
                <w:sz w:val="24"/>
                <w:szCs w:val="24"/>
                <w:lang w:eastAsia="lv-LV"/>
              </w:rPr>
              <w:t xml:space="preserve"> pusgada un gada griezumā, </w:t>
            </w:r>
            <w:r w:rsidR="002B390D" w:rsidRPr="004468B2">
              <w:rPr>
                <w:rFonts w:ascii="Times New Roman" w:eastAsia="Times New Roman" w:hAnsi="Times New Roman"/>
                <w:sz w:val="24"/>
                <w:szCs w:val="24"/>
                <w:lang w:eastAsia="lv-LV"/>
              </w:rPr>
              <w:t xml:space="preserve">kā arī iespēja </w:t>
            </w:r>
            <w:r w:rsidR="002B390D" w:rsidRPr="004468B2">
              <w:rPr>
                <w:rFonts w:ascii="Times New Roman" w:hAnsi="Times New Roman"/>
                <w:sz w:val="24"/>
                <w:szCs w:val="24"/>
              </w:rPr>
              <w:t>zāļu reģistrācijas apliecības īpašniekam saņemt zāļu vairumtirdzniecības realizācijas datus par savām zālēm pēc zāļu starptautiskā nepatentētā nosaukuma, zāļu reģistrācijas numura, saņemot zāļu realizācijas datu individuālu pārskatu,</w:t>
            </w:r>
            <w:r w:rsidR="002B390D" w:rsidRPr="004468B2">
              <w:rPr>
                <w:rFonts w:ascii="Times New Roman" w:eastAsia="Times New Roman" w:hAnsi="Times New Roman"/>
                <w:sz w:val="24"/>
                <w:szCs w:val="24"/>
                <w:lang w:eastAsia="lv-LV"/>
              </w:rPr>
              <w:t xml:space="preserve"> </w:t>
            </w:r>
            <w:r w:rsidR="00846485" w:rsidRPr="004468B2">
              <w:rPr>
                <w:rFonts w:ascii="Times New Roman" w:eastAsia="Times New Roman" w:hAnsi="Times New Roman"/>
                <w:sz w:val="24"/>
                <w:szCs w:val="24"/>
                <w:lang w:eastAsia="lv-LV"/>
              </w:rPr>
              <w:t xml:space="preserve">kam </w:t>
            </w:r>
            <w:r w:rsidR="00846485" w:rsidRPr="004468B2">
              <w:rPr>
                <w:rFonts w:ascii="Times New Roman" w:hAnsi="Times New Roman"/>
                <w:sz w:val="24"/>
                <w:szCs w:val="24"/>
              </w:rPr>
              <w:t xml:space="preserve">šobrīd </w:t>
            </w:r>
            <w:r w:rsidR="002B390D" w:rsidRPr="004468B2">
              <w:rPr>
                <w:rFonts w:ascii="Times New Roman" w:hAnsi="Times New Roman"/>
                <w:sz w:val="24"/>
                <w:szCs w:val="24"/>
              </w:rPr>
              <w:t>tiek</w:t>
            </w:r>
            <w:r w:rsidR="00846485" w:rsidRPr="004468B2">
              <w:rPr>
                <w:rFonts w:ascii="Times New Roman" w:hAnsi="Times New Roman"/>
                <w:sz w:val="24"/>
                <w:szCs w:val="24"/>
              </w:rPr>
              <w:t xml:space="preserve"> pielāgotas Zāļu valsts aģentūras IT sistēmas</w:t>
            </w:r>
            <w:r w:rsidR="00683136" w:rsidRPr="004468B2">
              <w:rPr>
                <w:rFonts w:ascii="Times New Roman" w:hAnsi="Times New Roman"/>
                <w:sz w:val="24"/>
                <w:szCs w:val="24"/>
              </w:rPr>
              <w:t>.</w:t>
            </w:r>
          </w:p>
          <w:p w:rsidR="006319B4" w:rsidRPr="004468B2" w:rsidRDefault="006319B4" w:rsidP="00BD1AA8">
            <w:pPr>
              <w:pStyle w:val="NoSpacing"/>
              <w:jc w:val="both"/>
              <w:rPr>
                <w:rFonts w:ascii="Times New Roman" w:hAnsi="Times New Roman"/>
                <w:sz w:val="24"/>
                <w:szCs w:val="24"/>
              </w:rPr>
            </w:pPr>
          </w:p>
          <w:p w:rsidR="00CB0D9C" w:rsidRPr="004468B2" w:rsidRDefault="00CB0D9C" w:rsidP="00BD1AA8">
            <w:pPr>
              <w:pStyle w:val="NoSpacing"/>
              <w:jc w:val="both"/>
              <w:rPr>
                <w:rFonts w:ascii="Times New Roman" w:hAnsi="Times New Roman"/>
                <w:sz w:val="24"/>
                <w:szCs w:val="24"/>
              </w:rPr>
            </w:pPr>
            <w:r w:rsidRPr="004468B2">
              <w:rPr>
                <w:rStyle w:val="spelle"/>
                <w:rFonts w:ascii="Times New Roman" w:hAnsi="Times New Roman"/>
                <w:sz w:val="24"/>
                <w:szCs w:val="24"/>
              </w:rPr>
              <w:t>3. MK noteikumos Nr.416 ir jāprecizē kā</w:t>
            </w:r>
            <w:r w:rsidR="0077048D" w:rsidRPr="004468B2">
              <w:rPr>
                <w:rStyle w:val="spelle"/>
                <w:rFonts w:ascii="Times New Roman" w:hAnsi="Times New Roman"/>
                <w:sz w:val="24"/>
                <w:szCs w:val="24"/>
              </w:rPr>
              <w:t xml:space="preserve">rtība, paredzot iespēju saņemt kontroles ziņojumu, </w:t>
            </w:r>
            <w:r w:rsidRPr="004468B2">
              <w:rPr>
                <w:rStyle w:val="spelle"/>
                <w:rFonts w:ascii="Times New Roman" w:hAnsi="Times New Roman"/>
                <w:sz w:val="24"/>
                <w:szCs w:val="24"/>
              </w:rPr>
              <w:t xml:space="preserve">elektroniskajā formātā vai citā </w:t>
            </w:r>
            <w:r w:rsidRPr="004468B2">
              <w:rPr>
                <w:rFonts w:ascii="Times New Roman" w:hAnsi="Times New Roman"/>
                <w:sz w:val="24"/>
                <w:szCs w:val="24"/>
              </w:rPr>
              <w:t xml:space="preserve">formā pēc personas izvēles atbilstoši Elektronisko dokumentu likuma 6.panta ceturtajai daļai. </w:t>
            </w:r>
            <w:r w:rsidR="0077048D" w:rsidRPr="004468B2">
              <w:rPr>
                <w:rFonts w:ascii="Times New Roman" w:hAnsi="Times New Roman"/>
                <w:sz w:val="24"/>
                <w:szCs w:val="24"/>
              </w:rPr>
              <w:t xml:space="preserve">Tas pats attiecināms uz zāļu labas izplatīšanas prakses atbildībās sertifikāta un reģistrācijas apliecības personai, kura nodarbojas ar starpniecības </w:t>
            </w:r>
            <w:r w:rsidR="0077048D" w:rsidRPr="004468B2">
              <w:rPr>
                <w:rFonts w:ascii="Times New Roman" w:hAnsi="Times New Roman"/>
                <w:sz w:val="24"/>
                <w:szCs w:val="24"/>
              </w:rPr>
              <w:lastRenderedPageBreak/>
              <w:t xml:space="preserve">darījumiem, saņemšanu. </w:t>
            </w:r>
            <w:r w:rsidRPr="004468B2">
              <w:rPr>
                <w:rStyle w:val="spelle"/>
                <w:rFonts w:ascii="Times New Roman" w:hAnsi="Times New Roman"/>
                <w:sz w:val="24"/>
                <w:szCs w:val="24"/>
              </w:rPr>
              <w:t>Tā kā saskaņā ar Ministru kabineta 2011.gada 3.maija noteikumu Nr.333 13.punktu, kā arī 2013.gada 9.aprīlī Ministru kabinetā apstiprinātā  informatīvā ziņojuma par ”Uzņēmējdarbības vides uzlabošanas pasākumu plāna 2012.gadam uzdevuma izpildi un situācijas izpēti un rekomendācijām atļauju izsniegšanai elektroniskā formā” 3.nodaļā noteikto</w:t>
            </w:r>
            <w:r w:rsidRPr="004468B2">
              <w:rPr>
                <w:rFonts w:ascii="Times New Roman" w:hAnsi="Times New Roman"/>
                <w:sz w:val="24"/>
                <w:szCs w:val="24"/>
              </w:rPr>
              <w:t xml:space="preserve">, jāparedz diferencēta maksa par pakalpojuma sniegšanu atkarībā no pakalpojuma saņemšanas veida (klātienē / elektroniski / papīrā), pakalpojuma sniegšanai izsniedzot  papīra dokumenta formu par </w:t>
            </w:r>
            <w:r w:rsidRPr="004468B2">
              <w:rPr>
                <w:rStyle w:val="spelle"/>
                <w:rFonts w:ascii="Times New Roman" w:hAnsi="Times New Roman"/>
                <w:sz w:val="24"/>
                <w:szCs w:val="24"/>
              </w:rPr>
              <w:t xml:space="preserve">papildus maksu </w:t>
            </w:r>
            <w:r w:rsidRPr="004468B2">
              <w:rPr>
                <w:rFonts w:ascii="Times New Roman" w:hAnsi="Times New Roman"/>
                <w:sz w:val="24"/>
                <w:szCs w:val="24"/>
              </w:rPr>
              <w:t xml:space="preserve">nosakāms pārejas periods saistībā ar attiecīgo </w:t>
            </w:r>
            <w:r w:rsidRPr="004468B2">
              <w:rPr>
                <w:rFonts w:ascii="Times New Roman" w:hAnsi="Times New Roman"/>
                <w:noProof/>
                <w:sz w:val="24"/>
                <w:szCs w:val="24"/>
              </w:rPr>
              <w:t>normu ieviešanu Ministru kabineta 2013.gada 29.janvāra noteikumos Nr.75 ”Zāļu valsts aģentūras maksas pakalpojumu cenrādis” (turpmāk - MK noteikumi Nr.75).</w:t>
            </w:r>
          </w:p>
          <w:p w:rsidR="00CB0D9C" w:rsidRPr="004468B2" w:rsidRDefault="00CB0D9C" w:rsidP="00BD1AA8">
            <w:pPr>
              <w:pStyle w:val="NoSpacing"/>
              <w:jc w:val="both"/>
              <w:rPr>
                <w:rFonts w:ascii="Times New Roman" w:hAnsi="Times New Roman"/>
                <w:sz w:val="24"/>
                <w:szCs w:val="24"/>
              </w:rPr>
            </w:pPr>
            <w:r w:rsidRPr="004468B2">
              <w:rPr>
                <w:rFonts w:ascii="Times New Roman" w:hAnsi="Times New Roman"/>
                <w:sz w:val="24"/>
                <w:szCs w:val="24"/>
              </w:rPr>
              <w:t>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8.punkts  nosaka, ka elektroniskā dokumenta parakstīšanas laiks ir laika zīmoga pievienošanas datums un laiks, sagatavojot elektroniska dokumenta kopiju, bet papīra dokumenta formā, t.i. izdrukājot to, uz dokumenta nebūs redzams viens no rekvizītiem ”datums”. Līdz ar to MK noteikumu 1., 2., 3., 4., 5., 6., 7., 10., 11., 12. un 13.pielikumā ir nepieciešams ietvert prasību aizpildīt rekvizītu ”datums” (elektroniska dokumenta kopijai papīra dokumenta formā), nosakot, ka elektroniska dokumenta kopijai papīra formā neaizpilda tika</w:t>
            </w:r>
            <w:r w:rsidR="00BB546C" w:rsidRPr="004468B2">
              <w:rPr>
                <w:rFonts w:ascii="Times New Roman" w:hAnsi="Times New Roman"/>
                <w:sz w:val="24"/>
                <w:szCs w:val="24"/>
              </w:rPr>
              <w:t>i dokumenta rekvizītu paraksts.</w:t>
            </w:r>
          </w:p>
          <w:p w:rsidR="00CB0D9C" w:rsidRPr="004468B2" w:rsidRDefault="00CB0D9C" w:rsidP="00BD1AA8">
            <w:pPr>
              <w:pStyle w:val="NoSpacing"/>
              <w:jc w:val="both"/>
              <w:rPr>
                <w:rFonts w:ascii="Times New Roman" w:hAnsi="Times New Roman"/>
                <w:sz w:val="24"/>
                <w:szCs w:val="24"/>
              </w:rPr>
            </w:pPr>
          </w:p>
          <w:p w:rsidR="002802FA" w:rsidRPr="004468B2" w:rsidRDefault="00CB0D9C" w:rsidP="00BD1AA8">
            <w:pPr>
              <w:pStyle w:val="NoSpacing"/>
              <w:jc w:val="both"/>
              <w:rPr>
                <w:rFonts w:ascii="Times New Roman" w:hAnsi="Times New Roman"/>
                <w:bCs/>
                <w:sz w:val="24"/>
                <w:szCs w:val="24"/>
              </w:rPr>
            </w:pPr>
            <w:r w:rsidRPr="004468B2">
              <w:rPr>
                <w:rFonts w:ascii="Times New Roman" w:hAnsi="Times New Roman"/>
                <w:sz w:val="24"/>
                <w:szCs w:val="24"/>
              </w:rPr>
              <w:t>4</w:t>
            </w:r>
            <w:r w:rsidR="002802FA" w:rsidRPr="004468B2">
              <w:rPr>
                <w:rFonts w:ascii="Times New Roman" w:hAnsi="Times New Roman"/>
                <w:sz w:val="24"/>
                <w:szCs w:val="24"/>
              </w:rPr>
              <w:t xml:space="preserve">. MK noteikumi Nr.416 ir redakcionāli jāprecizē atbilstoši Ministru kabineta 2009.gada 3.februāra noteikumu Nr.108 ”Normatīvo aktu projektu sagatavošanas noteikumi” </w:t>
            </w:r>
            <w:r w:rsidR="00BB546C" w:rsidRPr="004468B2">
              <w:rPr>
                <w:rFonts w:ascii="Times New Roman" w:hAnsi="Times New Roman"/>
                <w:bCs/>
                <w:sz w:val="24"/>
                <w:szCs w:val="24"/>
              </w:rPr>
              <w:t>(turpmāk -</w:t>
            </w:r>
            <w:r w:rsidR="002802FA" w:rsidRPr="004468B2">
              <w:rPr>
                <w:rFonts w:ascii="Times New Roman" w:hAnsi="Times New Roman"/>
                <w:bCs/>
                <w:sz w:val="24"/>
                <w:szCs w:val="24"/>
              </w:rPr>
              <w:t xml:space="preserve"> MK noteikumi Nr.108) </w:t>
            </w:r>
            <w:r w:rsidR="009D6303" w:rsidRPr="004468B2">
              <w:rPr>
                <w:rFonts w:ascii="Times New Roman" w:hAnsi="Times New Roman"/>
                <w:bCs/>
                <w:sz w:val="24"/>
                <w:szCs w:val="24"/>
              </w:rPr>
              <w:t xml:space="preserve">2.2. un </w:t>
            </w:r>
            <w:r w:rsidR="002802FA" w:rsidRPr="004468B2">
              <w:rPr>
                <w:rFonts w:ascii="Times New Roman" w:hAnsi="Times New Roman"/>
                <w:bCs/>
                <w:sz w:val="24"/>
                <w:szCs w:val="24"/>
              </w:rPr>
              <w:t xml:space="preserve">2.3.apakšpunktam, lai nodrošinātu atbilstību Farmācijas likumā iekļautajiem terminiem un Valsts Valodu centra Farmācijas terminoloģijas saskaņošanas darba grupas izstrādātajiem Farmācijas terminiem. </w:t>
            </w:r>
            <w:r w:rsidR="002802FA" w:rsidRPr="004468B2">
              <w:rPr>
                <w:rFonts w:ascii="Times New Roman" w:hAnsi="Times New Roman"/>
                <w:sz w:val="24"/>
                <w:szCs w:val="24"/>
              </w:rPr>
              <w:t>MK noteikumos Nr.416 ir iekļauts termins:</w:t>
            </w:r>
          </w:p>
          <w:p w:rsidR="002802FA" w:rsidRPr="004468B2" w:rsidRDefault="002802FA" w:rsidP="00BD1AA8">
            <w:pPr>
              <w:pStyle w:val="NoSpacing"/>
              <w:jc w:val="both"/>
              <w:rPr>
                <w:rFonts w:ascii="Times New Roman" w:hAnsi="Times New Roman"/>
                <w:bCs/>
                <w:sz w:val="24"/>
                <w:szCs w:val="24"/>
              </w:rPr>
            </w:pPr>
            <w:r w:rsidRPr="004468B2">
              <w:rPr>
                <w:rFonts w:ascii="Times New Roman" w:hAnsi="Times New Roman"/>
                <w:sz w:val="24"/>
                <w:szCs w:val="24"/>
              </w:rPr>
              <w:t>3.1. ”zāļu blakusparādību uzraudzība” un ”</w:t>
            </w:r>
            <w:proofErr w:type="spellStart"/>
            <w:r w:rsidRPr="004468B2">
              <w:rPr>
                <w:rFonts w:ascii="Times New Roman" w:hAnsi="Times New Roman"/>
                <w:sz w:val="24"/>
                <w:szCs w:val="24"/>
              </w:rPr>
              <w:t>farmakovigilance</w:t>
            </w:r>
            <w:proofErr w:type="spellEnd"/>
            <w:r w:rsidRPr="004468B2">
              <w:rPr>
                <w:rFonts w:ascii="Times New Roman" w:hAnsi="Times New Roman"/>
                <w:sz w:val="24"/>
                <w:szCs w:val="24"/>
              </w:rPr>
              <w:t xml:space="preserve">” ar vienu un to pašu nozīmi, </w:t>
            </w:r>
            <w:r w:rsidRPr="004468B2">
              <w:rPr>
                <w:rFonts w:ascii="Times New Roman" w:hAnsi="Times New Roman"/>
                <w:bCs/>
                <w:sz w:val="24"/>
                <w:szCs w:val="24"/>
              </w:rPr>
              <w:t xml:space="preserve">un nav atbilstība </w:t>
            </w:r>
            <w:r w:rsidRPr="004468B2">
              <w:rPr>
                <w:rFonts w:ascii="Times New Roman" w:hAnsi="Times New Roman"/>
                <w:sz w:val="24"/>
                <w:szCs w:val="24"/>
              </w:rPr>
              <w:t>Direktīvas Nr.2010/84/ES terminoloģijai. Jāievieš termins ”</w:t>
            </w:r>
            <w:proofErr w:type="spellStart"/>
            <w:r w:rsidRPr="004468B2">
              <w:rPr>
                <w:rFonts w:ascii="Times New Roman" w:hAnsi="Times New Roman"/>
                <w:sz w:val="24"/>
                <w:szCs w:val="24"/>
              </w:rPr>
              <w:t>farmakovigilance</w:t>
            </w:r>
            <w:proofErr w:type="spellEnd"/>
            <w:r w:rsidRPr="004468B2">
              <w:rPr>
                <w:rFonts w:ascii="Times New Roman" w:hAnsi="Times New Roman"/>
                <w:sz w:val="24"/>
                <w:szCs w:val="24"/>
              </w:rPr>
              <w:t>” (zāļu lietošanas drošuma uzraudzība).</w:t>
            </w:r>
          </w:p>
          <w:p w:rsidR="002802FA" w:rsidRPr="004468B2" w:rsidRDefault="0004227C" w:rsidP="00BD1AA8">
            <w:pPr>
              <w:pStyle w:val="NoSpacing"/>
              <w:jc w:val="both"/>
              <w:rPr>
                <w:rFonts w:ascii="Times New Roman" w:hAnsi="Times New Roman"/>
                <w:sz w:val="24"/>
                <w:szCs w:val="24"/>
              </w:rPr>
            </w:pPr>
            <w:r w:rsidRPr="004468B2">
              <w:rPr>
                <w:rFonts w:ascii="Times New Roman" w:hAnsi="Times New Roman"/>
                <w:sz w:val="24"/>
                <w:szCs w:val="24"/>
              </w:rPr>
              <w:t>3.2. ”zāļu drošība” un ”zāļu drošums” ar vienu un to pašu nozīmi, Farmācijas likumā ir iekļauts termins “zāļu drošums”.</w:t>
            </w:r>
          </w:p>
          <w:p w:rsidR="00C72B44" w:rsidRPr="004468B2" w:rsidRDefault="0004227C" w:rsidP="00BD1AA8">
            <w:pPr>
              <w:pStyle w:val="NoSpacing"/>
              <w:jc w:val="both"/>
              <w:rPr>
                <w:rFonts w:ascii="Times New Roman" w:hAnsi="Times New Roman"/>
                <w:iCs/>
                <w:sz w:val="24"/>
                <w:szCs w:val="24"/>
              </w:rPr>
            </w:pPr>
            <w:r w:rsidRPr="004468B2">
              <w:rPr>
                <w:rFonts w:ascii="Times New Roman" w:hAnsi="Times New Roman"/>
                <w:iCs/>
                <w:sz w:val="24"/>
                <w:szCs w:val="24"/>
              </w:rPr>
              <w:t>3.3. ”veterinārmedicīniskās aprūpes komersanti”, savukārt Farmācij</w:t>
            </w:r>
            <w:r w:rsidR="00BB546C" w:rsidRPr="004468B2">
              <w:rPr>
                <w:rFonts w:ascii="Times New Roman" w:hAnsi="Times New Roman"/>
                <w:iCs/>
                <w:sz w:val="24"/>
                <w:szCs w:val="24"/>
              </w:rPr>
              <w:t>as likumā tiek lietots termins ”</w:t>
            </w:r>
            <w:r w:rsidRPr="004468B2">
              <w:rPr>
                <w:rFonts w:ascii="Times New Roman" w:hAnsi="Times New Roman"/>
                <w:iCs/>
                <w:sz w:val="24"/>
                <w:szCs w:val="24"/>
              </w:rPr>
              <w:t>veterinārmedicīniskās aprūpes iestāde”.</w:t>
            </w:r>
          </w:p>
          <w:p w:rsidR="00086975" w:rsidRPr="004468B2" w:rsidRDefault="002802FA" w:rsidP="00BD1AA8">
            <w:pPr>
              <w:pStyle w:val="NoSpacing"/>
              <w:jc w:val="both"/>
              <w:rPr>
                <w:rFonts w:ascii="Times New Roman" w:hAnsi="Times New Roman"/>
                <w:sz w:val="24"/>
                <w:szCs w:val="24"/>
              </w:rPr>
            </w:pPr>
            <w:r w:rsidRPr="004468B2">
              <w:rPr>
                <w:rFonts w:ascii="Times New Roman" w:hAnsi="Times New Roman"/>
                <w:sz w:val="24"/>
                <w:szCs w:val="24"/>
              </w:rPr>
              <w:t>Līdz ar to rodas satura neskaidrība un terminoloģijas konsekvence nav ievērota, tāpēc MK noteikumos Nr.416 terminoloģija ir jāsaskaņo</w:t>
            </w:r>
            <w:r w:rsidRPr="004468B2">
              <w:rPr>
                <w:rFonts w:ascii="Times New Roman" w:hAnsi="Times New Roman"/>
                <w:bCs/>
                <w:sz w:val="24"/>
                <w:szCs w:val="24"/>
              </w:rPr>
              <w:t xml:space="preserve"> ar Farmācijas likuma un </w:t>
            </w:r>
            <w:r w:rsidRPr="004468B2">
              <w:rPr>
                <w:rFonts w:ascii="Times New Roman" w:hAnsi="Times New Roman"/>
                <w:sz w:val="24"/>
                <w:szCs w:val="24"/>
              </w:rPr>
              <w:t xml:space="preserve">Eiropas Parlamenta un Padomes 2010.gada 15.decembra Direktīvas Nr.2010/84/ES, ar kuru attiecībā uz </w:t>
            </w:r>
            <w:proofErr w:type="spellStart"/>
            <w:r w:rsidRPr="004468B2">
              <w:rPr>
                <w:rFonts w:ascii="Times New Roman" w:hAnsi="Times New Roman"/>
                <w:sz w:val="24"/>
                <w:szCs w:val="24"/>
              </w:rPr>
              <w:t>farmakovigilanci</w:t>
            </w:r>
            <w:proofErr w:type="spellEnd"/>
            <w:r w:rsidRPr="004468B2">
              <w:rPr>
                <w:rFonts w:ascii="Times New Roman" w:hAnsi="Times New Roman"/>
                <w:sz w:val="24"/>
                <w:szCs w:val="24"/>
              </w:rPr>
              <w:t xml:space="preserve"> groza Direktīvu 2001/83/EK par Kopienas kodeksu, kas attiecas uz cilvēkiem paredzētām zālēm, terminoloģiju.</w:t>
            </w:r>
          </w:p>
        </w:tc>
      </w:tr>
      <w:tr w:rsidR="004134D0" w:rsidRPr="004468B2" w:rsidTr="008B675E">
        <w:trPr>
          <w:gridBefore w:val="1"/>
          <w:gridAfter w:val="3"/>
          <w:wBefore w:w="34" w:type="dxa"/>
          <w:wAfter w:w="2535" w:type="dxa"/>
          <w:trHeight w:val="634"/>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lastRenderedPageBreak/>
              <w:t>3.</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Saistītie politikas ietekmes novērtējumi un pētījumi</w:t>
            </w:r>
          </w:p>
        </w:tc>
        <w:tc>
          <w:tcPr>
            <w:tcW w:w="7517" w:type="dxa"/>
            <w:gridSpan w:val="8"/>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FootnoteText"/>
              <w:rPr>
                <w:color w:val="auto"/>
                <w:sz w:val="24"/>
                <w:szCs w:val="24"/>
              </w:rPr>
            </w:pPr>
            <w:r w:rsidRPr="004468B2">
              <w:rPr>
                <w:color w:val="auto"/>
                <w:sz w:val="24"/>
                <w:szCs w:val="24"/>
              </w:rPr>
              <w:t>Projek</w:t>
            </w:r>
            <w:r w:rsidR="0088225D" w:rsidRPr="004468B2">
              <w:rPr>
                <w:color w:val="auto"/>
                <w:sz w:val="24"/>
                <w:szCs w:val="24"/>
              </w:rPr>
              <w:t>ts šo jomu neskar</w:t>
            </w:r>
            <w:r w:rsidR="00DA1D5F" w:rsidRPr="004468B2">
              <w:rPr>
                <w:color w:val="auto"/>
                <w:sz w:val="24"/>
                <w:szCs w:val="24"/>
              </w:rPr>
              <w:t>.</w:t>
            </w:r>
          </w:p>
        </w:tc>
      </w:tr>
      <w:tr w:rsidR="004134D0" w:rsidRPr="004468B2" w:rsidTr="00B60698">
        <w:trPr>
          <w:gridBefore w:val="1"/>
          <w:gridAfter w:val="3"/>
          <w:wBefore w:w="34" w:type="dxa"/>
          <w:wAfter w:w="2535" w:type="dxa"/>
          <w:trHeight w:val="1124"/>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4.</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Tiesiskā regulējuma mērķis un būtība</w:t>
            </w:r>
          </w:p>
        </w:tc>
        <w:tc>
          <w:tcPr>
            <w:tcW w:w="7517" w:type="dxa"/>
            <w:gridSpan w:val="8"/>
            <w:tcBorders>
              <w:top w:val="single" w:sz="4" w:space="0" w:color="auto"/>
              <w:left w:val="single" w:sz="4" w:space="0" w:color="auto"/>
              <w:bottom w:val="single" w:sz="4" w:space="0" w:color="auto"/>
              <w:right w:val="single" w:sz="4" w:space="0" w:color="auto"/>
            </w:tcBorders>
          </w:tcPr>
          <w:p w:rsidR="004A0F32" w:rsidRPr="004468B2" w:rsidRDefault="001D10C6" w:rsidP="004A0F32">
            <w:pPr>
              <w:pStyle w:val="naisf"/>
              <w:spacing w:before="0" w:beforeAutospacing="0" w:after="0" w:afterAutospacing="0"/>
              <w:jc w:val="both"/>
              <w:rPr>
                <w:lang w:val="lv-LV"/>
              </w:rPr>
            </w:pPr>
            <w:r w:rsidRPr="004468B2">
              <w:rPr>
                <w:lang w:val="lv-LV"/>
              </w:rPr>
              <w:t>1. </w:t>
            </w:r>
            <w:r w:rsidR="004A0F32" w:rsidRPr="004468B2">
              <w:rPr>
                <w:lang w:val="lv-LV"/>
              </w:rPr>
              <w:t>Noteikumu projekta tiesiskā regulējuma mērķis ir ieviest Direktīvas Nr.2011/62/ES</w:t>
            </w:r>
            <w:r w:rsidR="00315D16" w:rsidRPr="004468B2">
              <w:rPr>
                <w:lang w:val="lv-LV"/>
              </w:rPr>
              <w:t>, Nr.2010/84/ES</w:t>
            </w:r>
            <w:r w:rsidR="004A0F32" w:rsidRPr="004468B2">
              <w:rPr>
                <w:lang w:val="lv-LV"/>
              </w:rPr>
              <w:t xml:space="preserve"> </w:t>
            </w:r>
            <w:r w:rsidR="00315D16" w:rsidRPr="004468B2">
              <w:rPr>
                <w:lang w:val="lv-LV"/>
              </w:rPr>
              <w:t xml:space="preserve">un Direktīvas Nr.2012/26/ES </w:t>
            </w:r>
            <w:r w:rsidR="004A0F32" w:rsidRPr="004468B2">
              <w:rPr>
                <w:lang w:val="lv-LV"/>
              </w:rPr>
              <w:t xml:space="preserve">prasības attiecībā uz </w:t>
            </w:r>
            <w:r w:rsidR="002858DF" w:rsidRPr="004468B2">
              <w:rPr>
                <w:lang w:val="lv-LV"/>
              </w:rPr>
              <w:t>zāļu</w:t>
            </w:r>
            <w:r w:rsidR="004A0F32" w:rsidRPr="004468B2">
              <w:rPr>
                <w:lang w:val="lv-LV"/>
              </w:rPr>
              <w:t xml:space="preserve"> izplatīšanu, </w:t>
            </w:r>
            <w:r w:rsidR="002858DF" w:rsidRPr="004468B2">
              <w:rPr>
                <w:lang w:val="lv-LV"/>
              </w:rPr>
              <w:t>tajā skaitā starpniecības darījumiem ar zālēm.</w:t>
            </w:r>
          </w:p>
          <w:p w:rsidR="004A0F32" w:rsidRPr="004468B2" w:rsidRDefault="004A0F32" w:rsidP="004A0F32">
            <w:pPr>
              <w:pStyle w:val="naisf"/>
              <w:spacing w:before="0" w:beforeAutospacing="0" w:after="0" w:afterAutospacing="0"/>
              <w:jc w:val="both"/>
              <w:rPr>
                <w:lang w:val="lv-LV"/>
              </w:rPr>
            </w:pPr>
            <w:r w:rsidRPr="004468B2">
              <w:rPr>
                <w:lang w:val="lv-LV"/>
              </w:rPr>
              <w:t>Noteikumu projekts paredz:</w:t>
            </w:r>
          </w:p>
          <w:p w:rsidR="002858DF" w:rsidRPr="004468B2" w:rsidRDefault="001D10C6" w:rsidP="002858DF">
            <w:pPr>
              <w:jc w:val="both"/>
              <w:rPr>
                <w:lang w:val="lv-LV"/>
              </w:rPr>
            </w:pPr>
            <w:r w:rsidRPr="004468B2">
              <w:rPr>
                <w:lang w:val="lv-LV"/>
              </w:rPr>
              <w:t>1)</w:t>
            </w:r>
            <w:r w:rsidR="004A0F32" w:rsidRPr="004468B2">
              <w:rPr>
                <w:lang w:val="lv-LV"/>
              </w:rPr>
              <w:t> </w:t>
            </w:r>
            <w:r w:rsidR="002858DF" w:rsidRPr="004468B2">
              <w:rPr>
                <w:lang w:val="lv-LV"/>
              </w:rPr>
              <w:t>Svītrot MK noteikumu N</w:t>
            </w:r>
            <w:r w:rsidR="00C9571C" w:rsidRPr="004468B2">
              <w:rPr>
                <w:lang w:val="lv-LV"/>
              </w:rPr>
              <w:t>r</w:t>
            </w:r>
            <w:r w:rsidR="002858DF" w:rsidRPr="004468B2">
              <w:rPr>
                <w:lang w:val="lv-LV"/>
              </w:rPr>
              <w:t>.416 5.7.apakšpunkts, ņemot vērā juridisko tehniku atbilstoši MK no</w:t>
            </w:r>
            <w:r w:rsidR="001C4205" w:rsidRPr="004468B2">
              <w:rPr>
                <w:lang w:val="lv-LV"/>
              </w:rPr>
              <w:t>teikumu Nr.</w:t>
            </w:r>
            <w:r w:rsidR="002858DF" w:rsidRPr="004468B2">
              <w:rPr>
                <w:lang w:val="lv-LV"/>
              </w:rPr>
              <w:t xml:space="preserve">108 </w:t>
            </w:r>
            <w:r w:rsidR="002858DF" w:rsidRPr="004468B2">
              <w:rPr>
                <w:bCs/>
                <w:lang w:val="lv-LV"/>
              </w:rPr>
              <w:t xml:space="preserve">3.2.apakšpunktam </w:t>
            </w:r>
            <w:r w:rsidR="003B1D2F" w:rsidRPr="004468B2">
              <w:rPr>
                <w:lang w:val="lv-LV"/>
              </w:rPr>
              <w:t>(Noteikumu projekta 1.</w:t>
            </w:r>
            <w:r w:rsidR="00C72B44" w:rsidRPr="004468B2">
              <w:rPr>
                <w:lang w:val="lv-LV"/>
              </w:rPr>
              <w:t>4</w:t>
            </w:r>
            <w:r w:rsidR="00A559B1" w:rsidRPr="004468B2">
              <w:rPr>
                <w:lang w:val="lv-LV"/>
              </w:rPr>
              <w:t>.apakš</w:t>
            </w:r>
            <w:r w:rsidR="002858DF" w:rsidRPr="004468B2">
              <w:rPr>
                <w:lang w:val="lv-LV"/>
              </w:rPr>
              <w:t>punkts).</w:t>
            </w:r>
          </w:p>
          <w:p w:rsidR="00614771" w:rsidRPr="004468B2" w:rsidRDefault="00614771" w:rsidP="00070972">
            <w:pPr>
              <w:jc w:val="both"/>
              <w:rPr>
                <w:lang w:val="lv-LV"/>
              </w:rPr>
            </w:pPr>
          </w:p>
          <w:p w:rsidR="004A0F32" w:rsidRPr="004468B2" w:rsidRDefault="004A0F32" w:rsidP="00070972">
            <w:pPr>
              <w:jc w:val="both"/>
              <w:rPr>
                <w:lang w:val="lv-LV"/>
              </w:rPr>
            </w:pPr>
            <w:r w:rsidRPr="004468B2">
              <w:rPr>
                <w:lang w:val="lv-LV"/>
              </w:rPr>
              <w:t>2</w:t>
            </w:r>
            <w:r w:rsidR="001D10C6" w:rsidRPr="004468B2">
              <w:rPr>
                <w:lang w:val="lv-LV"/>
              </w:rPr>
              <w:t>)</w:t>
            </w:r>
            <w:r w:rsidRPr="004468B2">
              <w:rPr>
                <w:lang w:val="lv-LV"/>
              </w:rPr>
              <w:t> </w:t>
            </w:r>
            <w:r w:rsidR="00A559B1" w:rsidRPr="004468B2">
              <w:rPr>
                <w:lang w:val="lv-LV"/>
              </w:rPr>
              <w:t>Precizēt</w:t>
            </w:r>
            <w:r w:rsidR="00070972" w:rsidRPr="004468B2">
              <w:rPr>
                <w:lang w:val="lv-LV"/>
              </w:rPr>
              <w:t xml:space="preserve"> </w:t>
            </w:r>
            <w:r w:rsidR="00A559B1" w:rsidRPr="004468B2">
              <w:rPr>
                <w:lang w:val="lv-LV"/>
              </w:rPr>
              <w:t xml:space="preserve">zāļu vairumtirdzniecības prasības un noteikt prasības </w:t>
            </w:r>
            <w:r w:rsidR="003B1D2F" w:rsidRPr="004468B2">
              <w:rPr>
                <w:lang w:val="lv-LV"/>
              </w:rPr>
              <w:t>starpniecības darījumiem ar zālēm</w:t>
            </w:r>
            <w:r w:rsidR="00910080" w:rsidRPr="004468B2">
              <w:rPr>
                <w:lang w:val="lv-LV"/>
              </w:rPr>
              <w:t xml:space="preserve"> atbilstoši Direktīvas</w:t>
            </w:r>
            <w:r w:rsidR="00C13675" w:rsidRPr="004468B2">
              <w:rPr>
                <w:lang w:val="lv-LV"/>
              </w:rPr>
              <w:t xml:space="preserve"> 2011/62/ES 1.panta 17.punta b)</w:t>
            </w:r>
            <w:r w:rsidR="00910080" w:rsidRPr="004468B2">
              <w:rPr>
                <w:lang w:val="lv-LV"/>
              </w:rPr>
              <w:t xml:space="preserve">apakšpunktam, 19.punktam </w:t>
            </w:r>
            <w:r w:rsidR="007021F3" w:rsidRPr="004468B2">
              <w:rPr>
                <w:lang w:val="lv-LV"/>
              </w:rPr>
              <w:t>starpniecības darījumos ar zālēm (</w:t>
            </w:r>
            <w:r w:rsidR="005618FE" w:rsidRPr="004468B2">
              <w:rPr>
                <w:lang w:val="lv-LV"/>
              </w:rPr>
              <w:t xml:space="preserve">Noteikumu projekta </w:t>
            </w:r>
            <w:r w:rsidR="00333595" w:rsidRPr="004468B2">
              <w:rPr>
                <w:lang w:val="lv-LV"/>
              </w:rPr>
              <w:t>1.</w:t>
            </w:r>
            <w:r w:rsidR="00C72B44" w:rsidRPr="004468B2">
              <w:rPr>
                <w:lang w:val="lv-LV"/>
              </w:rPr>
              <w:t>5</w:t>
            </w:r>
            <w:r w:rsidR="005618FE" w:rsidRPr="004468B2">
              <w:rPr>
                <w:lang w:val="lv-LV"/>
              </w:rPr>
              <w:t xml:space="preserve">., </w:t>
            </w:r>
            <w:r w:rsidR="00C72B44" w:rsidRPr="004468B2">
              <w:rPr>
                <w:lang w:val="lv-LV"/>
              </w:rPr>
              <w:t>1.7</w:t>
            </w:r>
            <w:r w:rsidR="00333595" w:rsidRPr="004468B2">
              <w:rPr>
                <w:lang w:val="lv-LV"/>
              </w:rPr>
              <w:t xml:space="preserve">., </w:t>
            </w:r>
            <w:r w:rsidR="00C72B44" w:rsidRPr="004468B2">
              <w:rPr>
                <w:lang w:val="lv-LV"/>
              </w:rPr>
              <w:t>1.8., 1.9</w:t>
            </w:r>
            <w:r w:rsidR="00333595" w:rsidRPr="004468B2">
              <w:rPr>
                <w:lang w:val="lv-LV"/>
              </w:rPr>
              <w:t>.</w:t>
            </w:r>
            <w:r w:rsidR="0080092A" w:rsidRPr="004468B2">
              <w:rPr>
                <w:lang w:val="lv-LV"/>
              </w:rPr>
              <w:t xml:space="preserve">, </w:t>
            </w:r>
            <w:r w:rsidR="00C72B44" w:rsidRPr="004468B2">
              <w:rPr>
                <w:lang w:val="lv-LV"/>
              </w:rPr>
              <w:t xml:space="preserve">1.11., </w:t>
            </w:r>
            <w:r w:rsidR="00DE456B" w:rsidRPr="004468B2">
              <w:rPr>
                <w:lang w:val="lv-LV"/>
              </w:rPr>
              <w:t>1.16., 1.20</w:t>
            </w:r>
            <w:r w:rsidR="00C72B44" w:rsidRPr="004468B2">
              <w:rPr>
                <w:lang w:val="lv-LV"/>
              </w:rPr>
              <w:t>.</w:t>
            </w:r>
            <w:r w:rsidR="00DE456B" w:rsidRPr="004468B2">
              <w:rPr>
                <w:lang w:val="lv-LV"/>
              </w:rPr>
              <w:t>, 1.50</w:t>
            </w:r>
            <w:r w:rsidR="0027718C" w:rsidRPr="004468B2">
              <w:rPr>
                <w:lang w:val="lv-LV"/>
              </w:rPr>
              <w:t>.</w:t>
            </w:r>
            <w:r w:rsidR="00DE456B" w:rsidRPr="004468B2">
              <w:rPr>
                <w:lang w:val="lv-LV"/>
              </w:rPr>
              <w:t xml:space="preserve"> un 1.51</w:t>
            </w:r>
            <w:r w:rsidR="00333595" w:rsidRPr="004468B2">
              <w:rPr>
                <w:lang w:val="lv-LV"/>
              </w:rPr>
              <w:t>.</w:t>
            </w:r>
            <w:r w:rsidR="0037090F" w:rsidRPr="004468B2">
              <w:rPr>
                <w:lang w:val="lv-LV"/>
              </w:rPr>
              <w:t>apakš</w:t>
            </w:r>
            <w:r w:rsidR="00953C2C" w:rsidRPr="004468B2">
              <w:rPr>
                <w:lang w:val="lv-LV"/>
              </w:rPr>
              <w:t>punkts), un šajā saistībā tehniski precizēt MK noteikumu</w:t>
            </w:r>
            <w:r w:rsidR="00A34AF7" w:rsidRPr="004468B2">
              <w:rPr>
                <w:lang w:val="lv-LV"/>
              </w:rPr>
              <w:t>s</w:t>
            </w:r>
            <w:r w:rsidR="00C21B56" w:rsidRPr="004468B2">
              <w:rPr>
                <w:lang w:val="lv-LV"/>
              </w:rPr>
              <w:t xml:space="preserve"> (N</w:t>
            </w:r>
            <w:r w:rsidR="00953C2C" w:rsidRPr="004468B2">
              <w:rPr>
                <w:lang w:val="lv-LV"/>
              </w:rPr>
              <w:t xml:space="preserve">oteikumu projekta </w:t>
            </w:r>
            <w:r w:rsidR="00333595" w:rsidRPr="004468B2">
              <w:rPr>
                <w:lang w:val="lv-LV"/>
              </w:rPr>
              <w:t>1.</w:t>
            </w:r>
            <w:r w:rsidR="00C72B44" w:rsidRPr="004468B2">
              <w:rPr>
                <w:lang w:val="lv-LV"/>
              </w:rPr>
              <w:t>10</w:t>
            </w:r>
            <w:r w:rsidR="00953C2C" w:rsidRPr="004468B2">
              <w:rPr>
                <w:lang w:val="lv-LV"/>
              </w:rPr>
              <w:t xml:space="preserve">., </w:t>
            </w:r>
            <w:r w:rsidR="00087FA1" w:rsidRPr="004468B2">
              <w:rPr>
                <w:lang w:val="lv-LV"/>
              </w:rPr>
              <w:t>1.1</w:t>
            </w:r>
            <w:r w:rsidR="00DE456B" w:rsidRPr="004468B2">
              <w:rPr>
                <w:lang w:val="lv-LV"/>
              </w:rPr>
              <w:t>4., 1.25</w:t>
            </w:r>
            <w:r w:rsidR="00087FA1" w:rsidRPr="004468B2">
              <w:rPr>
                <w:lang w:val="lv-LV"/>
              </w:rPr>
              <w:t xml:space="preserve">. </w:t>
            </w:r>
            <w:r w:rsidR="00DE456B" w:rsidRPr="004468B2">
              <w:rPr>
                <w:lang w:val="lv-LV"/>
              </w:rPr>
              <w:t>un 1.26</w:t>
            </w:r>
            <w:r w:rsidR="00333595" w:rsidRPr="004468B2">
              <w:rPr>
                <w:lang w:val="lv-LV"/>
              </w:rPr>
              <w:t>.</w:t>
            </w:r>
            <w:r w:rsidR="0022215C" w:rsidRPr="004468B2">
              <w:rPr>
                <w:lang w:val="lv-LV"/>
              </w:rPr>
              <w:t>apakš</w:t>
            </w:r>
            <w:r w:rsidR="00953C2C" w:rsidRPr="004468B2">
              <w:rPr>
                <w:lang w:val="lv-LV"/>
              </w:rPr>
              <w:t>punkts).</w:t>
            </w:r>
            <w:r w:rsidR="00C21B56" w:rsidRPr="004468B2">
              <w:rPr>
                <w:lang w:val="lv-LV"/>
              </w:rPr>
              <w:t xml:space="preserve"> MK noteikumu Nr.416 11</w:t>
            </w:r>
            <w:r w:rsidR="00DE456B" w:rsidRPr="004468B2">
              <w:rPr>
                <w:lang w:val="lv-LV"/>
              </w:rPr>
              <w:t>.</w:t>
            </w:r>
            <w:r w:rsidR="00C21B56" w:rsidRPr="004468B2">
              <w:rPr>
                <w:vertAlign w:val="superscript"/>
                <w:lang w:val="lv-LV"/>
              </w:rPr>
              <w:t>1</w:t>
            </w:r>
            <w:r w:rsidR="00C21B56" w:rsidRPr="004468B2">
              <w:rPr>
                <w:lang w:val="lv-LV"/>
              </w:rPr>
              <w:t>punkts svītrojams, jo tas dublē Farmācijas likuma 35.panta (1) daļas 4.punktu (Noteikumu projekta 1.6.apakšpunkts).</w:t>
            </w:r>
          </w:p>
          <w:p w:rsidR="00614771" w:rsidRPr="004468B2" w:rsidRDefault="00614771" w:rsidP="004A0F32">
            <w:pPr>
              <w:jc w:val="both"/>
              <w:rPr>
                <w:lang w:val="lv-LV"/>
              </w:rPr>
            </w:pPr>
          </w:p>
          <w:p w:rsidR="00411E1F" w:rsidRPr="004468B2" w:rsidRDefault="001D10C6" w:rsidP="004A0F32">
            <w:pPr>
              <w:jc w:val="both"/>
              <w:rPr>
                <w:lang w:val="lv-LV"/>
              </w:rPr>
            </w:pPr>
            <w:r w:rsidRPr="004468B2">
              <w:rPr>
                <w:lang w:val="lv-LV"/>
              </w:rPr>
              <w:t>3)</w:t>
            </w:r>
            <w:r w:rsidR="00617CA3" w:rsidRPr="004468B2">
              <w:rPr>
                <w:lang w:val="lv-LV"/>
              </w:rPr>
              <w:t> </w:t>
            </w:r>
            <w:r w:rsidR="00571807" w:rsidRPr="004468B2">
              <w:rPr>
                <w:lang w:val="lv-LV"/>
              </w:rPr>
              <w:t xml:space="preserve">Precizēt normas </w:t>
            </w:r>
            <w:r w:rsidR="00937774" w:rsidRPr="004468B2">
              <w:rPr>
                <w:lang w:val="lv-LV"/>
              </w:rPr>
              <w:t>saistībā ar</w:t>
            </w:r>
            <w:r w:rsidR="00571807" w:rsidRPr="004468B2">
              <w:rPr>
                <w:lang w:val="lv-LV"/>
              </w:rPr>
              <w:t xml:space="preserve"> zāļu iegādi no trešajām valstīm un eksportu uz trešajām valstīm</w:t>
            </w:r>
            <w:r w:rsidR="00617CA3" w:rsidRPr="004468B2">
              <w:rPr>
                <w:lang w:val="lv-LV"/>
              </w:rPr>
              <w:t xml:space="preserve"> </w:t>
            </w:r>
            <w:r w:rsidR="000213A2" w:rsidRPr="004468B2">
              <w:rPr>
                <w:lang w:val="lv-LV"/>
              </w:rPr>
              <w:t>atbilstoši Direktīvas 2011/62/ES 1.panta 19.punktam</w:t>
            </w:r>
            <w:r w:rsidR="00E96DC9" w:rsidRPr="004468B2">
              <w:rPr>
                <w:lang w:val="lv-LV"/>
              </w:rPr>
              <w:t xml:space="preserve"> un Direktīvas Nr.2012/26/ES 1.panta 6.punkta</w:t>
            </w:r>
            <w:r w:rsidR="000213A2" w:rsidRPr="004468B2">
              <w:rPr>
                <w:lang w:val="lv-LV"/>
              </w:rPr>
              <w:t xml:space="preserve"> </w:t>
            </w:r>
            <w:r w:rsidR="00E96DC9" w:rsidRPr="004468B2">
              <w:rPr>
                <w:lang w:val="lv-LV"/>
              </w:rPr>
              <w:t xml:space="preserve">normai </w:t>
            </w:r>
            <w:r w:rsidR="00617CA3" w:rsidRPr="004468B2">
              <w:rPr>
                <w:lang w:val="lv-LV"/>
              </w:rPr>
              <w:t>(Noteikumu projekta</w:t>
            </w:r>
            <w:r w:rsidR="00BB44F5" w:rsidRPr="004468B2">
              <w:rPr>
                <w:lang w:val="lv-LV"/>
              </w:rPr>
              <w:t xml:space="preserve"> </w:t>
            </w:r>
            <w:r w:rsidR="009412FC" w:rsidRPr="004468B2">
              <w:rPr>
                <w:lang w:val="lv-LV"/>
              </w:rPr>
              <w:t>1.11</w:t>
            </w:r>
            <w:r w:rsidR="007C45F8" w:rsidRPr="004468B2">
              <w:rPr>
                <w:lang w:val="lv-LV"/>
              </w:rPr>
              <w:t>.</w:t>
            </w:r>
            <w:r w:rsidR="0022215C" w:rsidRPr="004468B2">
              <w:rPr>
                <w:lang w:val="lv-LV"/>
              </w:rPr>
              <w:t>apakš</w:t>
            </w:r>
            <w:r w:rsidR="00617CA3" w:rsidRPr="004468B2">
              <w:rPr>
                <w:lang w:val="lv-LV"/>
              </w:rPr>
              <w:t>punkts)</w:t>
            </w:r>
            <w:r w:rsidR="00D0743D" w:rsidRPr="004468B2">
              <w:rPr>
                <w:lang w:val="lv-LV"/>
              </w:rPr>
              <w:t>.</w:t>
            </w:r>
          </w:p>
          <w:p w:rsidR="005737B2" w:rsidRPr="004468B2" w:rsidRDefault="005737B2" w:rsidP="004A0F32">
            <w:pPr>
              <w:pStyle w:val="naisf"/>
              <w:spacing w:before="0" w:beforeAutospacing="0" w:after="0" w:afterAutospacing="0"/>
              <w:jc w:val="both"/>
              <w:rPr>
                <w:lang w:val="lv-LV"/>
              </w:rPr>
            </w:pPr>
          </w:p>
          <w:p w:rsidR="004A0F32" w:rsidRPr="004468B2" w:rsidRDefault="00617CA3" w:rsidP="004A0F32">
            <w:pPr>
              <w:pStyle w:val="naisf"/>
              <w:spacing w:before="0" w:beforeAutospacing="0" w:after="0" w:afterAutospacing="0"/>
              <w:jc w:val="both"/>
              <w:rPr>
                <w:lang w:val="lv-LV"/>
              </w:rPr>
            </w:pPr>
            <w:r w:rsidRPr="004468B2">
              <w:rPr>
                <w:lang w:val="lv-LV"/>
              </w:rPr>
              <w:t>4</w:t>
            </w:r>
            <w:r w:rsidR="001D10C6" w:rsidRPr="004468B2">
              <w:rPr>
                <w:lang w:val="lv-LV"/>
              </w:rPr>
              <w:t>)</w:t>
            </w:r>
            <w:r w:rsidR="004A0F32" w:rsidRPr="004468B2">
              <w:rPr>
                <w:lang w:val="lv-LV"/>
              </w:rPr>
              <w:t> </w:t>
            </w:r>
            <w:r w:rsidR="00937774" w:rsidRPr="004468B2">
              <w:rPr>
                <w:lang w:val="lv-LV"/>
              </w:rPr>
              <w:t xml:space="preserve">Precizēt normas saistībā ar zāļu izplatīšanu un uzraudzību, lai samazinātu risku viltotu zāļu izplatīšanai </w:t>
            </w:r>
            <w:r w:rsidR="005541E7" w:rsidRPr="004468B2">
              <w:rPr>
                <w:lang w:val="lv-LV"/>
              </w:rPr>
              <w:t xml:space="preserve">atbilstoši Direktīvas 2011/62/ES </w:t>
            </w:r>
            <w:r w:rsidR="005737B2" w:rsidRPr="004468B2">
              <w:rPr>
                <w:lang w:val="lv-LV"/>
              </w:rPr>
              <w:t xml:space="preserve">1.panta 17.punkta </w:t>
            </w:r>
            <w:r w:rsidR="005541E7" w:rsidRPr="004468B2">
              <w:rPr>
                <w:lang w:val="lv-LV"/>
              </w:rPr>
              <w:t>c) </w:t>
            </w:r>
            <w:r w:rsidR="0077570D" w:rsidRPr="004468B2">
              <w:rPr>
                <w:lang w:val="lv-LV"/>
              </w:rPr>
              <w:t xml:space="preserve"> un d) </w:t>
            </w:r>
            <w:r w:rsidR="005541E7" w:rsidRPr="004468B2">
              <w:rPr>
                <w:lang w:val="lv-LV"/>
              </w:rPr>
              <w:t xml:space="preserve">apakšpunktam </w:t>
            </w:r>
            <w:r w:rsidR="00937774" w:rsidRPr="004468B2">
              <w:rPr>
                <w:lang w:val="lv-LV"/>
              </w:rPr>
              <w:t xml:space="preserve">(Noteikumu projekta </w:t>
            </w:r>
            <w:r w:rsidR="00C13675" w:rsidRPr="004468B2">
              <w:rPr>
                <w:lang w:val="lv-LV"/>
              </w:rPr>
              <w:t xml:space="preserve"> </w:t>
            </w:r>
            <w:r w:rsidR="009412FC" w:rsidRPr="004468B2">
              <w:rPr>
                <w:lang w:val="lv-LV"/>
              </w:rPr>
              <w:t>1.9. un 1.11.</w:t>
            </w:r>
            <w:r w:rsidR="0022215C" w:rsidRPr="004468B2">
              <w:rPr>
                <w:lang w:val="lv-LV"/>
              </w:rPr>
              <w:t>apakš</w:t>
            </w:r>
            <w:r w:rsidR="00F47D0E" w:rsidRPr="004468B2">
              <w:rPr>
                <w:lang w:val="lv-LV"/>
              </w:rPr>
              <w:t>pu</w:t>
            </w:r>
            <w:r w:rsidR="0086620E" w:rsidRPr="004468B2">
              <w:rPr>
                <w:lang w:val="lv-LV"/>
              </w:rPr>
              <w:t>n</w:t>
            </w:r>
            <w:r w:rsidR="00F47D0E" w:rsidRPr="004468B2">
              <w:rPr>
                <w:lang w:val="lv-LV"/>
              </w:rPr>
              <w:t>kts).</w:t>
            </w:r>
          </w:p>
          <w:p w:rsidR="00614771" w:rsidRPr="004468B2" w:rsidRDefault="00614771" w:rsidP="00576C1C">
            <w:pPr>
              <w:jc w:val="both"/>
              <w:rPr>
                <w:lang w:val="lv-LV"/>
              </w:rPr>
            </w:pPr>
          </w:p>
          <w:p w:rsidR="00576C1C" w:rsidRPr="004468B2" w:rsidRDefault="001D10C6" w:rsidP="00576C1C">
            <w:pPr>
              <w:jc w:val="both"/>
              <w:rPr>
                <w:lang w:val="lv-LV"/>
              </w:rPr>
            </w:pPr>
            <w:r w:rsidRPr="004468B2">
              <w:rPr>
                <w:lang w:val="lv-LV"/>
              </w:rPr>
              <w:t>5)</w:t>
            </w:r>
            <w:r w:rsidR="00576C1C" w:rsidRPr="004468B2">
              <w:rPr>
                <w:lang w:val="lv-LV"/>
              </w:rPr>
              <w:t xml:space="preserve"> </w:t>
            </w:r>
            <w:r w:rsidR="00953C2C" w:rsidRPr="004468B2">
              <w:rPr>
                <w:lang w:val="lv-LV"/>
              </w:rPr>
              <w:t>Precizēt aptieku tiesības un pienākumus zāļu izplatīšanā ar tīmekļa starpniecību, un noteikt prasību publiskot aptiekas</w:t>
            </w:r>
            <w:r w:rsidR="00576C1C" w:rsidRPr="004468B2">
              <w:rPr>
                <w:lang w:val="lv-LV"/>
              </w:rPr>
              <w:t>, kuras izplata zāles internetā (ar tīmekļa starpniecību)</w:t>
            </w:r>
            <w:r w:rsidR="00953C2C" w:rsidRPr="004468B2">
              <w:rPr>
                <w:lang w:val="lv-LV"/>
              </w:rPr>
              <w:t xml:space="preserve">, </w:t>
            </w:r>
            <w:r w:rsidR="00624D64" w:rsidRPr="004468B2">
              <w:rPr>
                <w:lang w:val="lv-LV"/>
              </w:rPr>
              <w:t xml:space="preserve">atbilstoši Direktīvas 2011/62/ES 1.panta 20.punktam </w:t>
            </w:r>
            <w:r w:rsidR="005350AA" w:rsidRPr="004468B2">
              <w:rPr>
                <w:lang w:val="lv-LV"/>
              </w:rPr>
              <w:t xml:space="preserve">(Noteikumu projekta </w:t>
            </w:r>
            <w:r w:rsidR="00DE456B" w:rsidRPr="004468B2">
              <w:rPr>
                <w:lang w:val="lv-LV"/>
              </w:rPr>
              <w:t>1.29</w:t>
            </w:r>
            <w:r w:rsidR="008833C9" w:rsidRPr="004468B2">
              <w:rPr>
                <w:lang w:val="lv-LV"/>
              </w:rPr>
              <w:t xml:space="preserve">., </w:t>
            </w:r>
            <w:r w:rsidR="00DE456B" w:rsidRPr="004468B2">
              <w:rPr>
                <w:lang w:val="lv-LV"/>
              </w:rPr>
              <w:t>1.30</w:t>
            </w:r>
            <w:r w:rsidR="008833C9" w:rsidRPr="004468B2">
              <w:rPr>
                <w:lang w:val="lv-LV"/>
              </w:rPr>
              <w:t xml:space="preserve">., </w:t>
            </w:r>
            <w:r w:rsidR="00DE456B" w:rsidRPr="004468B2">
              <w:rPr>
                <w:lang w:val="lv-LV"/>
              </w:rPr>
              <w:t>1.31</w:t>
            </w:r>
            <w:r w:rsidR="008833C9" w:rsidRPr="004468B2">
              <w:rPr>
                <w:lang w:val="lv-LV"/>
              </w:rPr>
              <w:t xml:space="preserve">., </w:t>
            </w:r>
            <w:r w:rsidR="00F17D31" w:rsidRPr="004468B2">
              <w:rPr>
                <w:lang w:val="lv-LV"/>
              </w:rPr>
              <w:t>1</w:t>
            </w:r>
            <w:r w:rsidR="00DE456B" w:rsidRPr="004468B2">
              <w:rPr>
                <w:lang w:val="lv-LV"/>
              </w:rPr>
              <w:t>.32</w:t>
            </w:r>
            <w:r w:rsidR="008833C9" w:rsidRPr="004468B2">
              <w:rPr>
                <w:lang w:val="lv-LV"/>
              </w:rPr>
              <w:t xml:space="preserve">. un </w:t>
            </w:r>
            <w:r w:rsidR="00DE456B" w:rsidRPr="004468B2">
              <w:rPr>
                <w:lang w:val="lv-LV"/>
              </w:rPr>
              <w:t>1.33</w:t>
            </w:r>
            <w:r w:rsidR="00141EA5" w:rsidRPr="004468B2">
              <w:rPr>
                <w:lang w:val="lv-LV"/>
              </w:rPr>
              <w:t>.</w:t>
            </w:r>
            <w:r w:rsidR="0022215C" w:rsidRPr="004468B2">
              <w:rPr>
                <w:lang w:val="lv-LV"/>
              </w:rPr>
              <w:t>apakš</w:t>
            </w:r>
            <w:r w:rsidR="00576C1C" w:rsidRPr="004468B2">
              <w:rPr>
                <w:lang w:val="lv-LV"/>
              </w:rPr>
              <w:t>punkts).</w:t>
            </w:r>
            <w:r w:rsidR="00953C2C" w:rsidRPr="004468B2">
              <w:rPr>
                <w:lang w:val="lv-LV"/>
              </w:rPr>
              <w:t xml:space="preserve"> </w:t>
            </w:r>
          </w:p>
          <w:p w:rsidR="00614771" w:rsidRPr="004468B2" w:rsidRDefault="00614771" w:rsidP="00576C1C">
            <w:pPr>
              <w:jc w:val="both"/>
              <w:rPr>
                <w:lang w:val="lv-LV"/>
              </w:rPr>
            </w:pPr>
          </w:p>
          <w:p w:rsidR="00576C1C" w:rsidRPr="004468B2" w:rsidRDefault="001D10C6" w:rsidP="00576C1C">
            <w:pPr>
              <w:jc w:val="both"/>
              <w:rPr>
                <w:lang w:val="lv-LV"/>
              </w:rPr>
            </w:pPr>
            <w:r w:rsidRPr="004468B2">
              <w:rPr>
                <w:lang w:val="lv-LV"/>
              </w:rPr>
              <w:t>6)</w:t>
            </w:r>
            <w:r w:rsidR="00576C1C" w:rsidRPr="004468B2">
              <w:rPr>
                <w:lang w:val="lv-LV"/>
              </w:rPr>
              <w:t xml:space="preserve"> Precizēt kritērijus </w:t>
            </w:r>
            <w:r w:rsidR="00A7313E" w:rsidRPr="004468B2">
              <w:rPr>
                <w:lang w:val="lv-LV"/>
              </w:rPr>
              <w:t xml:space="preserve">zāļu atsaukšanai un piegāžu aizliegšanai </w:t>
            </w:r>
            <w:r w:rsidR="005350AA" w:rsidRPr="004468B2">
              <w:rPr>
                <w:lang w:val="lv-LV"/>
              </w:rPr>
              <w:t>(Noteikumu projekta</w:t>
            </w:r>
            <w:r w:rsidR="00C3216E" w:rsidRPr="004468B2">
              <w:rPr>
                <w:lang w:val="lv-LV"/>
              </w:rPr>
              <w:t xml:space="preserve"> 1.3</w:t>
            </w:r>
            <w:r w:rsidR="00DE456B" w:rsidRPr="004468B2">
              <w:rPr>
                <w:lang w:val="lv-LV"/>
              </w:rPr>
              <w:t>6</w:t>
            </w:r>
            <w:r w:rsidR="007057C7" w:rsidRPr="004468B2">
              <w:rPr>
                <w:lang w:val="lv-LV"/>
              </w:rPr>
              <w:t xml:space="preserve">., </w:t>
            </w:r>
            <w:r w:rsidR="00C3216E" w:rsidRPr="004468B2">
              <w:rPr>
                <w:lang w:val="lv-LV"/>
              </w:rPr>
              <w:t>1.</w:t>
            </w:r>
            <w:r w:rsidR="00F80B76" w:rsidRPr="004468B2">
              <w:rPr>
                <w:lang w:val="lv-LV"/>
              </w:rPr>
              <w:t>3</w:t>
            </w:r>
            <w:r w:rsidR="00DE456B" w:rsidRPr="004468B2">
              <w:rPr>
                <w:lang w:val="lv-LV"/>
              </w:rPr>
              <w:t>7</w:t>
            </w:r>
            <w:r w:rsidR="00433962" w:rsidRPr="004468B2">
              <w:rPr>
                <w:lang w:val="lv-LV"/>
              </w:rPr>
              <w:t>.</w:t>
            </w:r>
            <w:r w:rsidR="00DE456B" w:rsidRPr="004468B2">
              <w:rPr>
                <w:lang w:val="lv-LV"/>
              </w:rPr>
              <w:t>, 1.39., 1.40., 1.41</w:t>
            </w:r>
            <w:r w:rsidR="007057C7" w:rsidRPr="004468B2">
              <w:rPr>
                <w:lang w:val="lv-LV"/>
              </w:rPr>
              <w:t>.</w:t>
            </w:r>
            <w:r w:rsidR="00DE456B" w:rsidRPr="004468B2">
              <w:rPr>
                <w:lang w:val="lv-LV"/>
              </w:rPr>
              <w:t>, 1.42., 1.47</w:t>
            </w:r>
            <w:r w:rsidR="00284EBC" w:rsidRPr="004468B2">
              <w:rPr>
                <w:lang w:val="lv-LV"/>
              </w:rPr>
              <w:t xml:space="preserve">. </w:t>
            </w:r>
            <w:r w:rsidR="00DE456B" w:rsidRPr="004468B2">
              <w:rPr>
                <w:lang w:val="lv-LV"/>
              </w:rPr>
              <w:t>un 1.48</w:t>
            </w:r>
            <w:r w:rsidR="007057C7" w:rsidRPr="004468B2">
              <w:rPr>
                <w:lang w:val="lv-LV"/>
              </w:rPr>
              <w:t>.a</w:t>
            </w:r>
            <w:r w:rsidR="00433962" w:rsidRPr="004468B2">
              <w:rPr>
                <w:lang w:val="lv-LV"/>
              </w:rPr>
              <w:t>pakšp</w:t>
            </w:r>
            <w:r w:rsidR="00576C1C" w:rsidRPr="004468B2">
              <w:rPr>
                <w:lang w:val="lv-LV"/>
              </w:rPr>
              <w:t>unkts).</w:t>
            </w:r>
          </w:p>
          <w:p w:rsidR="00614771" w:rsidRPr="004468B2" w:rsidRDefault="00614771" w:rsidP="004A0F32">
            <w:pPr>
              <w:jc w:val="both"/>
              <w:rPr>
                <w:lang w:val="lv-LV"/>
              </w:rPr>
            </w:pPr>
          </w:p>
          <w:p w:rsidR="000D6996" w:rsidRPr="004468B2" w:rsidRDefault="001D10C6" w:rsidP="004A0F32">
            <w:pPr>
              <w:jc w:val="both"/>
              <w:rPr>
                <w:lang w:val="lv-LV"/>
              </w:rPr>
            </w:pPr>
            <w:r w:rsidRPr="004468B2">
              <w:rPr>
                <w:lang w:val="lv-LV"/>
              </w:rPr>
              <w:t>7)</w:t>
            </w:r>
            <w:r w:rsidR="00576C1C" w:rsidRPr="004468B2">
              <w:rPr>
                <w:lang w:val="lv-LV"/>
              </w:rPr>
              <w:t> </w:t>
            </w:r>
            <w:r w:rsidR="00F1610C" w:rsidRPr="004468B2">
              <w:rPr>
                <w:lang w:val="lv-LV"/>
              </w:rPr>
              <w:t xml:space="preserve">Precizēt izņēmuma gadījumu zāļu </w:t>
            </w:r>
            <w:r w:rsidR="001926F4" w:rsidRPr="004468B2">
              <w:rPr>
                <w:lang w:val="lv-LV"/>
              </w:rPr>
              <w:t>izplatīšanai</w:t>
            </w:r>
            <w:r w:rsidR="00F1610C" w:rsidRPr="004468B2">
              <w:rPr>
                <w:lang w:val="lv-LV"/>
              </w:rPr>
              <w:t xml:space="preserve">, lai </w:t>
            </w:r>
            <w:r w:rsidR="001926F4" w:rsidRPr="004468B2">
              <w:rPr>
                <w:lang w:val="lv-LV"/>
              </w:rPr>
              <w:t>ārkārtas apstākļos pacienti varētu saņemt arī atsauktās zāles</w:t>
            </w:r>
            <w:r w:rsidR="002B2C44" w:rsidRPr="004468B2">
              <w:rPr>
                <w:lang w:val="lv-LV"/>
              </w:rPr>
              <w:t xml:space="preserve"> atbilstoši Direktīvas 201</w:t>
            </w:r>
            <w:r w:rsidR="005062B8" w:rsidRPr="004468B2">
              <w:rPr>
                <w:lang w:val="lv-LV"/>
              </w:rPr>
              <w:t>0</w:t>
            </w:r>
            <w:r w:rsidR="002B2C44" w:rsidRPr="004468B2">
              <w:rPr>
                <w:lang w:val="lv-LV"/>
              </w:rPr>
              <w:t>/</w:t>
            </w:r>
            <w:r w:rsidR="005062B8" w:rsidRPr="004468B2">
              <w:rPr>
                <w:lang w:val="lv-LV"/>
              </w:rPr>
              <w:t>84</w:t>
            </w:r>
            <w:r w:rsidR="002B2C44" w:rsidRPr="004468B2">
              <w:rPr>
                <w:lang w:val="lv-LV"/>
              </w:rPr>
              <w:t>/ES 1.panta 23.punk</w:t>
            </w:r>
            <w:r w:rsidR="007D7A99" w:rsidRPr="004468B2">
              <w:rPr>
                <w:lang w:val="lv-LV"/>
              </w:rPr>
              <w:t xml:space="preserve">ta b) apakšpunkta normai </w:t>
            </w:r>
            <w:r w:rsidR="001926F4" w:rsidRPr="004468B2">
              <w:rPr>
                <w:lang w:val="lv-LV"/>
              </w:rPr>
              <w:t xml:space="preserve"> </w:t>
            </w:r>
            <w:r w:rsidR="007B6C10" w:rsidRPr="004468B2">
              <w:rPr>
                <w:lang w:val="lv-LV"/>
              </w:rPr>
              <w:t>(N</w:t>
            </w:r>
            <w:r w:rsidR="00F1610C" w:rsidRPr="004468B2">
              <w:rPr>
                <w:lang w:val="lv-LV"/>
              </w:rPr>
              <w:t xml:space="preserve">oteikumu projekta </w:t>
            </w:r>
            <w:r w:rsidR="00DE456B" w:rsidRPr="004468B2">
              <w:rPr>
                <w:lang w:val="lv-LV"/>
              </w:rPr>
              <w:lastRenderedPageBreak/>
              <w:t>1.38</w:t>
            </w:r>
            <w:r w:rsidR="007057C7" w:rsidRPr="004468B2">
              <w:rPr>
                <w:lang w:val="lv-LV"/>
              </w:rPr>
              <w:t>.apakš</w:t>
            </w:r>
            <w:r w:rsidR="001926F4" w:rsidRPr="004468B2">
              <w:rPr>
                <w:lang w:val="lv-LV"/>
              </w:rPr>
              <w:t>punkts)</w:t>
            </w:r>
            <w:r w:rsidR="001448BC" w:rsidRPr="004468B2">
              <w:rPr>
                <w:lang w:val="lv-LV"/>
              </w:rPr>
              <w:t>. Tehniski precizēti MK noteikumu</w:t>
            </w:r>
            <w:r w:rsidR="00295C5E" w:rsidRPr="004468B2">
              <w:rPr>
                <w:lang w:val="lv-LV"/>
              </w:rPr>
              <w:t xml:space="preserve"> </w:t>
            </w:r>
            <w:r w:rsidR="001448BC" w:rsidRPr="004468B2">
              <w:rPr>
                <w:lang w:val="lv-LV"/>
              </w:rPr>
              <w:t>Nr.416 112.1. un 112.3.apa</w:t>
            </w:r>
            <w:r w:rsidR="001A4B0C" w:rsidRPr="004468B2">
              <w:rPr>
                <w:lang w:val="lv-LV"/>
              </w:rPr>
              <w:t>kšpunkts (N</w:t>
            </w:r>
            <w:r w:rsidR="007021F3" w:rsidRPr="004468B2">
              <w:rPr>
                <w:lang w:val="lv-LV"/>
              </w:rPr>
              <w:t xml:space="preserve">oteikumu projekta </w:t>
            </w:r>
            <w:r w:rsidR="00DE456B" w:rsidRPr="004468B2">
              <w:rPr>
                <w:lang w:val="lv-LV"/>
              </w:rPr>
              <w:t>1.34</w:t>
            </w:r>
            <w:r w:rsidR="007057C7" w:rsidRPr="004468B2">
              <w:rPr>
                <w:lang w:val="lv-LV"/>
              </w:rPr>
              <w:t xml:space="preserve">. un </w:t>
            </w:r>
            <w:r w:rsidR="00DE456B" w:rsidRPr="004468B2">
              <w:rPr>
                <w:lang w:val="lv-LV"/>
              </w:rPr>
              <w:t>1.35</w:t>
            </w:r>
            <w:r w:rsidR="007057C7" w:rsidRPr="004468B2">
              <w:rPr>
                <w:lang w:val="lv-LV"/>
              </w:rPr>
              <w:t>.apakš</w:t>
            </w:r>
            <w:r w:rsidR="001448BC" w:rsidRPr="004468B2">
              <w:rPr>
                <w:lang w:val="lv-LV"/>
              </w:rPr>
              <w:t>punkts).</w:t>
            </w:r>
          </w:p>
          <w:p w:rsidR="00D6058B" w:rsidRPr="004468B2" w:rsidRDefault="00D6058B" w:rsidP="004A0F32">
            <w:pPr>
              <w:jc w:val="both"/>
              <w:rPr>
                <w:lang w:val="lv-LV"/>
              </w:rPr>
            </w:pPr>
          </w:p>
          <w:p w:rsidR="00D6058B" w:rsidRPr="004468B2" w:rsidRDefault="001D10C6" w:rsidP="00D6058B">
            <w:pPr>
              <w:pStyle w:val="NoSpacing"/>
              <w:jc w:val="both"/>
              <w:rPr>
                <w:rFonts w:ascii="Times New Roman" w:hAnsi="Times New Roman"/>
                <w:sz w:val="24"/>
                <w:szCs w:val="24"/>
              </w:rPr>
            </w:pPr>
            <w:r w:rsidRPr="004468B2">
              <w:rPr>
                <w:rFonts w:ascii="Times New Roman" w:hAnsi="Times New Roman"/>
                <w:sz w:val="24"/>
                <w:szCs w:val="24"/>
              </w:rPr>
              <w:t>8)</w:t>
            </w:r>
            <w:r w:rsidR="00D6058B" w:rsidRPr="004468B2">
              <w:rPr>
                <w:rFonts w:ascii="Times New Roman" w:hAnsi="Times New Roman"/>
                <w:sz w:val="24"/>
                <w:szCs w:val="24"/>
              </w:rPr>
              <w:t xml:space="preserve"> Ieviest zāļu labas izplatīšanas prakses sertifikāta formu atbilstoši Eiropas Savienības formātam</w:t>
            </w:r>
            <w:r w:rsidR="00C40898" w:rsidRPr="004468B2">
              <w:rPr>
                <w:rFonts w:ascii="Times New Roman" w:hAnsi="Times New Roman"/>
                <w:sz w:val="24"/>
                <w:szCs w:val="24"/>
              </w:rPr>
              <w:t xml:space="preserve"> un nodrošināt tā saņemšanas iespēju arī elektroniskā formātā (Noteikumu projekta </w:t>
            </w:r>
            <w:r w:rsidR="00DE456B" w:rsidRPr="004468B2">
              <w:rPr>
                <w:rFonts w:ascii="Times New Roman" w:hAnsi="Times New Roman"/>
                <w:sz w:val="24"/>
                <w:szCs w:val="24"/>
              </w:rPr>
              <w:t>1.44</w:t>
            </w:r>
            <w:r w:rsidR="00937E0A" w:rsidRPr="004468B2">
              <w:rPr>
                <w:rFonts w:ascii="Times New Roman" w:hAnsi="Times New Roman"/>
                <w:sz w:val="24"/>
                <w:szCs w:val="24"/>
              </w:rPr>
              <w:t xml:space="preserve">. un </w:t>
            </w:r>
            <w:r w:rsidR="00DE456B" w:rsidRPr="004468B2">
              <w:rPr>
                <w:rFonts w:ascii="Times New Roman" w:hAnsi="Times New Roman"/>
                <w:sz w:val="24"/>
                <w:szCs w:val="24"/>
              </w:rPr>
              <w:t>1.55</w:t>
            </w:r>
            <w:r w:rsidR="00D6058B" w:rsidRPr="004468B2">
              <w:rPr>
                <w:rFonts w:ascii="Times New Roman" w:hAnsi="Times New Roman"/>
                <w:sz w:val="24"/>
                <w:szCs w:val="24"/>
              </w:rPr>
              <w:t>.</w:t>
            </w:r>
            <w:r w:rsidR="00AE511F" w:rsidRPr="004468B2">
              <w:rPr>
                <w:rFonts w:ascii="Times New Roman" w:hAnsi="Times New Roman"/>
                <w:sz w:val="24"/>
                <w:szCs w:val="24"/>
              </w:rPr>
              <w:t>apakš</w:t>
            </w:r>
            <w:r w:rsidR="00D6058B" w:rsidRPr="004468B2">
              <w:rPr>
                <w:rFonts w:ascii="Times New Roman" w:hAnsi="Times New Roman"/>
                <w:sz w:val="24"/>
                <w:szCs w:val="24"/>
              </w:rPr>
              <w:t>punkts).</w:t>
            </w:r>
            <w:r w:rsidR="00937E0A" w:rsidRPr="004468B2">
              <w:rPr>
                <w:rFonts w:ascii="Times New Roman" w:hAnsi="Times New Roman"/>
                <w:sz w:val="24"/>
                <w:szCs w:val="24"/>
              </w:rPr>
              <w:t xml:space="preserve"> Nodrošināt kontroles ziņojuma saņemšanu elektroniskā </w:t>
            </w:r>
            <w:r w:rsidR="00DE456B" w:rsidRPr="004468B2">
              <w:rPr>
                <w:rFonts w:ascii="Times New Roman" w:hAnsi="Times New Roman"/>
                <w:sz w:val="24"/>
                <w:szCs w:val="24"/>
              </w:rPr>
              <w:t>formātā (Noteikumu projekta 1.44</w:t>
            </w:r>
            <w:r w:rsidR="00937E0A" w:rsidRPr="004468B2">
              <w:rPr>
                <w:rFonts w:ascii="Times New Roman" w:hAnsi="Times New Roman"/>
                <w:sz w:val="24"/>
                <w:szCs w:val="24"/>
              </w:rPr>
              <w:t>.apakšpunkts).</w:t>
            </w:r>
          </w:p>
          <w:p w:rsidR="00D6058B" w:rsidRPr="004468B2" w:rsidRDefault="00D6058B" w:rsidP="004A0F32">
            <w:pPr>
              <w:jc w:val="both"/>
              <w:rPr>
                <w:lang w:val="lv-LV"/>
              </w:rPr>
            </w:pPr>
          </w:p>
          <w:p w:rsidR="007C01EA" w:rsidRPr="004468B2" w:rsidRDefault="009F555D" w:rsidP="00C40898">
            <w:pPr>
              <w:pStyle w:val="naisf"/>
              <w:spacing w:before="0" w:beforeAutospacing="0" w:after="0" w:afterAutospacing="0"/>
              <w:jc w:val="both"/>
              <w:rPr>
                <w:lang w:val="lv-LV"/>
              </w:rPr>
            </w:pPr>
            <w:r w:rsidRPr="004468B2">
              <w:rPr>
                <w:lang w:val="lv-LV"/>
              </w:rPr>
              <w:t>9</w:t>
            </w:r>
            <w:r w:rsidR="001D10C6" w:rsidRPr="004468B2">
              <w:rPr>
                <w:lang w:val="lv-LV"/>
              </w:rPr>
              <w:t>)</w:t>
            </w:r>
            <w:r w:rsidR="00C40898" w:rsidRPr="004468B2">
              <w:rPr>
                <w:lang w:val="lv-LV"/>
              </w:rPr>
              <w:t xml:space="preserve"> Konkretizēt normas saistībā ar zāļu izplatīšanas uzraudzību, lai samazinātu arī risku viltotu zāļu izplatīšanai, atbilstoši Direktīvas 2011/62/ES 1.panta </w:t>
            </w:r>
            <w:r w:rsidR="00E95FD0" w:rsidRPr="004468B2">
              <w:rPr>
                <w:lang w:val="lv-LV"/>
              </w:rPr>
              <w:t>2</w:t>
            </w:r>
            <w:r w:rsidR="00AE511F" w:rsidRPr="004468B2">
              <w:rPr>
                <w:lang w:val="lv-LV"/>
              </w:rPr>
              <w:t>1.</w:t>
            </w:r>
            <w:r w:rsidR="00DE456B" w:rsidRPr="004468B2">
              <w:rPr>
                <w:lang w:val="lv-LV"/>
              </w:rPr>
              <w:t>punktam (Noteikumu projekta 1.44. un 1.45</w:t>
            </w:r>
            <w:r w:rsidR="00AE511F" w:rsidRPr="004468B2">
              <w:rPr>
                <w:lang w:val="lv-LV"/>
              </w:rPr>
              <w:t>.apakš</w:t>
            </w:r>
            <w:r w:rsidR="007C01EA" w:rsidRPr="004468B2">
              <w:rPr>
                <w:lang w:val="lv-LV"/>
              </w:rPr>
              <w:t>punkts)</w:t>
            </w:r>
            <w:r w:rsidR="001D10C6" w:rsidRPr="004468B2">
              <w:rPr>
                <w:lang w:val="lv-LV"/>
              </w:rPr>
              <w:t>.</w:t>
            </w:r>
          </w:p>
          <w:p w:rsidR="007C01EA" w:rsidRPr="004468B2" w:rsidRDefault="007C01EA" w:rsidP="00AF5550">
            <w:pPr>
              <w:jc w:val="both"/>
              <w:rPr>
                <w:lang w:val="lv-LV"/>
              </w:rPr>
            </w:pPr>
          </w:p>
          <w:p w:rsidR="00C8754A" w:rsidRPr="004468B2" w:rsidRDefault="00E34F9A" w:rsidP="00C8754A">
            <w:pPr>
              <w:jc w:val="both"/>
              <w:rPr>
                <w:noProof/>
                <w:lang w:val="lv-LV"/>
              </w:rPr>
            </w:pPr>
            <w:r w:rsidRPr="004468B2">
              <w:rPr>
                <w:bCs/>
                <w:lang w:val="lv-LV"/>
              </w:rPr>
              <w:t>10</w:t>
            </w:r>
            <w:r w:rsidR="00ED3297" w:rsidRPr="004468B2">
              <w:rPr>
                <w:bCs/>
                <w:lang w:val="lv-LV"/>
              </w:rPr>
              <w:t>) </w:t>
            </w:r>
            <w:r w:rsidR="00C8754A" w:rsidRPr="004468B2">
              <w:rPr>
                <w:noProof/>
                <w:lang w:val="lv-LV"/>
              </w:rPr>
              <w:t>Noteikumu projekta 1.49.apakšpunkts (attiecībā uz 171</w:t>
            </w:r>
            <w:r w:rsidR="00C8754A" w:rsidRPr="004468B2">
              <w:rPr>
                <w:noProof/>
                <w:vertAlign w:val="superscript"/>
                <w:lang w:val="lv-LV"/>
              </w:rPr>
              <w:t xml:space="preserve">6 </w:t>
            </w:r>
            <w:r w:rsidR="00C8754A" w:rsidRPr="004468B2">
              <w:rPr>
                <w:noProof/>
                <w:lang w:val="lv-LV"/>
              </w:rPr>
              <w:t>punktu) un 2.punkts paredz pārejas noteikumus normu piemērošanai atbilstoši Direktīvas 2012/26/ES 2.pantam normām stāšanās spēkā laiks ir noteikts 2013.gada 28.oktobris.</w:t>
            </w:r>
          </w:p>
          <w:p w:rsidR="003A3E82" w:rsidRPr="004468B2" w:rsidRDefault="003A3E82" w:rsidP="004A0F32">
            <w:pPr>
              <w:jc w:val="both"/>
              <w:rPr>
                <w:lang w:val="lv-LV"/>
              </w:rPr>
            </w:pPr>
          </w:p>
          <w:p w:rsidR="005E4BE0" w:rsidRPr="004468B2" w:rsidRDefault="00E34F9A" w:rsidP="005E4BE0">
            <w:pPr>
              <w:pStyle w:val="naisf"/>
              <w:spacing w:before="0" w:beforeAutospacing="0" w:after="0" w:afterAutospacing="0"/>
              <w:jc w:val="both"/>
              <w:rPr>
                <w:lang w:val="lv-LV"/>
              </w:rPr>
            </w:pPr>
            <w:r w:rsidRPr="004468B2">
              <w:rPr>
                <w:lang w:val="lv-LV"/>
              </w:rPr>
              <w:t>11</w:t>
            </w:r>
            <w:r w:rsidR="003A3E82" w:rsidRPr="004468B2">
              <w:rPr>
                <w:lang w:val="lv-LV"/>
              </w:rPr>
              <w:t xml:space="preserve">) Precizēt </w:t>
            </w:r>
            <w:r w:rsidR="00D6608E" w:rsidRPr="004468B2">
              <w:rPr>
                <w:lang w:val="lv-LV"/>
              </w:rPr>
              <w:t>paralēlā</w:t>
            </w:r>
            <w:r w:rsidR="003A3E82" w:rsidRPr="004468B2">
              <w:rPr>
                <w:lang w:val="lv-LV"/>
              </w:rPr>
              <w:t xml:space="preserve"> izplatītāja pienākumu atbilstoši Direktīvas 2011/62/ES 1.panta 15.punktam</w:t>
            </w:r>
            <w:r w:rsidRPr="004468B2">
              <w:rPr>
                <w:lang w:val="lv-LV"/>
              </w:rPr>
              <w:t xml:space="preserve"> (Noteikum</w:t>
            </w:r>
            <w:r w:rsidR="00DE456B" w:rsidRPr="004468B2">
              <w:rPr>
                <w:lang w:val="lv-LV"/>
              </w:rPr>
              <w:t>u projekta 1.19</w:t>
            </w:r>
            <w:r w:rsidR="005E4BE0" w:rsidRPr="004468B2">
              <w:rPr>
                <w:lang w:val="lv-LV"/>
              </w:rPr>
              <w:t>.apakšpunkts).</w:t>
            </w:r>
          </w:p>
          <w:p w:rsidR="000F61F2" w:rsidRPr="004468B2" w:rsidRDefault="000F61F2" w:rsidP="004A0F32">
            <w:pPr>
              <w:jc w:val="both"/>
              <w:rPr>
                <w:lang w:val="lv-LV"/>
              </w:rPr>
            </w:pPr>
          </w:p>
          <w:p w:rsidR="007E47C8" w:rsidRPr="004468B2" w:rsidRDefault="00E34F9A" w:rsidP="004A0F32">
            <w:pPr>
              <w:jc w:val="both"/>
              <w:rPr>
                <w:lang w:val="lv-LV"/>
              </w:rPr>
            </w:pPr>
            <w:r w:rsidRPr="004468B2">
              <w:rPr>
                <w:lang w:val="lv-LV"/>
              </w:rPr>
              <w:t>12</w:t>
            </w:r>
            <w:r w:rsidR="001D10C6" w:rsidRPr="004468B2">
              <w:rPr>
                <w:lang w:val="lv-LV"/>
              </w:rPr>
              <w:t>)</w:t>
            </w:r>
            <w:r w:rsidR="004A0F32" w:rsidRPr="004468B2">
              <w:rPr>
                <w:lang w:val="lv-LV"/>
              </w:rPr>
              <w:t> </w:t>
            </w:r>
            <w:r w:rsidR="0022124A" w:rsidRPr="004468B2">
              <w:rPr>
                <w:lang w:val="lv-LV"/>
              </w:rPr>
              <w:t>N</w:t>
            </w:r>
            <w:r w:rsidR="004A0F32" w:rsidRPr="004468B2">
              <w:rPr>
                <w:bCs/>
                <w:lang w:val="lv-LV"/>
              </w:rPr>
              <w:t xml:space="preserve">orādīt atsauci uz </w:t>
            </w:r>
            <w:r w:rsidR="007D7A99" w:rsidRPr="004468B2">
              <w:rPr>
                <w:lang w:val="lv-LV"/>
              </w:rPr>
              <w:t xml:space="preserve">Direktīvu </w:t>
            </w:r>
            <w:r w:rsidR="0022124A" w:rsidRPr="004468B2">
              <w:rPr>
                <w:lang w:val="lv-LV"/>
              </w:rPr>
              <w:t>Nr.2011/62</w:t>
            </w:r>
            <w:r w:rsidR="004A0F32" w:rsidRPr="004468B2">
              <w:rPr>
                <w:lang w:val="lv-LV"/>
              </w:rPr>
              <w:t>/ES</w:t>
            </w:r>
            <w:r w:rsidR="00F40759" w:rsidRPr="004468B2">
              <w:rPr>
                <w:lang w:val="lv-LV"/>
              </w:rPr>
              <w:t>, Direktīvu 2012/62/ES</w:t>
            </w:r>
            <w:r w:rsidR="007D7A99" w:rsidRPr="004468B2">
              <w:rPr>
                <w:lang w:val="lv-LV"/>
              </w:rPr>
              <w:t xml:space="preserve"> un Direktīvu Nr.2010/84/ES</w:t>
            </w:r>
            <w:r w:rsidR="00422BAC" w:rsidRPr="004468B2">
              <w:rPr>
                <w:bCs/>
                <w:lang w:val="lv-LV"/>
              </w:rPr>
              <w:t>. Līdz ar to ir apliecināta š</w:t>
            </w:r>
            <w:r w:rsidR="00174EE9" w:rsidRPr="004468B2">
              <w:rPr>
                <w:bCs/>
                <w:lang w:val="lv-LV"/>
              </w:rPr>
              <w:t>o</w:t>
            </w:r>
            <w:r w:rsidR="00422BAC" w:rsidRPr="004468B2">
              <w:rPr>
                <w:bCs/>
                <w:lang w:val="lv-LV"/>
              </w:rPr>
              <w:t xml:space="preserve"> direktīv</w:t>
            </w:r>
            <w:r w:rsidR="00174EE9" w:rsidRPr="004468B2">
              <w:rPr>
                <w:bCs/>
                <w:lang w:val="lv-LV"/>
              </w:rPr>
              <w:t>u</w:t>
            </w:r>
            <w:r w:rsidR="004A0F32" w:rsidRPr="004468B2">
              <w:rPr>
                <w:bCs/>
                <w:lang w:val="lv-LV"/>
              </w:rPr>
              <w:t xml:space="preserve"> ieviešana</w:t>
            </w:r>
            <w:r w:rsidR="00F40759" w:rsidRPr="004468B2">
              <w:rPr>
                <w:bCs/>
                <w:lang w:val="lv-LV"/>
              </w:rPr>
              <w:t xml:space="preserve"> (Noteikumu proje</w:t>
            </w:r>
            <w:r w:rsidR="00DE456B" w:rsidRPr="004468B2">
              <w:rPr>
                <w:bCs/>
                <w:lang w:val="lv-LV"/>
              </w:rPr>
              <w:t>kta 1.51</w:t>
            </w:r>
            <w:r w:rsidR="0086620E" w:rsidRPr="004468B2">
              <w:rPr>
                <w:bCs/>
                <w:lang w:val="lv-LV"/>
              </w:rPr>
              <w:t>.</w:t>
            </w:r>
            <w:r w:rsidR="00C8754A" w:rsidRPr="004468B2">
              <w:rPr>
                <w:bCs/>
                <w:lang w:val="lv-LV"/>
              </w:rPr>
              <w:t>apakš</w:t>
            </w:r>
            <w:r w:rsidR="0086620E" w:rsidRPr="004468B2">
              <w:rPr>
                <w:bCs/>
                <w:lang w:val="lv-LV"/>
              </w:rPr>
              <w:t>punkts)</w:t>
            </w:r>
            <w:r w:rsidR="007E47C8" w:rsidRPr="004468B2">
              <w:rPr>
                <w:bCs/>
                <w:lang w:val="lv-LV"/>
              </w:rPr>
              <w:t>.</w:t>
            </w:r>
          </w:p>
          <w:p w:rsidR="00411E1F" w:rsidRPr="004468B2" w:rsidRDefault="00411E1F" w:rsidP="00411E1F">
            <w:pPr>
              <w:jc w:val="both"/>
              <w:rPr>
                <w:lang w:val="lv-LV"/>
              </w:rPr>
            </w:pPr>
          </w:p>
          <w:p w:rsidR="001D10C6" w:rsidRPr="004468B2" w:rsidRDefault="001D10C6" w:rsidP="001D10C6">
            <w:pPr>
              <w:jc w:val="both"/>
              <w:rPr>
                <w:lang w:val="lv-LV"/>
              </w:rPr>
            </w:pPr>
            <w:r w:rsidRPr="004468B2">
              <w:rPr>
                <w:lang w:val="lv-LV"/>
              </w:rPr>
              <w:t>2. Noteikumu projekta tiesiskā regulējuma mērķis ir noteikt zāļu pieejamības analīzei nepieciešamo zāļu vairumtirdzniecības realizācijas datu</w:t>
            </w:r>
            <w:r w:rsidR="00C8754A" w:rsidRPr="004468B2">
              <w:rPr>
                <w:lang w:val="lv-LV"/>
              </w:rPr>
              <w:t xml:space="preserve"> izplatīšanas kārtību un apjomu:</w:t>
            </w:r>
          </w:p>
          <w:p w:rsidR="001D10C6" w:rsidRPr="004468B2" w:rsidRDefault="001D10C6" w:rsidP="001D10C6">
            <w:pPr>
              <w:pStyle w:val="ListParagraph"/>
              <w:spacing w:after="0" w:line="240" w:lineRule="auto"/>
              <w:ind w:left="0"/>
              <w:jc w:val="both"/>
              <w:rPr>
                <w:rFonts w:ascii="Times New Roman" w:hAnsi="Times New Roman"/>
                <w:sz w:val="24"/>
                <w:szCs w:val="24"/>
              </w:rPr>
            </w:pPr>
            <w:r w:rsidRPr="004468B2">
              <w:rPr>
                <w:rFonts w:ascii="Times New Roman" w:hAnsi="Times New Roman"/>
                <w:sz w:val="24"/>
                <w:szCs w:val="24"/>
              </w:rPr>
              <w:t>1) Papildināt norādi, uz kāda Farmācijas likuma panta noteikumi</w:t>
            </w:r>
            <w:r w:rsidR="0020692E" w:rsidRPr="004468B2">
              <w:rPr>
                <w:rFonts w:ascii="Times New Roman" w:hAnsi="Times New Roman"/>
                <w:sz w:val="24"/>
                <w:szCs w:val="24"/>
              </w:rPr>
              <w:t xml:space="preserve"> izdoti (Noteikumu projekta 1.1.</w:t>
            </w:r>
            <w:r w:rsidRPr="004468B2">
              <w:rPr>
                <w:rFonts w:ascii="Times New Roman" w:hAnsi="Times New Roman"/>
                <w:sz w:val="24"/>
                <w:szCs w:val="24"/>
              </w:rPr>
              <w:t>apakšpunkts).</w:t>
            </w:r>
          </w:p>
          <w:p w:rsidR="00C8754A" w:rsidRPr="004468B2" w:rsidRDefault="00C8754A" w:rsidP="001D10C6">
            <w:pPr>
              <w:pStyle w:val="ListParagraph"/>
              <w:spacing w:after="0" w:line="240" w:lineRule="auto"/>
              <w:ind w:left="0"/>
              <w:jc w:val="both"/>
              <w:rPr>
                <w:rFonts w:ascii="Times New Roman" w:hAnsi="Times New Roman"/>
                <w:sz w:val="24"/>
                <w:szCs w:val="24"/>
              </w:rPr>
            </w:pPr>
          </w:p>
          <w:p w:rsidR="001D10C6" w:rsidRPr="004468B2" w:rsidRDefault="001D10C6" w:rsidP="001D10C6">
            <w:pPr>
              <w:pStyle w:val="ListParagraph"/>
              <w:spacing w:after="0" w:line="240" w:lineRule="auto"/>
              <w:ind w:left="0"/>
              <w:jc w:val="both"/>
              <w:rPr>
                <w:rFonts w:ascii="Times New Roman" w:hAnsi="Times New Roman"/>
                <w:sz w:val="24"/>
                <w:szCs w:val="24"/>
              </w:rPr>
            </w:pPr>
            <w:r w:rsidRPr="004468B2">
              <w:rPr>
                <w:rFonts w:ascii="Times New Roman" w:hAnsi="Times New Roman"/>
                <w:sz w:val="24"/>
                <w:szCs w:val="24"/>
              </w:rPr>
              <w:t>2) Papildināt Noteikumu Nr.416 1.punktu ar Farmācijas likuma 5.panta 25.punktā noteikto pilnvarojumu (Noteikumu projekta 1.2.apakšpunkts).</w:t>
            </w:r>
          </w:p>
          <w:p w:rsidR="00C8754A" w:rsidRPr="004468B2" w:rsidRDefault="00C8754A" w:rsidP="001D10C6">
            <w:pPr>
              <w:pStyle w:val="ListParagraph"/>
              <w:spacing w:after="0" w:line="240" w:lineRule="auto"/>
              <w:ind w:left="0"/>
              <w:jc w:val="both"/>
              <w:rPr>
                <w:rFonts w:ascii="Times New Roman" w:hAnsi="Times New Roman"/>
                <w:sz w:val="24"/>
                <w:szCs w:val="24"/>
              </w:rPr>
            </w:pPr>
          </w:p>
          <w:p w:rsidR="001D10C6" w:rsidRPr="004468B2" w:rsidRDefault="001D10C6" w:rsidP="001D10C6">
            <w:pPr>
              <w:pStyle w:val="ListParagraph"/>
              <w:spacing w:after="0" w:line="240" w:lineRule="auto"/>
              <w:ind w:left="0"/>
              <w:jc w:val="both"/>
              <w:rPr>
                <w:rFonts w:ascii="Times New Roman" w:hAnsi="Times New Roman"/>
                <w:sz w:val="24"/>
                <w:szCs w:val="24"/>
              </w:rPr>
            </w:pPr>
            <w:r w:rsidRPr="004468B2">
              <w:rPr>
                <w:rFonts w:ascii="Times New Roman" w:hAnsi="Times New Roman"/>
                <w:sz w:val="24"/>
                <w:szCs w:val="24"/>
              </w:rPr>
              <w:t xml:space="preserve">3) Precizēt datus, kurus vairumtirgotājs paziņo Zāļu valsts aģentūrai attiecībā uz zāļu daudzumu, lai novērstu iekļautās normas dažādu interpretējumu (Noteikumu projekta </w:t>
            </w:r>
            <w:r w:rsidR="007323D7" w:rsidRPr="004468B2">
              <w:rPr>
                <w:rFonts w:ascii="Times New Roman" w:hAnsi="Times New Roman"/>
                <w:sz w:val="24"/>
                <w:szCs w:val="24"/>
              </w:rPr>
              <w:t>1</w:t>
            </w:r>
            <w:r w:rsidR="00E34F9A" w:rsidRPr="004468B2">
              <w:rPr>
                <w:rFonts w:ascii="Times New Roman" w:hAnsi="Times New Roman"/>
                <w:sz w:val="24"/>
                <w:szCs w:val="24"/>
              </w:rPr>
              <w:t>.13</w:t>
            </w:r>
            <w:r w:rsidRPr="004468B2">
              <w:rPr>
                <w:rFonts w:ascii="Times New Roman" w:hAnsi="Times New Roman"/>
                <w:sz w:val="24"/>
                <w:szCs w:val="24"/>
              </w:rPr>
              <w:t>.apakšpunkts).</w:t>
            </w:r>
          </w:p>
          <w:p w:rsidR="00C8754A" w:rsidRPr="004468B2" w:rsidRDefault="00C8754A" w:rsidP="001D10C6">
            <w:pPr>
              <w:pStyle w:val="ListParagraph"/>
              <w:spacing w:after="0" w:line="240" w:lineRule="auto"/>
              <w:ind w:left="0"/>
              <w:jc w:val="both"/>
              <w:rPr>
                <w:rFonts w:ascii="Times New Roman" w:hAnsi="Times New Roman"/>
                <w:sz w:val="24"/>
                <w:szCs w:val="24"/>
              </w:rPr>
            </w:pPr>
          </w:p>
          <w:p w:rsidR="001D10C6" w:rsidRPr="004468B2" w:rsidRDefault="001D10C6" w:rsidP="001D10C6">
            <w:pPr>
              <w:pStyle w:val="ListParagraph"/>
              <w:spacing w:after="0" w:line="240" w:lineRule="auto"/>
              <w:ind w:left="0"/>
              <w:jc w:val="both"/>
              <w:rPr>
                <w:rFonts w:ascii="Times New Roman" w:hAnsi="Times New Roman"/>
                <w:sz w:val="24"/>
                <w:szCs w:val="24"/>
              </w:rPr>
            </w:pPr>
            <w:r w:rsidRPr="004468B2">
              <w:rPr>
                <w:rFonts w:ascii="Times New Roman" w:hAnsi="Times New Roman"/>
                <w:sz w:val="24"/>
                <w:szCs w:val="24"/>
              </w:rPr>
              <w:t>4) Noteikt tirdzniecības realizācijas datus, kas nepieciešami zāļu pieejamības analīzei, sniegšanas kārtību un apjomu (Noteikumu projekta 1.</w:t>
            </w:r>
            <w:r w:rsidR="00DE456B" w:rsidRPr="004468B2">
              <w:rPr>
                <w:rFonts w:ascii="Times New Roman" w:hAnsi="Times New Roman"/>
                <w:sz w:val="24"/>
                <w:szCs w:val="24"/>
              </w:rPr>
              <w:t>44</w:t>
            </w:r>
            <w:r w:rsidRPr="004468B2">
              <w:rPr>
                <w:rFonts w:ascii="Times New Roman" w:hAnsi="Times New Roman"/>
                <w:sz w:val="24"/>
                <w:szCs w:val="24"/>
              </w:rPr>
              <w:t>.apakšpunkts</w:t>
            </w:r>
            <w:r w:rsidR="007323D7" w:rsidRPr="004468B2">
              <w:rPr>
                <w:rFonts w:ascii="Times New Roman" w:hAnsi="Times New Roman"/>
                <w:sz w:val="24"/>
                <w:szCs w:val="24"/>
              </w:rPr>
              <w:t xml:space="preserve"> (attiecībā uz 146.13. un 146.14.apakšpunktu)</w:t>
            </w:r>
            <w:r w:rsidRPr="004468B2">
              <w:rPr>
                <w:rFonts w:ascii="Times New Roman" w:hAnsi="Times New Roman"/>
                <w:sz w:val="24"/>
                <w:szCs w:val="24"/>
              </w:rPr>
              <w:t>).</w:t>
            </w:r>
          </w:p>
          <w:p w:rsidR="002269B0" w:rsidRPr="004468B2" w:rsidRDefault="002269B0" w:rsidP="001D10C6">
            <w:pPr>
              <w:pStyle w:val="naisf"/>
              <w:spacing w:before="0" w:beforeAutospacing="0" w:after="0" w:afterAutospacing="0"/>
              <w:jc w:val="both"/>
              <w:rPr>
                <w:lang w:val="lv-LV"/>
              </w:rPr>
            </w:pPr>
          </w:p>
          <w:p w:rsidR="001D10C6" w:rsidRPr="004468B2" w:rsidRDefault="001D10C6" w:rsidP="001D10C6">
            <w:pPr>
              <w:pStyle w:val="naisf"/>
              <w:spacing w:before="0" w:beforeAutospacing="0" w:after="0" w:afterAutospacing="0"/>
              <w:jc w:val="both"/>
              <w:rPr>
                <w:lang w:val="lv-LV"/>
              </w:rPr>
            </w:pPr>
            <w:r w:rsidRPr="004468B2">
              <w:rPr>
                <w:lang w:val="lv-LV"/>
              </w:rPr>
              <w:t>3. Precizēt nereģistrētu zāļu izplatīšanu zāļu pieejamības sek</w:t>
            </w:r>
            <w:r w:rsidR="00DE456B" w:rsidRPr="004468B2">
              <w:rPr>
                <w:lang w:val="lv-LV"/>
              </w:rPr>
              <w:t>mēšanai (Noteikumu projekta 1.28</w:t>
            </w:r>
            <w:r w:rsidRPr="004468B2">
              <w:rPr>
                <w:lang w:val="lv-LV"/>
              </w:rPr>
              <w:t xml:space="preserve">.apakšpunkts), jo pašreizējā MK noteikumu </w:t>
            </w:r>
            <w:r w:rsidRPr="004468B2">
              <w:rPr>
                <w:lang w:val="lv-LV"/>
              </w:rPr>
              <w:lastRenderedPageBreak/>
              <w:t xml:space="preserve">Nr.416 norma ierobežo nereģistrētu zāļu (individuāliem pacientiem un ārstniecības iestādēm) piegādes iespēju citām zāļu </w:t>
            </w:r>
            <w:proofErr w:type="spellStart"/>
            <w:r w:rsidRPr="004468B2">
              <w:rPr>
                <w:lang w:val="lv-LV"/>
              </w:rPr>
              <w:t>lietirgotavām</w:t>
            </w:r>
            <w:proofErr w:type="spellEnd"/>
            <w:r w:rsidRPr="004468B2">
              <w:rPr>
                <w:lang w:val="lv-LV"/>
              </w:rPr>
              <w:t xml:space="preserve">, kas var radīt pretrunu Farmācijas likuma </w:t>
            </w:r>
            <w:r w:rsidRPr="004468B2">
              <w:rPr>
                <w:bCs/>
                <w:lang w:val="lv-LV"/>
              </w:rPr>
              <w:t>48.panta pirmās daļas normai.</w:t>
            </w:r>
            <w:r w:rsidR="00087FA1" w:rsidRPr="004468B2">
              <w:rPr>
                <w:bCs/>
                <w:lang w:val="lv-LV"/>
              </w:rPr>
              <w:t xml:space="preserve"> Precizēt Zāļu v</w:t>
            </w:r>
            <w:r w:rsidR="006308D7" w:rsidRPr="004468B2">
              <w:rPr>
                <w:bCs/>
                <w:lang w:val="lv-LV"/>
              </w:rPr>
              <w:t xml:space="preserve">alsts aģentūras pienākumu zāļu </w:t>
            </w:r>
            <w:r w:rsidR="00087FA1" w:rsidRPr="004468B2">
              <w:rPr>
                <w:bCs/>
                <w:lang w:val="lv-LV"/>
              </w:rPr>
              <w:t xml:space="preserve">novērtējuma </w:t>
            </w:r>
            <w:r w:rsidR="00902066" w:rsidRPr="004468B2">
              <w:rPr>
                <w:bCs/>
                <w:lang w:val="lv-LV"/>
              </w:rPr>
              <w:t xml:space="preserve">ziņojuma </w:t>
            </w:r>
            <w:r w:rsidR="006308D7" w:rsidRPr="004468B2">
              <w:rPr>
                <w:bCs/>
                <w:lang w:val="lv-LV"/>
              </w:rPr>
              <w:t>un reģistrācijas aplie</w:t>
            </w:r>
            <w:r w:rsidR="00087FA1" w:rsidRPr="004468B2">
              <w:rPr>
                <w:bCs/>
                <w:lang w:val="lv-LV"/>
              </w:rPr>
              <w:t xml:space="preserve">cības izsniegšanā pēc citas Eiropas Ekonomikas zonas valsts pieprasījuma atbilstoši Direktīvas </w:t>
            </w:r>
            <w:r w:rsidR="006308D7" w:rsidRPr="004468B2">
              <w:rPr>
                <w:bCs/>
                <w:lang w:val="lv-LV"/>
              </w:rPr>
              <w:t>Nr.</w:t>
            </w:r>
            <w:r w:rsidR="00902066" w:rsidRPr="004468B2">
              <w:rPr>
                <w:bCs/>
                <w:lang w:val="lv-LV"/>
              </w:rPr>
              <w:t>2010/84/ES 1.panta 27.punktam.</w:t>
            </w:r>
          </w:p>
          <w:p w:rsidR="001D10C6" w:rsidRPr="004468B2" w:rsidRDefault="001D10C6" w:rsidP="001D10C6">
            <w:pPr>
              <w:pStyle w:val="NoSpacing"/>
              <w:jc w:val="both"/>
              <w:rPr>
                <w:rFonts w:ascii="Times New Roman" w:hAnsi="Times New Roman"/>
                <w:sz w:val="24"/>
                <w:szCs w:val="24"/>
              </w:rPr>
            </w:pPr>
          </w:p>
          <w:p w:rsidR="002D6B8C" w:rsidRPr="004468B2" w:rsidRDefault="001D10C6" w:rsidP="002D6B8C">
            <w:pPr>
              <w:jc w:val="both"/>
              <w:rPr>
                <w:lang w:val="lv-LV"/>
              </w:rPr>
            </w:pPr>
            <w:r w:rsidRPr="004468B2">
              <w:rPr>
                <w:lang w:val="lv-LV"/>
              </w:rPr>
              <w:t>4. </w:t>
            </w:r>
            <w:r w:rsidR="002D6B8C" w:rsidRPr="004468B2">
              <w:rPr>
                <w:lang w:val="lv-LV"/>
              </w:rPr>
              <w:t>Precizēt MK noteikumu N</w:t>
            </w:r>
            <w:r w:rsidR="003867E8" w:rsidRPr="004468B2">
              <w:rPr>
                <w:lang w:val="lv-LV"/>
              </w:rPr>
              <w:t>r</w:t>
            </w:r>
            <w:r w:rsidR="002D6B8C" w:rsidRPr="004468B2">
              <w:rPr>
                <w:lang w:val="lv-LV"/>
              </w:rPr>
              <w:t xml:space="preserve">.416 60.punktu, lai izslēgtu normas nepareizu interpretāciju </w:t>
            </w:r>
            <w:r w:rsidR="002D6B8C" w:rsidRPr="004468B2">
              <w:rPr>
                <w:bCs/>
                <w:lang w:val="lv-LV"/>
              </w:rPr>
              <w:t xml:space="preserve"> </w:t>
            </w:r>
            <w:r w:rsidR="00DE456B" w:rsidRPr="004468B2">
              <w:rPr>
                <w:lang w:val="lv-LV"/>
              </w:rPr>
              <w:t>(Noteikumu projekta 1.17</w:t>
            </w:r>
            <w:r w:rsidR="002D6B8C" w:rsidRPr="004468B2">
              <w:rPr>
                <w:lang w:val="lv-LV"/>
              </w:rPr>
              <w:t>.</w:t>
            </w:r>
            <w:r w:rsidR="0020692E" w:rsidRPr="004468B2">
              <w:rPr>
                <w:lang w:val="lv-LV"/>
              </w:rPr>
              <w:t>apakš</w:t>
            </w:r>
            <w:r w:rsidR="002D6B8C" w:rsidRPr="004468B2">
              <w:rPr>
                <w:lang w:val="lv-LV"/>
              </w:rPr>
              <w:t>punkts).</w:t>
            </w:r>
          </w:p>
          <w:p w:rsidR="002D6B8C" w:rsidRPr="004468B2" w:rsidRDefault="002D6B8C" w:rsidP="002802FA">
            <w:pPr>
              <w:jc w:val="both"/>
              <w:rPr>
                <w:lang w:val="lv-LV"/>
              </w:rPr>
            </w:pPr>
          </w:p>
          <w:p w:rsidR="002802FA" w:rsidRPr="004468B2" w:rsidRDefault="00C8754A" w:rsidP="002802FA">
            <w:pPr>
              <w:jc w:val="both"/>
              <w:rPr>
                <w:lang w:val="lv-LV"/>
              </w:rPr>
            </w:pPr>
            <w:r w:rsidRPr="004468B2">
              <w:rPr>
                <w:lang w:val="lv-LV"/>
              </w:rPr>
              <w:t>5</w:t>
            </w:r>
            <w:r w:rsidR="002802FA" w:rsidRPr="004468B2">
              <w:rPr>
                <w:lang w:val="lv-LV"/>
              </w:rPr>
              <w:t xml:space="preserve">. Nodrošināt terminoloģijas konsekvenci un </w:t>
            </w:r>
            <w:r w:rsidR="002802FA" w:rsidRPr="004468B2">
              <w:rPr>
                <w:bCs/>
                <w:lang w:val="lv-LV"/>
              </w:rPr>
              <w:t xml:space="preserve">atbilstību </w:t>
            </w:r>
            <w:r w:rsidR="002802FA" w:rsidRPr="004468B2">
              <w:rPr>
                <w:lang w:val="lv-LV"/>
              </w:rPr>
              <w:t xml:space="preserve">Ministru kabineta 2009.gada 3. februāra noteikumu Nr.108 ”Normatīvo aktu projektu sagatavošanas noteikumi” </w:t>
            </w:r>
            <w:r w:rsidR="002802FA" w:rsidRPr="004468B2">
              <w:rPr>
                <w:bCs/>
                <w:lang w:val="lv-LV"/>
              </w:rPr>
              <w:t>2.3.apakšpunktam, un p</w:t>
            </w:r>
            <w:r w:rsidR="00D120F7" w:rsidRPr="004468B2">
              <w:rPr>
                <w:lang w:val="lv-LV"/>
              </w:rPr>
              <w:t>recizēt terminoloģiju:</w:t>
            </w:r>
          </w:p>
          <w:p w:rsidR="002802FA" w:rsidRPr="004468B2" w:rsidRDefault="006F1503" w:rsidP="002802FA">
            <w:pPr>
              <w:jc w:val="both"/>
              <w:rPr>
                <w:lang w:val="lv-LV"/>
              </w:rPr>
            </w:pPr>
            <w:r w:rsidRPr="004468B2">
              <w:rPr>
                <w:lang w:val="lv-LV"/>
              </w:rPr>
              <w:t>1) </w:t>
            </w:r>
            <w:r w:rsidR="00D120F7" w:rsidRPr="004468B2">
              <w:rPr>
                <w:lang w:val="lv-LV"/>
              </w:rPr>
              <w:t>MK noteikumu Nr.416</w:t>
            </w:r>
            <w:r w:rsidR="0020692E" w:rsidRPr="004468B2">
              <w:rPr>
                <w:lang w:val="lv-LV"/>
              </w:rPr>
              <w:t xml:space="preserve"> </w:t>
            </w:r>
            <w:r w:rsidR="002802FA" w:rsidRPr="004468B2">
              <w:rPr>
                <w:lang w:val="lv-LV"/>
              </w:rPr>
              <w:t>20., 86.</w:t>
            </w:r>
            <w:r w:rsidR="002802FA" w:rsidRPr="004468B2">
              <w:rPr>
                <w:vertAlign w:val="superscript"/>
                <w:lang w:val="lv-LV"/>
              </w:rPr>
              <w:t>4</w:t>
            </w:r>
            <w:r w:rsidR="002802FA" w:rsidRPr="004468B2">
              <w:rPr>
                <w:lang w:val="lv-LV"/>
              </w:rPr>
              <w:t>punktā un 94.</w:t>
            </w:r>
            <w:r w:rsidR="002802FA" w:rsidRPr="004468B2">
              <w:rPr>
                <w:vertAlign w:val="superscript"/>
                <w:lang w:val="lv-LV"/>
              </w:rPr>
              <w:t>3</w:t>
            </w:r>
            <w:r w:rsidR="002802FA" w:rsidRPr="004468B2">
              <w:rPr>
                <w:lang w:val="lv-LV"/>
              </w:rPr>
              <w:t>3.3.4. un 146.1.apakšpunktā, ieviešot terminu ”</w:t>
            </w:r>
            <w:proofErr w:type="spellStart"/>
            <w:r w:rsidR="002802FA" w:rsidRPr="004468B2">
              <w:rPr>
                <w:lang w:val="lv-LV"/>
              </w:rPr>
              <w:t>farmakovigilance</w:t>
            </w:r>
            <w:proofErr w:type="spellEnd"/>
            <w:r w:rsidR="002802FA" w:rsidRPr="004468B2">
              <w:rPr>
                <w:lang w:val="lv-LV"/>
              </w:rPr>
              <w:t>” termina ”zāļu blakusparādību uzraudzība” vietā, kas atbilst Direktīvas Nr.2010/84/ES normām</w:t>
            </w:r>
            <w:r w:rsidR="0020692E" w:rsidRPr="004468B2">
              <w:rPr>
                <w:lang w:val="lv-LV"/>
              </w:rPr>
              <w:t xml:space="preserve"> </w:t>
            </w:r>
            <w:r w:rsidR="00F40759" w:rsidRPr="004468B2">
              <w:rPr>
                <w:lang w:val="lv-LV"/>
              </w:rPr>
              <w:t xml:space="preserve">(Noteikumu projekta </w:t>
            </w:r>
            <w:r w:rsidR="005618FE" w:rsidRPr="004468B2">
              <w:rPr>
                <w:lang w:val="lv-LV"/>
              </w:rPr>
              <w:t>1</w:t>
            </w:r>
            <w:r w:rsidR="003867E8" w:rsidRPr="004468B2">
              <w:rPr>
                <w:lang w:val="lv-LV"/>
              </w:rPr>
              <w:t>.15</w:t>
            </w:r>
            <w:r w:rsidR="005618FE" w:rsidRPr="004468B2">
              <w:rPr>
                <w:lang w:val="lv-LV"/>
              </w:rPr>
              <w:t xml:space="preserve">., </w:t>
            </w:r>
            <w:r w:rsidR="003867E8" w:rsidRPr="004468B2">
              <w:rPr>
                <w:lang w:val="lv-LV"/>
              </w:rPr>
              <w:t>1.</w:t>
            </w:r>
            <w:r w:rsidR="00DE456B" w:rsidRPr="004468B2">
              <w:rPr>
                <w:lang w:val="lv-LV"/>
              </w:rPr>
              <w:t>23., 1.27</w:t>
            </w:r>
            <w:r w:rsidR="003867E8" w:rsidRPr="004468B2">
              <w:rPr>
                <w:lang w:val="lv-LV"/>
              </w:rPr>
              <w:t>. un</w:t>
            </w:r>
            <w:r w:rsidR="00DE456B" w:rsidRPr="004468B2">
              <w:rPr>
                <w:lang w:val="lv-LV"/>
              </w:rPr>
              <w:t xml:space="preserve"> 1.43</w:t>
            </w:r>
            <w:r w:rsidR="002269B0" w:rsidRPr="004468B2">
              <w:rPr>
                <w:lang w:val="lv-LV"/>
              </w:rPr>
              <w:t>.apakš</w:t>
            </w:r>
            <w:r w:rsidR="002802FA" w:rsidRPr="004468B2">
              <w:rPr>
                <w:lang w:val="lv-LV"/>
              </w:rPr>
              <w:t>punkts).</w:t>
            </w:r>
          </w:p>
          <w:p w:rsidR="002802FA" w:rsidRPr="004468B2" w:rsidRDefault="002802FA" w:rsidP="00F40759">
            <w:pPr>
              <w:jc w:val="both"/>
              <w:rPr>
                <w:lang w:val="lv-LV"/>
              </w:rPr>
            </w:pPr>
            <w:r w:rsidRPr="004468B2">
              <w:rPr>
                <w:lang w:val="lv-LV"/>
              </w:rPr>
              <w:t>2) </w:t>
            </w:r>
            <w:r w:rsidR="00D120F7" w:rsidRPr="004468B2">
              <w:rPr>
                <w:lang w:val="lv-LV"/>
              </w:rPr>
              <w:t xml:space="preserve">MK noteikumu Nr.416 </w:t>
            </w:r>
            <w:r w:rsidRPr="004468B2">
              <w:rPr>
                <w:lang w:val="lv-LV"/>
              </w:rPr>
              <w:t>153.1.apakšpunktā vārdus, ieviešot terminu ”zāļu drošums” termina ”zāļu drošība”</w:t>
            </w:r>
            <w:r w:rsidR="00F40759" w:rsidRPr="004468B2">
              <w:rPr>
                <w:lang w:val="lv-LV"/>
              </w:rPr>
              <w:t xml:space="preserve"> (Noteikumu projekta </w:t>
            </w:r>
            <w:r w:rsidR="00DE456B" w:rsidRPr="004468B2">
              <w:rPr>
                <w:lang w:val="lv-LV"/>
              </w:rPr>
              <w:t>1.49</w:t>
            </w:r>
            <w:r w:rsidR="00284EBC" w:rsidRPr="004468B2">
              <w:rPr>
                <w:lang w:val="lv-LV"/>
              </w:rPr>
              <w:t>.apakš</w:t>
            </w:r>
            <w:r w:rsidR="00F40759" w:rsidRPr="004468B2">
              <w:rPr>
                <w:lang w:val="lv-LV"/>
              </w:rPr>
              <w:t>punkts).</w:t>
            </w:r>
          </w:p>
          <w:p w:rsidR="00D120F7" w:rsidRPr="004468B2" w:rsidRDefault="006F1503" w:rsidP="00D120F7">
            <w:pPr>
              <w:jc w:val="both"/>
              <w:rPr>
                <w:iCs/>
                <w:lang w:val="lv-LV"/>
              </w:rPr>
            </w:pPr>
            <w:r w:rsidRPr="004468B2">
              <w:rPr>
                <w:lang w:val="lv-LV"/>
              </w:rPr>
              <w:t>3) </w:t>
            </w:r>
            <w:r w:rsidR="00D120F7" w:rsidRPr="004468B2">
              <w:rPr>
                <w:lang w:val="lv-LV"/>
              </w:rPr>
              <w:t xml:space="preserve">MK noteikumos Nr.416 ieviešot terminu </w:t>
            </w:r>
            <w:r w:rsidR="00D120F7" w:rsidRPr="004468B2">
              <w:rPr>
                <w:iCs/>
                <w:lang w:val="lv-LV"/>
              </w:rPr>
              <w:t>”veterinārmedicīniskās aprūpes iestāde” termina ”veterinārmedicīniskās aprūpes komersants” vietā (Noteikumu projekta 1.2.apakšpunkts).</w:t>
            </w:r>
          </w:p>
          <w:p w:rsidR="00D120F7" w:rsidRPr="004468B2" w:rsidRDefault="00D120F7" w:rsidP="00F40759">
            <w:pPr>
              <w:jc w:val="both"/>
              <w:rPr>
                <w:lang w:val="lv-LV"/>
              </w:rPr>
            </w:pPr>
          </w:p>
          <w:p w:rsidR="002802FA" w:rsidRPr="004468B2" w:rsidRDefault="0080092A" w:rsidP="002802FA">
            <w:pPr>
              <w:jc w:val="both"/>
              <w:rPr>
                <w:lang w:val="lv-LV"/>
              </w:rPr>
            </w:pPr>
            <w:r w:rsidRPr="004468B2">
              <w:rPr>
                <w:bCs/>
                <w:lang w:val="lv-LV"/>
              </w:rPr>
              <w:t>6</w:t>
            </w:r>
            <w:r w:rsidR="002802FA" w:rsidRPr="004468B2">
              <w:rPr>
                <w:bCs/>
                <w:lang w:val="lv-LV"/>
              </w:rPr>
              <w:t>. N</w:t>
            </w:r>
            <w:r w:rsidR="002802FA" w:rsidRPr="004468B2">
              <w:rPr>
                <w:lang w:val="lv-LV"/>
              </w:rPr>
              <w:t xml:space="preserve">o MK noteikumiem Nr.416 svītrot konkrētas tīmekļu vietnes adreses norādi (Noteikumu projekta </w:t>
            </w:r>
            <w:r w:rsidR="00DE456B" w:rsidRPr="004468B2">
              <w:rPr>
                <w:lang w:val="lv-LV"/>
              </w:rPr>
              <w:t>1.18., 1.24. un 1.46</w:t>
            </w:r>
            <w:r w:rsidR="00886C79" w:rsidRPr="004468B2">
              <w:rPr>
                <w:lang w:val="lv-LV"/>
              </w:rPr>
              <w:t>.apakš</w:t>
            </w:r>
            <w:r w:rsidR="002802FA" w:rsidRPr="004468B2">
              <w:rPr>
                <w:lang w:val="lv-LV"/>
              </w:rPr>
              <w:t>punkts), jo tīmekļa vietas adrese laika gaitā var mainīties, izraisot nepieciešamību veikt grozījumus Ministru kabineta noteikumos.</w:t>
            </w:r>
          </w:p>
          <w:p w:rsidR="005618FE" w:rsidRPr="004468B2" w:rsidRDefault="005618FE" w:rsidP="002802FA">
            <w:pPr>
              <w:jc w:val="both"/>
              <w:rPr>
                <w:lang w:val="lv-LV"/>
              </w:rPr>
            </w:pPr>
          </w:p>
          <w:p w:rsidR="00AF5550" w:rsidRPr="004468B2" w:rsidRDefault="0080092A" w:rsidP="00AF5550">
            <w:pPr>
              <w:pStyle w:val="NoSpacing"/>
              <w:jc w:val="both"/>
              <w:rPr>
                <w:rFonts w:ascii="Times New Roman" w:hAnsi="Times New Roman"/>
                <w:sz w:val="24"/>
                <w:szCs w:val="24"/>
              </w:rPr>
            </w:pPr>
            <w:r w:rsidRPr="004468B2">
              <w:rPr>
                <w:rFonts w:ascii="Times New Roman" w:hAnsi="Times New Roman"/>
                <w:sz w:val="24"/>
                <w:szCs w:val="24"/>
              </w:rPr>
              <w:t>7</w:t>
            </w:r>
            <w:r w:rsidR="00AF5550" w:rsidRPr="004468B2">
              <w:rPr>
                <w:rFonts w:ascii="Times New Roman" w:hAnsi="Times New Roman"/>
                <w:sz w:val="24"/>
                <w:szCs w:val="24"/>
              </w:rPr>
              <w:t xml:space="preserve">. Redakcionāli precizēt MK noteikumu 1., 2., 3., </w:t>
            </w:r>
            <w:r w:rsidR="00D120F7" w:rsidRPr="004468B2">
              <w:rPr>
                <w:rFonts w:ascii="Times New Roman" w:hAnsi="Times New Roman"/>
                <w:sz w:val="24"/>
                <w:szCs w:val="24"/>
              </w:rPr>
              <w:t xml:space="preserve">4., 5., 6., 7., 10., 11., 12. </w:t>
            </w:r>
            <w:r w:rsidR="00CB0D9C" w:rsidRPr="004468B2">
              <w:rPr>
                <w:rFonts w:ascii="Times New Roman" w:hAnsi="Times New Roman"/>
                <w:sz w:val="24"/>
                <w:szCs w:val="24"/>
              </w:rPr>
              <w:t>u</w:t>
            </w:r>
            <w:r w:rsidR="00D120F7" w:rsidRPr="004468B2">
              <w:rPr>
                <w:rFonts w:ascii="Times New Roman" w:hAnsi="Times New Roman"/>
                <w:sz w:val="24"/>
                <w:szCs w:val="24"/>
              </w:rPr>
              <w:t>n</w:t>
            </w:r>
            <w:r w:rsidR="00C1287A" w:rsidRPr="004468B2">
              <w:rPr>
                <w:rFonts w:ascii="Times New Roman" w:hAnsi="Times New Roman"/>
                <w:sz w:val="24"/>
                <w:szCs w:val="24"/>
              </w:rPr>
              <w:t xml:space="preserve"> </w:t>
            </w:r>
            <w:r w:rsidR="00AF5550" w:rsidRPr="004468B2">
              <w:rPr>
                <w:rFonts w:ascii="Times New Roman" w:hAnsi="Times New Roman"/>
                <w:sz w:val="24"/>
                <w:szCs w:val="24"/>
              </w:rPr>
              <w:t xml:space="preserve">13.pielikumu, </w:t>
            </w:r>
            <w:r w:rsidR="00C1287A" w:rsidRPr="004468B2">
              <w:rPr>
                <w:rFonts w:ascii="Times New Roman" w:hAnsi="Times New Roman"/>
                <w:sz w:val="24"/>
                <w:szCs w:val="24"/>
              </w:rPr>
              <w:t>jo  tā kā 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8.punktam, nosakot, ka elektroniskā dokumenta kopijai papīra dokumenta formā nav aizpildāms tikai rekvizīts ”</w:t>
            </w:r>
            <w:r w:rsidR="00937E0A" w:rsidRPr="004468B2">
              <w:rPr>
                <w:rFonts w:ascii="Times New Roman" w:hAnsi="Times New Roman"/>
                <w:sz w:val="24"/>
                <w:szCs w:val="24"/>
              </w:rPr>
              <w:t xml:space="preserve">Paraksts” </w:t>
            </w:r>
            <w:r w:rsidR="00AF5550" w:rsidRPr="004468B2">
              <w:rPr>
                <w:rFonts w:ascii="Times New Roman" w:hAnsi="Times New Roman"/>
                <w:sz w:val="24"/>
                <w:szCs w:val="24"/>
              </w:rPr>
              <w:t xml:space="preserve">(Noteikumu projekta </w:t>
            </w:r>
            <w:r w:rsidR="00DE456B" w:rsidRPr="004468B2">
              <w:rPr>
                <w:rFonts w:ascii="Times New Roman" w:hAnsi="Times New Roman"/>
                <w:sz w:val="24"/>
                <w:szCs w:val="24"/>
              </w:rPr>
              <w:t>1.52. un 1.54</w:t>
            </w:r>
            <w:r w:rsidR="00D120F7" w:rsidRPr="004468B2">
              <w:rPr>
                <w:rFonts w:ascii="Times New Roman" w:hAnsi="Times New Roman"/>
                <w:sz w:val="24"/>
                <w:szCs w:val="24"/>
              </w:rPr>
              <w:t>.</w:t>
            </w:r>
            <w:r w:rsidR="00ED1CC5" w:rsidRPr="004468B2">
              <w:rPr>
                <w:rFonts w:ascii="Times New Roman" w:hAnsi="Times New Roman"/>
                <w:sz w:val="24"/>
                <w:szCs w:val="24"/>
              </w:rPr>
              <w:t>apakšpunkts</w:t>
            </w:r>
            <w:r w:rsidR="00AF5550" w:rsidRPr="004468B2">
              <w:rPr>
                <w:rFonts w:ascii="Times New Roman" w:hAnsi="Times New Roman"/>
                <w:sz w:val="24"/>
                <w:szCs w:val="24"/>
              </w:rPr>
              <w:t>).</w:t>
            </w:r>
          </w:p>
          <w:p w:rsidR="002802FA" w:rsidRPr="004468B2" w:rsidRDefault="002802FA" w:rsidP="00411E1F">
            <w:pPr>
              <w:jc w:val="both"/>
              <w:rPr>
                <w:lang w:val="lv-LV"/>
              </w:rPr>
            </w:pPr>
          </w:p>
          <w:p w:rsidR="00937E0A" w:rsidRPr="004468B2" w:rsidRDefault="00937E0A" w:rsidP="00411E1F">
            <w:pPr>
              <w:jc w:val="both"/>
              <w:rPr>
                <w:lang w:val="lv-LV"/>
              </w:rPr>
            </w:pPr>
            <w:r w:rsidRPr="004468B2">
              <w:rPr>
                <w:lang w:val="lv-LV"/>
              </w:rPr>
              <w:t xml:space="preserve">Nodrošināt </w:t>
            </w:r>
            <w:r w:rsidR="00857293" w:rsidRPr="004468B2">
              <w:rPr>
                <w:rStyle w:val="spelle"/>
                <w:lang w:val="lv-LV"/>
              </w:rPr>
              <w:t>reģistrācijas apliecības personai, kas nodarbojas ar starpniecības darījumiem</w:t>
            </w:r>
            <w:r w:rsidR="0030227F" w:rsidRPr="004468B2">
              <w:rPr>
                <w:rStyle w:val="spelle"/>
                <w:lang w:val="lv-LV"/>
              </w:rPr>
              <w:t xml:space="preserve"> un </w:t>
            </w:r>
            <w:r w:rsidR="00857293" w:rsidRPr="004468B2">
              <w:rPr>
                <w:rStyle w:val="spelle"/>
                <w:lang w:val="lv-LV"/>
              </w:rPr>
              <w:t>zāļu labas izplatīšanas prakses atbilstības sertifikāta</w:t>
            </w:r>
            <w:r w:rsidRPr="004468B2">
              <w:rPr>
                <w:rStyle w:val="HeaderChar"/>
                <w:lang w:val="lv-LV"/>
              </w:rPr>
              <w:t xml:space="preserve"> </w:t>
            </w:r>
            <w:r w:rsidRPr="004468B2">
              <w:rPr>
                <w:lang w:val="lv-LV"/>
              </w:rPr>
              <w:t xml:space="preserve">saņemšanas iespēju elektroniskā formā vai papīra formā pēc izvēles un pārejas periodu normu ieviešanai saistībā ar papildus maksu par dokumenta saņemšanu papīra formātā (Noteikumu projekta </w:t>
            </w:r>
            <w:r w:rsidR="00DE456B" w:rsidRPr="004468B2">
              <w:rPr>
                <w:lang w:val="lv-LV"/>
              </w:rPr>
              <w:t>1.20</w:t>
            </w:r>
            <w:r w:rsidR="00857293" w:rsidRPr="004468B2">
              <w:rPr>
                <w:lang w:val="lv-LV"/>
              </w:rPr>
              <w:t>., 1.4</w:t>
            </w:r>
            <w:r w:rsidR="00DE456B" w:rsidRPr="004468B2">
              <w:rPr>
                <w:lang w:val="lv-LV"/>
              </w:rPr>
              <w:t>4., 1.53. un 1.55</w:t>
            </w:r>
            <w:r w:rsidR="00857293" w:rsidRPr="004468B2">
              <w:rPr>
                <w:lang w:val="lv-LV"/>
              </w:rPr>
              <w:t>.apakšpunkts un 3</w:t>
            </w:r>
            <w:r w:rsidRPr="004468B2">
              <w:rPr>
                <w:lang w:val="lv-LV"/>
              </w:rPr>
              <w:t>.punkts).</w:t>
            </w:r>
          </w:p>
          <w:p w:rsidR="00937E0A" w:rsidRPr="004468B2" w:rsidRDefault="00937E0A" w:rsidP="00411E1F">
            <w:pPr>
              <w:jc w:val="both"/>
              <w:rPr>
                <w:lang w:val="lv-LV"/>
              </w:rPr>
            </w:pPr>
          </w:p>
          <w:p w:rsidR="00036198" w:rsidRPr="004468B2" w:rsidRDefault="004A0F32" w:rsidP="00411E1F">
            <w:pPr>
              <w:jc w:val="both"/>
              <w:rPr>
                <w:lang w:val="lv-LV"/>
              </w:rPr>
            </w:pPr>
            <w:r w:rsidRPr="004468B2">
              <w:rPr>
                <w:lang w:val="lv-LV"/>
              </w:rPr>
              <w:lastRenderedPageBreak/>
              <w:t>Līdz ar to ir atrisinātas Anotācijas I sadaļas 2.punktā minētās problēmas.</w:t>
            </w:r>
          </w:p>
        </w:tc>
      </w:tr>
      <w:tr w:rsidR="004134D0" w:rsidRPr="004468B2" w:rsidTr="008B675E">
        <w:trPr>
          <w:gridBefore w:val="1"/>
          <w:gridAfter w:val="3"/>
          <w:wBefore w:w="34" w:type="dxa"/>
          <w:wAfter w:w="2535" w:type="dxa"/>
          <w:trHeight w:val="476"/>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lastRenderedPageBreak/>
              <w:t>5.</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Projekta izstrādē iesaistītās institūcijas</w:t>
            </w:r>
          </w:p>
        </w:tc>
        <w:tc>
          <w:tcPr>
            <w:tcW w:w="7517" w:type="dxa"/>
            <w:gridSpan w:val="8"/>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oSpacing"/>
              <w:rPr>
                <w:rFonts w:ascii="Times New Roman" w:hAnsi="Times New Roman"/>
                <w:sz w:val="24"/>
                <w:szCs w:val="24"/>
              </w:rPr>
            </w:pPr>
            <w:r w:rsidRPr="004468B2">
              <w:rPr>
                <w:rFonts w:ascii="Times New Roman" w:hAnsi="Times New Roman"/>
                <w:sz w:val="24"/>
                <w:szCs w:val="24"/>
              </w:rPr>
              <w:t>Zāļu valsts aģentūra</w:t>
            </w:r>
          </w:p>
          <w:p w:rsidR="004134D0" w:rsidRPr="004468B2" w:rsidRDefault="004134D0" w:rsidP="004134D0">
            <w:pPr>
              <w:pStyle w:val="NoSpacing"/>
              <w:rPr>
                <w:rFonts w:ascii="Times New Roman" w:hAnsi="Times New Roman"/>
                <w:sz w:val="24"/>
                <w:szCs w:val="24"/>
              </w:rPr>
            </w:pPr>
            <w:r w:rsidRPr="004468B2">
              <w:rPr>
                <w:rFonts w:ascii="Times New Roman" w:hAnsi="Times New Roman"/>
                <w:sz w:val="24"/>
                <w:szCs w:val="24"/>
              </w:rPr>
              <w:t>Veselības inspekcija</w:t>
            </w:r>
          </w:p>
        </w:tc>
      </w:tr>
      <w:tr w:rsidR="004134D0" w:rsidRPr="004468B2" w:rsidTr="008B675E">
        <w:trPr>
          <w:gridBefore w:val="1"/>
          <w:gridAfter w:val="3"/>
          <w:wBefore w:w="34" w:type="dxa"/>
          <w:wAfter w:w="2535" w:type="dxa"/>
          <w:trHeight w:val="4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6.</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rPr>
                <w:i/>
              </w:rPr>
            </w:pPr>
            <w:r w:rsidRPr="004468B2">
              <w:t>Iemesli, kādēļ netika nodrošināta sabiedrības līdzdalība</w:t>
            </w:r>
          </w:p>
        </w:tc>
        <w:tc>
          <w:tcPr>
            <w:tcW w:w="7517" w:type="dxa"/>
            <w:gridSpan w:val="8"/>
            <w:tcBorders>
              <w:top w:val="single" w:sz="4" w:space="0" w:color="auto"/>
              <w:left w:val="single" w:sz="4" w:space="0" w:color="auto"/>
              <w:bottom w:val="single" w:sz="4" w:space="0" w:color="auto"/>
              <w:right w:val="single" w:sz="4" w:space="0" w:color="auto"/>
            </w:tcBorders>
            <w:hideMark/>
          </w:tcPr>
          <w:p w:rsidR="004134D0" w:rsidRPr="004468B2" w:rsidRDefault="0088225D" w:rsidP="004134D0">
            <w:pPr>
              <w:pStyle w:val="FootnoteText"/>
              <w:rPr>
                <w:color w:val="auto"/>
                <w:sz w:val="24"/>
                <w:szCs w:val="24"/>
              </w:rPr>
            </w:pPr>
            <w:r w:rsidRPr="004468B2">
              <w:rPr>
                <w:color w:val="auto"/>
                <w:sz w:val="24"/>
                <w:szCs w:val="24"/>
              </w:rPr>
              <w:t>Projekts šo jomu neskar</w:t>
            </w:r>
            <w:r w:rsidR="004717E2" w:rsidRPr="004468B2">
              <w:rPr>
                <w:color w:val="auto"/>
                <w:sz w:val="24"/>
                <w:szCs w:val="24"/>
              </w:rPr>
              <w:t>.</w:t>
            </w:r>
          </w:p>
        </w:tc>
      </w:tr>
      <w:tr w:rsidR="004134D0" w:rsidRPr="004468B2" w:rsidTr="008B675E">
        <w:trPr>
          <w:gridBefore w:val="1"/>
          <w:gridAfter w:val="3"/>
          <w:wBefore w:w="34" w:type="dxa"/>
          <w:wAfter w:w="2535"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7.</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Cita informācija</w:t>
            </w:r>
          </w:p>
        </w:tc>
        <w:tc>
          <w:tcPr>
            <w:tcW w:w="7517" w:type="dxa"/>
            <w:gridSpan w:val="8"/>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Nav</w:t>
            </w:r>
          </w:p>
        </w:tc>
      </w:tr>
      <w:tr w:rsidR="004134D0" w:rsidRPr="004468B2" w:rsidTr="008B675E">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rPr>
                <w:b w:val="0"/>
              </w:rPr>
            </w:pPr>
            <w:r w:rsidRPr="004468B2">
              <w:t>II. Tiesību akta projekta ietekme uz sabiedrību</w:t>
            </w:r>
          </w:p>
        </w:tc>
      </w:tr>
      <w:tr w:rsidR="004134D0" w:rsidRPr="004468B2" w:rsidTr="008B675E">
        <w:trPr>
          <w:gridBefore w:val="1"/>
          <w:gridAfter w:val="3"/>
          <w:wBefore w:w="34" w:type="dxa"/>
          <w:wAfter w:w="2535" w:type="dxa"/>
          <w:trHeight w:val="46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1.</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Sabiedrības mērķgrupa</w:t>
            </w:r>
          </w:p>
        </w:tc>
        <w:tc>
          <w:tcPr>
            <w:tcW w:w="6496" w:type="dxa"/>
            <w:gridSpan w:val="6"/>
            <w:tcBorders>
              <w:top w:val="single" w:sz="4" w:space="0" w:color="auto"/>
              <w:left w:val="single" w:sz="4" w:space="0" w:color="auto"/>
              <w:bottom w:val="single" w:sz="4" w:space="0" w:color="auto"/>
              <w:right w:val="single" w:sz="4" w:space="0" w:color="auto"/>
            </w:tcBorders>
            <w:hideMark/>
          </w:tcPr>
          <w:p w:rsidR="00E62C64" w:rsidRPr="004468B2" w:rsidRDefault="00C31FF9" w:rsidP="00036198">
            <w:pPr>
              <w:jc w:val="both"/>
              <w:rPr>
                <w:lang w:val="lv-LV"/>
              </w:rPr>
            </w:pPr>
            <w:r w:rsidRPr="004468B2">
              <w:rPr>
                <w:lang w:val="lv-LV"/>
              </w:rPr>
              <w:t xml:space="preserve">Noteikumu projekta </w:t>
            </w:r>
            <w:r w:rsidR="004134D0" w:rsidRPr="004468B2">
              <w:rPr>
                <w:lang w:val="lv-LV"/>
              </w:rPr>
              <w:t>tiesiskais regulējums attiecas u</w:t>
            </w:r>
            <w:r w:rsidRPr="004468B2">
              <w:rPr>
                <w:lang w:val="lv-LV"/>
              </w:rPr>
              <w:t>z</w:t>
            </w:r>
            <w:r w:rsidR="00863425" w:rsidRPr="004468B2">
              <w:rPr>
                <w:lang w:val="lv-LV"/>
              </w:rPr>
              <w:t xml:space="preserve"> p</w:t>
            </w:r>
            <w:r w:rsidR="004134D0" w:rsidRPr="004468B2">
              <w:rPr>
                <w:lang w:val="lv-LV"/>
              </w:rPr>
              <w:t xml:space="preserve">ersonām, kas </w:t>
            </w:r>
            <w:r w:rsidR="00036198" w:rsidRPr="004468B2">
              <w:rPr>
                <w:lang w:val="lv-LV"/>
              </w:rPr>
              <w:t>izplata</w:t>
            </w:r>
            <w:r w:rsidR="00863425" w:rsidRPr="004468B2">
              <w:rPr>
                <w:lang w:val="lv-LV"/>
              </w:rPr>
              <w:t xml:space="preserve"> </w:t>
            </w:r>
            <w:r w:rsidR="00036198" w:rsidRPr="004468B2">
              <w:rPr>
                <w:lang w:val="lv-LV"/>
              </w:rPr>
              <w:t xml:space="preserve">zāles </w:t>
            </w:r>
            <w:r w:rsidR="00915398" w:rsidRPr="004468B2">
              <w:rPr>
                <w:lang w:val="lv-LV"/>
              </w:rPr>
              <w:t>vairumtir</w:t>
            </w:r>
            <w:r w:rsidR="009F3D0F" w:rsidRPr="004468B2">
              <w:rPr>
                <w:lang w:val="lv-LV"/>
              </w:rPr>
              <w:t>dzniecībā</w:t>
            </w:r>
            <w:r w:rsidR="00915398" w:rsidRPr="004468B2">
              <w:rPr>
                <w:lang w:val="lv-LV"/>
              </w:rPr>
              <w:t xml:space="preserve"> (aptuveni 56 zāļu lieltirgotavām) </w:t>
            </w:r>
            <w:r w:rsidR="00036198" w:rsidRPr="004468B2">
              <w:rPr>
                <w:lang w:val="lv-LV"/>
              </w:rPr>
              <w:t>un nodarbojas ar starpniecības darījum</w:t>
            </w:r>
            <w:r w:rsidR="00DA4D7E" w:rsidRPr="004468B2">
              <w:rPr>
                <w:lang w:val="lv-LV"/>
              </w:rPr>
              <w:t>ie</w:t>
            </w:r>
            <w:r w:rsidR="00036198" w:rsidRPr="004468B2">
              <w:rPr>
                <w:lang w:val="lv-LV"/>
              </w:rPr>
              <w:t xml:space="preserve">m ar zālēm, kā arī uz </w:t>
            </w:r>
            <w:r w:rsidR="00E62C64" w:rsidRPr="004468B2">
              <w:rPr>
                <w:lang w:val="lv-LV"/>
              </w:rPr>
              <w:t>aptiekām, kuras izplata zāles ar tīmekļa starpniecību (Latvijā pēc Zāļu valsts aģentūras datiem uz 25.02.2013. ir 821 aptieka, no kurām trīs aptiekas zāles izplata ar tīmekļa starpniecību)</w:t>
            </w:r>
            <w:r w:rsidR="007E7B55" w:rsidRPr="004468B2">
              <w:rPr>
                <w:lang w:val="lv-LV"/>
              </w:rPr>
              <w:t xml:space="preserve"> un iesaistīto institūciju Zāļu valsts aģentūras amatpersonām, kuras iesaistītas noteikumu projektā iekļauto pienākumu izpildē.</w:t>
            </w:r>
          </w:p>
          <w:p w:rsidR="00801AA8" w:rsidRPr="004468B2" w:rsidRDefault="00801AA8" w:rsidP="00801AA8">
            <w:pPr>
              <w:pStyle w:val="naiskr"/>
              <w:spacing w:before="0" w:after="0"/>
              <w:jc w:val="both"/>
            </w:pPr>
          </w:p>
          <w:p w:rsidR="00801AA8" w:rsidRPr="004468B2" w:rsidRDefault="00801AA8" w:rsidP="00801AA8">
            <w:pPr>
              <w:pStyle w:val="naiskr"/>
              <w:spacing w:before="0" w:after="0"/>
              <w:jc w:val="both"/>
            </w:pPr>
            <w:r w:rsidRPr="004468B2">
              <w:t>Noteikumu projektā ietvertās prasības attiecībā uz zāļu pieejamības analīzei nepieciešamo zāļu vairumtirdzniecības realizācijas datu izplatīšanas kārtību un apjomu attiecas uz:</w:t>
            </w:r>
          </w:p>
          <w:p w:rsidR="00801AA8" w:rsidRPr="004468B2" w:rsidRDefault="00801AA8" w:rsidP="00801AA8">
            <w:pPr>
              <w:pStyle w:val="naiskr"/>
              <w:spacing w:before="0" w:after="0"/>
              <w:jc w:val="both"/>
            </w:pPr>
            <w:r w:rsidRPr="004468B2">
              <w:t>1) aptuveni 120 zāļu reģistrācijas īpašniekiem, 56 zāļu lieltirgotavām, 800 aptiekām un zāļu vairumtirdzniecības datu pieprasītājiem, kuri izmantos šos datus, lai analizētu un  prognozētu zāļu pieejamību;</w:t>
            </w:r>
          </w:p>
          <w:p w:rsidR="00801AA8" w:rsidRPr="004468B2" w:rsidRDefault="00801AA8" w:rsidP="00801AA8">
            <w:pPr>
              <w:jc w:val="both"/>
              <w:rPr>
                <w:lang w:val="lv-LV"/>
              </w:rPr>
            </w:pPr>
            <w:r w:rsidRPr="004468B2">
              <w:rPr>
                <w:lang w:val="lv-LV"/>
              </w:rPr>
              <w:t>2) iesaistīto institūciju Zāļu valsts aģentūras amatpersonām, kuras iesaistītas noteikumu projektā iekļauto pienākumu izpildē.</w:t>
            </w:r>
          </w:p>
        </w:tc>
      </w:tr>
      <w:tr w:rsidR="004134D0" w:rsidRPr="004468B2" w:rsidTr="008B675E">
        <w:trPr>
          <w:gridBefore w:val="1"/>
          <w:gridAfter w:val="3"/>
          <w:wBefore w:w="34" w:type="dxa"/>
          <w:wAfter w:w="2535" w:type="dxa"/>
          <w:trHeight w:val="523"/>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2.</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Citas sabiedrības grupas (bez mērķgrupas), kuras tiesiskais regulējums arī ietekmē vai varētu ietekmēt</w:t>
            </w:r>
          </w:p>
        </w:tc>
        <w:tc>
          <w:tcPr>
            <w:tcW w:w="6496" w:type="dxa"/>
            <w:gridSpan w:val="6"/>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jc w:val="both"/>
              <w:rPr>
                <w:iCs/>
              </w:rPr>
            </w:pPr>
            <w:r w:rsidRPr="004468B2">
              <w:t>Projekts šo jomu neskar.</w:t>
            </w:r>
          </w:p>
        </w:tc>
      </w:tr>
      <w:tr w:rsidR="004134D0" w:rsidRPr="004468B2" w:rsidTr="008B675E">
        <w:trPr>
          <w:gridBefore w:val="1"/>
          <w:gridAfter w:val="3"/>
          <w:wBefore w:w="34" w:type="dxa"/>
          <w:wAfter w:w="2535"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3.</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 xml:space="preserve">Tiesiskā regulējuma </w:t>
            </w:r>
            <w:r w:rsidRPr="004468B2">
              <w:lastRenderedPageBreak/>
              <w:t>finansiālā ietekme</w:t>
            </w:r>
          </w:p>
        </w:tc>
        <w:tc>
          <w:tcPr>
            <w:tcW w:w="6496" w:type="dxa"/>
            <w:gridSpan w:val="6"/>
            <w:tcBorders>
              <w:top w:val="single" w:sz="4" w:space="0" w:color="auto"/>
              <w:left w:val="single" w:sz="4" w:space="0" w:color="auto"/>
              <w:bottom w:val="single" w:sz="4" w:space="0" w:color="auto"/>
              <w:right w:val="single" w:sz="4" w:space="0" w:color="auto"/>
            </w:tcBorders>
            <w:hideMark/>
          </w:tcPr>
          <w:p w:rsidR="004134D0" w:rsidRPr="004468B2" w:rsidRDefault="00BB41A8" w:rsidP="0039786A">
            <w:pPr>
              <w:pStyle w:val="NoSpacing"/>
              <w:jc w:val="both"/>
              <w:rPr>
                <w:rFonts w:ascii="Times New Roman" w:hAnsi="Times New Roman"/>
                <w:sz w:val="24"/>
                <w:szCs w:val="24"/>
              </w:rPr>
            </w:pPr>
            <w:r w:rsidRPr="004468B2">
              <w:rPr>
                <w:rFonts w:ascii="Times New Roman" w:hAnsi="Times New Roman"/>
                <w:sz w:val="24"/>
                <w:szCs w:val="24"/>
              </w:rPr>
              <w:lastRenderedPageBreak/>
              <w:t>Noteikumu projektam</w:t>
            </w:r>
            <w:r w:rsidR="004134D0" w:rsidRPr="004468B2">
              <w:rPr>
                <w:rFonts w:ascii="Times New Roman" w:hAnsi="Times New Roman"/>
                <w:sz w:val="24"/>
                <w:szCs w:val="24"/>
              </w:rPr>
              <w:t xml:space="preserve"> būs finansiālā ietekme uz tiem </w:t>
            </w:r>
            <w:r w:rsidR="004134D0" w:rsidRPr="004468B2">
              <w:rPr>
                <w:rFonts w:ascii="Times New Roman" w:hAnsi="Times New Roman"/>
                <w:sz w:val="24"/>
                <w:szCs w:val="24"/>
              </w:rPr>
              <w:lastRenderedPageBreak/>
              <w:t xml:space="preserve">komersantiem, kuri </w:t>
            </w:r>
            <w:r w:rsidR="00BA0D88" w:rsidRPr="004468B2">
              <w:rPr>
                <w:rFonts w:ascii="Times New Roman" w:hAnsi="Times New Roman"/>
                <w:sz w:val="24"/>
                <w:szCs w:val="24"/>
              </w:rPr>
              <w:t xml:space="preserve">izplata </w:t>
            </w:r>
            <w:r w:rsidR="006412A2" w:rsidRPr="004468B2">
              <w:rPr>
                <w:rFonts w:ascii="Times New Roman" w:hAnsi="Times New Roman"/>
                <w:sz w:val="24"/>
                <w:szCs w:val="24"/>
              </w:rPr>
              <w:t>zāles vairumtirdzniecībā (aptuveni 56 zāļu lieltirgotavām), personām, kas nodarbojas ar starpniecības darījumiem ar zālēm, aptiekām, kuras izplata zāles ar tīmekļa starpniecību</w:t>
            </w:r>
            <w:r w:rsidR="0039786A" w:rsidRPr="004468B2">
              <w:rPr>
                <w:rFonts w:ascii="Times New Roman" w:hAnsi="Times New Roman"/>
                <w:sz w:val="24"/>
                <w:szCs w:val="24"/>
              </w:rPr>
              <w:t>, kā arī uz zāļu reģistrācijas īpašniekiem.</w:t>
            </w:r>
          </w:p>
          <w:p w:rsidR="0039786A" w:rsidRPr="004468B2" w:rsidRDefault="0039786A" w:rsidP="0039786A">
            <w:pPr>
              <w:jc w:val="both"/>
              <w:rPr>
                <w:lang w:val="lv-LV"/>
              </w:rPr>
            </w:pPr>
          </w:p>
          <w:p w:rsidR="0039786A" w:rsidRPr="004468B2" w:rsidRDefault="0039786A" w:rsidP="0039786A">
            <w:pPr>
              <w:jc w:val="both"/>
              <w:rPr>
                <w:lang w:val="lv-LV"/>
              </w:rPr>
            </w:pPr>
            <w:r w:rsidRPr="004468B2">
              <w:rPr>
                <w:lang w:val="lv-LV"/>
              </w:rPr>
              <w:t>Finansiālā ietekme attiecināma uz zāļu vairumtirdzniecības realizācijas datu pieprasītāju, apmērs atkarīgs no pieprasīto datu apjoma saskaņā ar Zāļu valsts aģentūras publisko pakalpojumu cenrādi.</w:t>
            </w:r>
          </w:p>
        </w:tc>
      </w:tr>
      <w:tr w:rsidR="004134D0" w:rsidRPr="004468B2" w:rsidTr="008B675E">
        <w:trPr>
          <w:gridBefore w:val="1"/>
          <w:gridAfter w:val="3"/>
          <w:wBefore w:w="34" w:type="dxa"/>
          <w:wAfter w:w="2535"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lastRenderedPageBreak/>
              <w:t>4.</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Tiesiskā regulējuma nefinansiālā ietekme</w:t>
            </w:r>
          </w:p>
        </w:tc>
        <w:tc>
          <w:tcPr>
            <w:tcW w:w="6496" w:type="dxa"/>
            <w:gridSpan w:val="6"/>
            <w:tcBorders>
              <w:top w:val="single" w:sz="4" w:space="0" w:color="auto"/>
              <w:left w:val="single" w:sz="4" w:space="0" w:color="auto"/>
              <w:bottom w:val="single" w:sz="4" w:space="0" w:color="auto"/>
              <w:right w:val="single" w:sz="4" w:space="0" w:color="auto"/>
            </w:tcBorders>
            <w:hideMark/>
          </w:tcPr>
          <w:p w:rsidR="005651EB" w:rsidRPr="004468B2" w:rsidRDefault="00674464" w:rsidP="005651EB">
            <w:pPr>
              <w:pStyle w:val="naiskr"/>
              <w:spacing w:before="0" w:after="0"/>
              <w:jc w:val="both"/>
              <w:rPr>
                <w:spacing w:val="-6"/>
              </w:rPr>
            </w:pPr>
            <w:r w:rsidRPr="004468B2">
              <w:rPr>
                <w:spacing w:val="-6"/>
              </w:rPr>
              <w:t>1. </w:t>
            </w:r>
            <w:r w:rsidR="00BB41A8" w:rsidRPr="004468B2">
              <w:rPr>
                <w:spacing w:val="-6"/>
              </w:rPr>
              <w:t>Noteikumu projekts</w:t>
            </w:r>
            <w:r w:rsidR="004134D0" w:rsidRPr="004468B2">
              <w:rPr>
                <w:spacing w:val="-6"/>
              </w:rPr>
              <w:t xml:space="preserve"> nosaka prasības reģistrēties</w:t>
            </w:r>
            <w:r w:rsidR="005651EB" w:rsidRPr="004468B2">
              <w:rPr>
                <w:spacing w:val="-6"/>
              </w:rPr>
              <w:t xml:space="preserve"> personām, kura</w:t>
            </w:r>
            <w:r w:rsidR="00BA0D88" w:rsidRPr="004468B2">
              <w:rPr>
                <w:spacing w:val="-6"/>
              </w:rPr>
              <w:t>s</w:t>
            </w:r>
            <w:r w:rsidR="005651EB" w:rsidRPr="004468B2">
              <w:rPr>
                <w:spacing w:val="-6"/>
              </w:rPr>
              <w:t xml:space="preserve"> nodarbojas ar starpniecības darījumiem ar zālēm</w:t>
            </w:r>
            <w:r w:rsidR="004134D0" w:rsidRPr="004468B2">
              <w:rPr>
                <w:spacing w:val="-6"/>
              </w:rPr>
              <w:t xml:space="preserve">, līdz ar to paaugstināsies iesaistīto personu atbildība par šo </w:t>
            </w:r>
            <w:r w:rsidR="005651EB" w:rsidRPr="004468B2">
              <w:rPr>
                <w:spacing w:val="-6"/>
              </w:rPr>
              <w:t>zāļu</w:t>
            </w:r>
            <w:r w:rsidR="004134D0" w:rsidRPr="004468B2">
              <w:rPr>
                <w:spacing w:val="-6"/>
              </w:rPr>
              <w:t xml:space="preserve"> kvalitāti</w:t>
            </w:r>
            <w:r w:rsidR="004134D0" w:rsidRPr="004468B2">
              <w:t xml:space="preserve"> </w:t>
            </w:r>
            <w:r w:rsidR="004134D0" w:rsidRPr="004468B2">
              <w:rPr>
                <w:spacing w:val="-6"/>
              </w:rPr>
              <w:t>un atbilstību normatīvo aktu prasībām.</w:t>
            </w:r>
            <w:r w:rsidR="005651EB" w:rsidRPr="004468B2">
              <w:rPr>
                <w:spacing w:val="-6"/>
              </w:rPr>
              <w:t xml:space="preserve"> </w:t>
            </w:r>
            <w:r w:rsidR="007147F7" w:rsidRPr="004468B2">
              <w:rPr>
                <w:spacing w:val="-6"/>
              </w:rPr>
              <w:t xml:space="preserve">Noteikumu projekts </w:t>
            </w:r>
            <w:r w:rsidR="004134D0" w:rsidRPr="004468B2">
              <w:rPr>
                <w:spacing w:val="-6"/>
              </w:rPr>
              <w:t>uzliek jaunus pienākumus valsts kompetentajām institūcijām - Zāļu valsts aģentūrai</w:t>
            </w:r>
            <w:r w:rsidR="005651EB" w:rsidRPr="004468B2">
              <w:rPr>
                <w:spacing w:val="-6"/>
              </w:rPr>
              <w:t xml:space="preserve"> un Veselības inspekcijai a</w:t>
            </w:r>
            <w:r w:rsidR="0050533C" w:rsidRPr="004468B2">
              <w:rPr>
                <w:spacing w:val="-6"/>
              </w:rPr>
              <w:t>ttiecībā uz šo personu darbību.</w:t>
            </w:r>
          </w:p>
          <w:p w:rsidR="004134D0" w:rsidRPr="004468B2" w:rsidRDefault="005651EB" w:rsidP="005651EB">
            <w:pPr>
              <w:pStyle w:val="naiskr"/>
              <w:spacing w:before="0" w:after="0"/>
              <w:jc w:val="both"/>
              <w:rPr>
                <w:bCs/>
                <w:iCs/>
                <w:spacing w:val="-6"/>
              </w:rPr>
            </w:pPr>
            <w:r w:rsidRPr="004468B2">
              <w:rPr>
                <w:spacing w:val="-6"/>
              </w:rPr>
              <w:t>2</w:t>
            </w:r>
            <w:r w:rsidR="0050533C" w:rsidRPr="004468B2">
              <w:rPr>
                <w:spacing w:val="-6"/>
              </w:rPr>
              <w:t>. </w:t>
            </w:r>
            <w:r w:rsidR="004134D0" w:rsidRPr="004468B2">
              <w:rPr>
                <w:spacing w:val="-6"/>
              </w:rPr>
              <w:t>Ieviešot Direktīvas Nr.2011/62</w:t>
            </w:r>
            <w:r w:rsidR="00BA0D88" w:rsidRPr="004468B2">
              <w:rPr>
                <w:spacing w:val="-6"/>
              </w:rPr>
              <w:t>/ES</w:t>
            </w:r>
            <w:r w:rsidR="004134D0" w:rsidRPr="004468B2">
              <w:rPr>
                <w:spacing w:val="-6"/>
              </w:rPr>
              <w:t xml:space="preserve"> </w:t>
            </w:r>
            <w:r w:rsidR="00A11748" w:rsidRPr="004468B2">
              <w:rPr>
                <w:spacing w:val="-6"/>
              </w:rPr>
              <w:t xml:space="preserve">un Nr.2012/26/ES </w:t>
            </w:r>
            <w:r w:rsidR="004134D0" w:rsidRPr="004468B2">
              <w:rPr>
                <w:spacing w:val="-6"/>
              </w:rPr>
              <w:t>prasības</w:t>
            </w:r>
            <w:r w:rsidR="004134D0" w:rsidRPr="004468B2">
              <w:rPr>
                <w:bCs/>
                <w:iCs/>
                <w:spacing w:val="-6"/>
              </w:rPr>
              <w:t xml:space="preserve"> </w:t>
            </w:r>
            <w:r w:rsidR="004134D0" w:rsidRPr="004468B2">
              <w:rPr>
                <w:spacing w:val="-6"/>
              </w:rPr>
              <w:t xml:space="preserve">tiks uzlabota tirgū esošo zāļu drošuma uzraudzība, kas pozitīvi ietekmēs sabiedrības veselību. </w:t>
            </w:r>
            <w:r w:rsidR="004134D0" w:rsidRPr="004468B2">
              <w:rPr>
                <w:bCs/>
                <w:iCs/>
                <w:spacing w:val="-6"/>
              </w:rPr>
              <w:t>Tiks samazināts risks viltotu un nekvalitatīvu zāļu, kas var apdraudēt cilvēka veselību, n</w:t>
            </w:r>
            <w:r w:rsidR="00DA0D4B" w:rsidRPr="004468B2">
              <w:rPr>
                <w:bCs/>
                <w:iCs/>
                <w:spacing w:val="-6"/>
              </w:rPr>
              <w:t>okļūšanai legālās piegādes ķēdē. L</w:t>
            </w:r>
            <w:r w:rsidR="004134D0" w:rsidRPr="004468B2">
              <w:rPr>
                <w:bCs/>
                <w:iCs/>
                <w:spacing w:val="-6"/>
              </w:rPr>
              <w:t>īdz ar to nodrošināts vienāds sabiedrības veselības aizsardzības līmenis visā Eiropas Savienībā.</w:t>
            </w:r>
          </w:p>
          <w:p w:rsidR="00A11748" w:rsidRPr="004468B2" w:rsidRDefault="00A11748" w:rsidP="00A11748">
            <w:pPr>
              <w:jc w:val="both"/>
              <w:rPr>
                <w:lang w:val="lv-LV"/>
              </w:rPr>
            </w:pPr>
            <w:r w:rsidRPr="004468B2">
              <w:rPr>
                <w:lang w:val="lv-LV"/>
              </w:rPr>
              <w:t>3. Noteikumu projektā iekļautās normas vērstas uz zāļu pieejamības uzlabošanu, jo zāļu vairumtirdzniecības realizācijas dati būs pieejami nolūkā veikt zāļu pieejamības analīzi, prognozēt zāļu tirgus attīstību.</w:t>
            </w:r>
          </w:p>
        </w:tc>
      </w:tr>
      <w:tr w:rsidR="004134D0" w:rsidRPr="004468B2" w:rsidTr="008B675E">
        <w:trPr>
          <w:gridBefore w:val="1"/>
          <w:gridAfter w:val="3"/>
          <w:wBefore w:w="34" w:type="dxa"/>
          <w:wAfter w:w="2535" w:type="dxa"/>
          <w:trHeight w:val="531"/>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5.</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Administratīvās procedūras raksturojums</w:t>
            </w:r>
          </w:p>
        </w:tc>
        <w:tc>
          <w:tcPr>
            <w:tcW w:w="6496" w:type="dxa"/>
            <w:gridSpan w:val="6"/>
            <w:tcBorders>
              <w:top w:val="single" w:sz="4" w:space="0" w:color="auto"/>
              <w:left w:val="single" w:sz="4" w:space="0" w:color="auto"/>
              <w:bottom w:val="single" w:sz="4" w:space="0" w:color="auto"/>
              <w:right w:val="single" w:sz="4" w:space="0" w:color="auto"/>
            </w:tcBorders>
            <w:hideMark/>
          </w:tcPr>
          <w:p w:rsidR="004134D0" w:rsidRPr="004468B2" w:rsidRDefault="004674DF" w:rsidP="00DE456B">
            <w:pPr>
              <w:pStyle w:val="Bezatstarpm1"/>
              <w:jc w:val="both"/>
              <w:rPr>
                <w:rFonts w:ascii="Times New Roman" w:hAnsi="Times New Roman"/>
              </w:rPr>
            </w:pPr>
            <w:proofErr w:type="spellStart"/>
            <w:r w:rsidRPr="004468B2">
              <w:rPr>
                <w:rFonts w:ascii="Times New Roman" w:hAnsi="Times New Roman"/>
              </w:rPr>
              <w:t>P</w:t>
            </w:r>
            <w:r w:rsidR="004134D0" w:rsidRPr="004468B2">
              <w:rPr>
                <w:rFonts w:ascii="Times New Roman" w:hAnsi="Times New Roman"/>
              </w:rPr>
              <w:t>aredzēts</w:t>
            </w:r>
            <w:proofErr w:type="spellEnd"/>
            <w:r w:rsidR="004134D0" w:rsidRPr="004468B2">
              <w:rPr>
                <w:rFonts w:ascii="Times New Roman" w:hAnsi="Times New Roman"/>
              </w:rPr>
              <w:t xml:space="preserve"> </w:t>
            </w:r>
            <w:proofErr w:type="spellStart"/>
            <w:r w:rsidR="004134D0" w:rsidRPr="004468B2">
              <w:rPr>
                <w:rFonts w:ascii="Times New Roman" w:hAnsi="Times New Roman"/>
              </w:rPr>
              <w:t>noteikt</w:t>
            </w:r>
            <w:proofErr w:type="spellEnd"/>
            <w:r w:rsidR="004134D0" w:rsidRPr="004468B2">
              <w:rPr>
                <w:rFonts w:ascii="Times New Roman" w:hAnsi="Times New Roman"/>
              </w:rPr>
              <w:t xml:space="preserve"> </w:t>
            </w:r>
            <w:proofErr w:type="spellStart"/>
            <w:r w:rsidR="004134D0" w:rsidRPr="004468B2">
              <w:rPr>
                <w:rFonts w:ascii="Times New Roman" w:hAnsi="Times New Roman"/>
              </w:rPr>
              <w:t>jaunas</w:t>
            </w:r>
            <w:proofErr w:type="spellEnd"/>
            <w:r w:rsidR="004134D0" w:rsidRPr="004468B2">
              <w:rPr>
                <w:rFonts w:ascii="Times New Roman" w:hAnsi="Times New Roman"/>
              </w:rPr>
              <w:t xml:space="preserve"> </w:t>
            </w:r>
            <w:proofErr w:type="spellStart"/>
            <w:r w:rsidR="004134D0" w:rsidRPr="004468B2">
              <w:rPr>
                <w:rFonts w:ascii="Times New Roman" w:hAnsi="Times New Roman"/>
              </w:rPr>
              <w:t>administratīvās</w:t>
            </w:r>
            <w:proofErr w:type="spellEnd"/>
            <w:r w:rsidR="004134D0" w:rsidRPr="004468B2">
              <w:rPr>
                <w:rFonts w:ascii="Times New Roman" w:hAnsi="Times New Roman"/>
              </w:rPr>
              <w:t xml:space="preserve"> </w:t>
            </w:r>
            <w:proofErr w:type="spellStart"/>
            <w:r w:rsidR="004134D0" w:rsidRPr="004468B2">
              <w:rPr>
                <w:rFonts w:ascii="Times New Roman" w:hAnsi="Times New Roman"/>
              </w:rPr>
              <w:t>procedūras</w:t>
            </w:r>
            <w:proofErr w:type="spellEnd"/>
            <w:r w:rsidR="004134D0" w:rsidRPr="004468B2">
              <w:rPr>
                <w:rFonts w:ascii="Times New Roman" w:hAnsi="Times New Roman"/>
              </w:rPr>
              <w:t xml:space="preserve"> </w:t>
            </w:r>
            <w:proofErr w:type="spellStart"/>
            <w:r w:rsidR="00CA5D5A" w:rsidRPr="004468B2">
              <w:rPr>
                <w:rFonts w:ascii="Times New Roman" w:hAnsi="Times New Roman"/>
              </w:rPr>
              <w:t>zāļu</w:t>
            </w:r>
            <w:proofErr w:type="spellEnd"/>
            <w:r w:rsidRPr="004468B2">
              <w:rPr>
                <w:rFonts w:ascii="Times New Roman" w:hAnsi="Times New Roman"/>
              </w:rPr>
              <w:t xml:space="preserve"> </w:t>
            </w:r>
            <w:proofErr w:type="spellStart"/>
            <w:r w:rsidRPr="004468B2">
              <w:rPr>
                <w:rFonts w:ascii="Times New Roman" w:hAnsi="Times New Roman"/>
              </w:rPr>
              <w:t>labas</w:t>
            </w:r>
            <w:proofErr w:type="spellEnd"/>
            <w:r w:rsidRPr="004468B2">
              <w:rPr>
                <w:rFonts w:ascii="Times New Roman" w:hAnsi="Times New Roman"/>
              </w:rPr>
              <w:t xml:space="preserve"> </w:t>
            </w:r>
            <w:proofErr w:type="spellStart"/>
            <w:r w:rsidRPr="004468B2">
              <w:rPr>
                <w:rFonts w:ascii="Times New Roman" w:hAnsi="Times New Roman"/>
              </w:rPr>
              <w:t>izplatīšanas</w:t>
            </w:r>
            <w:proofErr w:type="spellEnd"/>
            <w:r w:rsidRPr="004468B2">
              <w:rPr>
                <w:rFonts w:ascii="Times New Roman" w:hAnsi="Times New Roman"/>
              </w:rPr>
              <w:t xml:space="preserve"> </w:t>
            </w:r>
            <w:proofErr w:type="spellStart"/>
            <w:r w:rsidR="004134D0" w:rsidRPr="004468B2">
              <w:rPr>
                <w:rFonts w:ascii="Times New Roman" w:hAnsi="Times New Roman"/>
              </w:rPr>
              <w:t>prakses</w:t>
            </w:r>
            <w:proofErr w:type="spellEnd"/>
            <w:r w:rsidR="004134D0" w:rsidRPr="004468B2">
              <w:rPr>
                <w:rFonts w:ascii="Times New Roman" w:hAnsi="Times New Roman"/>
              </w:rPr>
              <w:t xml:space="preserve"> </w:t>
            </w:r>
            <w:proofErr w:type="spellStart"/>
            <w:r w:rsidR="004134D0" w:rsidRPr="004468B2">
              <w:rPr>
                <w:rFonts w:ascii="Times New Roman" w:hAnsi="Times New Roman"/>
              </w:rPr>
              <w:t>sertifikāta</w:t>
            </w:r>
            <w:proofErr w:type="spellEnd"/>
            <w:r w:rsidR="004134D0" w:rsidRPr="004468B2">
              <w:rPr>
                <w:rFonts w:ascii="Times New Roman" w:hAnsi="Times New Roman"/>
              </w:rPr>
              <w:t xml:space="preserve"> </w:t>
            </w:r>
            <w:proofErr w:type="spellStart"/>
            <w:r w:rsidR="004134D0" w:rsidRPr="004468B2">
              <w:rPr>
                <w:rFonts w:ascii="Times New Roman" w:hAnsi="Times New Roman"/>
              </w:rPr>
              <w:t>izsniegšanai</w:t>
            </w:r>
            <w:proofErr w:type="spellEnd"/>
            <w:r w:rsidR="00DA0D4B" w:rsidRPr="004468B2">
              <w:rPr>
                <w:rFonts w:ascii="Times New Roman" w:hAnsi="Times New Roman"/>
              </w:rPr>
              <w:t xml:space="preserve">, </w:t>
            </w:r>
            <w:proofErr w:type="spellStart"/>
            <w:r w:rsidR="00DA0D4B" w:rsidRPr="004468B2">
              <w:rPr>
                <w:rFonts w:ascii="Times New Roman" w:hAnsi="Times New Roman"/>
              </w:rPr>
              <w:t>kā</w:t>
            </w:r>
            <w:proofErr w:type="spellEnd"/>
            <w:r w:rsidR="00DA0D4B" w:rsidRPr="004468B2">
              <w:rPr>
                <w:rFonts w:ascii="Times New Roman" w:hAnsi="Times New Roman"/>
              </w:rPr>
              <w:t xml:space="preserve"> </w:t>
            </w:r>
            <w:proofErr w:type="spellStart"/>
            <w:r w:rsidR="00DA0D4B" w:rsidRPr="004468B2">
              <w:rPr>
                <w:rFonts w:ascii="Times New Roman" w:hAnsi="Times New Roman"/>
              </w:rPr>
              <w:t>arī</w:t>
            </w:r>
            <w:proofErr w:type="spellEnd"/>
            <w:r w:rsidR="00DA0D4B" w:rsidRPr="004468B2">
              <w:rPr>
                <w:rFonts w:ascii="Times New Roman" w:hAnsi="Times New Roman"/>
              </w:rPr>
              <w:t xml:space="preserve"> </w:t>
            </w:r>
            <w:r w:rsidR="00CA5D5A" w:rsidRPr="004468B2">
              <w:rPr>
                <w:rFonts w:ascii="Times New Roman" w:hAnsi="Times New Roman"/>
              </w:rPr>
              <w:t xml:space="preserve">to </w:t>
            </w:r>
            <w:proofErr w:type="spellStart"/>
            <w:r w:rsidR="00CA5D5A" w:rsidRPr="004468B2">
              <w:rPr>
                <w:rFonts w:ascii="Times New Roman" w:hAnsi="Times New Roman"/>
              </w:rPr>
              <w:t>personu</w:t>
            </w:r>
            <w:proofErr w:type="spellEnd"/>
            <w:r w:rsidR="00C157ED" w:rsidRPr="004468B2">
              <w:rPr>
                <w:rFonts w:ascii="Times New Roman" w:hAnsi="Times New Roman"/>
              </w:rPr>
              <w:t xml:space="preserve"> </w:t>
            </w:r>
            <w:proofErr w:type="spellStart"/>
            <w:r w:rsidR="00C157ED" w:rsidRPr="004468B2">
              <w:rPr>
                <w:rFonts w:ascii="Times New Roman" w:hAnsi="Times New Roman"/>
              </w:rPr>
              <w:t>reģistrēšanai</w:t>
            </w:r>
            <w:proofErr w:type="spellEnd"/>
            <w:r w:rsidR="00CA5D5A" w:rsidRPr="004468B2">
              <w:rPr>
                <w:rFonts w:ascii="Times New Roman" w:hAnsi="Times New Roman"/>
              </w:rPr>
              <w:t xml:space="preserve">, </w:t>
            </w:r>
            <w:proofErr w:type="spellStart"/>
            <w:r w:rsidR="00CA5D5A" w:rsidRPr="004468B2">
              <w:rPr>
                <w:rFonts w:ascii="Times New Roman" w:hAnsi="Times New Roman"/>
              </w:rPr>
              <w:t>kuru</w:t>
            </w:r>
            <w:proofErr w:type="spellEnd"/>
            <w:r w:rsidR="00CA5D5A" w:rsidRPr="004468B2">
              <w:rPr>
                <w:rFonts w:ascii="Times New Roman" w:hAnsi="Times New Roman"/>
              </w:rPr>
              <w:t xml:space="preserve"> </w:t>
            </w:r>
            <w:proofErr w:type="spellStart"/>
            <w:r w:rsidR="00CA5D5A" w:rsidRPr="004468B2">
              <w:rPr>
                <w:rFonts w:ascii="Times New Roman" w:hAnsi="Times New Roman"/>
              </w:rPr>
              <w:t>nodarbojas</w:t>
            </w:r>
            <w:proofErr w:type="spellEnd"/>
            <w:r w:rsidR="00CA5D5A" w:rsidRPr="004468B2">
              <w:rPr>
                <w:rFonts w:ascii="Times New Roman" w:hAnsi="Times New Roman"/>
              </w:rPr>
              <w:t xml:space="preserve"> </w:t>
            </w:r>
            <w:proofErr w:type="spellStart"/>
            <w:r w:rsidR="00CA5D5A" w:rsidRPr="004468B2">
              <w:rPr>
                <w:rFonts w:ascii="Times New Roman" w:hAnsi="Times New Roman"/>
              </w:rPr>
              <w:t>ar</w:t>
            </w:r>
            <w:proofErr w:type="spellEnd"/>
            <w:r w:rsidR="00CA5D5A" w:rsidRPr="004468B2">
              <w:rPr>
                <w:rFonts w:ascii="Times New Roman" w:hAnsi="Times New Roman"/>
              </w:rPr>
              <w:t xml:space="preserve"> </w:t>
            </w:r>
            <w:proofErr w:type="spellStart"/>
            <w:r w:rsidR="00CA5D5A" w:rsidRPr="004468B2">
              <w:rPr>
                <w:rFonts w:ascii="Times New Roman" w:hAnsi="Times New Roman"/>
              </w:rPr>
              <w:t>starpniecības</w:t>
            </w:r>
            <w:proofErr w:type="spellEnd"/>
            <w:r w:rsidR="00CA5D5A" w:rsidRPr="004468B2">
              <w:rPr>
                <w:rFonts w:ascii="Times New Roman" w:hAnsi="Times New Roman"/>
              </w:rPr>
              <w:t xml:space="preserve"> </w:t>
            </w:r>
            <w:proofErr w:type="spellStart"/>
            <w:r w:rsidR="00CA5D5A" w:rsidRPr="004468B2">
              <w:rPr>
                <w:rFonts w:ascii="Times New Roman" w:hAnsi="Times New Roman"/>
              </w:rPr>
              <w:t>darījumiem</w:t>
            </w:r>
            <w:proofErr w:type="spellEnd"/>
            <w:r w:rsidR="00CA5D5A" w:rsidRPr="004468B2">
              <w:rPr>
                <w:rFonts w:ascii="Times New Roman" w:hAnsi="Times New Roman"/>
              </w:rPr>
              <w:t xml:space="preserve"> </w:t>
            </w:r>
            <w:proofErr w:type="spellStart"/>
            <w:r w:rsidR="00CA5D5A" w:rsidRPr="004468B2">
              <w:rPr>
                <w:rFonts w:ascii="Times New Roman" w:hAnsi="Times New Roman"/>
              </w:rPr>
              <w:t>ar</w:t>
            </w:r>
            <w:proofErr w:type="spellEnd"/>
            <w:r w:rsidR="00CA5D5A" w:rsidRPr="004468B2">
              <w:rPr>
                <w:rFonts w:ascii="Times New Roman" w:hAnsi="Times New Roman"/>
              </w:rPr>
              <w:t xml:space="preserve"> </w:t>
            </w:r>
            <w:proofErr w:type="spellStart"/>
            <w:r w:rsidR="00CA5D5A" w:rsidRPr="004468B2">
              <w:rPr>
                <w:rFonts w:ascii="Times New Roman" w:hAnsi="Times New Roman"/>
              </w:rPr>
              <w:t>zālēm</w:t>
            </w:r>
            <w:proofErr w:type="spellEnd"/>
            <w:r w:rsidR="00CA5D5A" w:rsidRPr="004468B2">
              <w:rPr>
                <w:rFonts w:ascii="Times New Roman" w:hAnsi="Times New Roman"/>
              </w:rPr>
              <w:t>.</w:t>
            </w:r>
          </w:p>
          <w:p w:rsidR="0026778F" w:rsidRPr="004468B2" w:rsidRDefault="0026778F" w:rsidP="00DE456B">
            <w:pPr>
              <w:pStyle w:val="Bezatstarpm1"/>
              <w:jc w:val="both"/>
              <w:rPr>
                <w:rFonts w:ascii="Times New Roman" w:hAnsi="Times New Roman"/>
              </w:rPr>
            </w:pPr>
          </w:p>
          <w:p w:rsidR="0026778F" w:rsidRPr="004468B2" w:rsidRDefault="0026778F" w:rsidP="00DE456B">
            <w:pPr>
              <w:pStyle w:val="Bezatstarpm1"/>
              <w:jc w:val="both"/>
              <w:rPr>
                <w:rFonts w:ascii="Times New Roman" w:hAnsi="Times New Roman"/>
              </w:rPr>
            </w:pPr>
            <w:r w:rsidRPr="004468B2">
              <w:rPr>
                <w:rFonts w:ascii="Times New Roman" w:hAnsi="Times New Roman"/>
              </w:rPr>
              <w:t>Aptiekai, kura uzsāk pārdot zāles ar tīmekļa starpniecību, turpmāk būs jāpaziņo Veselības inspekcijai par zāļu izplatīšanas uzsākšanas datumu ar tīmekļa starpniecību.</w:t>
            </w:r>
          </w:p>
        </w:tc>
      </w:tr>
      <w:tr w:rsidR="004134D0" w:rsidRPr="004468B2" w:rsidTr="008B675E">
        <w:trPr>
          <w:gridBefore w:val="1"/>
          <w:gridAfter w:val="3"/>
          <w:wBefore w:w="34" w:type="dxa"/>
          <w:wAfter w:w="2535" w:type="dxa"/>
          <w:trHeight w:val="3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6.</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pPr>
            <w:r w:rsidRPr="004468B2">
              <w:t>Administratīvo izmaksu monetārs novērtējums</w:t>
            </w:r>
          </w:p>
        </w:tc>
        <w:tc>
          <w:tcPr>
            <w:tcW w:w="6496" w:type="dxa"/>
            <w:gridSpan w:val="6"/>
            <w:tcBorders>
              <w:top w:val="single" w:sz="4" w:space="0" w:color="auto"/>
              <w:left w:val="single" w:sz="4" w:space="0" w:color="auto"/>
              <w:bottom w:val="single" w:sz="4" w:space="0" w:color="auto"/>
              <w:right w:val="single" w:sz="4" w:space="0" w:color="auto"/>
            </w:tcBorders>
            <w:hideMark/>
          </w:tcPr>
          <w:p w:rsidR="004134D0" w:rsidRPr="004468B2" w:rsidRDefault="00B9395B" w:rsidP="004134D0">
            <w:pPr>
              <w:pStyle w:val="naiskr"/>
              <w:jc w:val="both"/>
            </w:pPr>
            <w:r w:rsidRPr="004468B2">
              <w:t>Pašreiz to nevar noteikt</w:t>
            </w:r>
            <w:r w:rsidR="00DA1D5F" w:rsidRPr="004468B2">
              <w:t>.</w:t>
            </w:r>
          </w:p>
        </w:tc>
      </w:tr>
      <w:tr w:rsidR="004134D0" w:rsidRPr="004468B2" w:rsidTr="00265129">
        <w:trPr>
          <w:gridBefore w:val="1"/>
          <w:gridAfter w:val="3"/>
          <w:wBefore w:w="34" w:type="dxa"/>
          <w:wAfter w:w="2535" w:type="dxa"/>
          <w:trHeight w:val="67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jc w:val="both"/>
            </w:pPr>
            <w:r w:rsidRPr="004468B2">
              <w:t>7.</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jc w:val="both"/>
            </w:pPr>
            <w:r w:rsidRPr="004468B2">
              <w:t>Cita informācija</w:t>
            </w:r>
          </w:p>
        </w:tc>
        <w:tc>
          <w:tcPr>
            <w:tcW w:w="6496" w:type="dxa"/>
            <w:gridSpan w:val="6"/>
            <w:tcBorders>
              <w:top w:val="single" w:sz="4" w:space="0" w:color="auto"/>
              <w:left w:val="single" w:sz="4" w:space="0" w:color="auto"/>
              <w:bottom w:val="single" w:sz="4" w:space="0" w:color="auto"/>
              <w:right w:val="single" w:sz="4" w:space="0" w:color="auto"/>
            </w:tcBorders>
            <w:hideMark/>
          </w:tcPr>
          <w:p w:rsidR="004134D0" w:rsidRPr="004468B2" w:rsidRDefault="00DA34EF" w:rsidP="004134D0">
            <w:pPr>
              <w:pStyle w:val="naiskr"/>
              <w:jc w:val="both"/>
            </w:pPr>
            <w:r w:rsidRPr="004468B2">
              <w:t>Nav.</w:t>
            </w:r>
          </w:p>
        </w:tc>
      </w:tr>
      <w:tr w:rsidR="004134D0" w:rsidRPr="004468B2"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76"/>
              <w:gridCol w:w="1313"/>
              <w:gridCol w:w="1263"/>
              <w:gridCol w:w="1263"/>
              <w:gridCol w:w="1264"/>
              <w:gridCol w:w="254"/>
              <w:gridCol w:w="71"/>
            </w:tblGrid>
            <w:tr w:rsidR="00811CEA" w:rsidRPr="004468B2" w:rsidTr="000F61F2">
              <w:trPr>
                <w:trHeight w:val="510"/>
                <w:jc w:val="center"/>
              </w:trPr>
              <w:tc>
                <w:tcPr>
                  <w:tcW w:w="10124" w:type="dxa"/>
                  <w:gridSpan w:val="8"/>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nod"/>
                    <w:spacing w:before="0" w:after="0"/>
                    <w:rPr>
                      <w:i/>
                      <w:noProof/>
                      <w:sz w:val="22"/>
                      <w:szCs w:val="22"/>
                    </w:rPr>
                  </w:pPr>
                  <w:r w:rsidRPr="004468B2">
                    <w:rPr>
                      <w:b w:val="0"/>
                      <w:bCs w:val="0"/>
                      <w:noProof/>
                      <w:sz w:val="22"/>
                      <w:szCs w:val="22"/>
                    </w:rPr>
                    <w:br w:type="page"/>
                  </w:r>
                  <w:r w:rsidRPr="004468B2">
                    <w:rPr>
                      <w:noProof/>
                    </w:rPr>
                    <w:t>III. Tiesību akta projekta ietekme uz valsts budžetu un pašvaldību budžetiem</w:t>
                  </w:r>
                </w:p>
              </w:tc>
            </w:tr>
            <w:tr w:rsidR="00811CEA" w:rsidRPr="004468B2" w:rsidTr="000F61F2">
              <w:trPr>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ind w:left="335"/>
                    <w:jc w:val="center"/>
                    <w:rPr>
                      <w:b/>
                      <w:noProof/>
                      <w:lang w:val="lv-LV" w:eastAsia="lv-LV"/>
                    </w:rPr>
                  </w:pPr>
                  <w:r w:rsidRPr="004468B2">
                    <w:rPr>
                      <w:b/>
                      <w:noProof/>
                      <w:lang w:val="lv-LV"/>
                    </w:rPr>
                    <w:t>Rādītāji</w:t>
                  </w:r>
                </w:p>
              </w:tc>
              <w:tc>
                <w:tcPr>
                  <w:tcW w:w="25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noProof/>
                      <w:lang w:val="lv-LV" w:eastAsia="lv-LV"/>
                    </w:rPr>
                  </w:pPr>
                  <w:r w:rsidRPr="004468B2">
                    <w:rPr>
                      <w:b/>
                      <w:noProof/>
                      <w:lang w:val="lv-LV"/>
                    </w:rPr>
                    <w:t>2013.gads</w:t>
                  </w:r>
                </w:p>
              </w:tc>
              <w:tc>
                <w:tcPr>
                  <w:tcW w:w="4115" w:type="dxa"/>
                  <w:gridSpan w:val="5"/>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4468B2">
                      <w:rPr>
                        <w:noProof/>
                        <w:lang w:val="lv-LV"/>
                      </w:rPr>
                      <w:t>. latu</w:t>
                    </w:r>
                  </w:smartTag>
                  <w:r w:rsidRPr="004468B2">
                    <w:rPr>
                      <w:noProof/>
                      <w:lang w:val="lv-LV"/>
                    </w:rPr>
                    <w:t>)</w:t>
                  </w:r>
                </w:p>
              </w:tc>
            </w:tr>
            <w:tr w:rsidR="00811CEA" w:rsidRPr="004468B2" w:rsidTr="000F61F2">
              <w:trPr>
                <w:gridAfter w:val="2"/>
                <w:wAfter w:w="325" w:type="dxa"/>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ind w:left="335"/>
                    <w:rPr>
                      <w:b/>
                      <w:noProof/>
                      <w:lang w:val="lv-LV" w:eastAsia="lv-LV"/>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rPr>
                      <w:b/>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b/>
                      <w:bCs/>
                      <w:noProof/>
                      <w:lang w:val="lv-LV"/>
                    </w:rPr>
                    <w:t>2014.g.</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b/>
                      <w:bCs/>
                      <w:noProof/>
                      <w:lang w:val="lv-LV"/>
                    </w:rPr>
                    <w:t>2015.g.</w:t>
                  </w:r>
                </w:p>
              </w:tc>
              <w:tc>
                <w:tcPr>
                  <w:tcW w:w="1264"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b/>
                      <w:bCs/>
                      <w:noProof/>
                      <w:lang w:val="lv-LV"/>
                    </w:rPr>
                    <w:t>2016.g.</w:t>
                  </w:r>
                </w:p>
              </w:tc>
            </w:tr>
            <w:tr w:rsidR="00811CEA" w:rsidRPr="004468B2" w:rsidTr="000F61F2">
              <w:trPr>
                <w:gridAfter w:val="2"/>
                <w:wAfter w:w="325" w:type="dxa"/>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ind w:left="335"/>
                    <w:rPr>
                      <w:b/>
                      <w:noProof/>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t xml:space="preserve">Saskaņā ar valsts budžetu kārtējam </w:t>
                  </w:r>
                  <w:r w:rsidRPr="004468B2">
                    <w:rPr>
                      <w:noProof/>
                      <w:lang w:val="lv-LV"/>
                    </w:rPr>
                    <w:lastRenderedPageBreak/>
                    <w:t>gadam</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lastRenderedPageBreak/>
                    <w:t xml:space="preserve">Izmaiņas kārtējā gadā, salīdzinot </w:t>
                  </w:r>
                  <w:r w:rsidRPr="004468B2">
                    <w:rPr>
                      <w:noProof/>
                      <w:lang w:val="lv-LV"/>
                    </w:rPr>
                    <w:lastRenderedPageBreak/>
                    <w:t>ar budžetu kārtējam gadam</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lastRenderedPageBreak/>
                    <w:t>Izmaiņas, salīdzinot ar kārtējo (n) gadu</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t>Izmaiņas, salīdzinot ar kārtējo (n) gadu</w:t>
                  </w:r>
                </w:p>
              </w:tc>
              <w:tc>
                <w:tcPr>
                  <w:tcW w:w="1264"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
                      <w:i/>
                      <w:noProof/>
                      <w:lang w:val="lv-LV" w:eastAsia="lv-LV"/>
                    </w:rPr>
                  </w:pPr>
                  <w:r w:rsidRPr="004468B2">
                    <w:rPr>
                      <w:noProof/>
                      <w:lang w:val="lv-LV"/>
                    </w:rPr>
                    <w:t>Izmaiņas, salīdzinot ar kārtējo (n) gadu</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ind w:left="335"/>
                    <w:jc w:val="center"/>
                    <w:rPr>
                      <w:bCs/>
                      <w:noProof/>
                      <w:sz w:val="20"/>
                      <w:szCs w:val="20"/>
                      <w:lang w:val="lv-LV" w:eastAsia="lv-LV"/>
                    </w:rPr>
                  </w:pPr>
                  <w:r w:rsidRPr="004468B2">
                    <w:rPr>
                      <w:bCs/>
                      <w:noProof/>
                      <w:sz w:val="20"/>
                      <w:szCs w:val="20"/>
                      <w:lang w:val="lv-LV"/>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Cs/>
                      <w:noProof/>
                      <w:sz w:val="20"/>
                      <w:szCs w:val="20"/>
                      <w:lang w:val="lv-LV" w:eastAsia="lv-LV"/>
                    </w:rPr>
                  </w:pPr>
                  <w:r w:rsidRPr="004468B2">
                    <w:rPr>
                      <w:bCs/>
                      <w:noProof/>
                      <w:sz w:val="20"/>
                      <w:szCs w:val="20"/>
                      <w:lang w:val="lv-LV"/>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Cs/>
                      <w:noProof/>
                      <w:sz w:val="20"/>
                      <w:szCs w:val="20"/>
                      <w:lang w:val="lv-LV" w:eastAsia="lv-LV"/>
                    </w:rPr>
                  </w:pPr>
                  <w:r w:rsidRPr="004468B2">
                    <w:rPr>
                      <w:bCs/>
                      <w:noProof/>
                      <w:sz w:val="20"/>
                      <w:szCs w:val="20"/>
                      <w:lang w:val="lv-LV"/>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Cs/>
                      <w:noProof/>
                      <w:sz w:val="20"/>
                      <w:szCs w:val="20"/>
                      <w:lang w:val="lv-LV" w:eastAsia="lv-LV"/>
                    </w:rPr>
                  </w:pPr>
                  <w:r w:rsidRPr="004468B2">
                    <w:rPr>
                      <w:bCs/>
                      <w:noProof/>
                      <w:sz w:val="20"/>
                      <w:szCs w:val="20"/>
                      <w:lang w:val="lv-LV"/>
                    </w:rPr>
                    <w:t>4</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Cs/>
                      <w:noProof/>
                      <w:sz w:val="20"/>
                      <w:szCs w:val="20"/>
                      <w:lang w:val="lv-LV" w:eastAsia="lv-LV"/>
                    </w:rPr>
                  </w:pPr>
                  <w:r w:rsidRPr="004468B2">
                    <w:rPr>
                      <w:bCs/>
                      <w:noProof/>
                      <w:sz w:val="20"/>
                      <w:szCs w:val="20"/>
                      <w:lang w:val="lv-LV"/>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bCs/>
                      <w:noProof/>
                      <w:sz w:val="20"/>
                      <w:szCs w:val="20"/>
                      <w:lang w:val="lv-LV" w:eastAsia="lv-LV"/>
                    </w:rPr>
                  </w:pPr>
                  <w:r w:rsidRPr="004468B2">
                    <w:rPr>
                      <w:bCs/>
                      <w:noProof/>
                      <w:sz w:val="20"/>
                      <w:szCs w:val="20"/>
                      <w:lang w:val="lv-LV"/>
                    </w:rPr>
                    <w:t>6</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pStyle w:val="naisf"/>
                    <w:spacing w:before="0" w:after="0"/>
                    <w:ind w:left="335"/>
                    <w:rPr>
                      <w:b/>
                      <w:i/>
                      <w:noProof/>
                      <w:lang w:val="lv-LV" w:eastAsia="lv-LV"/>
                    </w:rPr>
                  </w:pPr>
                  <w:r w:rsidRPr="004468B2">
                    <w:rPr>
                      <w:b/>
                      <w:noProof/>
                      <w:lang w:val="lv-LV"/>
                    </w:rPr>
                    <w:t>1. Budžeta ieņēmumi:</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pStyle w:val="naisf"/>
                    <w:spacing w:before="0" w:after="0"/>
                    <w:ind w:left="335"/>
                    <w:rPr>
                      <w:i/>
                      <w:noProof/>
                      <w:lang w:val="lv-LV" w:eastAsia="lv-LV"/>
                    </w:rPr>
                  </w:pPr>
                  <w:r w:rsidRPr="004468B2">
                    <w:rPr>
                      <w:noProof/>
                      <w:lang w:val="lv-LV"/>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2 512,3</w:t>
                  </w:r>
                </w:p>
                <w:p w:rsidR="00811CEA" w:rsidRPr="004468B2" w:rsidRDefault="00811CEA" w:rsidP="000F61F2">
                  <w:pPr>
                    <w:pStyle w:val="naisf"/>
                    <w:spacing w:before="0" w:after="0"/>
                    <w:jc w:val="center"/>
                    <w:rPr>
                      <w:noProof/>
                      <w:lang w:val="lv-LV" w:eastAsia="lv-LV"/>
                    </w:rPr>
                  </w:pPr>
                  <w:r w:rsidRPr="004468B2">
                    <w:rPr>
                      <w:noProof/>
                      <w:lang w:val="lv-LV" w:eastAsia="lv-LV"/>
                    </w:rPr>
                    <w:t>186,8</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pStyle w:val="naisf"/>
                    <w:spacing w:before="0" w:after="0"/>
                    <w:ind w:left="335"/>
                    <w:rPr>
                      <w:i/>
                      <w:noProof/>
                      <w:lang w:val="lv-LV" w:eastAsia="lv-LV"/>
                    </w:rPr>
                  </w:pPr>
                  <w:r w:rsidRPr="004468B2">
                    <w:rPr>
                      <w:noProof/>
                      <w:lang w:val="lv-LV"/>
                    </w:rPr>
                    <w:t>1.2.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pStyle w:val="naisf"/>
                    <w:spacing w:before="0" w:after="0"/>
                    <w:ind w:left="335"/>
                    <w:rPr>
                      <w:i/>
                      <w:noProof/>
                      <w:lang w:val="lv-LV" w:eastAsia="lv-LV"/>
                    </w:rPr>
                  </w:pPr>
                  <w:r w:rsidRPr="004468B2">
                    <w:rPr>
                      <w:noProof/>
                      <w:lang w:val="lv-LV"/>
                    </w:rPr>
                    <w:t>1.3. pašvaldību 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b/>
                      <w:noProof/>
                      <w:lang w:val="lv-LV" w:eastAsia="lv-LV"/>
                    </w:rPr>
                  </w:pPr>
                  <w:r w:rsidRPr="004468B2">
                    <w:rPr>
                      <w:b/>
                      <w:noProof/>
                      <w:lang w:val="lv-LV"/>
                    </w:rPr>
                    <w:t>2. Budžeta izdevumi:</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2.1. valsts pamatbudžets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2 512,3</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2.2.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 xml:space="preserve">2.3. pašvaldību budžets </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b/>
                      <w:noProof/>
                      <w:lang w:val="lv-LV" w:eastAsia="lv-LV"/>
                    </w:rPr>
                  </w:pPr>
                  <w:r w:rsidRPr="004468B2">
                    <w:rPr>
                      <w:b/>
                      <w:noProof/>
                      <w:lang w:val="lv-LV"/>
                    </w:rPr>
                    <w:t>3. Finansiālā ietekme:</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3.1. valsts pamatbudžets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3.2.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 xml:space="preserve">3.3. pašvaldību budžets </w:t>
                  </w:r>
                </w:p>
              </w:tc>
              <w:tc>
                <w:tcPr>
                  <w:tcW w:w="1276"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trHeight w:val="1012"/>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rPr>
                      <w:noProof/>
                      <w:lang w:val="lv-LV" w:eastAsia="lv-LV"/>
                    </w:rPr>
                  </w:pPr>
                  <w:r w:rsidRPr="004468B2">
                    <w:rPr>
                      <w:b/>
                      <w:noProof/>
                      <w:lang w:val="lv-LV"/>
                    </w:rPr>
                    <w:t>4. Finanšu līdzekļi papildu izde</w:t>
                  </w:r>
                  <w:r w:rsidRPr="004468B2">
                    <w:rPr>
                      <w:b/>
                      <w:noProof/>
                      <w:lang w:val="lv-LV"/>
                    </w:rPr>
                    <w:softHyphen/>
                    <w:t>vumu finansēšanai</w:t>
                  </w:r>
                  <w:r w:rsidRPr="004468B2">
                    <w:rPr>
                      <w:noProof/>
                      <w:lang w:val="lv-LV"/>
                    </w:rPr>
                    <w:t xml:space="preserve"> (kompensējošu izdevumu sama</w:t>
                  </w:r>
                  <w:r w:rsidRPr="004468B2">
                    <w:rPr>
                      <w:noProof/>
                      <w:lang w:val="lv-LV"/>
                    </w:rPr>
                    <w:softHyphen/>
                    <w:t>zinājumu norāda ar "+" zīmi)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noProof/>
                      <w:lang w:val="lv-LV" w:eastAsia="lv-LV"/>
                    </w:rPr>
                  </w:pPr>
                  <w:r w:rsidRPr="004468B2">
                    <w:rPr>
                      <w:noProof/>
                      <w:lang w:val="lv-LV"/>
                    </w:rPr>
                    <w:t>X</w:t>
                  </w:r>
                </w:p>
              </w:tc>
              <w:tc>
                <w:tcPr>
                  <w:tcW w:w="1313" w:type="dxa"/>
                  <w:tcBorders>
                    <w:top w:val="single" w:sz="4" w:space="0" w:color="auto"/>
                    <w:left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4" w:type="dxa"/>
                  <w:tcBorders>
                    <w:top w:val="single" w:sz="4" w:space="0" w:color="auto"/>
                    <w:left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rPr>
                      <w:noProof/>
                      <w:lang w:val="lv-LV" w:eastAsia="lv-LV"/>
                    </w:rPr>
                  </w:pPr>
                  <w:r w:rsidRPr="004468B2">
                    <w:rPr>
                      <w:b/>
                      <w:noProof/>
                      <w:lang w:val="lv-LV"/>
                    </w:rPr>
                    <w:t>5.Precizēta finansiālā ietekme</w:t>
                  </w:r>
                  <w:r w:rsidRPr="004468B2">
                    <w:rPr>
                      <w:noProof/>
                      <w:lang w:val="lv-LV"/>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pStyle w:val="naisf"/>
                    <w:spacing w:before="0" w:after="0"/>
                    <w:jc w:val="center"/>
                    <w:rPr>
                      <w:noProof/>
                      <w:lang w:val="lv-LV" w:eastAsia="lv-LV"/>
                    </w:rPr>
                  </w:pPr>
                  <w:r w:rsidRPr="004468B2">
                    <w:rPr>
                      <w:noProof/>
                      <w:lang w:val="lv-LV"/>
                    </w:rPr>
                    <w:t>X</w:t>
                  </w: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b/>
                      <w:noProof/>
                      <w:lang w:val="lv-LV" w:eastAsia="lv-LV"/>
                    </w:rPr>
                  </w:pPr>
                  <w:r w:rsidRPr="004468B2">
                    <w:rPr>
                      <w:b/>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5.1. valsts pamatbudžets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-18,3</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-23,0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2"/>
                <w:wAfter w:w="325" w:type="dxa"/>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ind w:left="335"/>
                    <w:jc w:val="both"/>
                    <w:rPr>
                      <w:noProof/>
                      <w:lang w:val="lv-LV" w:eastAsia="lv-LV"/>
                    </w:rPr>
                  </w:pPr>
                  <w:r w:rsidRPr="004468B2">
                    <w:rPr>
                      <w:noProof/>
                      <w:lang w:val="lv-LV"/>
                    </w:rPr>
                    <w:t xml:space="preserve">5.3. pašvaldību budžets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3"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c>
                <w:tcPr>
                  <w:tcW w:w="1264" w:type="dxa"/>
                  <w:tcBorders>
                    <w:top w:val="single" w:sz="4" w:space="0" w:color="auto"/>
                    <w:left w:val="single" w:sz="4" w:space="0" w:color="auto"/>
                    <w:bottom w:val="single" w:sz="4" w:space="0" w:color="auto"/>
                    <w:right w:val="single" w:sz="4" w:space="0" w:color="auto"/>
                  </w:tcBorders>
                  <w:vAlign w:val="center"/>
                </w:tcPr>
                <w:p w:rsidR="00811CEA" w:rsidRPr="004468B2" w:rsidRDefault="00811CEA" w:rsidP="000F61F2">
                  <w:pPr>
                    <w:pStyle w:val="naisf"/>
                    <w:spacing w:before="0" w:after="0"/>
                    <w:jc w:val="center"/>
                    <w:rPr>
                      <w:noProof/>
                      <w:lang w:val="lv-LV" w:eastAsia="lv-LV"/>
                    </w:rPr>
                  </w:pPr>
                  <w:r w:rsidRPr="004468B2">
                    <w:rPr>
                      <w:noProof/>
                      <w:lang w:val="lv-LV" w:eastAsia="lv-LV"/>
                    </w:rPr>
                    <w:t>0</w:t>
                  </w:r>
                </w:p>
              </w:tc>
            </w:tr>
            <w:tr w:rsidR="00811CEA" w:rsidRPr="004468B2" w:rsidTr="000F61F2">
              <w:trPr>
                <w:gridAfter w:val="1"/>
                <w:wAfter w:w="71" w:type="dxa"/>
                <w:trHeight w:val="1550"/>
                <w:jc w:val="center"/>
              </w:trPr>
              <w:tc>
                <w:tcPr>
                  <w:tcW w:w="3420" w:type="dxa"/>
                  <w:tcBorders>
                    <w:top w:val="single" w:sz="4" w:space="0" w:color="auto"/>
                    <w:left w:val="single" w:sz="4" w:space="0" w:color="auto"/>
                    <w:right w:val="single" w:sz="4" w:space="0" w:color="auto"/>
                  </w:tcBorders>
                  <w:hideMark/>
                </w:tcPr>
                <w:p w:rsidR="00811CEA" w:rsidRPr="004468B2" w:rsidRDefault="00811CEA" w:rsidP="000F61F2">
                  <w:pPr>
                    <w:ind w:left="335"/>
                    <w:rPr>
                      <w:noProof/>
                      <w:lang w:val="lv-LV"/>
                    </w:rPr>
                  </w:pPr>
                  <w:r w:rsidRPr="004468B2">
                    <w:rPr>
                      <w:noProof/>
                      <w:lang w:val="lv-LV"/>
                    </w:rPr>
                    <w:t>6. Detalizēts ieņēmumu un izdevu</w:t>
                  </w:r>
                  <w:r w:rsidRPr="004468B2">
                    <w:rPr>
                      <w:noProof/>
                      <w:lang w:val="lv-LV"/>
                    </w:rPr>
                    <w:softHyphen/>
                    <w:t xml:space="preserve">mu aprēķins </w:t>
                  </w:r>
                </w:p>
                <w:p w:rsidR="00811CEA" w:rsidRPr="004468B2" w:rsidRDefault="00811CEA" w:rsidP="000F61F2">
                  <w:pPr>
                    <w:ind w:left="335"/>
                    <w:rPr>
                      <w:noProof/>
                      <w:lang w:val="lv-LV" w:eastAsia="lv-LV"/>
                    </w:rPr>
                  </w:pPr>
                  <w:r w:rsidRPr="004468B2">
                    <w:rPr>
                      <w:noProof/>
                      <w:lang w:val="lv-LV"/>
                    </w:rPr>
                    <w:t>(ja nepieciešams, detalizētu ieņēmumu un izdevumu aprēķinu var pievienot anotācijas pielikumā):</w:t>
                  </w:r>
                </w:p>
                <w:p w:rsidR="00811CEA" w:rsidRPr="004468B2" w:rsidRDefault="00811CEA" w:rsidP="000F61F2">
                  <w:pPr>
                    <w:ind w:left="335"/>
                    <w:rPr>
                      <w:noProof/>
                      <w:lang w:val="lv-LV" w:eastAsia="lv-LV"/>
                    </w:rPr>
                  </w:pPr>
                  <w:r w:rsidRPr="004468B2">
                    <w:rPr>
                      <w:noProof/>
                      <w:lang w:val="lv-LV"/>
                    </w:rPr>
                    <w:t>6.1. detalizēts ieņēmumu aprēķins</w:t>
                  </w:r>
                </w:p>
                <w:p w:rsidR="00811CEA" w:rsidRPr="004468B2" w:rsidRDefault="00811CEA" w:rsidP="000F61F2">
                  <w:pPr>
                    <w:ind w:left="335"/>
                    <w:rPr>
                      <w:noProof/>
                      <w:sz w:val="22"/>
                      <w:szCs w:val="22"/>
                      <w:lang w:val="lv-LV" w:eastAsia="lv-LV"/>
                    </w:rPr>
                  </w:pPr>
                  <w:r w:rsidRPr="004468B2">
                    <w:rPr>
                      <w:noProof/>
                      <w:lang w:val="lv-LV"/>
                    </w:rPr>
                    <w:t>6.2. detalizēts izdevumu aprēķins</w:t>
                  </w:r>
                </w:p>
              </w:tc>
              <w:tc>
                <w:tcPr>
                  <w:tcW w:w="6633" w:type="dxa"/>
                  <w:gridSpan w:val="6"/>
                  <w:tcBorders>
                    <w:top w:val="single" w:sz="4" w:space="0" w:color="auto"/>
                    <w:left w:val="single" w:sz="4" w:space="0" w:color="auto"/>
                    <w:right w:val="single" w:sz="4" w:space="0" w:color="auto"/>
                  </w:tcBorders>
                </w:tcPr>
                <w:p w:rsidR="00811CEA" w:rsidRPr="004468B2" w:rsidRDefault="00811CEA" w:rsidP="000F61F2">
                  <w:pPr>
                    <w:pStyle w:val="naisf"/>
                    <w:spacing w:before="0" w:beforeAutospacing="0" w:after="0" w:afterAutospacing="0"/>
                    <w:ind w:right="217"/>
                    <w:jc w:val="both"/>
                    <w:rPr>
                      <w:noProof/>
                      <w:spacing w:val="-6"/>
                      <w:lang w:val="lv-LV"/>
                    </w:rPr>
                  </w:pPr>
                  <w:r w:rsidRPr="004468B2">
                    <w:rPr>
                      <w:noProof/>
                      <w:spacing w:val="-6"/>
                      <w:lang w:val="lv-LV"/>
                    </w:rPr>
                    <w:t>Ministru kabineta noteikumu projekts uzliek papildus pienākumus attiecībā uz zāļu izplatīšanas uzraudzību valsts kompetentajām institūcijām - Zāļu valsts aģentūrai un Veselības inspekcijai.</w:t>
                  </w:r>
                </w:p>
                <w:p w:rsidR="00811CEA" w:rsidRPr="004468B2" w:rsidRDefault="00811CEA" w:rsidP="000F61F2">
                  <w:pPr>
                    <w:pStyle w:val="naisf"/>
                    <w:spacing w:before="120" w:beforeAutospacing="0" w:after="0" w:afterAutospacing="0"/>
                    <w:ind w:right="215"/>
                    <w:jc w:val="both"/>
                    <w:rPr>
                      <w:noProof/>
                      <w:lang w:val="lv-LV" w:eastAsia="lv-LV"/>
                    </w:rPr>
                  </w:pPr>
                  <w:r w:rsidRPr="004468B2">
                    <w:rPr>
                      <w:b/>
                      <w:noProof/>
                      <w:lang w:val="lv-LV" w:eastAsia="lv-LV"/>
                    </w:rPr>
                    <w:t>Zāļu valsts aģentūra</w:t>
                  </w:r>
                  <w:r w:rsidRPr="004468B2">
                    <w:rPr>
                      <w:noProof/>
                      <w:lang w:val="lv-LV" w:eastAsia="lv-LV"/>
                    </w:rPr>
                    <w:t xml:space="preserve"> saskaņā ar Publisko aģentūru likumu kopš 2013.gada 1.janvāra darbojas kā budžeta nefinansēta institūcija, kuras finansējums no maksas pakalpojumu un citu pašu ieņēmumu līdzekļiem ir ārpus Veselības ministrijas nozares budžeta. ZVA budžetu apstiprina Ministru kabinets.</w:t>
                  </w:r>
                </w:p>
                <w:p w:rsidR="00811CEA" w:rsidRPr="004468B2" w:rsidRDefault="00811CEA" w:rsidP="000F61F2">
                  <w:pPr>
                    <w:autoSpaceDE w:val="0"/>
                    <w:autoSpaceDN w:val="0"/>
                    <w:adjustRightInd w:val="0"/>
                    <w:ind w:right="288" w:firstLine="34"/>
                    <w:jc w:val="both"/>
                    <w:rPr>
                      <w:rFonts w:eastAsia="Calibri"/>
                      <w:bCs/>
                      <w:noProof/>
                      <w:lang w:val="lv-LV" w:eastAsia="lv-LV"/>
                    </w:rPr>
                  </w:pPr>
                  <w:r w:rsidRPr="004468B2">
                    <w:rPr>
                      <w:rFonts w:eastAsia="Calibri"/>
                      <w:bCs/>
                      <w:noProof/>
                      <w:lang w:val="lv-LV" w:eastAsia="lv-LV"/>
                    </w:rPr>
                    <w:t xml:space="preserve">Ministru </w:t>
                  </w:r>
                  <w:r w:rsidR="0087275B" w:rsidRPr="004468B2">
                    <w:rPr>
                      <w:rFonts w:eastAsia="Calibri"/>
                      <w:bCs/>
                      <w:noProof/>
                      <w:lang w:val="lv-LV" w:eastAsia="lv-LV"/>
                    </w:rPr>
                    <w:t>kabineta noteikumu projekta 1.20. un 1.44</w:t>
                  </w:r>
                  <w:r w:rsidRPr="004468B2">
                    <w:rPr>
                      <w:rFonts w:eastAsia="Calibri"/>
                      <w:bCs/>
                      <w:noProof/>
                      <w:lang w:val="lv-LV" w:eastAsia="lv-LV"/>
                    </w:rPr>
                    <w:t>.apakšpunkts nosaka Zāļu valsts aģentūrai papildus pienākumus:</w:t>
                  </w:r>
                </w:p>
                <w:p w:rsidR="00811CEA" w:rsidRPr="004468B2" w:rsidRDefault="00811CEA" w:rsidP="000F61F2">
                  <w:pPr>
                    <w:autoSpaceDE w:val="0"/>
                    <w:autoSpaceDN w:val="0"/>
                    <w:adjustRightInd w:val="0"/>
                    <w:spacing w:before="120"/>
                    <w:ind w:right="289" w:firstLine="34"/>
                    <w:jc w:val="both"/>
                    <w:rPr>
                      <w:rFonts w:eastAsia="Calibri"/>
                      <w:bCs/>
                      <w:noProof/>
                      <w:lang w:val="lv-LV" w:eastAsia="lv-LV"/>
                    </w:rPr>
                  </w:pPr>
                  <w:r w:rsidRPr="004468B2">
                    <w:rPr>
                      <w:rFonts w:eastAsia="Calibri"/>
                      <w:noProof/>
                      <w:lang w:val="lv-LV" w:eastAsia="lv-LV"/>
                    </w:rPr>
                    <w:t>1. Reģistrē personu, kas nodarbojas ar starpniecības darījumiem ar zālēm (</w:t>
                  </w:r>
                  <w:r w:rsidR="009F091C" w:rsidRPr="004468B2">
                    <w:rPr>
                      <w:rFonts w:eastAsia="Calibri"/>
                      <w:bCs/>
                      <w:noProof/>
                      <w:lang w:val="lv-LV" w:eastAsia="lv-LV"/>
                    </w:rPr>
                    <w:t>1.20</w:t>
                  </w:r>
                  <w:r w:rsidRPr="004468B2">
                    <w:rPr>
                      <w:rFonts w:eastAsia="Calibri"/>
                      <w:bCs/>
                      <w:noProof/>
                      <w:lang w:val="lv-LV" w:eastAsia="lv-LV"/>
                    </w:rPr>
                    <w:t>.apakšpunkts);</w:t>
                  </w:r>
                </w:p>
                <w:p w:rsidR="00811CEA" w:rsidRPr="004468B2" w:rsidRDefault="00811CEA" w:rsidP="000F61F2">
                  <w:pPr>
                    <w:spacing w:before="120"/>
                    <w:ind w:right="289" w:firstLine="34"/>
                    <w:jc w:val="both"/>
                    <w:rPr>
                      <w:noProof/>
                      <w:lang w:val="lv-LV" w:eastAsia="lv-LV"/>
                    </w:rPr>
                  </w:pPr>
                  <w:r w:rsidRPr="004468B2">
                    <w:rPr>
                      <w:rFonts w:eastAsia="Calibri"/>
                      <w:bCs/>
                      <w:noProof/>
                      <w:lang w:val="lv-LV" w:eastAsia="lv-LV"/>
                    </w:rPr>
                    <w:t>2. </w:t>
                  </w:r>
                  <w:r w:rsidRPr="004468B2">
                    <w:rPr>
                      <w:rFonts w:eastAsia="Calibri"/>
                      <w:noProof/>
                      <w:lang w:val="lv-LV" w:eastAsia="lv-LV"/>
                    </w:rPr>
                    <w:t xml:space="preserve">Veic zāļu vairumtirgotāju pārbaudes zāļu izplatīšanas </w:t>
                  </w:r>
                  <w:r w:rsidRPr="004468B2">
                    <w:rPr>
                      <w:rFonts w:eastAsia="Calibri"/>
                      <w:noProof/>
                      <w:lang w:val="lv-LV" w:eastAsia="lv-LV"/>
                    </w:rPr>
                    <w:lastRenderedPageBreak/>
                    <w:t>atbilstībai labai izplatīšanas praksei</w:t>
                  </w:r>
                  <w:r w:rsidR="00BA0D88" w:rsidRPr="004468B2">
                    <w:rPr>
                      <w:rFonts w:eastAsia="Calibri"/>
                      <w:noProof/>
                      <w:lang w:val="lv-LV" w:eastAsia="lv-LV"/>
                    </w:rPr>
                    <w:t>,</w:t>
                  </w:r>
                  <w:r w:rsidRPr="004468B2">
                    <w:rPr>
                      <w:rFonts w:eastAsia="Calibri"/>
                      <w:noProof/>
                      <w:lang w:val="lv-LV" w:eastAsia="lv-LV"/>
                    </w:rPr>
                    <w:t xml:space="preserve"> arī pēc citas Eiropas Savienības dalībvalsts, Eiropas Komisijas vai Eiropas Zāļu aģentūras pieprasījuma var veikt arī  trešajās valstīs. Pārbaudes var veikt arī zāļu izplatīšanas starpnieku telpās. Sagatavo kontroles ziņojumu un</w:t>
                  </w:r>
                  <w:r w:rsidR="00BA0D88" w:rsidRPr="004468B2">
                    <w:rPr>
                      <w:rFonts w:eastAsia="Calibri"/>
                      <w:noProof/>
                      <w:lang w:val="lv-LV" w:eastAsia="lv-LV"/>
                    </w:rPr>
                    <w:t xml:space="preserve"> </w:t>
                  </w:r>
                  <w:r w:rsidRPr="004468B2">
                    <w:rPr>
                      <w:rFonts w:eastAsia="Calibri"/>
                      <w:noProof/>
                      <w:lang w:val="lv-LV" w:eastAsia="lv-LV"/>
                    </w:rPr>
                    <w:t>izsniedz zāļu labas izplatīšanas prakses atbilstības sertifikātu atbilstoš</w:t>
                  </w:r>
                  <w:r w:rsidR="00BA0D88" w:rsidRPr="004468B2">
                    <w:rPr>
                      <w:rFonts w:eastAsia="Calibri"/>
                      <w:noProof/>
                      <w:lang w:val="lv-LV" w:eastAsia="lv-LV"/>
                    </w:rPr>
                    <w:t>i</w:t>
                  </w:r>
                  <w:r w:rsidRPr="004468B2">
                    <w:rPr>
                      <w:rFonts w:eastAsia="Calibri"/>
                      <w:noProof/>
                      <w:lang w:val="lv-LV" w:eastAsia="lv-LV"/>
                    </w:rPr>
                    <w:t xml:space="preserve"> Eiropas Savienības labas izplatīšanas prakses sertifikāt</w:t>
                  </w:r>
                  <w:r w:rsidR="009F091C" w:rsidRPr="004468B2">
                    <w:rPr>
                      <w:rFonts w:eastAsia="Calibri"/>
                      <w:noProof/>
                      <w:lang w:val="lv-LV" w:eastAsia="lv-LV"/>
                    </w:rPr>
                    <w:t>a formai</w:t>
                  </w:r>
                  <w:r w:rsidRPr="004468B2">
                    <w:rPr>
                      <w:rFonts w:eastAsia="Calibri"/>
                      <w:noProof/>
                      <w:lang w:val="lv-LV" w:eastAsia="lv-LV"/>
                    </w:rPr>
                    <w:t xml:space="preserve">. Ievada izsniegtos labas izplatīšanas prakses sertifikātus Eiropas Savienības datubāzē par ražošanas un importēšanas licencēm un labas ražošanas </w:t>
                  </w:r>
                  <w:r w:rsidR="00BB546C" w:rsidRPr="004468B2">
                    <w:rPr>
                      <w:rFonts w:eastAsia="Calibri"/>
                      <w:noProof/>
                      <w:lang w:val="lv-LV" w:eastAsia="lv-LV"/>
                    </w:rPr>
                    <w:t>prakses sertifikātiem (turpmāk - </w:t>
                  </w:r>
                  <w:r w:rsidRPr="004468B2">
                    <w:rPr>
                      <w:rFonts w:eastAsia="Calibri"/>
                      <w:noProof/>
                      <w:lang w:val="lv-LV" w:eastAsia="lv-LV"/>
                    </w:rPr>
                    <w:t xml:space="preserve">Eudra GMDP datu bāze) un ja šo noteikumu 146.7.apakšpunktā minētās veiktās pārbaudes rezultāts liecina, ka zāļu vairumtirgotājs neatbilst Farmācijas likumā un šajos noteikumos noteiktajām prasībām, un tā  darbībā nav ievērotas labas izplatīšanas prakses prasība, ievada </w:t>
                  </w:r>
                  <w:r w:rsidR="0087275B" w:rsidRPr="004468B2">
                    <w:rPr>
                      <w:rFonts w:eastAsia="Calibri"/>
                      <w:noProof/>
                      <w:lang w:val="lv-LV" w:eastAsia="lv-LV"/>
                    </w:rPr>
                    <w:t>informāciju EudraGMDP datu bāzē (1.40.apakšpunkts).</w:t>
                  </w:r>
                </w:p>
                <w:p w:rsidR="00811CEA" w:rsidRPr="004468B2" w:rsidRDefault="00811CEA" w:rsidP="000F61F2">
                  <w:pPr>
                    <w:pStyle w:val="naisf"/>
                    <w:spacing w:before="120" w:beforeAutospacing="0" w:after="0" w:afterAutospacing="0"/>
                    <w:ind w:right="215"/>
                    <w:jc w:val="both"/>
                    <w:rPr>
                      <w:noProof/>
                      <w:lang w:val="lv-LV" w:eastAsia="lv-LV"/>
                    </w:rPr>
                  </w:pPr>
                  <w:r w:rsidRPr="004468B2">
                    <w:rPr>
                      <w:noProof/>
                      <w:lang w:val="lv-LV" w:eastAsia="lv-LV"/>
                    </w:rPr>
                    <w:t>Zāļu valsts aģentūra papildu pienākumus attiecībā uz zāļu izplatīšanas un kvalitātes kontroli nodrošinās no aģentūr</w:t>
                  </w:r>
                  <w:r w:rsidR="00BB546C" w:rsidRPr="004468B2">
                    <w:rPr>
                      <w:noProof/>
                      <w:lang w:val="lv-LV" w:eastAsia="lv-LV"/>
                    </w:rPr>
                    <w:t>as ieņēmumiem no maksas pakalpo</w:t>
                  </w:r>
                  <w:r w:rsidRPr="004468B2">
                    <w:rPr>
                      <w:noProof/>
                      <w:lang w:val="lv-LV" w:eastAsia="lv-LV"/>
                    </w:rPr>
                    <w:t>jumiem un citiem pašu ieņēmumiem.</w:t>
                  </w:r>
                </w:p>
                <w:p w:rsidR="00811CEA" w:rsidRPr="004468B2" w:rsidRDefault="00811CEA" w:rsidP="000F61F2">
                  <w:pPr>
                    <w:ind w:right="215"/>
                    <w:jc w:val="both"/>
                    <w:rPr>
                      <w:b/>
                      <w:noProof/>
                      <w:lang w:val="lv-LV" w:eastAsia="lv-LV"/>
                    </w:rPr>
                  </w:pPr>
                </w:p>
                <w:p w:rsidR="00811CEA" w:rsidRPr="004468B2" w:rsidRDefault="00811CEA" w:rsidP="000F61F2">
                  <w:pPr>
                    <w:ind w:right="215"/>
                    <w:jc w:val="both"/>
                    <w:rPr>
                      <w:noProof/>
                      <w:lang w:val="lv-LV" w:eastAsia="lv-LV"/>
                    </w:rPr>
                  </w:pPr>
                  <w:r w:rsidRPr="004468B2">
                    <w:rPr>
                      <w:b/>
                      <w:noProof/>
                      <w:lang w:val="lv-LV" w:eastAsia="lv-LV"/>
                    </w:rPr>
                    <w:t>Veselības inspekcija</w:t>
                  </w:r>
                  <w:r w:rsidRPr="004468B2">
                    <w:rPr>
                      <w:noProof/>
                      <w:lang w:val="lv-LV" w:eastAsia="lv-LV"/>
                    </w:rPr>
                    <w:t xml:space="preserve"> kā tiešās valsts pārvaldes iestāde tiek finansēta Veselības ministrijas vals</w:t>
                  </w:r>
                  <w:r w:rsidR="00FD2DAF" w:rsidRPr="004468B2">
                    <w:rPr>
                      <w:noProof/>
                      <w:lang w:val="lv-LV" w:eastAsia="lv-LV"/>
                    </w:rPr>
                    <w:t>ts budžeta programmas 46.00.00 ”</w:t>
                  </w:r>
                  <w:r w:rsidRPr="004468B2">
                    <w:rPr>
                      <w:noProof/>
                      <w:lang w:val="lv-LV" w:eastAsia="lv-LV"/>
                    </w:rPr>
                    <w:t>Veselības nozares uzraudzība” apakšprogrammā 46.01</w:t>
                  </w:r>
                  <w:r w:rsidR="00FD2DAF" w:rsidRPr="004468B2">
                    <w:rPr>
                      <w:noProof/>
                      <w:lang w:val="lv-LV" w:eastAsia="lv-LV"/>
                    </w:rPr>
                    <w:t>.00 ”</w:t>
                  </w:r>
                  <w:r w:rsidRPr="004468B2">
                    <w:rPr>
                      <w:noProof/>
                      <w:lang w:val="lv-LV" w:eastAsia="lv-LV"/>
                    </w:rPr>
                    <w:t>Uzraudzība un kontrole”.</w:t>
                  </w:r>
                </w:p>
                <w:p w:rsidR="00811CEA" w:rsidRPr="004468B2" w:rsidRDefault="00811CEA" w:rsidP="000F61F2">
                  <w:pPr>
                    <w:spacing w:before="120"/>
                    <w:ind w:right="215"/>
                    <w:jc w:val="both"/>
                    <w:rPr>
                      <w:noProof/>
                      <w:lang w:val="lv-LV" w:eastAsia="lv-LV"/>
                    </w:rPr>
                  </w:pPr>
                  <w:r w:rsidRPr="004468B2">
                    <w:rPr>
                      <w:noProof/>
                      <w:lang w:val="lv-LV" w:eastAsia="lv-LV"/>
                    </w:rPr>
                    <w:t xml:space="preserve">Veselības inspekcijas finansējums </w:t>
                  </w:r>
                  <w:r w:rsidR="00F25959" w:rsidRPr="004468B2">
                    <w:rPr>
                      <w:noProof/>
                      <w:lang w:val="lv-LV" w:eastAsia="lv-LV"/>
                    </w:rPr>
                    <w:t>atbilstoši likumam ”</w:t>
                  </w:r>
                  <w:r w:rsidRPr="004468B2">
                    <w:rPr>
                      <w:noProof/>
                      <w:u w:val="single"/>
                      <w:lang w:val="lv-LV" w:eastAsia="lv-LV"/>
                    </w:rPr>
                    <w:t>Par valsts budžetu 2013.gadam</w:t>
                  </w:r>
                  <w:r w:rsidRPr="004468B2">
                    <w:rPr>
                      <w:noProof/>
                      <w:lang w:val="lv-LV" w:eastAsia="lv-LV"/>
                    </w:rPr>
                    <w:t>”:</w:t>
                  </w:r>
                </w:p>
                <w:p w:rsidR="00811CEA" w:rsidRPr="004468B2" w:rsidRDefault="00811CEA" w:rsidP="000F61F2">
                  <w:pPr>
                    <w:spacing w:before="120"/>
                    <w:ind w:right="215"/>
                    <w:jc w:val="both"/>
                    <w:rPr>
                      <w:noProof/>
                      <w:lang w:val="lv-LV" w:eastAsia="lv-LV"/>
                    </w:rPr>
                  </w:pPr>
                  <w:r w:rsidRPr="004468B2">
                    <w:rPr>
                      <w:noProof/>
                      <w:lang w:val="lv-LV" w:eastAsia="lv-LV"/>
                    </w:rPr>
                    <w:t>Resursi izdevumu segšanai 2 512 267 lati,</w:t>
                  </w:r>
                </w:p>
                <w:p w:rsidR="00811CEA" w:rsidRPr="004468B2" w:rsidRDefault="00811CEA"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pašu ieņēmumi 186 776 lati,</w:t>
                  </w:r>
                </w:p>
                <w:p w:rsidR="00811CEA" w:rsidRPr="004468B2" w:rsidRDefault="00811CEA" w:rsidP="000F61F2">
                  <w:pPr>
                    <w:ind w:left="459" w:right="215"/>
                    <w:jc w:val="both"/>
                    <w:rPr>
                      <w:noProof/>
                      <w:lang w:val="lv-LV" w:eastAsia="lv-LV"/>
                    </w:rPr>
                  </w:pPr>
                  <w:r w:rsidRPr="004468B2">
                    <w:rPr>
                      <w:noProof/>
                      <w:lang w:val="lv-LV" w:eastAsia="lv-LV"/>
                    </w:rPr>
                    <w:t>dotācija no vispārējiem ieņēmumiem 2 325 491 lats.</w:t>
                  </w:r>
                </w:p>
                <w:p w:rsidR="00811CEA" w:rsidRPr="004468B2" w:rsidRDefault="00811CEA" w:rsidP="000F61F2">
                  <w:pPr>
                    <w:ind w:right="215"/>
                    <w:jc w:val="both"/>
                    <w:rPr>
                      <w:noProof/>
                      <w:lang w:val="lv-LV" w:eastAsia="lv-LV"/>
                    </w:rPr>
                  </w:pPr>
                  <w:r w:rsidRPr="004468B2">
                    <w:rPr>
                      <w:noProof/>
                      <w:lang w:val="lv-LV" w:eastAsia="lv-LV"/>
                    </w:rPr>
                    <w:t>Izdevumi  2 512 267 lati,</w:t>
                  </w:r>
                </w:p>
                <w:p w:rsidR="00811CEA" w:rsidRPr="004468B2" w:rsidRDefault="00811CEA"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atlīdzība 2 058 881 lats,</w:t>
                  </w:r>
                </w:p>
                <w:p w:rsidR="00811CEA" w:rsidRPr="004468B2" w:rsidRDefault="00811CEA" w:rsidP="000F61F2">
                  <w:pPr>
                    <w:ind w:left="743" w:right="215"/>
                    <w:jc w:val="both"/>
                    <w:rPr>
                      <w:noProof/>
                      <w:lang w:val="lv-LV" w:eastAsia="lv-LV"/>
                    </w:rPr>
                  </w:pPr>
                  <w:r w:rsidRPr="004468B2">
                    <w:rPr>
                      <w:noProof/>
                      <w:lang w:val="lv-LV" w:eastAsia="lv-LV"/>
                    </w:rPr>
                    <w:t>t.sk. atalgojums 1 611 379 lati,</w:t>
                  </w:r>
                </w:p>
                <w:p w:rsidR="00811CEA" w:rsidRPr="004468B2" w:rsidRDefault="00811CEA" w:rsidP="000F61F2">
                  <w:pPr>
                    <w:ind w:left="459" w:right="215"/>
                    <w:jc w:val="both"/>
                    <w:rPr>
                      <w:noProof/>
                      <w:lang w:val="lv-LV" w:eastAsia="lv-LV"/>
                    </w:rPr>
                  </w:pPr>
                  <w:r w:rsidRPr="004468B2">
                    <w:rPr>
                      <w:noProof/>
                      <w:lang w:val="lv-LV" w:eastAsia="lv-LV"/>
                    </w:rPr>
                    <w:t>preces un pakalpojumi 415 260 lati,</w:t>
                  </w:r>
                </w:p>
                <w:p w:rsidR="00811CEA" w:rsidRPr="004468B2" w:rsidRDefault="00811CEA" w:rsidP="000F61F2">
                  <w:pPr>
                    <w:ind w:left="459" w:right="215"/>
                    <w:jc w:val="both"/>
                    <w:rPr>
                      <w:noProof/>
                      <w:lang w:val="lv-LV" w:eastAsia="lv-LV"/>
                    </w:rPr>
                  </w:pPr>
                  <w:r w:rsidRPr="004468B2">
                    <w:rPr>
                      <w:noProof/>
                      <w:lang w:val="lv-LV" w:eastAsia="lv-LV"/>
                    </w:rPr>
                    <w:t>kapitālie izdevumi 38 126 lati.</w:t>
                  </w:r>
                </w:p>
                <w:p w:rsidR="00811CEA" w:rsidRPr="004468B2" w:rsidRDefault="00811CEA" w:rsidP="000F61F2">
                  <w:pPr>
                    <w:ind w:right="215"/>
                    <w:jc w:val="both"/>
                    <w:rPr>
                      <w:noProof/>
                      <w:lang w:val="lv-LV" w:eastAsia="lv-LV"/>
                    </w:rPr>
                  </w:pPr>
                </w:p>
                <w:p w:rsidR="00811CEA" w:rsidRPr="004468B2" w:rsidRDefault="00811CEA" w:rsidP="000F61F2">
                  <w:pPr>
                    <w:ind w:right="215"/>
                    <w:jc w:val="both"/>
                    <w:rPr>
                      <w:noProof/>
                      <w:lang w:val="lv-LV"/>
                    </w:rPr>
                  </w:pPr>
                  <w:r w:rsidRPr="004468B2">
                    <w:rPr>
                      <w:noProof/>
                      <w:lang w:val="lv-LV"/>
                    </w:rPr>
                    <w:t>Atbilstoši Ministru kabinetā 2013.gada 19.martā apstiprinātajai budžeta bāzei 2014., 2015. un 2016.gadam (prot. Nr.15, 58.§):</w:t>
                  </w:r>
                </w:p>
                <w:p w:rsidR="00811CEA" w:rsidRPr="004468B2" w:rsidRDefault="00811CEA" w:rsidP="000F61F2">
                  <w:pPr>
                    <w:spacing w:before="120"/>
                    <w:ind w:right="215"/>
                    <w:jc w:val="both"/>
                    <w:rPr>
                      <w:noProof/>
                      <w:lang w:val="lv-LV"/>
                    </w:rPr>
                  </w:pPr>
                  <w:r w:rsidRPr="004468B2">
                    <w:rPr>
                      <w:noProof/>
                      <w:u w:val="single"/>
                      <w:lang w:val="lv-LV"/>
                    </w:rPr>
                    <w:t>2014., 2015., 2016.gadam</w:t>
                  </w:r>
                  <w:r w:rsidRPr="004468B2">
                    <w:rPr>
                      <w:noProof/>
                      <w:lang w:val="lv-LV"/>
                    </w:rPr>
                    <w:t xml:space="preserve"> (ik gadu):</w:t>
                  </w:r>
                </w:p>
                <w:p w:rsidR="00811CEA" w:rsidRPr="004468B2" w:rsidRDefault="00811CEA" w:rsidP="000F61F2">
                  <w:pPr>
                    <w:spacing w:before="120"/>
                    <w:ind w:right="215"/>
                    <w:jc w:val="both"/>
                    <w:rPr>
                      <w:noProof/>
                      <w:lang w:val="lv-LV" w:eastAsia="lv-LV"/>
                    </w:rPr>
                  </w:pPr>
                  <w:r w:rsidRPr="004468B2">
                    <w:rPr>
                      <w:noProof/>
                      <w:lang w:val="lv-LV" w:eastAsia="lv-LV"/>
                    </w:rPr>
                    <w:t>Resursi izdevumu segšanai 2 512 267 lati,</w:t>
                  </w:r>
                </w:p>
                <w:p w:rsidR="00811CEA" w:rsidRPr="004468B2" w:rsidRDefault="00811CEA" w:rsidP="000F61F2">
                  <w:pPr>
                    <w:ind w:left="743" w:right="215"/>
                    <w:jc w:val="both"/>
                    <w:rPr>
                      <w:noProof/>
                      <w:lang w:val="lv-LV" w:eastAsia="lv-LV"/>
                    </w:rPr>
                  </w:pPr>
                  <w:r w:rsidRPr="004468B2">
                    <w:rPr>
                      <w:noProof/>
                      <w:lang w:val="lv-LV" w:eastAsia="lv-LV"/>
                    </w:rPr>
                    <w:t xml:space="preserve">tai skaitā: </w:t>
                  </w:r>
                </w:p>
                <w:p w:rsidR="00811CEA" w:rsidRPr="004468B2" w:rsidRDefault="00811CEA" w:rsidP="000F61F2">
                  <w:pPr>
                    <w:ind w:left="459" w:right="215"/>
                    <w:jc w:val="both"/>
                    <w:rPr>
                      <w:noProof/>
                      <w:lang w:val="lv-LV" w:eastAsia="lv-LV"/>
                    </w:rPr>
                  </w:pPr>
                  <w:r w:rsidRPr="004468B2">
                    <w:rPr>
                      <w:noProof/>
                      <w:lang w:val="lv-LV" w:eastAsia="lv-LV"/>
                    </w:rPr>
                    <w:t>pašu ieņēmumi 186 776 lati,</w:t>
                  </w:r>
                </w:p>
                <w:p w:rsidR="00811CEA" w:rsidRPr="004468B2" w:rsidRDefault="00811CEA" w:rsidP="000F61F2">
                  <w:pPr>
                    <w:ind w:left="459" w:right="215"/>
                    <w:jc w:val="both"/>
                    <w:rPr>
                      <w:noProof/>
                      <w:lang w:val="lv-LV" w:eastAsia="lv-LV"/>
                    </w:rPr>
                  </w:pPr>
                  <w:r w:rsidRPr="004468B2">
                    <w:rPr>
                      <w:noProof/>
                      <w:lang w:val="lv-LV" w:eastAsia="lv-LV"/>
                    </w:rPr>
                    <w:lastRenderedPageBreak/>
                    <w:t>dotācija no vispārējiem ieņēmumiem 2 325 491 lats.</w:t>
                  </w:r>
                </w:p>
                <w:p w:rsidR="00811CEA" w:rsidRPr="004468B2" w:rsidRDefault="00811CEA" w:rsidP="000F61F2">
                  <w:pPr>
                    <w:ind w:right="215"/>
                    <w:jc w:val="both"/>
                    <w:rPr>
                      <w:noProof/>
                      <w:lang w:val="lv-LV" w:eastAsia="lv-LV"/>
                    </w:rPr>
                  </w:pPr>
                  <w:r w:rsidRPr="004468B2">
                    <w:rPr>
                      <w:noProof/>
                      <w:lang w:val="lv-LV" w:eastAsia="lv-LV"/>
                    </w:rPr>
                    <w:t>Izdevumi  2 512 267 lati,</w:t>
                  </w:r>
                </w:p>
                <w:p w:rsidR="00811CEA" w:rsidRPr="004468B2" w:rsidRDefault="00811CEA"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atlīdzība 2 058 881 lats,</w:t>
                  </w:r>
                </w:p>
                <w:p w:rsidR="00811CEA" w:rsidRPr="004468B2" w:rsidRDefault="00811CEA" w:rsidP="000F61F2">
                  <w:pPr>
                    <w:ind w:left="743" w:right="215"/>
                    <w:jc w:val="both"/>
                    <w:rPr>
                      <w:noProof/>
                      <w:lang w:val="lv-LV" w:eastAsia="lv-LV"/>
                    </w:rPr>
                  </w:pPr>
                  <w:r w:rsidRPr="004468B2">
                    <w:rPr>
                      <w:noProof/>
                      <w:lang w:val="lv-LV" w:eastAsia="lv-LV"/>
                    </w:rPr>
                    <w:t>t.sk. atalgojums 1 611 379 lati,</w:t>
                  </w:r>
                </w:p>
                <w:p w:rsidR="00811CEA" w:rsidRPr="004468B2" w:rsidRDefault="00811CEA" w:rsidP="000F61F2">
                  <w:pPr>
                    <w:ind w:left="459" w:right="215"/>
                    <w:jc w:val="both"/>
                    <w:rPr>
                      <w:noProof/>
                      <w:lang w:val="lv-LV" w:eastAsia="lv-LV"/>
                    </w:rPr>
                  </w:pPr>
                  <w:r w:rsidRPr="004468B2">
                    <w:rPr>
                      <w:noProof/>
                      <w:lang w:val="lv-LV" w:eastAsia="lv-LV"/>
                    </w:rPr>
                    <w:t>preces un pakalpojumi 415 260 lati,</w:t>
                  </w:r>
                </w:p>
                <w:p w:rsidR="00811CEA" w:rsidRPr="004468B2" w:rsidRDefault="00811CEA" w:rsidP="000F61F2">
                  <w:pPr>
                    <w:ind w:left="459" w:right="215"/>
                    <w:jc w:val="both"/>
                    <w:rPr>
                      <w:noProof/>
                      <w:lang w:val="lv-LV" w:eastAsia="lv-LV"/>
                    </w:rPr>
                  </w:pPr>
                  <w:r w:rsidRPr="004468B2">
                    <w:rPr>
                      <w:noProof/>
                      <w:lang w:val="lv-LV" w:eastAsia="lv-LV"/>
                    </w:rPr>
                    <w:t>kapitālie izdevumi 38 126 lati.</w:t>
                  </w:r>
                </w:p>
                <w:p w:rsidR="00811CEA" w:rsidRPr="004468B2" w:rsidRDefault="00811CEA" w:rsidP="000F61F2">
                  <w:pPr>
                    <w:pStyle w:val="tv213"/>
                    <w:spacing w:before="0" w:beforeAutospacing="0" w:after="0" w:afterAutospacing="0"/>
                    <w:ind w:right="289" w:firstLine="34"/>
                    <w:jc w:val="both"/>
                    <w:rPr>
                      <w:noProof/>
                    </w:rPr>
                  </w:pPr>
                </w:p>
                <w:p w:rsidR="00811CEA" w:rsidRPr="004468B2" w:rsidRDefault="00811CEA" w:rsidP="000F61F2">
                  <w:pPr>
                    <w:pStyle w:val="tv213"/>
                    <w:spacing w:before="0" w:beforeAutospacing="0" w:after="120" w:afterAutospacing="0"/>
                    <w:ind w:right="289" w:firstLine="34"/>
                    <w:jc w:val="both"/>
                    <w:rPr>
                      <w:noProof/>
                    </w:rPr>
                  </w:pPr>
                  <w:r w:rsidRPr="004468B2">
                    <w:rPr>
                      <w:noProof/>
                    </w:rPr>
                    <w:t xml:space="preserve">Ministru kabineta noteikumu projekts uzliek </w:t>
                  </w:r>
                  <w:r w:rsidRPr="004468B2">
                    <w:rPr>
                      <w:noProof/>
                      <w:u w:val="single"/>
                    </w:rPr>
                    <w:t>papildus pienākumus Veselības inspekcija</w:t>
                  </w:r>
                  <w:r w:rsidRPr="004468B2">
                    <w:rPr>
                      <w:noProof/>
                    </w:rPr>
                    <w:t xml:space="preserve">i, tai skaitā: </w:t>
                  </w:r>
                </w:p>
                <w:p w:rsidR="00811CEA" w:rsidRPr="004468B2" w:rsidRDefault="00811CEA" w:rsidP="000F61F2">
                  <w:pPr>
                    <w:pStyle w:val="tv213"/>
                    <w:spacing w:before="0" w:beforeAutospacing="0" w:after="0" w:afterAutospacing="0"/>
                    <w:ind w:right="289" w:firstLine="34"/>
                    <w:jc w:val="both"/>
                    <w:rPr>
                      <w:noProof/>
                    </w:rPr>
                  </w:pPr>
                  <w:r w:rsidRPr="004468B2">
                    <w:rPr>
                      <w:noProof/>
                    </w:rPr>
                    <w:t xml:space="preserve">1) Ņemot vērā, ka saskaņā ar Farmācijas likuma </w:t>
                  </w:r>
                  <w:r w:rsidRPr="004468B2">
                    <w:rPr>
                      <w:bCs/>
                      <w:noProof/>
                    </w:rPr>
                    <w:t>14.pantu,</w:t>
                  </w:r>
                  <w:r w:rsidRPr="004468B2">
                    <w:rPr>
                      <w:b/>
                      <w:bCs/>
                      <w:noProof/>
                    </w:rPr>
                    <w:t xml:space="preserve"> </w:t>
                  </w:r>
                  <w:r w:rsidRPr="004468B2">
                    <w:rPr>
                      <w:noProof/>
                    </w:rPr>
                    <w:t>Veselības inspekcijas amatpersonas savas kompetences ietvaros farmācijas uzraudzības nolūkā uzrauga un kontrolē juridiskās personas, kuras veic darbības ar zālēm un aktīvajām vielām, arī aptiekas, zāļu lieltirgotavas, zāļu un aktīvo vielu ražotājus un importētājus, muitas noliktavas, kurās tiek uzglabātas zāles un aktīvās vielas, un fiziskās personas, kuras darbojas farmācijas jomā, neatkarīgi no to pakļautības, komercdarbības veida un rakstura; izvērtē zāļu un aktīvo vielu izplatīšanas atbilstību normatīvo aktu prasībām; veic telpu, aprīkojuma, personāla un dokumentācijas novērtēšanu atbilstoši veicamajam darbam un tā apjomam, tad stājoties spēkā Projekta V.¹nodaļā „Starpniecības darījumi ar zālēm” n</w:t>
                  </w:r>
                  <w:r w:rsidR="009F091C" w:rsidRPr="004468B2">
                    <w:rPr>
                      <w:noProof/>
                    </w:rPr>
                    <w:t>oteiktajām normām (Projekta 1.20</w:t>
                  </w:r>
                  <w:r w:rsidRPr="004468B2">
                    <w:rPr>
                      <w:noProof/>
                    </w:rPr>
                    <w:t xml:space="preserve">.apakšpunkts), Veselības inspekcijai </w:t>
                  </w:r>
                  <w:r w:rsidRPr="004468B2">
                    <w:rPr>
                      <w:noProof/>
                      <w:u w:val="single"/>
                    </w:rPr>
                    <w:t>pieaugs uzraudzības apjoms</w:t>
                  </w:r>
                  <w:r w:rsidRPr="004468B2">
                    <w:rPr>
                      <w:noProof/>
                    </w:rPr>
                    <w:t xml:space="preserve">, jo būs nepieciešams precīzi identificēt, atrast un uzraudzīt personu darbību, kuras iesaistītas zāļu starpniecības darījumos, kas ietver visas darbības saistībā ar zāļu pārdošanu un iepirkšanu. </w:t>
                  </w:r>
                  <w:r w:rsidRPr="004468B2">
                    <w:rPr>
                      <w:noProof/>
                      <w:u w:val="single"/>
                    </w:rPr>
                    <w:t>Pieaugs kontrolējamo objektu skaits</w:t>
                  </w:r>
                  <w:r w:rsidRPr="004468B2">
                    <w:rPr>
                      <w:noProof/>
                    </w:rPr>
                    <w:t xml:space="preserve">, jo kontrolētas tiks ne tikai licencētas zāļu lieltirgotavas, kas ar zāļu starpniecības darījumiem nodarbojas jau šobrīd, bet arī personas, kas Zāļu valsts aģentūrā reģistrēsies kā zāļu izplatīšanas starpnieki. Tāpat būs nepieciešams </w:t>
                  </w:r>
                  <w:r w:rsidRPr="004468B2">
                    <w:rPr>
                      <w:noProof/>
                      <w:u w:val="single"/>
                    </w:rPr>
                    <w:t>pastiprināt muitas noliktavu uzraudzību</w:t>
                  </w:r>
                  <w:r w:rsidRPr="004468B2">
                    <w:rPr>
                      <w:noProof/>
                    </w:rPr>
                    <w:t xml:space="preserve">, kurās tiek uzglabātas zāles. Jāparedz arī iespējama tādu </w:t>
                  </w:r>
                  <w:r w:rsidRPr="004468B2">
                    <w:rPr>
                      <w:noProof/>
                      <w:u w:val="single"/>
                    </w:rPr>
                    <w:t>personu identificēšana un kontrole</w:t>
                  </w:r>
                  <w:r w:rsidRPr="004468B2">
                    <w:rPr>
                      <w:noProof/>
                    </w:rPr>
                    <w:t>, kuras veic starpnieciskus darījumus ar zālēm, bet nav reģistrējušies ZVA.</w:t>
                  </w:r>
                </w:p>
                <w:p w:rsidR="00811CEA" w:rsidRPr="004468B2" w:rsidRDefault="00811CEA" w:rsidP="000F61F2">
                  <w:pPr>
                    <w:pStyle w:val="tv213"/>
                    <w:spacing w:before="120" w:beforeAutospacing="0" w:after="0" w:afterAutospacing="0"/>
                    <w:ind w:right="289" w:firstLine="34"/>
                    <w:jc w:val="both"/>
                    <w:rPr>
                      <w:noProof/>
                    </w:rPr>
                  </w:pPr>
                  <w:r w:rsidRPr="004468B2">
                    <w:rPr>
                      <w:noProof/>
                    </w:rPr>
                    <w:t xml:space="preserve">2) Papildus tam, kontroles prasīs vairāk laika un </w:t>
                  </w:r>
                  <w:r w:rsidR="0087275B" w:rsidRPr="004468B2">
                    <w:rPr>
                      <w:noProof/>
                    </w:rPr>
                    <w:t>būs apjomīgākas, jo Projekta 1.7</w:t>
                  </w:r>
                  <w:r w:rsidRPr="004468B2">
                    <w:rPr>
                      <w:noProof/>
                    </w:rPr>
                    <w:t>.</w:t>
                  </w:r>
                  <w:r w:rsidR="0087275B" w:rsidRPr="004468B2">
                    <w:rPr>
                      <w:noProof/>
                    </w:rPr>
                    <w:t>apakš</w:t>
                  </w:r>
                  <w:r w:rsidRPr="004468B2">
                    <w:rPr>
                      <w:noProof/>
                    </w:rPr>
                    <w:t>punkts paredz,</w:t>
                  </w:r>
                  <w:r w:rsidR="00F25959" w:rsidRPr="004468B2">
                    <w:rPr>
                      <w:noProof/>
                    </w:rPr>
                    <w:t xml:space="preserve"> ka </w:t>
                  </w:r>
                  <w:r w:rsidRPr="004468B2">
                    <w:rPr>
                      <w:noProof/>
                    </w:rPr>
                    <w:t xml:space="preserve">personām, kas nodarbojas ar zāļu starpniecību, jāizveido uzskaites sistēma par zāļu pirkšanu un pārdošanu. Tādējādi, lai veiktu zāļu izplatīšanas ķēdes izsekojamību, </w:t>
                  </w:r>
                  <w:r w:rsidRPr="004468B2">
                    <w:rPr>
                      <w:noProof/>
                      <w:u w:val="single"/>
                    </w:rPr>
                    <w:t>dokumentācijas izpēte būs sarežģītāka un apjomīgāka</w:t>
                  </w:r>
                  <w:r w:rsidRPr="004468B2">
                    <w:rPr>
                      <w:noProof/>
                    </w:rPr>
                    <w:t xml:space="preserve">. </w:t>
                  </w:r>
                </w:p>
                <w:p w:rsidR="00811CEA" w:rsidRPr="004468B2" w:rsidRDefault="00811CEA" w:rsidP="000F61F2">
                  <w:pPr>
                    <w:spacing w:before="120"/>
                    <w:ind w:right="289"/>
                    <w:jc w:val="both"/>
                    <w:rPr>
                      <w:noProof/>
                      <w:lang w:val="lv-LV"/>
                    </w:rPr>
                  </w:pPr>
                  <w:r w:rsidRPr="004468B2">
                    <w:rPr>
                      <w:noProof/>
                      <w:lang w:val="lv-LV"/>
                    </w:rPr>
                    <w:t>3) Lai novērstu viltotu zāļu izplatīšanu, tiek pastiprināta zāļu uzraudzība</w:t>
                  </w:r>
                  <w:r w:rsidR="00FD2DAF" w:rsidRPr="004468B2">
                    <w:rPr>
                      <w:noProof/>
                      <w:lang w:val="lv-LV"/>
                    </w:rPr>
                    <w:t>, kā arī</w:t>
                  </w:r>
                  <w:r w:rsidR="009F091C" w:rsidRPr="004468B2">
                    <w:rPr>
                      <w:noProof/>
                      <w:lang w:val="lv-LV"/>
                    </w:rPr>
                    <w:t xml:space="preserve"> </w:t>
                  </w:r>
                  <w:r w:rsidRPr="004468B2">
                    <w:rPr>
                      <w:rFonts w:eastAsia="Calibri"/>
                      <w:noProof/>
                      <w:lang w:val="lv-LV" w:eastAsia="lv-LV"/>
                    </w:rPr>
                    <w:t>tiek pa</w:t>
                  </w:r>
                  <w:r w:rsidR="00F25959" w:rsidRPr="004468B2">
                    <w:rPr>
                      <w:rFonts w:eastAsia="Calibri"/>
                      <w:noProof/>
                      <w:lang w:val="lv-LV" w:eastAsia="lv-LV"/>
                    </w:rPr>
                    <w:t>pildināta noteikumu IX. nodaļa ”</w:t>
                  </w:r>
                  <w:r w:rsidRPr="004468B2">
                    <w:rPr>
                      <w:rFonts w:eastAsia="Calibri"/>
                      <w:noProof/>
                      <w:lang w:val="lv-LV" w:eastAsia="lv-LV"/>
                    </w:rPr>
                    <w:t xml:space="preserve">Zāļu </w:t>
                  </w:r>
                  <w:r w:rsidRPr="004468B2">
                    <w:rPr>
                      <w:rFonts w:eastAsia="Calibri"/>
                      <w:noProof/>
                      <w:lang w:val="lv-LV" w:eastAsia="lv-LV"/>
                    </w:rPr>
                    <w:lastRenderedPageBreak/>
                    <w:t>izplatīšana ar tīmekļa starpniecību, pasta sūtījumi un zāles personīgai lietošanai”</w:t>
                  </w:r>
                  <w:r w:rsidR="009F091C" w:rsidRPr="004468B2">
                    <w:rPr>
                      <w:rFonts w:eastAsia="Calibri"/>
                      <w:noProof/>
                      <w:lang w:val="lv-LV" w:eastAsia="lv-LV"/>
                    </w:rPr>
                    <w:t xml:space="preserve"> </w:t>
                  </w:r>
                  <w:r w:rsidR="009F091C" w:rsidRPr="004468B2">
                    <w:rPr>
                      <w:noProof/>
                      <w:lang w:val="lv-LV"/>
                    </w:rPr>
                    <w:t xml:space="preserve">(Projekta </w:t>
                  </w:r>
                  <w:r w:rsidR="00FD2DAF" w:rsidRPr="004468B2">
                    <w:rPr>
                      <w:rFonts w:eastAsia="Calibri"/>
                      <w:bCs/>
                      <w:noProof/>
                      <w:lang w:val="lv-LV" w:eastAsia="lv-LV"/>
                    </w:rPr>
                    <w:t>1.7., 1.8., 1.9., 1.11</w:t>
                  </w:r>
                  <w:r w:rsidR="009F091C" w:rsidRPr="004468B2">
                    <w:rPr>
                      <w:rFonts w:eastAsia="Calibri"/>
                      <w:bCs/>
                      <w:noProof/>
                      <w:lang w:val="lv-LV" w:eastAsia="lv-LV"/>
                    </w:rPr>
                    <w:t xml:space="preserve">., </w:t>
                  </w:r>
                  <w:r w:rsidR="00FD2DAF" w:rsidRPr="004468B2">
                    <w:rPr>
                      <w:rFonts w:eastAsia="Calibri"/>
                      <w:bCs/>
                      <w:noProof/>
                      <w:lang w:val="lv-LV" w:eastAsia="lv-LV"/>
                    </w:rPr>
                    <w:t xml:space="preserve">1.20., </w:t>
                  </w:r>
                  <w:r w:rsidR="009F091C" w:rsidRPr="004468B2">
                    <w:rPr>
                      <w:rFonts w:eastAsia="Calibri"/>
                      <w:bCs/>
                      <w:noProof/>
                      <w:lang w:val="lv-LV" w:eastAsia="lv-LV"/>
                    </w:rPr>
                    <w:t>1.29., 1.30., 1.31., 1.32., 1.3</w:t>
                  </w:r>
                  <w:r w:rsidR="00FD2DAF" w:rsidRPr="004468B2">
                    <w:rPr>
                      <w:rFonts w:eastAsia="Calibri"/>
                      <w:bCs/>
                      <w:noProof/>
                      <w:lang w:val="lv-LV" w:eastAsia="lv-LV"/>
                    </w:rPr>
                    <w:t>6</w:t>
                  </w:r>
                  <w:r w:rsidR="009F091C" w:rsidRPr="004468B2">
                    <w:rPr>
                      <w:rFonts w:eastAsia="Calibri"/>
                      <w:bCs/>
                      <w:noProof/>
                      <w:lang w:val="lv-LV" w:eastAsia="lv-LV"/>
                    </w:rPr>
                    <w:t xml:space="preserve">., </w:t>
                  </w:r>
                  <w:r w:rsidR="00FD2DAF" w:rsidRPr="004468B2">
                    <w:rPr>
                      <w:rFonts w:eastAsia="Calibri"/>
                      <w:bCs/>
                      <w:noProof/>
                      <w:lang w:val="lv-LV" w:eastAsia="lv-LV"/>
                    </w:rPr>
                    <w:t xml:space="preserve">1.37., 1.38., </w:t>
                  </w:r>
                  <w:r w:rsidR="009F091C" w:rsidRPr="004468B2">
                    <w:rPr>
                      <w:rFonts w:eastAsia="Calibri"/>
                      <w:bCs/>
                      <w:noProof/>
                      <w:lang w:val="lv-LV" w:eastAsia="lv-LV"/>
                    </w:rPr>
                    <w:t>1.39., 1.40. un 1.41.</w:t>
                  </w:r>
                  <w:r w:rsidR="00FD2DAF" w:rsidRPr="004468B2">
                    <w:rPr>
                      <w:rFonts w:eastAsia="Calibri"/>
                      <w:bCs/>
                      <w:noProof/>
                      <w:lang w:val="lv-LV" w:eastAsia="lv-LV"/>
                    </w:rPr>
                    <w:t xml:space="preserve"> un 1.42.</w:t>
                  </w:r>
                  <w:r w:rsidR="009F091C" w:rsidRPr="004468B2">
                    <w:rPr>
                      <w:rFonts w:eastAsia="Calibri"/>
                      <w:bCs/>
                      <w:noProof/>
                      <w:lang w:val="lv-LV" w:eastAsia="lv-LV"/>
                    </w:rPr>
                    <w:t>apakšpunkti)</w:t>
                  </w:r>
                  <w:r w:rsidRPr="004468B2">
                    <w:rPr>
                      <w:rFonts w:eastAsia="Calibri"/>
                      <w:bCs/>
                      <w:noProof/>
                      <w:lang w:val="lv-LV" w:eastAsia="lv-LV"/>
                    </w:rPr>
                    <w:t>.</w:t>
                  </w:r>
                  <w:r w:rsidRPr="004468B2">
                    <w:rPr>
                      <w:rFonts w:eastAsia="Calibri"/>
                      <w:noProof/>
                      <w:lang w:val="lv-LV" w:eastAsia="lv-LV"/>
                    </w:rPr>
                    <w:t xml:space="preserve"> </w:t>
                  </w:r>
                  <w:r w:rsidRPr="004468B2">
                    <w:rPr>
                      <w:noProof/>
                      <w:lang w:val="lv-LV"/>
                    </w:rPr>
                    <w:t xml:space="preserve">Tādējādi </w:t>
                  </w:r>
                  <w:r w:rsidRPr="004468B2">
                    <w:rPr>
                      <w:noProof/>
                      <w:u w:val="single"/>
                      <w:lang w:val="lv-LV"/>
                    </w:rPr>
                    <w:t>papildus jānodrošina pastāvīga zāļu izplatīšanas uzraudzība internetā</w:t>
                  </w:r>
                  <w:r w:rsidRPr="004468B2">
                    <w:rPr>
                      <w:noProof/>
                      <w:lang w:val="lv-LV"/>
                    </w:rPr>
                    <w:t>, tajā skaitā aptieku, kuras izplata zāles internetā tīmekļu vietnēs.</w:t>
                  </w:r>
                </w:p>
                <w:p w:rsidR="00811CEA" w:rsidRPr="004468B2" w:rsidRDefault="00811CEA" w:rsidP="000F61F2">
                  <w:pPr>
                    <w:ind w:right="288"/>
                    <w:jc w:val="both"/>
                    <w:rPr>
                      <w:noProof/>
                      <w:lang w:val="lv-LV"/>
                    </w:rPr>
                  </w:pPr>
                </w:p>
                <w:p w:rsidR="00811CEA" w:rsidRPr="004468B2" w:rsidRDefault="00811CEA" w:rsidP="000F61F2">
                  <w:pPr>
                    <w:ind w:right="288"/>
                    <w:jc w:val="both"/>
                    <w:rPr>
                      <w:noProof/>
                      <w:lang w:val="lv-LV" w:eastAsia="lv-LV"/>
                    </w:rPr>
                  </w:pPr>
                  <w:r w:rsidRPr="004468B2">
                    <w:rPr>
                      <w:noProof/>
                      <w:lang w:val="lv-LV"/>
                    </w:rPr>
                    <w:t>Minēto papildu pienākumu veikšanai Veselības inspekcijai ir nepieciešamas papildus divas vecāko inspektoru amata vietas:</w:t>
                  </w:r>
                </w:p>
                <w:p w:rsidR="00811CEA" w:rsidRPr="004468B2" w:rsidRDefault="00811CEA" w:rsidP="000F61F2">
                  <w:pPr>
                    <w:spacing w:before="120"/>
                    <w:ind w:right="215"/>
                    <w:jc w:val="both"/>
                    <w:rPr>
                      <w:noProof/>
                      <w:lang w:val="lv-LV" w:eastAsia="lv-LV"/>
                    </w:rPr>
                  </w:pPr>
                  <w:r w:rsidRPr="004468B2">
                    <w:rPr>
                      <w:noProof/>
                      <w:lang w:val="lv-LV" w:eastAsia="lv-LV"/>
                    </w:rPr>
                    <w:t>1) </w:t>
                  </w:r>
                  <w:r w:rsidRPr="004468B2">
                    <w:rPr>
                      <w:noProof/>
                      <w:u w:val="single"/>
                      <w:lang w:val="lv-LV" w:eastAsia="lv-LV"/>
                    </w:rPr>
                    <w:t>ar 2014.gada 1.janvāri</w:t>
                  </w:r>
                  <w:r w:rsidR="00F25959" w:rsidRPr="004468B2">
                    <w:rPr>
                      <w:noProof/>
                      <w:lang w:val="lv-LV" w:eastAsia="lv-LV"/>
                    </w:rPr>
                    <w:t> - </w:t>
                  </w:r>
                  <w:r w:rsidRPr="004468B2">
                    <w:rPr>
                      <w:noProof/>
                      <w:lang w:val="lv-LV" w:eastAsia="lv-LV"/>
                    </w:rPr>
                    <w:t>viena amata vieta: 26.3 amata saime, IV līme</w:t>
                  </w:r>
                  <w:r w:rsidR="00F25959" w:rsidRPr="004468B2">
                    <w:rPr>
                      <w:noProof/>
                      <w:lang w:val="lv-LV" w:eastAsia="lv-LV"/>
                    </w:rPr>
                    <w:t>nis, 11.amatalgu grupa, 2.kvalifikācijas kate</w:t>
                  </w:r>
                  <w:r w:rsidRPr="004468B2">
                    <w:rPr>
                      <w:noProof/>
                      <w:lang w:val="lv-LV" w:eastAsia="lv-LV"/>
                    </w:rPr>
                    <w:t>gorija, mēnešalga 679 Ls (80% no maksimālās grupā</w:t>
                  </w:r>
                  <w:r w:rsidR="00F25959" w:rsidRPr="004468B2">
                    <w:rPr>
                      <w:noProof/>
                      <w:lang w:val="lv-LV" w:eastAsia="lv-LV"/>
                    </w:rPr>
                    <w:t> - </w:t>
                  </w:r>
                  <w:r w:rsidRPr="004468B2">
                    <w:rPr>
                      <w:noProof/>
                      <w:lang w:val="lv-LV" w:eastAsia="lv-LV"/>
                    </w:rPr>
                    <w:t>849 Ls);</w:t>
                  </w:r>
                </w:p>
                <w:p w:rsidR="00811CEA" w:rsidRPr="004468B2" w:rsidRDefault="00811CEA" w:rsidP="000F61F2">
                  <w:pPr>
                    <w:spacing w:before="120"/>
                    <w:ind w:right="215"/>
                    <w:jc w:val="both"/>
                    <w:rPr>
                      <w:noProof/>
                      <w:lang w:val="lv-LV" w:eastAsia="lv-LV"/>
                    </w:rPr>
                  </w:pPr>
                  <w:r w:rsidRPr="004468B2">
                    <w:rPr>
                      <w:noProof/>
                      <w:lang w:val="lv-LV" w:eastAsia="lv-LV"/>
                    </w:rPr>
                    <w:t>2) </w:t>
                  </w:r>
                  <w:r w:rsidRPr="004468B2">
                    <w:rPr>
                      <w:noProof/>
                      <w:u w:val="single"/>
                      <w:lang w:val="lv-LV" w:eastAsia="lv-LV"/>
                    </w:rPr>
                    <w:t>ar 2014.gada 1.jūliju</w:t>
                  </w:r>
                  <w:r w:rsidR="00F25959" w:rsidRPr="004468B2">
                    <w:rPr>
                      <w:noProof/>
                      <w:lang w:val="lv-LV" w:eastAsia="lv-LV"/>
                    </w:rPr>
                    <w:t> - </w:t>
                  </w:r>
                  <w:r w:rsidRPr="004468B2">
                    <w:rPr>
                      <w:noProof/>
                      <w:lang w:val="lv-LV" w:eastAsia="lv-LV"/>
                    </w:rPr>
                    <w:t>viena amata vieta: 26.3 amata saime, IV līme</w:t>
                  </w:r>
                  <w:r w:rsidR="00F25959" w:rsidRPr="004468B2">
                    <w:rPr>
                      <w:noProof/>
                      <w:lang w:val="lv-LV" w:eastAsia="lv-LV"/>
                    </w:rPr>
                    <w:t>nis, 11.amatalgu grupa, 2.kvalifikācijas kate</w:t>
                  </w:r>
                  <w:r w:rsidRPr="004468B2">
                    <w:rPr>
                      <w:noProof/>
                      <w:lang w:val="lv-LV" w:eastAsia="lv-LV"/>
                    </w:rPr>
                    <w:t>gorija, mēnešalga 679 Ls (80% no maksimālās grupā</w:t>
                  </w:r>
                  <w:r w:rsidR="00F25959" w:rsidRPr="004468B2">
                    <w:rPr>
                      <w:noProof/>
                      <w:lang w:val="lv-LV" w:eastAsia="lv-LV"/>
                    </w:rPr>
                    <w:t> - </w:t>
                  </w:r>
                  <w:r w:rsidRPr="004468B2">
                    <w:rPr>
                      <w:noProof/>
                      <w:lang w:val="lv-LV" w:eastAsia="lv-LV"/>
                    </w:rPr>
                    <w:t>849 Ls).</w:t>
                  </w:r>
                </w:p>
                <w:p w:rsidR="00811CEA" w:rsidRPr="004468B2" w:rsidRDefault="00811CEA" w:rsidP="000F61F2">
                  <w:pPr>
                    <w:autoSpaceDE w:val="0"/>
                    <w:autoSpaceDN w:val="0"/>
                    <w:adjustRightInd w:val="0"/>
                    <w:spacing w:before="120"/>
                    <w:ind w:right="288" w:firstLine="34"/>
                    <w:jc w:val="both"/>
                    <w:rPr>
                      <w:noProof/>
                      <w:lang w:val="lv-LV" w:eastAsia="lv-LV"/>
                    </w:rPr>
                  </w:pPr>
                  <w:r w:rsidRPr="004468B2">
                    <w:rPr>
                      <w:noProof/>
                      <w:lang w:val="lv-LV" w:eastAsia="lv-LV"/>
                    </w:rPr>
                    <w:t>Papildu pienākumu veikšanai nepieciešamajām vecāko inspektoru amata vietām jānosaka 26.3 amata saime, IV līmenis, jo darbs prasīs lielu koncentrēšanos, māku orientēties sarežģītās situācijās, prasmi izvēlēties savas kompetences ietvariem atbilstošus risinājumus un pieņemt lēmumus pārbaudes lietās, kur nepieciešama liela pieredze un dziļa attiecīgās jomas izpratne, kā arī organizatora spējas. Darbības ietvaros paredzams plašs risināmo jautājumu loks ar ļoti ierobežotām iespējām izmantot standarta risinājumus. Interpretējot normatīvo aktu prasības, būs jāklasificē normatīvo aktu pārkāpumi un jānosaka atbilstošs sods, jāierosina objektu vai subjektu darbības apturēšana un jāsagatavo attiecīgi lēmumu projekti, jāierosina anulēt nelikumīgi iegūtas atļaujas, licences vai citus dokumentus. Tāpat ar attiecīgu pilnvarojumu būs jāpārstāv Inspekcija tiesā. Arī šobrīd Veselības inspekcijas Zāļu kontroles nodaļā visi vec</w:t>
                  </w:r>
                  <w:r w:rsidR="00AF0B67" w:rsidRPr="004468B2">
                    <w:rPr>
                      <w:noProof/>
                      <w:lang w:val="lv-LV" w:eastAsia="lv-LV"/>
                    </w:rPr>
                    <w:t xml:space="preserve">ākie inspektori ir klasificēti </w:t>
                  </w:r>
                  <w:r w:rsidRPr="004468B2">
                    <w:rPr>
                      <w:noProof/>
                      <w:lang w:val="lv-LV" w:eastAsia="lv-LV"/>
                    </w:rPr>
                    <w:t>26.3 amata saimē, IV līmenī, ar 11.mēnešalgu grupu.</w:t>
                  </w:r>
                </w:p>
                <w:p w:rsidR="00811CEA" w:rsidRPr="004468B2" w:rsidRDefault="00811CEA" w:rsidP="000F61F2">
                  <w:pPr>
                    <w:spacing w:before="120"/>
                    <w:ind w:right="215"/>
                    <w:jc w:val="both"/>
                    <w:rPr>
                      <w:noProof/>
                      <w:lang w:val="lv-LV" w:eastAsia="lv-LV"/>
                    </w:rPr>
                  </w:pPr>
                  <w:r w:rsidRPr="004468B2">
                    <w:rPr>
                      <w:noProof/>
                      <w:lang w:val="lv-LV" w:eastAsia="lv-LV"/>
                    </w:rPr>
                    <w:t xml:space="preserve">Lai nodrošinātu jaunās amata vietas, ir nepieciešams papildus finansējums (saskaņā ar 29.01.2013 Ministru kabineta noteikumos Nr.66 </w:t>
                  </w:r>
                  <w:r w:rsidR="00AF0B67" w:rsidRPr="004468B2">
                    <w:rPr>
                      <w:i/>
                      <w:noProof/>
                      <w:lang w:val="lv-LV" w:eastAsia="lv-LV"/>
                    </w:rPr>
                    <w:t>”</w:t>
                  </w:r>
                  <w:r w:rsidRPr="004468B2">
                    <w:rPr>
                      <w:i/>
                      <w:noProof/>
                      <w:lang w:val="lv-LV" w:eastAsia="lv-LV"/>
                    </w:rPr>
                    <w:t>Noteikumi par valsts un pašvaldību institūciju amatpersonu un darbinieku darba samaksu un tās noteikšanas kārtību”</w:t>
                  </w:r>
                  <w:r w:rsidRPr="004468B2">
                    <w:rPr>
                      <w:noProof/>
                      <w:lang w:val="lv-LV" w:eastAsia="lv-LV"/>
                    </w:rPr>
                    <w:t xml:space="preserve"> paredzēto)</w:t>
                  </w:r>
                  <w:r w:rsidR="00AF0B67" w:rsidRPr="004468B2">
                    <w:rPr>
                      <w:noProof/>
                      <w:lang w:val="lv-LV" w:eastAsia="lv-LV"/>
                    </w:rPr>
                    <w:t> - </w:t>
                  </w:r>
                  <w:r w:rsidRPr="004468B2">
                    <w:rPr>
                      <w:noProof/>
                      <w:lang w:val="lv-LV" w:eastAsia="lv-LV"/>
                    </w:rPr>
                    <w:t>pēc sekojoša aprēķina:</w:t>
                  </w:r>
                </w:p>
                <w:p w:rsidR="00811CEA" w:rsidRPr="004468B2" w:rsidRDefault="00811CEA" w:rsidP="000F61F2">
                  <w:pPr>
                    <w:spacing w:before="120"/>
                    <w:ind w:right="215"/>
                    <w:jc w:val="both"/>
                    <w:rPr>
                      <w:noProof/>
                      <w:lang w:val="lv-LV" w:eastAsia="lv-LV"/>
                    </w:rPr>
                  </w:pPr>
                  <w:r w:rsidRPr="004468B2">
                    <w:rPr>
                      <w:noProof/>
                      <w:lang w:val="lv-LV" w:eastAsia="lv-LV"/>
                    </w:rPr>
                    <w:t>2014.gadā:</w:t>
                  </w:r>
                </w:p>
                <w:tbl>
                  <w:tblPr>
                    <w:tblW w:w="6124" w:type="dxa"/>
                    <w:tblLayout w:type="fixed"/>
                    <w:tblCellMar>
                      <w:left w:w="28" w:type="dxa"/>
                      <w:right w:w="28" w:type="dxa"/>
                    </w:tblCellMar>
                    <w:tblLook w:val="04A0"/>
                  </w:tblPr>
                  <w:tblGrid>
                    <w:gridCol w:w="738"/>
                    <w:gridCol w:w="850"/>
                    <w:gridCol w:w="992"/>
                    <w:gridCol w:w="850"/>
                    <w:gridCol w:w="851"/>
                    <w:gridCol w:w="851"/>
                    <w:gridCol w:w="992"/>
                  </w:tblGrid>
                  <w:tr w:rsidR="00811CEA" w:rsidRPr="004468B2" w:rsidTr="000F61F2">
                    <w:trPr>
                      <w:trHeight w:val="48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right="-28"/>
                          <w:jc w:val="center"/>
                          <w:rPr>
                            <w:noProof/>
                            <w:sz w:val="16"/>
                            <w:szCs w:val="16"/>
                            <w:lang w:val="lv-LV"/>
                          </w:rPr>
                        </w:pPr>
                        <w:r w:rsidRPr="004468B2">
                          <w:rPr>
                            <w:noProof/>
                            <w:sz w:val="16"/>
                            <w:szCs w:val="16"/>
                            <w:lang w:val="lv-LV"/>
                          </w:rPr>
                          <w:t xml:space="preserve">Amatalga </w:t>
                        </w:r>
                      </w:p>
                      <w:p w:rsidR="00811CEA" w:rsidRPr="004468B2" w:rsidRDefault="00811CEA" w:rsidP="000F61F2">
                        <w:pPr>
                          <w:ind w:left="-93" w:right="-28"/>
                          <w:jc w:val="center"/>
                          <w:rPr>
                            <w:noProof/>
                            <w:sz w:val="16"/>
                            <w:szCs w:val="16"/>
                            <w:lang w:val="lv-LV"/>
                          </w:rPr>
                        </w:pPr>
                        <w:r w:rsidRPr="004468B2">
                          <w:rPr>
                            <w:noProof/>
                            <w:sz w:val="16"/>
                            <w:szCs w:val="16"/>
                            <w:lang w:val="lv-LV"/>
                          </w:rPr>
                          <w:t>Ls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 xml:space="preserve"> Atvaļi- </w:t>
                        </w:r>
                      </w:p>
                      <w:p w:rsidR="00811CEA" w:rsidRPr="004468B2" w:rsidRDefault="00811CEA" w:rsidP="000F61F2">
                        <w:pPr>
                          <w:ind w:left="-93"/>
                          <w:jc w:val="center"/>
                          <w:rPr>
                            <w:noProof/>
                            <w:sz w:val="16"/>
                            <w:szCs w:val="16"/>
                            <w:lang w:val="lv-LV"/>
                          </w:rPr>
                        </w:pPr>
                        <w:r w:rsidRPr="004468B2">
                          <w:rPr>
                            <w:noProof/>
                            <w:sz w:val="16"/>
                            <w:szCs w:val="16"/>
                            <w:lang w:val="lv-LV"/>
                          </w:rPr>
                          <w:t xml:space="preserve"> nājuma</w:t>
                        </w:r>
                      </w:p>
                      <w:p w:rsidR="00811CEA" w:rsidRPr="004468B2" w:rsidRDefault="00590396" w:rsidP="000F61F2">
                        <w:pPr>
                          <w:ind w:left="-93"/>
                          <w:jc w:val="center"/>
                          <w:rPr>
                            <w:noProof/>
                            <w:sz w:val="16"/>
                            <w:szCs w:val="16"/>
                            <w:lang w:val="lv-LV"/>
                          </w:rPr>
                        </w:pPr>
                        <w:r w:rsidRPr="004468B2">
                          <w:rPr>
                            <w:noProof/>
                            <w:sz w:val="16"/>
                            <w:szCs w:val="16"/>
                            <w:lang w:val="lv-LV"/>
                          </w:rPr>
                          <w:t xml:space="preserve"> </w:t>
                        </w:r>
                        <w:r w:rsidR="00811CEA" w:rsidRPr="004468B2">
                          <w:rPr>
                            <w:noProof/>
                            <w:sz w:val="16"/>
                            <w:szCs w:val="16"/>
                            <w:lang w:val="lv-LV"/>
                          </w:rPr>
                          <w:t>pabalsts</w:t>
                        </w:r>
                      </w:p>
                      <w:p w:rsidR="00811CEA" w:rsidRPr="004468B2" w:rsidRDefault="00590396" w:rsidP="000F61F2">
                        <w:pPr>
                          <w:ind w:left="-93"/>
                          <w:jc w:val="center"/>
                          <w:rPr>
                            <w:noProof/>
                            <w:sz w:val="16"/>
                            <w:szCs w:val="16"/>
                            <w:lang w:val="lv-LV"/>
                          </w:rPr>
                        </w:pPr>
                        <w:r w:rsidRPr="004468B2">
                          <w:rPr>
                            <w:noProof/>
                            <w:sz w:val="16"/>
                            <w:szCs w:val="16"/>
                            <w:lang w:val="lv-LV"/>
                          </w:rPr>
                          <w:t xml:space="preserve"> </w:t>
                        </w:r>
                        <w:r w:rsidR="00811CEA" w:rsidRPr="004468B2">
                          <w:rPr>
                            <w:noProof/>
                            <w:sz w:val="16"/>
                            <w:szCs w:val="16"/>
                            <w:lang w:val="lv-LV"/>
                          </w:rPr>
                          <w:t>30%</w:t>
                        </w:r>
                      </w:p>
                      <w:p w:rsidR="00811CEA" w:rsidRPr="004468B2" w:rsidRDefault="00590396" w:rsidP="000F61F2">
                        <w:pPr>
                          <w:ind w:left="-93"/>
                          <w:jc w:val="center"/>
                          <w:rPr>
                            <w:noProof/>
                            <w:sz w:val="16"/>
                            <w:szCs w:val="16"/>
                            <w:lang w:val="lv-LV"/>
                          </w:rPr>
                        </w:pPr>
                        <w:r w:rsidRPr="004468B2">
                          <w:rPr>
                            <w:noProof/>
                            <w:sz w:val="16"/>
                            <w:szCs w:val="16"/>
                            <w:lang w:val="lv-LV"/>
                          </w:rPr>
                          <w:t xml:space="preserve"> </w:t>
                        </w:r>
                        <w:r w:rsidR="00811CEA" w:rsidRPr="004468B2">
                          <w:rPr>
                            <w:noProof/>
                            <w:sz w:val="16"/>
                            <w:szCs w:val="16"/>
                            <w:lang w:val="lv-LV"/>
                          </w:rPr>
                          <w:t>no algas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 xml:space="preserve"> Atlīdzība</w:t>
                        </w:r>
                      </w:p>
                      <w:p w:rsidR="00811CEA" w:rsidRPr="004468B2" w:rsidRDefault="00590396" w:rsidP="000F61F2">
                        <w:pPr>
                          <w:ind w:left="-93"/>
                          <w:jc w:val="center"/>
                          <w:rPr>
                            <w:noProof/>
                            <w:sz w:val="16"/>
                            <w:szCs w:val="16"/>
                            <w:lang w:val="lv-LV"/>
                          </w:rPr>
                        </w:pPr>
                        <w:r w:rsidRPr="004468B2">
                          <w:rPr>
                            <w:noProof/>
                            <w:sz w:val="16"/>
                            <w:szCs w:val="16"/>
                            <w:lang w:val="lv-LV"/>
                          </w:rPr>
                          <w:t xml:space="preserve"> </w:t>
                        </w:r>
                        <w:r w:rsidR="00811CEA" w:rsidRPr="004468B2">
                          <w:rPr>
                            <w:noProof/>
                            <w:sz w:val="16"/>
                            <w:szCs w:val="16"/>
                            <w:lang w:val="lv-LV"/>
                          </w:rPr>
                          <w:t>gadam t.sk.</w:t>
                        </w:r>
                      </w:p>
                      <w:p w:rsidR="00811CEA" w:rsidRPr="004468B2" w:rsidRDefault="00590396" w:rsidP="000F61F2">
                        <w:pPr>
                          <w:ind w:left="-93"/>
                          <w:jc w:val="center"/>
                          <w:rPr>
                            <w:noProof/>
                            <w:sz w:val="16"/>
                            <w:szCs w:val="16"/>
                            <w:lang w:val="lv-LV"/>
                          </w:rPr>
                        </w:pPr>
                        <w:r w:rsidRPr="004468B2">
                          <w:rPr>
                            <w:noProof/>
                            <w:sz w:val="16"/>
                            <w:szCs w:val="16"/>
                            <w:lang w:val="lv-LV"/>
                          </w:rPr>
                          <w:t xml:space="preserve"> </w:t>
                        </w:r>
                        <w:r w:rsidR="00811CEA" w:rsidRPr="004468B2">
                          <w:rPr>
                            <w:noProof/>
                            <w:sz w:val="16"/>
                            <w:szCs w:val="16"/>
                            <w:lang w:val="lv-LV"/>
                          </w:rPr>
                          <w:t>DD VSAOI</w:t>
                        </w:r>
                      </w:p>
                      <w:p w:rsidR="00811CEA" w:rsidRPr="004468B2" w:rsidRDefault="00811CEA" w:rsidP="000F61F2">
                        <w:pPr>
                          <w:ind w:left="-93"/>
                          <w:jc w:val="center"/>
                          <w:rPr>
                            <w:noProof/>
                            <w:sz w:val="16"/>
                            <w:szCs w:val="16"/>
                            <w:lang w:val="lv-LV"/>
                          </w:rPr>
                        </w:pPr>
                        <w:r w:rsidRPr="004468B2">
                          <w:rPr>
                            <w:noProof/>
                            <w:sz w:val="16"/>
                            <w:szCs w:val="16"/>
                            <w:lang w:val="lv-LV"/>
                          </w:rPr>
                          <w:t xml:space="preserve"> 24,09%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 xml:space="preserve">Darba vietas </w:t>
                        </w:r>
                      </w:p>
                      <w:p w:rsidR="00811CEA" w:rsidRPr="004468B2" w:rsidRDefault="00811CEA" w:rsidP="000F61F2">
                        <w:pPr>
                          <w:ind w:left="-93"/>
                          <w:jc w:val="center"/>
                          <w:rPr>
                            <w:noProof/>
                            <w:sz w:val="16"/>
                            <w:szCs w:val="16"/>
                            <w:lang w:val="lv-LV"/>
                          </w:rPr>
                        </w:pPr>
                        <w:r w:rsidRPr="004468B2">
                          <w:rPr>
                            <w:noProof/>
                            <w:sz w:val="16"/>
                            <w:szCs w:val="16"/>
                            <w:lang w:val="lv-LV"/>
                          </w:rPr>
                          <w:t>ierīkošana</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 xml:space="preserve">Darba </w:t>
                        </w:r>
                      </w:p>
                      <w:p w:rsidR="00811CEA" w:rsidRPr="004468B2" w:rsidRDefault="00811CEA" w:rsidP="000F61F2">
                        <w:pPr>
                          <w:ind w:left="-93"/>
                          <w:jc w:val="center"/>
                          <w:rPr>
                            <w:noProof/>
                            <w:sz w:val="16"/>
                            <w:szCs w:val="16"/>
                            <w:lang w:val="lv-LV"/>
                          </w:rPr>
                        </w:pPr>
                        <w:r w:rsidRPr="004468B2">
                          <w:rPr>
                            <w:noProof/>
                            <w:sz w:val="16"/>
                            <w:szCs w:val="16"/>
                            <w:lang w:val="lv-LV"/>
                          </w:rPr>
                          <w:t xml:space="preserve">vietas </w:t>
                        </w:r>
                      </w:p>
                      <w:p w:rsidR="00811CEA" w:rsidRPr="004468B2" w:rsidRDefault="00811CEA" w:rsidP="000F61F2">
                        <w:pPr>
                          <w:ind w:left="-93"/>
                          <w:jc w:val="center"/>
                          <w:rPr>
                            <w:noProof/>
                            <w:sz w:val="16"/>
                            <w:szCs w:val="16"/>
                            <w:lang w:val="lv-LV"/>
                          </w:rPr>
                        </w:pPr>
                        <w:r w:rsidRPr="004468B2">
                          <w:rPr>
                            <w:noProof/>
                            <w:sz w:val="16"/>
                            <w:szCs w:val="16"/>
                            <w:lang w:val="lv-LV"/>
                          </w:rPr>
                          <w:t>uzturēšana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811CEA" w:rsidRPr="004468B2" w:rsidRDefault="00811CEA" w:rsidP="000F61F2">
                        <w:pPr>
                          <w:ind w:left="-93"/>
                          <w:jc w:val="center"/>
                          <w:rPr>
                            <w:b/>
                            <w:bCs/>
                            <w:noProof/>
                            <w:sz w:val="16"/>
                            <w:szCs w:val="16"/>
                            <w:lang w:val="lv-LV"/>
                          </w:rPr>
                        </w:pPr>
                        <w:r w:rsidRPr="004468B2">
                          <w:rPr>
                            <w:b/>
                            <w:bCs/>
                            <w:noProof/>
                            <w:sz w:val="16"/>
                            <w:szCs w:val="16"/>
                            <w:lang w:val="lv-LV"/>
                          </w:rPr>
                          <w:t xml:space="preserve">Kopā, </w:t>
                        </w:r>
                        <w:r w:rsidRPr="004468B2">
                          <w:rPr>
                            <w:b/>
                            <w:bCs/>
                            <w:noProof/>
                            <w:sz w:val="16"/>
                            <w:szCs w:val="16"/>
                            <w:lang w:val="lv-LV"/>
                          </w:rPr>
                          <w:br/>
                          <w:t>Ls</w:t>
                        </w:r>
                      </w:p>
                    </w:tc>
                  </w:tr>
                  <w:tr w:rsidR="00811CEA" w:rsidRPr="004468B2" w:rsidTr="000F61F2">
                    <w:trPr>
                      <w:trHeight w:val="67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ind w:left="-93"/>
                          <w:rPr>
                            <w:noProof/>
                            <w:sz w:val="16"/>
                            <w:szCs w:val="16"/>
                            <w:lang w:val="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ind w:left="-93"/>
                          <w:rPr>
                            <w:noProof/>
                            <w:sz w:val="16"/>
                            <w:szCs w:val="16"/>
                            <w:lang w:val="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1CEA" w:rsidRPr="004468B2" w:rsidRDefault="00811CEA" w:rsidP="000F61F2">
                        <w:pPr>
                          <w:ind w:left="-93"/>
                          <w:rPr>
                            <w:noProof/>
                            <w:sz w:val="16"/>
                            <w:szCs w:val="16"/>
                            <w:lang w:val="lv-LV"/>
                          </w:rPr>
                        </w:pPr>
                      </w:p>
                    </w:tc>
                    <w:tc>
                      <w:tcPr>
                        <w:tcW w:w="850"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Kapitālie izdevumi</w:t>
                        </w:r>
                      </w:p>
                    </w:tc>
                    <w:tc>
                      <w:tcPr>
                        <w:tcW w:w="851"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Preces un pakalpo-</w:t>
                        </w:r>
                      </w:p>
                      <w:p w:rsidR="00811CEA" w:rsidRPr="004468B2" w:rsidRDefault="00811CEA" w:rsidP="000F61F2">
                        <w:pPr>
                          <w:ind w:left="-93"/>
                          <w:jc w:val="center"/>
                          <w:rPr>
                            <w:noProof/>
                            <w:sz w:val="16"/>
                            <w:szCs w:val="16"/>
                            <w:lang w:val="lv-LV"/>
                          </w:rPr>
                        </w:pPr>
                        <w:r w:rsidRPr="004468B2">
                          <w:rPr>
                            <w:noProof/>
                            <w:sz w:val="16"/>
                            <w:szCs w:val="16"/>
                            <w:lang w:val="lv-LV"/>
                          </w:rPr>
                          <w:t xml:space="preserve">jumi </w:t>
                        </w:r>
                      </w:p>
                    </w:tc>
                    <w:tc>
                      <w:tcPr>
                        <w:tcW w:w="851" w:type="dxa"/>
                        <w:vMerge/>
                        <w:tcBorders>
                          <w:left w:val="single" w:sz="4" w:space="0" w:color="auto"/>
                          <w:bottom w:val="single" w:sz="4" w:space="0" w:color="auto"/>
                          <w:right w:val="single" w:sz="4" w:space="0" w:color="auto"/>
                        </w:tcBorders>
                        <w:vAlign w:val="center"/>
                        <w:hideMark/>
                      </w:tcPr>
                      <w:p w:rsidR="00811CEA" w:rsidRPr="004468B2" w:rsidRDefault="00811CEA" w:rsidP="000F61F2">
                        <w:pPr>
                          <w:ind w:left="-93"/>
                          <w:rPr>
                            <w:noProof/>
                            <w:sz w:val="16"/>
                            <w:szCs w:val="16"/>
                            <w:lang w:val="lv-LV"/>
                          </w:rPr>
                        </w:pPr>
                      </w:p>
                    </w:tc>
                    <w:tc>
                      <w:tcPr>
                        <w:tcW w:w="992" w:type="dxa"/>
                        <w:vMerge/>
                        <w:tcBorders>
                          <w:left w:val="single" w:sz="4" w:space="0" w:color="auto"/>
                          <w:bottom w:val="single" w:sz="4" w:space="0" w:color="auto"/>
                          <w:right w:val="single" w:sz="4" w:space="0" w:color="auto"/>
                        </w:tcBorders>
                        <w:vAlign w:val="center"/>
                        <w:hideMark/>
                      </w:tcPr>
                      <w:p w:rsidR="00811CEA" w:rsidRPr="004468B2" w:rsidRDefault="00811CEA" w:rsidP="000F61F2">
                        <w:pPr>
                          <w:ind w:left="-93"/>
                          <w:rPr>
                            <w:b/>
                            <w:bCs/>
                            <w:noProof/>
                            <w:sz w:val="16"/>
                            <w:szCs w:val="16"/>
                            <w:lang w:val="lv-LV"/>
                          </w:rPr>
                        </w:pPr>
                      </w:p>
                    </w:tc>
                  </w:tr>
                  <w:tr w:rsidR="00811CEA" w:rsidRPr="004468B2" w:rsidTr="000F61F2">
                    <w:trPr>
                      <w:trHeight w:val="1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1</w:t>
                        </w:r>
                      </w:p>
                    </w:tc>
                    <w:tc>
                      <w:tcPr>
                        <w:tcW w:w="850"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3</w:t>
                        </w:r>
                      </w:p>
                    </w:tc>
                    <w:tc>
                      <w:tcPr>
                        <w:tcW w:w="992"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4</w:t>
                        </w:r>
                      </w:p>
                    </w:tc>
                    <w:tc>
                      <w:tcPr>
                        <w:tcW w:w="850"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5</w:t>
                        </w:r>
                      </w:p>
                    </w:tc>
                    <w:tc>
                      <w:tcPr>
                        <w:tcW w:w="851"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6</w:t>
                        </w:r>
                      </w:p>
                    </w:tc>
                    <w:tc>
                      <w:tcPr>
                        <w:tcW w:w="851"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7</w:t>
                        </w:r>
                      </w:p>
                    </w:tc>
                    <w:tc>
                      <w:tcPr>
                        <w:tcW w:w="992" w:type="dxa"/>
                        <w:tcBorders>
                          <w:top w:val="nil"/>
                          <w:left w:val="nil"/>
                          <w:bottom w:val="single" w:sz="4" w:space="0" w:color="auto"/>
                          <w:right w:val="single" w:sz="4" w:space="0" w:color="auto"/>
                        </w:tcBorders>
                        <w:shd w:val="clear" w:color="auto" w:fill="auto"/>
                        <w:vAlign w:val="center"/>
                        <w:hideMark/>
                      </w:tcPr>
                      <w:p w:rsidR="00811CEA" w:rsidRPr="004468B2" w:rsidRDefault="00811CEA" w:rsidP="000F61F2">
                        <w:pPr>
                          <w:ind w:left="-93" w:right="-19"/>
                          <w:jc w:val="center"/>
                          <w:rPr>
                            <w:b/>
                            <w:bCs/>
                            <w:noProof/>
                            <w:sz w:val="14"/>
                            <w:szCs w:val="14"/>
                            <w:lang w:val="lv-LV"/>
                          </w:rPr>
                        </w:pPr>
                        <w:r w:rsidRPr="004468B2">
                          <w:rPr>
                            <w:b/>
                            <w:bCs/>
                            <w:noProof/>
                            <w:sz w:val="14"/>
                            <w:szCs w:val="14"/>
                            <w:lang w:val="lv-LV"/>
                          </w:rPr>
                          <w:t>8=sum(4:7)</w:t>
                        </w:r>
                      </w:p>
                    </w:tc>
                  </w:tr>
                  <w:tr w:rsidR="00811CEA" w:rsidRPr="004468B2" w:rsidTr="000F61F2">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lastRenderedPageBreak/>
                          <w:t>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204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10 364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513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382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710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11 969</w:t>
                        </w:r>
                      </w:p>
                    </w:tc>
                  </w:tr>
                  <w:tr w:rsidR="00811CEA" w:rsidRPr="004468B2" w:rsidTr="000F61F2">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5 055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513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382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355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6 305</w:t>
                        </w:r>
                      </w:p>
                    </w:tc>
                  </w:tr>
                  <w:tr w:rsidR="00811CEA" w:rsidRPr="004468B2" w:rsidTr="000F61F2">
                    <w:trPr>
                      <w:trHeight w:val="567"/>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Pavisam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15 419</w:t>
                        </w:r>
                      </w:p>
                    </w:tc>
                    <w:tc>
                      <w:tcPr>
                        <w:tcW w:w="850" w:type="dxa"/>
                        <w:tcBorders>
                          <w:top w:val="single" w:sz="4" w:space="0" w:color="auto"/>
                          <w:left w:val="nil"/>
                          <w:bottom w:val="single" w:sz="4" w:space="0" w:color="auto"/>
                          <w:right w:val="single" w:sz="4" w:space="0" w:color="auto"/>
                        </w:tcBorders>
                        <w:shd w:val="clear" w:color="auto" w:fill="auto"/>
                        <w:vAlign w:val="center"/>
                      </w:tcPr>
                      <w:p w:rsidR="00811CEA" w:rsidRPr="004468B2" w:rsidRDefault="00811CEA" w:rsidP="000F61F2">
                        <w:pPr>
                          <w:ind w:left="-93"/>
                          <w:jc w:val="center"/>
                          <w:rPr>
                            <w:b/>
                            <w:noProof/>
                            <w:sz w:val="20"/>
                            <w:szCs w:val="20"/>
                            <w:lang w:val="lv-LV"/>
                          </w:rPr>
                        </w:pPr>
                        <w:r w:rsidRPr="004468B2">
                          <w:rPr>
                            <w:b/>
                            <w:noProof/>
                            <w:sz w:val="20"/>
                            <w:szCs w:val="20"/>
                            <w:lang w:val="lv-LV"/>
                          </w:rPr>
                          <w:t>1 026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764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1 065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18 274</w:t>
                        </w:r>
                      </w:p>
                    </w:tc>
                  </w:tr>
                </w:tbl>
                <w:p w:rsidR="00811CEA" w:rsidRPr="004468B2" w:rsidRDefault="00811CEA" w:rsidP="000F61F2">
                  <w:pPr>
                    <w:spacing w:before="120"/>
                    <w:ind w:left="459" w:right="215"/>
                    <w:jc w:val="both"/>
                    <w:rPr>
                      <w:noProof/>
                      <w:lang w:val="lv-LV" w:eastAsia="lv-LV"/>
                    </w:rPr>
                  </w:pPr>
                  <w:r w:rsidRPr="004468B2">
                    <w:rPr>
                      <w:noProof/>
                      <w:lang w:val="lv-LV" w:eastAsia="lv-LV"/>
                    </w:rPr>
                    <w:t xml:space="preserve">Atlīdzības 2014.gadam (4.aile) aprēķins: </w:t>
                  </w:r>
                </w:p>
                <w:p w:rsidR="00811CEA" w:rsidRPr="004468B2" w:rsidRDefault="00D234A4" w:rsidP="000F61F2">
                  <w:pPr>
                    <w:ind w:left="459" w:right="215"/>
                    <w:jc w:val="both"/>
                    <w:rPr>
                      <w:noProof/>
                      <w:lang w:val="lv-LV" w:eastAsia="lv-LV"/>
                    </w:rPr>
                  </w:pPr>
                  <w:r w:rsidRPr="004468B2">
                    <w:rPr>
                      <w:noProof/>
                      <w:lang w:val="lv-LV" w:eastAsia="lv-LV"/>
                    </w:rPr>
                    <w:t>1) vienai amata vietai - gadam:</w:t>
                  </w:r>
                </w:p>
                <w:p w:rsidR="00811CEA" w:rsidRPr="004468B2" w:rsidRDefault="00811CEA" w:rsidP="000F61F2">
                  <w:pPr>
                    <w:ind w:left="459" w:right="215"/>
                    <w:jc w:val="both"/>
                    <w:rPr>
                      <w:noProof/>
                      <w:lang w:val="lv-LV" w:eastAsia="lv-LV"/>
                    </w:rPr>
                  </w:pPr>
                  <w:r w:rsidRPr="004468B2">
                    <w:rPr>
                      <w:noProof/>
                      <w:lang w:val="lv-LV" w:eastAsia="lv-LV"/>
                    </w:rPr>
                    <w:t>(679×12 + 204) Ls × 1,2409 = 10 364 Ls;</w:t>
                  </w:r>
                </w:p>
                <w:p w:rsidR="00811CEA" w:rsidRPr="004468B2" w:rsidRDefault="00D234A4" w:rsidP="000F61F2">
                  <w:pPr>
                    <w:ind w:left="459" w:right="215"/>
                    <w:jc w:val="both"/>
                    <w:rPr>
                      <w:noProof/>
                      <w:lang w:val="lv-LV" w:eastAsia="lv-LV"/>
                    </w:rPr>
                  </w:pPr>
                  <w:r w:rsidRPr="004468B2">
                    <w:rPr>
                      <w:noProof/>
                      <w:lang w:val="lv-LV" w:eastAsia="lv-LV"/>
                    </w:rPr>
                    <w:t>2) vienai amata vietai - pusgadam:</w:t>
                  </w:r>
                </w:p>
                <w:p w:rsidR="00811CEA" w:rsidRPr="004468B2" w:rsidRDefault="00811CEA" w:rsidP="000F61F2">
                  <w:pPr>
                    <w:ind w:left="459" w:right="215"/>
                    <w:jc w:val="both"/>
                    <w:rPr>
                      <w:noProof/>
                      <w:lang w:val="lv-LV" w:eastAsia="lv-LV"/>
                    </w:rPr>
                  </w:pPr>
                  <w:r w:rsidRPr="004468B2">
                    <w:rPr>
                      <w:noProof/>
                      <w:lang w:val="lv-LV" w:eastAsia="lv-LV"/>
                    </w:rPr>
                    <w:t>679 Ls × 6 × 1,2409 = 5 055 Ls.</w:t>
                  </w:r>
                </w:p>
                <w:p w:rsidR="00811CEA" w:rsidRPr="004468B2" w:rsidRDefault="00811CEA" w:rsidP="000F61F2">
                  <w:pPr>
                    <w:ind w:right="215"/>
                    <w:jc w:val="both"/>
                    <w:rPr>
                      <w:noProof/>
                      <w:lang w:val="lv-LV" w:eastAsia="lv-LV"/>
                    </w:rPr>
                  </w:pPr>
                </w:p>
                <w:p w:rsidR="00811CEA" w:rsidRPr="004468B2" w:rsidRDefault="00811CEA" w:rsidP="000F61F2">
                  <w:pPr>
                    <w:ind w:left="459" w:right="215"/>
                    <w:jc w:val="both"/>
                    <w:rPr>
                      <w:noProof/>
                      <w:lang w:val="lv-LV" w:eastAsia="lv-LV"/>
                    </w:rPr>
                  </w:pPr>
                  <w:r w:rsidRPr="004468B2">
                    <w:rPr>
                      <w:noProof/>
                      <w:lang w:val="lv-LV" w:eastAsia="lv-LV"/>
                    </w:rPr>
                    <w:t>Izdevumi vienas darba vietas ierīkošanai:</w:t>
                  </w:r>
                </w:p>
                <w:p w:rsidR="00811CEA" w:rsidRPr="004468B2" w:rsidRDefault="00811CEA" w:rsidP="000F61F2">
                  <w:pPr>
                    <w:spacing w:before="120"/>
                    <w:ind w:left="459" w:right="215"/>
                    <w:jc w:val="both"/>
                    <w:rPr>
                      <w:noProof/>
                      <w:lang w:val="lv-LV" w:eastAsia="lv-LV"/>
                    </w:rPr>
                  </w:pPr>
                  <w:r w:rsidRPr="004468B2">
                    <w:rPr>
                      <w:noProof/>
                      <w:lang w:val="lv-LV" w:eastAsia="lv-LV"/>
                    </w:rPr>
                    <w:t>1) pr</w:t>
                  </w:r>
                  <w:r w:rsidR="00D234A4" w:rsidRPr="004468B2">
                    <w:rPr>
                      <w:noProof/>
                      <w:lang w:val="lv-LV" w:eastAsia="lv-LV"/>
                    </w:rPr>
                    <w:t>eces un pakalpojumi (2000 kods) - </w:t>
                  </w:r>
                  <w:r w:rsidRPr="004468B2">
                    <w:rPr>
                      <w:noProof/>
                      <w:lang w:val="lv-LV" w:eastAsia="lv-LV"/>
                    </w:rPr>
                    <w:t>382 Ls, tai skaitā:</w:t>
                  </w:r>
                </w:p>
                <w:p w:rsidR="00811CEA" w:rsidRPr="004468B2" w:rsidRDefault="00811CEA" w:rsidP="000F61F2">
                  <w:pPr>
                    <w:ind w:left="757" w:right="215"/>
                    <w:jc w:val="both"/>
                    <w:rPr>
                      <w:noProof/>
                      <w:lang w:val="lv-LV" w:eastAsia="lv-LV"/>
                    </w:rPr>
                  </w:pPr>
                  <w:r w:rsidRPr="004468B2">
                    <w:rPr>
                      <w:noProof/>
                      <w:lang w:val="lv-LV" w:eastAsia="lv-LV"/>
                    </w:rPr>
                    <w:t>dokumentu skapis 95 Ls,</w:t>
                  </w:r>
                </w:p>
                <w:p w:rsidR="00811CEA" w:rsidRPr="004468B2" w:rsidRDefault="00811CEA" w:rsidP="000F61F2">
                  <w:pPr>
                    <w:ind w:left="757" w:right="215"/>
                    <w:jc w:val="both"/>
                    <w:rPr>
                      <w:noProof/>
                      <w:lang w:val="lv-LV" w:eastAsia="lv-LV"/>
                    </w:rPr>
                  </w:pPr>
                  <w:r w:rsidRPr="004468B2">
                    <w:rPr>
                      <w:noProof/>
                      <w:lang w:val="lv-LV" w:eastAsia="lv-LV"/>
                    </w:rPr>
                    <w:t>drēbju skapis 99 Ls,</w:t>
                  </w:r>
                </w:p>
                <w:p w:rsidR="00811CEA" w:rsidRPr="004468B2" w:rsidRDefault="00811CEA" w:rsidP="000F61F2">
                  <w:pPr>
                    <w:ind w:left="757" w:right="215"/>
                    <w:jc w:val="both"/>
                    <w:rPr>
                      <w:noProof/>
                      <w:lang w:val="lv-LV" w:eastAsia="lv-LV"/>
                    </w:rPr>
                  </w:pPr>
                  <w:r w:rsidRPr="004468B2">
                    <w:rPr>
                      <w:noProof/>
                      <w:lang w:val="lv-LV" w:eastAsia="lv-LV"/>
                    </w:rPr>
                    <w:t>rakstāmgalds 80 Ls,</w:t>
                  </w:r>
                </w:p>
                <w:p w:rsidR="00811CEA" w:rsidRPr="004468B2" w:rsidRDefault="00811CEA" w:rsidP="000F61F2">
                  <w:pPr>
                    <w:ind w:left="757" w:right="215"/>
                    <w:jc w:val="both"/>
                    <w:rPr>
                      <w:noProof/>
                      <w:lang w:val="lv-LV" w:eastAsia="lv-LV"/>
                    </w:rPr>
                  </w:pPr>
                  <w:r w:rsidRPr="004468B2">
                    <w:rPr>
                      <w:noProof/>
                      <w:lang w:val="lv-LV" w:eastAsia="lv-LV"/>
                    </w:rPr>
                    <w:t>ofisa piederumi (kalkulators, skavotājs, caurumotājs, šķēres, galda organizators, kalendārs) 22Ls,</w:t>
                  </w:r>
                </w:p>
                <w:p w:rsidR="00811CEA" w:rsidRPr="004468B2" w:rsidRDefault="00811CEA" w:rsidP="000F61F2">
                  <w:pPr>
                    <w:ind w:left="757" w:right="215"/>
                    <w:jc w:val="both"/>
                    <w:rPr>
                      <w:noProof/>
                      <w:lang w:val="lv-LV" w:eastAsia="lv-LV"/>
                    </w:rPr>
                  </w:pPr>
                  <w:r w:rsidRPr="004468B2">
                    <w:rPr>
                      <w:noProof/>
                      <w:lang w:val="lv-LV" w:eastAsia="lv-LV"/>
                    </w:rPr>
                    <w:t>ofisa krēsls 60 Ls,</w:t>
                  </w:r>
                </w:p>
                <w:p w:rsidR="00811CEA" w:rsidRPr="004468B2" w:rsidRDefault="00811CEA" w:rsidP="000F61F2">
                  <w:pPr>
                    <w:ind w:left="757" w:right="215"/>
                    <w:jc w:val="both"/>
                    <w:rPr>
                      <w:noProof/>
                      <w:lang w:val="lv-LV" w:eastAsia="lv-LV"/>
                    </w:rPr>
                  </w:pPr>
                  <w:r w:rsidRPr="004468B2">
                    <w:rPr>
                      <w:noProof/>
                      <w:lang w:val="lv-LV" w:eastAsia="lv-LV"/>
                    </w:rPr>
                    <w:t>apmeklētāju krēsli 2 gab.× 13 Ls = 26 Ls.</w:t>
                  </w:r>
                </w:p>
                <w:p w:rsidR="00811CEA" w:rsidRPr="004468B2" w:rsidRDefault="00811CEA" w:rsidP="000F61F2">
                  <w:pPr>
                    <w:spacing w:before="120"/>
                    <w:ind w:left="459" w:right="215"/>
                    <w:jc w:val="both"/>
                    <w:rPr>
                      <w:noProof/>
                      <w:lang w:val="lv-LV" w:eastAsia="lv-LV"/>
                    </w:rPr>
                  </w:pPr>
                  <w:r w:rsidRPr="004468B2">
                    <w:rPr>
                      <w:noProof/>
                      <w:lang w:val="lv-LV" w:eastAsia="lv-LV"/>
                    </w:rPr>
                    <w:t>Divu darba vietu ierīkošanai (2000 k.) 382 Ls × 2 = 764 Ls.</w:t>
                  </w:r>
                </w:p>
                <w:p w:rsidR="00811CEA" w:rsidRPr="004468B2" w:rsidRDefault="00811CEA" w:rsidP="000F61F2">
                  <w:pPr>
                    <w:spacing w:before="120"/>
                    <w:ind w:left="459" w:right="215"/>
                    <w:jc w:val="both"/>
                    <w:rPr>
                      <w:noProof/>
                      <w:lang w:val="lv-LV" w:eastAsia="lv-LV"/>
                    </w:rPr>
                  </w:pPr>
                  <w:r w:rsidRPr="004468B2">
                    <w:rPr>
                      <w:noProof/>
                      <w:lang w:val="lv-LV" w:eastAsia="lv-LV"/>
                    </w:rPr>
                    <w:t>2) kapitālie izdevumi (5000 kods) - 513 Ls, tai skaitā:</w:t>
                  </w:r>
                </w:p>
                <w:p w:rsidR="00811CEA" w:rsidRPr="004468B2" w:rsidRDefault="00811CEA" w:rsidP="000F61F2">
                  <w:pPr>
                    <w:ind w:left="757" w:right="215"/>
                    <w:jc w:val="both"/>
                    <w:rPr>
                      <w:noProof/>
                      <w:lang w:val="lv-LV" w:eastAsia="lv-LV"/>
                    </w:rPr>
                  </w:pPr>
                  <w:r w:rsidRPr="004468B2">
                    <w:rPr>
                      <w:noProof/>
                      <w:lang w:val="lv-LV" w:eastAsia="lv-LV"/>
                    </w:rPr>
                    <w:t>dators 513 Ls.</w:t>
                  </w:r>
                </w:p>
                <w:p w:rsidR="00811CEA" w:rsidRPr="004468B2" w:rsidRDefault="00811CEA" w:rsidP="000F61F2">
                  <w:pPr>
                    <w:spacing w:before="120"/>
                    <w:ind w:left="459" w:right="215"/>
                    <w:jc w:val="both"/>
                    <w:rPr>
                      <w:noProof/>
                      <w:lang w:val="lv-LV" w:eastAsia="lv-LV"/>
                    </w:rPr>
                  </w:pPr>
                  <w:r w:rsidRPr="004468B2">
                    <w:rPr>
                      <w:noProof/>
                      <w:lang w:val="lv-LV" w:eastAsia="lv-LV"/>
                    </w:rPr>
                    <w:t>Divu darba vietu ierīkošanai (5000k.) 513 Ls ×2 = 1026 Ls.</w:t>
                  </w:r>
                </w:p>
                <w:p w:rsidR="00811CEA" w:rsidRPr="004468B2" w:rsidRDefault="00811CEA" w:rsidP="000F61F2">
                  <w:pPr>
                    <w:spacing w:before="120"/>
                    <w:ind w:left="459" w:right="215"/>
                    <w:jc w:val="both"/>
                    <w:rPr>
                      <w:noProof/>
                      <w:lang w:val="lv-LV" w:eastAsia="lv-LV"/>
                    </w:rPr>
                  </w:pPr>
                  <w:r w:rsidRPr="004468B2">
                    <w:rPr>
                      <w:noProof/>
                      <w:lang w:val="lv-LV" w:eastAsia="lv-LV"/>
                    </w:rPr>
                    <w:t>Izdevumi vienas darba vietas uzturēšanai (2000 kods) gadā:</w:t>
                  </w:r>
                </w:p>
                <w:p w:rsidR="00811CEA" w:rsidRPr="004468B2" w:rsidRDefault="00D234A4" w:rsidP="000F61F2">
                  <w:pPr>
                    <w:ind w:left="459" w:right="215"/>
                    <w:jc w:val="both"/>
                    <w:rPr>
                      <w:noProof/>
                      <w:lang w:val="lv-LV" w:eastAsia="lv-LV"/>
                    </w:rPr>
                  </w:pPr>
                  <w:r w:rsidRPr="004468B2">
                    <w:rPr>
                      <w:noProof/>
                      <w:lang w:val="lv-LV" w:eastAsia="lv-LV"/>
                    </w:rPr>
                    <w:t xml:space="preserve">710 Ls </w:t>
                  </w:r>
                  <w:r w:rsidR="00811CEA" w:rsidRPr="004468B2">
                    <w:rPr>
                      <w:noProof/>
                      <w:lang w:val="lv-LV" w:eastAsia="lv-LV"/>
                    </w:rPr>
                    <w:t>jeb vidēji 59,17 Ls mēnesī, tai skaitā:</w:t>
                  </w:r>
                </w:p>
                <w:p w:rsidR="00811CEA" w:rsidRPr="004468B2" w:rsidRDefault="00811CEA" w:rsidP="000F61F2">
                  <w:pPr>
                    <w:spacing w:before="120"/>
                    <w:ind w:left="760" w:right="215"/>
                    <w:jc w:val="both"/>
                    <w:rPr>
                      <w:noProof/>
                      <w:lang w:val="lv-LV" w:eastAsia="lv-LV"/>
                    </w:rPr>
                  </w:pPr>
                  <w:r w:rsidRPr="004468B2">
                    <w:rPr>
                      <w:noProof/>
                      <w:lang w:val="lv-LV" w:eastAsia="lv-LV"/>
                    </w:rPr>
                    <w:t>biroja un saimniecības preces 4,09 Ls,</w:t>
                  </w:r>
                </w:p>
                <w:p w:rsidR="00811CEA" w:rsidRPr="004468B2" w:rsidRDefault="00811CEA" w:rsidP="000F61F2">
                  <w:pPr>
                    <w:ind w:left="757" w:right="215"/>
                    <w:jc w:val="both"/>
                    <w:rPr>
                      <w:noProof/>
                      <w:lang w:val="lv-LV" w:eastAsia="lv-LV"/>
                    </w:rPr>
                  </w:pPr>
                  <w:r w:rsidRPr="004468B2">
                    <w:rPr>
                      <w:noProof/>
                      <w:lang w:val="lv-LV" w:eastAsia="lv-LV"/>
                    </w:rPr>
                    <w:t>sakaru pakalpojumi 2,44 Ls,</w:t>
                  </w:r>
                </w:p>
                <w:p w:rsidR="00811CEA" w:rsidRPr="004468B2" w:rsidRDefault="00811CEA" w:rsidP="000F61F2">
                  <w:pPr>
                    <w:ind w:left="757" w:right="215"/>
                    <w:jc w:val="both"/>
                    <w:rPr>
                      <w:noProof/>
                      <w:lang w:val="lv-LV" w:eastAsia="lv-LV"/>
                    </w:rPr>
                  </w:pPr>
                  <w:r w:rsidRPr="004468B2">
                    <w:rPr>
                      <w:noProof/>
                      <w:lang w:val="lv-LV" w:eastAsia="lv-LV"/>
                    </w:rPr>
                    <w:t>IT sistēmu tehniskā apakalpošana 1,64 Ls,</w:t>
                  </w:r>
                </w:p>
                <w:p w:rsidR="00811CEA" w:rsidRPr="004468B2" w:rsidRDefault="00811CEA" w:rsidP="000F61F2">
                  <w:pPr>
                    <w:ind w:left="757" w:right="215"/>
                    <w:jc w:val="both"/>
                    <w:rPr>
                      <w:noProof/>
                      <w:lang w:val="lv-LV" w:eastAsia="lv-LV"/>
                    </w:rPr>
                  </w:pPr>
                  <w:r w:rsidRPr="004468B2">
                    <w:rPr>
                      <w:noProof/>
                      <w:lang w:val="lv-LV" w:eastAsia="lv-LV"/>
                    </w:rPr>
                    <w:t xml:space="preserve">telpu uzturēšana (ieskaitot komunālos maksājumus) </w:t>
                  </w:r>
                </w:p>
                <w:p w:rsidR="00811CEA" w:rsidRPr="004468B2" w:rsidRDefault="00811CEA" w:rsidP="000F61F2">
                  <w:pPr>
                    <w:ind w:left="757" w:right="215"/>
                    <w:jc w:val="both"/>
                    <w:rPr>
                      <w:noProof/>
                      <w:lang w:val="lv-LV" w:eastAsia="lv-LV"/>
                    </w:rPr>
                  </w:pPr>
                  <w:r w:rsidRPr="004468B2">
                    <w:rPr>
                      <w:noProof/>
                      <w:lang w:val="lv-LV" w:eastAsia="lv-LV"/>
                    </w:rPr>
                    <w:t>51,00 Ls.</w:t>
                  </w:r>
                </w:p>
                <w:p w:rsidR="00811CEA" w:rsidRPr="004468B2" w:rsidRDefault="00811CEA" w:rsidP="000F61F2">
                  <w:pPr>
                    <w:spacing w:before="120"/>
                    <w:ind w:left="459" w:right="215"/>
                    <w:jc w:val="both"/>
                    <w:rPr>
                      <w:noProof/>
                      <w:lang w:val="lv-LV" w:eastAsia="lv-LV"/>
                    </w:rPr>
                  </w:pPr>
                  <w:r w:rsidRPr="004468B2">
                    <w:rPr>
                      <w:noProof/>
                      <w:lang w:val="lv-LV" w:eastAsia="lv-LV"/>
                    </w:rPr>
                    <w:t>Izdevumi uzturēšanai pusgadam: 710 Ls / 2 = 355 Ls.</w:t>
                  </w:r>
                </w:p>
                <w:p w:rsidR="00811CEA" w:rsidRPr="004468B2" w:rsidRDefault="00811CEA" w:rsidP="000F61F2">
                  <w:pPr>
                    <w:ind w:left="34" w:right="215"/>
                    <w:jc w:val="both"/>
                    <w:rPr>
                      <w:noProof/>
                      <w:lang w:val="lv-LV" w:eastAsia="lv-LV"/>
                    </w:rPr>
                  </w:pPr>
                </w:p>
                <w:p w:rsidR="00811CEA" w:rsidRPr="004468B2" w:rsidRDefault="00811CEA" w:rsidP="000F61F2">
                  <w:pPr>
                    <w:ind w:left="34" w:right="215"/>
                    <w:jc w:val="both"/>
                    <w:rPr>
                      <w:noProof/>
                      <w:lang w:val="lv-LV" w:eastAsia="lv-LV"/>
                    </w:rPr>
                  </w:pPr>
                  <w:r w:rsidRPr="004468B2">
                    <w:rPr>
                      <w:noProof/>
                      <w:lang w:val="lv-LV" w:eastAsia="lv-LV"/>
                    </w:rPr>
                    <w:t>Papildus nepieciešamo līdzekļu sadalījums pa izdevumu kodiem atbilstoši ekonomiskajām kategorijām:</w:t>
                  </w:r>
                </w:p>
                <w:p w:rsidR="00811CEA" w:rsidRPr="004468B2" w:rsidRDefault="00811CEA" w:rsidP="000F61F2">
                  <w:pPr>
                    <w:ind w:left="459" w:right="215"/>
                    <w:jc w:val="both"/>
                    <w:rPr>
                      <w:noProof/>
                      <w:lang w:val="lv-LV" w:eastAsia="lv-LV"/>
                    </w:rPr>
                  </w:pPr>
                  <w:r w:rsidRPr="004468B2">
                    <w:rPr>
                      <w:noProof/>
                      <w:lang w:val="lv-LV" w:eastAsia="lv-LV"/>
                    </w:rPr>
                    <w:t>Izdevumi kopā 18 274 lati,</w:t>
                  </w:r>
                </w:p>
                <w:p w:rsidR="00811CEA" w:rsidRPr="004468B2" w:rsidRDefault="00811CEA" w:rsidP="000F61F2">
                  <w:pPr>
                    <w:ind w:left="459" w:right="215"/>
                    <w:jc w:val="both"/>
                    <w:rPr>
                      <w:noProof/>
                      <w:lang w:val="lv-LV" w:eastAsia="lv-LV"/>
                    </w:rPr>
                  </w:pPr>
                  <w:r w:rsidRPr="004468B2">
                    <w:rPr>
                      <w:noProof/>
                      <w:lang w:val="lv-LV" w:eastAsia="lv-LV"/>
                    </w:rPr>
                    <w:t>tai skaitā:</w:t>
                  </w:r>
                </w:p>
                <w:p w:rsidR="00D234A4" w:rsidRPr="004468B2" w:rsidRDefault="00811CEA" w:rsidP="00D234A4">
                  <w:pPr>
                    <w:ind w:left="459" w:right="215"/>
                    <w:jc w:val="both"/>
                    <w:rPr>
                      <w:noProof/>
                      <w:lang w:val="lv-LV" w:eastAsia="lv-LV"/>
                    </w:rPr>
                  </w:pPr>
                  <w:r w:rsidRPr="004468B2">
                    <w:rPr>
                      <w:noProof/>
                      <w:lang w:val="lv-LV" w:eastAsia="lv-LV"/>
                    </w:rPr>
                    <w:t>atlīdzība 15 419 lati,</w:t>
                  </w:r>
                </w:p>
                <w:p w:rsidR="00811CEA" w:rsidRPr="004468B2" w:rsidRDefault="00D234A4" w:rsidP="00D234A4">
                  <w:pPr>
                    <w:ind w:left="459" w:right="215"/>
                    <w:jc w:val="both"/>
                    <w:rPr>
                      <w:noProof/>
                      <w:lang w:val="lv-LV" w:eastAsia="lv-LV"/>
                    </w:rPr>
                  </w:pPr>
                  <w:r w:rsidRPr="004468B2">
                    <w:rPr>
                      <w:noProof/>
                      <w:lang w:val="lv-LV" w:eastAsia="lv-LV"/>
                    </w:rPr>
                    <w:t>tai skaitā</w:t>
                  </w:r>
                  <w:r w:rsidR="00811CEA" w:rsidRPr="004468B2">
                    <w:rPr>
                      <w:noProof/>
                      <w:lang w:val="lv-LV" w:eastAsia="lv-LV"/>
                    </w:rPr>
                    <w:t xml:space="preserve"> atalgojums 12 426 lati,</w:t>
                  </w:r>
                </w:p>
                <w:p w:rsidR="00811CEA" w:rsidRPr="004468B2" w:rsidRDefault="00811CEA" w:rsidP="000F61F2">
                  <w:pPr>
                    <w:ind w:left="459" w:right="215"/>
                    <w:jc w:val="both"/>
                    <w:rPr>
                      <w:noProof/>
                      <w:lang w:val="lv-LV" w:eastAsia="lv-LV"/>
                    </w:rPr>
                  </w:pPr>
                  <w:r w:rsidRPr="004468B2">
                    <w:rPr>
                      <w:noProof/>
                      <w:lang w:val="lv-LV" w:eastAsia="lv-LV"/>
                    </w:rPr>
                    <w:t>preces un pakalpojumi 1 829 lati,</w:t>
                  </w:r>
                </w:p>
                <w:p w:rsidR="00811CEA" w:rsidRPr="004468B2" w:rsidRDefault="00811CEA" w:rsidP="000F61F2">
                  <w:pPr>
                    <w:ind w:left="459" w:right="215"/>
                    <w:jc w:val="both"/>
                    <w:rPr>
                      <w:noProof/>
                      <w:lang w:val="lv-LV" w:eastAsia="lv-LV"/>
                    </w:rPr>
                  </w:pPr>
                  <w:r w:rsidRPr="004468B2">
                    <w:rPr>
                      <w:noProof/>
                      <w:lang w:val="lv-LV" w:eastAsia="lv-LV"/>
                    </w:rPr>
                    <w:lastRenderedPageBreak/>
                    <w:t>kapitālie izdevumi 1 026 lati.</w:t>
                  </w:r>
                </w:p>
                <w:p w:rsidR="00811CEA" w:rsidRPr="004468B2" w:rsidRDefault="00811CEA" w:rsidP="000F61F2">
                  <w:pPr>
                    <w:ind w:right="215"/>
                    <w:jc w:val="both"/>
                    <w:rPr>
                      <w:noProof/>
                      <w:lang w:val="lv-LV" w:eastAsia="lv-LV"/>
                    </w:rPr>
                  </w:pPr>
                </w:p>
                <w:p w:rsidR="00811CEA" w:rsidRPr="004468B2" w:rsidRDefault="00811CEA" w:rsidP="000F61F2">
                  <w:pPr>
                    <w:ind w:right="215"/>
                    <w:jc w:val="both"/>
                    <w:rPr>
                      <w:noProof/>
                      <w:lang w:val="lv-LV" w:eastAsia="lv-LV"/>
                    </w:rPr>
                  </w:pPr>
                  <w:r w:rsidRPr="004468B2">
                    <w:rPr>
                      <w:noProof/>
                      <w:lang w:val="lv-LV" w:eastAsia="lv-LV"/>
                    </w:rPr>
                    <w:t>2015.</w:t>
                  </w:r>
                  <w:r w:rsidR="00D234A4" w:rsidRPr="004468B2">
                    <w:rPr>
                      <w:noProof/>
                      <w:lang w:val="lv-LV" w:eastAsia="lv-LV"/>
                    </w:rPr>
                    <w:t> - </w:t>
                  </w:r>
                  <w:r w:rsidRPr="004468B2">
                    <w:rPr>
                      <w:noProof/>
                      <w:lang w:val="lv-LV" w:eastAsia="lv-LV"/>
                    </w:rPr>
                    <w:t>2016.gadā un turpmāk (ik gadu):</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79"/>
                    <w:gridCol w:w="851"/>
                    <w:gridCol w:w="1134"/>
                    <w:gridCol w:w="992"/>
                    <w:gridCol w:w="992"/>
                    <w:gridCol w:w="1276"/>
                  </w:tblGrid>
                  <w:tr w:rsidR="00811CEA" w:rsidRPr="004468B2" w:rsidTr="000F61F2">
                    <w:trPr>
                      <w:trHeight w:val="1191"/>
                    </w:trPr>
                    <w:tc>
                      <w:tcPr>
                        <w:tcW w:w="879" w:type="dxa"/>
                        <w:shd w:val="clear" w:color="auto" w:fill="auto"/>
                        <w:vAlign w:val="center"/>
                        <w:hideMark/>
                      </w:tcPr>
                      <w:p w:rsidR="00811CEA" w:rsidRPr="004468B2" w:rsidRDefault="00811CEA" w:rsidP="000F61F2">
                        <w:pPr>
                          <w:ind w:left="-93" w:right="-28"/>
                          <w:jc w:val="center"/>
                          <w:rPr>
                            <w:noProof/>
                            <w:sz w:val="16"/>
                            <w:szCs w:val="16"/>
                            <w:lang w:val="lv-LV"/>
                          </w:rPr>
                        </w:pPr>
                        <w:r w:rsidRPr="004468B2">
                          <w:rPr>
                            <w:noProof/>
                            <w:sz w:val="16"/>
                            <w:szCs w:val="16"/>
                            <w:lang w:val="lv-LV"/>
                          </w:rPr>
                          <w:t xml:space="preserve">Amatalga </w:t>
                        </w:r>
                      </w:p>
                      <w:p w:rsidR="00811CEA" w:rsidRPr="004468B2" w:rsidRDefault="00811CEA" w:rsidP="000F61F2">
                        <w:pPr>
                          <w:ind w:left="-93" w:right="-28"/>
                          <w:jc w:val="center"/>
                          <w:rPr>
                            <w:noProof/>
                            <w:sz w:val="16"/>
                            <w:szCs w:val="16"/>
                            <w:lang w:val="lv-LV"/>
                          </w:rPr>
                        </w:pPr>
                        <w:r w:rsidRPr="004468B2">
                          <w:rPr>
                            <w:noProof/>
                            <w:sz w:val="16"/>
                            <w:szCs w:val="16"/>
                            <w:lang w:val="lv-LV"/>
                          </w:rPr>
                          <w:t>Ls</w:t>
                        </w:r>
                      </w:p>
                    </w:tc>
                    <w:tc>
                      <w:tcPr>
                        <w:tcW w:w="851" w:type="dxa"/>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Atvaļi-nājuma pabalsts 30% no algas</w:t>
                        </w:r>
                      </w:p>
                    </w:tc>
                    <w:tc>
                      <w:tcPr>
                        <w:tcW w:w="1134" w:type="dxa"/>
                        <w:vAlign w:val="center"/>
                      </w:tcPr>
                      <w:p w:rsidR="00811CEA" w:rsidRPr="004468B2" w:rsidRDefault="00811CEA" w:rsidP="000F61F2">
                        <w:pPr>
                          <w:ind w:left="-93"/>
                          <w:jc w:val="center"/>
                          <w:rPr>
                            <w:noProof/>
                            <w:sz w:val="16"/>
                            <w:szCs w:val="16"/>
                            <w:lang w:val="lv-LV"/>
                          </w:rPr>
                        </w:pPr>
                        <w:r w:rsidRPr="004468B2">
                          <w:rPr>
                            <w:noProof/>
                            <w:sz w:val="16"/>
                            <w:szCs w:val="16"/>
                            <w:lang w:val="lv-LV"/>
                          </w:rPr>
                          <w:t>Prēmija par ikgadējo darbības rezultātu  novērtējumu</w:t>
                        </w:r>
                      </w:p>
                      <w:p w:rsidR="00811CEA" w:rsidRPr="004468B2" w:rsidRDefault="00811CEA" w:rsidP="000F61F2">
                        <w:pPr>
                          <w:ind w:left="-93"/>
                          <w:jc w:val="center"/>
                          <w:rPr>
                            <w:noProof/>
                            <w:sz w:val="16"/>
                            <w:szCs w:val="16"/>
                            <w:lang w:val="lv-LV"/>
                          </w:rPr>
                        </w:pPr>
                        <w:r w:rsidRPr="004468B2">
                          <w:rPr>
                            <w:noProof/>
                            <w:sz w:val="16"/>
                            <w:szCs w:val="16"/>
                            <w:lang w:val="lv-LV"/>
                          </w:rPr>
                          <w:t>50% no algas</w:t>
                        </w:r>
                      </w:p>
                    </w:tc>
                    <w:tc>
                      <w:tcPr>
                        <w:tcW w:w="992" w:type="dxa"/>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Atlīdzība</w:t>
                        </w:r>
                      </w:p>
                      <w:p w:rsidR="00811CEA" w:rsidRPr="004468B2" w:rsidRDefault="00811CEA" w:rsidP="000F61F2">
                        <w:pPr>
                          <w:ind w:left="-93"/>
                          <w:jc w:val="center"/>
                          <w:rPr>
                            <w:noProof/>
                            <w:sz w:val="16"/>
                            <w:szCs w:val="16"/>
                            <w:lang w:val="lv-LV"/>
                          </w:rPr>
                        </w:pPr>
                        <w:r w:rsidRPr="004468B2">
                          <w:rPr>
                            <w:noProof/>
                            <w:sz w:val="16"/>
                            <w:szCs w:val="16"/>
                            <w:lang w:val="lv-LV"/>
                          </w:rPr>
                          <w:t xml:space="preserve">  gadam t.sk.</w:t>
                        </w:r>
                      </w:p>
                      <w:p w:rsidR="00811CEA" w:rsidRPr="004468B2" w:rsidRDefault="00811CEA" w:rsidP="000F61F2">
                        <w:pPr>
                          <w:ind w:left="-93"/>
                          <w:jc w:val="center"/>
                          <w:rPr>
                            <w:noProof/>
                            <w:sz w:val="16"/>
                            <w:szCs w:val="16"/>
                            <w:lang w:val="lv-LV"/>
                          </w:rPr>
                        </w:pPr>
                        <w:r w:rsidRPr="004468B2">
                          <w:rPr>
                            <w:noProof/>
                            <w:sz w:val="16"/>
                            <w:szCs w:val="16"/>
                            <w:lang w:val="lv-LV"/>
                          </w:rPr>
                          <w:t xml:space="preserve"> DD VSAOI</w:t>
                        </w:r>
                      </w:p>
                      <w:p w:rsidR="00811CEA" w:rsidRPr="004468B2" w:rsidRDefault="00811CEA" w:rsidP="000F61F2">
                        <w:pPr>
                          <w:ind w:left="-93"/>
                          <w:jc w:val="center"/>
                          <w:rPr>
                            <w:noProof/>
                            <w:sz w:val="16"/>
                            <w:szCs w:val="16"/>
                            <w:lang w:val="lv-LV"/>
                          </w:rPr>
                        </w:pPr>
                        <w:r w:rsidRPr="004468B2">
                          <w:rPr>
                            <w:noProof/>
                            <w:sz w:val="16"/>
                            <w:szCs w:val="16"/>
                            <w:lang w:val="lv-LV"/>
                          </w:rPr>
                          <w:t>24,09%</w:t>
                        </w:r>
                      </w:p>
                    </w:tc>
                    <w:tc>
                      <w:tcPr>
                        <w:tcW w:w="992" w:type="dxa"/>
                        <w:shd w:val="clear" w:color="auto" w:fill="auto"/>
                        <w:vAlign w:val="center"/>
                        <w:hideMark/>
                      </w:tcPr>
                      <w:p w:rsidR="00811CEA" w:rsidRPr="004468B2" w:rsidRDefault="00811CEA" w:rsidP="000F61F2">
                        <w:pPr>
                          <w:ind w:left="-93"/>
                          <w:jc w:val="center"/>
                          <w:rPr>
                            <w:noProof/>
                            <w:sz w:val="16"/>
                            <w:szCs w:val="16"/>
                            <w:lang w:val="lv-LV"/>
                          </w:rPr>
                        </w:pPr>
                        <w:r w:rsidRPr="004468B2">
                          <w:rPr>
                            <w:noProof/>
                            <w:sz w:val="16"/>
                            <w:szCs w:val="16"/>
                            <w:lang w:val="lv-LV"/>
                          </w:rPr>
                          <w:t xml:space="preserve">Darba </w:t>
                        </w:r>
                      </w:p>
                      <w:p w:rsidR="00811CEA" w:rsidRPr="004468B2" w:rsidRDefault="00811CEA" w:rsidP="000F61F2">
                        <w:pPr>
                          <w:ind w:left="-93"/>
                          <w:jc w:val="center"/>
                          <w:rPr>
                            <w:noProof/>
                            <w:sz w:val="16"/>
                            <w:szCs w:val="16"/>
                            <w:lang w:val="lv-LV"/>
                          </w:rPr>
                        </w:pPr>
                        <w:r w:rsidRPr="004468B2">
                          <w:rPr>
                            <w:noProof/>
                            <w:sz w:val="16"/>
                            <w:szCs w:val="16"/>
                            <w:lang w:val="lv-LV"/>
                          </w:rPr>
                          <w:t xml:space="preserve">vietas </w:t>
                        </w:r>
                      </w:p>
                      <w:p w:rsidR="00811CEA" w:rsidRPr="004468B2" w:rsidRDefault="00811CEA" w:rsidP="000F61F2">
                        <w:pPr>
                          <w:ind w:left="-93"/>
                          <w:jc w:val="center"/>
                          <w:rPr>
                            <w:noProof/>
                            <w:sz w:val="16"/>
                            <w:szCs w:val="16"/>
                            <w:lang w:val="lv-LV"/>
                          </w:rPr>
                        </w:pPr>
                        <w:r w:rsidRPr="004468B2">
                          <w:rPr>
                            <w:noProof/>
                            <w:sz w:val="16"/>
                            <w:szCs w:val="16"/>
                            <w:lang w:val="lv-LV"/>
                          </w:rPr>
                          <w:t>uzturēšana</w:t>
                        </w:r>
                      </w:p>
                    </w:tc>
                    <w:tc>
                      <w:tcPr>
                        <w:tcW w:w="1276" w:type="dxa"/>
                        <w:shd w:val="clear" w:color="auto" w:fill="auto"/>
                        <w:vAlign w:val="center"/>
                        <w:hideMark/>
                      </w:tcPr>
                      <w:p w:rsidR="00811CEA" w:rsidRPr="004468B2" w:rsidRDefault="00811CEA" w:rsidP="000F61F2">
                        <w:pPr>
                          <w:ind w:left="-93"/>
                          <w:jc w:val="center"/>
                          <w:rPr>
                            <w:b/>
                            <w:bCs/>
                            <w:noProof/>
                            <w:sz w:val="16"/>
                            <w:szCs w:val="16"/>
                            <w:lang w:val="lv-LV"/>
                          </w:rPr>
                        </w:pPr>
                        <w:r w:rsidRPr="004468B2">
                          <w:rPr>
                            <w:b/>
                            <w:bCs/>
                            <w:noProof/>
                            <w:sz w:val="16"/>
                            <w:szCs w:val="16"/>
                            <w:lang w:val="lv-LV"/>
                          </w:rPr>
                          <w:t xml:space="preserve">Kopā, </w:t>
                        </w:r>
                        <w:r w:rsidRPr="004468B2">
                          <w:rPr>
                            <w:b/>
                            <w:bCs/>
                            <w:noProof/>
                            <w:sz w:val="16"/>
                            <w:szCs w:val="16"/>
                            <w:lang w:val="lv-LV"/>
                          </w:rPr>
                          <w:br/>
                          <w:t>Ls</w:t>
                        </w:r>
                      </w:p>
                    </w:tc>
                  </w:tr>
                  <w:tr w:rsidR="00811CEA" w:rsidRPr="004468B2" w:rsidTr="000F61F2">
                    <w:trPr>
                      <w:trHeight w:val="113"/>
                    </w:trPr>
                    <w:tc>
                      <w:tcPr>
                        <w:tcW w:w="879" w:type="dxa"/>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1</w:t>
                        </w:r>
                      </w:p>
                    </w:tc>
                    <w:tc>
                      <w:tcPr>
                        <w:tcW w:w="851" w:type="dxa"/>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3</w:t>
                        </w:r>
                      </w:p>
                    </w:tc>
                    <w:tc>
                      <w:tcPr>
                        <w:tcW w:w="1134" w:type="dxa"/>
                        <w:vAlign w:val="center"/>
                      </w:tcPr>
                      <w:p w:rsidR="00811CEA" w:rsidRPr="004468B2" w:rsidRDefault="00811CEA" w:rsidP="000F61F2">
                        <w:pPr>
                          <w:ind w:left="-93"/>
                          <w:jc w:val="center"/>
                          <w:rPr>
                            <w:noProof/>
                            <w:sz w:val="14"/>
                            <w:szCs w:val="14"/>
                            <w:lang w:val="lv-LV"/>
                          </w:rPr>
                        </w:pPr>
                        <w:r w:rsidRPr="004468B2">
                          <w:rPr>
                            <w:noProof/>
                            <w:sz w:val="14"/>
                            <w:szCs w:val="14"/>
                            <w:lang w:val="lv-LV"/>
                          </w:rPr>
                          <w:t>4</w:t>
                        </w:r>
                      </w:p>
                    </w:tc>
                    <w:tc>
                      <w:tcPr>
                        <w:tcW w:w="992" w:type="dxa"/>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5</w:t>
                        </w:r>
                      </w:p>
                    </w:tc>
                    <w:tc>
                      <w:tcPr>
                        <w:tcW w:w="992" w:type="dxa"/>
                        <w:shd w:val="clear" w:color="auto" w:fill="auto"/>
                        <w:vAlign w:val="center"/>
                        <w:hideMark/>
                      </w:tcPr>
                      <w:p w:rsidR="00811CEA" w:rsidRPr="004468B2" w:rsidRDefault="00811CEA" w:rsidP="000F61F2">
                        <w:pPr>
                          <w:ind w:left="-93"/>
                          <w:jc w:val="center"/>
                          <w:rPr>
                            <w:noProof/>
                            <w:sz w:val="14"/>
                            <w:szCs w:val="14"/>
                            <w:lang w:val="lv-LV"/>
                          </w:rPr>
                        </w:pPr>
                        <w:r w:rsidRPr="004468B2">
                          <w:rPr>
                            <w:noProof/>
                            <w:sz w:val="14"/>
                            <w:szCs w:val="14"/>
                            <w:lang w:val="lv-LV"/>
                          </w:rPr>
                          <w:t>6</w:t>
                        </w:r>
                      </w:p>
                    </w:tc>
                    <w:tc>
                      <w:tcPr>
                        <w:tcW w:w="1276" w:type="dxa"/>
                        <w:shd w:val="clear" w:color="auto" w:fill="auto"/>
                        <w:vAlign w:val="center"/>
                        <w:hideMark/>
                      </w:tcPr>
                      <w:p w:rsidR="00811CEA" w:rsidRPr="004468B2" w:rsidRDefault="00811CEA" w:rsidP="000F61F2">
                        <w:pPr>
                          <w:ind w:left="-93" w:right="-19"/>
                          <w:jc w:val="center"/>
                          <w:rPr>
                            <w:b/>
                            <w:bCs/>
                            <w:noProof/>
                            <w:sz w:val="14"/>
                            <w:szCs w:val="14"/>
                            <w:lang w:val="lv-LV"/>
                          </w:rPr>
                        </w:pPr>
                        <w:r w:rsidRPr="004468B2">
                          <w:rPr>
                            <w:b/>
                            <w:bCs/>
                            <w:noProof/>
                            <w:sz w:val="14"/>
                            <w:szCs w:val="14"/>
                            <w:lang w:val="lv-LV"/>
                          </w:rPr>
                          <w:t>7=5+6</w:t>
                        </w:r>
                      </w:p>
                    </w:tc>
                  </w:tr>
                  <w:tr w:rsidR="00811CEA" w:rsidRPr="004468B2" w:rsidTr="000F61F2">
                    <w:trPr>
                      <w:trHeight w:val="397"/>
                    </w:trPr>
                    <w:tc>
                      <w:tcPr>
                        <w:tcW w:w="879"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679</w:t>
                        </w:r>
                      </w:p>
                    </w:tc>
                    <w:tc>
                      <w:tcPr>
                        <w:tcW w:w="851"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204</w:t>
                        </w:r>
                      </w:p>
                    </w:tc>
                    <w:tc>
                      <w:tcPr>
                        <w:tcW w:w="1134" w:type="dxa"/>
                        <w:vAlign w:val="center"/>
                      </w:tcPr>
                      <w:p w:rsidR="00811CEA" w:rsidRPr="004468B2" w:rsidRDefault="00811CEA" w:rsidP="000F61F2">
                        <w:pPr>
                          <w:ind w:left="-93"/>
                          <w:jc w:val="center"/>
                          <w:rPr>
                            <w:noProof/>
                            <w:sz w:val="20"/>
                            <w:szCs w:val="20"/>
                            <w:lang w:val="lv-LV"/>
                          </w:rPr>
                        </w:pPr>
                        <w:r w:rsidRPr="004468B2">
                          <w:rPr>
                            <w:noProof/>
                            <w:sz w:val="20"/>
                            <w:szCs w:val="20"/>
                            <w:lang w:val="lv-LV"/>
                          </w:rPr>
                          <w:t>340</w:t>
                        </w:r>
                      </w:p>
                    </w:tc>
                    <w:tc>
                      <w:tcPr>
                        <w:tcW w:w="992"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10 786</w:t>
                        </w:r>
                      </w:p>
                    </w:tc>
                    <w:tc>
                      <w:tcPr>
                        <w:tcW w:w="992"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710</w:t>
                        </w:r>
                      </w:p>
                    </w:tc>
                    <w:tc>
                      <w:tcPr>
                        <w:tcW w:w="1276" w:type="dxa"/>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11 496</w:t>
                        </w:r>
                      </w:p>
                    </w:tc>
                  </w:tr>
                  <w:tr w:rsidR="00811CEA" w:rsidRPr="004468B2" w:rsidTr="000F61F2">
                    <w:trPr>
                      <w:trHeight w:val="397"/>
                    </w:trPr>
                    <w:tc>
                      <w:tcPr>
                        <w:tcW w:w="879"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679</w:t>
                        </w:r>
                      </w:p>
                    </w:tc>
                    <w:tc>
                      <w:tcPr>
                        <w:tcW w:w="851"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204</w:t>
                        </w:r>
                      </w:p>
                    </w:tc>
                    <w:tc>
                      <w:tcPr>
                        <w:tcW w:w="1134" w:type="dxa"/>
                        <w:vAlign w:val="center"/>
                      </w:tcPr>
                      <w:p w:rsidR="00811CEA" w:rsidRPr="004468B2" w:rsidRDefault="00811CEA" w:rsidP="000F61F2">
                        <w:pPr>
                          <w:ind w:left="-93"/>
                          <w:jc w:val="center"/>
                          <w:rPr>
                            <w:noProof/>
                            <w:sz w:val="20"/>
                            <w:szCs w:val="20"/>
                            <w:lang w:val="lv-LV"/>
                          </w:rPr>
                        </w:pPr>
                        <w:r w:rsidRPr="004468B2">
                          <w:rPr>
                            <w:noProof/>
                            <w:sz w:val="20"/>
                            <w:szCs w:val="20"/>
                            <w:lang w:val="lv-LV"/>
                          </w:rPr>
                          <w:t>340</w:t>
                        </w:r>
                      </w:p>
                    </w:tc>
                    <w:tc>
                      <w:tcPr>
                        <w:tcW w:w="992"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10 786</w:t>
                        </w:r>
                      </w:p>
                    </w:tc>
                    <w:tc>
                      <w:tcPr>
                        <w:tcW w:w="992" w:type="dxa"/>
                        <w:shd w:val="clear" w:color="auto" w:fill="auto"/>
                        <w:vAlign w:val="center"/>
                        <w:hideMark/>
                      </w:tcPr>
                      <w:p w:rsidR="00811CEA" w:rsidRPr="004468B2" w:rsidRDefault="00811CEA" w:rsidP="000F61F2">
                        <w:pPr>
                          <w:ind w:left="-93"/>
                          <w:jc w:val="center"/>
                          <w:rPr>
                            <w:noProof/>
                            <w:sz w:val="20"/>
                            <w:szCs w:val="20"/>
                            <w:lang w:val="lv-LV"/>
                          </w:rPr>
                        </w:pPr>
                        <w:r w:rsidRPr="004468B2">
                          <w:rPr>
                            <w:noProof/>
                            <w:sz w:val="20"/>
                            <w:szCs w:val="20"/>
                            <w:lang w:val="lv-LV"/>
                          </w:rPr>
                          <w:t>710</w:t>
                        </w:r>
                      </w:p>
                    </w:tc>
                    <w:tc>
                      <w:tcPr>
                        <w:tcW w:w="1276" w:type="dxa"/>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11 496</w:t>
                        </w:r>
                      </w:p>
                    </w:tc>
                  </w:tr>
                  <w:tr w:rsidR="00811CEA" w:rsidRPr="004468B2" w:rsidTr="000F61F2">
                    <w:trPr>
                      <w:trHeight w:val="397"/>
                    </w:trPr>
                    <w:tc>
                      <w:tcPr>
                        <w:tcW w:w="2864" w:type="dxa"/>
                        <w:gridSpan w:val="3"/>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Pavisam:</w:t>
                        </w:r>
                      </w:p>
                    </w:tc>
                    <w:tc>
                      <w:tcPr>
                        <w:tcW w:w="992" w:type="dxa"/>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21 572</w:t>
                        </w:r>
                      </w:p>
                    </w:tc>
                    <w:tc>
                      <w:tcPr>
                        <w:tcW w:w="992" w:type="dxa"/>
                        <w:shd w:val="clear" w:color="auto" w:fill="auto"/>
                        <w:vAlign w:val="center"/>
                        <w:hideMark/>
                      </w:tcPr>
                      <w:p w:rsidR="00811CEA" w:rsidRPr="004468B2" w:rsidRDefault="00811CEA" w:rsidP="000F61F2">
                        <w:pPr>
                          <w:ind w:left="-93"/>
                          <w:jc w:val="center"/>
                          <w:rPr>
                            <w:b/>
                            <w:noProof/>
                            <w:sz w:val="20"/>
                            <w:szCs w:val="20"/>
                            <w:lang w:val="lv-LV"/>
                          </w:rPr>
                        </w:pPr>
                        <w:r w:rsidRPr="004468B2">
                          <w:rPr>
                            <w:b/>
                            <w:noProof/>
                            <w:sz w:val="20"/>
                            <w:szCs w:val="20"/>
                            <w:lang w:val="lv-LV"/>
                          </w:rPr>
                          <w:t>1 420</w:t>
                        </w:r>
                      </w:p>
                    </w:tc>
                    <w:tc>
                      <w:tcPr>
                        <w:tcW w:w="1276" w:type="dxa"/>
                        <w:shd w:val="clear" w:color="auto" w:fill="auto"/>
                        <w:vAlign w:val="center"/>
                        <w:hideMark/>
                      </w:tcPr>
                      <w:p w:rsidR="00811CEA" w:rsidRPr="004468B2" w:rsidRDefault="00811CEA" w:rsidP="000F61F2">
                        <w:pPr>
                          <w:ind w:left="-93" w:right="-19"/>
                          <w:jc w:val="center"/>
                          <w:rPr>
                            <w:b/>
                            <w:bCs/>
                            <w:noProof/>
                            <w:sz w:val="20"/>
                            <w:szCs w:val="20"/>
                            <w:lang w:val="lv-LV"/>
                          </w:rPr>
                        </w:pPr>
                        <w:r w:rsidRPr="004468B2">
                          <w:rPr>
                            <w:b/>
                            <w:bCs/>
                            <w:noProof/>
                            <w:sz w:val="20"/>
                            <w:szCs w:val="20"/>
                            <w:lang w:val="lv-LV"/>
                          </w:rPr>
                          <w:t>22 992</w:t>
                        </w:r>
                      </w:p>
                    </w:tc>
                  </w:tr>
                </w:tbl>
                <w:p w:rsidR="00811CEA" w:rsidRPr="004468B2" w:rsidRDefault="00811CEA" w:rsidP="000F61F2">
                  <w:pPr>
                    <w:spacing w:before="120"/>
                    <w:ind w:left="459" w:right="215"/>
                    <w:jc w:val="both"/>
                    <w:rPr>
                      <w:noProof/>
                      <w:lang w:val="lv-LV" w:eastAsia="lv-LV"/>
                    </w:rPr>
                  </w:pPr>
                  <w:r w:rsidRPr="004468B2">
                    <w:rPr>
                      <w:noProof/>
                      <w:lang w:val="lv-LV" w:eastAsia="lv-LV"/>
                    </w:rPr>
                    <w:t>Atlīdzības 2015</w:t>
                  </w:r>
                  <w:r w:rsidR="00D234A4" w:rsidRPr="004468B2">
                    <w:rPr>
                      <w:noProof/>
                      <w:lang w:val="lv-LV" w:eastAsia="lv-LV"/>
                    </w:rPr>
                    <w:t>.-2016.gadam (5.aile) aprēķins:</w:t>
                  </w:r>
                </w:p>
                <w:p w:rsidR="00811CEA" w:rsidRPr="004468B2" w:rsidRDefault="00811CEA" w:rsidP="000F61F2">
                  <w:pPr>
                    <w:ind w:left="459" w:right="215"/>
                    <w:jc w:val="both"/>
                    <w:rPr>
                      <w:noProof/>
                      <w:sz w:val="22"/>
                      <w:szCs w:val="22"/>
                      <w:lang w:val="lv-LV" w:eastAsia="lv-LV"/>
                    </w:rPr>
                  </w:pPr>
                  <w:r w:rsidRPr="004468B2">
                    <w:rPr>
                      <w:noProof/>
                      <w:lang w:val="lv-LV" w:eastAsia="lv-LV"/>
                    </w:rPr>
                    <w:t>[(679×12 + 204 + 340) × 2 × 1,2409] Ls = 21 572 Ls</w:t>
                  </w:r>
                </w:p>
                <w:p w:rsidR="00811CEA" w:rsidRPr="004468B2" w:rsidRDefault="00811CEA" w:rsidP="000F61F2">
                  <w:pPr>
                    <w:ind w:right="215"/>
                    <w:jc w:val="both"/>
                    <w:rPr>
                      <w:noProof/>
                      <w:lang w:val="lv-LV" w:eastAsia="lv-LV"/>
                    </w:rPr>
                  </w:pPr>
                </w:p>
                <w:p w:rsidR="00811CEA" w:rsidRPr="004468B2" w:rsidRDefault="00811CEA" w:rsidP="000F61F2">
                  <w:pPr>
                    <w:ind w:left="34" w:right="215"/>
                    <w:jc w:val="both"/>
                    <w:rPr>
                      <w:noProof/>
                      <w:lang w:val="lv-LV" w:eastAsia="lv-LV"/>
                    </w:rPr>
                  </w:pPr>
                  <w:r w:rsidRPr="004468B2">
                    <w:rPr>
                      <w:noProof/>
                      <w:lang w:val="lv-LV" w:eastAsia="lv-LV"/>
                    </w:rPr>
                    <w:t>Papildus nepieciešamo līdzekļu sadalījums pa izdevumu kodiem atbilstoši ekonomiskajām kategorijām:</w:t>
                  </w:r>
                </w:p>
                <w:p w:rsidR="00811CEA" w:rsidRPr="004468B2" w:rsidRDefault="00811CEA" w:rsidP="000F61F2">
                  <w:pPr>
                    <w:ind w:left="459" w:right="215"/>
                    <w:jc w:val="both"/>
                    <w:rPr>
                      <w:noProof/>
                      <w:lang w:val="lv-LV" w:eastAsia="lv-LV"/>
                    </w:rPr>
                  </w:pPr>
                  <w:r w:rsidRPr="004468B2">
                    <w:rPr>
                      <w:noProof/>
                      <w:lang w:val="lv-LV" w:eastAsia="lv-LV"/>
                    </w:rPr>
                    <w:t>Izdevumi kopā 22 992 lati,</w:t>
                  </w:r>
                </w:p>
                <w:p w:rsidR="00811CEA" w:rsidRPr="004468B2" w:rsidRDefault="00811CEA" w:rsidP="000F61F2">
                  <w:pPr>
                    <w:ind w:left="459" w:right="215"/>
                    <w:jc w:val="both"/>
                    <w:rPr>
                      <w:noProof/>
                      <w:lang w:val="lv-LV" w:eastAsia="lv-LV"/>
                    </w:rPr>
                  </w:pPr>
                  <w:r w:rsidRPr="004468B2">
                    <w:rPr>
                      <w:noProof/>
                      <w:lang w:val="lv-LV" w:eastAsia="lv-LV"/>
                    </w:rPr>
                    <w:t>tai skaitā:</w:t>
                  </w:r>
                </w:p>
                <w:p w:rsidR="00D234A4" w:rsidRPr="004468B2" w:rsidRDefault="00811CEA" w:rsidP="00D234A4">
                  <w:pPr>
                    <w:ind w:left="459" w:right="215"/>
                    <w:jc w:val="both"/>
                    <w:rPr>
                      <w:noProof/>
                      <w:lang w:val="lv-LV" w:eastAsia="lv-LV"/>
                    </w:rPr>
                  </w:pPr>
                  <w:r w:rsidRPr="004468B2">
                    <w:rPr>
                      <w:noProof/>
                      <w:lang w:val="lv-LV" w:eastAsia="lv-LV"/>
                    </w:rPr>
                    <w:t>atlīdzība 21 572 lati,</w:t>
                  </w:r>
                </w:p>
                <w:p w:rsidR="00811CEA" w:rsidRPr="004468B2" w:rsidRDefault="00D234A4" w:rsidP="00D234A4">
                  <w:pPr>
                    <w:ind w:left="459" w:right="215"/>
                    <w:jc w:val="both"/>
                    <w:rPr>
                      <w:noProof/>
                      <w:lang w:val="lv-LV" w:eastAsia="lv-LV"/>
                    </w:rPr>
                  </w:pPr>
                  <w:r w:rsidRPr="004468B2">
                    <w:rPr>
                      <w:noProof/>
                      <w:lang w:val="lv-LV" w:eastAsia="lv-LV"/>
                    </w:rPr>
                    <w:t xml:space="preserve">tai skaitā, </w:t>
                  </w:r>
                  <w:r w:rsidR="00811CEA" w:rsidRPr="004468B2">
                    <w:rPr>
                      <w:noProof/>
                      <w:lang w:val="lv-LV" w:eastAsia="lv-LV"/>
                    </w:rPr>
                    <w:t>atalgojums 17 384 lati,</w:t>
                  </w:r>
                </w:p>
                <w:p w:rsidR="00811CEA" w:rsidRPr="004468B2" w:rsidRDefault="00811CEA" w:rsidP="000F61F2">
                  <w:pPr>
                    <w:ind w:left="459" w:right="215"/>
                    <w:jc w:val="both"/>
                    <w:rPr>
                      <w:noProof/>
                      <w:lang w:val="lv-LV" w:eastAsia="lv-LV"/>
                    </w:rPr>
                  </w:pPr>
                  <w:r w:rsidRPr="004468B2">
                    <w:rPr>
                      <w:noProof/>
                      <w:lang w:val="lv-LV" w:eastAsia="lv-LV"/>
                    </w:rPr>
                    <w:t>preces un pakalpojumi 1 420 lati.</w:t>
                  </w:r>
                </w:p>
                <w:p w:rsidR="00811CEA" w:rsidRPr="004468B2" w:rsidRDefault="00811CEA" w:rsidP="000F61F2">
                  <w:pPr>
                    <w:ind w:right="215"/>
                    <w:jc w:val="both"/>
                    <w:rPr>
                      <w:noProof/>
                      <w:lang w:val="lv-LV" w:eastAsia="lv-LV"/>
                    </w:rPr>
                  </w:pPr>
                </w:p>
                <w:p w:rsidR="00811CEA" w:rsidRPr="004468B2" w:rsidRDefault="00811CEA" w:rsidP="000F61F2">
                  <w:pPr>
                    <w:ind w:right="215"/>
                    <w:jc w:val="both"/>
                    <w:rPr>
                      <w:noProof/>
                      <w:lang w:val="lv-LV" w:eastAsia="lv-LV"/>
                    </w:rPr>
                  </w:pPr>
                  <w:r w:rsidRPr="004468B2">
                    <w:rPr>
                      <w:noProof/>
                      <w:lang w:val="lv-LV" w:eastAsia="lv-LV"/>
                    </w:rPr>
                    <w:t>Līdz ar palielinājumu jauno amata vietu nodrošināšanai Veselības inspekcijas finansējums b</w:t>
                  </w:r>
                  <w:r w:rsidR="00D234A4" w:rsidRPr="004468B2">
                    <w:rPr>
                      <w:noProof/>
                      <w:lang w:val="lv-LV" w:eastAsia="lv-LV"/>
                    </w:rPr>
                    <w:t>udžeta apakšprogrammā 46.01.00 ”</w:t>
                  </w:r>
                  <w:r w:rsidRPr="004468B2">
                    <w:rPr>
                      <w:noProof/>
                      <w:lang w:val="lv-LV" w:eastAsia="lv-LV"/>
                    </w:rPr>
                    <w:t>Uzraudzība un kontrole” būs:</w:t>
                  </w:r>
                </w:p>
                <w:p w:rsidR="00811CEA" w:rsidRPr="004468B2" w:rsidRDefault="00811CEA" w:rsidP="000F61F2">
                  <w:pPr>
                    <w:spacing w:before="120"/>
                    <w:ind w:right="215"/>
                    <w:jc w:val="both"/>
                    <w:rPr>
                      <w:noProof/>
                      <w:lang w:val="lv-LV" w:eastAsia="lv-LV"/>
                    </w:rPr>
                  </w:pPr>
                  <w:r w:rsidRPr="004468B2">
                    <w:rPr>
                      <w:noProof/>
                      <w:u w:val="single"/>
                      <w:lang w:val="lv-LV" w:eastAsia="lv-LV"/>
                    </w:rPr>
                    <w:t>2014.gadā</w:t>
                  </w:r>
                  <w:r w:rsidRPr="004468B2">
                    <w:rPr>
                      <w:noProof/>
                      <w:lang w:val="lv-LV" w:eastAsia="lv-LV"/>
                    </w:rPr>
                    <w:t>:</w:t>
                  </w:r>
                </w:p>
                <w:p w:rsidR="00811CEA" w:rsidRPr="004468B2" w:rsidRDefault="00811CEA" w:rsidP="000F61F2">
                  <w:pPr>
                    <w:spacing w:before="120"/>
                    <w:ind w:right="215"/>
                    <w:jc w:val="both"/>
                    <w:rPr>
                      <w:noProof/>
                      <w:lang w:val="lv-LV" w:eastAsia="lv-LV"/>
                    </w:rPr>
                  </w:pPr>
                  <w:r w:rsidRPr="004468B2">
                    <w:rPr>
                      <w:noProof/>
                      <w:lang w:val="lv-LV" w:eastAsia="lv-LV"/>
                    </w:rPr>
                    <w:t>Resursi izdevumu segšanai 2 530 541 lats,</w:t>
                  </w:r>
                </w:p>
                <w:p w:rsidR="00811CEA" w:rsidRPr="004468B2" w:rsidRDefault="00811CEA" w:rsidP="000F61F2">
                  <w:pPr>
                    <w:ind w:left="743" w:right="215"/>
                    <w:jc w:val="both"/>
                    <w:rPr>
                      <w:noProof/>
                      <w:lang w:val="lv-LV" w:eastAsia="lv-LV"/>
                    </w:rPr>
                  </w:pPr>
                  <w:r w:rsidRPr="004468B2">
                    <w:rPr>
                      <w:noProof/>
                      <w:lang w:val="lv-LV" w:eastAsia="lv-LV"/>
                    </w:rPr>
                    <w:t xml:space="preserve">tai skaitā: </w:t>
                  </w:r>
                </w:p>
                <w:p w:rsidR="00811CEA" w:rsidRPr="004468B2" w:rsidRDefault="00811CEA" w:rsidP="000F61F2">
                  <w:pPr>
                    <w:ind w:left="459" w:right="215"/>
                    <w:jc w:val="both"/>
                    <w:rPr>
                      <w:noProof/>
                      <w:lang w:val="lv-LV" w:eastAsia="lv-LV"/>
                    </w:rPr>
                  </w:pPr>
                  <w:r w:rsidRPr="004468B2">
                    <w:rPr>
                      <w:noProof/>
                      <w:lang w:val="lv-LV" w:eastAsia="lv-LV"/>
                    </w:rPr>
                    <w:t>pašu ieņēmumi 186 776 lati,</w:t>
                  </w:r>
                </w:p>
                <w:p w:rsidR="00811CEA" w:rsidRPr="004468B2" w:rsidRDefault="00811CEA" w:rsidP="000F61F2">
                  <w:pPr>
                    <w:ind w:left="459" w:right="215"/>
                    <w:jc w:val="both"/>
                    <w:rPr>
                      <w:noProof/>
                      <w:lang w:val="lv-LV" w:eastAsia="lv-LV"/>
                    </w:rPr>
                  </w:pPr>
                  <w:r w:rsidRPr="004468B2">
                    <w:rPr>
                      <w:noProof/>
                      <w:lang w:val="lv-LV" w:eastAsia="lv-LV"/>
                    </w:rPr>
                    <w:t>dotācija no vispārējiem ieņēmumiem 2 343 765 lati.</w:t>
                  </w:r>
                </w:p>
                <w:p w:rsidR="00811CEA" w:rsidRPr="004468B2" w:rsidRDefault="00811CEA" w:rsidP="000F61F2">
                  <w:pPr>
                    <w:ind w:right="215"/>
                    <w:jc w:val="both"/>
                    <w:rPr>
                      <w:noProof/>
                      <w:lang w:val="lv-LV" w:eastAsia="lv-LV"/>
                    </w:rPr>
                  </w:pPr>
                  <w:r w:rsidRPr="004468B2">
                    <w:rPr>
                      <w:noProof/>
                      <w:lang w:val="lv-LV" w:eastAsia="lv-LV"/>
                    </w:rPr>
                    <w:t>Izdevumi  2 530 541 lats,</w:t>
                  </w:r>
                </w:p>
                <w:p w:rsidR="00811CEA" w:rsidRPr="004468B2" w:rsidRDefault="00811CEA"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atlīdzība 2 074 300 lati,</w:t>
                  </w:r>
                </w:p>
                <w:p w:rsidR="00811CEA" w:rsidRPr="004468B2" w:rsidRDefault="00811CEA" w:rsidP="000F61F2">
                  <w:pPr>
                    <w:ind w:left="743" w:right="215"/>
                    <w:jc w:val="both"/>
                    <w:rPr>
                      <w:noProof/>
                      <w:lang w:val="lv-LV" w:eastAsia="lv-LV"/>
                    </w:rPr>
                  </w:pPr>
                  <w:r w:rsidRPr="004468B2">
                    <w:rPr>
                      <w:noProof/>
                      <w:lang w:val="lv-LV" w:eastAsia="lv-LV"/>
                    </w:rPr>
                    <w:t>t.sk. atalgojums 1 623 805 lati,</w:t>
                  </w:r>
                </w:p>
                <w:p w:rsidR="00811CEA" w:rsidRPr="004468B2" w:rsidRDefault="00811CEA" w:rsidP="000F61F2">
                  <w:pPr>
                    <w:ind w:left="459" w:right="215"/>
                    <w:jc w:val="both"/>
                    <w:rPr>
                      <w:noProof/>
                      <w:lang w:val="lv-LV" w:eastAsia="lv-LV"/>
                    </w:rPr>
                  </w:pPr>
                  <w:r w:rsidRPr="004468B2">
                    <w:rPr>
                      <w:noProof/>
                      <w:lang w:val="lv-LV" w:eastAsia="lv-LV"/>
                    </w:rPr>
                    <w:t>preces un pakalpojumi 417 089 lati,</w:t>
                  </w:r>
                </w:p>
                <w:p w:rsidR="00811CEA" w:rsidRPr="004468B2" w:rsidRDefault="00811CEA" w:rsidP="000F61F2">
                  <w:pPr>
                    <w:ind w:left="459" w:right="215"/>
                    <w:jc w:val="both"/>
                    <w:rPr>
                      <w:noProof/>
                      <w:lang w:val="lv-LV" w:eastAsia="lv-LV"/>
                    </w:rPr>
                  </w:pPr>
                  <w:r w:rsidRPr="004468B2">
                    <w:rPr>
                      <w:noProof/>
                      <w:lang w:val="lv-LV" w:eastAsia="lv-LV"/>
                    </w:rPr>
                    <w:t>kapitālie izdevumi 39 152 lati.</w:t>
                  </w:r>
                </w:p>
                <w:p w:rsidR="00811CEA" w:rsidRPr="004468B2" w:rsidRDefault="00811CEA" w:rsidP="000F61F2">
                  <w:pPr>
                    <w:spacing w:before="120"/>
                    <w:ind w:right="215"/>
                    <w:jc w:val="both"/>
                    <w:rPr>
                      <w:noProof/>
                      <w:lang w:val="lv-LV" w:eastAsia="lv-LV"/>
                    </w:rPr>
                  </w:pPr>
                  <w:r w:rsidRPr="004468B2">
                    <w:rPr>
                      <w:noProof/>
                      <w:u w:val="single"/>
                      <w:lang w:val="lv-LV" w:eastAsia="lv-LV"/>
                    </w:rPr>
                    <w:t>2015.-2016.gadā un turpmāk</w:t>
                  </w:r>
                  <w:r w:rsidRPr="004468B2">
                    <w:rPr>
                      <w:noProof/>
                      <w:lang w:val="lv-LV" w:eastAsia="lv-LV"/>
                    </w:rPr>
                    <w:t xml:space="preserve"> (ik gadu):</w:t>
                  </w:r>
                </w:p>
                <w:p w:rsidR="00811CEA" w:rsidRPr="004468B2" w:rsidRDefault="00811CEA" w:rsidP="000F61F2">
                  <w:pPr>
                    <w:spacing w:before="120"/>
                    <w:ind w:right="215"/>
                    <w:jc w:val="both"/>
                    <w:rPr>
                      <w:noProof/>
                      <w:lang w:val="lv-LV" w:eastAsia="lv-LV"/>
                    </w:rPr>
                  </w:pPr>
                  <w:r w:rsidRPr="004468B2">
                    <w:rPr>
                      <w:noProof/>
                      <w:lang w:val="lv-LV" w:eastAsia="lv-LV"/>
                    </w:rPr>
                    <w:t>Resursi izdevumu segšanai 2 535 259 lati,</w:t>
                  </w:r>
                </w:p>
                <w:p w:rsidR="00811CEA" w:rsidRPr="004468B2" w:rsidRDefault="00D234A4"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pašu ieņēmumi 186 776 lati,</w:t>
                  </w:r>
                </w:p>
                <w:p w:rsidR="00811CEA" w:rsidRPr="004468B2" w:rsidRDefault="00811CEA" w:rsidP="000F61F2">
                  <w:pPr>
                    <w:ind w:left="459" w:right="215"/>
                    <w:jc w:val="both"/>
                    <w:rPr>
                      <w:noProof/>
                      <w:lang w:val="lv-LV" w:eastAsia="lv-LV"/>
                    </w:rPr>
                  </w:pPr>
                  <w:r w:rsidRPr="004468B2">
                    <w:rPr>
                      <w:noProof/>
                      <w:lang w:val="lv-LV" w:eastAsia="lv-LV"/>
                    </w:rPr>
                    <w:t>dotācija no vispārējiem ieņēmumiem 2 348 483 lati.</w:t>
                  </w:r>
                </w:p>
                <w:p w:rsidR="00811CEA" w:rsidRPr="004468B2" w:rsidRDefault="00811CEA" w:rsidP="000F61F2">
                  <w:pPr>
                    <w:ind w:right="215"/>
                    <w:jc w:val="both"/>
                    <w:rPr>
                      <w:noProof/>
                      <w:lang w:val="lv-LV" w:eastAsia="lv-LV"/>
                    </w:rPr>
                  </w:pPr>
                  <w:r w:rsidRPr="004468B2">
                    <w:rPr>
                      <w:noProof/>
                      <w:lang w:val="lv-LV" w:eastAsia="lv-LV"/>
                    </w:rPr>
                    <w:lastRenderedPageBreak/>
                    <w:t>Izdevumi  2 535 259 lati,</w:t>
                  </w:r>
                </w:p>
                <w:p w:rsidR="00811CEA" w:rsidRPr="004468B2" w:rsidRDefault="00811CEA" w:rsidP="000F61F2">
                  <w:pPr>
                    <w:ind w:left="743" w:right="215"/>
                    <w:jc w:val="both"/>
                    <w:rPr>
                      <w:noProof/>
                      <w:lang w:val="lv-LV" w:eastAsia="lv-LV"/>
                    </w:rPr>
                  </w:pPr>
                  <w:r w:rsidRPr="004468B2">
                    <w:rPr>
                      <w:noProof/>
                      <w:lang w:val="lv-LV" w:eastAsia="lv-LV"/>
                    </w:rPr>
                    <w:t>tai skaitā:</w:t>
                  </w:r>
                </w:p>
                <w:p w:rsidR="00811CEA" w:rsidRPr="004468B2" w:rsidRDefault="00811CEA" w:rsidP="000F61F2">
                  <w:pPr>
                    <w:ind w:left="459" w:right="215"/>
                    <w:jc w:val="both"/>
                    <w:rPr>
                      <w:noProof/>
                      <w:lang w:val="lv-LV" w:eastAsia="lv-LV"/>
                    </w:rPr>
                  </w:pPr>
                  <w:r w:rsidRPr="004468B2">
                    <w:rPr>
                      <w:noProof/>
                      <w:lang w:val="lv-LV" w:eastAsia="lv-LV"/>
                    </w:rPr>
                    <w:t>atlīdzība 2 080 453 lati,</w:t>
                  </w:r>
                </w:p>
                <w:p w:rsidR="00811CEA" w:rsidRPr="004468B2" w:rsidRDefault="00D234A4" w:rsidP="000F61F2">
                  <w:pPr>
                    <w:ind w:left="743" w:right="215"/>
                    <w:jc w:val="both"/>
                    <w:rPr>
                      <w:noProof/>
                      <w:lang w:val="lv-LV" w:eastAsia="lv-LV"/>
                    </w:rPr>
                  </w:pPr>
                  <w:r w:rsidRPr="004468B2">
                    <w:rPr>
                      <w:noProof/>
                      <w:lang w:val="lv-LV" w:eastAsia="lv-LV"/>
                    </w:rPr>
                    <w:t>tai skaitā</w:t>
                  </w:r>
                  <w:r w:rsidR="00811CEA" w:rsidRPr="004468B2">
                    <w:rPr>
                      <w:noProof/>
                      <w:lang w:val="lv-LV" w:eastAsia="lv-LV"/>
                    </w:rPr>
                    <w:t xml:space="preserve"> atalgojums 1 628 763 lati,</w:t>
                  </w:r>
                </w:p>
                <w:p w:rsidR="00811CEA" w:rsidRPr="004468B2" w:rsidRDefault="00811CEA" w:rsidP="000F61F2">
                  <w:pPr>
                    <w:ind w:left="459" w:right="215"/>
                    <w:jc w:val="both"/>
                    <w:rPr>
                      <w:noProof/>
                      <w:lang w:val="lv-LV" w:eastAsia="lv-LV"/>
                    </w:rPr>
                  </w:pPr>
                  <w:r w:rsidRPr="004468B2">
                    <w:rPr>
                      <w:noProof/>
                      <w:lang w:val="lv-LV" w:eastAsia="lv-LV"/>
                    </w:rPr>
                    <w:t>preces un pakalpojumi 416 680 lati,</w:t>
                  </w:r>
                </w:p>
                <w:p w:rsidR="00811CEA" w:rsidRPr="004468B2" w:rsidRDefault="00811CEA" w:rsidP="000F61F2">
                  <w:pPr>
                    <w:ind w:left="459" w:right="215"/>
                    <w:jc w:val="both"/>
                    <w:rPr>
                      <w:noProof/>
                      <w:lang w:val="lv-LV" w:eastAsia="lv-LV"/>
                    </w:rPr>
                  </w:pPr>
                  <w:r w:rsidRPr="004468B2">
                    <w:rPr>
                      <w:noProof/>
                      <w:lang w:val="lv-LV" w:eastAsia="lv-LV"/>
                    </w:rPr>
                    <w:t>kapitālie izdevumi 38 126 lati.</w:t>
                  </w:r>
                </w:p>
                <w:p w:rsidR="00811CEA" w:rsidRPr="004468B2" w:rsidRDefault="00811CEA" w:rsidP="000F61F2">
                  <w:pPr>
                    <w:ind w:left="459" w:right="215"/>
                    <w:jc w:val="both"/>
                    <w:rPr>
                      <w:noProof/>
                      <w:lang w:val="lv-LV" w:eastAsia="lv-LV"/>
                    </w:rPr>
                  </w:pPr>
                </w:p>
                <w:p w:rsidR="00811CEA" w:rsidRPr="004468B2" w:rsidRDefault="00811CEA" w:rsidP="000F61F2">
                  <w:pPr>
                    <w:ind w:left="34" w:right="215"/>
                    <w:jc w:val="both"/>
                    <w:rPr>
                      <w:noProof/>
                      <w:lang w:val="lv-LV" w:eastAsia="lv-LV"/>
                    </w:rPr>
                  </w:pPr>
                  <w:r w:rsidRPr="004468B2">
                    <w:rPr>
                      <w:noProof/>
                      <w:lang w:val="lv-LV" w:eastAsia="lv-LV"/>
                    </w:rPr>
                    <w:t>Maksimālais amata vietu skaits Veselības inspekcijā 2013.gadā ir 232, līdz ar palielinājumu no 2014.gada 1.janvāra tas būs</w:t>
                  </w:r>
                  <w:r w:rsidR="00D234A4" w:rsidRPr="004468B2">
                    <w:rPr>
                      <w:noProof/>
                      <w:lang w:val="lv-LV" w:eastAsia="lv-LV"/>
                    </w:rPr>
                    <w:t xml:space="preserve"> 233, bet no 2014.gada 1.jūlija - </w:t>
                  </w:r>
                  <w:r w:rsidRPr="004468B2">
                    <w:rPr>
                      <w:noProof/>
                      <w:lang w:val="lv-LV" w:eastAsia="lv-LV"/>
                    </w:rPr>
                    <w:t>234.</w:t>
                  </w:r>
                </w:p>
                <w:p w:rsidR="00E21A95" w:rsidRPr="004468B2" w:rsidRDefault="00E21A95" w:rsidP="000F61F2">
                  <w:pPr>
                    <w:ind w:left="34" w:right="215"/>
                    <w:jc w:val="both"/>
                    <w:rPr>
                      <w:noProof/>
                      <w:lang w:val="lv-LV" w:eastAsia="lv-LV"/>
                    </w:rPr>
                  </w:pPr>
                </w:p>
                <w:p w:rsidR="00811CEA" w:rsidRPr="004468B2" w:rsidRDefault="00E21A95" w:rsidP="00E21A95">
                  <w:pPr>
                    <w:ind w:left="34" w:right="215"/>
                    <w:jc w:val="both"/>
                    <w:rPr>
                      <w:noProof/>
                      <w:lang w:val="lv-LV" w:eastAsia="lv-LV"/>
                    </w:rPr>
                  </w:pPr>
                  <w:r w:rsidRPr="004468B2">
                    <w:rPr>
                      <w:noProof/>
                      <w:lang w:val="lv-LV" w:eastAsia="lv-LV"/>
                    </w:rPr>
                    <w:t>Papildus līdzekļu pieprasījums jauno amata vietu izveidei un uzturēšanai Veselības inspekcijā ir iekļauts Veselības ministrijas jaunajās politikas iniciatīvās 2014.-2016.gadam (prioritāte Nr.18), kas iesniegtas Finanšu ministrijā un Pārresoru koordinācijas centrā ar 03.06.2013 vēstuli Nr.01-13FM/2186.</w:t>
                  </w:r>
                </w:p>
              </w:tc>
            </w:tr>
            <w:tr w:rsidR="00811CEA" w:rsidRPr="004468B2" w:rsidTr="000F61F2">
              <w:trPr>
                <w:jc w:val="center"/>
              </w:trPr>
              <w:tc>
                <w:tcPr>
                  <w:tcW w:w="3420" w:type="dxa"/>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spacing w:before="120"/>
                    <w:ind w:left="335"/>
                    <w:jc w:val="both"/>
                    <w:rPr>
                      <w:noProof/>
                      <w:lang w:val="lv-LV" w:eastAsia="lv-LV"/>
                    </w:rPr>
                  </w:pPr>
                  <w:r w:rsidRPr="004468B2">
                    <w:rPr>
                      <w:noProof/>
                      <w:lang w:val="lv-LV"/>
                    </w:rPr>
                    <w:lastRenderedPageBreak/>
                    <w:t>7. Cita informācija</w:t>
                  </w:r>
                </w:p>
              </w:tc>
              <w:tc>
                <w:tcPr>
                  <w:tcW w:w="6704" w:type="dxa"/>
                  <w:gridSpan w:val="7"/>
                  <w:tcBorders>
                    <w:top w:val="single" w:sz="4" w:space="0" w:color="auto"/>
                    <w:left w:val="single" w:sz="4" w:space="0" w:color="auto"/>
                    <w:bottom w:val="single" w:sz="4" w:space="0" w:color="auto"/>
                    <w:right w:val="single" w:sz="4" w:space="0" w:color="auto"/>
                  </w:tcBorders>
                  <w:hideMark/>
                </w:tcPr>
                <w:p w:rsidR="00811CEA" w:rsidRPr="004468B2" w:rsidRDefault="00811CEA" w:rsidP="000F61F2">
                  <w:pPr>
                    <w:pStyle w:val="naisf"/>
                    <w:tabs>
                      <w:tab w:val="left" w:pos="4644"/>
                    </w:tabs>
                    <w:spacing w:before="120" w:beforeAutospacing="0" w:after="120" w:afterAutospacing="0"/>
                    <w:ind w:right="357"/>
                    <w:jc w:val="both"/>
                    <w:rPr>
                      <w:noProof/>
                      <w:lang w:val="lv-LV"/>
                    </w:rPr>
                  </w:pPr>
                  <w:r w:rsidRPr="004468B2">
                    <w:rPr>
                      <w:noProof/>
                      <w:lang w:val="lv-LV"/>
                    </w:rPr>
                    <w:t>Jautājums par papildu valsts budžeta līdzekļu piešķiršanu Veselības ministrijai izskatāms M</w:t>
                  </w:r>
                  <w:r w:rsidR="00001806" w:rsidRPr="004468B2">
                    <w:rPr>
                      <w:noProof/>
                      <w:lang w:val="lv-LV"/>
                    </w:rPr>
                    <w:t>inistru kabinetā likumprojekta ”</w:t>
                  </w:r>
                  <w:r w:rsidRPr="004468B2">
                    <w:rPr>
                      <w:noProof/>
                      <w:lang w:val="lv-LV"/>
                    </w:rPr>
                    <w:t>Par valsts budžet</w:t>
                  </w:r>
                  <w:r w:rsidR="00001806" w:rsidRPr="004468B2">
                    <w:rPr>
                      <w:noProof/>
                      <w:lang w:val="lv-LV"/>
                    </w:rPr>
                    <w:t>u 2014.gadam” un likumprojekta ”</w:t>
                  </w:r>
                  <w:r w:rsidRPr="004468B2">
                    <w:rPr>
                      <w:noProof/>
                      <w:lang w:val="lv-LV"/>
                    </w:rPr>
                    <w:t>Par vidēja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tc>
            </w:tr>
          </w:tbl>
          <w:p w:rsidR="004134D0" w:rsidRPr="004468B2" w:rsidRDefault="004134D0" w:rsidP="006F5C60">
            <w:pPr>
              <w:pStyle w:val="naisnod"/>
              <w:spacing w:before="0" w:after="0"/>
              <w:ind w:left="57" w:right="57"/>
              <w:rPr>
                <w:b w:val="0"/>
              </w:rPr>
            </w:pPr>
          </w:p>
        </w:tc>
      </w:tr>
      <w:tr w:rsidR="004134D0" w:rsidRPr="004468B2"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i/>
              </w:rPr>
            </w:pPr>
          </w:p>
        </w:tc>
      </w:tr>
      <w:tr w:rsidR="004134D0" w:rsidRPr="004468B2"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t>IV. Tiesību akta projekta ietekme uz spēkā esošo tiesību normu sistēmu</w:t>
            </w:r>
          </w:p>
        </w:tc>
      </w:tr>
      <w:tr w:rsidR="004134D0" w:rsidRPr="004468B2" w:rsidTr="004F60AF">
        <w:tblPrEx>
          <w:tblCellMar>
            <w:left w:w="0" w:type="dxa"/>
            <w:right w:w="0" w:type="dxa"/>
          </w:tblCellMar>
        </w:tblPrEx>
        <w:trPr>
          <w:gridBefore w:val="1"/>
          <w:gridAfter w:val="3"/>
          <w:wBefore w:w="34" w:type="dxa"/>
          <w:wAfter w:w="2535" w:type="dxa"/>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pPr>
            <w:r w:rsidRPr="004468B2">
              <w:t>1.</w:t>
            </w:r>
          </w:p>
        </w:tc>
        <w:tc>
          <w:tcPr>
            <w:tcW w:w="2396"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right="57"/>
              <w:rPr>
                <w:b w:val="0"/>
              </w:rPr>
            </w:pPr>
            <w:r w:rsidRPr="004468B2">
              <w:t>Nepieciešamie saistītie tiesību aktu projekti</w:t>
            </w:r>
          </w:p>
        </w:tc>
        <w:tc>
          <w:tcPr>
            <w:tcW w:w="6379" w:type="dxa"/>
            <w:gridSpan w:val="5"/>
            <w:tcBorders>
              <w:top w:val="single" w:sz="4" w:space="0" w:color="auto"/>
              <w:left w:val="single" w:sz="4" w:space="0" w:color="auto"/>
              <w:bottom w:val="single" w:sz="4" w:space="0" w:color="auto"/>
              <w:right w:val="single" w:sz="4" w:space="0" w:color="auto"/>
            </w:tcBorders>
          </w:tcPr>
          <w:p w:rsidR="00614771" w:rsidRPr="004468B2" w:rsidRDefault="000258B6" w:rsidP="00614771">
            <w:pPr>
              <w:pStyle w:val="naisf"/>
              <w:spacing w:before="0" w:beforeAutospacing="0" w:after="0" w:afterAutospacing="0"/>
              <w:jc w:val="both"/>
              <w:rPr>
                <w:noProof/>
                <w:spacing w:val="-6"/>
                <w:lang w:val="lv-LV"/>
              </w:rPr>
            </w:pPr>
            <w:r w:rsidRPr="004468B2">
              <w:rPr>
                <w:noProof/>
                <w:spacing w:val="-6"/>
                <w:lang w:val="lv-LV"/>
              </w:rPr>
              <w:t>1. </w:t>
            </w:r>
            <w:r w:rsidR="00614771" w:rsidRPr="004468B2">
              <w:rPr>
                <w:noProof/>
                <w:spacing w:val="-6"/>
                <w:lang w:val="lv-LV"/>
              </w:rPr>
              <w:t>Lai ieviestu pilnībā Direktīvas 2011/62/ES normas, ir nepieciešams pieņemt:</w:t>
            </w:r>
          </w:p>
          <w:p w:rsidR="00614771" w:rsidRPr="004468B2" w:rsidRDefault="000258B6" w:rsidP="00614771">
            <w:pPr>
              <w:pStyle w:val="NoSpacing"/>
              <w:jc w:val="both"/>
              <w:rPr>
                <w:rFonts w:ascii="Times New Roman" w:hAnsi="Times New Roman"/>
                <w:noProof/>
                <w:sz w:val="24"/>
                <w:szCs w:val="24"/>
              </w:rPr>
            </w:pPr>
            <w:r w:rsidRPr="004468B2">
              <w:rPr>
                <w:rFonts w:ascii="Times New Roman" w:hAnsi="Times New Roman"/>
                <w:noProof/>
                <w:spacing w:val="-6"/>
                <w:sz w:val="24"/>
                <w:szCs w:val="24"/>
              </w:rPr>
              <w:t>1)</w:t>
            </w:r>
            <w:r w:rsidR="00614771" w:rsidRPr="004468B2">
              <w:rPr>
                <w:rFonts w:ascii="Times New Roman" w:hAnsi="Times New Roman"/>
                <w:noProof/>
                <w:spacing w:val="-6"/>
                <w:sz w:val="24"/>
                <w:szCs w:val="24"/>
              </w:rPr>
              <w:t xml:space="preserve"> Grozījumus </w:t>
            </w:r>
            <w:r w:rsidR="00614771" w:rsidRPr="004468B2">
              <w:rPr>
                <w:rFonts w:ascii="Times New Roman" w:hAnsi="Times New Roman"/>
                <w:noProof/>
                <w:sz w:val="24"/>
                <w:szCs w:val="24"/>
              </w:rPr>
              <w:t>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(turp</w:t>
            </w:r>
            <w:r w:rsidR="00DA4D7E" w:rsidRPr="004468B2">
              <w:rPr>
                <w:rFonts w:ascii="Times New Roman" w:hAnsi="Times New Roman"/>
                <w:noProof/>
                <w:sz w:val="24"/>
                <w:szCs w:val="24"/>
              </w:rPr>
              <w:t>m</w:t>
            </w:r>
            <w:r w:rsidR="00D234A4" w:rsidRPr="004468B2">
              <w:rPr>
                <w:rFonts w:ascii="Times New Roman" w:hAnsi="Times New Roman"/>
                <w:noProof/>
                <w:sz w:val="24"/>
                <w:szCs w:val="24"/>
              </w:rPr>
              <w:t>āk -</w:t>
            </w:r>
            <w:r w:rsidR="00614771" w:rsidRPr="004468B2">
              <w:rPr>
                <w:rFonts w:ascii="Times New Roman" w:hAnsi="Times New Roman"/>
                <w:noProof/>
                <w:sz w:val="24"/>
                <w:szCs w:val="24"/>
              </w:rPr>
              <w:t> MK noteikum</w:t>
            </w:r>
            <w:r w:rsidR="0030227F" w:rsidRPr="004468B2">
              <w:rPr>
                <w:rFonts w:ascii="Times New Roman" w:hAnsi="Times New Roman"/>
                <w:noProof/>
                <w:sz w:val="24"/>
                <w:szCs w:val="24"/>
              </w:rPr>
              <w:t>i</w:t>
            </w:r>
            <w:r w:rsidR="00614771" w:rsidRPr="004468B2">
              <w:rPr>
                <w:rFonts w:ascii="Times New Roman" w:hAnsi="Times New Roman"/>
                <w:noProof/>
                <w:sz w:val="24"/>
                <w:szCs w:val="24"/>
              </w:rPr>
              <w:t xml:space="preserve"> Nr.304), lai noteiktu</w:t>
            </w:r>
            <w:r w:rsidR="00614771" w:rsidRPr="004468B2">
              <w:rPr>
                <w:rFonts w:ascii="Times New Roman" w:hAnsi="Times New Roman"/>
                <w:noProof/>
                <w:spacing w:val="-6"/>
                <w:sz w:val="24"/>
                <w:szCs w:val="24"/>
              </w:rPr>
              <w:t xml:space="preserve"> stingrākas pārbaužu prasības ražotājiem, </w:t>
            </w:r>
            <w:r w:rsidR="00614771" w:rsidRPr="004468B2">
              <w:rPr>
                <w:rFonts w:ascii="Times New Roman" w:hAnsi="Times New Roman"/>
                <w:iCs/>
                <w:noProof/>
                <w:sz w:val="24"/>
                <w:szCs w:val="24"/>
              </w:rPr>
              <w:t>ražotāja atbildības palielināšanu par aktīvo vielu ražotnes un aktīvo vielu izplatītāju darbības vietas auditiem</w:t>
            </w:r>
            <w:r w:rsidR="00614771" w:rsidRPr="004468B2">
              <w:rPr>
                <w:rFonts w:ascii="Times New Roman" w:hAnsi="Times New Roman"/>
                <w:noProof/>
                <w:spacing w:val="-6"/>
                <w:sz w:val="24"/>
                <w:szCs w:val="24"/>
              </w:rPr>
              <w:t xml:space="preserve"> un zāļu kontroli un uzraudzību, kā arī lai precizētu </w:t>
            </w:r>
            <w:r w:rsidR="00614771" w:rsidRPr="004468B2">
              <w:rPr>
                <w:rFonts w:ascii="Times New Roman" w:hAnsi="Times New Roman"/>
                <w:noProof/>
                <w:sz w:val="24"/>
                <w:szCs w:val="24"/>
              </w:rPr>
              <w:t>kontroles ziņojuma formu un labas ražošanas prakses sertifikāta form</w:t>
            </w:r>
            <w:r w:rsidR="00DA4D7E" w:rsidRPr="004468B2">
              <w:rPr>
                <w:rFonts w:ascii="Times New Roman" w:hAnsi="Times New Roman"/>
                <w:noProof/>
                <w:sz w:val="24"/>
                <w:szCs w:val="24"/>
              </w:rPr>
              <w:t>u</w:t>
            </w:r>
            <w:r w:rsidR="00614771" w:rsidRPr="004468B2">
              <w:rPr>
                <w:rFonts w:ascii="Times New Roman" w:hAnsi="Times New Roman"/>
                <w:noProof/>
                <w:sz w:val="24"/>
                <w:szCs w:val="24"/>
              </w:rPr>
              <w:t xml:space="preserve"> atbilst</w:t>
            </w:r>
            <w:r w:rsidR="00DA4D7E" w:rsidRPr="004468B2">
              <w:rPr>
                <w:rFonts w:ascii="Times New Roman" w:hAnsi="Times New Roman"/>
                <w:noProof/>
                <w:sz w:val="24"/>
                <w:szCs w:val="24"/>
              </w:rPr>
              <w:t>oši</w:t>
            </w:r>
            <w:r w:rsidR="00614771" w:rsidRPr="004468B2">
              <w:rPr>
                <w:rFonts w:ascii="Times New Roman" w:hAnsi="Times New Roman"/>
                <w:noProof/>
                <w:sz w:val="24"/>
                <w:szCs w:val="24"/>
              </w:rPr>
              <w:t xml:space="preserve"> Eiropas Savienības formātam.</w:t>
            </w:r>
          </w:p>
          <w:p w:rsidR="001E465A" w:rsidRPr="004468B2" w:rsidRDefault="001E465A" w:rsidP="001E465A">
            <w:pPr>
              <w:shd w:val="clear" w:color="auto" w:fill="F5F5F5"/>
              <w:jc w:val="both"/>
              <w:textAlignment w:val="top"/>
              <w:rPr>
                <w:noProof/>
                <w:lang w:val="lv-LV"/>
              </w:rPr>
            </w:pPr>
            <w:r w:rsidRPr="004468B2">
              <w:rPr>
                <w:noProof/>
                <w:lang w:val="lv-LV"/>
              </w:rPr>
              <w:t xml:space="preserve">Projekts izsludināts Valsts sekretāru sanāksmē (VSS) 2013.gada 18.aprīlī (prot. Nr.15, </w:t>
            </w:r>
            <w:r w:rsidRPr="004468B2">
              <w:t xml:space="preserve">15.§, </w:t>
            </w:r>
            <w:r w:rsidRPr="004468B2">
              <w:rPr>
                <w:noProof/>
                <w:lang w:val="lv-LV"/>
              </w:rPr>
              <w:t>VSS - 363).</w:t>
            </w:r>
          </w:p>
          <w:p w:rsidR="00C22988" w:rsidRPr="004468B2" w:rsidRDefault="00C22988" w:rsidP="005051C0">
            <w:pPr>
              <w:shd w:val="clear" w:color="auto" w:fill="F5F5F5"/>
              <w:jc w:val="both"/>
              <w:textAlignment w:val="top"/>
              <w:rPr>
                <w:noProof/>
                <w:spacing w:val="-6"/>
                <w:lang w:val="lv-LV"/>
              </w:rPr>
            </w:pPr>
          </w:p>
          <w:p w:rsidR="005051C0" w:rsidRPr="004468B2" w:rsidRDefault="00641B3B" w:rsidP="005051C0">
            <w:pPr>
              <w:shd w:val="clear" w:color="auto" w:fill="F5F5F5"/>
              <w:jc w:val="both"/>
              <w:textAlignment w:val="top"/>
              <w:rPr>
                <w:noProof/>
                <w:lang w:val="lv-LV"/>
              </w:rPr>
            </w:pPr>
            <w:r w:rsidRPr="004468B2">
              <w:rPr>
                <w:noProof/>
                <w:spacing w:val="-6"/>
                <w:lang w:val="lv-LV"/>
              </w:rPr>
              <w:t>2</w:t>
            </w:r>
            <w:r w:rsidR="000258B6" w:rsidRPr="004468B2">
              <w:rPr>
                <w:noProof/>
                <w:spacing w:val="-6"/>
                <w:lang w:val="lv-LV"/>
              </w:rPr>
              <w:t>)</w:t>
            </w:r>
            <w:r w:rsidR="005051C0" w:rsidRPr="004468B2">
              <w:rPr>
                <w:noProof/>
                <w:spacing w:val="-6"/>
                <w:lang w:val="lv-LV"/>
              </w:rPr>
              <w:t xml:space="preserve"> Grozījumus </w:t>
            </w:r>
            <w:r w:rsidR="005051C0" w:rsidRPr="004468B2">
              <w:rPr>
                <w:noProof/>
                <w:lang w:val="lv-LV"/>
              </w:rPr>
              <w:t xml:space="preserve">Ministru kabineta 2006.gada 9.maija noteikumos </w:t>
            </w:r>
            <w:r w:rsidR="005051C0" w:rsidRPr="004468B2">
              <w:rPr>
                <w:noProof/>
                <w:lang w:val="lv-LV"/>
              </w:rPr>
              <w:lastRenderedPageBreak/>
              <w:t xml:space="preserve">Nr.376 </w:t>
            </w:r>
            <w:r w:rsidR="005051C0" w:rsidRPr="004468B2">
              <w:rPr>
                <w:bCs/>
                <w:noProof/>
                <w:lang w:val="lv-LV"/>
              </w:rPr>
              <w:t>”</w:t>
            </w:r>
            <w:r w:rsidR="005051C0" w:rsidRPr="004468B2">
              <w:rPr>
                <w:noProof/>
                <w:lang w:val="lv-LV"/>
              </w:rPr>
              <w:t>Zāļu reģistrēšanas kārtība</w:t>
            </w:r>
            <w:r w:rsidR="005051C0" w:rsidRPr="004468B2">
              <w:rPr>
                <w:bCs/>
                <w:noProof/>
                <w:lang w:val="lv-LV"/>
              </w:rPr>
              <w:t xml:space="preserve">” </w:t>
            </w:r>
            <w:r w:rsidR="00FD1F19" w:rsidRPr="004468B2">
              <w:rPr>
                <w:noProof/>
                <w:lang w:val="lv-LV"/>
              </w:rPr>
              <w:t>(turpāk -</w:t>
            </w:r>
            <w:r w:rsidR="005051C0" w:rsidRPr="004468B2">
              <w:rPr>
                <w:noProof/>
                <w:lang w:val="lv-LV"/>
              </w:rPr>
              <w:t> MK noteikum</w:t>
            </w:r>
            <w:r w:rsidR="00D15AF7" w:rsidRPr="004468B2">
              <w:rPr>
                <w:noProof/>
                <w:lang w:val="lv-LV"/>
              </w:rPr>
              <w:t>i</w:t>
            </w:r>
            <w:r w:rsidR="005051C0" w:rsidRPr="004468B2">
              <w:rPr>
                <w:noProof/>
                <w:lang w:val="lv-LV"/>
              </w:rPr>
              <w:t xml:space="preserve"> Nr.376)</w:t>
            </w:r>
            <w:r w:rsidR="005051C0" w:rsidRPr="004468B2">
              <w:rPr>
                <w:bCs/>
                <w:noProof/>
                <w:lang w:val="lv-LV"/>
              </w:rPr>
              <w:t>, lai papildinātu</w:t>
            </w:r>
            <w:r w:rsidR="005051C0" w:rsidRPr="004468B2">
              <w:rPr>
                <w:noProof/>
                <w:lang w:val="lv-LV"/>
              </w:rPr>
              <w:t xml:space="preserve"> zāļu reģistrācijai iesniedzamos dokumentus, nosakot stingrākās prasības zāļu attiecībā uz aktīvās vielas ražotāja pārbaudēm, un precizētu Zāļu valsts aģentūras lēmumu pieņemšanas procedūras.</w:t>
            </w:r>
          </w:p>
          <w:p w:rsidR="001E465A" w:rsidRPr="004468B2" w:rsidRDefault="001E465A" w:rsidP="001E465A">
            <w:pPr>
              <w:shd w:val="clear" w:color="auto" w:fill="F5F5F5"/>
              <w:jc w:val="both"/>
              <w:textAlignment w:val="top"/>
              <w:rPr>
                <w:noProof/>
                <w:lang w:val="lv-LV"/>
              </w:rPr>
            </w:pPr>
            <w:r w:rsidRPr="004468B2">
              <w:rPr>
                <w:noProof/>
                <w:lang w:val="lv-LV"/>
              </w:rPr>
              <w:t xml:space="preserve">Projekts izsludināts Valsts sekretāru sanāksmē (VSS) 2013.gada 18.aprīlī (prot. Nr.15, </w:t>
            </w:r>
            <w:bookmarkStart w:id="0" w:name="17"/>
            <w:r w:rsidRPr="004468B2">
              <w:t>17.§</w:t>
            </w:r>
            <w:bookmarkEnd w:id="0"/>
            <w:r w:rsidRPr="004468B2">
              <w:t xml:space="preserve">, </w:t>
            </w:r>
            <w:r w:rsidRPr="004468B2">
              <w:rPr>
                <w:noProof/>
                <w:lang w:val="lv-LV"/>
              </w:rPr>
              <w:t>VSS - 365).</w:t>
            </w:r>
          </w:p>
          <w:p w:rsidR="00C33924" w:rsidRPr="004468B2" w:rsidRDefault="00C33924" w:rsidP="00405444">
            <w:pPr>
              <w:pStyle w:val="NoSpacing"/>
              <w:jc w:val="both"/>
              <w:rPr>
                <w:rFonts w:ascii="Times New Roman" w:hAnsi="Times New Roman"/>
                <w:sz w:val="24"/>
                <w:szCs w:val="24"/>
              </w:rPr>
            </w:pPr>
          </w:p>
          <w:p w:rsidR="00405444" w:rsidRPr="004468B2" w:rsidRDefault="00641B3B" w:rsidP="00405444">
            <w:pPr>
              <w:pStyle w:val="NoSpacing"/>
              <w:jc w:val="both"/>
              <w:rPr>
                <w:rFonts w:ascii="Times New Roman" w:hAnsi="Times New Roman"/>
                <w:noProof/>
                <w:sz w:val="24"/>
                <w:szCs w:val="24"/>
              </w:rPr>
            </w:pPr>
            <w:r w:rsidRPr="004468B2">
              <w:rPr>
                <w:rFonts w:ascii="Times New Roman" w:hAnsi="Times New Roman"/>
                <w:sz w:val="24"/>
                <w:szCs w:val="24"/>
              </w:rPr>
              <w:t>3</w:t>
            </w:r>
            <w:r w:rsidR="00405444" w:rsidRPr="004468B2">
              <w:rPr>
                <w:rFonts w:ascii="Times New Roman" w:hAnsi="Times New Roman"/>
                <w:sz w:val="24"/>
                <w:szCs w:val="24"/>
              </w:rPr>
              <w:t xml:space="preserve">) Ministru kabineta noteikumu projekts ”Grozījumi Ministru kabineta 2007.gada 26.jūnija noteikumos Nr.436 ”Zāļu ievešanas un izvešanas kārtība”” </w:t>
            </w:r>
            <w:r w:rsidR="009F0EDA" w:rsidRPr="004468B2">
              <w:rPr>
                <w:rFonts w:ascii="Times New Roman" w:hAnsi="Times New Roman"/>
                <w:noProof/>
                <w:sz w:val="24"/>
                <w:szCs w:val="24"/>
              </w:rPr>
              <w:t>(turpmāk -</w:t>
            </w:r>
            <w:r w:rsidR="00405444" w:rsidRPr="004468B2">
              <w:rPr>
                <w:rFonts w:ascii="Times New Roman" w:hAnsi="Times New Roman"/>
                <w:noProof/>
                <w:sz w:val="24"/>
                <w:szCs w:val="24"/>
              </w:rPr>
              <w:t> MK noteikumi Nr.436), lai noteiktu</w:t>
            </w:r>
            <w:r w:rsidR="00405444" w:rsidRPr="004468B2">
              <w:rPr>
                <w:rFonts w:ascii="Times New Roman" w:hAnsi="Times New Roman"/>
                <w:noProof/>
                <w:spacing w:val="-6"/>
                <w:sz w:val="24"/>
                <w:szCs w:val="24"/>
              </w:rPr>
              <w:t xml:space="preserve"> stingrāku zāļu uzraudzību.</w:t>
            </w:r>
          </w:p>
          <w:p w:rsidR="00405444" w:rsidRPr="004468B2" w:rsidRDefault="00405444" w:rsidP="00405444">
            <w:pPr>
              <w:shd w:val="clear" w:color="auto" w:fill="F5F5F5"/>
              <w:jc w:val="both"/>
              <w:textAlignment w:val="top"/>
              <w:rPr>
                <w:noProof/>
                <w:lang w:val="lv-LV"/>
              </w:rPr>
            </w:pPr>
            <w:r w:rsidRPr="004468B2">
              <w:rPr>
                <w:noProof/>
                <w:lang w:val="lv-LV"/>
              </w:rPr>
              <w:t xml:space="preserve">Projekts izsludināts Valsts sekretāru sanāksmē (VSS) 2013.gada 9.maijā (prot. Nr.18, </w:t>
            </w:r>
            <w:r w:rsidRPr="004468B2">
              <w:rPr>
                <w:lang w:val="lv-LV"/>
              </w:rPr>
              <w:t xml:space="preserve">14.§, </w:t>
            </w:r>
            <w:r w:rsidRPr="004468B2">
              <w:rPr>
                <w:noProof/>
                <w:lang w:val="lv-LV"/>
              </w:rPr>
              <w:t>VSS - 452).</w:t>
            </w:r>
          </w:p>
          <w:p w:rsidR="00405444" w:rsidRPr="004468B2" w:rsidRDefault="00405444" w:rsidP="00614771">
            <w:pPr>
              <w:pStyle w:val="NoSpacing"/>
              <w:jc w:val="both"/>
              <w:rPr>
                <w:rFonts w:ascii="Times New Roman" w:hAnsi="Times New Roman"/>
                <w:noProof/>
                <w:sz w:val="24"/>
                <w:szCs w:val="24"/>
              </w:rPr>
            </w:pPr>
          </w:p>
          <w:p w:rsidR="00614771" w:rsidRPr="004468B2" w:rsidRDefault="00641B3B" w:rsidP="00614771">
            <w:pPr>
              <w:pStyle w:val="NoSpacing"/>
              <w:jc w:val="both"/>
              <w:rPr>
                <w:rFonts w:ascii="Times New Roman" w:hAnsi="Times New Roman"/>
                <w:noProof/>
                <w:sz w:val="24"/>
                <w:szCs w:val="24"/>
              </w:rPr>
            </w:pPr>
            <w:r w:rsidRPr="004468B2">
              <w:rPr>
                <w:rFonts w:ascii="Times New Roman" w:hAnsi="Times New Roman"/>
                <w:noProof/>
                <w:sz w:val="24"/>
                <w:szCs w:val="24"/>
              </w:rPr>
              <w:t>4</w:t>
            </w:r>
            <w:r w:rsidR="000258B6" w:rsidRPr="004468B2">
              <w:rPr>
                <w:rFonts w:ascii="Times New Roman" w:hAnsi="Times New Roman"/>
                <w:noProof/>
                <w:sz w:val="24"/>
                <w:szCs w:val="24"/>
              </w:rPr>
              <w:t>) </w:t>
            </w:r>
            <w:r w:rsidR="00614771" w:rsidRPr="004468B2">
              <w:rPr>
                <w:rFonts w:ascii="Times New Roman" w:hAnsi="Times New Roman"/>
                <w:noProof/>
                <w:sz w:val="24"/>
                <w:szCs w:val="24"/>
              </w:rPr>
              <w:t>Pēc tam, kad Eiro</w:t>
            </w:r>
            <w:r w:rsidR="009F6A62" w:rsidRPr="004468B2">
              <w:rPr>
                <w:rFonts w:ascii="Times New Roman" w:hAnsi="Times New Roman"/>
                <w:noProof/>
                <w:sz w:val="24"/>
                <w:szCs w:val="24"/>
              </w:rPr>
              <w:t>pas Komisija</w:t>
            </w:r>
            <w:r w:rsidR="00614771" w:rsidRPr="004468B2">
              <w:rPr>
                <w:rFonts w:ascii="Times New Roman" w:hAnsi="Times New Roman"/>
                <w:noProof/>
                <w:sz w:val="24"/>
                <w:szCs w:val="24"/>
              </w:rPr>
              <w:t xml:space="preserve"> pieņems 2014.gadā Regulu par: </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drošuma pazīmju (unikālais identifikators) raksturojumu un tehniskajām specifikācijām;</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recepšu zāļu vai zāļu kategoriju sarakstu, kurām drošuma pazīmes nenorāda;</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bezrecepšu zāļu vai zāļu kategoriju sarakstu, kurām drošuma pazīmes norāda;</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paziņošanas procedūru par zālēm, par kurām ir aizdomas par viltojumu, un ātru šādu ziņojumu izvērtēšanas un lēmumu pieņemšanas sistēmu;</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drošuma pazīmju pārbaudes paņēmieniem, ko veic  ražotāji, vairumtirgotāji, farmaceiti;</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nosacījumiem repozitoriju sistēmas izveid</w:t>
            </w:r>
            <w:r w:rsidR="0034255C" w:rsidRPr="004468B2">
              <w:rPr>
                <w:rFonts w:ascii="Times New Roman" w:hAnsi="Times New Roman"/>
                <w:noProof/>
                <w:sz w:val="24"/>
                <w:szCs w:val="24"/>
              </w:rPr>
              <w:t>e</w:t>
            </w:r>
            <w:r w:rsidRPr="004468B2">
              <w:rPr>
                <w:rFonts w:ascii="Times New Roman" w:hAnsi="Times New Roman"/>
                <w:noProof/>
                <w:sz w:val="24"/>
                <w:szCs w:val="24"/>
              </w:rPr>
              <w:t>i, pārvaldīb</w:t>
            </w:r>
            <w:r w:rsidR="0034255C" w:rsidRPr="004468B2">
              <w:rPr>
                <w:rFonts w:ascii="Times New Roman" w:hAnsi="Times New Roman"/>
                <w:noProof/>
                <w:sz w:val="24"/>
                <w:szCs w:val="24"/>
              </w:rPr>
              <w:t>ai</w:t>
            </w:r>
            <w:r w:rsidRPr="004468B2">
              <w:rPr>
                <w:rFonts w:ascii="Times New Roman" w:hAnsi="Times New Roman"/>
                <w:noProof/>
                <w:sz w:val="24"/>
                <w:szCs w:val="24"/>
              </w:rPr>
              <w:t xml:space="preserve"> un pieejamīb</w:t>
            </w:r>
            <w:r w:rsidR="0034255C" w:rsidRPr="004468B2">
              <w:rPr>
                <w:rFonts w:ascii="Times New Roman" w:hAnsi="Times New Roman"/>
                <w:noProof/>
                <w:sz w:val="24"/>
                <w:szCs w:val="24"/>
              </w:rPr>
              <w:t>ai</w:t>
            </w:r>
            <w:r w:rsidRPr="004468B2">
              <w:rPr>
                <w:rFonts w:ascii="Times New Roman" w:hAnsi="Times New Roman"/>
                <w:noProof/>
                <w:sz w:val="24"/>
                <w:szCs w:val="24"/>
              </w:rPr>
              <w:t>, kurā glabā informāciju par drošuma pazīmēm, kas ļauj - pārbaudīt zāļu autentiskumu un identificēt tās,</w:t>
            </w: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 xml:space="preserve">grozījumus būs nepieciešams veikt </w:t>
            </w:r>
            <w:r w:rsidRPr="004468B2">
              <w:rPr>
                <w:rFonts w:ascii="Times New Roman" w:hAnsi="Times New Roman"/>
                <w:noProof/>
                <w:spacing w:val="-6"/>
                <w:sz w:val="24"/>
                <w:szCs w:val="24"/>
              </w:rPr>
              <w:t>MK noteikumos Nr.304</w:t>
            </w:r>
            <w:r w:rsidR="0034255C" w:rsidRPr="004468B2">
              <w:rPr>
                <w:rFonts w:ascii="Times New Roman" w:hAnsi="Times New Roman"/>
                <w:noProof/>
                <w:spacing w:val="-6"/>
                <w:sz w:val="24"/>
                <w:szCs w:val="24"/>
              </w:rPr>
              <w:t>,</w:t>
            </w:r>
            <w:r w:rsidRPr="004468B2">
              <w:rPr>
                <w:rFonts w:ascii="Times New Roman" w:hAnsi="Times New Roman"/>
                <w:noProof/>
                <w:spacing w:val="-6"/>
                <w:sz w:val="24"/>
                <w:szCs w:val="24"/>
              </w:rPr>
              <w:t xml:space="preserve"> </w:t>
            </w:r>
            <w:r w:rsidR="0034255C" w:rsidRPr="004468B2">
              <w:rPr>
                <w:rFonts w:ascii="Times New Roman" w:hAnsi="Times New Roman"/>
                <w:noProof/>
                <w:sz w:val="24"/>
                <w:szCs w:val="24"/>
              </w:rPr>
              <w:t xml:space="preserve">MK </w:t>
            </w:r>
            <w:r w:rsidRPr="004468B2">
              <w:rPr>
                <w:rFonts w:ascii="Times New Roman" w:hAnsi="Times New Roman"/>
                <w:noProof/>
                <w:sz w:val="24"/>
                <w:szCs w:val="24"/>
              </w:rPr>
              <w:t>noteikumos Nr.436  un 2006.gada 17.janvāra noteikumos Nr.57 ”Noteikumi par zāļu marķēšanas kārtību un zāļu lietošanas instrukcijai izvirzāmajām prasībām</w:t>
            </w:r>
            <w:r w:rsidR="0034255C" w:rsidRPr="004468B2">
              <w:rPr>
                <w:rFonts w:ascii="Times New Roman" w:hAnsi="Times New Roman"/>
                <w:noProof/>
                <w:sz w:val="24"/>
                <w:szCs w:val="24"/>
              </w:rPr>
              <w:t>” (turpmāk</w:t>
            </w:r>
            <w:r w:rsidR="00C85B15" w:rsidRPr="004468B2">
              <w:rPr>
                <w:rFonts w:ascii="Times New Roman" w:hAnsi="Times New Roman"/>
                <w:noProof/>
                <w:sz w:val="24"/>
                <w:szCs w:val="24"/>
              </w:rPr>
              <w:t> - MK</w:t>
            </w:r>
            <w:r w:rsidR="0034255C" w:rsidRPr="004468B2">
              <w:rPr>
                <w:rFonts w:ascii="Times New Roman" w:hAnsi="Times New Roman"/>
                <w:noProof/>
                <w:sz w:val="24"/>
                <w:szCs w:val="24"/>
              </w:rPr>
              <w:t xml:space="preserve"> noteikumi Nr.57)</w:t>
            </w:r>
            <w:r w:rsidRPr="004468B2">
              <w:rPr>
                <w:rFonts w:ascii="Times New Roman" w:hAnsi="Times New Roman"/>
                <w:noProof/>
                <w:sz w:val="24"/>
                <w:szCs w:val="24"/>
              </w:rPr>
              <w:t>.</w:t>
            </w:r>
          </w:p>
          <w:p w:rsidR="00614771" w:rsidRPr="004468B2" w:rsidRDefault="00614771" w:rsidP="00614771">
            <w:pPr>
              <w:shd w:val="clear" w:color="auto" w:fill="F5F5F5"/>
              <w:jc w:val="both"/>
              <w:textAlignment w:val="top"/>
              <w:rPr>
                <w:noProof/>
                <w:lang w:val="lv-LV"/>
              </w:rPr>
            </w:pPr>
          </w:p>
          <w:p w:rsidR="00614771" w:rsidRPr="004468B2" w:rsidRDefault="009F6A62" w:rsidP="00614771">
            <w:pPr>
              <w:shd w:val="clear" w:color="auto" w:fill="F5F5F5"/>
              <w:jc w:val="both"/>
              <w:textAlignment w:val="top"/>
              <w:rPr>
                <w:noProof/>
                <w:lang w:val="lv-LV"/>
              </w:rPr>
            </w:pPr>
            <w:r w:rsidRPr="004468B2">
              <w:rPr>
                <w:noProof/>
                <w:lang w:val="lv-LV"/>
              </w:rPr>
              <w:t>Pēc tam, kad Eiropas Komisija</w:t>
            </w:r>
            <w:r w:rsidR="00614771" w:rsidRPr="004468B2">
              <w:rPr>
                <w:noProof/>
                <w:lang w:val="lv-LV"/>
              </w:rPr>
              <w:t xml:space="preserve"> pieņems (plānots 2013.gadā) Regulu par aktīvo vielu labas ražošanas prakses princ</w:t>
            </w:r>
            <w:r w:rsidRPr="004468B2">
              <w:rPr>
                <w:noProof/>
                <w:lang w:val="lv-LV"/>
              </w:rPr>
              <w:t>p</w:t>
            </w:r>
            <w:r w:rsidR="00614771" w:rsidRPr="004468B2">
              <w:rPr>
                <w:noProof/>
                <w:lang w:val="lv-LV"/>
              </w:rPr>
              <w:t>iem</w:t>
            </w:r>
            <w:r w:rsidRPr="004468B2">
              <w:rPr>
                <w:noProof/>
                <w:lang w:val="lv-LV"/>
              </w:rPr>
              <w:t>,</w:t>
            </w:r>
            <w:r w:rsidR="00614771" w:rsidRPr="004468B2">
              <w:rPr>
                <w:noProof/>
                <w:lang w:val="lv-LV"/>
              </w:rPr>
              <w:t xml:space="preserve"> </w:t>
            </w:r>
            <w:r w:rsidRPr="004468B2">
              <w:rPr>
                <w:noProof/>
                <w:lang w:val="lv-LV"/>
              </w:rPr>
              <w:t xml:space="preserve">attiecīgi </w:t>
            </w:r>
            <w:r w:rsidR="00614771" w:rsidRPr="004468B2">
              <w:rPr>
                <w:noProof/>
                <w:lang w:val="lv-LV"/>
              </w:rPr>
              <w:t>grozījum</w:t>
            </w:r>
            <w:r w:rsidRPr="004468B2">
              <w:rPr>
                <w:noProof/>
                <w:lang w:val="lv-LV"/>
              </w:rPr>
              <w:t>i</w:t>
            </w:r>
            <w:r w:rsidR="00614771" w:rsidRPr="004468B2">
              <w:rPr>
                <w:noProof/>
                <w:lang w:val="lv-LV"/>
              </w:rPr>
              <w:t xml:space="preserve"> </w:t>
            </w:r>
            <w:r w:rsidRPr="004468B2">
              <w:rPr>
                <w:noProof/>
                <w:lang w:val="lv-LV"/>
              </w:rPr>
              <w:t xml:space="preserve">būs jāizdara </w:t>
            </w:r>
            <w:r w:rsidR="0034255C" w:rsidRPr="004468B2">
              <w:rPr>
                <w:noProof/>
                <w:lang w:val="lv-LV"/>
              </w:rPr>
              <w:t xml:space="preserve">MK </w:t>
            </w:r>
            <w:r w:rsidR="00DD522A" w:rsidRPr="004468B2">
              <w:rPr>
                <w:noProof/>
                <w:lang w:val="lv-LV"/>
              </w:rPr>
              <w:t>noteikumos par aktīvajām vielām</w:t>
            </w:r>
            <w:r w:rsidR="00614771" w:rsidRPr="004468B2">
              <w:rPr>
                <w:noProof/>
                <w:lang w:val="lv-LV"/>
              </w:rPr>
              <w:t>.</w:t>
            </w:r>
          </w:p>
          <w:p w:rsidR="00614771" w:rsidRPr="004468B2" w:rsidRDefault="00614771" w:rsidP="00614771">
            <w:pPr>
              <w:pStyle w:val="NoSpacing"/>
              <w:jc w:val="both"/>
              <w:rPr>
                <w:rFonts w:ascii="Times New Roman" w:hAnsi="Times New Roman"/>
                <w:noProof/>
                <w:sz w:val="24"/>
                <w:szCs w:val="24"/>
              </w:rPr>
            </w:pPr>
          </w:p>
          <w:p w:rsidR="00614771" w:rsidRPr="004468B2" w:rsidRDefault="00614771" w:rsidP="00614771">
            <w:pPr>
              <w:pStyle w:val="NoSpacing"/>
              <w:jc w:val="both"/>
              <w:rPr>
                <w:rFonts w:ascii="Times New Roman" w:hAnsi="Times New Roman"/>
                <w:noProof/>
                <w:sz w:val="24"/>
                <w:szCs w:val="24"/>
              </w:rPr>
            </w:pPr>
            <w:r w:rsidRPr="004468B2">
              <w:rPr>
                <w:rFonts w:ascii="Times New Roman" w:hAnsi="Times New Roman"/>
                <w:noProof/>
                <w:sz w:val="24"/>
                <w:szCs w:val="24"/>
              </w:rPr>
              <w:t>Pēc tam, kad Eiropas Komisijas pieņems (plānots 2013.gadā) īstenošanas regulu attiecībā uz tehniskajām, elektroniskajām un kriptogrāfiskajām prasībām, lai varētu pārbaudīt vienotā logotipa autentiskumu un vieno</w:t>
            </w:r>
            <w:r w:rsidR="009F6A62" w:rsidRPr="004468B2">
              <w:rPr>
                <w:rFonts w:ascii="Times New Roman" w:hAnsi="Times New Roman"/>
                <w:noProof/>
                <w:sz w:val="24"/>
                <w:szCs w:val="24"/>
              </w:rPr>
              <w:t>tā logotipa dizainu, jo vienotais</w:t>
            </w:r>
            <w:r w:rsidRPr="004468B2">
              <w:rPr>
                <w:rFonts w:ascii="Times New Roman" w:hAnsi="Times New Roman"/>
                <w:noProof/>
                <w:sz w:val="24"/>
                <w:szCs w:val="24"/>
              </w:rPr>
              <w:t xml:space="preserve"> logotips </w:t>
            </w:r>
            <w:r w:rsidRPr="004468B2">
              <w:rPr>
                <w:rFonts w:ascii="Times New Roman" w:hAnsi="Times New Roman"/>
                <w:noProof/>
                <w:sz w:val="24"/>
                <w:szCs w:val="24"/>
              </w:rPr>
              <w:lastRenderedPageBreak/>
              <w:t xml:space="preserve">būs jāievieš aptiekām, kuras nodarbojas ar tālpārdošanu, nepieciešami </w:t>
            </w:r>
            <w:r w:rsidRPr="004468B2">
              <w:rPr>
                <w:rFonts w:ascii="Times New Roman" w:hAnsi="Times New Roman"/>
                <w:noProof/>
              </w:rPr>
              <w:t>būs grozījumi</w:t>
            </w:r>
            <w:r w:rsidRPr="004468B2">
              <w:rPr>
                <w:noProof/>
              </w:rPr>
              <w:t xml:space="preserve"> </w:t>
            </w:r>
            <w:r w:rsidRPr="004468B2">
              <w:rPr>
                <w:rFonts w:ascii="Times New Roman" w:hAnsi="Times New Roman"/>
                <w:noProof/>
                <w:sz w:val="24"/>
                <w:szCs w:val="24"/>
              </w:rPr>
              <w:t>MK noteikumos Nr.416.</w:t>
            </w:r>
          </w:p>
          <w:p w:rsidR="00614771" w:rsidRPr="004468B2" w:rsidRDefault="00614771" w:rsidP="00614771">
            <w:pPr>
              <w:pStyle w:val="NoSpacing"/>
              <w:jc w:val="both"/>
              <w:rPr>
                <w:bCs/>
                <w:noProof/>
              </w:rPr>
            </w:pPr>
          </w:p>
          <w:p w:rsidR="00614771" w:rsidRPr="004468B2" w:rsidRDefault="00614771" w:rsidP="00614771">
            <w:pPr>
              <w:pStyle w:val="NoSpacing"/>
              <w:jc w:val="both"/>
              <w:rPr>
                <w:noProof/>
              </w:rPr>
            </w:pPr>
            <w:r w:rsidRPr="004468B2">
              <w:rPr>
                <w:rFonts w:ascii="Times New Roman" w:hAnsi="Times New Roman"/>
                <w:bCs/>
                <w:noProof/>
                <w:sz w:val="24"/>
                <w:szCs w:val="24"/>
              </w:rPr>
              <w:t xml:space="preserve">Pēc tam, kad Eiropas Komisija pieņems (plānots 2013.gadā) </w:t>
            </w:r>
            <w:r w:rsidR="0048753A" w:rsidRPr="004468B2">
              <w:rPr>
                <w:rFonts w:ascii="Times New Roman" w:hAnsi="Times New Roman"/>
                <w:bCs/>
                <w:noProof/>
                <w:sz w:val="24"/>
                <w:szCs w:val="24"/>
              </w:rPr>
              <w:t xml:space="preserve">aktīvo vielu labas izplatīšanas </w:t>
            </w:r>
            <w:r w:rsidRPr="004468B2">
              <w:rPr>
                <w:rFonts w:ascii="Times New Roman" w:hAnsi="Times New Roman"/>
                <w:bCs/>
                <w:noProof/>
                <w:sz w:val="24"/>
                <w:szCs w:val="24"/>
              </w:rPr>
              <w:t xml:space="preserve">prakses vadlīnijas, nepieciešami būs grozījumi </w:t>
            </w:r>
            <w:r w:rsidR="0034255C" w:rsidRPr="004468B2">
              <w:rPr>
                <w:rFonts w:ascii="Times New Roman" w:hAnsi="Times New Roman"/>
                <w:noProof/>
                <w:sz w:val="24"/>
                <w:szCs w:val="24"/>
              </w:rPr>
              <w:t>MK noteikumos par aktīvajām vielām</w:t>
            </w:r>
            <w:r w:rsidRPr="004468B2">
              <w:rPr>
                <w:rFonts w:ascii="Times New Roman" w:hAnsi="Times New Roman"/>
                <w:noProof/>
                <w:sz w:val="24"/>
                <w:szCs w:val="24"/>
              </w:rPr>
              <w:t>.</w:t>
            </w:r>
          </w:p>
          <w:p w:rsidR="00614771" w:rsidRPr="004468B2" w:rsidRDefault="00614771" w:rsidP="00614771">
            <w:pPr>
              <w:pStyle w:val="NoSpacing"/>
              <w:jc w:val="both"/>
              <w:rPr>
                <w:noProof/>
              </w:rPr>
            </w:pPr>
          </w:p>
          <w:p w:rsidR="00614771" w:rsidRPr="004468B2" w:rsidRDefault="00614771" w:rsidP="00614771">
            <w:pPr>
              <w:pStyle w:val="NoSpacing"/>
              <w:jc w:val="both"/>
              <w:rPr>
                <w:noProof/>
              </w:rPr>
            </w:pPr>
            <w:r w:rsidRPr="004468B2">
              <w:rPr>
                <w:rFonts w:ascii="Times New Roman" w:hAnsi="Times New Roman"/>
                <w:noProof/>
                <w:sz w:val="24"/>
                <w:szCs w:val="24"/>
              </w:rPr>
              <w:t xml:space="preserve">Pēc tam, kad Eiropas Komisija pieņems (plānots 2013.gadā) vadlīnijas par </w:t>
            </w:r>
            <w:r w:rsidRPr="004468B2">
              <w:rPr>
                <w:rStyle w:val="hps"/>
                <w:rFonts w:ascii="Times New Roman" w:hAnsi="Times New Roman"/>
                <w:noProof/>
                <w:sz w:val="24"/>
                <w:szCs w:val="24"/>
              </w:rPr>
              <w:t>oficiālu</w:t>
            </w:r>
            <w:r w:rsidRPr="004468B2">
              <w:rPr>
                <w:rFonts w:ascii="Times New Roman" w:hAnsi="Times New Roman"/>
                <w:noProof/>
                <w:sz w:val="24"/>
                <w:szCs w:val="24"/>
              </w:rPr>
              <w:t xml:space="preserve"> </w:t>
            </w:r>
            <w:r w:rsidRPr="004468B2">
              <w:rPr>
                <w:rStyle w:val="hps"/>
                <w:rFonts w:ascii="Times New Roman" w:hAnsi="Times New Roman"/>
                <w:noProof/>
                <w:sz w:val="24"/>
                <w:szCs w:val="24"/>
              </w:rPr>
              <w:t>riska novērtējumu</w:t>
            </w:r>
            <w:r w:rsidRPr="004468B2">
              <w:rPr>
                <w:rFonts w:ascii="Times New Roman" w:hAnsi="Times New Roman"/>
                <w:noProof/>
                <w:sz w:val="24"/>
                <w:szCs w:val="24"/>
              </w:rPr>
              <w:t>, lai pārbaudītu</w:t>
            </w:r>
            <w:r w:rsidRPr="004468B2">
              <w:rPr>
                <w:rFonts w:ascii="Times New Roman" w:hAnsi="Times New Roman"/>
                <w:noProof/>
                <w:sz w:val="24"/>
                <w:szCs w:val="24"/>
              </w:rPr>
              <w:br/>
            </w:r>
            <w:r w:rsidRPr="004468B2">
              <w:rPr>
                <w:rStyle w:val="hps"/>
                <w:rFonts w:ascii="Times New Roman" w:hAnsi="Times New Roman"/>
                <w:noProof/>
                <w:sz w:val="24"/>
                <w:szCs w:val="24"/>
              </w:rPr>
              <w:t>palīgvielu atbilstības labai ražošanas</w:t>
            </w:r>
            <w:r w:rsidRPr="004468B2">
              <w:rPr>
                <w:rFonts w:ascii="Times New Roman" w:hAnsi="Times New Roman"/>
                <w:noProof/>
                <w:sz w:val="24"/>
                <w:szCs w:val="24"/>
              </w:rPr>
              <w:t xml:space="preserve"> </w:t>
            </w:r>
            <w:r w:rsidRPr="004468B2">
              <w:rPr>
                <w:rStyle w:val="hps"/>
                <w:rFonts w:ascii="Times New Roman" w:hAnsi="Times New Roman"/>
                <w:noProof/>
                <w:sz w:val="24"/>
                <w:szCs w:val="24"/>
              </w:rPr>
              <w:t xml:space="preserve">praksei, </w:t>
            </w:r>
            <w:r w:rsidRPr="004468B2">
              <w:rPr>
                <w:rFonts w:ascii="Times New Roman" w:hAnsi="Times New Roman"/>
                <w:noProof/>
                <w:sz w:val="24"/>
                <w:szCs w:val="24"/>
              </w:rPr>
              <w:t xml:space="preserve">nepieciešami būs grozījumi </w:t>
            </w:r>
            <w:r w:rsidRPr="004468B2">
              <w:rPr>
                <w:rFonts w:ascii="Times New Roman" w:hAnsi="Times New Roman"/>
                <w:noProof/>
                <w:spacing w:val="-6"/>
                <w:sz w:val="24"/>
                <w:szCs w:val="24"/>
              </w:rPr>
              <w:t>MK noteikumos Nr.304.</w:t>
            </w:r>
          </w:p>
          <w:p w:rsidR="00614771" w:rsidRPr="004468B2" w:rsidRDefault="00614771" w:rsidP="00614771">
            <w:pPr>
              <w:pStyle w:val="NoSpacing"/>
              <w:jc w:val="both"/>
              <w:rPr>
                <w:noProof/>
              </w:rPr>
            </w:pPr>
          </w:p>
          <w:p w:rsidR="00614771" w:rsidRPr="004468B2" w:rsidRDefault="00614771" w:rsidP="00614771">
            <w:pPr>
              <w:pStyle w:val="NoSpacing"/>
              <w:jc w:val="both"/>
              <w:rPr>
                <w:rFonts w:ascii="Times New Roman" w:hAnsi="Times New Roman"/>
                <w:bCs/>
                <w:noProof/>
                <w:sz w:val="24"/>
                <w:szCs w:val="24"/>
              </w:rPr>
            </w:pPr>
            <w:r w:rsidRPr="004468B2">
              <w:rPr>
                <w:rFonts w:ascii="Times New Roman" w:hAnsi="Times New Roman"/>
                <w:noProof/>
                <w:sz w:val="24"/>
                <w:szCs w:val="24"/>
              </w:rPr>
              <w:t xml:space="preserve">Informācija par Eiropas Komisijas plānoto darba grafiku iepriekš minēto EK tiesību aktu pieņemšanai publiskota tīmekļa vietnē: </w:t>
            </w:r>
            <w:hyperlink r:id="rId14" w:history="1">
              <w:r w:rsidRPr="004468B2">
                <w:rPr>
                  <w:rStyle w:val="Hyperlink"/>
                  <w:rFonts w:ascii="Times New Roman" w:hAnsi="Times New Roman"/>
                  <w:noProof/>
                  <w:color w:val="auto"/>
                  <w:sz w:val="24"/>
                  <w:szCs w:val="24"/>
                  <w:u w:val="none"/>
                </w:rPr>
                <w:t>http://ec.europa.eu/health/files/counterf_par_trade/planning.pd</w:t>
              </w:r>
              <w:r w:rsidRPr="004468B2">
                <w:rPr>
                  <w:rStyle w:val="Hyperlink"/>
                  <w:rFonts w:ascii="Times New Roman" w:hAnsi="Times New Roman"/>
                  <w:noProof/>
                  <w:color w:val="auto"/>
                  <w:sz w:val="24"/>
                  <w:szCs w:val="24"/>
                </w:rPr>
                <w:t>f</w:t>
              </w:r>
            </w:hyperlink>
          </w:p>
          <w:p w:rsidR="000258B6" w:rsidRPr="004468B2" w:rsidRDefault="000258B6" w:rsidP="00614771">
            <w:pPr>
              <w:jc w:val="both"/>
              <w:rPr>
                <w:noProof/>
                <w:spacing w:val="-6"/>
                <w:szCs w:val="28"/>
                <w:lang w:val="lv-LV"/>
              </w:rPr>
            </w:pPr>
          </w:p>
          <w:p w:rsidR="00986C73" w:rsidRPr="004468B2" w:rsidRDefault="00986C73" w:rsidP="00986C73">
            <w:pPr>
              <w:shd w:val="clear" w:color="auto" w:fill="F5F5F5"/>
              <w:jc w:val="both"/>
              <w:textAlignment w:val="top"/>
              <w:rPr>
                <w:noProof/>
                <w:lang w:val="lv-LV"/>
              </w:rPr>
            </w:pPr>
            <w:r w:rsidRPr="004468B2">
              <w:rPr>
                <w:noProof/>
                <w:lang w:val="lv-LV"/>
              </w:rPr>
              <w:t>Pārskatāmi Latvijas Administratīvo pārkāpumu kodeksā noteiktie sodi, lai tos varētu piemērot aktīvo vielu ražošanas, importēšanas vai izplatīšanas pārkāpumu gadījumā, kā arī attiecībā uz palīgvielām un viltotu zāļu ražošanu un izplatīšanu.</w:t>
            </w:r>
          </w:p>
          <w:p w:rsidR="00986C73" w:rsidRPr="004468B2" w:rsidRDefault="00986C73" w:rsidP="000258B6">
            <w:pPr>
              <w:pStyle w:val="naisf"/>
              <w:spacing w:before="0" w:beforeAutospacing="0" w:after="0" w:afterAutospacing="0"/>
              <w:jc w:val="both"/>
              <w:rPr>
                <w:noProof/>
                <w:spacing w:val="-6"/>
                <w:lang w:val="lv-LV"/>
              </w:rPr>
            </w:pPr>
          </w:p>
          <w:p w:rsidR="000258B6" w:rsidRPr="004468B2" w:rsidRDefault="000258B6" w:rsidP="00617B7E">
            <w:pPr>
              <w:pStyle w:val="naisf"/>
              <w:spacing w:before="0" w:beforeAutospacing="0" w:after="0" w:afterAutospacing="0"/>
              <w:jc w:val="both"/>
              <w:rPr>
                <w:noProof/>
                <w:spacing w:val="-6"/>
                <w:lang w:val="lv-LV"/>
              </w:rPr>
            </w:pPr>
            <w:r w:rsidRPr="004468B2">
              <w:rPr>
                <w:noProof/>
                <w:spacing w:val="-6"/>
                <w:lang w:val="lv-LV"/>
              </w:rPr>
              <w:t>2. Lai ieviestu pilnībā Direktīvas 2012/26/ES normas, ir nepieciešams pieņemt:</w:t>
            </w:r>
          </w:p>
          <w:p w:rsidR="00617B7E" w:rsidRPr="004468B2" w:rsidRDefault="00617B7E" w:rsidP="00617B7E">
            <w:pPr>
              <w:shd w:val="clear" w:color="auto" w:fill="F5F5F5"/>
              <w:jc w:val="both"/>
              <w:textAlignment w:val="top"/>
              <w:rPr>
                <w:noProof/>
                <w:lang w:val="lv-LV"/>
              </w:rPr>
            </w:pPr>
            <w:r w:rsidRPr="004468B2">
              <w:rPr>
                <w:noProof/>
                <w:lang w:val="lv-LV"/>
              </w:rPr>
              <w:t>1. Grozījumus MK noteikumos Nr.416</w:t>
            </w:r>
            <w:r w:rsidRPr="004468B2">
              <w:rPr>
                <w:bCs/>
                <w:noProof/>
                <w:lang w:val="lv-LV"/>
              </w:rPr>
              <w:t>, lai stiprinātu zāļu uzraudzību.</w:t>
            </w:r>
          </w:p>
          <w:p w:rsidR="00617B7E" w:rsidRPr="004468B2" w:rsidRDefault="00617B7E" w:rsidP="00617B7E">
            <w:pPr>
              <w:jc w:val="both"/>
              <w:rPr>
                <w:noProof/>
                <w:spacing w:val="-6"/>
                <w:lang w:val="lv-LV"/>
              </w:rPr>
            </w:pPr>
            <w:r w:rsidRPr="004468B2">
              <w:rPr>
                <w:lang w:val="lv-LV"/>
              </w:rPr>
              <w:t>Termiņš - 2013.gada 28.oktobris</w:t>
            </w:r>
          </w:p>
          <w:p w:rsidR="00617B7E" w:rsidRPr="004468B2" w:rsidRDefault="00617B7E" w:rsidP="00617B7E">
            <w:pPr>
              <w:jc w:val="both"/>
              <w:rPr>
                <w:noProof/>
                <w:lang w:val="lv-LV"/>
              </w:rPr>
            </w:pPr>
          </w:p>
          <w:p w:rsidR="00617B7E" w:rsidRPr="004468B2" w:rsidRDefault="00617B7E" w:rsidP="00617B7E">
            <w:pPr>
              <w:jc w:val="both"/>
              <w:rPr>
                <w:noProof/>
                <w:lang w:val="lv-LV"/>
              </w:rPr>
            </w:pPr>
            <w:r w:rsidRPr="004468B2">
              <w:rPr>
                <w:noProof/>
                <w:lang w:val="lv-LV"/>
              </w:rPr>
              <w:t>2. Grozījumus Ministru kabineta 2013.gada 22.janvāra noteikumos Nr.47 ”Farmakovigilances kārtība” (turpmāk – MK noteikumi Nr.47), lai precizētu proceūras lēmuma pieņemšanā, ja ir radušas bažas izvērtējot zāļu lietošanas drošuma uzraudzības (farmakovigilance) rezultātā iegūtos datus.</w:t>
            </w:r>
          </w:p>
          <w:p w:rsidR="000258B6" w:rsidRPr="004468B2" w:rsidRDefault="00DD522A" w:rsidP="000258B6">
            <w:pPr>
              <w:jc w:val="both"/>
              <w:rPr>
                <w:noProof/>
                <w:spacing w:val="-6"/>
                <w:lang w:val="lv-LV"/>
              </w:rPr>
            </w:pPr>
            <w:r w:rsidRPr="004468B2">
              <w:rPr>
                <w:lang w:val="lv-LV"/>
              </w:rPr>
              <w:t>Termiņš - </w:t>
            </w:r>
            <w:r w:rsidR="00617B7E" w:rsidRPr="004468B2">
              <w:rPr>
                <w:lang w:val="lv-LV"/>
              </w:rPr>
              <w:t>2013.gada 28.oktobris</w:t>
            </w:r>
          </w:p>
          <w:p w:rsidR="000258B6" w:rsidRPr="004468B2" w:rsidRDefault="000258B6" w:rsidP="000258B6">
            <w:pPr>
              <w:jc w:val="both"/>
              <w:rPr>
                <w:noProof/>
                <w:lang w:val="lv-LV"/>
              </w:rPr>
            </w:pPr>
          </w:p>
          <w:p w:rsidR="000258B6" w:rsidRPr="004468B2" w:rsidRDefault="00DD522A" w:rsidP="000258B6">
            <w:pPr>
              <w:jc w:val="both"/>
              <w:rPr>
                <w:noProof/>
                <w:lang w:val="lv-LV"/>
              </w:rPr>
            </w:pPr>
            <w:r w:rsidRPr="004468B2">
              <w:rPr>
                <w:noProof/>
                <w:lang w:val="lv-LV"/>
              </w:rPr>
              <w:t>3) </w:t>
            </w:r>
            <w:r w:rsidR="000258B6" w:rsidRPr="004468B2">
              <w:rPr>
                <w:noProof/>
                <w:lang w:val="lv-LV"/>
              </w:rPr>
              <w:t>Grozījumus MK noteikumos Nr.376,</w:t>
            </w:r>
            <w:r w:rsidR="000258B6" w:rsidRPr="004468B2">
              <w:rPr>
                <w:bCs/>
                <w:spacing w:val="-6"/>
                <w:lang w:val="lv-LV"/>
              </w:rPr>
              <w:t xml:space="preserve"> lai skaidrotu Eiropas  Savienības procedūru darbības specifisku ar zāļu drošumu saistītu problēmu gadījumos un pienācīgi novērtētu reģistrētu zāļu risku vai labumu.</w:t>
            </w:r>
          </w:p>
          <w:p w:rsidR="000258B6" w:rsidRPr="004468B2" w:rsidRDefault="000258B6" w:rsidP="000258B6">
            <w:pPr>
              <w:pStyle w:val="NoSpacing"/>
              <w:jc w:val="both"/>
              <w:rPr>
                <w:rFonts w:ascii="Times New Roman" w:hAnsi="Times New Roman"/>
                <w:noProof/>
                <w:spacing w:val="-6"/>
                <w:sz w:val="24"/>
                <w:szCs w:val="24"/>
              </w:rPr>
            </w:pPr>
          </w:p>
          <w:p w:rsidR="00F40759" w:rsidRPr="004468B2" w:rsidRDefault="00407A9B" w:rsidP="00AC2B97">
            <w:pPr>
              <w:pStyle w:val="NoSpacing"/>
              <w:jc w:val="both"/>
              <w:rPr>
                <w:rFonts w:ascii="Times New Roman" w:hAnsi="Times New Roman"/>
                <w:noProof/>
                <w:sz w:val="24"/>
                <w:szCs w:val="24"/>
              </w:rPr>
            </w:pPr>
            <w:r w:rsidRPr="004468B2">
              <w:rPr>
                <w:rFonts w:ascii="Times New Roman" w:hAnsi="Times New Roman"/>
                <w:noProof/>
                <w:spacing w:val="-6"/>
                <w:sz w:val="24"/>
                <w:szCs w:val="24"/>
              </w:rPr>
              <w:t>3. </w:t>
            </w:r>
            <w:r w:rsidR="000258B6" w:rsidRPr="004468B2">
              <w:rPr>
                <w:rFonts w:ascii="Times New Roman" w:hAnsi="Times New Roman"/>
                <w:noProof/>
                <w:spacing w:val="-6"/>
                <w:sz w:val="24"/>
                <w:szCs w:val="24"/>
              </w:rPr>
              <w:t xml:space="preserve">Nepieciešams sagatavot arī grozījumus </w:t>
            </w:r>
            <w:r w:rsidR="000258B6" w:rsidRPr="004468B2">
              <w:rPr>
                <w:rFonts w:ascii="Times New Roman" w:hAnsi="Times New Roman"/>
                <w:noProof/>
                <w:sz w:val="24"/>
                <w:szCs w:val="24"/>
              </w:rPr>
              <w:t xml:space="preserve">Ministru kabineta 2013.gada 29.janvāra noteikumos Nr.75 ”Zāļu valsts aģentūras maksas pakalpojumu cenrādis”, </w:t>
            </w:r>
            <w:r w:rsidR="000258B6" w:rsidRPr="004468B2">
              <w:rPr>
                <w:rFonts w:ascii="Times New Roman" w:hAnsi="Times New Roman"/>
                <w:bCs/>
                <w:noProof/>
                <w:spacing w:val="-6"/>
                <w:sz w:val="24"/>
                <w:szCs w:val="24"/>
              </w:rPr>
              <w:t xml:space="preserve">nosakot </w:t>
            </w:r>
            <w:r w:rsidR="000258B6" w:rsidRPr="004468B2">
              <w:rPr>
                <w:rFonts w:ascii="Times New Roman" w:hAnsi="Times New Roman"/>
                <w:noProof/>
                <w:spacing w:val="-6"/>
                <w:sz w:val="24"/>
                <w:szCs w:val="24"/>
              </w:rPr>
              <w:t xml:space="preserve">maksas pakalpojumus par aktīvo vielu </w:t>
            </w:r>
            <w:r w:rsidR="000258B6" w:rsidRPr="004468B2">
              <w:rPr>
                <w:rFonts w:ascii="Times New Roman" w:hAnsi="Times New Roman"/>
                <w:noProof/>
                <w:sz w:val="24"/>
                <w:szCs w:val="24"/>
              </w:rPr>
              <w:t>labas izplatīšanas prakses novērtēšanu, kā arī aktīvo vielu testēšanu, un aktīvo vielu ražotāju, izplatītāju un importētāju reģistrēšanas dokumentu ekspertīzi.</w:t>
            </w:r>
          </w:p>
          <w:p w:rsidR="00AC2B97" w:rsidRPr="004468B2" w:rsidRDefault="00AC2B97" w:rsidP="00AC2B97">
            <w:pPr>
              <w:pStyle w:val="NoSpacing"/>
              <w:jc w:val="both"/>
              <w:rPr>
                <w:rFonts w:ascii="Times New Roman" w:hAnsi="Times New Roman"/>
                <w:noProof/>
                <w:sz w:val="24"/>
                <w:szCs w:val="24"/>
              </w:rPr>
            </w:pPr>
          </w:p>
          <w:p w:rsidR="000258B6" w:rsidRPr="004468B2" w:rsidRDefault="000258B6" w:rsidP="00B057F1">
            <w:pPr>
              <w:jc w:val="both"/>
              <w:rPr>
                <w:noProof/>
                <w:spacing w:val="-6"/>
                <w:szCs w:val="28"/>
                <w:lang w:val="lv-LV"/>
              </w:rPr>
            </w:pPr>
            <w:r w:rsidRPr="004468B2">
              <w:rPr>
                <w:noProof/>
                <w:spacing w:val="-6"/>
                <w:szCs w:val="28"/>
                <w:lang w:val="lv-LV"/>
              </w:rPr>
              <w:t>Par noteikumu projekta sagatavošanu ir atbildīga Veselības ministrija.</w:t>
            </w:r>
          </w:p>
        </w:tc>
      </w:tr>
      <w:tr w:rsidR="004134D0" w:rsidRPr="004468B2" w:rsidTr="004F60AF">
        <w:tblPrEx>
          <w:tblCellMar>
            <w:left w:w="0" w:type="dxa"/>
            <w:right w:w="0" w:type="dxa"/>
          </w:tblCellMar>
        </w:tblPrEx>
        <w:trPr>
          <w:gridBefore w:val="1"/>
          <w:gridAfter w:val="3"/>
          <w:wBefore w:w="34" w:type="dxa"/>
          <w:wAfter w:w="2535" w:type="dxa"/>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pPr>
            <w:r w:rsidRPr="004468B2">
              <w:lastRenderedPageBreak/>
              <w:t>2.</w:t>
            </w:r>
          </w:p>
        </w:tc>
        <w:tc>
          <w:tcPr>
            <w:tcW w:w="2396"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right="57"/>
            </w:pPr>
            <w:r w:rsidRPr="004468B2">
              <w:t>Cita informācija</w:t>
            </w:r>
          </w:p>
        </w:tc>
        <w:tc>
          <w:tcPr>
            <w:tcW w:w="6379" w:type="dxa"/>
            <w:gridSpan w:val="5"/>
            <w:tcBorders>
              <w:top w:val="single" w:sz="4" w:space="0" w:color="auto"/>
              <w:left w:val="single" w:sz="4" w:space="0" w:color="auto"/>
              <w:bottom w:val="single" w:sz="4" w:space="0" w:color="auto"/>
              <w:right w:val="single" w:sz="4" w:space="0" w:color="auto"/>
            </w:tcBorders>
            <w:hideMark/>
          </w:tcPr>
          <w:p w:rsidR="004134D0" w:rsidRPr="004468B2" w:rsidRDefault="0088225D" w:rsidP="0080564D">
            <w:pPr>
              <w:pStyle w:val="naisnod"/>
              <w:spacing w:before="0" w:after="0"/>
              <w:ind w:left="57" w:right="57"/>
              <w:jc w:val="both"/>
              <w:rPr>
                <w:b w:val="0"/>
              </w:rPr>
            </w:pPr>
            <w:r w:rsidRPr="004468B2">
              <w:rPr>
                <w:b w:val="0"/>
                <w:iCs/>
              </w:rPr>
              <w:t>Nav</w:t>
            </w:r>
          </w:p>
        </w:tc>
      </w:tr>
      <w:tr w:rsidR="004134D0" w:rsidRPr="004468B2"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tcPr>
          <w:p w:rsidR="004134D0" w:rsidRPr="004468B2" w:rsidRDefault="004134D0" w:rsidP="004134D0">
            <w:pPr>
              <w:pStyle w:val="naisnod"/>
              <w:spacing w:before="0" w:after="0"/>
              <w:ind w:left="57" w:right="57"/>
            </w:pPr>
          </w:p>
        </w:tc>
      </w:tr>
      <w:tr w:rsidR="004134D0" w:rsidRPr="004468B2"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vAlign w:val="center"/>
            <w:hideMark/>
          </w:tcPr>
          <w:p w:rsidR="004134D0" w:rsidRPr="004468B2" w:rsidRDefault="004134D0" w:rsidP="004134D0">
            <w:pPr>
              <w:jc w:val="center"/>
              <w:rPr>
                <w:b/>
                <w:lang w:val="lv-LV"/>
              </w:rPr>
            </w:pPr>
            <w:r w:rsidRPr="004468B2">
              <w:rPr>
                <w:b/>
                <w:lang w:val="lv-LV"/>
              </w:rPr>
              <w:t>V. Tiesību akta projekta atbilstība Latvijas Republikas starptautiskajām saistībām</w:t>
            </w:r>
          </w:p>
        </w:tc>
      </w:tr>
      <w:tr w:rsidR="004134D0" w:rsidRPr="004468B2" w:rsidTr="008B675E">
        <w:tblPrEx>
          <w:tblCellMar>
            <w:left w:w="0" w:type="dxa"/>
            <w:right w:w="0" w:type="dxa"/>
          </w:tblCellMar>
        </w:tblPrEx>
        <w:trPr>
          <w:gridBefore w:val="1"/>
          <w:gridAfter w:val="3"/>
          <w:wBefore w:w="34" w:type="dxa"/>
          <w:wAfter w:w="2535" w:type="dxa"/>
          <w:trHeight w:val="345"/>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1.</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Saistības pret Eiropas Savienību</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E5376B">
            <w:pPr>
              <w:jc w:val="both"/>
              <w:rPr>
                <w:lang w:val="lv-LV"/>
              </w:rPr>
            </w:pPr>
            <w:r w:rsidRPr="004468B2">
              <w:rPr>
                <w:lang w:val="lv-LV"/>
              </w:rPr>
              <w:t xml:space="preserve">Direktīva </w:t>
            </w:r>
            <w:r w:rsidRPr="004468B2">
              <w:rPr>
                <w:bCs/>
                <w:lang w:val="lv-LV"/>
              </w:rPr>
              <w:t>2011/62/ES</w:t>
            </w:r>
            <w:r w:rsidRPr="004468B2">
              <w:rPr>
                <w:lang w:val="lv-LV"/>
              </w:rPr>
              <w:t>;</w:t>
            </w:r>
          </w:p>
          <w:p w:rsidR="003B593B" w:rsidRPr="004468B2" w:rsidRDefault="003B593B" w:rsidP="00E5376B">
            <w:pPr>
              <w:jc w:val="both"/>
              <w:rPr>
                <w:lang w:val="lv-LV"/>
              </w:rPr>
            </w:pPr>
            <w:r w:rsidRPr="004468B2">
              <w:rPr>
                <w:lang w:val="lv-LV"/>
              </w:rPr>
              <w:t>Direktīva 2010/84/ES;</w:t>
            </w:r>
          </w:p>
          <w:p w:rsidR="00F43B7A" w:rsidRPr="004468B2" w:rsidRDefault="00F43B7A" w:rsidP="00E5376B">
            <w:pPr>
              <w:jc w:val="both"/>
              <w:rPr>
                <w:lang w:val="lv-LV"/>
              </w:rPr>
            </w:pPr>
            <w:r w:rsidRPr="004468B2">
              <w:rPr>
                <w:lang w:val="lv-LV"/>
              </w:rPr>
              <w:t>Direktīva 2012/26/ES.</w:t>
            </w:r>
          </w:p>
        </w:tc>
      </w:tr>
      <w:tr w:rsidR="004134D0" w:rsidRPr="004468B2" w:rsidTr="008B675E">
        <w:tblPrEx>
          <w:tblCellMar>
            <w:left w:w="0" w:type="dxa"/>
            <w:right w:w="0" w:type="dxa"/>
          </w:tblCellMar>
        </w:tblPrEx>
        <w:trPr>
          <w:gridBefore w:val="1"/>
          <w:gridAfter w:val="3"/>
          <w:wBefore w:w="34" w:type="dxa"/>
          <w:wAfter w:w="2535" w:type="dxa"/>
          <w:trHeight w:val="339"/>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2.</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Citas starptautiskās saistības</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88225D" w:rsidP="004134D0">
            <w:pPr>
              <w:ind w:left="57"/>
              <w:rPr>
                <w:lang w:val="lv-LV"/>
              </w:rPr>
            </w:pPr>
            <w:r w:rsidRPr="004468B2">
              <w:rPr>
                <w:lang w:val="lv-LV"/>
              </w:rPr>
              <w:t>Projekts šo jomu neskar</w:t>
            </w:r>
          </w:p>
        </w:tc>
      </w:tr>
      <w:tr w:rsidR="004134D0" w:rsidRPr="004468B2" w:rsidTr="008B675E">
        <w:tblPrEx>
          <w:tblCellMar>
            <w:left w:w="0" w:type="dxa"/>
            <w:right w:w="0" w:type="dxa"/>
          </w:tblCellMar>
        </w:tblPrEx>
        <w:trPr>
          <w:gridBefore w:val="1"/>
          <w:gridAfter w:val="3"/>
          <w:wBefore w:w="34" w:type="dxa"/>
          <w:wAfter w:w="2535" w:type="dxa"/>
          <w:trHeight w:val="375"/>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3.</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Cita informācija</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ind w:left="57"/>
              <w:rPr>
                <w:lang w:val="lv-LV"/>
              </w:rPr>
            </w:pPr>
            <w:r w:rsidRPr="004468B2">
              <w:rPr>
                <w:lang w:val="lv-LV"/>
              </w:rPr>
              <w:t>Nav</w:t>
            </w:r>
          </w:p>
        </w:tc>
      </w:tr>
      <w:tr w:rsidR="004134D0" w:rsidRPr="004468B2" w:rsidTr="008B675E">
        <w:tblPrEx>
          <w:tblCellMar>
            <w:left w:w="0" w:type="dxa"/>
            <w:right w:w="0" w:type="dxa"/>
          </w:tblCellMar>
        </w:tblPrEx>
        <w:trPr>
          <w:gridAfter w:val="3"/>
          <w:wAfter w:w="2535" w:type="dxa"/>
          <w:cantSplit/>
          <w:trHeight w:val="523"/>
        </w:trPr>
        <w:tc>
          <w:tcPr>
            <w:tcW w:w="9498" w:type="dxa"/>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4468B2" w:rsidRDefault="004134D0" w:rsidP="004134D0">
            <w:pPr>
              <w:ind w:left="57"/>
              <w:jc w:val="center"/>
              <w:rPr>
                <w:b/>
                <w:lang w:val="lv-LV"/>
              </w:rPr>
            </w:pPr>
            <w:r w:rsidRPr="004468B2">
              <w:rPr>
                <w:b/>
                <w:lang w:val="lv-LV"/>
              </w:rPr>
              <w:t>1.tabula</w:t>
            </w:r>
          </w:p>
          <w:p w:rsidR="004134D0" w:rsidRPr="004468B2" w:rsidRDefault="004134D0" w:rsidP="004134D0">
            <w:pPr>
              <w:ind w:left="57"/>
              <w:jc w:val="center"/>
              <w:rPr>
                <w:lang w:val="lv-LV"/>
              </w:rPr>
            </w:pPr>
            <w:r w:rsidRPr="004468B2">
              <w:rPr>
                <w:b/>
                <w:lang w:val="lv-LV"/>
              </w:rPr>
              <w:t>Tiesību akta projekta atbilstība ES tiesību aktiem</w:t>
            </w:r>
          </w:p>
        </w:tc>
      </w:tr>
      <w:tr w:rsidR="004134D0" w:rsidRPr="004468B2" w:rsidTr="008B675E">
        <w:tblPrEx>
          <w:tblCellMar>
            <w:left w:w="0" w:type="dxa"/>
            <w:right w:w="0" w:type="dxa"/>
          </w:tblCellMar>
        </w:tblPrEx>
        <w:trPr>
          <w:gridAfter w:val="3"/>
          <w:wAfter w:w="2535" w:type="dxa"/>
          <w:cantSplit/>
          <w:trHeight w:val="971"/>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ind w:left="57"/>
              <w:rPr>
                <w:lang w:val="lv-LV"/>
              </w:rPr>
            </w:pPr>
            <w:r w:rsidRPr="004468B2">
              <w:rPr>
                <w:lang w:val="lv-LV"/>
              </w:rPr>
              <w:t>Attiecīgā ES tiesību akta datums, numurs un nosaukums</w:t>
            </w:r>
          </w:p>
        </w:tc>
        <w:tc>
          <w:tcPr>
            <w:tcW w:w="6521"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6473E" w:rsidRPr="004468B2" w:rsidRDefault="0096473E" w:rsidP="0096473E">
            <w:pPr>
              <w:jc w:val="both"/>
              <w:rPr>
                <w:lang w:val="lv-LV"/>
              </w:rPr>
            </w:pPr>
            <w:r w:rsidRPr="004468B2">
              <w:rPr>
                <w:lang w:val="lv-LV"/>
              </w:rPr>
              <w:t xml:space="preserve">Direktīva </w:t>
            </w:r>
            <w:r w:rsidRPr="004468B2">
              <w:rPr>
                <w:bCs/>
                <w:lang w:val="lv-LV"/>
              </w:rPr>
              <w:t>2011/62/ES</w:t>
            </w:r>
            <w:r w:rsidRPr="004468B2">
              <w:rPr>
                <w:lang w:val="lv-LV"/>
              </w:rPr>
              <w:t>;</w:t>
            </w:r>
          </w:p>
          <w:p w:rsidR="0096473E" w:rsidRPr="004468B2" w:rsidRDefault="0096473E" w:rsidP="0096473E">
            <w:pPr>
              <w:jc w:val="both"/>
              <w:rPr>
                <w:lang w:val="lv-LV"/>
              </w:rPr>
            </w:pPr>
            <w:r w:rsidRPr="004468B2">
              <w:rPr>
                <w:lang w:val="lv-LV"/>
              </w:rPr>
              <w:t>Direktīva 2010/84/ES;</w:t>
            </w:r>
          </w:p>
          <w:p w:rsidR="004134D0" w:rsidRPr="004468B2" w:rsidRDefault="0096473E" w:rsidP="00CC00F1">
            <w:pPr>
              <w:rPr>
                <w:lang w:val="lv-LV"/>
              </w:rPr>
            </w:pPr>
            <w:r w:rsidRPr="004468B2">
              <w:rPr>
                <w:lang w:val="lv-LV"/>
              </w:rPr>
              <w:t>Direktīva 2012/26/ES.</w:t>
            </w:r>
          </w:p>
        </w:tc>
      </w:tr>
      <w:tr w:rsidR="004134D0" w:rsidRPr="004468B2" w:rsidTr="0089740E">
        <w:tblPrEx>
          <w:tblCellMar>
            <w:left w:w="0" w:type="dxa"/>
            <w:right w:w="0" w:type="dxa"/>
          </w:tblCellMar>
        </w:tblPrEx>
        <w:trPr>
          <w:gridAfter w:val="3"/>
          <w:wAfter w:w="2535" w:type="dxa"/>
          <w:cantSplit/>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4468B2" w:rsidRDefault="004134D0" w:rsidP="004134D0">
            <w:pPr>
              <w:ind w:left="57"/>
              <w:jc w:val="center"/>
              <w:rPr>
                <w:lang w:val="lv-LV"/>
              </w:rPr>
            </w:pPr>
            <w:r w:rsidRPr="004468B2">
              <w:rPr>
                <w:lang w:val="lv-LV"/>
              </w:rPr>
              <w:t>A</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4468B2" w:rsidRDefault="004134D0" w:rsidP="004134D0">
            <w:pPr>
              <w:ind w:left="57"/>
              <w:jc w:val="center"/>
              <w:rPr>
                <w:lang w:val="lv-LV"/>
              </w:rPr>
            </w:pPr>
            <w:r w:rsidRPr="004468B2">
              <w:rPr>
                <w:lang w:val="lv-LV"/>
              </w:rPr>
              <w:t>B</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4468B2" w:rsidRDefault="004134D0" w:rsidP="004134D0">
            <w:pPr>
              <w:ind w:left="57"/>
              <w:jc w:val="center"/>
              <w:rPr>
                <w:lang w:val="lv-LV"/>
              </w:rPr>
            </w:pPr>
            <w:r w:rsidRPr="004468B2">
              <w:rPr>
                <w:lang w:val="lv-LV"/>
              </w:rPr>
              <w:t>C</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4468B2" w:rsidRDefault="004134D0" w:rsidP="004134D0">
            <w:pPr>
              <w:ind w:left="57"/>
              <w:jc w:val="center"/>
              <w:rPr>
                <w:lang w:val="lv-LV"/>
              </w:rPr>
            </w:pPr>
            <w:r w:rsidRPr="004468B2">
              <w:rPr>
                <w:lang w:val="lv-LV"/>
              </w:rPr>
              <w:t>D</w:t>
            </w:r>
          </w:p>
        </w:tc>
      </w:tr>
      <w:tr w:rsidR="004134D0" w:rsidRPr="004468B2" w:rsidTr="0089740E">
        <w:tblPrEx>
          <w:tblCellMar>
            <w:left w:w="0" w:type="dxa"/>
            <w:right w:w="0" w:type="dxa"/>
          </w:tblCellMar>
        </w:tblPrEx>
        <w:trPr>
          <w:gridAfter w:val="3"/>
          <w:wAfter w:w="2535" w:type="dxa"/>
          <w:cantSplit/>
          <w:trHeight w:val="2237"/>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CC00F1">
            <w:pPr>
              <w:spacing w:after="120"/>
              <w:ind w:left="57"/>
              <w:jc w:val="both"/>
              <w:rPr>
                <w:spacing w:val="-3"/>
                <w:lang w:val="lv-LV"/>
              </w:rPr>
            </w:pPr>
            <w:r w:rsidRPr="004468B2">
              <w:rPr>
                <w:spacing w:val="-3"/>
                <w:lang w:val="lv-LV"/>
              </w:rPr>
              <w:t>Attiecīgā ES tiesību akta panta numurs (uzskaitot katru tiesību akta vienību</w:t>
            </w:r>
            <w:r w:rsidR="00CC00F1" w:rsidRPr="004468B2">
              <w:rPr>
                <w:spacing w:val="-3"/>
                <w:lang w:val="lv-LV"/>
              </w:rPr>
              <w:t> - </w:t>
            </w:r>
            <w:r w:rsidRPr="004468B2">
              <w:rPr>
                <w:spacing w:val="-3"/>
                <w:lang w:val="lv-LV"/>
              </w:rPr>
              <w:t>pantu, daļu, punktu, apakšpunktu)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spacing w:after="120"/>
              <w:ind w:left="57"/>
              <w:jc w:val="both"/>
              <w:rPr>
                <w:spacing w:val="-3"/>
                <w:lang w:val="lv-LV"/>
              </w:rPr>
            </w:pPr>
            <w:r w:rsidRPr="004468B2">
              <w:rPr>
                <w:spacing w:val="-3"/>
                <w:lang w:val="lv-LV"/>
              </w:rPr>
              <w:t>Projekta vienība, kas pārņem vai ievieš katru šīs tabulas A ailē minēto ES tiesību akta vienību, vai tiesību akts, kur attiecīgā ES tiesību akta vienība pārņemta vai ieviesta.</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spacing w:after="120"/>
              <w:ind w:left="57"/>
              <w:jc w:val="both"/>
              <w:rPr>
                <w:spacing w:val="-3"/>
                <w:lang w:val="lv-LV"/>
              </w:rPr>
            </w:pPr>
            <w:r w:rsidRPr="004468B2">
              <w:rPr>
                <w:spacing w:val="-3"/>
                <w:lang w:val="lv-LV"/>
              </w:rPr>
              <w:t>Informācija par to, vai šīs tabulas A ailē minētās ES tiesību akta vienības tiek pārņemtas vai ieviestas pilnībā vai 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spacing w:after="120"/>
              <w:ind w:left="57"/>
              <w:jc w:val="both"/>
              <w:rPr>
                <w:spacing w:val="-3"/>
                <w:lang w:val="lv-LV"/>
              </w:rPr>
            </w:pPr>
            <w:r w:rsidRPr="004468B2">
              <w:rPr>
                <w:spacing w:val="-3"/>
                <w:lang w:val="lv-LV"/>
              </w:rPr>
              <w:t xml:space="preserve">Informācija par to, vai šīs </w:t>
            </w:r>
            <w:r w:rsidRPr="004468B2">
              <w:rPr>
                <w:lang w:val="lv-LV"/>
              </w:rPr>
              <w:t>tabulas B ailē minētās projekta vienības paredz stingrākas prasības nekā šīs tabulas A ailē minētās ES tiesību akta vienības.</w:t>
            </w:r>
          </w:p>
        </w:tc>
      </w:tr>
      <w:tr w:rsidR="00614771" w:rsidRPr="004468B2" w:rsidTr="0089740E">
        <w:tblPrEx>
          <w:tblCellMar>
            <w:left w:w="0" w:type="dxa"/>
            <w:right w:w="0" w:type="dxa"/>
          </w:tblCellMar>
        </w:tblPrEx>
        <w:trPr>
          <w:gridAfter w:val="3"/>
          <w:wAfter w:w="2535" w:type="dxa"/>
          <w:cantSplit/>
          <w:trHeight w:val="1592"/>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4468B2" w:rsidRDefault="00614771" w:rsidP="004134D0">
            <w:pPr>
              <w:jc w:val="both"/>
              <w:rPr>
                <w:noProof/>
                <w:lang w:val="lv-LV"/>
              </w:rPr>
            </w:pPr>
            <w:r w:rsidRPr="004468B2">
              <w:rPr>
                <w:noProof/>
                <w:lang w:val="lv-LV"/>
              </w:rPr>
              <w:t xml:space="preserve">Direktīvas 2011/62/EK </w:t>
            </w:r>
            <w:r w:rsidRPr="004468B2">
              <w:rPr>
                <w:lang w:val="lv-LV"/>
              </w:rPr>
              <w:t xml:space="preserve">1.panta 1.punkta a) apakšpunkts </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14771" w:rsidRPr="004468B2" w:rsidRDefault="00614771" w:rsidP="004C0A2C">
            <w:pPr>
              <w:rPr>
                <w:lang w:val="lv-LV"/>
              </w:rPr>
            </w:pPr>
            <w:r w:rsidRPr="004468B2">
              <w:rPr>
                <w:spacing w:val="-6"/>
                <w:lang w:val="lv-LV"/>
              </w:rPr>
              <w:t xml:space="preserve">Farmācijas likuma </w:t>
            </w:r>
            <w:r w:rsidRPr="004468B2">
              <w:rPr>
                <w:lang w:val="lv-LV"/>
              </w:rPr>
              <w:t>1.panta 1.</w:t>
            </w:r>
            <w:r w:rsidR="00B66292" w:rsidRPr="004468B2">
              <w:rPr>
                <w:vertAlign w:val="superscript"/>
                <w:lang w:val="lv-LV"/>
              </w:rPr>
              <w:t>1</w:t>
            </w:r>
            <w:r w:rsidR="004C0A2C" w:rsidRPr="004468B2">
              <w:rPr>
                <w:lang w:val="lv-LV"/>
              </w:rPr>
              <w:t>punkts -</w:t>
            </w:r>
            <w:r w:rsidRPr="004468B2">
              <w:rPr>
                <w:lang w:val="lv-LV"/>
              </w:rPr>
              <w:t> aktīvo vielu definīcija; 1.panta 12.</w:t>
            </w:r>
            <w:r w:rsidRPr="004468B2">
              <w:rPr>
                <w:vertAlign w:val="superscript"/>
                <w:lang w:val="lv-LV"/>
              </w:rPr>
              <w:t>2</w:t>
            </w:r>
            <w:r w:rsidR="004C0A2C" w:rsidRPr="004468B2">
              <w:rPr>
                <w:lang w:val="lv-LV"/>
              </w:rPr>
              <w:t>punkts - </w:t>
            </w:r>
            <w:proofErr w:type="spellStart"/>
            <w:r w:rsidRPr="004468B2">
              <w:rPr>
                <w:lang w:val="lv-LV"/>
              </w:rPr>
              <w:t>palīgvielas</w:t>
            </w:r>
            <w:proofErr w:type="spellEnd"/>
            <w:r w:rsidRPr="004468B2">
              <w:rPr>
                <w:lang w:val="lv-LV"/>
              </w:rPr>
              <w:t xml:space="preserve"> definīcija</w:t>
            </w:r>
            <w:r w:rsidR="00B03E7E" w:rsidRPr="004468B2">
              <w:rPr>
                <w:lang w:val="lv-LV"/>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4468B2" w:rsidRDefault="00614771" w:rsidP="006541EF">
            <w:pPr>
              <w:jc w:val="both"/>
              <w:rPr>
                <w:lang w:val="lv-LV"/>
              </w:rPr>
            </w:pPr>
            <w:r w:rsidRPr="004468B2">
              <w:rPr>
                <w:lang w:val="lv-LV"/>
              </w:rPr>
              <w:t>Direktīvas norma pārņemta pilnīgi</w:t>
            </w:r>
            <w:r w:rsidR="00DB3E6C" w:rsidRPr="004468B2">
              <w:rPr>
                <w:lang w:val="lv-LV"/>
              </w:rPr>
              <w:t>.</w:t>
            </w:r>
            <w:r w:rsidRPr="004468B2">
              <w:rPr>
                <w:lang w:val="lv-LV"/>
              </w:rPr>
              <w:t xml:space="preserve">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4468B2" w:rsidRDefault="00DA21BB" w:rsidP="004134D0">
            <w:pPr>
              <w:jc w:val="both"/>
              <w:rPr>
                <w:lang w:val="lv-LV"/>
              </w:rPr>
            </w:pPr>
            <w:r w:rsidRPr="004468B2">
              <w:rPr>
                <w:lang w:val="lv-LV"/>
              </w:rPr>
              <w:t>Stingrākas prasības neparedz</w:t>
            </w:r>
          </w:p>
        </w:tc>
      </w:tr>
      <w:tr w:rsidR="004134D0"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noProof/>
                <w:spacing w:val="-6"/>
                <w:lang w:val="lv-LV"/>
              </w:rPr>
            </w:pPr>
            <w:r w:rsidRPr="004468B2">
              <w:rPr>
                <w:noProof/>
                <w:spacing w:val="-6"/>
                <w:lang w:val="lv-LV"/>
              </w:rPr>
              <w:t xml:space="preserve">Direktīvas 2011/62/EK </w:t>
            </w:r>
            <w:r w:rsidRPr="004468B2">
              <w:rPr>
                <w:spacing w:val="-6"/>
                <w:lang w:val="lv-LV"/>
              </w:rPr>
              <w:t>1.panta 1.punkta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2117D8" w:rsidP="00E967B9">
            <w:pPr>
              <w:jc w:val="both"/>
              <w:rPr>
                <w:lang w:val="lv-LV"/>
              </w:rPr>
            </w:pPr>
            <w:r w:rsidRPr="004468B2">
              <w:rPr>
                <w:lang w:val="lv-LV"/>
              </w:rPr>
              <w:t>1.</w:t>
            </w:r>
            <w:r w:rsidR="00001806" w:rsidRPr="004468B2">
              <w:rPr>
                <w:lang w:val="lv-LV"/>
              </w:rPr>
              <w:t>5</w:t>
            </w:r>
            <w:r w:rsidR="000E1F01" w:rsidRPr="004468B2">
              <w:rPr>
                <w:lang w:val="lv-LV"/>
              </w:rPr>
              <w:t>.</w:t>
            </w:r>
            <w:r w:rsidR="00B03E7E" w:rsidRPr="004468B2">
              <w:rPr>
                <w:lang w:val="lv-LV"/>
              </w:rPr>
              <w:t>apakš</w:t>
            </w:r>
            <w:r w:rsidR="000E1F01" w:rsidRPr="004468B2">
              <w:rPr>
                <w:lang w:val="lv-LV"/>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DB3E6C" w:rsidP="004134D0">
            <w:pPr>
              <w:jc w:val="both"/>
              <w:rPr>
                <w:lang w:val="lv-LV"/>
              </w:rPr>
            </w:pPr>
            <w:r w:rsidRPr="004468B2">
              <w:rPr>
                <w:lang w:val="lv-LV"/>
              </w:rPr>
              <w:t>Direktīvas norma pārņemta pilnīgi.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DA21BB" w:rsidP="004134D0">
            <w:pPr>
              <w:jc w:val="both"/>
              <w:rPr>
                <w:lang w:val="lv-LV"/>
              </w:rPr>
            </w:pPr>
            <w:r w:rsidRPr="004468B2">
              <w:rPr>
                <w:lang w:val="lv-LV"/>
              </w:rPr>
              <w:t>Stingrākas prasības neparedz</w:t>
            </w:r>
          </w:p>
        </w:tc>
      </w:tr>
      <w:tr w:rsidR="00DB3E6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4468B2" w:rsidRDefault="00DB3E6C" w:rsidP="004134D0">
            <w:pPr>
              <w:jc w:val="both"/>
              <w:rPr>
                <w:spacing w:val="-6"/>
                <w:lang w:val="lv-LV"/>
              </w:rPr>
            </w:pPr>
            <w:r w:rsidRPr="004468B2">
              <w:rPr>
                <w:noProof/>
                <w:spacing w:val="-6"/>
                <w:lang w:val="lv-LV"/>
              </w:rPr>
              <w:lastRenderedPageBreak/>
              <w:t xml:space="preserve">Direktīvas 2011/62/EK </w:t>
            </w:r>
            <w:r w:rsidRPr="004468B2">
              <w:rPr>
                <w:spacing w:val="-6"/>
                <w:lang w:val="lv-LV"/>
              </w:rPr>
              <w:t xml:space="preserve">1.panta 1.punkta c) apakšpunkts </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4468B2" w:rsidRDefault="002117D8" w:rsidP="00E537CE">
            <w:pPr>
              <w:jc w:val="both"/>
              <w:rPr>
                <w:lang w:val="lv-LV"/>
              </w:rPr>
            </w:pPr>
            <w:r w:rsidRPr="004468B2">
              <w:rPr>
                <w:lang w:val="lv-LV"/>
              </w:rPr>
              <w:t>1.</w:t>
            </w:r>
            <w:r w:rsidR="0007341A" w:rsidRPr="004468B2">
              <w:rPr>
                <w:lang w:val="lv-LV"/>
              </w:rPr>
              <w:t>4</w:t>
            </w:r>
            <w:r w:rsidR="00DB3E6C" w:rsidRPr="004468B2">
              <w:rPr>
                <w:lang w:val="lv-LV"/>
              </w:rPr>
              <w:t>.</w:t>
            </w:r>
            <w:r w:rsidR="00B03E7E" w:rsidRPr="004468B2">
              <w:rPr>
                <w:lang w:val="lv-LV"/>
              </w:rPr>
              <w:t>apakš</w:t>
            </w:r>
            <w:r w:rsidR="00DB3E6C" w:rsidRPr="004468B2">
              <w:rPr>
                <w:lang w:val="lv-LV"/>
              </w:rPr>
              <w:t>punkts</w:t>
            </w:r>
          </w:p>
          <w:p w:rsidR="00DB3E6C" w:rsidRPr="004468B2" w:rsidRDefault="00DB3E6C" w:rsidP="00E537CE">
            <w:pPr>
              <w:jc w:val="both"/>
              <w:rPr>
                <w:lang w:val="lv-LV"/>
              </w:rPr>
            </w:pPr>
          </w:p>
          <w:p w:rsidR="00DB3E6C" w:rsidRPr="004468B2" w:rsidRDefault="0089740E" w:rsidP="0089740E">
            <w:pPr>
              <w:jc w:val="both"/>
              <w:rPr>
                <w:lang w:val="lv-LV"/>
              </w:rPr>
            </w:pPr>
            <w:r w:rsidRPr="004468B2">
              <w:rPr>
                <w:lang w:val="lv-LV"/>
              </w:rPr>
              <w:t>Farmācijas likuma</w:t>
            </w:r>
            <w:r w:rsidR="00DB3E6C" w:rsidRPr="004468B2">
              <w:rPr>
                <w:lang w:val="lv-LV"/>
              </w:rPr>
              <w:t xml:space="preserve"> 1.panta 16.</w:t>
            </w:r>
            <w:r w:rsidR="00DB3E6C" w:rsidRPr="004468B2">
              <w:rPr>
                <w:vertAlign w:val="superscript"/>
                <w:lang w:val="lv-LV"/>
              </w:rPr>
              <w:t>1</w:t>
            </w:r>
            <w:r w:rsidR="00DB3E6C" w:rsidRPr="004468B2">
              <w:rPr>
                <w:lang w:val="lv-LV"/>
              </w:rPr>
              <w:t>punkts</w:t>
            </w:r>
            <w:r w:rsidRPr="004468B2">
              <w:rPr>
                <w:lang w:val="lv-LV"/>
              </w:rPr>
              <w:t xml:space="preserve"> (</w:t>
            </w:r>
            <w:r w:rsidR="00DB3E6C" w:rsidRPr="004468B2">
              <w:rPr>
                <w:lang w:val="lv-LV"/>
              </w:rPr>
              <w:t>viltoto zāļu definīcija)</w:t>
            </w:r>
            <w:r w:rsidR="00B03E7E" w:rsidRPr="004468B2">
              <w:rPr>
                <w:lang w:val="lv-LV"/>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4468B2" w:rsidRDefault="00DB3E6C" w:rsidP="006541EF">
            <w:pPr>
              <w:jc w:val="both"/>
              <w:rPr>
                <w:lang w:val="lv-LV"/>
              </w:rPr>
            </w:pPr>
            <w:r w:rsidRPr="004468B2">
              <w:rPr>
                <w:lang w:val="lv-LV"/>
              </w:rPr>
              <w:t>Direktīvas norma pārņemta pilnīgi.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4468B2" w:rsidRDefault="00DA21BB" w:rsidP="006541EF">
            <w:pPr>
              <w:jc w:val="both"/>
              <w:rPr>
                <w:lang w:val="lv-LV"/>
              </w:rPr>
            </w:pPr>
            <w:r w:rsidRPr="004468B2">
              <w:rPr>
                <w:lang w:val="lv-LV"/>
              </w:rPr>
              <w:t>Stingrākas prasības neparedz</w:t>
            </w:r>
          </w:p>
        </w:tc>
      </w:tr>
      <w:tr w:rsidR="00AE2E63"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4468B2" w:rsidRDefault="00AE2E63" w:rsidP="004134D0">
            <w:pPr>
              <w:jc w:val="both"/>
              <w:rPr>
                <w:noProof/>
                <w:lang w:val="lv-LV"/>
              </w:rPr>
            </w:pPr>
            <w:r w:rsidRPr="004468B2">
              <w:rPr>
                <w:noProof/>
                <w:lang w:val="lv-LV"/>
              </w:rPr>
              <w:t xml:space="preserve">Direktīvas 2011/62/EK </w:t>
            </w:r>
            <w:r w:rsidRPr="004468B2">
              <w:rPr>
                <w:lang w:val="lv-LV"/>
              </w:rPr>
              <w:t>1.panta 2.punkts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949CF" w:rsidRPr="004468B2" w:rsidRDefault="004949CF" w:rsidP="005B0DBE">
            <w:pPr>
              <w:pStyle w:val="NoSpacing"/>
              <w:jc w:val="both"/>
              <w:rPr>
                <w:rFonts w:ascii="Times New Roman" w:hAnsi="Times New Roman"/>
                <w:sz w:val="24"/>
                <w:szCs w:val="24"/>
              </w:rPr>
            </w:pPr>
            <w:r w:rsidRPr="004468B2">
              <w:rPr>
                <w:rFonts w:ascii="Times New Roman" w:hAnsi="Times New Roman"/>
                <w:spacing w:val="-6"/>
                <w:sz w:val="24"/>
                <w:szCs w:val="24"/>
              </w:rPr>
              <w:t>Direktīvas norma ir daļēji pārņemta ar  </w:t>
            </w:r>
            <w:r w:rsidRPr="004468B2">
              <w:rPr>
                <w:rFonts w:ascii="Times New Roman" w:hAnsi="Times New Roman"/>
                <w:sz w:val="24"/>
                <w:szCs w:val="24"/>
              </w:rPr>
              <w:t>Ministru kabineta 2013.gada 25.jūnija  noteikumiem Nr.344 ”Aktīvo vielu importēšanas un izplatīšanas kārtība” (turpmāk –</w:t>
            </w:r>
            <w:r w:rsidR="0055247B" w:rsidRPr="004468B2">
              <w:rPr>
                <w:rFonts w:ascii="Times New Roman" w:hAnsi="Times New Roman"/>
                <w:sz w:val="24"/>
                <w:szCs w:val="24"/>
              </w:rPr>
              <w:t> MK noteikumi N</w:t>
            </w:r>
            <w:r w:rsidRPr="004468B2">
              <w:rPr>
                <w:rFonts w:ascii="Times New Roman" w:hAnsi="Times New Roman"/>
                <w:sz w:val="24"/>
                <w:szCs w:val="24"/>
              </w:rPr>
              <w:t>r.</w:t>
            </w:r>
            <w:r w:rsidR="0055247B" w:rsidRPr="004468B2">
              <w:rPr>
                <w:rFonts w:ascii="Times New Roman" w:hAnsi="Times New Roman"/>
                <w:sz w:val="24"/>
                <w:szCs w:val="24"/>
              </w:rPr>
              <w:t xml:space="preserve">344) </w:t>
            </w:r>
            <w:r w:rsidRPr="004468B2">
              <w:rPr>
                <w:rFonts w:ascii="Times New Roman" w:hAnsi="Times New Roman"/>
                <w:sz w:val="24"/>
                <w:szCs w:val="24"/>
              </w:rPr>
              <w:t>(2.punkts)</w:t>
            </w:r>
          </w:p>
          <w:p w:rsidR="004949CF" w:rsidRPr="004468B2" w:rsidRDefault="004949CF" w:rsidP="005B0DBE">
            <w:pPr>
              <w:pStyle w:val="NoSpacing"/>
              <w:jc w:val="both"/>
              <w:rPr>
                <w:rFonts w:ascii="Times New Roman" w:hAnsi="Times New Roman"/>
                <w:spacing w:val="-6"/>
                <w:sz w:val="24"/>
                <w:szCs w:val="24"/>
              </w:rPr>
            </w:pPr>
          </w:p>
          <w:p w:rsidR="00AE2E63" w:rsidRPr="004468B2" w:rsidRDefault="00AE2E63" w:rsidP="0034255C">
            <w:pPr>
              <w:pStyle w:val="NoSpacing"/>
              <w:jc w:val="both"/>
              <w:rPr>
                <w:rFonts w:ascii="Times New Roman" w:hAnsi="Times New Roman"/>
                <w:spacing w:val="-6"/>
                <w:sz w:val="24"/>
                <w:szCs w:val="24"/>
              </w:rPr>
            </w:pPr>
            <w:r w:rsidRPr="004468B2">
              <w:rPr>
                <w:rFonts w:ascii="Times New Roman" w:hAnsi="Times New Roman"/>
                <w:spacing w:val="-6"/>
                <w:sz w:val="24"/>
                <w:szCs w:val="24"/>
              </w:rPr>
              <w:t xml:space="preserve">Direktīvas norma </w:t>
            </w:r>
            <w:r w:rsidRPr="004468B2">
              <w:rPr>
                <w:rFonts w:ascii="Times New Roman" w:hAnsi="Times New Roman"/>
                <w:sz w:val="24"/>
                <w:szCs w:val="24"/>
              </w:rPr>
              <w:t xml:space="preserve">tiks pārņemta </w:t>
            </w:r>
            <w:r w:rsidR="00E967B9" w:rsidRPr="004468B2">
              <w:rPr>
                <w:rFonts w:ascii="Times New Roman" w:hAnsi="Times New Roman"/>
                <w:spacing w:val="-6"/>
                <w:sz w:val="24"/>
                <w:szCs w:val="24"/>
              </w:rPr>
              <w:t>ar</w:t>
            </w:r>
            <w:r w:rsidR="004949CF" w:rsidRPr="004468B2">
              <w:rPr>
                <w:rFonts w:ascii="Times New Roman" w:hAnsi="Times New Roman"/>
                <w:spacing w:val="-6"/>
                <w:sz w:val="24"/>
                <w:szCs w:val="24"/>
              </w:rPr>
              <w:t xml:space="preserve"> </w:t>
            </w:r>
            <w:r w:rsidR="00CF5D65" w:rsidRPr="004468B2">
              <w:rPr>
                <w:rFonts w:ascii="Times New Roman" w:hAnsi="Times New Roman"/>
                <w:noProof/>
                <w:sz w:val="24"/>
                <w:szCs w:val="24"/>
              </w:rPr>
              <w:t>grozījumi</w:t>
            </w:r>
            <w:r w:rsidR="0007341A" w:rsidRPr="004468B2">
              <w:rPr>
                <w:rFonts w:ascii="Times New Roman" w:hAnsi="Times New Roman"/>
                <w:noProof/>
                <w:sz w:val="24"/>
                <w:szCs w:val="24"/>
              </w:rPr>
              <w:t>em</w:t>
            </w:r>
            <w:r w:rsidR="00CF5D65" w:rsidRPr="004468B2">
              <w:rPr>
                <w:rFonts w:ascii="Times New Roman" w:hAnsi="Times New Roman"/>
                <w:noProof/>
                <w:sz w:val="24"/>
                <w:szCs w:val="24"/>
              </w:rPr>
              <w:t xml:space="preserve"> MK noteikumos Nr.304</w:t>
            </w:r>
            <w:r w:rsidR="004949CF" w:rsidRPr="004468B2">
              <w:rPr>
                <w:rFonts w:ascii="Times New Roman" w:hAnsi="Times New Roman"/>
                <w:noProof/>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4468B2" w:rsidRDefault="00AE2E63" w:rsidP="00281A6E">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4468B2" w:rsidRDefault="00AE2E63" w:rsidP="00281A6E">
            <w:pPr>
              <w:jc w:val="both"/>
              <w:rPr>
                <w:lang w:val="lv-LV"/>
              </w:rPr>
            </w:pPr>
            <w:r w:rsidRPr="004468B2">
              <w:rPr>
                <w:lang w:val="lv-LV"/>
              </w:rPr>
              <w:t>Nav</w:t>
            </w:r>
          </w:p>
        </w:tc>
      </w:tr>
      <w:tr w:rsidR="00254673"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4468B2" w:rsidRDefault="00254673" w:rsidP="004134D0">
            <w:pPr>
              <w:jc w:val="both"/>
              <w:rPr>
                <w:noProof/>
                <w:lang w:val="lv-LV"/>
              </w:rPr>
            </w:pPr>
            <w:r w:rsidRPr="004468B2">
              <w:rPr>
                <w:noProof/>
                <w:lang w:val="lv-LV"/>
              </w:rPr>
              <w:t xml:space="preserve">Direktīvas 2011/62/EK </w:t>
            </w:r>
            <w:r w:rsidRPr="004468B2">
              <w:rPr>
                <w:lang w:val="lv-LV"/>
              </w:rPr>
              <w:t>1.panta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4468B2" w:rsidRDefault="00254673" w:rsidP="0007341A">
            <w:pPr>
              <w:jc w:val="both"/>
              <w:rPr>
                <w:lang w:val="lv-LV"/>
              </w:rPr>
            </w:pPr>
            <w:r w:rsidRPr="004468B2">
              <w:rPr>
                <w:lang w:val="lv-LV"/>
              </w:rPr>
              <w:t xml:space="preserve">Direktīvas norma tiks pārņemta ar grozījumiem </w:t>
            </w:r>
            <w:r w:rsidR="00CF5D65" w:rsidRPr="004468B2">
              <w:rPr>
                <w:noProof/>
                <w:lang w:val="lv-LV"/>
              </w:rPr>
              <w:t>MK noteikumos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4468B2" w:rsidRDefault="00254673" w:rsidP="00254673">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4468B2" w:rsidRDefault="00254673" w:rsidP="00254673">
            <w:pPr>
              <w:jc w:val="both"/>
              <w:rPr>
                <w:lang w:val="lv-LV"/>
              </w:rPr>
            </w:pPr>
            <w:r w:rsidRPr="004468B2">
              <w:rPr>
                <w:lang w:val="lv-LV"/>
              </w:rPr>
              <w:t>Nav</w:t>
            </w:r>
          </w:p>
        </w:tc>
      </w:tr>
      <w:tr w:rsidR="00641B3B"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41B3B" w:rsidRPr="004468B2" w:rsidRDefault="00641B3B" w:rsidP="001D10C6">
            <w:pPr>
              <w:jc w:val="both"/>
              <w:rPr>
                <w:noProof/>
                <w:lang w:val="lv-LV"/>
              </w:rPr>
            </w:pPr>
            <w:r w:rsidRPr="004468B2">
              <w:rPr>
                <w:noProof/>
                <w:lang w:val="lv-LV"/>
              </w:rPr>
              <w:t xml:space="preserve">Direktīvas 2011/62/EK </w:t>
            </w:r>
            <w:r w:rsidRPr="004468B2">
              <w:rPr>
                <w:lang w:val="lv-LV"/>
              </w:rPr>
              <w:t>1.panta 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41B3B" w:rsidRPr="004468B2" w:rsidRDefault="00641B3B" w:rsidP="001D10C6">
            <w:pPr>
              <w:pStyle w:val="NoSpacing"/>
              <w:jc w:val="both"/>
              <w:rPr>
                <w:rFonts w:ascii="Times New Roman" w:hAnsi="Times New Roman"/>
                <w:iCs/>
                <w:noProof/>
                <w:sz w:val="24"/>
                <w:szCs w:val="24"/>
              </w:rPr>
            </w:pPr>
            <w:r w:rsidRPr="004468B2">
              <w:rPr>
                <w:rFonts w:ascii="Times New Roman" w:hAnsi="Times New Roman"/>
                <w:noProof/>
                <w:sz w:val="24"/>
                <w:szCs w:val="24"/>
              </w:rPr>
              <w:t>Ministru kabineta 2011.gada 19.oktobra noteikumos Nr.800 "</w:t>
            </w:r>
            <w:r w:rsidRPr="004468B2">
              <w:rPr>
                <w:rFonts w:ascii="Times New Roman" w:hAnsi="Times New Roman"/>
                <w:bCs/>
                <w:noProof/>
                <w:sz w:val="24"/>
                <w:szCs w:val="24"/>
              </w:rPr>
              <w:t>Farmaceitiskās darbības licencēšanas kārtība</w:t>
            </w:r>
            <w:r w:rsidRPr="004468B2">
              <w:rPr>
                <w:rFonts w:ascii="Times New Roman" w:hAnsi="Times New Roman"/>
                <w:noProof/>
                <w:sz w:val="24"/>
                <w:szCs w:val="24"/>
              </w:rPr>
              <w:t xml:space="preserve">" (turpāk - MK noteikumi Nr.800 </w:t>
            </w:r>
            <w:r w:rsidRPr="004468B2">
              <w:rPr>
                <w:rFonts w:ascii="Times New Roman" w:hAnsi="Times New Roman"/>
                <w:iCs/>
                <w:noProof/>
                <w:sz w:val="24"/>
                <w:szCs w:val="24"/>
              </w:rPr>
              <w:t>(78.7.apakšpunkts).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41B3B" w:rsidRPr="004468B2" w:rsidRDefault="00641B3B" w:rsidP="004949CF">
            <w:pPr>
              <w:jc w:val="both"/>
              <w:rPr>
                <w:lang w:val="lv-LV"/>
              </w:rPr>
            </w:pPr>
            <w:r w:rsidRPr="004468B2">
              <w:rPr>
                <w:lang w:val="lv-LV"/>
              </w:rPr>
              <w:t>Direktīvas norma pārņemta pilnīgi.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41B3B" w:rsidRPr="004468B2" w:rsidRDefault="00641B3B" w:rsidP="004949CF">
            <w:pPr>
              <w:jc w:val="both"/>
              <w:rPr>
                <w:lang w:val="lv-LV"/>
              </w:rPr>
            </w:pPr>
            <w:r w:rsidRPr="004468B2">
              <w:rPr>
                <w:lang w:val="lv-LV"/>
              </w:rPr>
              <w:t>Stingrākas prasības neparedz</w:t>
            </w:r>
          </w:p>
        </w:tc>
      </w:tr>
      <w:tr w:rsidR="004134D0"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lang w:val="lv-LV"/>
              </w:rPr>
            </w:pPr>
            <w:r w:rsidRPr="004468B2">
              <w:rPr>
                <w:noProof/>
                <w:lang w:val="lv-LV"/>
              </w:rPr>
              <w:t xml:space="preserve">Direktīvas 2011/62/EK </w:t>
            </w:r>
            <w:r w:rsidRPr="004468B2">
              <w:rPr>
                <w:lang w:val="lv-LV"/>
              </w:rPr>
              <w:t>1.panta 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8662C" w:rsidP="001D722E">
            <w:pPr>
              <w:pStyle w:val="NoSpacing"/>
              <w:jc w:val="both"/>
              <w:rPr>
                <w:b/>
                <w:sz w:val="18"/>
                <w:szCs w:val="18"/>
              </w:rPr>
            </w:pPr>
            <w:r w:rsidRPr="004468B2">
              <w:rPr>
                <w:rFonts w:ascii="Times New Roman" w:hAnsi="Times New Roman"/>
                <w:sz w:val="24"/>
                <w:szCs w:val="24"/>
              </w:rPr>
              <w:t>Direktīvas norma tiks pārņemta ar grozījumiem MK noteikumos Nr.304</w:t>
            </w:r>
            <w:r w:rsidR="00B03E7E" w:rsidRPr="004468B2">
              <w:rPr>
                <w:rFonts w:ascii="Times New Roman" w:hAnsi="Times New Roman"/>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lang w:val="lv-LV"/>
              </w:rPr>
            </w:pPr>
            <w:r w:rsidRPr="004468B2">
              <w:rPr>
                <w:lang w:val="lv-LV"/>
              </w:rPr>
              <w:t xml:space="preserve"> </w:t>
            </w:r>
            <w:r w:rsidR="00CC7907"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lang w:val="lv-LV"/>
              </w:rPr>
            </w:pPr>
            <w:r w:rsidRPr="004468B2">
              <w:rPr>
                <w:lang w:val="lv-LV"/>
              </w:rPr>
              <w:t>Nav</w:t>
            </w:r>
          </w:p>
        </w:tc>
      </w:tr>
      <w:tr w:rsidR="00490AB2"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90AB2" w:rsidRPr="004468B2" w:rsidRDefault="00490AB2" w:rsidP="004134D0">
            <w:pPr>
              <w:jc w:val="both"/>
              <w:rPr>
                <w:lang w:val="lv-LV"/>
              </w:rPr>
            </w:pPr>
            <w:r w:rsidRPr="004468B2">
              <w:rPr>
                <w:noProof/>
                <w:lang w:val="lv-LV"/>
              </w:rPr>
              <w:t xml:space="preserve">Direktīvas 2011/62/EK </w:t>
            </w:r>
            <w:r w:rsidRPr="004468B2">
              <w:rPr>
                <w:lang w:val="lv-LV"/>
              </w:rPr>
              <w:t>1.panta 6.punkts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90AB2" w:rsidRPr="004468B2" w:rsidRDefault="00490AB2" w:rsidP="00E4432E">
            <w:pPr>
              <w:pStyle w:val="NoSpacing"/>
              <w:jc w:val="both"/>
              <w:rPr>
                <w:rFonts w:ascii="Times New Roman" w:hAnsi="Times New Roman"/>
                <w:sz w:val="24"/>
                <w:szCs w:val="24"/>
              </w:rPr>
            </w:pPr>
            <w:r w:rsidRPr="004468B2">
              <w:rPr>
                <w:rFonts w:ascii="Times New Roman" w:hAnsi="Times New Roman"/>
                <w:spacing w:val="-6"/>
                <w:sz w:val="24"/>
                <w:szCs w:val="24"/>
              </w:rPr>
              <w:t xml:space="preserve">Direktīvas norma pārņemta ar </w:t>
            </w:r>
            <w:r w:rsidRPr="004468B2">
              <w:rPr>
                <w:rFonts w:ascii="Times New Roman" w:hAnsi="Times New Roman"/>
                <w:sz w:val="24"/>
                <w:szCs w:val="24"/>
              </w:rPr>
              <w:t>Farmācijas likuma 22.panta (3) daļu.</w:t>
            </w:r>
          </w:p>
          <w:p w:rsidR="00490AB2" w:rsidRPr="004468B2" w:rsidRDefault="00490AB2" w:rsidP="00E4432E">
            <w:pPr>
              <w:pStyle w:val="NoSpacing"/>
              <w:jc w:val="both"/>
              <w:rPr>
                <w:rFonts w:ascii="Times New Roman" w:hAnsi="Times New Roman"/>
                <w:spacing w:val="-6"/>
                <w:sz w:val="24"/>
                <w:szCs w:val="24"/>
              </w:rPr>
            </w:pPr>
            <w:r w:rsidRPr="004468B2">
              <w:rPr>
                <w:rFonts w:ascii="Times New Roman" w:hAnsi="Times New Roman"/>
                <w:sz w:val="24"/>
                <w:szCs w:val="24"/>
              </w:rPr>
              <w:t xml:space="preserve"> </w:t>
            </w:r>
          </w:p>
          <w:p w:rsidR="00490AB2" w:rsidRPr="004468B2" w:rsidRDefault="00490AB2" w:rsidP="00490AB2">
            <w:pPr>
              <w:pStyle w:val="NoSpacing"/>
              <w:jc w:val="both"/>
              <w:rPr>
                <w:rFonts w:ascii="Times New Roman" w:hAnsi="Times New Roman"/>
                <w:spacing w:val="-6"/>
                <w:sz w:val="24"/>
                <w:szCs w:val="24"/>
              </w:rPr>
            </w:pPr>
            <w:r w:rsidRPr="004468B2">
              <w:rPr>
                <w:rFonts w:ascii="Times New Roman" w:hAnsi="Times New Roman"/>
                <w:sz w:val="24"/>
                <w:szCs w:val="24"/>
              </w:rPr>
              <w:t>Direktīvas norma pārņemta ar MK noteikumiem Nr.344</w:t>
            </w:r>
            <w:r w:rsidR="001D722E" w:rsidRPr="004468B2">
              <w:rPr>
                <w:rFonts w:ascii="Times New Roman" w:hAnsi="Times New Roman"/>
                <w:sz w:val="24"/>
                <w:szCs w:val="24"/>
              </w:rPr>
              <w:t xml:space="preserve"> (5., 10., 11. un 17.punkts).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90AB2" w:rsidRPr="004468B2" w:rsidRDefault="00490AB2" w:rsidP="004949CF">
            <w:pPr>
              <w:jc w:val="both"/>
              <w:rPr>
                <w:lang w:val="lv-LV"/>
              </w:rPr>
            </w:pPr>
            <w:r w:rsidRPr="004468B2">
              <w:rPr>
                <w:lang w:val="lv-LV"/>
              </w:rPr>
              <w:t>Direktīvas norma pārņemta pilnīgi.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90AB2" w:rsidRPr="004468B2" w:rsidRDefault="00490AB2" w:rsidP="004949CF">
            <w:pPr>
              <w:jc w:val="both"/>
              <w:rPr>
                <w:lang w:val="lv-LV"/>
              </w:rPr>
            </w:pPr>
            <w:r w:rsidRPr="004468B2">
              <w:rPr>
                <w:lang w:val="lv-LV"/>
              </w:rPr>
              <w:t>Stingrākas prasības neparedz</w:t>
            </w:r>
          </w:p>
        </w:tc>
      </w:tr>
      <w:tr w:rsidR="003230EE"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4468B2" w:rsidRDefault="003230EE" w:rsidP="0002034A">
            <w:pPr>
              <w:jc w:val="both"/>
              <w:rPr>
                <w:lang w:val="lv-LV"/>
              </w:rPr>
            </w:pPr>
            <w:r w:rsidRPr="004468B2">
              <w:rPr>
                <w:noProof/>
                <w:lang w:val="lv-LV"/>
              </w:rPr>
              <w:lastRenderedPageBreak/>
              <w:t xml:space="preserve">Direktīvas 2011/62/EK </w:t>
            </w:r>
            <w:r w:rsidRPr="004468B2">
              <w:rPr>
                <w:lang w:val="lv-LV"/>
              </w:rPr>
              <w:t>1.panta 7.punkts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4468B2" w:rsidRDefault="003230EE" w:rsidP="0002034A">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4468B2" w:rsidRDefault="003230EE" w:rsidP="006541EF">
            <w:pPr>
              <w:spacing w:after="120"/>
              <w:ind w:left="57"/>
              <w:jc w:val="both"/>
              <w:rPr>
                <w:noProof/>
                <w:spacing w:val="-3"/>
                <w:lang w:val="lv-LV"/>
              </w:rPr>
            </w:pPr>
            <w:r w:rsidRPr="004468B2">
              <w:rPr>
                <w:noProof/>
                <w:spacing w:val="-3"/>
                <w:lang w:val="lv-LV"/>
              </w:rPr>
              <w:t>Nav jāpārņem jo nosaka Eiropas Komisijas pienākumiem, tajā skaitā pieņemt deleģēto aktu par aktīvo vielu labu ražošanas praksi. Deleģēto aktu paredzēts pieņemt 2013.gadā regulas formā.</w:t>
            </w:r>
          </w:p>
          <w:p w:rsidR="003230EE" w:rsidRPr="004468B2" w:rsidRDefault="003230EE" w:rsidP="0034255C">
            <w:pPr>
              <w:spacing w:after="120"/>
              <w:jc w:val="both"/>
              <w:rPr>
                <w:noProof/>
                <w:lang w:val="lv-LV"/>
              </w:rPr>
            </w:pPr>
            <w:r w:rsidRPr="004468B2">
              <w:rPr>
                <w:noProof/>
                <w:spacing w:val="-3"/>
                <w:lang w:val="lv-LV"/>
              </w:rPr>
              <w:t xml:space="preserve">Eiropas Komisija plāno pieņemt arī 2013.gadā aktīvo vielu labas izplatīšanas prakses vadlīnijas. Pēc to pieņemšanas normas būs iekļaujamas MK noteikumos par </w:t>
            </w:r>
            <w:r w:rsidR="0034255C" w:rsidRPr="004468B2">
              <w:rPr>
                <w:noProof/>
                <w:spacing w:val="-3"/>
                <w:lang w:val="lv-LV"/>
              </w:rPr>
              <w:t xml:space="preserve">aktīvajām vielām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4468B2" w:rsidRDefault="003230EE" w:rsidP="0002034A">
            <w:pPr>
              <w:spacing w:after="120"/>
              <w:rPr>
                <w:spacing w:val="-3"/>
                <w:lang w:val="lv-LV"/>
              </w:rPr>
            </w:pPr>
            <w:r w:rsidRPr="004468B2">
              <w:rPr>
                <w:spacing w:val="-3"/>
                <w:lang w:val="lv-LV"/>
              </w:rPr>
              <w:t>Nav</w:t>
            </w:r>
          </w:p>
        </w:tc>
      </w:tr>
      <w:tr w:rsidR="00BB1BA4"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4468B2" w:rsidRDefault="00BB1BA4" w:rsidP="004134D0">
            <w:pPr>
              <w:jc w:val="both"/>
              <w:rPr>
                <w:noProof/>
                <w:spacing w:val="-6"/>
                <w:lang w:val="lv-LV"/>
              </w:rPr>
            </w:pPr>
            <w:r w:rsidRPr="004468B2">
              <w:rPr>
                <w:noProof/>
                <w:spacing w:val="-6"/>
                <w:lang w:val="lv-LV"/>
              </w:rPr>
              <w:lastRenderedPageBreak/>
              <w:t xml:space="preserve">Direktīvas 2011/62/EK </w:t>
            </w:r>
            <w:r w:rsidRPr="004468B2">
              <w:rPr>
                <w:spacing w:val="-6"/>
                <w:lang w:val="lv-LV"/>
              </w:rPr>
              <w:t>1.panta 8.punkts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xml:space="preserve">Direktīvas norma tiks pārņemta ar grozījumiem </w:t>
            </w:r>
            <w:r w:rsidRPr="004468B2">
              <w:rPr>
                <w:rFonts w:ascii="Times New Roman" w:hAnsi="Times New Roman"/>
                <w:noProof/>
                <w:spacing w:val="-6"/>
                <w:sz w:val="24"/>
                <w:szCs w:val="24"/>
              </w:rPr>
              <w:t xml:space="preserve">MK noteikumos Nr.304 </w:t>
            </w:r>
            <w:r w:rsidRPr="004468B2">
              <w:rPr>
                <w:rFonts w:ascii="Times New Roman" w:hAnsi="Times New Roman"/>
                <w:noProof/>
                <w:sz w:val="24"/>
                <w:szCs w:val="24"/>
              </w:rPr>
              <w:t xml:space="preserve">pēc Eiropas Komisijas Regulas pieņemšanas par: </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drošuma pazīmju (unikālais identifikators) raksturojumu un tehniskajām specifikācijām;</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recepšu zāļu vai zāļu kategoriju sarakstu, kurām drošuma pazīmes nenorāda;</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bezrecepšu zāļu vai zāļu kategoriju sarakstu, kurām drošuma pazīmes norāda;</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paziņošanas procedūru par zālēm, par kurām ir aizdomas par viltojumu, un ātru šādu ziņojumu izvērtēšanas un lēmumu pieņemšanas sistēmu;</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drošuma pazīmju pārbaudes paņēmieniem, ko veic  ražotāji, vairumtirgotāji, farmaceiti;</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 nosacījumiem repozitoriju sistēmas izveid</w:t>
            </w:r>
            <w:r w:rsidR="0034255C" w:rsidRPr="004468B2">
              <w:rPr>
                <w:rFonts w:ascii="Times New Roman" w:hAnsi="Times New Roman"/>
                <w:noProof/>
                <w:sz w:val="24"/>
                <w:szCs w:val="24"/>
              </w:rPr>
              <w:t>e</w:t>
            </w:r>
            <w:r w:rsidRPr="004468B2">
              <w:rPr>
                <w:rFonts w:ascii="Times New Roman" w:hAnsi="Times New Roman"/>
                <w:noProof/>
                <w:sz w:val="24"/>
                <w:szCs w:val="24"/>
              </w:rPr>
              <w:t>i, pārvaldīb</w:t>
            </w:r>
            <w:r w:rsidR="0034255C" w:rsidRPr="004468B2">
              <w:rPr>
                <w:rFonts w:ascii="Times New Roman" w:hAnsi="Times New Roman"/>
                <w:noProof/>
                <w:sz w:val="24"/>
                <w:szCs w:val="24"/>
              </w:rPr>
              <w:t>ai</w:t>
            </w:r>
            <w:r w:rsidRPr="004468B2">
              <w:rPr>
                <w:rFonts w:ascii="Times New Roman" w:hAnsi="Times New Roman"/>
                <w:noProof/>
                <w:sz w:val="24"/>
                <w:szCs w:val="24"/>
              </w:rPr>
              <w:t xml:space="preserve"> un pieejamīb</w:t>
            </w:r>
            <w:r w:rsidR="0034255C" w:rsidRPr="004468B2">
              <w:rPr>
                <w:rFonts w:ascii="Times New Roman" w:hAnsi="Times New Roman"/>
                <w:noProof/>
                <w:sz w:val="24"/>
                <w:szCs w:val="24"/>
              </w:rPr>
              <w:t>ai</w:t>
            </w:r>
            <w:r w:rsidRPr="004468B2">
              <w:rPr>
                <w:rFonts w:ascii="Times New Roman" w:hAnsi="Times New Roman"/>
                <w:noProof/>
                <w:sz w:val="24"/>
                <w:szCs w:val="24"/>
              </w:rPr>
              <w:t>, kurā glabā informāciju par drošuma pazīmēm, kas ļauj - pārbaudīt zāļu autentiskumu un identificēt tās.</w:t>
            </w:r>
          </w:p>
          <w:p w:rsidR="00BB1BA4" w:rsidRPr="004468B2" w:rsidRDefault="00BB1BA4" w:rsidP="006541EF">
            <w:pPr>
              <w:pStyle w:val="NoSpacing"/>
              <w:jc w:val="both"/>
              <w:rPr>
                <w:rFonts w:ascii="Times New Roman" w:hAnsi="Times New Roman"/>
                <w:noProof/>
                <w:sz w:val="24"/>
                <w:szCs w:val="24"/>
              </w:rPr>
            </w:pPr>
            <w:r w:rsidRPr="004468B2">
              <w:rPr>
                <w:rFonts w:ascii="Times New Roman" w:hAnsi="Times New Roman"/>
                <w:noProof/>
                <w:sz w:val="24"/>
                <w:szCs w:val="24"/>
              </w:rPr>
              <w:t>Eiropas Komisija attiecīgo deleģēto aktu regulas formā paredz pieņemt 2014.gadā.</w:t>
            </w:r>
          </w:p>
          <w:p w:rsidR="00BB1BA4" w:rsidRPr="004468B2" w:rsidRDefault="00BB1BA4" w:rsidP="006541EF">
            <w:pPr>
              <w:pStyle w:val="NoSpacing"/>
              <w:jc w:val="both"/>
              <w:rPr>
                <w:b/>
                <w:noProof/>
                <w:sz w:val="18"/>
                <w:szCs w:val="18"/>
              </w:rPr>
            </w:pPr>
            <w:r w:rsidRPr="004468B2">
              <w:rPr>
                <w:rFonts w:ascii="Times New Roman" w:hAnsi="Times New Roman"/>
                <w:noProof/>
                <w:sz w:val="24"/>
                <w:szCs w:val="24"/>
              </w:rPr>
              <w:t>Dalībvalstis piemēro noteikumus, kas vajadzīgi, lai izpildītu šīs direktīvas 1. panta 11.punktu - no dienas, kad pagājuši trīs gadi pēc dienas, kad publicēti minētie Eiropas Komisijas deleģētie akti</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4468B2" w:rsidRDefault="00BB1BA4" w:rsidP="006541EF">
            <w:pPr>
              <w:jc w:val="both"/>
              <w:rPr>
                <w:noProof/>
                <w:lang w:val="lv-LV"/>
              </w:rPr>
            </w:pPr>
            <w:r w:rsidRPr="004468B2">
              <w:rPr>
                <w:noProof/>
                <w:lang w:val="lv-LV"/>
              </w:rPr>
              <w:t xml:space="preserve"> 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4468B2" w:rsidRDefault="00BB1BA4" w:rsidP="006541EF">
            <w:pPr>
              <w:jc w:val="both"/>
              <w:rPr>
                <w:noProof/>
                <w:lang w:val="lv-LV"/>
              </w:rPr>
            </w:pPr>
            <w:r w:rsidRPr="004468B2">
              <w:rPr>
                <w:noProof/>
                <w:lang w:val="lv-LV"/>
              </w:rPr>
              <w:t>Nav</w:t>
            </w:r>
          </w:p>
        </w:tc>
      </w:tr>
      <w:tr w:rsidR="00ED3B4E"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4468B2" w:rsidRDefault="00ED3B4E" w:rsidP="004134D0">
            <w:pPr>
              <w:jc w:val="both"/>
              <w:rPr>
                <w:noProof/>
                <w:lang w:val="lv-LV"/>
              </w:rPr>
            </w:pPr>
            <w:r w:rsidRPr="004468B2">
              <w:rPr>
                <w:noProof/>
                <w:lang w:val="lv-LV"/>
              </w:rPr>
              <w:lastRenderedPageBreak/>
              <w:t xml:space="preserve">Direktīvas 2011/62/EK </w:t>
            </w:r>
            <w:r w:rsidRPr="004468B2">
              <w:rPr>
                <w:lang w:val="lv-LV"/>
              </w:rPr>
              <w:t>1.panta 9.punkts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Direktīvas norma tiks pārņemta ar grozījumiem:</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1) </w:t>
            </w:r>
            <w:r w:rsidRPr="004468B2">
              <w:rPr>
                <w:rFonts w:ascii="Times New Roman" w:hAnsi="Times New Roman"/>
                <w:noProof/>
                <w:spacing w:val="-6"/>
                <w:sz w:val="24"/>
                <w:szCs w:val="24"/>
              </w:rPr>
              <w:t>MK noteikumos Nr.304</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2) MK noteikumos Nr.436 pēc Eiropas Kom</w:t>
            </w:r>
            <w:r w:rsidR="00B776BB" w:rsidRPr="004468B2">
              <w:rPr>
                <w:rFonts w:ascii="Times New Roman" w:hAnsi="Times New Roman"/>
                <w:noProof/>
                <w:sz w:val="24"/>
                <w:szCs w:val="24"/>
              </w:rPr>
              <w:t>isijas Regulas pieņemšanas par:</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drošuma pazīmju (unikālais identifikators) raksturojumu un tehniskajām specifikācijām;</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recepšu zāļu vai zāļu kategoriju sarakstu, kurām drošuma pazīmes nenorāda;</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bezrecepšu zāļu vai zāļu kategoriju sarakstu, kurām drošuma pazīmes norāda;</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paziņošanas procedūru par zālēm, par kurām ir aizdomas par viltojumu, un ātru šādu ziņojumu izvērtēšanas un lēmumu pieņemšanas sistēmu;</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xml:space="preserve">- drošuma pazīmju </w:t>
            </w:r>
            <w:r w:rsidR="00B776BB" w:rsidRPr="004468B2">
              <w:rPr>
                <w:rFonts w:ascii="Times New Roman" w:hAnsi="Times New Roman"/>
                <w:noProof/>
                <w:sz w:val="24"/>
                <w:szCs w:val="24"/>
              </w:rPr>
              <w:t xml:space="preserve">pārbaudes paņēmieniem, ko veic </w:t>
            </w:r>
            <w:r w:rsidRPr="004468B2">
              <w:rPr>
                <w:rFonts w:ascii="Times New Roman" w:hAnsi="Times New Roman"/>
                <w:noProof/>
                <w:sz w:val="24"/>
                <w:szCs w:val="24"/>
              </w:rPr>
              <w:t>ražotāji, vairumtirgotāji, farmaceiti;</w:t>
            </w: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 nosacījumiem repozitoriju sistēmas izveid</w:t>
            </w:r>
            <w:r w:rsidR="002D6CE4" w:rsidRPr="004468B2">
              <w:rPr>
                <w:rFonts w:ascii="Times New Roman" w:hAnsi="Times New Roman"/>
                <w:noProof/>
                <w:sz w:val="24"/>
                <w:szCs w:val="24"/>
              </w:rPr>
              <w:t>e</w:t>
            </w:r>
            <w:r w:rsidRPr="004468B2">
              <w:rPr>
                <w:rFonts w:ascii="Times New Roman" w:hAnsi="Times New Roman"/>
                <w:noProof/>
                <w:sz w:val="24"/>
                <w:szCs w:val="24"/>
              </w:rPr>
              <w:t>i, pārvaldīb</w:t>
            </w:r>
            <w:r w:rsidR="002D6CE4" w:rsidRPr="004468B2">
              <w:rPr>
                <w:rFonts w:ascii="Times New Roman" w:hAnsi="Times New Roman"/>
                <w:noProof/>
                <w:sz w:val="24"/>
                <w:szCs w:val="24"/>
              </w:rPr>
              <w:t>ai</w:t>
            </w:r>
            <w:r w:rsidRPr="004468B2">
              <w:rPr>
                <w:rFonts w:ascii="Times New Roman" w:hAnsi="Times New Roman"/>
                <w:noProof/>
                <w:sz w:val="24"/>
                <w:szCs w:val="24"/>
              </w:rPr>
              <w:t xml:space="preserve"> un pieejamīb</w:t>
            </w:r>
            <w:r w:rsidR="002D6CE4" w:rsidRPr="004468B2">
              <w:rPr>
                <w:rFonts w:ascii="Times New Roman" w:hAnsi="Times New Roman"/>
                <w:noProof/>
                <w:sz w:val="24"/>
                <w:szCs w:val="24"/>
              </w:rPr>
              <w:t>ai</w:t>
            </w:r>
            <w:r w:rsidRPr="004468B2">
              <w:rPr>
                <w:rFonts w:ascii="Times New Roman" w:hAnsi="Times New Roman"/>
                <w:noProof/>
                <w:sz w:val="24"/>
                <w:szCs w:val="24"/>
              </w:rPr>
              <w:t>, kurā glabā informāciju par drošuma pazīmēm, kas ļauj - pārbaudīt zāļu autentiskumu un identificēt tās.</w:t>
            </w:r>
          </w:p>
          <w:p w:rsidR="00A03FD4" w:rsidRPr="004468B2" w:rsidRDefault="00A03FD4" w:rsidP="006541EF">
            <w:pPr>
              <w:pStyle w:val="NoSpacing"/>
              <w:jc w:val="both"/>
              <w:rPr>
                <w:rFonts w:ascii="Times New Roman" w:hAnsi="Times New Roman"/>
                <w:noProof/>
                <w:sz w:val="24"/>
                <w:szCs w:val="24"/>
              </w:rPr>
            </w:pPr>
          </w:p>
          <w:p w:rsidR="00ED3B4E" w:rsidRPr="004468B2" w:rsidRDefault="00ED3B4E" w:rsidP="006541EF">
            <w:pPr>
              <w:pStyle w:val="NoSpacing"/>
              <w:jc w:val="both"/>
              <w:rPr>
                <w:rFonts w:ascii="Times New Roman" w:hAnsi="Times New Roman"/>
                <w:noProof/>
                <w:sz w:val="24"/>
                <w:szCs w:val="24"/>
              </w:rPr>
            </w:pPr>
            <w:r w:rsidRPr="004468B2">
              <w:rPr>
                <w:rFonts w:ascii="Times New Roman" w:hAnsi="Times New Roman"/>
                <w:noProof/>
                <w:sz w:val="24"/>
                <w:szCs w:val="24"/>
              </w:rPr>
              <w:t>Eiropas Komisija attiecīgo deleģēto aktu regulas formā paredz pieņemt 2014.gadā. Dalībvalstis piemēro  noteikumus, kas vajadzīgi, lai izpildītu šīs direktīvas 1.panta 11.punkta - no dienas, kad pagājuši trīs gadi pēc dienas, kad publicēti minētie Eiropas Komisijas deleģētie akti.</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4468B2" w:rsidRDefault="00ED3B4E" w:rsidP="006541EF">
            <w:pPr>
              <w:jc w:val="both"/>
              <w:rPr>
                <w:noProof/>
                <w:lang w:val="lv-LV"/>
              </w:rPr>
            </w:pPr>
            <w:r w:rsidRPr="004468B2">
              <w:rPr>
                <w:noProof/>
                <w:lang w:val="lv-LV"/>
              </w:rPr>
              <w:t xml:space="preserve"> 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4468B2" w:rsidRDefault="00ED3B4E" w:rsidP="006541EF">
            <w:pPr>
              <w:jc w:val="both"/>
              <w:rPr>
                <w:noProof/>
                <w:lang w:val="lv-LV"/>
              </w:rPr>
            </w:pPr>
            <w:r w:rsidRPr="004468B2">
              <w:rPr>
                <w:noProof/>
                <w:lang w:val="lv-LV"/>
              </w:rPr>
              <w:t>Nav</w:t>
            </w:r>
          </w:p>
        </w:tc>
      </w:tr>
      <w:tr w:rsidR="000B253B"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B253B" w:rsidRPr="004468B2" w:rsidRDefault="000B253B" w:rsidP="004134D0">
            <w:pPr>
              <w:jc w:val="both"/>
              <w:rPr>
                <w:lang w:val="lv-LV"/>
              </w:rPr>
            </w:pPr>
            <w:r w:rsidRPr="004468B2">
              <w:rPr>
                <w:noProof/>
                <w:lang w:val="lv-LV"/>
              </w:rPr>
              <w:lastRenderedPageBreak/>
              <w:t xml:space="preserve">Direktīvas 2011/62/EK </w:t>
            </w:r>
            <w:r w:rsidRPr="004468B2">
              <w:rPr>
                <w:lang w:val="lv-LV"/>
              </w:rPr>
              <w:t>1.panta 10.punkts</w:t>
            </w:r>
          </w:p>
          <w:p w:rsidR="000B253B" w:rsidRPr="004468B2" w:rsidRDefault="000B253B" w:rsidP="004134D0">
            <w:pPr>
              <w:jc w:val="both"/>
              <w:rPr>
                <w:lang w:val="lv-LV"/>
              </w:rPr>
            </w:pPr>
          </w:p>
          <w:p w:rsidR="000B253B" w:rsidRPr="004468B2" w:rsidRDefault="000B253B" w:rsidP="00FF5C45">
            <w:pPr>
              <w:jc w:val="both"/>
              <w:rPr>
                <w:noProof/>
                <w:lang w:val="lv-LV"/>
              </w:rPr>
            </w:pPr>
            <w:r w:rsidRPr="004468B2">
              <w:rPr>
                <w:lang w:val="lv-LV"/>
              </w:rPr>
              <w:t>(Direktīvas 2001/83 52.a 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253B" w:rsidRPr="004468B2" w:rsidRDefault="000B253B" w:rsidP="00C333B7">
            <w:pPr>
              <w:pStyle w:val="NoSpacing"/>
              <w:jc w:val="both"/>
              <w:rPr>
                <w:rFonts w:ascii="Times New Roman" w:hAnsi="Times New Roman"/>
                <w:spacing w:val="-6"/>
                <w:sz w:val="24"/>
                <w:szCs w:val="24"/>
              </w:rPr>
            </w:pPr>
            <w:r w:rsidRPr="004468B2">
              <w:rPr>
                <w:rFonts w:ascii="Times New Roman" w:hAnsi="Times New Roman"/>
                <w:spacing w:val="-6"/>
                <w:sz w:val="24"/>
                <w:szCs w:val="24"/>
              </w:rPr>
              <w:t xml:space="preserve">Direktīvas normas pārņemtas ar </w:t>
            </w:r>
            <w:r w:rsidRPr="004468B2">
              <w:rPr>
                <w:rFonts w:ascii="Times New Roman" w:hAnsi="Times New Roman"/>
                <w:sz w:val="24"/>
                <w:szCs w:val="24"/>
              </w:rPr>
              <w:t>Farmācijas likuma 5.panta  23punktu, 10.panta 17.punktu, 51. un 64.pantu.</w:t>
            </w:r>
          </w:p>
          <w:p w:rsidR="000B253B" w:rsidRPr="004468B2" w:rsidRDefault="000B253B" w:rsidP="0089740E">
            <w:pPr>
              <w:pStyle w:val="NoSpacing"/>
              <w:jc w:val="both"/>
              <w:rPr>
                <w:rFonts w:ascii="Times New Roman" w:hAnsi="Times New Roman"/>
                <w:noProof/>
                <w:sz w:val="24"/>
                <w:szCs w:val="24"/>
              </w:rPr>
            </w:pPr>
          </w:p>
          <w:p w:rsidR="000B253B" w:rsidRPr="004468B2" w:rsidRDefault="000B253B" w:rsidP="000B253B">
            <w:pPr>
              <w:pStyle w:val="NoSpacing"/>
              <w:jc w:val="both"/>
              <w:rPr>
                <w:rFonts w:ascii="Times New Roman" w:hAnsi="Times New Roman"/>
                <w:spacing w:val="-6"/>
                <w:sz w:val="24"/>
                <w:szCs w:val="24"/>
              </w:rPr>
            </w:pPr>
            <w:r w:rsidRPr="004468B2">
              <w:rPr>
                <w:rFonts w:ascii="Times New Roman" w:hAnsi="Times New Roman"/>
                <w:noProof/>
                <w:sz w:val="24"/>
                <w:szCs w:val="24"/>
              </w:rPr>
              <w:t xml:space="preserve">Direktīvas norma pārņemta pilnībā ar </w:t>
            </w:r>
            <w:r w:rsidRPr="004468B2">
              <w:rPr>
                <w:rFonts w:ascii="Times New Roman" w:hAnsi="Times New Roman"/>
                <w:sz w:val="24"/>
                <w:szCs w:val="24"/>
              </w:rPr>
              <w:t>MK noteikumiem Nr.344</w:t>
            </w:r>
            <w:r w:rsidR="00AC55DB" w:rsidRPr="004468B2">
              <w:rPr>
                <w:rFonts w:ascii="Times New Roman" w:hAnsi="Times New Roman"/>
                <w:sz w:val="24"/>
                <w:szCs w:val="24"/>
              </w:rPr>
              <w:t xml:space="preserve"> (15., 31., 32., 33., 34., 35., 36. un 37.punkts).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253B" w:rsidRPr="004468B2" w:rsidRDefault="000B253B" w:rsidP="004949CF">
            <w:pPr>
              <w:jc w:val="both"/>
              <w:rPr>
                <w:lang w:val="lv-LV"/>
              </w:rPr>
            </w:pPr>
            <w:r w:rsidRPr="004468B2">
              <w:rPr>
                <w:lang w:val="lv-LV"/>
              </w:rPr>
              <w:t>Direktīvas norma pārņemta pilnīgi.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253B" w:rsidRPr="004468B2" w:rsidRDefault="000B253B" w:rsidP="004949CF">
            <w:pPr>
              <w:jc w:val="both"/>
              <w:rPr>
                <w:lang w:val="lv-LV"/>
              </w:rPr>
            </w:pPr>
            <w:r w:rsidRPr="004468B2">
              <w:rPr>
                <w:lang w:val="lv-LV"/>
              </w:rPr>
              <w:t>Stingrākas prasības neparedz</w:t>
            </w:r>
          </w:p>
        </w:tc>
      </w:tr>
      <w:tr w:rsidR="007348F6"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4468B2" w:rsidRDefault="007348F6" w:rsidP="00FF5C45">
            <w:pPr>
              <w:jc w:val="both"/>
              <w:rPr>
                <w:lang w:val="lv-LV"/>
              </w:rPr>
            </w:pPr>
            <w:r w:rsidRPr="004468B2">
              <w:rPr>
                <w:noProof/>
                <w:lang w:val="lv-LV"/>
              </w:rPr>
              <w:t xml:space="preserve">Direktīvas 2011/62/EK </w:t>
            </w:r>
            <w:r w:rsidRPr="004468B2">
              <w:rPr>
                <w:lang w:val="lv-LV"/>
              </w:rPr>
              <w:t>1.panta 10.punkts</w:t>
            </w:r>
          </w:p>
          <w:p w:rsidR="007348F6" w:rsidRPr="004468B2" w:rsidRDefault="007348F6" w:rsidP="00FF5C45">
            <w:pPr>
              <w:jc w:val="both"/>
              <w:rPr>
                <w:lang w:val="lv-LV"/>
              </w:rPr>
            </w:pPr>
          </w:p>
          <w:p w:rsidR="007348F6" w:rsidRPr="004468B2" w:rsidRDefault="007348F6" w:rsidP="00FF5C45">
            <w:pPr>
              <w:jc w:val="both"/>
              <w:rPr>
                <w:noProof/>
                <w:lang w:val="lv-LV"/>
              </w:rPr>
            </w:pPr>
            <w:r w:rsidRPr="004468B2">
              <w:rPr>
                <w:lang w:val="lv-LV"/>
              </w:rPr>
              <w:t>(Direktīvas 2001/83 52.b 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3309E" w:rsidRPr="004468B2" w:rsidRDefault="007348F6" w:rsidP="00503EB5">
            <w:pPr>
              <w:pStyle w:val="NoSpacing"/>
              <w:jc w:val="both"/>
              <w:rPr>
                <w:rFonts w:ascii="Times New Roman" w:hAnsi="Times New Roman"/>
                <w:iCs/>
                <w:sz w:val="24"/>
                <w:szCs w:val="24"/>
              </w:rPr>
            </w:pPr>
            <w:r w:rsidRPr="004468B2">
              <w:rPr>
                <w:rFonts w:ascii="Times New Roman" w:hAnsi="Times New Roman"/>
                <w:sz w:val="24"/>
                <w:szCs w:val="24"/>
              </w:rPr>
              <w:t>Direktīvas norma ir ieviesta</w:t>
            </w:r>
            <w:r w:rsidRPr="004468B2">
              <w:rPr>
                <w:rFonts w:ascii="Times New Roman" w:hAnsi="Times New Roman"/>
                <w:iCs/>
                <w:sz w:val="24"/>
                <w:szCs w:val="24"/>
              </w:rPr>
              <w:t xml:space="preserve"> ar</w:t>
            </w:r>
            <w:r w:rsidR="0083309E" w:rsidRPr="004468B2">
              <w:rPr>
                <w:rFonts w:ascii="Times New Roman" w:hAnsi="Times New Roman"/>
                <w:iCs/>
                <w:sz w:val="24"/>
                <w:szCs w:val="24"/>
              </w:rPr>
              <w:t>:</w:t>
            </w:r>
          </w:p>
          <w:p w:rsidR="007348F6" w:rsidRPr="004468B2" w:rsidRDefault="0083309E" w:rsidP="00503EB5">
            <w:pPr>
              <w:pStyle w:val="NoSpacing"/>
              <w:jc w:val="both"/>
              <w:rPr>
                <w:rFonts w:ascii="Times New Roman" w:hAnsi="Times New Roman"/>
                <w:iCs/>
                <w:sz w:val="24"/>
                <w:szCs w:val="24"/>
              </w:rPr>
            </w:pPr>
            <w:r w:rsidRPr="004468B2">
              <w:rPr>
                <w:rFonts w:ascii="Times New Roman" w:hAnsi="Times New Roman"/>
                <w:iCs/>
                <w:sz w:val="24"/>
                <w:szCs w:val="24"/>
              </w:rPr>
              <w:t>1) </w:t>
            </w:r>
            <w:r w:rsidR="0007341A" w:rsidRPr="004468B2">
              <w:rPr>
                <w:rFonts w:ascii="Times New Roman" w:hAnsi="Times New Roman"/>
                <w:iCs/>
                <w:sz w:val="24"/>
                <w:szCs w:val="24"/>
              </w:rPr>
              <w:t>MK noteikumi</w:t>
            </w:r>
            <w:r w:rsidR="002D6CE4" w:rsidRPr="004468B2">
              <w:rPr>
                <w:rFonts w:ascii="Times New Roman" w:hAnsi="Times New Roman"/>
                <w:iCs/>
                <w:sz w:val="24"/>
                <w:szCs w:val="24"/>
              </w:rPr>
              <w:t>em</w:t>
            </w:r>
            <w:r w:rsidR="0007341A" w:rsidRPr="004468B2">
              <w:rPr>
                <w:rFonts w:ascii="Times New Roman" w:hAnsi="Times New Roman"/>
                <w:iCs/>
                <w:sz w:val="24"/>
                <w:szCs w:val="24"/>
              </w:rPr>
              <w:t xml:space="preserve"> Nr.436</w:t>
            </w:r>
          </w:p>
          <w:p w:rsidR="007348F6" w:rsidRPr="004468B2" w:rsidRDefault="0083309E" w:rsidP="00503EB5">
            <w:pPr>
              <w:pStyle w:val="NoSpacing"/>
              <w:jc w:val="both"/>
              <w:rPr>
                <w:rFonts w:ascii="Times New Roman" w:hAnsi="Times New Roman"/>
                <w:iCs/>
                <w:sz w:val="24"/>
                <w:szCs w:val="24"/>
              </w:rPr>
            </w:pPr>
            <w:r w:rsidRPr="004468B2">
              <w:rPr>
                <w:rFonts w:ascii="Times New Roman" w:hAnsi="Times New Roman"/>
                <w:iCs/>
                <w:sz w:val="24"/>
                <w:szCs w:val="24"/>
              </w:rPr>
              <w:t>2) </w:t>
            </w:r>
            <w:r w:rsidR="004B5969" w:rsidRPr="004468B2">
              <w:rPr>
                <w:rFonts w:ascii="Times New Roman" w:hAnsi="Times New Roman"/>
                <w:iCs/>
                <w:sz w:val="24"/>
                <w:szCs w:val="24"/>
              </w:rPr>
              <w:t>MK noteikumi</w:t>
            </w:r>
            <w:r w:rsidR="002D6CE4" w:rsidRPr="004468B2">
              <w:rPr>
                <w:rFonts w:ascii="Times New Roman" w:hAnsi="Times New Roman"/>
                <w:iCs/>
                <w:sz w:val="24"/>
                <w:szCs w:val="24"/>
              </w:rPr>
              <w:t>em</w:t>
            </w:r>
            <w:r w:rsidR="007348F6" w:rsidRPr="004468B2">
              <w:rPr>
                <w:rFonts w:ascii="Times New Roman" w:hAnsi="Times New Roman"/>
                <w:iCs/>
                <w:sz w:val="24"/>
                <w:szCs w:val="24"/>
              </w:rPr>
              <w:t xml:space="preserve"> Nr.416</w:t>
            </w:r>
            <w:r w:rsidR="00B03E7E" w:rsidRPr="004468B2">
              <w:rPr>
                <w:rFonts w:ascii="Times New Roman" w:hAnsi="Times New Roman"/>
                <w:iCs/>
                <w:sz w:val="24"/>
                <w:szCs w:val="24"/>
              </w:rPr>
              <w:t>.</w:t>
            </w:r>
          </w:p>
          <w:p w:rsidR="007348F6" w:rsidRPr="004468B2" w:rsidRDefault="007348F6" w:rsidP="00503EB5">
            <w:pPr>
              <w:pStyle w:val="NoSpacing"/>
              <w:jc w:val="both"/>
              <w:rPr>
                <w:rFonts w:ascii="Times New Roman" w:hAnsi="Times New Roman"/>
                <w:iCs/>
                <w:sz w:val="24"/>
                <w:szCs w:val="24"/>
              </w:rPr>
            </w:pPr>
          </w:p>
          <w:p w:rsidR="007348F6" w:rsidRPr="004468B2" w:rsidRDefault="006E2A35" w:rsidP="006E2A35">
            <w:pPr>
              <w:pStyle w:val="NoSpacing"/>
              <w:jc w:val="both"/>
              <w:rPr>
                <w:rFonts w:ascii="Times New Roman" w:hAnsi="Times New Roman"/>
                <w:iCs/>
                <w:sz w:val="24"/>
                <w:szCs w:val="24"/>
              </w:rPr>
            </w:pPr>
            <w:r w:rsidRPr="004468B2">
              <w:rPr>
                <w:rFonts w:ascii="Times New Roman" w:hAnsi="Times New Roman"/>
                <w:iCs/>
                <w:sz w:val="24"/>
                <w:szCs w:val="24"/>
              </w:rPr>
              <w:t>Eiropas Komisija</w:t>
            </w:r>
            <w:r w:rsidR="007348F6" w:rsidRPr="004468B2">
              <w:rPr>
                <w:rFonts w:ascii="Times New Roman" w:hAnsi="Times New Roman"/>
                <w:iCs/>
                <w:sz w:val="24"/>
                <w:szCs w:val="24"/>
              </w:rPr>
              <w:t xml:space="preserve"> </w:t>
            </w:r>
            <w:r w:rsidRPr="004468B2">
              <w:rPr>
                <w:rFonts w:ascii="Times New Roman" w:hAnsi="Times New Roman"/>
                <w:iCs/>
                <w:sz w:val="24"/>
                <w:szCs w:val="24"/>
              </w:rPr>
              <w:t>lems vēl par nepieciešamību pieņemt</w:t>
            </w:r>
            <w:r w:rsidR="007348F6" w:rsidRPr="004468B2">
              <w:rPr>
                <w:rFonts w:ascii="Times New Roman" w:hAnsi="Times New Roman"/>
                <w:iCs/>
                <w:sz w:val="24"/>
                <w:szCs w:val="24"/>
              </w:rPr>
              <w:t xml:space="preserve"> deleģēt</w:t>
            </w:r>
            <w:r w:rsidRPr="004468B2">
              <w:rPr>
                <w:rFonts w:ascii="Times New Roman" w:hAnsi="Times New Roman"/>
                <w:iCs/>
                <w:sz w:val="24"/>
                <w:szCs w:val="24"/>
              </w:rPr>
              <w:t>o aktu</w:t>
            </w:r>
            <w:r w:rsidR="007348F6" w:rsidRPr="004468B2">
              <w:rPr>
                <w:rFonts w:ascii="Times New Roman" w:hAnsi="Times New Roman"/>
                <w:iCs/>
                <w:sz w:val="24"/>
                <w:szCs w:val="24"/>
              </w:rPr>
              <w:t xml:space="preserve"> </w:t>
            </w:r>
            <w:r w:rsidR="007348F6" w:rsidRPr="004468B2">
              <w:rPr>
                <w:rFonts w:ascii="Times New Roman" w:hAnsi="Times New Roman"/>
                <w:sz w:val="24"/>
                <w:szCs w:val="24"/>
              </w:rPr>
              <w:t>attiecībā uz vērā ņemamajiem kritērijiem un veicamajām pārbaudēm, vērtējot tādu zāļu iespējamos viltojumus, kuras ievestas Savienībā, bet kuras nav paredzēts laist tirgū</w:t>
            </w:r>
            <w:r w:rsidR="007348F6" w:rsidRPr="004468B2">
              <w:rPr>
                <w:rFonts w:ascii="Times New Roman" w:hAnsi="Times New Roman"/>
                <w:iCs/>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4468B2" w:rsidRDefault="007348F6" w:rsidP="00281A6E">
            <w:pPr>
              <w:jc w:val="both"/>
              <w:rPr>
                <w:lang w:val="lv-LV"/>
              </w:rPr>
            </w:pPr>
            <w:r w:rsidRPr="004468B2">
              <w:rPr>
                <w:lang w:val="lv-LV"/>
              </w:rPr>
              <w:t>Direktīvas norma pārņemta pilnībā</w:t>
            </w:r>
            <w:r w:rsidR="00B03E7E"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4468B2" w:rsidRDefault="007348F6" w:rsidP="00281A6E">
            <w:pPr>
              <w:jc w:val="both"/>
              <w:rPr>
                <w:lang w:val="lv-LV"/>
              </w:rPr>
            </w:pPr>
            <w:r w:rsidRPr="004468B2">
              <w:rPr>
                <w:lang w:val="lv-LV"/>
              </w:rPr>
              <w:t>Stingrākas prasības neparedz</w:t>
            </w:r>
          </w:p>
        </w:tc>
      </w:tr>
      <w:tr w:rsidR="001E68F7"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4468B2" w:rsidRDefault="001E68F7" w:rsidP="004134D0">
            <w:pPr>
              <w:jc w:val="both"/>
              <w:rPr>
                <w:noProof/>
                <w:lang w:val="lv-LV"/>
              </w:rPr>
            </w:pPr>
            <w:r w:rsidRPr="004468B2">
              <w:rPr>
                <w:noProof/>
                <w:lang w:val="lv-LV"/>
              </w:rPr>
              <w:lastRenderedPageBreak/>
              <w:t xml:space="preserve">Direktīvas 2011/62/EK </w:t>
            </w:r>
            <w:r w:rsidRPr="004468B2">
              <w:rPr>
                <w:lang w:val="lv-LV"/>
              </w:rPr>
              <w:t>1.panta 11.punkts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Direktīvas norma tiks pārņemta ar grozījumiem MK noteikumos Nr.57 pēc Eiropas Kom</w:t>
            </w:r>
            <w:r w:rsidR="00B776BB" w:rsidRPr="004468B2">
              <w:rPr>
                <w:rFonts w:ascii="Times New Roman" w:hAnsi="Times New Roman"/>
                <w:noProof/>
                <w:sz w:val="24"/>
                <w:szCs w:val="24"/>
              </w:rPr>
              <w:t>isijas Regulas pieņemšanas par:</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drošuma pazīmju (unikālais identifikators) raksturojumu un tehniskajām specifikācijām;</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recepšu zāļu vai zāļu kategoriju sarakstu, kurām drošuma pazīmes nenorāda;</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bezrecepšu zāļu vai zāļu kategoriju sarakstu, kurām drošuma pazīmes norāda;</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paziņošanas procedūru par zālēm, par kurām ir aizdomas par viltojumu, un ātru šādu ziņojumu izvērtēšanas un lēmumu pieņemšanas sistēmu;</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xml:space="preserve">- drošuma pazīmju </w:t>
            </w:r>
            <w:r w:rsidR="00B776BB" w:rsidRPr="004468B2">
              <w:rPr>
                <w:rFonts w:ascii="Times New Roman" w:hAnsi="Times New Roman"/>
                <w:noProof/>
                <w:sz w:val="24"/>
                <w:szCs w:val="24"/>
              </w:rPr>
              <w:t xml:space="preserve">pārbaudes paņēmieniem, ko veic </w:t>
            </w:r>
            <w:r w:rsidRPr="004468B2">
              <w:rPr>
                <w:rFonts w:ascii="Times New Roman" w:hAnsi="Times New Roman"/>
                <w:noProof/>
                <w:sz w:val="24"/>
                <w:szCs w:val="24"/>
              </w:rPr>
              <w:t>ražotāji, vairumtirgotāji, farmaceiti;</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 nosacījumiem repozitoriju sistēmas izveid</w:t>
            </w:r>
            <w:r w:rsidR="002D6CE4" w:rsidRPr="004468B2">
              <w:rPr>
                <w:rFonts w:ascii="Times New Roman" w:hAnsi="Times New Roman"/>
                <w:noProof/>
                <w:sz w:val="24"/>
                <w:szCs w:val="24"/>
              </w:rPr>
              <w:t>e</w:t>
            </w:r>
            <w:r w:rsidRPr="004468B2">
              <w:rPr>
                <w:rFonts w:ascii="Times New Roman" w:hAnsi="Times New Roman"/>
                <w:noProof/>
                <w:sz w:val="24"/>
                <w:szCs w:val="24"/>
              </w:rPr>
              <w:t>i, pārvaldīb</w:t>
            </w:r>
            <w:r w:rsidR="002D6CE4" w:rsidRPr="004468B2">
              <w:rPr>
                <w:rFonts w:ascii="Times New Roman" w:hAnsi="Times New Roman"/>
                <w:noProof/>
                <w:sz w:val="24"/>
                <w:szCs w:val="24"/>
              </w:rPr>
              <w:t>ai</w:t>
            </w:r>
            <w:r w:rsidRPr="004468B2">
              <w:rPr>
                <w:rFonts w:ascii="Times New Roman" w:hAnsi="Times New Roman"/>
                <w:noProof/>
                <w:sz w:val="24"/>
                <w:szCs w:val="24"/>
              </w:rPr>
              <w:t xml:space="preserve"> un pieejamīb</w:t>
            </w:r>
            <w:r w:rsidR="002D6CE4" w:rsidRPr="004468B2">
              <w:rPr>
                <w:rFonts w:ascii="Times New Roman" w:hAnsi="Times New Roman"/>
                <w:noProof/>
                <w:sz w:val="24"/>
                <w:szCs w:val="24"/>
              </w:rPr>
              <w:t>ai</w:t>
            </w:r>
            <w:r w:rsidRPr="004468B2">
              <w:rPr>
                <w:rFonts w:ascii="Times New Roman" w:hAnsi="Times New Roman"/>
                <w:noProof/>
                <w:sz w:val="24"/>
                <w:szCs w:val="24"/>
              </w:rPr>
              <w:t>, kurā glabā informāciju par drošuma pazīmēm, kas ļauj - pārbaudīt zāļu autentiskumu un identificēt tās.</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Eiropas Komisija attiecīgo deleģēto aktu regulas formā paredz pieņemt 2014.gadā.</w:t>
            </w:r>
          </w:p>
          <w:p w:rsidR="001E68F7" w:rsidRPr="004468B2" w:rsidRDefault="001E68F7" w:rsidP="006541EF">
            <w:pPr>
              <w:pStyle w:val="NoSpacing"/>
              <w:jc w:val="both"/>
              <w:rPr>
                <w:rFonts w:ascii="Times New Roman" w:hAnsi="Times New Roman"/>
                <w:noProof/>
                <w:sz w:val="24"/>
                <w:szCs w:val="24"/>
              </w:rPr>
            </w:pPr>
            <w:r w:rsidRPr="004468B2">
              <w:rPr>
                <w:rFonts w:ascii="Times New Roman" w:hAnsi="Times New Roman"/>
                <w:noProof/>
                <w:sz w:val="24"/>
                <w:szCs w:val="24"/>
              </w:rPr>
              <w:t>Dalībvalstis piemēro  noteikumus, kas vajadzīgi, lai izpildītu šīs direktīvas 1. panta 11.punktu - no dienas, kad pagājuši trīs gadi pēc dienas, kad publicēti minētie Eiropas Komisijas deleģētie akti.</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4468B2" w:rsidRDefault="001E68F7" w:rsidP="004134D0">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4468B2" w:rsidRDefault="001E68F7" w:rsidP="004134D0">
            <w:pPr>
              <w:jc w:val="both"/>
              <w:rPr>
                <w:lang w:val="lv-LV"/>
              </w:rPr>
            </w:pPr>
            <w:r w:rsidRPr="004468B2">
              <w:rPr>
                <w:lang w:val="lv-LV"/>
              </w:rPr>
              <w:t>Nav</w:t>
            </w:r>
          </w:p>
        </w:tc>
      </w:tr>
      <w:tr w:rsidR="004134D0"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lang w:val="lv-LV"/>
              </w:rPr>
            </w:pPr>
            <w:r w:rsidRPr="004468B2">
              <w:rPr>
                <w:noProof/>
                <w:lang w:val="lv-LV"/>
              </w:rPr>
              <w:lastRenderedPageBreak/>
              <w:t xml:space="preserve">Direktīvas 2011/62/EK </w:t>
            </w:r>
            <w:r w:rsidRPr="004468B2">
              <w:rPr>
                <w:lang w:val="lv-LV"/>
              </w:rPr>
              <w:t>1.panta 12.punkts</w:t>
            </w:r>
          </w:p>
          <w:p w:rsidR="006A1BE2" w:rsidRPr="004468B2" w:rsidRDefault="006A1BE2" w:rsidP="004134D0">
            <w:pPr>
              <w:jc w:val="both"/>
              <w:rPr>
                <w:noProof/>
                <w:lang w:val="lv-LV"/>
              </w:rPr>
            </w:pPr>
            <w:r w:rsidRPr="004468B2">
              <w:rPr>
                <w:lang w:val="lv-LV"/>
              </w:rPr>
              <w:t>(Direktīvas 2001/83 54.a panta 1.punkts).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251B" w:rsidRPr="004468B2" w:rsidRDefault="000B251B" w:rsidP="000B251B">
            <w:pPr>
              <w:pStyle w:val="NoSpacing"/>
              <w:jc w:val="both"/>
              <w:rPr>
                <w:rFonts w:ascii="Times New Roman" w:hAnsi="Times New Roman"/>
                <w:noProof/>
                <w:sz w:val="24"/>
                <w:szCs w:val="24"/>
              </w:rPr>
            </w:pPr>
            <w:r w:rsidRPr="004468B2">
              <w:rPr>
                <w:rFonts w:ascii="Times New Roman" w:hAnsi="Times New Roman"/>
                <w:noProof/>
                <w:sz w:val="24"/>
                <w:szCs w:val="24"/>
              </w:rPr>
              <w:t>Direktīvas norma tiks pārņemta ar grozījumiem MK noteikumos Nr.57 pēc Eiropas Komisijas deleģētā akta par drošuma pazīmēm pieņemšanas, kuru Eiropas Komisija paredz pieņemt regulas formā 2014.gadā.</w:t>
            </w:r>
          </w:p>
          <w:p w:rsidR="004134D0" w:rsidRPr="004468B2" w:rsidRDefault="000B251B" w:rsidP="000B251B">
            <w:pPr>
              <w:rPr>
                <w:lang w:val="lv-LV"/>
              </w:rPr>
            </w:pPr>
            <w:r w:rsidRPr="004468B2">
              <w:rPr>
                <w:noProof/>
                <w:lang w:val="lv-LV"/>
              </w:rPr>
              <w:t>Dalībvalstis piemēro  noteikumus, kas vajadzīgi, lai izpildītu šīs direktīvas 1.panta 11.punktu - no dienas, kad pagājuši trīs gadi pēc dienas, kad publicēti šīs direktīvas 1.panta 12.punktā minētie deleģētie akti.</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B269DF" w:rsidP="004134D0">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4468B2" w:rsidRDefault="004134D0" w:rsidP="004134D0">
            <w:pPr>
              <w:jc w:val="both"/>
              <w:rPr>
                <w:lang w:val="lv-LV"/>
              </w:rPr>
            </w:pPr>
            <w:r w:rsidRPr="004468B2">
              <w:rPr>
                <w:lang w:val="lv-LV"/>
              </w:rPr>
              <w:t>Nav</w:t>
            </w:r>
          </w:p>
        </w:tc>
      </w:tr>
      <w:tr w:rsidR="00E94048"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jc w:val="both"/>
              <w:rPr>
                <w:noProof/>
                <w:lang w:val="lv-LV"/>
              </w:rPr>
            </w:pPr>
            <w:r w:rsidRPr="004468B2">
              <w:rPr>
                <w:noProof/>
                <w:lang w:val="lv-LV"/>
              </w:rPr>
              <w:t>Direktīvas 2011/62/EK 1.panta 12.punkts</w:t>
            </w:r>
          </w:p>
          <w:p w:rsidR="00E94048" w:rsidRPr="004468B2" w:rsidRDefault="00E94048" w:rsidP="006541EF">
            <w:pPr>
              <w:jc w:val="both"/>
              <w:rPr>
                <w:noProof/>
                <w:lang w:val="lv-LV"/>
              </w:rPr>
            </w:pPr>
            <w:r w:rsidRPr="004468B2">
              <w:rPr>
                <w:noProof/>
                <w:lang w:val="lv-LV"/>
              </w:rPr>
              <w:t>(Direktīvas 2001/83 54.a panta 2. un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pStyle w:val="NoSpacing"/>
              <w:jc w:val="both"/>
              <w:rPr>
                <w:rFonts w:ascii="Times New Roman" w:hAnsi="Times New Roman"/>
                <w:noProof/>
                <w:sz w:val="24"/>
                <w:szCs w:val="24"/>
              </w:rPr>
            </w:pPr>
            <w:r w:rsidRPr="004468B2">
              <w:rPr>
                <w:rFonts w:ascii="Times New Roman" w:hAnsi="Times New Roman"/>
                <w:noProof/>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jc w:val="both"/>
              <w:rPr>
                <w:noProof/>
                <w:lang w:val="lv-LV"/>
              </w:rPr>
            </w:pPr>
            <w:r w:rsidRPr="004468B2">
              <w:rPr>
                <w:noProof/>
                <w:spacing w:val="-3"/>
                <w:lang w:val="lv-LV"/>
              </w:rPr>
              <w:t>Nav jāpārņem, jo norma attiecināma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jc w:val="both"/>
              <w:rPr>
                <w:noProof/>
                <w:lang w:val="lv-LV"/>
              </w:rPr>
            </w:pPr>
            <w:r w:rsidRPr="004468B2">
              <w:rPr>
                <w:noProof/>
                <w:lang w:val="lv-LV"/>
              </w:rPr>
              <w:t>Nav</w:t>
            </w:r>
          </w:p>
        </w:tc>
      </w:tr>
      <w:tr w:rsidR="00E94048"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jc w:val="both"/>
              <w:rPr>
                <w:noProof/>
                <w:lang w:val="lv-LV"/>
              </w:rPr>
            </w:pPr>
            <w:r w:rsidRPr="004468B2">
              <w:rPr>
                <w:noProof/>
                <w:lang w:val="lv-LV"/>
              </w:rPr>
              <w:t>Direktīvas 2011/62/EK 1.panta 12.punkts</w:t>
            </w:r>
          </w:p>
          <w:p w:rsidR="00E94048" w:rsidRPr="004468B2" w:rsidRDefault="00E94048" w:rsidP="006541EF">
            <w:pPr>
              <w:jc w:val="both"/>
              <w:rPr>
                <w:noProof/>
                <w:lang w:val="lv-LV"/>
              </w:rPr>
            </w:pPr>
            <w:r w:rsidRPr="004468B2">
              <w:rPr>
                <w:noProof/>
                <w:lang w:val="lv-LV"/>
              </w:rPr>
              <w:t>(Direktīvas 2001/83 54.a panta 4. un 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pStyle w:val="NoSpacing"/>
              <w:jc w:val="both"/>
              <w:rPr>
                <w:rFonts w:ascii="Times New Roman" w:hAnsi="Times New Roman"/>
                <w:noProof/>
                <w:sz w:val="24"/>
                <w:szCs w:val="24"/>
              </w:rPr>
            </w:pPr>
            <w:r w:rsidRPr="004468B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560A34" w:rsidP="006541EF">
            <w:pPr>
              <w:jc w:val="both"/>
              <w:rPr>
                <w:noProof/>
                <w:lang w:val="lv-LV"/>
              </w:rPr>
            </w:pPr>
            <w:r w:rsidRPr="004468B2">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4468B2" w:rsidRDefault="00E94048" w:rsidP="006541EF">
            <w:pPr>
              <w:jc w:val="both"/>
              <w:rPr>
                <w:noProof/>
                <w:lang w:val="lv-LV"/>
              </w:rPr>
            </w:pPr>
            <w:r w:rsidRPr="004468B2">
              <w:rPr>
                <w:noProof/>
                <w:lang w:val="lv-LV"/>
              </w:rPr>
              <w:t>Nav</w:t>
            </w:r>
          </w:p>
          <w:p w:rsidR="00E94048" w:rsidRPr="004468B2" w:rsidRDefault="00E94048" w:rsidP="006541EF">
            <w:pPr>
              <w:rPr>
                <w:noProof/>
                <w:lang w:val="lv-LV"/>
              </w:rPr>
            </w:pPr>
          </w:p>
          <w:p w:rsidR="00E94048" w:rsidRPr="004468B2" w:rsidRDefault="00E94048" w:rsidP="006541EF">
            <w:pPr>
              <w:rPr>
                <w:noProof/>
                <w:lang w:val="lv-LV"/>
              </w:rPr>
            </w:pPr>
          </w:p>
          <w:p w:rsidR="00E94048" w:rsidRPr="004468B2" w:rsidRDefault="00E94048" w:rsidP="006541EF">
            <w:pPr>
              <w:jc w:val="center"/>
              <w:rPr>
                <w:noProof/>
                <w:lang w:val="lv-LV"/>
              </w:rPr>
            </w:pPr>
          </w:p>
        </w:tc>
      </w:tr>
      <w:tr w:rsidR="0011644F"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4468B2" w:rsidRDefault="0011644F" w:rsidP="006541EF">
            <w:pPr>
              <w:jc w:val="both"/>
              <w:rPr>
                <w:noProof/>
                <w:lang w:val="lv-LV"/>
              </w:rPr>
            </w:pPr>
            <w:r w:rsidRPr="004468B2">
              <w:rPr>
                <w:noProof/>
                <w:lang w:val="lv-LV"/>
              </w:rPr>
              <w:t>Direktīvas 2011/62/EK 1.panta 13.punkts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4468B2" w:rsidRDefault="0011644F" w:rsidP="006541EF">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4468B2" w:rsidRDefault="0011644F" w:rsidP="006541EF">
            <w:pPr>
              <w:jc w:val="both"/>
              <w:rPr>
                <w:lang w:val="lv-LV"/>
              </w:rPr>
            </w:pPr>
            <w:r w:rsidRPr="004468B2">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4468B2" w:rsidRDefault="0011644F" w:rsidP="006541EF">
            <w:pPr>
              <w:jc w:val="both"/>
              <w:rPr>
                <w:lang w:val="lv-LV"/>
              </w:rPr>
            </w:pPr>
            <w:r w:rsidRPr="004468B2">
              <w:rPr>
                <w:lang w:val="lv-LV"/>
              </w:rPr>
              <w:t>Nav</w:t>
            </w: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4134D0">
            <w:pPr>
              <w:jc w:val="both"/>
              <w:rPr>
                <w:noProof/>
                <w:lang w:val="lv-LV"/>
              </w:rPr>
            </w:pPr>
            <w:r w:rsidRPr="004468B2">
              <w:rPr>
                <w:noProof/>
                <w:lang w:val="lv-LV"/>
              </w:rPr>
              <w:t xml:space="preserve">Direktīvas 2011/62/EK </w:t>
            </w:r>
            <w:r w:rsidRPr="004468B2">
              <w:rPr>
                <w:lang w:val="lv-LV"/>
              </w:rPr>
              <w:t>1.panta 14.punkts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44576" w:rsidP="002659DE">
            <w:pPr>
              <w:pStyle w:val="NoSpacing"/>
              <w:jc w:val="both"/>
              <w:rPr>
                <w:rFonts w:ascii="Times New Roman" w:hAnsi="Times New Roman"/>
                <w:sz w:val="24"/>
                <w:szCs w:val="24"/>
              </w:rPr>
            </w:pPr>
            <w:r w:rsidRPr="004468B2">
              <w:rPr>
                <w:rFonts w:ascii="Times New Roman" w:hAnsi="Times New Roman"/>
                <w:sz w:val="24"/>
                <w:szCs w:val="24"/>
              </w:rPr>
              <w:t>1.</w:t>
            </w:r>
            <w:r w:rsidR="005C40E6" w:rsidRPr="004468B2">
              <w:rPr>
                <w:rFonts w:ascii="Times New Roman" w:hAnsi="Times New Roman"/>
                <w:sz w:val="24"/>
                <w:szCs w:val="24"/>
              </w:rPr>
              <w:t>20</w:t>
            </w:r>
            <w:r w:rsidR="00B375BC" w:rsidRPr="004468B2">
              <w:rPr>
                <w:rFonts w:ascii="Times New Roman" w:hAnsi="Times New Roman"/>
                <w:sz w:val="24"/>
                <w:szCs w:val="24"/>
              </w:rPr>
              <w:t>.</w:t>
            </w:r>
            <w:r w:rsidR="00B03E7E" w:rsidRPr="004468B2">
              <w:rPr>
                <w:rFonts w:ascii="Times New Roman" w:hAnsi="Times New Roman"/>
                <w:sz w:val="24"/>
                <w:szCs w:val="24"/>
              </w:rPr>
              <w:t>apakš</w:t>
            </w:r>
            <w:r w:rsidR="00B375BC" w:rsidRPr="004468B2">
              <w:rPr>
                <w:rFonts w:ascii="Times New Roman" w:hAnsi="Times New Roman"/>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4134D0">
            <w:pPr>
              <w:jc w:val="both"/>
              <w:rPr>
                <w:noProof/>
                <w:lang w:val="lv-LV"/>
              </w:rPr>
            </w:pPr>
            <w:r w:rsidRPr="004468B2">
              <w:rPr>
                <w:noProof/>
                <w:lang w:val="lv-LV"/>
              </w:rPr>
              <w:lastRenderedPageBreak/>
              <w:t xml:space="preserve">Direktīvas 2011/62/EK </w:t>
            </w:r>
            <w:r w:rsidRPr="004468B2">
              <w:rPr>
                <w:lang w:val="lv-LV"/>
              </w:rPr>
              <w:t>1.panta 15.punkts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04750B" w:rsidP="009A00E5">
            <w:pPr>
              <w:pStyle w:val="NoSpacing"/>
              <w:jc w:val="both"/>
              <w:rPr>
                <w:rFonts w:ascii="Times New Roman" w:hAnsi="Times New Roman"/>
                <w:sz w:val="24"/>
                <w:szCs w:val="24"/>
              </w:rPr>
            </w:pPr>
            <w:r w:rsidRPr="004468B2">
              <w:rPr>
                <w:rFonts w:ascii="Times New Roman" w:hAnsi="Times New Roman"/>
                <w:sz w:val="24"/>
                <w:szCs w:val="24"/>
              </w:rPr>
              <w:t>1.</w:t>
            </w:r>
            <w:r w:rsidR="005E1B67" w:rsidRPr="004468B2">
              <w:rPr>
                <w:rFonts w:ascii="Times New Roman" w:hAnsi="Times New Roman"/>
                <w:sz w:val="24"/>
                <w:szCs w:val="24"/>
              </w:rPr>
              <w:t>1</w:t>
            </w:r>
            <w:r w:rsidR="005C40E6" w:rsidRPr="004468B2">
              <w:rPr>
                <w:rFonts w:ascii="Times New Roman" w:hAnsi="Times New Roman"/>
                <w:sz w:val="24"/>
                <w:szCs w:val="24"/>
              </w:rPr>
              <w:t>9</w:t>
            </w:r>
            <w:r w:rsidR="00B375BC" w:rsidRPr="004468B2">
              <w:rPr>
                <w:rFonts w:ascii="Times New Roman" w:hAnsi="Times New Roman"/>
                <w:sz w:val="24"/>
                <w:szCs w:val="24"/>
              </w:rPr>
              <w:t>.</w:t>
            </w:r>
            <w:r w:rsidRPr="004468B2">
              <w:rPr>
                <w:rFonts w:ascii="Times New Roman" w:hAnsi="Times New Roman"/>
                <w:sz w:val="24"/>
                <w:szCs w:val="24"/>
              </w:rPr>
              <w:t>apakš</w:t>
            </w:r>
            <w:r w:rsidR="00B375BC" w:rsidRPr="004468B2">
              <w:rPr>
                <w:rFonts w:ascii="Times New Roman" w:hAnsi="Times New Roman"/>
                <w:sz w:val="24"/>
                <w:szCs w:val="24"/>
              </w:rPr>
              <w:t xml:space="preserve">punkts </w:t>
            </w:r>
          </w:p>
          <w:p w:rsidR="00B375BC" w:rsidRPr="004468B2" w:rsidRDefault="00B375BC" w:rsidP="009A00E5">
            <w:pPr>
              <w:pStyle w:val="NoSpacing"/>
              <w:jc w:val="both"/>
              <w:rPr>
                <w:rFonts w:ascii="Times New Roman" w:hAnsi="Times New Roman"/>
                <w:sz w:val="24"/>
                <w:szCs w:val="24"/>
              </w:rPr>
            </w:pPr>
          </w:p>
          <w:p w:rsidR="00B375BC" w:rsidRPr="004468B2" w:rsidRDefault="00B375BC" w:rsidP="007C1123">
            <w:pPr>
              <w:pStyle w:val="NoSpacing"/>
              <w:jc w:val="both"/>
              <w:rPr>
                <w:rFonts w:ascii="Times New Roman" w:hAnsi="Times New Roman"/>
                <w:sz w:val="24"/>
                <w:szCs w:val="24"/>
              </w:rPr>
            </w:pPr>
            <w:r w:rsidRPr="004468B2">
              <w:rPr>
                <w:rFonts w:ascii="Times New Roman" w:hAnsi="Times New Roman"/>
                <w:sz w:val="24"/>
                <w:szCs w:val="24"/>
              </w:rPr>
              <w:t>MK noteikumi Nr.416 (35.1., 35.2., 60.1. un 60.3.apakšpunkts).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r w:rsidR="00855EC1" w:rsidRPr="004468B2">
              <w:rPr>
                <w:lang w:val="lv-LV"/>
              </w:rPr>
              <w:t>.</w:t>
            </w:r>
          </w:p>
        </w:tc>
      </w:tr>
      <w:tr w:rsidR="008441D0" w:rsidRPr="004468B2" w:rsidTr="0089740E">
        <w:tblPrEx>
          <w:tblCellMar>
            <w:left w:w="0" w:type="dxa"/>
            <w:right w:w="0" w:type="dxa"/>
          </w:tblCellMar>
        </w:tblPrEx>
        <w:trPr>
          <w:gridAfter w:val="3"/>
          <w:wAfter w:w="2535" w:type="dxa"/>
          <w:cantSplit/>
          <w:trHeight w:val="755"/>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4468B2" w:rsidRDefault="008441D0" w:rsidP="004134D0">
            <w:pPr>
              <w:jc w:val="both"/>
              <w:rPr>
                <w:noProof/>
                <w:lang w:val="lv-LV"/>
              </w:rPr>
            </w:pPr>
            <w:r w:rsidRPr="004468B2">
              <w:rPr>
                <w:noProof/>
                <w:lang w:val="lv-LV"/>
              </w:rPr>
              <w:t xml:space="preserve">Direktīvas 2011/62/EK </w:t>
            </w:r>
            <w:r w:rsidRPr="004468B2">
              <w:rPr>
                <w:lang w:val="lv-LV"/>
              </w:rPr>
              <w:t>1.panta 16.punkts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4468B2" w:rsidRDefault="00EC5281" w:rsidP="00B420DE">
            <w:pPr>
              <w:pStyle w:val="NoSpacing"/>
              <w:rPr>
                <w:rFonts w:ascii="Times New Roman" w:hAnsi="Times New Roman"/>
                <w:sz w:val="24"/>
                <w:szCs w:val="24"/>
              </w:rPr>
            </w:pPr>
            <w:r w:rsidRPr="004468B2">
              <w:rPr>
                <w:rFonts w:ascii="Times New Roman" w:hAnsi="Times New Roman"/>
                <w:bCs/>
                <w:noProof/>
                <w:sz w:val="24"/>
                <w:szCs w:val="24"/>
              </w:rPr>
              <w:t xml:space="preserve">MK noteikumiem Nr.800 </w:t>
            </w:r>
            <w:r w:rsidR="008441D0" w:rsidRPr="004468B2">
              <w:rPr>
                <w:rFonts w:ascii="Times New Roman" w:hAnsi="Times New Roman"/>
                <w:bCs/>
                <w:noProof/>
                <w:sz w:val="24"/>
                <w:szCs w:val="24"/>
              </w:rPr>
              <w:t>(5.punkts, 6.pielikums) un Farmācijas likumu (25., 25.</w:t>
            </w:r>
            <w:r w:rsidR="008441D0" w:rsidRPr="004468B2">
              <w:rPr>
                <w:rFonts w:ascii="Times New Roman" w:hAnsi="Times New Roman"/>
                <w:bCs/>
                <w:noProof/>
                <w:sz w:val="24"/>
                <w:szCs w:val="24"/>
                <w:vertAlign w:val="superscript"/>
              </w:rPr>
              <w:t xml:space="preserve">1 </w:t>
            </w:r>
            <w:r w:rsidR="008441D0" w:rsidRPr="004468B2">
              <w:rPr>
                <w:rFonts w:ascii="Times New Roman" w:hAnsi="Times New Roman"/>
                <w:bCs/>
                <w:noProof/>
                <w:sz w:val="24"/>
                <w:szCs w:val="24"/>
              </w:rPr>
              <w:t>un 45.pants).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4468B2" w:rsidRDefault="008441D0" w:rsidP="006541EF">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4468B2" w:rsidRDefault="008441D0" w:rsidP="006541EF">
            <w:pPr>
              <w:jc w:val="both"/>
              <w:rPr>
                <w:lang w:val="lv-LV"/>
              </w:rPr>
            </w:pPr>
            <w:r w:rsidRPr="004468B2">
              <w:rPr>
                <w:lang w:val="lv-LV"/>
              </w:rPr>
              <w:t>Stingrākas prasības neparedz</w:t>
            </w:r>
            <w:r w:rsidR="00855EC1" w:rsidRPr="004468B2">
              <w:rPr>
                <w:lang w:val="lv-LV"/>
              </w:rPr>
              <w:t>.</w:t>
            </w:r>
          </w:p>
        </w:tc>
      </w:tr>
      <w:tr w:rsidR="0038016F"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8016F" w:rsidRPr="004468B2" w:rsidRDefault="0038016F" w:rsidP="00B5555E">
            <w:pPr>
              <w:jc w:val="both"/>
              <w:rPr>
                <w:noProof/>
                <w:lang w:val="lv-LV"/>
              </w:rPr>
            </w:pPr>
            <w:r w:rsidRPr="004468B2">
              <w:rPr>
                <w:noProof/>
                <w:lang w:val="lv-LV"/>
              </w:rPr>
              <w:t xml:space="preserve">Direktīvas 2011/62/EK </w:t>
            </w:r>
            <w:r w:rsidRPr="004468B2">
              <w:rPr>
                <w:lang w:val="lv-LV"/>
              </w:rPr>
              <w:t>1.panta 16.punkts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8016F" w:rsidRPr="004468B2" w:rsidRDefault="0038016F" w:rsidP="0038016F">
            <w:pPr>
              <w:pStyle w:val="NoSpacing"/>
              <w:jc w:val="both"/>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bCs/>
                <w:sz w:val="24"/>
                <w:szCs w:val="24"/>
              </w:rPr>
              <w:t>MK noteikumiem Nr.800 (78.8.apakšpunkts).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8016F" w:rsidRPr="004468B2" w:rsidRDefault="0038016F" w:rsidP="004949CF">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8016F" w:rsidRPr="004468B2" w:rsidRDefault="0038016F" w:rsidP="004949CF">
            <w:pPr>
              <w:jc w:val="both"/>
              <w:rPr>
                <w:lang w:val="lv-LV"/>
              </w:rPr>
            </w:pPr>
            <w:r w:rsidRPr="004468B2">
              <w:rPr>
                <w:lang w:val="lv-LV"/>
              </w:rPr>
              <w:t>Stingrākas prasības neparedz.</w:t>
            </w:r>
          </w:p>
        </w:tc>
      </w:tr>
      <w:tr w:rsidR="00E3104B"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4468B2" w:rsidRDefault="00E3104B" w:rsidP="004134D0">
            <w:pPr>
              <w:jc w:val="both"/>
              <w:rPr>
                <w:noProof/>
                <w:lang w:val="lv-LV"/>
              </w:rPr>
            </w:pPr>
            <w:r w:rsidRPr="004468B2">
              <w:rPr>
                <w:noProof/>
                <w:lang w:val="lv-LV"/>
              </w:rPr>
              <w:t xml:space="preserve">Direktīvas 2011/62/EK </w:t>
            </w:r>
            <w:r w:rsidRPr="004468B2">
              <w:rPr>
                <w:lang w:val="lv-LV"/>
              </w:rPr>
              <w:t>1.panta 17.punkts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4468B2" w:rsidRDefault="00E3104B" w:rsidP="00F90493">
            <w:pPr>
              <w:pStyle w:val="NoSpacing"/>
              <w:jc w:val="both"/>
              <w:rPr>
                <w:rFonts w:ascii="Times New Roman" w:hAnsi="Times New Roman"/>
                <w:noProof/>
                <w:sz w:val="24"/>
                <w:szCs w:val="24"/>
              </w:rPr>
            </w:pPr>
            <w:r w:rsidRPr="004468B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4468B2" w:rsidRDefault="00E3104B" w:rsidP="00F90493">
            <w:pPr>
              <w:jc w:val="both"/>
              <w:rPr>
                <w:noProof/>
                <w:lang w:val="lv-LV"/>
              </w:rPr>
            </w:pPr>
            <w:r w:rsidRPr="004468B2">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4468B2" w:rsidRDefault="00E3104B" w:rsidP="00F90493">
            <w:pPr>
              <w:jc w:val="both"/>
              <w:rPr>
                <w:noProof/>
                <w:lang w:val="lv-LV"/>
              </w:rPr>
            </w:pPr>
            <w:r w:rsidRPr="004468B2">
              <w:rPr>
                <w:noProof/>
                <w:lang w:val="lv-LV"/>
              </w:rPr>
              <w:t>Nav</w:t>
            </w:r>
          </w:p>
          <w:p w:rsidR="00E3104B" w:rsidRPr="004468B2" w:rsidRDefault="00E3104B" w:rsidP="00F90493">
            <w:pPr>
              <w:rPr>
                <w:noProof/>
                <w:lang w:val="lv-LV"/>
              </w:rPr>
            </w:pPr>
          </w:p>
          <w:p w:rsidR="00E3104B" w:rsidRPr="004468B2" w:rsidRDefault="00E3104B" w:rsidP="00F90493">
            <w:pPr>
              <w:rPr>
                <w:noProof/>
                <w:lang w:val="lv-LV"/>
              </w:rPr>
            </w:pPr>
          </w:p>
          <w:p w:rsidR="00E3104B" w:rsidRPr="004468B2" w:rsidRDefault="00E3104B" w:rsidP="00F90493">
            <w:pPr>
              <w:jc w:val="center"/>
              <w:rPr>
                <w:noProof/>
                <w:lang w:val="lv-LV"/>
              </w:rPr>
            </w:pP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DA275D">
            <w:pPr>
              <w:jc w:val="both"/>
              <w:rPr>
                <w:noProof/>
                <w:lang w:val="lv-LV"/>
              </w:rPr>
            </w:pPr>
            <w:r w:rsidRPr="004468B2">
              <w:rPr>
                <w:noProof/>
                <w:lang w:val="lv-LV"/>
              </w:rPr>
              <w:t xml:space="preserve">Direktīvas 2011/62/EK </w:t>
            </w:r>
            <w:r w:rsidRPr="004468B2">
              <w:rPr>
                <w:lang w:val="lv-LV"/>
              </w:rPr>
              <w:t>1.panta 17.punkts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44576" w:rsidP="00DA275D">
            <w:pPr>
              <w:pStyle w:val="NoSpacing"/>
              <w:jc w:val="both"/>
              <w:rPr>
                <w:rFonts w:ascii="Times New Roman" w:hAnsi="Times New Roman"/>
                <w:sz w:val="24"/>
                <w:szCs w:val="24"/>
              </w:rPr>
            </w:pPr>
            <w:r w:rsidRPr="004468B2">
              <w:rPr>
                <w:rFonts w:ascii="Times New Roman" w:hAnsi="Times New Roman"/>
                <w:sz w:val="24"/>
                <w:szCs w:val="24"/>
              </w:rPr>
              <w:t>1.</w:t>
            </w:r>
            <w:r w:rsidR="00B84509" w:rsidRPr="004468B2">
              <w:rPr>
                <w:rFonts w:ascii="Times New Roman" w:hAnsi="Times New Roman"/>
                <w:sz w:val="24"/>
                <w:szCs w:val="24"/>
              </w:rPr>
              <w:t>7</w:t>
            </w:r>
            <w:r w:rsidR="009D5B55" w:rsidRPr="004468B2">
              <w:rPr>
                <w:rFonts w:ascii="Times New Roman" w:hAnsi="Times New Roman"/>
                <w:sz w:val="24"/>
                <w:szCs w:val="24"/>
              </w:rPr>
              <w:t xml:space="preserve">. un </w:t>
            </w:r>
            <w:r w:rsidRPr="004468B2">
              <w:rPr>
                <w:rFonts w:ascii="Times New Roman" w:hAnsi="Times New Roman"/>
                <w:sz w:val="24"/>
                <w:szCs w:val="24"/>
              </w:rPr>
              <w:t>1.</w:t>
            </w:r>
            <w:r w:rsidR="00B84509" w:rsidRPr="004468B2">
              <w:rPr>
                <w:rFonts w:ascii="Times New Roman" w:hAnsi="Times New Roman"/>
                <w:sz w:val="24"/>
                <w:szCs w:val="24"/>
              </w:rPr>
              <w:t>8</w:t>
            </w:r>
            <w:r w:rsidR="009D5B55" w:rsidRPr="004468B2">
              <w:rPr>
                <w:rFonts w:ascii="Times New Roman" w:hAnsi="Times New Roman"/>
                <w:sz w:val="24"/>
                <w:szCs w:val="24"/>
              </w:rPr>
              <w:t>.</w:t>
            </w:r>
            <w:r w:rsidR="00855EC1" w:rsidRPr="004468B2">
              <w:rPr>
                <w:rFonts w:ascii="Times New Roman" w:hAnsi="Times New Roman"/>
                <w:sz w:val="24"/>
                <w:szCs w:val="24"/>
              </w:rPr>
              <w:t>apak</w:t>
            </w:r>
            <w:r w:rsidR="00B375BC" w:rsidRPr="004468B2">
              <w:rPr>
                <w:rFonts w:ascii="Times New Roman" w:hAnsi="Times New Roman"/>
                <w:sz w:val="24"/>
                <w:szCs w:val="24"/>
              </w:rPr>
              <w:t>punkts</w:t>
            </w:r>
          </w:p>
          <w:p w:rsidR="00B84509" w:rsidRPr="004468B2" w:rsidRDefault="00B84509" w:rsidP="00DA275D">
            <w:pPr>
              <w:pStyle w:val="NoSpacing"/>
              <w:jc w:val="both"/>
              <w:rPr>
                <w:rFonts w:ascii="Times New Roman" w:hAnsi="Times New Roman"/>
                <w:sz w:val="24"/>
                <w:szCs w:val="24"/>
              </w:rPr>
            </w:pPr>
          </w:p>
          <w:p w:rsidR="00B375BC" w:rsidRPr="004468B2" w:rsidRDefault="00B6158F" w:rsidP="00B776BB">
            <w:pPr>
              <w:pStyle w:val="NoSpacing"/>
              <w:jc w:val="both"/>
              <w:rPr>
                <w:rFonts w:ascii="Times New Roman" w:hAnsi="Times New Roman"/>
                <w:sz w:val="24"/>
                <w:szCs w:val="24"/>
              </w:rPr>
            </w:pPr>
            <w:r w:rsidRPr="004468B2">
              <w:rPr>
                <w:rFonts w:ascii="Times New Roman" w:hAnsi="Times New Roman"/>
                <w:sz w:val="24"/>
                <w:szCs w:val="24"/>
              </w:rPr>
              <w:t>MK noteikumi Nr.416</w:t>
            </w:r>
            <w:r w:rsidR="00B84509" w:rsidRPr="004468B2">
              <w:rPr>
                <w:rFonts w:ascii="Times New Roman" w:hAnsi="Times New Roman"/>
                <w:sz w:val="24"/>
                <w:szCs w:val="24"/>
              </w:rPr>
              <w:t xml:space="preserve"> </w:t>
            </w:r>
            <w:r w:rsidRPr="004468B2">
              <w:rPr>
                <w:rFonts w:ascii="Times New Roman" w:hAnsi="Times New Roman"/>
                <w:bCs/>
                <w:sz w:val="24"/>
                <w:szCs w:val="24"/>
              </w:rPr>
              <w:t>(12.punkts)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r w:rsidR="00855EC1" w:rsidRPr="004468B2">
              <w:rPr>
                <w:lang w:val="lv-LV"/>
              </w:rPr>
              <w:t>.</w:t>
            </w: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4134D0">
            <w:pPr>
              <w:jc w:val="both"/>
              <w:rPr>
                <w:noProof/>
                <w:lang w:val="lv-LV"/>
              </w:rPr>
            </w:pPr>
            <w:r w:rsidRPr="004468B2">
              <w:rPr>
                <w:noProof/>
                <w:lang w:val="lv-LV"/>
              </w:rPr>
              <w:t xml:space="preserve">Direktīvas 2011/62/EK </w:t>
            </w:r>
            <w:r w:rsidRPr="004468B2">
              <w:rPr>
                <w:lang w:val="lv-LV"/>
              </w:rPr>
              <w:t>1.panta 17.punkts c)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44576" w:rsidP="00B776BB">
            <w:pPr>
              <w:pStyle w:val="NoSpacing"/>
              <w:jc w:val="both"/>
              <w:rPr>
                <w:rFonts w:ascii="Times New Roman" w:hAnsi="Times New Roman"/>
                <w:sz w:val="24"/>
                <w:szCs w:val="24"/>
              </w:rPr>
            </w:pPr>
            <w:r w:rsidRPr="004468B2">
              <w:rPr>
                <w:rFonts w:ascii="Times New Roman" w:hAnsi="Times New Roman"/>
                <w:sz w:val="24"/>
                <w:szCs w:val="24"/>
              </w:rPr>
              <w:t>1.</w:t>
            </w:r>
            <w:r w:rsidR="006140F4" w:rsidRPr="004468B2">
              <w:rPr>
                <w:rFonts w:ascii="Times New Roman" w:hAnsi="Times New Roman"/>
                <w:sz w:val="24"/>
                <w:szCs w:val="24"/>
              </w:rPr>
              <w:t>9</w:t>
            </w:r>
            <w:r w:rsidR="00B375BC" w:rsidRPr="004468B2">
              <w:rPr>
                <w:rFonts w:ascii="Times New Roman" w:hAnsi="Times New Roman"/>
                <w:sz w:val="24"/>
                <w:szCs w:val="24"/>
              </w:rPr>
              <w:t>.</w:t>
            </w:r>
            <w:r w:rsidR="005C40E6" w:rsidRPr="004468B2">
              <w:rPr>
                <w:rFonts w:ascii="Times New Roman" w:hAnsi="Times New Roman"/>
                <w:sz w:val="24"/>
                <w:szCs w:val="24"/>
              </w:rPr>
              <w:t xml:space="preserve"> un 1.16.</w:t>
            </w:r>
            <w:r w:rsidR="00855EC1" w:rsidRPr="004468B2">
              <w:rPr>
                <w:rFonts w:ascii="Times New Roman" w:hAnsi="Times New Roman"/>
                <w:sz w:val="24"/>
                <w:szCs w:val="24"/>
              </w:rPr>
              <w:t>apakš</w:t>
            </w:r>
            <w:r w:rsidR="00B375BC" w:rsidRPr="004468B2">
              <w:rPr>
                <w:rFonts w:ascii="Times New Roman" w:hAnsi="Times New Roman"/>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r w:rsidR="00855EC1" w:rsidRPr="004468B2">
              <w:rPr>
                <w:lang w:val="lv-LV"/>
              </w:rPr>
              <w:t>.</w:t>
            </w:r>
          </w:p>
        </w:tc>
      </w:tr>
      <w:tr w:rsidR="00B375BC" w:rsidRPr="004468B2" w:rsidTr="0089740E">
        <w:tblPrEx>
          <w:tblCellMar>
            <w:left w:w="0" w:type="dxa"/>
            <w:right w:w="0" w:type="dxa"/>
          </w:tblCellMar>
        </w:tblPrEx>
        <w:trPr>
          <w:gridAfter w:val="3"/>
          <w:wAfter w:w="2535" w:type="dxa"/>
          <w:cantSplit/>
          <w:trHeight w:val="1254"/>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4134D0">
            <w:pPr>
              <w:jc w:val="both"/>
              <w:rPr>
                <w:noProof/>
                <w:lang w:val="lv-LV"/>
              </w:rPr>
            </w:pPr>
            <w:r w:rsidRPr="004468B2">
              <w:rPr>
                <w:noProof/>
                <w:lang w:val="lv-LV"/>
              </w:rPr>
              <w:t xml:space="preserve">Direktīvas 2011/62/EK </w:t>
            </w:r>
            <w:r w:rsidRPr="004468B2">
              <w:rPr>
                <w:lang w:val="lv-LV"/>
              </w:rPr>
              <w:t>1.panta 17.punkts d)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6A2794" w:rsidP="00B776BB">
            <w:pPr>
              <w:pStyle w:val="NoSpacing"/>
              <w:jc w:val="both"/>
              <w:rPr>
                <w:rFonts w:ascii="Times New Roman" w:hAnsi="Times New Roman"/>
                <w:sz w:val="24"/>
                <w:szCs w:val="24"/>
              </w:rPr>
            </w:pPr>
            <w:r w:rsidRPr="004468B2">
              <w:rPr>
                <w:rFonts w:ascii="Times New Roman" w:hAnsi="Times New Roman"/>
                <w:sz w:val="24"/>
                <w:szCs w:val="24"/>
              </w:rPr>
              <w:t>1.11</w:t>
            </w:r>
            <w:r w:rsidR="003F5B92" w:rsidRPr="004468B2">
              <w:rPr>
                <w:rFonts w:ascii="Times New Roman" w:hAnsi="Times New Roman"/>
                <w:sz w:val="24"/>
                <w:szCs w:val="24"/>
              </w:rPr>
              <w:t>. un 1.20</w:t>
            </w:r>
            <w:r w:rsidR="00344B19" w:rsidRPr="004468B2">
              <w:rPr>
                <w:rFonts w:ascii="Times New Roman" w:hAnsi="Times New Roman"/>
                <w:sz w:val="24"/>
                <w:szCs w:val="24"/>
              </w:rPr>
              <w:t>.apakš</w:t>
            </w:r>
            <w:r w:rsidR="00B375BC" w:rsidRPr="004468B2">
              <w:rPr>
                <w:rFonts w:ascii="Times New Roman" w:hAnsi="Times New Roman"/>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r w:rsidR="00855EC1" w:rsidRPr="004468B2">
              <w:rPr>
                <w:lang w:val="lv-LV"/>
              </w:rPr>
              <w:t>.</w:t>
            </w:r>
          </w:p>
        </w:tc>
      </w:tr>
      <w:tr w:rsidR="00FF265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4468B2" w:rsidRDefault="00FF265C" w:rsidP="004134D0">
            <w:pPr>
              <w:jc w:val="both"/>
              <w:rPr>
                <w:noProof/>
                <w:lang w:val="lv-LV"/>
              </w:rPr>
            </w:pPr>
            <w:r w:rsidRPr="004468B2">
              <w:rPr>
                <w:noProof/>
                <w:lang w:val="lv-LV"/>
              </w:rPr>
              <w:t xml:space="preserve">Direktīvas 2011/62/EK </w:t>
            </w:r>
            <w:r w:rsidRPr="004468B2">
              <w:rPr>
                <w:lang w:val="lv-LV"/>
              </w:rPr>
              <w:t>1.panta 18.punkts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4468B2" w:rsidRDefault="00FF265C" w:rsidP="00B776BB">
            <w:pPr>
              <w:pStyle w:val="NoSpacing"/>
              <w:jc w:val="both"/>
              <w:rPr>
                <w:rFonts w:ascii="Times New Roman" w:hAnsi="Times New Roman"/>
                <w:sz w:val="24"/>
                <w:szCs w:val="24"/>
              </w:rPr>
            </w:pPr>
            <w:r w:rsidRPr="004468B2">
              <w:rPr>
                <w:rFonts w:ascii="Times New Roman" w:hAnsi="Times New Roman"/>
                <w:sz w:val="24"/>
                <w:szCs w:val="24"/>
              </w:rPr>
              <w:t>MK noteikumi Nr.416</w:t>
            </w:r>
            <w:r w:rsidR="00BA0BB0" w:rsidRPr="004468B2">
              <w:rPr>
                <w:rFonts w:ascii="Times New Roman" w:hAnsi="Times New Roman"/>
                <w:sz w:val="24"/>
                <w:szCs w:val="24"/>
              </w:rPr>
              <w:t xml:space="preserve"> </w:t>
            </w:r>
            <w:r w:rsidRPr="004468B2">
              <w:rPr>
                <w:rFonts w:ascii="Times New Roman" w:hAnsi="Times New Roman"/>
                <w:bCs/>
                <w:sz w:val="24"/>
                <w:szCs w:val="24"/>
              </w:rPr>
              <w:t>(30.2.3.apakšpunkts)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4468B2" w:rsidRDefault="00FF265C" w:rsidP="006541EF">
            <w:pPr>
              <w:jc w:val="both"/>
              <w:rPr>
                <w:lang w:val="lv-LV"/>
              </w:rPr>
            </w:pPr>
            <w:r w:rsidRPr="004468B2">
              <w:rPr>
                <w:lang w:val="lv-LV"/>
              </w:rPr>
              <w:t>Direktīvas norma pārņemta pilnībā</w:t>
            </w:r>
            <w:r w:rsidR="00855EC1"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4468B2" w:rsidRDefault="00FF265C" w:rsidP="006541EF">
            <w:pPr>
              <w:jc w:val="both"/>
              <w:rPr>
                <w:lang w:val="lv-LV"/>
              </w:rPr>
            </w:pPr>
            <w:r w:rsidRPr="004468B2">
              <w:rPr>
                <w:lang w:val="lv-LV"/>
              </w:rPr>
              <w:t>Stingrākas prasības neparedz</w:t>
            </w:r>
            <w:r w:rsidR="00855EC1" w:rsidRPr="004468B2">
              <w:rPr>
                <w:lang w:val="lv-LV"/>
              </w:rPr>
              <w:t>.</w:t>
            </w: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BA0BB0">
            <w:pPr>
              <w:jc w:val="both"/>
              <w:rPr>
                <w:noProof/>
                <w:lang w:val="lv-LV"/>
              </w:rPr>
            </w:pPr>
            <w:r w:rsidRPr="004468B2">
              <w:rPr>
                <w:noProof/>
                <w:lang w:val="lv-LV"/>
              </w:rPr>
              <w:t xml:space="preserve">Direktīvas 2011/62/EK </w:t>
            </w:r>
            <w:r w:rsidRPr="004468B2">
              <w:rPr>
                <w:lang w:val="lv-LV"/>
              </w:rPr>
              <w:t>1.panta 19.punkts</w:t>
            </w:r>
            <w:r w:rsidR="00BA0BB0" w:rsidRPr="004468B2">
              <w:rPr>
                <w:lang w:val="lv-LV"/>
              </w:rPr>
              <w:t xml:space="preserve"> (attiecībā uz Direktīvas 2011/83 85 a))</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44576" w:rsidP="00FE07EE">
            <w:pPr>
              <w:pStyle w:val="NoSpacing"/>
              <w:jc w:val="both"/>
              <w:rPr>
                <w:rFonts w:ascii="Times New Roman" w:hAnsi="Times New Roman"/>
                <w:spacing w:val="-6"/>
                <w:sz w:val="24"/>
                <w:szCs w:val="24"/>
              </w:rPr>
            </w:pPr>
            <w:r w:rsidRPr="004468B2">
              <w:rPr>
                <w:rFonts w:ascii="Times New Roman" w:hAnsi="Times New Roman"/>
                <w:spacing w:val="-6"/>
                <w:sz w:val="24"/>
                <w:szCs w:val="24"/>
              </w:rPr>
              <w:t>1.</w:t>
            </w:r>
            <w:r w:rsidR="00BA0BB0" w:rsidRPr="004468B2">
              <w:rPr>
                <w:rFonts w:ascii="Times New Roman" w:hAnsi="Times New Roman"/>
                <w:spacing w:val="-6"/>
                <w:sz w:val="24"/>
                <w:szCs w:val="24"/>
              </w:rPr>
              <w:t>11</w:t>
            </w:r>
            <w:r w:rsidR="00E41F85" w:rsidRPr="004468B2">
              <w:rPr>
                <w:rFonts w:ascii="Times New Roman" w:hAnsi="Times New Roman"/>
                <w:spacing w:val="-6"/>
                <w:sz w:val="24"/>
                <w:szCs w:val="24"/>
              </w:rPr>
              <w:t>.</w:t>
            </w:r>
            <w:r w:rsidR="00C2076D" w:rsidRPr="004468B2">
              <w:rPr>
                <w:rFonts w:ascii="Times New Roman" w:hAnsi="Times New Roman"/>
                <w:spacing w:val="-6"/>
                <w:sz w:val="24"/>
                <w:szCs w:val="24"/>
              </w:rPr>
              <w:t>apak</w:t>
            </w:r>
            <w:r w:rsidR="00325E9A" w:rsidRPr="004468B2">
              <w:rPr>
                <w:rFonts w:ascii="Times New Roman" w:hAnsi="Times New Roman"/>
                <w:spacing w:val="-6"/>
                <w:sz w:val="24"/>
                <w:szCs w:val="24"/>
              </w:rPr>
              <w:t>š</w:t>
            </w:r>
            <w:r w:rsidR="00B375BC" w:rsidRPr="004468B2">
              <w:rPr>
                <w:rFonts w:ascii="Times New Roman" w:hAnsi="Times New Roman"/>
                <w:spacing w:val="-6"/>
                <w:sz w:val="24"/>
                <w:szCs w:val="24"/>
              </w:rPr>
              <w:t>punkts</w:t>
            </w:r>
          </w:p>
          <w:p w:rsidR="00B375BC" w:rsidRPr="004468B2" w:rsidRDefault="00B375BC" w:rsidP="00FE07EE">
            <w:pPr>
              <w:pStyle w:val="NoSpacing"/>
              <w:jc w:val="both"/>
              <w:rPr>
                <w:rFonts w:ascii="Times New Roman" w:hAnsi="Times New Roman"/>
                <w:spacing w:val="-6"/>
                <w:sz w:val="24"/>
                <w:szCs w:val="24"/>
              </w:rPr>
            </w:pPr>
          </w:p>
          <w:p w:rsidR="00B375BC" w:rsidRPr="004468B2" w:rsidRDefault="00B375BC" w:rsidP="00B776BB">
            <w:pPr>
              <w:pStyle w:val="NoSpacing"/>
              <w:rPr>
                <w:rFonts w:ascii="Times New Roman" w:hAnsi="Times New Roman"/>
                <w:iCs/>
                <w:sz w:val="24"/>
                <w:szCs w:val="24"/>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281A6E">
            <w:pPr>
              <w:jc w:val="both"/>
              <w:rPr>
                <w:lang w:val="lv-LV"/>
              </w:rPr>
            </w:pPr>
            <w:r w:rsidRPr="004468B2">
              <w:rPr>
                <w:lang w:val="lv-LV"/>
              </w:rPr>
              <w:t>Stingrākas prasības neparedz</w:t>
            </w:r>
            <w:r w:rsidR="00C2076D" w:rsidRPr="004468B2">
              <w:rPr>
                <w:lang w:val="lv-LV"/>
              </w:rPr>
              <w:t>.</w:t>
            </w:r>
          </w:p>
        </w:tc>
      </w:tr>
      <w:tr w:rsidR="0046098E"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4134D0">
            <w:pPr>
              <w:jc w:val="both"/>
              <w:rPr>
                <w:noProof/>
                <w:lang w:val="lv-LV"/>
              </w:rPr>
            </w:pPr>
            <w:r w:rsidRPr="004468B2">
              <w:rPr>
                <w:noProof/>
                <w:lang w:val="lv-LV"/>
              </w:rPr>
              <w:t xml:space="preserve">Direktīvas 2011/62/EK </w:t>
            </w:r>
            <w:r w:rsidRPr="004468B2">
              <w:rPr>
                <w:lang w:val="lv-LV"/>
              </w:rPr>
              <w:t>1.panta 19.punkts (attiecībā uz Direktīvas 2011/83 85 b) 1.punktu)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3F5B92" w:rsidP="00514B9D">
            <w:pPr>
              <w:pStyle w:val="NoSpacing"/>
              <w:jc w:val="both"/>
              <w:rPr>
                <w:rFonts w:ascii="Times New Roman" w:hAnsi="Times New Roman"/>
                <w:spacing w:val="-6"/>
                <w:sz w:val="24"/>
                <w:szCs w:val="24"/>
              </w:rPr>
            </w:pPr>
            <w:r w:rsidRPr="004468B2">
              <w:rPr>
                <w:rFonts w:ascii="Times New Roman" w:hAnsi="Times New Roman"/>
                <w:spacing w:val="-6"/>
                <w:sz w:val="24"/>
                <w:szCs w:val="24"/>
              </w:rPr>
              <w:t>1.20</w:t>
            </w:r>
            <w:r w:rsidR="0046098E" w:rsidRPr="004468B2">
              <w:rPr>
                <w:rFonts w:ascii="Times New Roman" w:hAnsi="Times New Roman"/>
                <w:spacing w:val="-6"/>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CC1341">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CC1341">
            <w:pPr>
              <w:jc w:val="both"/>
              <w:rPr>
                <w:lang w:val="lv-LV"/>
              </w:rPr>
            </w:pPr>
            <w:r w:rsidRPr="004468B2">
              <w:rPr>
                <w:lang w:val="lv-LV"/>
              </w:rPr>
              <w:t>Stingrākas prasības neparedz.</w:t>
            </w:r>
          </w:p>
        </w:tc>
      </w:tr>
      <w:tr w:rsidR="0046098E"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4134D0">
            <w:pPr>
              <w:jc w:val="both"/>
              <w:rPr>
                <w:noProof/>
                <w:lang w:val="lv-LV"/>
              </w:rPr>
            </w:pPr>
            <w:r w:rsidRPr="004468B2">
              <w:rPr>
                <w:noProof/>
                <w:lang w:val="lv-LV"/>
              </w:rPr>
              <w:lastRenderedPageBreak/>
              <w:t xml:space="preserve">Direktīvas 2011/62/EK </w:t>
            </w:r>
            <w:r w:rsidRPr="004468B2">
              <w:rPr>
                <w:lang w:val="lv-LV"/>
              </w:rPr>
              <w:t>1.panta 19.punkts (attiecībā uz Direktīvas 2011/83 85 b) 2.punktu)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3F5B92" w:rsidP="00FE07EE">
            <w:pPr>
              <w:pStyle w:val="NoSpacing"/>
              <w:jc w:val="both"/>
              <w:rPr>
                <w:rFonts w:ascii="Times New Roman" w:hAnsi="Times New Roman"/>
                <w:spacing w:val="-6"/>
                <w:sz w:val="24"/>
                <w:szCs w:val="24"/>
              </w:rPr>
            </w:pPr>
            <w:r w:rsidRPr="004468B2">
              <w:rPr>
                <w:rFonts w:ascii="Times New Roman" w:hAnsi="Times New Roman"/>
                <w:spacing w:val="-6"/>
                <w:sz w:val="24"/>
                <w:szCs w:val="24"/>
              </w:rPr>
              <w:t>1.20</w:t>
            </w:r>
            <w:r w:rsidR="0046098E" w:rsidRPr="004468B2">
              <w:rPr>
                <w:rFonts w:ascii="Times New Roman" w:hAnsi="Times New Roman"/>
                <w:spacing w:val="-6"/>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CC1341">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6098E" w:rsidRPr="004468B2" w:rsidRDefault="0046098E" w:rsidP="00CC1341">
            <w:pPr>
              <w:jc w:val="both"/>
              <w:rPr>
                <w:lang w:val="lv-LV"/>
              </w:rPr>
            </w:pPr>
            <w:r w:rsidRPr="004468B2">
              <w:rPr>
                <w:lang w:val="lv-LV"/>
              </w:rPr>
              <w:t>Stingrākas prasības neparedz.</w:t>
            </w:r>
          </w:p>
        </w:tc>
      </w:tr>
      <w:tr w:rsidR="00BA0BB0"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A0BB0" w:rsidRPr="004468B2" w:rsidRDefault="00BA0BB0" w:rsidP="004134D0">
            <w:pPr>
              <w:jc w:val="both"/>
              <w:rPr>
                <w:noProof/>
                <w:lang w:val="lv-LV"/>
              </w:rPr>
            </w:pPr>
            <w:r w:rsidRPr="004468B2">
              <w:rPr>
                <w:noProof/>
                <w:lang w:val="lv-LV"/>
              </w:rPr>
              <w:t xml:space="preserve">Direktīvas 2011/62/EK </w:t>
            </w:r>
            <w:r w:rsidRPr="004468B2">
              <w:rPr>
                <w:lang w:val="lv-LV"/>
              </w:rPr>
              <w:t>1.panta 19.punkts (attiecībā uz Direktīvas 2011/83 85 b)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A0BB0" w:rsidRPr="004468B2" w:rsidRDefault="0091183B" w:rsidP="00BA0BB0">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1183B" w:rsidRPr="004468B2" w:rsidRDefault="0091183B" w:rsidP="0091183B">
            <w:pPr>
              <w:pStyle w:val="NoSpacing"/>
              <w:jc w:val="both"/>
              <w:rPr>
                <w:rFonts w:ascii="Times New Roman" w:hAnsi="Times New Roman"/>
                <w:sz w:val="24"/>
                <w:szCs w:val="24"/>
              </w:rPr>
            </w:pPr>
            <w:r w:rsidRPr="004468B2">
              <w:rPr>
                <w:rFonts w:ascii="Times New Roman" w:hAnsi="Times New Roman"/>
                <w:sz w:val="24"/>
                <w:szCs w:val="24"/>
              </w:rPr>
              <w:t xml:space="preserve">Nav jāievieš, jo attiecas uz </w:t>
            </w:r>
          </w:p>
          <w:p w:rsidR="0091183B" w:rsidRPr="004468B2" w:rsidRDefault="0091183B" w:rsidP="0091183B">
            <w:pPr>
              <w:pStyle w:val="NoSpacing"/>
              <w:jc w:val="both"/>
              <w:rPr>
                <w:rFonts w:ascii="Times New Roman" w:hAnsi="Times New Roman"/>
                <w:sz w:val="24"/>
                <w:szCs w:val="24"/>
                <w:lang w:eastAsia="lv-LV"/>
              </w:rPr>
            </w:pPr>
            <w:r w:rsidRPr="004468B2">
              <w:rPr>
                <w:rFonts w:ascii="Times New Roman" w:hAnsi="Times New Roman"/>
                <w:sz w:val="24"/>
                <w:szCs w:val="24"/>
              </w:rPr>
              <w:t>Eiropas Komisijas P</w:t>
            </w:r>
            <w:r w:rsidRPr="004468B2">
              <w:rPr>
                <w:rFonts w:ascii="Times New Roman" w:hAnsi="Times New Roman"/>
                <w:bCs/>
                <w:sz w:val="24"/>
                <w:szCs w:val="24"/>
                <w:lang w:eastAsia="lv-LV"/>
              </w:rPr>
              <w:t xml:space="preserve">amatnostādnēm </w:t>
            </w:r>
          </w:p>
          <w:p w:rsidR="00BA0BB0" w:rsidRPr="004468B2" w:rsidRDefault="0091183B" w:rsidP="0091183B">
            <w:pPr>
              <w:jc w:val="both"/>
              <w:rPr>
                <w:bCs/>
                <w:lang w:val="lv-LV" w:eastAsia="lv-LV"/>
              </w:rPr>
            </w:pPr>
            <w:r w:rsidRPr="004468B2">
              <w:rPr>
                <w:bCs/>
                <w:lang w:val="lv-LV" w:eastAsia="lv-LV"/>
              </w:rPr>
              <w:t>(2013. gada 7. marts) par cilvēkiem paredzētu zāļu labu izplatīšanas praksi (stājas spēkā</w:t>
            </w:r>
            <w:r w:rsidR="00D428C0" w:rsidRPr="004468B2">
              <w:rPr>
                <w:bCs/>
                <w:lang w:val="lv-LV" w:eastAsia="lv-LV"/>
              </w:rPr>
              <w:t xml:space="preserve"> 2013.gada 8.septembrī), ieviestas ar</w:t>
            </w:r>
          </w:p>
          <w:p w:rsidR="00D428C0" w:rsidRPr="004468B2" w:rsidRDefault="00D428C0" w:rsidP="0091183B">
            <w:pPr>
              <w:jc w:val="both"/>
              <w:rPr>
                <w:lang w:val="lv-LV"/>
              </w:rPr>
            </w:pPr>
            <w:r w:rsidRPr="004468B2">
              <w:rPr>
                <w:iCs/>
                <w:lang w:val="lv-LV"/>
              </w:rPr>
              <w:t>Farmācijas likuma 22.panta trešā daļu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A0BB0" w:rsidRPr="004468B2" w:rsidRDefault="00BA0BB0" w:rsidP="00281A6E">
            <w:pPr>
              <w:jc w:val="both"/>
              <w:rPr>
                <w:lang w:val="lv-LV"/>
              </w:rPr>
            </w:pPr>
            <w:r w:rsidRPr="004468B2">
              <w:rPr>
                <w:lang w:val="lv-LV"/>
              </w:rPr>
              <w:t>Nav</w:t>
            </w:r>
          </w:p>
        </w:tc>
      </w:tr>
      <w:tr w:rsidR="007E5631"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E5631" w:rsidRPr="004468B2" w:rsidRDefault="007E5631" w:rsidP="004134D0">
            <w:pPr>
              <w:jc w:val="both"/>
              <w:rPr>
                <w:noProof/>
                <w:lang w:val="lv-LV"/>
              </w:rPr>
            </w:pPr>
            <w:r w:rsidRPr="004468B2">
              <w:rPr>
                <w:noProof/>
                <w:lang w:val="lv-LV"/>
              </w:rPr>
              <w:t xml:space="preserve">Direktīvas 2011/62/EK </w:t>
            </w:r>
            <w:r w:rsidRPr="004468B2">
              <w:rPr>
                <w:lang w:val="lv-LV"/>
              </w:rPr>
              <w:t>1.panta 19.punkts (attiecībā uz Direktīvas 2011/83 85 b) 4.punktu)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E5631" w:rsidRPr="004468B2" w:rsidRDefault="003F5B92" w:rsidP="00FE07EE">
            <w:pPr>
              <w:pStyle w:val="NoSpacing"/>
              <w:jc w:val="both"/>
              <w:rPr>
                <w:rFonts w:ascii="Times New Roman" w:hAnsi="Times New Roman"/>
                <w:spacing w:val="-6"/>
                <w:sz w:val="24"/>
                <w:szCs w:val="24"/>
              </w:rPr>
            </w:pPr>
            <w:r w:rsidRPr="004468B2">
              <w:rPr>
                <w:rFonts w:ascii="Times New Roman" w:hAnsi="Times New Roman"/>
                <w:spacing w:val="-6"/>
                <w:sz w:val="24"/>
                <w:szCs w:val="24"/>
              </w:rPr>
              <w:t>1.44. un 1.45</w:t>
            </w:r>
            <w:r w:rsidR="007E5631" w:rsidRPr="004468B2">
              <w:rPr>
                <w:rFonts w:ascii="Times New Roman" w:hAnsi="Times New Roman"/>
                <w:spacing w:val="-6"/>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E5631" w:rsidRPr="004468B2" w:rsidRDefault="007E5631" w:rsidP="00CC1341">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E5631" w:rsidRPr="004468B2" w:rsidRDefault="007E5631" w:rsidP="00CC1341">
            <w:pPr>
              <w:jc w:val="both"/>
              <w:rPr>
                <w:lang w:val="lv-LV"/>
              </w:rPr>
            </w:pPr>
            <w:r w:rsidRPr="004468B2">
              <w:rPr>
                <w:lang w:val="lv-LV"/>
              </w:rPr>
              <w:t>Stingrākas prasības neparedz.</w:t>
            </w:r>
          </w:p>
        </w:tc>
      </w:tr>
      <w:tr w:rsidR="00B375B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4134D0">
            <w:pPr>
              <w:jc w:val="both"/>
              <w:rPr>
                <w:noProof/>
                <w:lang w:val="lv-LV"/>
              </w:rPr>
            </w:pPr>
            <w:r w:rsidRPr="004468B2">
              <w:rPr>
                <w:noProof/>
                <w:lang w:val="lv-LV"/>
              </w:rPr>
              <w:t xml:space="preserve">Direktīvas 2011/62/EK </w:t>
            </w:r>
            <w:r w:rsidRPr="004468B2">
              <w:rPr>
                <w:lang w:val="lv-LV"/>
              </w:rPr>
              <w:t>1.panta 20.punkts</w:t>
            </w:r>
            <w:r w:rsidR="003E12B1" w:rsidRPr="004468B2">
              <w:rPr>
                <w:lang w:val="lv-LV"/>
              </w:rPr>
              <w:t xml:space="preserve"> (attiecībā uz Direktīvas 2011/83 85 </w:t>
            </w:r>
            <w:r w:rsidR="004A5587" w:rsidRPr="004468B2">
              <w:rPr>
                <w:lang w:val="lv-LV"/>
              </w:rPr>
              <w:t>c pant</w:t>
            </w:r>
            <w:r w:rsidR="006658EA" w:rsidRPr="004468B2">
              <w:rPr>
                <w:lang w:val="lv-LV"/>
              </w:rPr>
              <w:t>a 1.punkta a)</w:t>
            </w:r>
            <w:r w:rsidR="003E12B1"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D803A1" w:rsidP="005252E8">
            <w:pPr>
              <w:pStyle w:val="NoSpacing"/>
              <w:jc w:val="both"/>
              <w:rPr>
                <w:rFonts w:ascii="Times New Roman" w:hAnsi="Times New Roman"/>
                <w:sz w:val="24"/>
                <w:szCs w:val="24"/>
              </w:rPr>
            </w:pPr>
            <w:r w:rsidRPr="004468B2">
              <w:rPr>
                <w:rFonts w:ascii="Times New Roman" w:hAnsi="Times New Roman"/>
                <w:sz w:val="24"/>
                <w:szCs w:val="24"/>
              </w:rPr>
              <w:t>1.29</w:t>
            </w:r>
            <w:r w:rsidR="002B4906" w:rsidRPr="004468B2">
              <w:rPr>
                <w:rFonts w:ascii="Times New Roman" w:hAnsi="Times New Roman"/>
                <w:sz w:val="24"/>
                <w:szCs w:val="24"/>
              </w:rPr>
              <w:t>.</w:t>
            </w:r>
            <w:r w:rsidRPr="004468B2">
              <w:rPr>
                <w:rFonts w:ascii="Times New Roman" w:hAnsi="Times New Roman"/>
                <w:sz w:val="24"/>
                <w:szCs w:val="24"/>
              </w:rPr>
              <w:t xml:space="preserve"> un 130.</w:t>
            </w:r>
            <w:r w:rsidR="002B4906" w:rsidRPr="004468B2">
              <w:rPr>
                <w:rFonts w:ascii="Times New Roman" w:hAnsi="Times New Roman"/>
                <w:sz w:val="24"/>
                <w:szCs w:val="24"/>
              </w:rPr>
              <w:t>apakšpunkts.</w:t>
            </w:r>
          </w:p>
          <w:p w:rsidR="002B4906" w:rsidRPr="004468B2" w:rsidRDefault="002B4906" w:rsidP="005252E8">
            <w:pPr>
              <w:pStyle w:val="NoSpacing"/>
              <w:jc w:val="both"/>
              <w:rPr>
                <w:rFonts w:ascii="Times New Roman" w:hAnsi="Times New Roman"/>
                <w:sz w:val="24"/>
                <w:szCs w:val="24"/>
              </w:rPr>
            </w:pPr>
          </w:p>
          <w:p w:rsidR="00B375BC" w:rsidRPr="004468B2" w:rsidRDefault="00B375BC" w:rsidP="005252E8">
            <w:pPr>
              <w:pStyle w:val="NoSpacing"/>
              <w:jc w:val="both"/>
              <w:rPr>
                <w:rFonts w:ascii="Times New Roman" w:hAnsi="Times New Roman"/>
                <w:sz w:val="24"/>
                <w:szCs w:val="24"/>
              </w:rPr>
            </w:pPr>
            <w:r w:rsidRPr="004468B2">
              <w:rPr>
                <w:rFonts w:ascii="Times New Roman" w:hAnsi="Times New Roman"/>
                <w:sz w:val="24"/>
                <w:szCs w:val="24"/>
              </w:rPr>
              <w:t>Direktīvas norma ir ieviesta ar:</w:t>
            </w:r>
          </w:p>
          <w:p w:rsidR="00B375BC" w:rsidRPr="004468B2" w:rsidRDefault="00B375BC" w:rsidP="005252E8">
            <w:pPr>
              <w:pStyle w:val="NoSpacing"/>
              <w:jc w:val="both"/>
              <w:rPr>
                <w:rFonts w:ascii="Times New Roman" w:hAnsi="Times New Roman"/>
                <w:bCs/>
                <w:sz w:val="24"/>
                <w:szCs w:val="24"/>
              </w:rPr>
            </w:pPr>
            <w:r w:rsidRPr="004468B2">
              <w:rPr>
                <w:rFonts w:ascii="Times New Roman" w:hAnsi="Times New Roman"/>
                <w:sz w:val="24"/>
                <w:szCs w:val="24"/>
              </w:rPr>
              <w:t>1) </w:t>
            </w:r>
            <w:r w:rsidRPr="004468B2">
              <w:rPr>
                <w:rFonts w:ascii="Times New Roman" w:hAnsi="Times New Roman"/>
                <w:bCs/>
                <w:sz w:val="24"/>
                <w:szCs w:val="24"/>
              </w:rPr>
              <w:t xml:space="preserve">MK noteikumiem Nr.800: </w:t>
            </w:r>
          </w:p>
          <w:p w:rsidR="00B375BC" w:rsidRPr="004468B2" w:rsidRDefault="00B375BC" w:rsidP="005D651E">
            <w:pPr>
              <w:pStyle w:val="NoSpacing"/>
              <w:jc w:val="both"/>
              <w:rPr>
                <w:rFonts w:ascii="Times New Roman" w:hAnsi="Times New Roman"/>
                <w:bCs/>
                <w:sz w:val="24"/>
                <w:szCs w:val="24"/>
              </w:rPr>
            </w:pPr>
            <w:r w:rsidRPr="004468B2">
              <w:rPr>
                <w:rFonts w:ascii="Times New Roman" w:hAnsi="Times New Roman"/>
                <w:bCs/>
                <w:sz w:val="24"/>
                <w:szCs w:val="24"/>
              </w:rPr>
              <w:t>(70.6.apakšpunkts)</w:t>
            </w:r>
          </w:p>
          <w:p w:rsidR="00B375BC" w:rsidRPr="004468B2" w:rsidRDefault="00B375BC" w:rsidP="005252E8">
            <w:pPr>
              <w:pStyle w:val="NoSpacing"/>
              <w:jc w:val="both"/>
              <w:rPr>
                <w:rFonts w:ascii="Times New Roman" w:hAnsi="Times New Roman"/>
                <w:bCs/>
                <w:sz w:val="24"/>
                <w:szCs w:val="24"/>
              </w:rPr>
            </w:pPr>
            <w:r w:rsidRPr="004468B2">
              <w:rPr>
                <w:rFonts w:ascii="Times New Roman" w:hAnsi="Times New Roman"/>
                <w:bCs/>
                <w:sz w:val="24"/>
                <w:szCs w:val="24"/>
              </w:rPr>
              <w:t>2) MK noteikumiem Nr.416:</w:t>
            </w:r>
          </w:p>
          <w:p w:rsidR="00B375BC" w:rsidRPr="004468B2" w:rsidRDefault="00D056D9" w:rsidP="00495B17">
            <w:pPr>
              <w:pStyle w:val="NoSpacing"/>
              <w:jc w:val="both"/>
              <w:rPr>
                <w:rFonts w:ascii="Times New Roman" w:hAnsi="Times New Roman"/>
                <w:sz w:val="24"/>
                <w:szCs w:val="24"/>
              </w:rPr>
            </w:pPr>
            <w:r w:rsidRPr="004468B2">
              <w:rPr>
                <w:rFonts w:ascii="Times New Roman" w:hAnsi="Times New Roman"/>
                <w:bCs/>
                <w:sz w:val="24"/>
                <w:szCs w:val="24"/>
              </w:rPr>
              <w:t>(</w:t>
            </w:r>
            <w:r w:rsidR="00482357" w:rsidRPr="004468B2">
              <w:rPr>
                <w:rFonts w:ascii="Times New Roman" w:hAnsi="Times New Roman"/>
                <w:bCs/>
                <w:sz w:val="24"/>
                <w:szCs w:val="24"/>
              </w:rPr>
              <w:t>99.</w:t>
            </w:r>
            <w:r w:rsidR="00B375BC" w:rsidRPr="004468B2">
              <w:rPr>
                <w:rFonts w:ascii="Times New Roman" w:hAnsi="Times New Roman"/>
                <w:bCs/>
                <w:sz w:val="24"/>
                <w:szCs w:val="24"/>
              </w:rPr>
              <w:t>punkts</w:t>
            </w:r>
            <w:r w:rsidR="00F76C31" w:rsidRPr="004468B2">
              <w:rPr>
                <w:rFonts w:ascii="Times New Roman" w:hAnsi="Times New Roman"/>
                <w:bCs/>
                <w:sz w:val="24"/>
                <w:szCs w:val="24"/>
              </w:rPr>
              <w:t>)</w:t>
            </w:r>
            <w:r w:rsidR="00511361" w:rsidRPr="004468B2">
              <w:rPr>
                <w:rFonts w:ascii="Times New Roman" w:hAnsi="Times New Roman"/>
                <w:bCs/>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B375BC" w:rsidP="00770868">
            <w:pPr>
              <w:jc w:val="both"/>
              <w:rPr>
                <w:lang w:val="lv-LV"/>
              </w:rPr>
            </w:pPr>
            <w:r w:rsidRPr="004468B2">
              <w:rPr>
                <w:lang w:val="lv-LV"/>
              </w:rPr>
              <w:t xml:space="preserve">Direktīvas norma pārņemta </w:t>
            </w:r>
            <w:r w:rsidR="00770868" w:rsidRPr="004468B2">
              <w:rPr>
                <w:lang w:val="lv-LV"/>
              </w:rPr>
              <w:t>pilnībā</w:t>
            </w:r>
            <w:r w:rsidR="00C2076D"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4468B2" w:rsidRDefault="00770868" w:rsidP="003E2EB3">
            <w:pPr>
              <w:jc w:val="both"/>
              <w:rPr>
                <w:lang w:val="lv-LV"/>
              </w:rPr>
            </w:pPr>
            <w:r w:rsidRPr="004468B2">
              <w:rPr>
                <w:lang w:val="lv-LV"/>
              </w:rPr>
              <w:t>Stingrākas prasības neparedz.</w:t>
            </w:r>
          </w:p>
        </w:tc>
      </w:tr>
      <w:tr w:rsidR="00D57AF2"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1.punkta b) i))</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B3280F">
            <w:pPr>
              <w:pStyle w:val="NoSpacing"/>
              <w:jc w:val="both"/>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bCs/>
                <w:sz w:val="24"/>
                <w:szCs w:val="24"/>
              </w:rPr>
              <w:t>MK noteikumiem Nr.416: 5.pielikuma 1.1. un 1.2.apakšpunktu.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3E2EB3">
            <w:pPr>
              <w:jc w:val="both"/>
              <w:rPr>
                <w:lang w:val="lv-LV"/>
              </w:rPr>
            </w:pPr>
            <w:r w:rsidRPr="004468B2">
              <w:rPr>
                <w:lang w:val="lv-LV"/>
              </w:rPr>
              <w:t>Stingrākas prasības neparedz.</w:t>
            </w:r>
          </w:p>
        </w:tc>
      </w:tr>
      <w:tr w:rsidR="00D57AF2"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4134D0">
            <w:pPr>
              <w:jc w:val="both"/>
              <w:rPr>
                <w:noProof/>
                <w:lang w:val="lv-LV"/>
              </w:rPr>
            </w:pPr>
            <w:r w:rsidRPr="004468B2">
              <w:rPr>
                <w:noProof/>
                <w:lang w:val="lv-LV"/>
              </w:rPr>
              <w:t xml:space="preserve">Direktīvas 2011/62/EK </w:t>
            </w:r>
            <w:r w:rsidRPr="004468B2">
              <w:rPr>
                <w:lang w:val="lv-LV"/>
              </w:rPr>
              <w:t xml:space="preserve">1.panta 20.punkts (attiecībā uz Direktīvas 2011/83 85 c panta 1.punkta b) </w:t>
            </w:r>
            <w:proofErr w:type="spellStart"/>
            <w:r w:rsidRPr="004468B2">
              <w:rPr>
                <w:lang w:val="lv-LV"/>
              </w:rPr>
              <w:t>ii</w:t>
            </w:r>
            <w:proofErr w:type="spellEnd"/>
            <w:r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803A1" w:rsidP="00D57AF2">
            <w:pPr>
              <w:pStyle w:val="NoSpacing"/>
              <w:jc w:val="both"/>
              <w:rPr>
                <w:rFonts w:ascii="Times New Roman" w:hAnsi="Times New Roman"/>
                <w:sz w:val="24"/>
                <w:szCs w:val="24"/>
              </w:rPr>
            </w:pPr>
            <w:r w:rsidRPr="004468B2">
              <w:rPr>
                <w:rFonts w:ascii="Times New Roman" w:hAnsi="Times New Roman"/>
                <w:sz w:val="24"/>
                <w:szCs w:val="24"/>
              </w:rPr>
              <w:t>1.30</w:t>
            </w:r>
            <w:r w:rsidR="00D57AF2" w:rsidRPr="004468B2">
              <w:rPr>
                <w:rFonts w:ascii="Times New Roman" w:hAnsi="Times New Roman"/>
                <w:sz w:val="24"/>
                <w:szCs w:val="24"/>
              </w:rPr>
              <w:t>. apakšpunkts (attiecībā uz jauno MK</w:t>
            </w:r>
            <w:r w:rsidR="004717E2" w:rsidRPr="004468B2">
              <w:rPr>
                <w:rFonts w:ascii="Times New Roman" w:hAnsi="Times New Roman"/>
                <w:sz w:val="24"/>
                <w:szCs w:val="24"/>
              </w:rPr>
              <w:t xml:space="preserve"> </w:t>
            </w:r>
            <w:r w:rsidR="00D57AF2" w:rsidRPr="004468B2">
              <w:rPr>
                <w:rFonts w:ascii="Times New Roman" w:hAnsi="Times New Roman"/>
                <w:sz w:val="24"/>
                <w:szCs w:val="24"/>
              </w:rPr>
              <w:t>noteikumu 100.4.apakšpunktu)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3E2EB3">
            <w:pPr>
              <w:jc w:val="both"/>
              <w:rPr>
                <w:lang w:val="lv-LV"/>
              </w:rPr>
            </w:pPr>
            <w:r w:rsidRPr="004468B2">
              <w:rPr>
                <w:lang w:val="lv-LV"/>
              </w:rPr>
              <w:t>Stingrākas prasības neparedz.</w:t>
            </w:r>
          </w:p>
        </w:tc>
      </w:tr>
      <w:tr w:rsidR="00D57AF2"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4134D0">
            <w:pPr>
              <w:jc w:val="both"/>
              <w:rPr>
                <w:noProof/>
                <w:lang w:val="lv-LV"/>
              </w:rPr>
            </w:pPr>
            <w:r w:rsidRPr="004468B2">
              <w:rPr>
                <w:noProof/>
                <w:lang w:val="lv-LV"/>
              </w:rPr>
              <w:t xml:space="preserve">Direktīvas 2011/62/EK </w:t>
            </w:r>
            <w:r w:rsidRPr="004468B2">
              <w:rPr>
                <w:lang w:val="lv-LV"/>
              </w:rPr>
              <w:t xml:space="preserve">1.panta 20.punkts (attiecībā uz Direktīvas 2011/83 85 c panta 1.punkta b) </w:t>
            </w:r>
            <w:proofErr w:type="spellStart"/>
            <w:r w:rsidRPr="004468B2">
              <w:rPr>
                <w:lang w:val="lv-LV"/>
              </w:rPr>
              <w:t>iii</w:t>
            </w:r>
            <w:proofErr w:type="spellEnd"/>
            <w:r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803A1" w:rsidP="000F61F2">
            <w:pPr>
              <w:pStyle w:val="NoSpacing"/>
              <w:jc w:val="both"/>
              <w:rPr>
                <w:rFonts w:ascii="Times New Roman" w:hAnsi="Times New Roman"/>
                <w:sz w:val="24"/>
                <w:szCs w:val="24"/>
              </w:rPr>
            </w:pPr>
            <w:r w:rsidRPr="004468B2">
              <w:rPr>
                <w:rFonts w:ascii="Times New Roman" w:hAnsi="Times New Roman"/>
                <w:sz w:val="24"/>
                <w:szCs w:val="24"/>
              </w:rPr>
              <w:t>1.31</w:t>
            </w:r>
            <w:r w:rsidR="00D57AF2"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3E2EB3">
            <w:pPr>
              <w:jc w:val="both"/>
              <w:rPr>
                <w:lang w:val="lv-LV"/>
              </w:rPr>
            </w:pPr>
            <w:r w:rsidRPr="004468B2">
              <w:rPr>
                <w:lang w:val="lv-LV"/>
              </w:rPr>
              <w:t>Stingrākas prasības neparedz.</w:t>
            </w:r>
          </w:p>
        </w:tc>
      </w:tr>
      <w:tr w:rsidR="00D57AF2"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D57AF2" w:rsidP="004134D0">
            <w:pPr>
              <w:jc w:val="both"/>
              <w:rPr>
                <w:noProof/>
                <w:lang w:val="lv-LV"/>
              </w:rPr>
            </w:pPr>
            <w:r w:rsidRPr="004468B2">
              <w:rPr>
                <w:noProof/>
                <w:lang w:val="lv-LV"/>
              </w:rPr>
              <w:lastRenderedPageBreak/>
              <w:t xml:space="preserve">Direktīvas 2011/62/EK </w:t>
            </w:r>
            <w:r w:rsidRPr="004468B2">
              <w:rPr>
                <w:lang w:val="lv-LV"/>
              </w:rPr>
              <w:t xml:space="preserve">1.panta 20.punkts (attiecībā uz Direktīvas 2011/83 85 c panta 1.punkta b) </w:t>
            </w:r>
            <w:proofErr w:type="spellStart"/>
            <w:r w:rsidRPr="004468B2">
              <w:rPr>
                <w:lang w:val="lv-LV"/>
              </w:rPr>
              <w:t>iv</w:t>
            </w:r>
            <w:proofErr w:type="spellEnd"/>
            <w:r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E5318D" w:rsidP="000F61F2">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E5318D" w:rsidP="0082441D">
            <w:pPr>
              <w:jc w:val="both"/>
              <w:rPr>
                <w:lang w:val="lv-LV"/>
              </w:rPr>
            </w:pPr>
            <w:r w:rsidRPr="004468B2">
              <w:rPr>
                <w:lang w:val="lv-LV"/>
              </w:rPr>
              <w:t>Nav jāievieš, jo MK noteikumu Nr</w:t>
            </w:r>
            <w:r w:rsidR="009C1906" w:rsidRPr="004468B2">
              <w:rPr>
                <w:lang w:val="lv-LV"/>
              </w:rPr>
              <w:t>.</w:t>
            </w:r>
            <w:r w:rsidRPr="004468B2">
              <w:rPr>
                <w:lang w:val="lv-LV"/>
              </w:rPr>
              <w:t xml:space="preserve">416 99.punkts nosaka, ka </w:t>
            </w:r>
            <w:r w:rsidR="004717E2" w:rsidRPr="004468B2">
              <w:rPr>
                <w:lang w:val="lv-LV"/>
              </w:rPr>
              <w:t>a</w:t>
            </w:r>
            <w:r w:rsidRPr="004468B2">
              <w:rPr>
                <w:lang w:val="lv-LV"/>
              </w:rPr>
              <w:t>r tīmekļa starpniecību ir atļauts izplatīt iedzīvotājiem (Latvijas Republikas teritorijā) tikai bezrecepšu zāles.</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57AF2" w:rsidRPr="004468B2" w:rsidRDefault="009C1906" w:rsidP="003E2EB3">
            <w:pPr>
              <w:jc w:val="both"/>
              <w:rPr>
                <w:lang w:val="lv-LV"/>
              </w:rPr>
            </w:pPr>
            <w:r w:rsidRPr="004468B2">
              <w:rPr>
                <w:lang w:val="lv-LV"/>
              </w:rPr>
              <w:t>Na</w:t>
            </w:r>
            <w:r w:rsidR="00E5318D" w:rsidRPr="004468B2">
              <w:rPr>
                <w:lang w:val="lv-LV"/>
              </w:rPr>
              <w:t>v</w:t>
            </w:r>
          </w:p>
        </w:tc>
      </w:tr>
      <w:tr w:rsidR="003D0645"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D0645" w:rsidRPr="004468B2" w:rsidRDefault="003D0645"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1.punkta c))</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D0645" w:rsidRPr="004468B2" w:rsidRDefault="00FA46CA" w:rsidP="00B3280F">
            <w:pPr>
              <w:pStyle w:val="NoSpacing"/>
              <w:jc w:val="both"/>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bCs/>
                <w:sz w:val="24"/>
                <w:szCs w:val="24"/>
              </w:rPr>
              <w:t xml:space="preserve">MK noteikumiem Nr.416 </w:t>
            </w:r>
            <w:r w:rsidR="007073D3" w:rsidRPr="004468B2">
              <w:rPr>
                <w:rFonts w:ascii="Times New Roman" w:hAnsi="Times New Roman"/>
                <w:bCs/>
                <w:sz w:val="24"/>
                <w:szCs w:val="24"/>
              </w:rPr>
              <w:t>99</w:t>
            </w:r>
            <w:r w:rsidRPr="004468B2">
              <w:rPr>
                <w:rFonts w:ascii="Times New Roman" w:hAnsi="Times New Roman"/>
                <w:bCs/>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D0645" w:rsidRPr="004468B2" w:rsidRDefault="003D0645"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D0645" w:rsidRPr="004468B2" w:rsidRDefault="003D0645" w:rsidP="003E2EB3">
            <w:pPr>
              <w:jc w:val="both"/>
              <w:rPr>
                <w:lang w:val="lv-LV"/>
              </w:rPr>
            </w:pPr>
            <w:r w:rsidRPr="004468B2">
              <w:rPr>
                <w:lang w:val="lv-LV"/>
              </w:rPr>
              <w:t>Stingrākas prasības neparedz.</w:t>
            </w:r>
          </w:p>
        </w:tc>
      </w:tr>
      <w:tr w:rsidR="00F5201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F5201C"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1.punkta d) i))</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D803A1" w:rsidP="00B3280F">
            <w:pPr>
              <w:pStyle w:val="NoSpacing"/>
              <w:jc w:val="both"/>
              <w:rPr>
                <w:rFonts w:ascii="Times New Roman" w:hAnsi="Times New Roman"/>
                <w:sz w:val="24"/>
                <w:szCs w:val="24"/>
              </w:rPr>
            </w:pPr>
            <w:r w:rsidRPr="004468B2">
              <w:rPr>
                <w:rFonts w:ascii="Times New Roman" w:hAnsi="Times New Roman"/>
                <w:sz w:val="24"/>
                <w:szCs w:val="24"/>
              </w:rPr>
              <w:t>1.33</w:t>
            </w:r>
            <w:r w:rsidR="00F5201C"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F5201C"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F5201C" w:rsidP="003E2EB3">
            <w:pPr>
              <w:jc w:val="both"/>
              <w:rPr>
                <w:lang w:val="lv-LV"/>
              </w:rPr>
            </w:pPr>
            <w:r w:rsidRPr="004468B2">
              <w:rPr>
                <w:lang w:val="lv-LV"/>
              </w:rPr>
              <w:t>Stingrākas prasības neparedz.</w:t>
            </w:r>
          </w:p>
        </w:tc>
      </w:tr>
      <w:tr w:rsidR="00B77E67"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77E67" w:rsidRPr="004468B2" w:rsidRDefault="00B77E67" w:rsidP="004134D0">
            <w:pPr>
              <w:jc w:val="both"/>
              <w:rPr>
                <w:noProof/>
                <w:lang w:val="lv-LV"/>
              </w:rPr>
            </w:pPr>
            <w:r w:rsidRPr="004468B2">
              <w:rPr>
                <w:noProof/>
                <w:lang w:val="lv-LV"/>
              </w:rPr>
              <w:t xml:space="preserve">Direktīvas 2011/62/EK </w:t>
            </w:r>
            <w:r w:rsidRPr="004468B2">
              <w:rPr>
                <w:lang w:val="lv-LV"/>
              </w:rPr>
              <w:t xml:space="preserve">1.panta 20.punkts (attiecībā uz Direktīvas 2011/83 85 c panta 1.punkta d) </w:t>
            </w:r>
            <w:proofErr w:type="spellStart"/>
            <w:r w:rsidRPr="004468B2">
              <w:rPr>
                <w:lang w:val="lv-LV"/>
              </w:rPr>
              <w:t>ii</w:t>
            </w:r>
            <w:proofErr w:type="spellEnd"/>
            <w:r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77E67" w:rsidRPr="004468B2" w:rsidRDefault="00D803A1" w:rsidP="000F61F2">
            <w:pPr>
              <w:pStyle w:val="NoSpacing"/>
              <w:jc w:val="both"/>
              <w:rPr>
                <w:rFonts w:ascii="Times New Roman" w:hAnsi="Times New Roman"/>
                <w:sz w:val="24"/>
                <w:szCs w:val="24"/>
              </w:rPr>
            </w:pPr>
            <w:r w:rsidRPr="004468B2">
              <w:rPr>
                <w:rFonts w:ascii="Times New Roman" w:hAnsi="Times New Roman"/>
                <w:sz w:val="24"/>
                <w:szCs w:val="24"/>
              </w:rPr>
              <w:t>1.32</w:t>
            </w:r>
            <w:r w:rsidR="00B77E67"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77E67" w:rsidRPr="004468B2" w:rsidRDefault="00B77E67"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77E67" w:rsidRPr="004468B2" w:rsidRDefault="00B77E67" w:rsidP="003E2EB3">
            <w:pPr>
              <w:jc w:val="both"/>
              <w:rPr>
                <w:lang w:val="lv-LV"/>
              </w:rPr>
            </w:pPr>
            <w:r w:rsidRPr="004468B2">
              <w:rPr>
                <w:lang w:val="lv-LV"/>
              </w:rPr>
              <w:t>Stingrākas prasības neparedz.</w:t>
            </w:r>
          </w:p>
        </w:tc>
      </w:tr>
      <w:tr w:rsidR="00F5201C"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F5201C" w:rsidP="004134D0">
            <w:pPr>
              <w:jc w:val="both"/>
              <w:rPr>
                <w:noProof/>
                <w:lang w:val="lv-LV"/>
              </w:rPr>
            </w:pPr>
            <w:r w:rsidRPr="004468B2">
              <w:rPr>
                <w:noProof/>
                <w:lang w:val="lv-LV"/>
              </w:rPr>
              <w:lastRenderedPageBreak/>
              <w:t xml:space="preserve">Direktīvas 2011/62/EK </w:t>
            </w:r>
            <w:r w:rsidRPr="004468B2">
              <w:rPr>
                <w:lang w:val="lv-LV"/>
              </w:rPr>
              <w:t xml:space="preserve">1.panta 20.punkts (attiecībā uz Direktīvas 2011/83 85 c panta 1.punkta d) </w:t>
            </w:r>
            <w:proofErr w:type="spellStart"/>
            <w:r w:rsidRPr="004468B2">
              <w:rPr>
                <w:lang w:val="lv-LV"/>
              </w:rPr>
              <w:t>iii</w:t>
            </w:r>
            <w:proofErr w:type="spellEnd"/>
            <w:r w:rsidRPr="004468B2">
              <w:rPr>
                <w:lang w:val="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B77E67" w:rsidP="00F5201C">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77E67" w:rsidRPr="004468B2" w:rsidRDefault="00B77E67" w:rsidP="00B77E67">
            <w:pPr>
              <w:pStyle w:val="NoSpacing"/>
              <w:jc w:val="both"/>
              <w:rPr>
                <w:rFonts w:ascii="Times New Roman" w:hAnsi="Times New Roman"/>
                <w:sz w:val="24"/>
                <w:szCs w:val="24"/>
              </w:rPr>
            </w:pPr>
            <w:r w:rsidRPr="004468B2">
              <w:rPr>
                <w:rFonts w:ascii="Times New Roman" w:hAnsi="Times New Roman"/>
                <w:sz w:val="24"/>
                <w:szCs w:val="24"/>
              </w:rPr>
              <w:t xml:space="preserve">Pilnībā direktīvas normas tiks pārņemtas pēc tam, kad Eiropas Komisijas pieņems īstenošanas aktu attiecībā uz: </w:t>
            </w:r>
          </w:p>
          <w:p w:rsidR="00B77E67" w:rsidRPr="004468B2" w:rsidRDefault="00B77E67" w:rsidP="00B77E67">
            <w:pPr>
              <w:pStyle w:val="NoSpacing"/>
              <w:jc w:val="both"/>
              <w:rPr>
                <w:rFonts w:ascii="Times New Roman" w:hAnsi="Times New Roman"/>
                <w:sz w:val="24"/>
                <w:szCs w:val="24"/>
              </w:rPr>
            </w:pPr>
            <w:r w:rsidRPr="004468B2">
              <w:rPr>
                <w:rFonts w:ascii="Times New Roman" w:hAnsi="Times New Roman"/>
                <w:sz w:val="24"/>
                <w:szCs w:val="24"/>
              </w:rPr>
              <w:t xml:space="preserve">a) tehniskajām, elektroniskajām un kriptogrāfiskajām prasībām, lai varētu pārbaudīt vienotā logotipa autentiskumu; </w:t>
            </w:r>
          </w:p>
          <w:p w:rsidR="00F5201C" w:rsidRPr="004468B2" w:rsidRDefault="00B77E67" w:rsidP="00B77E67">
            <w:pPr>
              <w:jc w:val="both"/>
              <w:rPr>
                <w:lang w:val="lv-LV"/>
              </w:rPr>
            </w:pPr>
            <w:r w:rsidRPr="004468B2">
              <w:rPr>
                <w:lang w:val="lv-LV"/>
              </w:rPr>
              <w:t>b) vienotā logotipa dizainu, kuru pieņemšana paredzēta 2013.gadā, kad vajadzēs izdarīt grozījumus MK noteikumos Nr.416</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201C" w:rsidRPr="004468B2" w:rsidRDefault="00B77E67" w:rsidP="003E2EB3">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2.punktu)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A04982">
            <w:pPr>
              <w:pStyle w:val="NoSpacing"/>
              <w:jc w:val="both"/>
              <w:rPr>
                <w:rFonts w:ascii="Times New Roman" w:hAnsi="Times New Roman"/>
                <w:sz w:val="24"/>
                <w:szCs w:val="24"/>
              </w:rPr>
            </w:pPr>
            <w:r w:rsidRPr="004468B2">
              <w:rPr>
                <w:rFonts w:ascii="Times New Roman" w:hAnsi="Times New Roman"/>
                <w:sz w:val="24"/>
                <w:szCs w:val="24"/>
              </w:rPr>
              <w:t>Direktīvas norma ir ieviesta MK</w:t>
            </w:r>
            <w:r w:rsidR="004717E2" w:rsidRPr="004468B2">
              <w:rPr>
                <w:rFonts w:ascii="Times New Roman" w:hAnsi="Times New Roman"/>
                <w:sz w:val="24"/>
                <w:szCs w:val="24"/>
              </w:rPr>
              <w:t xml:space="preserve"> </w:t>
            </w:r>
            <w:r w:rsidR="00A04982" w:rsidRPr="004468B2">
              <w:rPr>
                <w:rFonts w:ascii="Times New Roman" w:hAnsi="Times New Roman"/>
                <w:sz w:val="24"/>
                <w:szCs w:val="24"/>
              </w:rPr>
              <w:t>noteikumo</w:t>
            </w:r>
            <w:r w:rsidRPr="004468B2">
              <w:rPr>
                <w:rFonts w:ascii="Times New Roman" w:hAnsi="Times New Roman"/>
                <w:sz w:val="24"/>
                <w:szCs w:val="24"/>
              </w:rPr>
              <w:t>s</w:t>
            </w:r>
            <w:r w:rsidR="00A04982" w:rsidRPr="004468B2">
              <w:rPr>
                <w:rFonts w:ascii="Times New Roman" w:hAnsi="Times New Roman"/>
                <w:sz w:val="24"/>
                <w:szCs w:val="24"/>
              </w:rPr>
              <w:t xml:space="preserve"> N</w:t>
            </w:r>
            <w:r w:rsidRPr="004468B2">
              <w:rPr>
                <w:rFonts w:ascii="Times New Roman" w:hAnsi="Times New Roman"/>
                <w:sz w:val="24"/>
                <w:szCs w:val="24"/>
              </w:rPr>
              <w:t xml:space="preserve">r.416 (100.1., 100.2., 101., </w:t>
            </w:r>
            <w:r w:rsidR="003D0645" w:rsidRPr="004468B2">
              <w:rPr>
                <w:rFonts w:ascii="Times New Roman" w:hAnsi="Times New Roman"/>
                <w:sz w:val="24"/>
                <w:szCs w:val="24"/>
              </w:rPr>
              <w:t>103.1. un 1</w:t>
            </w:r>
            <w:r w:rsidRPr="004468B2">
              <w:rPr>
                <w:rFonts w:ascii="Times New Roman" w:hAnsi="Times New Roman"/>
                <w:sz w:val="24"/>
                <w:szCs w:val="24"/>
              </w:rPr>
              <w:t>03.2.apakšpunkts).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82441D">
            <w:pPr>
              <w:jc w:val="both"/>
              <w:rPr>
                <w:lang w:val="lv-LV"/>
              </w:rPr>
            </w:pPr>
            <w:r w:rsidRPr="004468B2">
              <w:rPr>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2EB3">
            <w:pPr>
              <w:jc w:val="both"/>
              <w:rPr>
                <w:lang w:val="lv-LV"/>
              </w:rPr>
            </w:pPr>
            <w:r w:rsidRPr="004468B2">
              <w:rPr>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5252E8">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82441D">
            <w:pPr>
              <w:jc w:val="both"/>
              <w:rPr>
                <w:lang w:val="lv-LV"/>
              </w:rPr>
            </w:pPr>
            <w:r w:rsidRPr="004468B2">
              <w:rPr>
                <w:lang w:val="lv-LV"/>
              </w:rPr>
              <w:t>Nav jā</w:t>
            </w:r>
            <w:r w:rsidR="007E5094" w:rsidRPr="004468B2">
              <w:rPr>
                <w:lang w:val="lv-LV"/>
              </w:rPr>
              <w:t>ievieš, jo attiecas uz Eiropas K</w:t>
            </w:r>
            <w:r w:rsidRPr="004468B2">
              <w:rPr>
                <w:lang w:val="lv-LV"/>
              </w:rPr>
              <w:t>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2EB3">
            <w:pPr>
              <w:jc w:val="both"/>
              <w:rPr>
                <w:lang w:val="lv-LV"/>
              </w:rPr>
            </w:pPr>
            <w:r w:rsidRPr="004468B2">
              <w:rPr>
                <w:lang w:val="lv-LV"/>
              </w:rPr>
              <w:t>Nav</w:t>
            </w:r>
          </w:p>
        </w:tc>
      </w:tr>
      <w:tr w:rsidR="00237965"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7965" w:rsidRPr="004468B2" w:rsidRDefault="00237965"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4.punktu)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7965" w:rsidRPr="004468B2" w:rsidRDefault="00D803A1" w:rsidP="005252E8">
            <w:pPr>
              <w:pStyle w:val="NoSpacing"/>
              <w:jc w:val="both"/>
              <w:rPr>
                <w:rFonts w:ascii="Times New Roman" w:hAnsi="Times New Roman"/>
                <w:sz w:val="24"/>
                <w:szCs w:val="24"/>
              </w:rPr>
            </w:pPr>
            <w:r w:rsidRPr="004468B2">
              <w:rPr>
                <w:rFonts w:ascii="Times New Roman" w:hAnsi="Times New Roman"/>
                <w:sz w:val="24"/>
                <w:szCs w:val="24"/>
              </w:rPr>
              <w:t>1.33</w:t>
            </w:r>
            <w:r w:rsidR="00237965"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7965" w:rsidRPr="004468B2" w:rsidRDefault="00237965" w:rsidP="00237965">
            <w:pPr>
              <w:jc w:val="both"/>
              <w:rPr>
                <w:lang w:val="lv-LV"/>
              </w:rPr>
            </w:pPr>
            <w:r w:rsidRPr="004468B2">
              <w:rPr>
                <w:lang w:val="lv-LV"/>
              </w:rPr>
              <w:t>Direktīvas norma ieviesta daļēji  .</w:t>
            </w:r>
          </w:p>
          <w:p w:rsidR="00237965" w:rsidRPr="004468B2" w:rsidRDefault="00237965" w:rsidP="00237965">
            <w:pPr>
              <w:jc w:val="both"/>
              <w:rPr>
                <w:lang w:val="lv-LV"/>
              </w:rPr>
            </w:pPr>
            <w:r w:rsidRPr="004468B2">
              <w:rPr>
                <w:lang w:val="lv-LV"/>
              </w:rPr>
              <w:t>Pilnībā tiks ieviesta pēc ES vienotā logotipa apstiprināšanas pēc ES īstenošanas akta  pieņemšanas un spēkā stāšanās.</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7965" w:rsidRPr="004468B2" w:rsidRDefault="00237965" w:rsidP="00CC1341">
            <w:pPr>
              <w:jc w:val="both"/>
              <w:rPr>
                <w:lang w:val="lv-LV"/>
              </w:rPr>
            </w:pPr>
            <w:r w:rsidRPr="004468B2">
              <w:rPr>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20.punkts (attiecībā uz Direktīvas 2011/83 85 c panta 5.punktu)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5252E8">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362FE">
            <w:pPr>
              <w:jc w:val="both"/>
              <w:rPr>
                <w:lang w:val="lv-LV"/>
              </w:rPr>
            </w:pPr>
            <w:r w:rsidRPr="004468B2">
              <w:rPr>
                <w:lang w:val="lv-LV"/>
              </w:rPr>
              <w:t>Nav jāievieš, jo attiecas uz Eiropas Zāļu aģentūras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2EB3">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lastRenderedPageBreak/>
              <w:t xml:space="preserve">Direktīvas 2011/62/EK </w:t>
            </w:r>
            <w:r w:rsidRPr="004468B2">
              <w:rPr>
                <w:lang w:val="lv-LV"/>
              </w:rPr>
              <w:t>1.panta 20.punkts (attiecībā uz Direktīvas 2011/83 85 c panta 6.punktu)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717E2">
            <w:pPr>
              <w:pStyle w:val="NoSpacing"/>
              <w:jc w:val="both"/>
              <w:rPr>
                <w:rFonts w:ascii="Times New Roman" w:hAnsi="Times New Roman"/>
                <w:bCs/>
                <w:sz w:val="24"/>
                <w:szCs w:val="24"/>
              </w:rPr>
            </w:pPr>
            <w:r w:rsidRPr="004468B2">
              <w:rPr>
                <w:rFonts w:ascii="Times New Roman" w:hAnsi="Times New Roman"/>
                <w:sz w:val="24"/>
                <w:szCs w:val="24"/>
              </w:rPr>
              <w:t xml:space="preserve">Direktīvas norma ir ieviesta ar </w:t>
            </w:r>
            <w:r w:rsidRPr="004468B2">
              <w:rPr>
                <w:rFonts w:ascii="Times New Roman" w:hAnsi="Times New Roman"/>
                <w:bCs/>
                <w:sz w:val="24"/>
                <w:szCs w:val="24"/>
              </w:rPr>
              <w:t>Latvijas Administratīvo pārkāpumu kodeksu 46.</w:t>
            </w:r>
            <w:r w:rsidRPr="004468B2">
              <w:rPr>
                <w:rFonts w:ascii="Times New Roman" w:hAnsi="Times New Roman"/>
                <w:bCs/>
                <w:sz w:val="24"/>
                <w:szCs w:val="24"/>
                <w:vertAlign w:val="superscript"/>
              </w:rPr>
              <w:t xml:space="preserve">1 </w:t>
            </w:r>
            <w:r w:rsidRPr="004468B2">
              <w:rPr>
                <w:rFonts w:ascii="Times New Roman" w:hAnsi="Times New Roman"/>
                <w:bCs/>
                <w:sz w:val="24"/>
                <w:szCs w:val="24"/>
              </w:rPr>
              <w:t>pantu.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82441D">
            <w:pPr>
              <w:jc w:val="both"/>
              <w:rPr>
                <w:lang w:val="lv-LV"/>
              </w:rPr>
            </w:pPr>
            <w:r w:rsidRPr="004468B2">
              <w:rPr>
                <w:lang w:val="lv-LV"/>
              </w:rPr>
              <w:t xml:space="preserve">Direktīvas norma pārņemta </w:t>
            </w:r>
            <w:r w:rsidR="000C5C8F" w:rsidRPr="004468B2">
              <w:rPr>
                <w:lang w:val="lv-LV"/>
              </w:rPr>
              <w:t>pilnībā</w:t>
            </w:r>
            <w:r w:rsidRPr="004468B2">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2EB3">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12B1">
            <w:pPr>
              <w:jc w:val="both"/>
              <w:rPr>
                <w:noProof/>
                <w:lang w:val="lv-LV"/>
              </w:rPr>
            </w:pPr>
            <w:r w:rsidRPr="004468B2">
              <w:rPr>
                <w:noProof/>
                <w:lang w:val="lv-LV"/>
              </w:rPr>
              <w:t xml:space="preserve">Direktīvas 2011/62/EK </w:t>
            </w:r>
            <w:r w:rsidRPr="004468B2">
              <w:rPr>
                <w:lang w:val="lv-LV"/>
              </w:rPr>
              <w:t>1.panta 20.punkts (attiecībā uz Direktīvas 2011/83 85 d pantu)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5252E8">
            <w:pPr>
              <w:pStyle w:val="NoSpacing"/>
              <w:jc w:val="both"/>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82441D">
            <w:pPr>
              <w:jc w:val="both"/>
              <w:rPr>
                <w:lang w:val="lv-LV"/>
              </w:rPr>
            </w:pPr>
            <w:r w:rsidRPr="004468B2">
              <w:rPr>
                <w:lang w:val="lv-LV"/>
              </w:rPr>
              <w:t>Nav jā</w:t>
            </w:r>
            <w:r w:rsidR="00003487" w:rsidRPr="004468B2">
              <w:rPr>
                <w:lang w:val="lv-LV"/>
              </w:rPr>
              <w:t>ievieš, jo attiecas uz Eiropas K</w:t>
            </w:r>
            <w:r w:rsidRPr="004468B2">
              <w:rPr>
                <w:lang w:val="lv-LV"/>
              </w:rPr>
              <w:t>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E2EB3">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21.punkts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803A1" w:rsidP="00EB3546">
            <w:pPr>
              <w:pStyle w:val="NoSpacing"/>
              <w:rPr>
                <w:rFonts w:ascii="Times New Roman" w:hAnsi="Times New Roman"/>
                <w:sz w:val="24"/>
                <w:szCs w:val="24"/>
              </w:rPr>
            </w:pPr>
            <w:r w:rsidRPr="004468B2">
              <w:rPr>
                <w:rFonts w:ascii="Times New Roman" w:hAnsi="Times New Roman"/>
                <w:sz w:val="24"/>
                <w:szCs w:val="24"/>
              </w:rPr>
              <w:t>1.44. un 1.45</w:t>
            </w:r>
            <w:r w:rsidR="006658EA" w:rsidRPr="004468B2">
              <w:rPr>
                <w:rFonts w:ascii="Times New Roman" w:hAnsi="Times New Roman"/>
                <w:sz w:val="24"/>
                <w:szCs w:val="24"/>
              </w:rPr>
              <w:t>.apakšpunkts</w:t>
            </w:r>
          </w:p>
          <w:p w:rsidR="006658EA" w:rsidRPr="004468B2" w:rsidRDefault="006658EA" w:rsidP="00EB3546">
            <w:pPr>
              <w:pStyle w:val="NoSpacing"/>
              <w:rPr>
                <w:rFonts w:ascii="Times New Roman" w:hAnsi="Times New Roman"/>
                <w:sz w:val="24"/>
                <w:szCs w:val="24"/>
              </w:rPr>
            </w:pPr>
          </w:p>
          <w:p w:rsidR="006658EA" w:rsidRPr="004468B2" w:rsidRDefault="006658EA" w:rsidP="00E920C5">
            <w:pPr>
              <w:pStyle w:val="NoSpacing"/>
              <w:jc w:val="both"/>
              <w:rPr>
                <w:rFonts w:ascii="Times New Roman" w:hAnsi="Times New Roman"/>
                <w:bCs/>
                <w:sz w:val="24"/>
                <w:szCs w:val="24"/>
              </w:rPr>
            </w:pPr>
            <w:r w:rsidRPr="004468B2">
              <w:rPr>
                <w:rFonts w:ascii="Times New Roman" w:hAnsi="Times New Roman"/>
                <w:sz w:val="24"/>
                <w:szCs w:val="24"/>
              </w:rPr>
              <w:t xml:space="preserve">Direktīvas norma ir ieviesta daļēji ar </w:t>
            </w:r>
            <w:r w:rsidRPr="004468B2">
              <w:rPr>
                <w:rFonts w:ascii="Times New Roman" w:hAnsi="Times New Roman"/>
                <w:bCs/>
                <w:sz w:val="24"/>
                <w:szCs w:val="24"/>
              </w:rPr>
              <w:t xml:space="preserve">MK </w:t>
            </w:r>
            <w:r w:rsidR="00B73787" w:rsidRPr="004468B2">
              <w:rPr>
                <w:rFonts w:ascii="Times New Roman" w:hAnsi="Times New Roman"/>
                <w:bCs/>
                <w:sz w:val="24"/>
                <w:szCs w:val="24"/>
              </w:rPr>
              <w:t>noteikumiem Nr.304 un MK noteikumiem Nr.344</w:t>
            </w:r>
          </w:p>
          <w:p w:rsidR="00B73787" w:rsidRPr="004468B2" w:rsidRDefault="00B73787" w:rsidP="00E920C5">
            <w:pPr>
              <w:pStyle w:val="NoSpacing"/>
              <w:jc w:val="both"/>
              <w:rPr>
                <w:rFonts w:ascii="Times New Roman" w:hAnsi="Times New Roman"/>
                <w:sz w:val="24"/>
                <w:szCs w:val="24"/>
              </w:rPr>
            </w:pPr>
          </w:p>
          <w:p w:rsidR="006658EA" w:rsidRPr="004468B2" w:rsidRDefault="006658EA" w:rsidP="00B73787">
            <w:pPr>
              <w:pStyle w:val="NoSpacing"/>
              <w:jc w:val="both"/>
              <w:rPr>
                <w:rFonts w:ascii="Times New Roman" w:hAnsi="Times New Roman"/>
                <w:bCs/>
                <w:noProof/>
                <w:sz w:val="24"/>
                <w:szCs w:val="24"/>
              </w:rPr>
            </w:pPr>
            <w:r w:rsidRPr="004468B2">
              <w:rPr>
                <w:rFonts w:ascii="Times New Roman" w:hAnsi="Times New Roman"/>
                <w:noProof/>
                <w:sz w:val="24"/>
                <w:szCs w:val="24"/>
              </w:rPr>
              <w:t xml:space="preserve">Direktīvas norma tiks pārņemta </w:t>
            </w:r>
            <w:r w:rsidR="002F58B9" w:rsidRPr="004468B2">
              <w:rPr>
                <w:rFonts w:ascii="Times New Roman" w:hAnsi="Times New Roman"/>
                <w:noProof/>
                <w:sz w:val="24"/>
                <w:szCs w:val="24"/>
              </w:rPr>
              <w:t xml:space="preserve">pilnībā </w:t>
            </w:r>
            <w:r w:rsidRPr="004468B2">
              <w:rPr>
                <w:rFonts w:ascii="Times New Roman" w:hAnsi="Times New Roman"/>
                <w:noProof/>
                <w:sz w:val="24"/>
                <w:szCs w:val="24"/>
              </w:rPr>
              <w:t xml:space="preserve">ar grozījumiem </w:t>
            </w:r>
            <w:r w:rsidR="00B73787" w:rsidRPr="004468B2">
              <w:rPr>
                <w:rFonts w:ascii="Times New Roman" w:hAnsi="Times New Roman"/>
                <w:noProof/>
                <w:spacing w:val="-6"/>
                <w:sz w:val="24"/>
                <w:szCs w:val="24"/>
              </w:rPr>
              <w:t xml:space="preserve">MK </w:t>
            </w:r>
            <w:r w:rsidR="00E920C5" w:rsidRPr="004468B2">
              <w:rPr>
                <w:rFonts w:ascii="Times New Roman" w:hAnsi="Times New Roman"/>
                <w:noProof/>
                <w:spacing w:val="-6"/>
                <w:sz w:val="24"/>
                <w:szCs w:val="24"/>
              </w:rPr>
              <w:t>noteikumos</w:t>
            </w:r>
            <w:r w:rsidR="00B73787" w:rsidRPr="004468B2">
              <w:rPr>
                <w:rFonts w:ascii="Times New Roman" w:hAnsi="Times New Roman"/>
                <w:noProof/>
                <w:spacing w:val="-6"/>
                <w:sz w:val="24"/>
                <w:szCs w:val="24"/>
              </w:rPr>
              <w:t xml:space="preserve"> Nr.304</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633A7">
            <w:pPr>
              <w:jc w:val="both"/>
              <w:rPr>
                <w:lang w:val="lv-LV"/>
              </w:rPr>
            </w:pPr>
            <w:r w:rsidRPr="004468B2">
              <w:rPr>
                <w:lang w:val="lv-LV"/>
              </w:rPr>
              <w:t>Direktīvas norma pārņemta 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D25418">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54553E">
            <w:pPr>
              <w:jc w:val="both"/>
              <w:rPr>
                <w:spacing w:val="-6"/>
                <w:lang w:val="lv-LV"/>
              </w:rPr>
            </w:pPr>
            <w:r w:rsidRPr="004468B2">
              <w:rPr>
                <w:noProof/>
                <w:spacing w:val="-6"/>
                <w:lang w:val="lv-LV"/>
              </w:rPr>
              <w:t>Direktīvas 2011/62/EK 1.panta 21.punkts b) apakšpunkts (izņemot Direktīvas 2001/83 111.panta 6.punkta  pēdējo teikumu)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803A1" w:rsidP="00EB3546">
            <w:pPr>
              <w:pStyle w:val="NoSpacing"/>
              <w:jc w:val="both"/>
              <w:rPr>
                <w:rFonts w:ascii="Times New Roman" w:hAnsi="Times New Roman"/>
                <w:bCs/>
                <w:sz w:val="24"/>
                <w:szCs w:val="24"/>
              </w:rPr>
            </w:pPr>
            <w:r w:rsidRPr="004468B2">
              <w:rPr>
                <w:rFonts w:ascii="Times New Roman" w:hAnsi="Times New Roman"/>
                <w:bCs/>
                <w:sz w:val="24"/>
                <w:szCs w:val="24"/>
              </w:rPr>
              <w:t>1.44</w:t>
            </w:r>
            <w:r w:rsidR="006658EA" w:rsidRPr="004468B2">
              <w:rPr>
                <w:rFonts w:ascii="Times New Roman" w:hAnsi="Times New Roman"/>
                <w:bCs/>
                <w:sz w:val="24"/>
                <w:szCs w:val="24"/>
              </w:rPr>
              <w:t>.apakšpunkts</w:t>
            </w:r>
          </w:p>
          <w:p w:rsidR="006658EA" w:rsidRPr="004468B2" w:rsidRDefault="006658EA" w:rsidP="00EB3546">
            <w:pPr>
              <w:pStyle w:val="NoSpacing"/>
              <w:jc w:val="both"/>
              <w:rPr>
                <w:rFonts w:ascii="Times New Roman" w:hAnsi="Times New Roman"/>
                <w:bCs/>
                <w:sz w:val="24"/>
                <w:szCs w:val="24"/>
              </w:rPr>
            </w:pPr>
          </w:p>
          <w:p w:rsidR="006658EA" w:rsidRPr="004468B2" w:rsidRDefault="00336D51" w:rsidP="0039747A">
            <w:pPr>
              <w:pStyle w:val="NoSpacing"/>
              <w:jc w:val="both"/>
              <w:rPr>
                <w:rFonts w:ascii="Times New Roman" w:hAnsi="Times New Roman"/>
                <w:noProof/>
                <w:sz w:val="24"/>
                <w:szCs w:val="24"/>
              </w:rPr>
            </w:pPr>
            <w:r w:rsidRPr="004468B2">
              <w:rPr>
                <w:rFonts w:ascii="Times New Roman" w:hAnsi="Times New Roman"/>
                <w:sz w:val="24"/>
                <w:szCs w:val="24"/>
              </w:rPr>
              <w:t xml:space="preserve">Direktīvas norma ir ieviesta daļēji ar </w:t>
            </w:r>
            <w:r w:rsidR="006658EA" w:rsidRPr="004468B2">
              <w:rPr>
                <w:rFonts w:ascii="Times New Roman" w:hAnsi="Times New Roman"/>
                <w:bCs/>
                <w:noProof/>
                <w:sz w:val="24"/>
                <w:szCs w:val="24"/>
              </w:rPr>
              <w:t xml:space="preserve">MK </w:t>
            </w:r>
            <w:r w:rsidRPr="004468B2">
              <w:rPr>
                <w:rFonts w:ascii="Times New Roman" w:hAnsi="Times New Roman"/>
                <w:noProof/>
                <w:spacing w:val="-6"/>
                <w:sz w:val="24"/>
                <w:szCs w:val="24"/>
              </w:rPr>
              <w:t xml:space="preserve">noteikumiem Nr.304, MK noteikumiem Nr.344 </w:t>
            </w:r>
            <w:r w:rsidR="006658EA" w:rsidRPr="004468B2">
              <w:rPr>
                <w:rFonts w:ascii="Times New Roman" w:hAnsi="Times New Roman"/>
                <w:noProof/>
                <w:spacing w:val="-6"/>
                <w:sz w:val="24"/>
                <w:szCs w:val="24"/>
              </w:rPr>
              <w:t xml:space="preserve">un </w:t>
            </w:r>
            <w:r w:rsidR="006658EA" w:rsidRPr="004468B2">
              <w:rPr>
                <w:rFonts w:ascii="Times New Roman" w:hAnsi="Times New Roman"/>
                <w:bCs/>
                <w:noProof/>
                <w:sz w:val="24"/>
                <w:szCs w:val="24"/>
              </w:rPr>
              <w:t>Farmācijas likuma 61.</w:t>
            </w:r>
            <w:r w:rsidR="006658EA" w:rsidRPr="004468B2">
              <w:rPr>
                <w:rFonts w:ascii="Times New Roman" w:hAnsi="Times New Roman"/>
                <w:bCs/>
                <w:noProof/>
                <w:sz w:val="24"/>
                <w:szCs w:val="24"/>
                <w:vertAlign w:val="superscript"/>
              </w:rPr>
              <w:t>1</w:t>
            </w:r>
            <w:r w:rsidRPr="004468B2">
              <w:rPr>
                <w:rFonts w:ascii="Times New Roman" w:hAnsi="Times New Roman"/>
                <w:bCs/>
                <w:noProof/>
                <w:sz w:val="24"/>
                <w:szCs w:val="24"/>
              </w:rPr>
              <w:t>pantu</w:t>
            </w:r>
          </w:p>
          <w:p w:rsidR="006658EA" w:rsidRPr="004468B2" w:rsidRDefault="006658EA" w:rsidP="0039747A">
            <w:pPr>
              <w:pStyle w:val="NoSpacing"/>
              <w:jc w:val="both"/>
              <w:rPr>
                <w:rFonts w:ascii="Times New Roman" w:hAnsi="Times New Roman"/>
                <w:noProof/>
                <w:sz w:val="24"/>
                <w:szCs w:val="24"/>
              </w:rPr>
            </w:pPr>
          </w:p>
          <w:p w:rsidR="006658EA" w:rsidRPr="004468B2" w:rsidRDefault="002F58B9" w:rsidP="00336D51">
            <w:pPr>
              <w:pStyle w:val="NoSpacing"/>
              <w:jc w:val="both"/>
              <w:rPr>
                <w:rFonts w:ascii="Times New Roman" w:hAnsi="Times New Roman"/>
                <w:sz w:val="24"/>
                <w:szCs w:val="24"/>
              </w:rPr>
            </w:pPr>
            <w:r w:rsidRPr="004468B2">
              <w:rPr>
                <w:rFonts w:ascii="Times New Roman" w:hAnsi="Times New Roman"/>
                <w:noProof/>
                <w:sz w:val="24"/>
                <w:szCs w:val="24"/>
              </w:rPr>
              <w:t xml:space="preserve">Direktīvas norma tiks pārņemta pilnībā ar grozījumiem </w:t>
            </w:r>
            <w:r w:rsidR="00336D51" w:rsidRPr="004468B2">
              <w:rPr>
                <w:rFonts w:ascii="Times New Roman" w:hAnsi="Times New Roman"/>
                <w:noProof/>
                <w:spacing w:val="-6"/>
                <w:sz w:val="24"/>
                <w:szCs w:val="24"/>
              </w:rPr>
              <w:t>MK</w:t>
            </w:r>
            <w:r w:rsidRPr="004468B2">
              <w:rPr>
                <w:rFonts w:ascii="Times New Roman" w:hAnsi="Times New Roman"/>
                <w:noProof/>
                <w:spacing w:val="-6"/>
                <w:sz w:val="24"/>
                <w:szCs w:val="24"/>
              </w:rPr>
              <w:t xml:space="preserve">  noteikumos</w:t>
            </w:r>
            <w:r w:rsidR="00336D51" w:rsidRPr="004468B2">
              <w:rPr>
                <w:rFonts w:ascii="Times New Roman" w:hAnsi="Times New Roman"/>
                <w:noProof/>
                <w:spacing w:val="-6"/>
                <w:sz w:val="24"/>
                <w:szCs w:val="24"/>
              </w:rPr>
              <w:t xml:space="preserve"> Nr.304</w:t>
            </w:r>
            <w:r w:rsidRPr="004468B2">
              <w:rPr>
                <w:rFonts w:ascii="Times New Roman" w:hAnsi="Times New Roman"/>
                <w:noProof/>
                <w:spacing w:val="-6"/>
                <w:sz w:val="24"/>
                <w:szCs w:val="24"/>
              </w:rPr>
              <w:t xml:space="preserve"> </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lang w:val="lv-LV"/>
              </w:rPr>
            </w:pPr>
            <w:r w:rsidRPr="004468B2">
              <w:rPr>
                <w:lang w:val="lv-LV"/>
              </w:rPr>
              <w:t>Direktīvas norma pārņemta daļēji.</w:t>
            </w:r>
          </w:p>
          <w:p w:rsidR="006658EA" w:rsidRPr="004468B2" w:rsidRDefault="006658EA" w:rsidP="006541EF">
            <w:pPr>
              <w:jc w:val="both"/>
              <w:rPr>
                <w:lang w:val="lv-LV"/>
              </w:rPr>
            </w:pPr>
          </w:p>
          <w:p w:rsidR="006658EA" w:rsidRPr="004468B2" w:rsidRDefault="006658EA" w:rsidP="006541EF">
            <w:pPr>
              <w:jc w:val="both"/>
              <w:rPr>
                <w:lang w:val="lv-LV"/>
              </w:rPr>
            </w:pPr>
            <w:r w:rsidRPr="004468B2">
              <w:rPr>
                <w:noProof/>
                <w:spacing w:val="-6"/>
                <w:lang w:val="lv-LV"/>
              </w:rPr>
              <w:t>Direktīvas 2001/83 111.panta 6.punkta  pēdējai</w:t>
            </w:r>
            <w:r w:rsidR="00D127DD" w:rsidRPr="004468B2">
              <w:rPr>
                <w:noProof/>
                <w:spacing w:val="-6"/>
                <w:lang w:val="lv-LV"/>
              </w:rPr>
              <w:t>s</w:t>
            </w:r>
            <w:r w:rsidRPr="004468B2">
              <w:rPr>
                <w:noProof/>
                <w:spacing w:val="-6"/>
                <w:lang w:val="lv-LV"/>
              </w:rPr>
              <w:t xml:space="preserve"> teikums nav jāpārņem, jo norma par to, ka ES datu bāze (ES) ir publiski pieejama attiecas uz datu bāzes turētāja Eiropas Zāļu aģentūras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spacing w:val="-6"/>
                <w:lang w:val="lv-LV"/>
              </w:rPr>
            </w:pPr>
            <w:r w:rsidRPr="004468B2">
              <w:rPr>
                <w:noProof/>
                <w:spacing w:val="-6"/>
                <w:lang w:val="lv-LV"/>
              </w:rPr>
              <w:t>Direktīvas 2011/62/EK 1.panta 21.punkts c) apakšpunkts</w:t>
            </w:r>
          </w:p>
          <w:p w:rsidR="006658EA" w:rsidRPr="004468B2" w:rsidRDefault="006658EA" w:rsidP="006541EF">
            <w:pPr>
              <w:jc w:val="both"/>
              <w:rPr>
                <w:noProof/>
                <w:spacing w:val="-6"/>
                <w:lang w:val="lv-LV"/>
              </w:rPr>
            </w:pPr>
            <w:r w:rsidRPr="004468B2">
              <w:rPr>
                <w:rFonts w:eastAsia="Calibri"/>
                <w:noProof/>
                <w:sz w:val="19"/>
                <w:szCs w:val="19"/>
                <w:lang w:val="lv-LV" w:eastAsia="lv-LV"/>
              </w:rPr>
              <w:t>.</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noProof/>
                <w:sz w:val="24"/>
                <w:szCs w:val="24"/>
              </w:rPr>
            </w:pPr>
            <w:r w:rsidRPr="004468B2">
              <w:rPr>
                <w:rFonts w:ascii="Times New Roman" w:hAnsi="Times New Roman"/>
                <w:noProof/>
                <w:sz w:val="24"/>
                <w:szCs w:val="24"/>
              </w:rPr>
              <w:t>1.4</w:t>
            </w:r>
            <w:r w:rsidR="00D803A1" w:rsidRPr="004468B2">
              <w:rPr>
                <w:rFonts w:ascii="Times New Roman" w:hAnsi="Times New Roman"/>
                <w:noProof/>
                <w:sz w:val="24"/>
                <w:szCs w:val="24"/>
              </w:rPr>
              <w:t>4</w:t>
            </w:r>
            <w:r w:rsidRPr="004468B2">
              <w:rPr>
                <w:rFonts w:ascii="Times New Roman" w:hAnsi="Times New Roman"/>
                <w:noProof/>
                <w:sz w:val="24"/>
                <w:szCs w:val="24"/>
              </w:rPr>
              <w:t>.apakšpunkts</w:t>
            </w:r>
          </w:p>
          <w:p w:rsidR="00336D51" w:rsidRPr="004468B2" w:rsidRDefault="00336D51" w:rsidP="006541EF">
            <w:pPr>
              <w:pStyle w:val="NoSpacing"/>
              <w:jc w:val="both"/>
              <w:rPr>
                <w:rFonts w:ascii="Times New Roman" w:hAnsi="Times New Roman"/>
                <w:noProof/>
                <w:sz w:val="24"/>
                <w:szCs w:val="24"/>
              </w:rPr>
            </w:pPr>
          </w:p>
          <w:p w:rsidR="00336D51" w:rsidRPr="004468B2" w:rsidRDefault="00336D51" w:rsidP="00336D51">
            <w:pPr>
              <w:pStyle w:val="NoSpacing"/>
              <w:jc w:val="both"/>
              <w:rPr>
                <w:rFonts w:ascii="Times New Roman" w:hAnsi="Times New Roman"/>
                <w:bCs/>
                <w:sz w:val="24"/>
                <w:szCs w:val="24"/>
              </w:rPr>
            </w:pPr>
            <w:r w:rsidRPr="004468B2">
              <w:rPr>
                <w:rFonts w:ascii="Times New Roman" w:hAnsi="Times New Roman"/>
                <w:sz w:val="24"/>
                <w:szCs w:val="24"/>
              </w:rPr>
              <w:t xml:space="preserve">Direktīvas norma ir ieviesta daļēji ar </w:t>
            </w:r>
            <w:r w:rsidRPr="004468B2">
              <w:rPr>
                <w:rFonts w:ascii="Times New Roman" w:hAnsi="Times New Roman"/>
                <w:bCs/>
                <w:sz w:val="24"/>
                <w:szCs w:val="24"/>
              </w:rPr>
              <w:t>MK noteikumiem Nr.344</w:t>
            </w:r>
          </w:p>
          <w:p w:rsidR="006658EA" w:rsidRPr="004468B2" w:rsidRDefault="006658EA" w:rsidP="006541EF">
            <w:pPr>
              <w:pStyle w:val="NoSpacing"/>
              <w:jc w:val="both"/>
              <w:rPr>
                <w:rFonts w:ascii="Times New Roman" w:hAnsi="Times New Roman"/>
                <w:noProof/>
                <w:sz w:val="24"/>
                <w:szCs w:val="24"/>
              </w:rPr>
            </w:pPr>
          </w:p>
          <w:p w:rsidR="006658EA" w:rsidRPr="004468B2" w:rsidRDefault="006658EA" w:rsidP="00336D51">
            <w:pPr>
              <w:pStyle w:val="NoSpacing"/>
              <w:jc w:val="both"/>
              <w:rPr>
                <w:rFonts w:ascii="Times New Roman" w:hAnsi="Times New Roman"/>
                <w:noProof/>
                <w:sz w:val="24"/>
                <w:szCs w:val="24"/>
              </w:rPr>
            </w:pPr>
            <w:r w:rsidRPr="004468B2">
              <w:rPr>
                <w:rFonts w:ascii="Times New Roman" w:hAnsi="Times New Roman"/>
                <w:noProof/>
                <w:sz w:val="24"/>
                <w:szCs w:val="24"/>
              </w:rPr>
              <w:t xml:space="preserve">Direktīvas norma tiks pārņemta ar grozījumiem </w:t>
            </w:r>
            <w:r w:rsidRPr="004468B2">
              <w:rPr>
                <w:rFonts w:ascii="Times New Roman" w:hAnsi="Times New Roman"/>
                <w:noProof/>
                <w:spacing w:val="-6"/>
                <w:sz w:val="24"/>
                <w:szCs w:val="24"/>
              </w:rPr>
              <w:t>MK noteikumos Nr.304</w:t>
            </w:r>
            <w:r w:rsidRPr="004468B2">
              <w:rPr>
                <w:rFonts w:ascii="Times New Roman" w:hAnsi="Times New Roman"/>
                <w:noProof/>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norma pārņemta 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spacing w:val="-6"/>
                <w:lang w:val="lv-LV"/>
              </w:rPr>
            </w:pPr>
            <w:r w:rsidRPr="004468B2">
              <w:rPr>
                <w:noProof/>
                <w:spacing w:val="-6"/>
                <w:lang w:val="lv-LV"/>
              </w:rPr>
              <w:lastRenderedPageBreak/>
              <w:t>Direktīvas 2011/62/EK 1.panta 21.punkts d) apakšpunkts</w:t>
            </w:r>
          </w:p>
          <w:p w:rsidR="006658EA" w:rsidRPr="004468B2" w:rsidRDefault="006658EA" w:rsidP="006541EF">
            <w:pPr>
              <w:jc w:val="both"/>
              <w:rPr>
                <w:noProof/>
                <w:spacing w:val="-6"/>
                <w:lang w:val="lv-LV"/>
              </w:rPr>
            </w:pP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776BB">
            <w:pPr>
              <w:pStyle w:val="NoSpacing"/>
              <w:jc w:val="both"/>
              <w:rPr>
                <w:rFonts w:ascii="Times New Roman" w:hAnsi="Times New Roman"/>
                <w:noProof/>
                <w:sz w:val="24"/>
                <w:szCs w:val="24"/>
              </w:rPr>
            </w:pPr>
            <w:r w:rsidRPr="004468B2">
              <w:rPr>
                <w:rFonts w:ascii="Times New Roman" w:hAnsi="Times New Roman"/>
                <w:noProof/>
                <w:sz w:val="24"/>
                <w:szCs w:val="24"/>
              </w:rPr>
              <w:t>Ministru kabineta 2013.gada 22.janvāra noteikumi Nr.47 ”Farmakovigilances kārtība” (56.punkts)</w:t>
            </w:r>
            <w:r w:rsidR="00B776BB" w:rsidRPr="004468B2">
              <w:rPr>
                <w:rFonts w:ascii="Times New Roman" w:hAnsi="Times New Roman"/>
                <w:noProof/>
                <w:sz w:val="24"/>
                <w:szCs w:val="24"/>
              </w:rPr>
              <w:t xml:space="preserve"> (turpmā - </w:t>
            </w:r>
            <w:r w:rsidR="00B92B7C" w:rsidRPr="004468B2">
              <w:rPr>
                <w:rFonts w:ascii="Times New Roman" w:hAnsi="Times New Roman"/>
                <w:noProof/>
                <w:sz w:val="24"/>
                <w:szCs w:val="24"/>
              </w:rPr>
              <w:t>noteikumi Nr.47)</w:t>
            </w:r>
            <w:r w:rsidRPr="004468B2">
              <w:rPr>
                <w:rFonts w:ascii="Times New Roman" w:hAnsi="Times New Roman"/>
                <w:noProof/>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norma pārņemta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2011/62/EK 1.panta 22.punkts (Direktīvas 2001/83 111a panta 1.paragrāfs un 111b 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noProof/>
                <w:sz w:val="24"/>
                <w:szCs w:val="24"/>
              </w:rPr>
            </w:pPr>
            <w:r w:rsidRPr="004468B2">
              <w:rPr>
                <w:rFonts w:ascii="Times New Roman" w:hAnsi="Times New Roman"/>
                <w:noProof/>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spacing w:val="-3"/>
                <w:lang w:val="lv-LV"/>
              </w:rPr>
              <w:t>Nav jāpārņem, jo norma attiecināma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2011/62/EK 1.panta 22.punkts (Direktīvas 2001/83 111a panta 2.paragrāfs).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295843" w:rsidP="006541EF">
            <w:pPr>
              <w:jc w:val="both"/>
              <w:rPr>
                <w:noProof/>
                <w:lang w:val="lv-LV"/>
              </w:rPr>
            </w:pPr>
            <w:r w:rsidRPr="004468B2">
              <w:rPr>
                <w:noProof/>
                <w:lang w:val="lv-LV"/>
              </w:rPr>
              <w:t>1.55</w:t>
            </w:r>
            <w:r w:rsidR="006658EA" w:rsidRPr="004468B2">
              <w:rPr>
                <w:noProof/>
                <w:lang w:val="lv-LV"/>
              </w:rPr>
              <w:t>.apakšpunkts (zāļu labas izplatīšanas prakses sertifikāta forma).</w:t>
            </w:r>
          </w:p>
          <w:p w:rsidR="006658EA" w:rsidRPr="004468B2" w:rsidRDefault="006658EA" w:rsidP="006541EF">
            <w:pPr>
              <w:jc w:val="both"/>
              <w:rPr>
                <w:noProof/>
                <w:lang w:val="lv-LV"/>
              </w:rPr>
            </w:pPr>
          </w:p>
          <w:p w:rsidR="00E031B7" w:rsidRPr="004468B2" w:rsidRDefault="00E031B7" w:rsidP="00E031B7">
            <w:pPr>
              <w:pStyle w:val="NoSpacing"/>
              <w:jc w:val="both"/>
              <w:rPr>
                <w:rFonts w:ascii="Times New Roman" w:hAnsi="Times New Roman"/>
                <w:sz w:val="24"/>
                <w:szCs w:val="24"/>
              </w:rPr>
            </w:pPr>
            <w:r w:rsidRPr="004468B2">
              <w:rPr>
                <w:rFonts w:ascii="Times New Roman" w:hAnsi="Times New Roman"/>
                <w:sz w:val="24"/>
                <w:szCs w:val="24"/>
              </w:rPr>
              <w:t xml:space="preserve">Direktīvas norma ir ieviesta daļēji ar </w:t>
            </w:r>
            <w:r w:rsidRPr="004468B2">
              <w:rPr>
                <w:rFonts w:ascii="Times New Roman" w:hAnsi="Times New Roman"/>
                <w:bCs/>
                <w:sz w:val="24"/>
                <w:szCs w:val="24"/>
              </w:rPr>
              <w:t>MK noteikumiem Nr</w:t>
            </w:r>
            <w:r w:rsidRPr="004468B2">
              <w:rPr>
                <w:rFonts w:ascii="Times New Roman" w:hAnsi="Times New Roman"/>
                <w:sz w:val="24"/>
                <w:szCs w:val="24"/>
              </w:rPr>
              <w:t>.800 (</w:t>
            </w:r>
            <w:r w:rsidRPr="004468B2">
              <w:rPr>
                <w:rFonts w:ascii="Times New Roman" w:hAnsi="Times New Roman"/>
                <w:noProof/>
                <w:sz w:val="24"/>
                <w:szCs w:val="24"/>
              </w:rPr>
              <w:t>zāļu  ražošanas/importēšanas licences formu un jaunu zāļu vairumtirdzniecības licences forma atbilstoši Eiropas Savienības formātam)</w:t>
            </w:r>
            <w:r w:rsidRPr="004468B2">
              <w:rPr>
                <w:rFonts w:ascii="Times New Roman" w:hAnsi="Times New Roman"/>
                <w:sz w:val="24"/>
                <w:szCs w:val="24"/>
              </w:rPr>
              <w:t xml:space="preserve"> un ar MK noteikumiem Nr.344 (</w:t>
            </w:r>
            <w:r w:rsidRPr="004468B2">
              <w:rPr>
                <w:rFonts w:ascii="Times New Roman" w:hAnsi="Times New Roman"/>
                <w:noProof/>
                <w:sz w:val="24"/>
                <w:szCs w:val="24"/>
              </w:rPr>
              <w:t>aktīvo vielu labas izplatīšanas prakses sertifikāta forma)</w:t>
            </w:r>
          </w:p>
          <w:p w:rsidR="00E031B7" w:rsidRPr="004468B2" w:rsidRDefault="00E031B7" w:rsidP="006541EF">
            <w:pPr>
              <w:jc w:val="both"/>
              <w:rPr>
                <w:noProof/>
                <w:lang w:val="lv-LV"/>
              </w:rPr>
            </w:pPr>
          </w:p>
          <w:p w:rsidR="006658EA" w:rsidRPr="004468B2" w:rsidRDefault="006658EA" w:rsidP="006541EF">
            <w:pPr>
              <w:jc w:val="both"/>
              <w:rPr>
                <w:noProof/>
                <w:lang w:val="lv-LV"/>
              </w:rPr>
            </w:pPr>
            <w:r w:rsidRPr="004468B2">
              <w:rPr>
                <w:noProof/>
                <w:lang w:val="lv-LV"/>
              </w:rPr>
              <w:t>Direktīvas norma tiks ieviesta ar grozījumiem:</w:t>
            </w:r>
          </w:p>
          <w:p w:rsidR="006658EA" w:rsidRPr="004468B2" w:rsidRDefault="006658EA" w:rsidP="006541EF">
            <w:pPr>
              <w:jc w:val="both"/>
              <w:rPr>
                <w:noProof/>
                <w:lang w:val="lv-LV"/>
              </w:rPr>
            </w:pPr>
            <w:r w:rsidRPr="004468B2">
              <w:rPr>
                <w:noProof/>
                <w:lang w:val="lv-LV"/>
              </w:rPr>
              <w:t xml:space="preserve">- MK </w:t>
            </w:r>
            <w:r w:rsidRPr="004468B2">
              <w:rPr>
                <w:bCs/>
                <w:noProof/>
                <w:lang w:val="lv-LV"/>
              </w:rPr>
              <w:t xml:space="preserve">noteikumiem Nr.800, </w:t>
            </w:r>
            <w:r w:rsidRPr="004468B2">
              <w:rPr>
                <w:noProof/>
                <w:lang w:val="lv-LV"/>
              </w:rPr>
              <w:t xml:space="preserve">precizējot tajos </w:t>
            </w:r>
          </w:p>
          <w:p w:rsidR="006658EA" w:rsidRPr="004468B2" w:rsidRDefault="006658EA" w:rsidP="006541EF">
            <w:pPr>
              <w:jc w:val="both"/>
              <w:rPr>
                <w:noProof/>
                <w:lang w:val="lv-LV"/>
              </w:rPr>
            </w:pPr>
            <w:r w:rsidRPr="004468B2">
              <w:rPr>
                <w:noProof/>
                <w:lang w:val="lv-LV"/>
              </w:rPr>
              <w:t>- </w:t>
            </w:r>
            <w:r w:rsidRPr="004468B2">
              <w:rPr>
                <w:noProof/>
                <w:spacing w:val="-6"/>
                <w:lang w:val="lv-LV"/>
              </w:rPr>
              <w:t>MK noteikumos Nr.304</w:t>
            </w:r>
            <w:r w:rsidRPr="004468B2">
              <w:rPr>
                <w:noProof/>
                <w:lang w:val="lv-LV"/>
              </w:rPr>
              <w:t>, precizējot tajā kontroles ziņojuma formu un labas ražošanas prakses sertifikāta formu atbilstoši Eiropas Savienības formātam</w:t>
            </w:r>
          </w:p>
          <w:p w:rsidR="006658EA" w:rsidRPr="004468B2" w:rsidRDefault="006658EA" w:rsidP="00E031B7">
            <w:pPr>
              <w:jc w:val="both"/>
              <w:rPr>
                <w:noProof/>
                <w:lang w:val="lv-LV"/>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norma pārņemta daļēji.</w:t>
            </w:r>
          </w:p>
          <w:p w:rsidR="006658EA" w:rsidRPr="004468B2" w:rsidRDefault="006658EA" w:rsidP="006541EF">
            <w:pPr>
              <w:jc w:val="both"/>
              <w:rPr>
                <w:noProof/>
                <w:lang w:val="lv-LV"/>
              </w:rPr>
            </w:pPr>
          </w:p>
          <w:p w:rsidR="006658EA" w:rsidRPr="004468B2" w:rsidRDefault="006658EA" w:rsidP="006541EF">
            <w:pPr>
              <w:jc w:val="both"/>
              <w:rPr>
                <w:noProof/>
                <w:lang w:val="lv-LV"/>
              </w:rPr>
            </w:pPr>
            <w:r w:rsidRPr="004468B2">
              <w:rPr>
                <w:noProof/>
                <w:lang w:val="lv-LV"/>
              </w:rPr>
              <w:t>Dalībvalstis kopā ar Eiropas Zāļu aģentūru ir izstrādājušas:</w:t>
            </w:r>
          </w:p>
          <w:p w:rsidR="006658EA" w:rsidRPr="004468B2" w:rsidRDefault="006658EA" w:rsidP="006541EF">
            <w:pPr>
              <w:rPr>
                <w:noProof/>
                <w:lang w:val="lv-LV"/>
              </w:rPr>
            </w:pPr>
            <w:r w:rsidRPr="004468B2">
              <w:rPr>
                <w:noProof/>
                <w:lang w:val="lv-LV"/>
              </w:rPr>
              <w:t>- jaunu zāļu ražošanas/importēšanas licences formu - jaunu zāļu vairumtirdzniecības licences formu</w:t>
            </w:r>
          </w:p>
          <w:p w:rsidR="006658EA" w:rsidRPr="004468B2" w:rsidRDefault="006658EA" w:rsidP="006541EF">
            <w:pPr>
              <w:rPr>
                <w:noProof/>
                <w:lang w:val="lv-LV"/>
              </w:rPr>
            </w:pPr>
            <w:r w:rsidRPr="004468B2">
              <w:rPr>
                <w:noProof/>
                <w:lang w:val="lv-LV"/>
              </w:rPr>
              <w:t>- jaunu kontroles ziņojuma formu</w:t>
            </w:r>
          </w:p>
          <w:p w:rsidR="006658EA" w:rsidRPr="004468B2" w:rsidRDefault="006658EA" w:rsidP="006541EF">
            <w:pPr>
              <w:rPr>
                <w:noProof/>
                <w:lang w:val="lv-LV"/>
              </w:rPr>
            </w:pPr>
            <w:r w:rsidRPr="004468B2">
              <w:rPr>
                <w:noProof/>
                <w:lang w:val="lv-LV"/>
              </w:rPr>
              <w:t>-  zāļu un aktīvo vielu labas ražošanas prakses sertifikāta formu</w:t>
            </w:r>
          </w:p>
          <w:p w:rsidR="006658EA" w:rsidRPr="004468B2" w:rsidRDefault="006658EA" w:rsidP="006541EF">
            <w:pPr>
              <w:jc w:val="both"/>
              <w:rPr>
                <w:noProof/>
                <w:lang w:val="lv-LV"/>
              </w:rPr>
            </w:pPr>
            <w:r w:rsidRPr="004468B2">
              <w:rPr>
                <w:noProof/>
                <w:lang w:val="lv-LV"/>
              </w:rPr>
              <w:t>- zāļu un aktīvo vielu labas izplatīšanas prakses sertifikāta formu, kura ir iekļauta Eiropas Kopienas apkopojumā par inspicēšanas un informācijas apmaiņas procedūrām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A475AF">
            <w:pPr>
              <w:rPr>
                <w:lang w:val="lv-LV"/>
              </w:rPr>
            </w:pPr>
            <w:r w:rsidRPr="004468B2">
              <w:rPr>
                <w:lang w:val="lv-LV"/>
              </w:rPr>
              <w:t>Direktīvas norma tiks pārņemta ar grozījumiem MK noteikumos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A475AF">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A475AF">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lastRenderedPageBreak/>
              <w:t xml:space="preserve">Direktīvas 2011/62/EK </w:t>
            </w:r>
            <w:r w:rsidRPr="004468B2">
              <w:rPr>
                <w:lang w:val="lv-LV"/>
              </w:rPr>
              <w:t>1.panta 24.punkts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295843" w:rsidP="00A475AF">
            <w:pPr>
              <w:pStyle w:val="NoSpacing"/>
              <w:rPr>
                <w:rFonts w:ascii="Times New Roman" w:hAnsi="Times New Roman"/>
                <w:sz w:val="24"/>
                <w:szCs w:val="24"/>
              </w:rPr>
            </w:pPr>
            <w:r w:rsidRPr="004468B2">
              <w:rPr>
                <w:rFonts w:ascii="Times New Roman" w:hAnsi="Times New Roman"/>
                <w:sz w:val="24"/>
                <w:szCs w:val="24"/>
              </w:rPr>
              <w:t>1.36., 1.37., 1.40</w:t>
            </w:r>
            <w:r w:rsidR="006658EA" w:rsidRPr="004468B2">
              <w:rPr>
                <w:rFonts w:ascii="Times New Roman" w:hAnsi="Times New Roman"/>
                <w:sz w:val="24"/>
                <w:szCs w:val="24"/>
              </w:rPr>
              <w:t>., 1.41.</w:t>
            </w:r>
            <w:r w:rsidRPr="004468B2">
              <w:rPr>
                <w:rFonts w:ascii="Times New Roman" w:hAnsi="Times New Roman"/>
                <w:sz w:val="24"/>
                <w:szCs w:val="24"/>
              </w:rPr>
              <w:t>, 1.42. un 1.47</w:t>
            </w:r>
            <w:r w:rsidR="006658EA" w:rsidRPr="004468B2">
              <w:rPr>
                <w:rFonts w:ascii="Times New Roman" w:hAnsi="Times New Roman"/>
                <w:sz w:val="24"/>
                <w:szCs w:val="24"/>
              </w:rPr>
              <w:t>.apakšpunkts</w:t>
            </w:r>
          </w:p>
          <w:p w:rsidR="006658EA" w:rsidRPr="004468B2" w:rsidRDefault="006658EA" w:rsidP="00A475AF">
            <w:pPr>
              <w:pStyle w:val="NoSpacing"/>
              <w:rPr>
                <w:rFonts w:ascii="Times New Roman" w:hAnsi="Times New Roman"/>
                <w:sz w:val="24"/>
                <w:szCs w:val="24"/>
              </w:rPr>
            </w:pPr>
          </w:p>
          <w:p w:rsidR="006658EA" w:rsidRPr="004468B2" w:rsidRDefault="006658EA" w:rsidP="00A475AF">
            <w:pPr>
              <w:pStyle w:val="NoSpacing"/>
              <w:rPr>
                <w:rFonts w:ascii="Times New Roman" w:hAnsi="Times New Roman"/>
                <w:sz w:val="24"/>
                <w:szCs w:val="24"/>
              </w:rPr>
            </w:pPr>
            <w:r w:rsidRPr="004468B2">
              <w:rPr>
                <w:rFonts w:ascii="Times New Roman" w:hAnsi="Times New Roman"/>
                <w:sz w:val="24"/>
                <w:szCs w:val="24"/>
              </w:rPr>
              <w:t xml:space="preserve">Direktīvas norma ir ieviesta ar </w:t>
            </w:r>
          </w:p>
          <w:p w:rsidR="006658EA" w:rsidRPr="004468B2" w:rsidRDefault="006658EA" w:rsidP="00A475AF">
            <w:pPr>
              <w:pStyle w:val="NoSpacing"/>
              <w:rPr>
                <w:rFonts w:ascii="Times New Roman" w:hAnsi="Times New Roman"/>
                <w:bCs/>
                <w:sz w:val="24"/>
                <w:szCs w:val="24"/>
              </w:rPr>
            </w:pPr>
            <w:r w:rsidRPr="004468B2">
              <w:rPr>
                <w:rFonts w:ascii="Times New Roman" w:hAnsi="Times New Roman"/>
                <w:bCs/>
                <w:sz w:val="24"/>
                <w:szCs w:val="24"/>
              </w:rPr>
              <w:t xml:space="preserve">MK noteikumiem Nr.416 </w:t>
            </w:r>
          </w:p>
          <w:p w:rsidR="006658EA" w:rsidRPr="004468B2" w:rsidRDefault="006658EA" w:rsidP="00A475AF">
            <w:pPr>
              <w:rPr>
                <w:lang w:val="lv-LV"/>
              </w:rPr>
            </w:pPr>
            <w:r w:rsidRPr="004468B2">
              <w:rPr>
                <w:bCs/>
                <w:lang w:val="lv-LV"/>
              </w:rPr>
              <w:t>(</w:t>
            </w:r>
            <w:bookmarkStart w:id="1" w:name="243060"/>
            <w:r w:rsidRPr="004468B2">
              <w:rPr>
                <w:lang w:val="lv-LV"/>
              </w:rPr>
              <w:t>XI. Rīcība ārkārtas situācijās un zāļu atsaukšanas kārtība</w:t>
            </w:r>
            <w:bookmarkStart w:id="2" w:name="243074"/>
            <w:bookmarkEnd w:id="1"/>
            <w:r w:rsidRPr="004468B2">
              <w:rPr>
                <w:lang w:val="lv-LV"/>
              </w:rPr>
              <w:t>. XII. Kompetentās iestādes pienākumi un procedūra ātrai reaģēšanai</w:t>
            </w:r>
            <w:bookmarkEnd w:id="2"/>
            <w:r w:rsidRPr="004468B2">
              <w:rPr>
                <w:lang w:val="lv-LV"/>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1.panta 25.punkts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rPr>
                <w:rFonts w:ascii="Times New Roman" w:hAnsi="Times New Roman"/>
                <w:noProof/>
                <w:sz w:val="24"/>
                <w:szCs w:val="24"/>
              </w:rPr>
            </w:pPr>
            <w:r w:rsidRPr="004468B2">
              <w:rPr>
                <w:rFonts w:ascii="Times New Roman" w:hAnsi="Times New Roman"/>
                <w:noProof/>
                <w:sz w:val="24"/>
                <w:szCs w:val="24"/>
              </w:rPr>
              <w:t xml:space="preserve">Direktīvas norma ir ieviesta daļēji ar </w:t>
            </w:r>
            <w:r w:rsidR="00F76C31" w:rsidRPr="004468B2">
              <w:rPr>
                <w:rFonts w:ascii="Times New Roman" w:hAnsi="Times New Roman"/>
                <w:noProof/>
                <w:sz w:val="24"/>
                <w:szCs w:val="24"/>
              </w:rPr>
              <w:t xml:space="preserve">Latvijas </w:t>
            </w:r>
            <w:r w:rsidRPr="004468B2">
              <w:rPr>
                <w:rFonts w:ascii="Times New Roman" w:hAnsi="Times New Roman"/>
                <w:bCs/>
                <w:noProof/>
                <w:sz w:val="24"/>
                <w:szCs w:val="24"/>
              </w:rPr>
              <w:t>Administratīvo pārkāpumu kodeksa 46.</w:t>
            </w:r>
            <w:r w:rsidRPr="004468B2">
              <w:rPr>
                <w:rFonts w:ascii="Times New Roman" w:hAnsi="Times New Roman"/>
                <w:bCs/>
                <w:noProof/>
                <w:sz w:val="24"/>
                <w:szCs w:val="24"/>
                <w:vertAlign w:val="superscript"/>
              </w:rPr>
              <w:t xml:space="preserve">1 </w:t>
            </w:r>
            <w:r w:rsidRPr="004468B2">
              <w:rPr>
                <w:rFonts w:ascii="Times New Roman" w:hAnsi="Times New Roman"/>
                <w:bCs/>
                <w:noProof/>
                <w:sz w:val="24"/>
                <w:szCs w:val="24"/>
              </w:rPr>
              <w:t xml:space="preserve">pantu attiecībā uz </w:t>
            </w:r>
            <w:r w:rsidRPr="004468B2">
              <w:rPr>
                <w:rFonts w:ascii="Times New Roman" w:hAnsi="Times New Roman"/>
                <w:noProof/>
                <w:sz w:val="24"/>
                <w:szCs w:val="24"/>
              </w:rPr>
              <w:t>zāļu ražošanas, kontroles un izplatīšanas noteikumu pārkāpšanu, par Latvijas Republikā nereģistrētu vai neatļautu zāļu izplatīšanu, par tādu zāļu izplatīšanu, kurām beidzies derīguma termiņš vai kuru kvalitāte neatbilst apstiprinātās tehnisko normatīvu dokumentācijas prasībām.</w:t>
            </w:r>
          </w:p>
          <w:p w:rsidR="006658EA" w:rsidRPr="004468B2" w:rsidRDefault="006658EA" w:rsidP="006541EF">
            <w:pPr>
              <w:pStyle w:val="NoSpacing"/>
              <w:jc w:val="both"/>
              <w:rPr>
                <w:rFonts w:ascii="Times New Roman" w:eastAsia="Times New Roman" w:hAnsi="Times New Roman"/>
                <w:noProof/>
                <w:sz w:val="24"/>
                <w:szCs w:val="24"/>
                <w:lang w:eastAsia="lv-LV"/>
              </w:rPr>
            </w:pPr>
          </w:p>
          <w:p w:rsidR="006658EA" w:rsidRPr="004468B2" w:rsidRDefault="006658EA" w:rsidP="006541EF">
            <w:pPr>
              <w:pStyle w:val="NoSpacing"/>
              <w:jc w:val="both"/>
              <w:rPr>
                <w:rFonts w:ascii="Times New Roman" w:eastAsia="Times New Roman" w:hAnsi="Times New Roman"/>
                <w:noProof/>
                <w:sz w:val="24"/>
                <w:szCs w:val="24"/>
                <w:lang w:eastAsia="lv-LV"/>
              </w:rPr>
            </w:pPr>
            <w:r w:rsidRPr="004468B2">
              <w:rPr>
                <w:rFonts w:ascii="Times New Roman" w:eastAsia="Times New Roman" w:hAnsi="Times New Roman"/>
                <w:noProof/>
                <w:sz w:val="24"/>
                <w:szCs w:val="24"/>
                <w:lang w:eastAsia="lv-LV"/>
              </w:rPr>
              <w:t>MK noteikumiem Nr.436 (53.punkts - attiecībā uz Direktīvas 2001/83/ES 118 c pantu).</w:t>
            </w:r>
          </w:p>
          <w:p w:rsidR="006658EA" w:rsidRPr="004468B2" w:rsidRDefault="006658EA" w:rsidP="006541EF">
            <w:pPr>
              <w:pStyle w:val="NoSpacing"/>
              <w:rPr>
                <w:rFonts w:ascii="Times New Roman" w:hAnsi="Times New Roman"/>
                <w:noProof/>
                <w:sz w:val="24"/>
                <w:szCs w:val="24"/>
              </w:rPr>
            </w:pPr>
          </w:p>
          <w:p w:rsidR="006658EA" w:rsidRPr="004468B2" w:rsidRDefault="006658EA" w:rsidP="006541EF">
            <w:pPr>
              <w:pStyle w:val="NoSpacing"/>
              <w:jc w:val="both"/>
              <w:rPr>
                <w:rFonts w:ascii="Times New Roman" w:hAnsi="Times New Roman"/>
                <w:bCs/>
                <w:noProof/>
                <w:sz w:val="24"/>
                <w:szCs w:val="24"/>
              </w:rPr>
            </w:pPr>
            <w:r w:rsidRPr="004468B2">
              <w:rPr>
                <w:rFonts w:ascii="Times New Roman" w:hAnsi="Times New Roman"/>
                <w:noProof/>
                <w:sz w:val="24"/>
                <w:szCs w:val="24"/>
              </w:rPr>
              <w:t xml:space="preserve">Direktīvas normas tiks ieviestas ar grozījumiem </w:t>
            </w:r>
            <w:r w:rsidR="00F76C31" w:rsidRPr="004468B2">
              <w:rPr>
                <w:rFonts w:ascii="Times New Roman" w:hAnsi="Times New Roman"/>
                <w:noProof/>
                <w:sz w:val="24"/>
                <w:szCs w:val="24"/>
              </w:rPr>
              <w:t xml:space="preserve">Latvijas </w:t>
            </w:r>
            <w:r w:rsidRPr="004468B2">
              <w:rPr>
                <w:rFonts w:ascii="Times New Roman" w:hAnsi="Times New Roman"/>
                <w:bCs/>
                <w:noProof/>
                <w:sz w:val="24"/>
                <w:szCs w:val="24"/>
              </w:rPr>
              <w:t>Administratīvo pārkāpumu kodeksā saistībā ar neatbilstību noteikumiem par aktīvo vielu ražošanu, izplatīšanu, importu un eksportu un palīgvielu izmantošanu.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norma pārņemta 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2011/62/EK 1.panta 26.punkts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rPr>
                <w:rFonts w:ascii="Times New Roman" w:hAnsi="Times New Roman"/>
                <w:noProof/>
                <w:sz w:val="24"/>
                <w:szCs w:val="24"/>
              </w:rPr>
            </w:pPr>
            <w:r w:rsidRPr="004468B2">
              <w:rPr>
                <w:rFonts w:ascii="Times New Roman" w:hAnsi="Times New Roman"/>
                <w:noProof/>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 jāievieš, jo norma attiecas uz Eiropas Komisijas pilnvarām.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lastRenderedPageBreak/>
              <w:t>Direktīvas 2011/62/EK 1.panta 27.punkts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rPr>
                <w:rFonts w:ascii="Times New Roman" w:hAnsi="Times New Roman"/>
                <w:noProof/>
                <w:sz w:val="24"/>
                <w:szCs w:val="24"/>
              </w:rPr>
            </w:pPr>
            <w:r w:rsidRPr="004468B2">
              <w:rPr>
                <w:rFonts w:ascii="Times New Roman" w:hAnsi="Times New Roman"/>
                <w:noProof/>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 jāievieš, jo norma attiecas uz Eiropas Parlamenta un Padomes pilnvarām.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2.panta 2.punkts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5796D">
            <w:pPr>
              <w:pStyle w:val="NoSpacing"/>
              <w:jc w:val="both"/>
              <w:rPr>
                <w:rFonts w:ascii="Times New Roman" w:hAnsi="Times New Roman"/>
                <w:sz w:val="24"/>
                <w:szCs w:val="24"/>
              </w:rPr>
            </w:pPr>
            <w:r w:rsidRPr="004468B2">
              <w:rPr>
                <w:rFonts w:ascii="Times New Roman" w:hAnsi="Times New Roman"/>
                <w:sz w:val="24"/>
                <w:szCs w:val="24"/>
              </w:rPr>
              <w:t xml:space="preserve">Direktīvas norma pārņemta ar MK noteikumiem </w:t>
            </w:r>
            <w:r w:rsidR="00B5796D" w:rsidRPr="004468B2">
              <w:rPr>
                <w:rFonts w:ascii="Times New Roman" w:hAnsi="Times New Roman"/>
                <w:sz w:val="24"/>
                <w:szCs w:val="24"/>
              </w:rPr>
              <w:t>Nr.344</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D25418">
            <w:pPr>
              <w:jc w:val="both"/>
              <w:rPr>
                <w:lang w:val="lv-LV"/>
              </w:rPr>
            </w:pPr>
            <w:r w:rsidRPr="004468B2">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D25418">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2.panta 2.punkts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rPr>
                <w:rFonts w:ascii="Times New Roman" w:hAnsi="Times New Roman"/>
                <w:noProof/>
                <w:sz w:val="24"/>
                <w:szCs w:val="24"/>
              </w:rPr>
            </w:pPr>
            <w:r w:rsidRPr="004468B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jc w:val="both"/>
              <w:rPr>
                <w:noProof/>
                <w:lang w:val="lv-LV"/>
              </w:rPr>
            </w:pPr>
            <w:r w:rsidRPr="004468B2">
              <w:rPr>
                <w:noProof/>
                <w:lang w:val="lv-LV"/>
              </w:rPr>
              <w:t xml:space="preserve">Direktīvas 2011/62/EK </w:t>
            </w:r>
            <w:r w:rsidRPr="004468B2">
              <w:rPr>
                <w:lang w:val="lv-LV"/>
              </w:rPr>
              <w:t>2.panta 2.punkts c)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rPr>
                <w:rFonts w:ascii="Times New Roman" w:hAnsi="Times New Roman"/>
                <w:noProof/>
                <w:sz w:val="24"/>
                <w:szCs w:val="24"/>
              </w:rPr>
            </w:pPr>
            <w:r w:rsidRPr="004468B2">
              <w:rPr>
                <w:rFonts w:ascii="Times New Roman" w:hAnsi="Times New Roman"/>
                <w:noProof/>
                <w:sz w:val="24"/>
                <w:szCs w:val="24"/>
              </w:rPr>
              <w:t>Direktīvas norma tiks pārņemta pēc Eiropas Komisijas deleģētā akta pieņemšanas, kuru Eiropas Komisija paredz pieņemt regulas formā 2013.gadā.</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7714E">
            <w:pPr>
              <w:jc w:val="both"/>
              <w:rPr>
                <w:noProof/>
                <w:lang w:val="lv-LV"/>
              </w:rPr>
            </w:pPr>
            <w:r w:rsidRPr="004468B2">
              <w:rPr>
                <w:noProof/>
                <w:lang w:val="lv-LV"/>
              </w:rPr>
              <w:t>Direktīvas 2011/62/EK 2.panta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209D8" w:rsidP="00B776BB">
            <w:pPr>
              <w:pStyle w:val="NoSpacing"/>
              <w:jc w:val="both"/>
              <w:rPr>
                <w:rFonts w:ascii="Times New Roman" w:hAnsi="Times New Roman"/>
                <w:noProof/>
                <w:sz w:val="24"/>
                <w:szCs w:val="24"/>
              </w:rPr>
            </w:pPr>
            <w:r w:rsidRPr="004468B2">
              <w:rPr>
                <w:rFonts w:ascii="Times New Roman" w:hAnsi="Times New Roman"/>
                <w:noProof/>
                <w:sz w:val="24"/>
                <w:szCs w:val="24"/>
              </w:rPr>
              <w:t>1.51</w:t>
            </w:r>
            <w:r w:rsidR="006658EA" w:rsidRPr="004468B2">
              <w:rPr>
                <w:rFonts w:ascii="Times New Roman" w:hAnsi="Times New Roman"/>
                <w:noProof/>
                <w:sz w:val="24"/>
                <w:szCs w:val="24"/>
              </w:rPr>
              <w:t xml:space="preserve">.apakšpunkts (Informatīvā atsauce uz Eiropas Savienības direktīvu) </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9D0E26">
            <w:pPr>
              <w:jc w:val="both"/>
              <w:rPr>
                <w:noProof/>
                <w:lang w:val="lv-LV"/>
              </w:rPr>
            </w:pPr>
            <w:r w:rsidRPr="004468B2">
              <w:rPr>
                <w:noProof/>
                <w:lang w:val="lv-LV"/>
              </w:rPr>
              <w:t>Direktīvas 2011/62/EK 3.pants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743F60">
            <w:pPr>
              <w:pStyle w:val="NoSpacing"/>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6CE">
            <w:pPr>
              <w:jc w:val="both"/>
              <w:rPr>
                <w:lang w:val="lv-LV"/>
              </w:rPr>
            </w:pPr>
            <w:r w:rsidRPr="004468B2">
              <w:rPr>
                <w:lang w:val="lv-LV"/>
              </w:rPr>
              <w:t>Nav jāpārņem, jo attiecas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6CE">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9D0E26">
            <w:pPr>
              <w:jc w:val="both"/>
              <w:rPr>
                <w:noProof/>
                <w:lang w:val="lv-LV"/>
              </w:rPr>
            </w:pPr>
            <w:r w:rsidRPr="004468B2">
              <w:rPr>
                <w:noProof/>
                <w:lang w:val="lv-LV"/>
              </w:rPr>
              <w:t>Direktīvas 2011/62/EK 4.pants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743F60">
            <w:pPr>
              <w:pStyle w:val="NoSpacing"/>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6CE">
            <w:pPr>
              <w:jc w:val="both"/>
              <w:rPr>
                <w:lang w:val="lv-LV"/>
              </w:rPr>
            </w:pPr>
            <w:r w:rsidRPr="004468B2">
              <w:rPr>
                <w:lang w:val="lv-LV"/>
              </w:rPr>
              <w:t>Nav jāpārņem, jo attiecas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6CE">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1.punkts a)apakšpunkts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lang w:val="lv-LV"/>
              </w:rPr>
            </w:pPr>
            <w:r w:rsidRPr="004468B2">
              <w:rPr>
                <w:lang w:val="lv-LV"/>
              </w:rPr>
              <w:t>Farmācijas likuma 1.panta 19.</w:t>
            </w:r>
            <w:r w:rsidRPr="004468B2">
              <w:rPr>
                <w:vertAlign w:val="superscript"/>
                <w:lang w:val="lv-LV"/>
              </w:rPr>
              <w:t>1</w:t>
            </w:r>
            <w:r w:rsidRPr="004468B2">
              <w:rPr>
                <w:lang w:val="lv-LV"/>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1.punkts b) - d)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spacing w:after="120"/>
              <w:jc w:val="both"/>
              <w:rPr>
                <w:spacing w:val="-3"/>
                <w:lang w:val="lv-LV"/>
              </w:rPr>
            </w:pPr>
            <w:r w:rsidRPr="004468B2">
              <w:rPr>
                <w:lang w:val="lv-LV"/>
              </w:rPr>
              <w:t>Direktīvas norma pārņemta ar</w:t>
            </w:r>
            <w:r w:rsidR="00B92B7C" w:rsidRPr="004468B2">
              <w:rPr>
                <w:lang w:val="lv-LV"/>
              </w:rPr>
              <w:t xml:space="preserve"> MK noteikumiem Nr.47</w:t>
            </w:r>
            <w:r w:rsidR="00B776BB" w:rsidRPr="004468B2">
              <w:rPr>
                <w:lang w:val="lv-LV"/>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lastRenderedPageBreak/>
              <w:t xml:space="preserve">Direktīvas </w:t>
            </w:r>
            <w:r w:rsidRPr="004468B2">
              <w:rPr>
                <w:spacing w:val="-3"/>
                <w:lang w:val="lv-LV"/>
              </w:rPr>
              <w:t>2010/84/ES 1.panta 2.punkts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C015A5">
            <w:pPr>
              <w:spacing w:after="120"/>
              <w:jc w:val="both"/>
              <w:rPr>
                <w:spacing w:val="-3"/>
                <w:lang w:val="lv-LV"/>
              </w:rPr>
            </w:pPr>
            <w:r w:rsidRPr="004468B2">
              <w:rPr>
                <w:lang w:val="lv-LV"/>
              </w:rPr>
              <w:t>Direktīvas norma pārņemta ar grozījumiem MK noteikumos Nr.376 (Ministru kabineta 2013.gada 9.aprīļa noteikumi Nr.195 ”Grozījumi Ministru kabineta 2006.gada 9.maija noteikumos Nr.376 "</w:t>
            </w:r>
            <w:hyperlink r:id="rId15" w:tgtFrame="_blank" w:history="1">
              <w:r w:rsidRPr="004468B2">
                <w:rPr>
                  <w:lang w:val="lv-LV"/>
                </w:rPr>
                <w:t>Zāļu reģistrēšanas kārtība</w:t>
              </w:r>
            </w:hyperlink>
            <w:r w:rsidR="00B776BB" w:rsidRPr="004468B2">
              <w:rPr>
                <w:lang w:val="lv-LV"/>
              </w:rPr>
              <w:t>"” (turpmāk - </w:t>
            </w:r>
            <w:r w:rsidRPr="004468B2">
              <w:rPr>
                <w:lang w:val="lv-LV"/>
              </w:rPr>
              <w:t>MK noteikumi Nr.195)</w:t>
            </w:r>
            <w:r w:rsidR="00B776BB" w:rsidRPr="004468B2">
              <w:rPr>
                <w:lang w:val="lv-LV"/>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spacing w:val="-3"/>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2.punkts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C015A5">
            <w:pPr>
              <w:spacing w:after="120"/>
              <w:rPr>
                <w:spacing w:val="-3"/>
                <w:lang w:val="lv-LV"/>
              </w:rPr>
            </w:pPr>
            <w:r w:rsidRPr="004468B2">
              <w:rPr>
                <w:lang w:val="lv-LV"/>
              </w:rPr>
              <w:t>Direktīvas norma pārņemta ar grozījumiem MK noteikumos Nr.376 (</w:t>
            </w:r>
            <w:r w:rsidR="00C015A5" w:rsidRPr="004468B2">
              <w:rPr>
                <w:lang w:val="lv-LV"/>
              </w:rPr>
              <w:t>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2.punkts c)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C015A5" w:rsidP="00330B8F">
            <w:pPr>
              <w:spacing w:after="120"/>
              <w:jc w:val="both"/>
              <w:rPr>
                <w:lang w:val="lv-LV"/>
              </w:rPr>
            </w:pPr>
            <w:r w:rsidRPr="004468B2">
              <w:rPr>
                <w:lang w:val="lv-LV"/>
              </w:rPr>
              <w:t>Direktīvas norma pārņemta ar grozījumiem MK noteikumos Nr.376 (MK noteikumi Nr.195).</w:t>
            </w:r>
          </w:p>
          <w:p w:rsidR="006658EA" w:rsidRPr="004468B2" w:rsidRDefault="006658EA" w:rsidP="00330B8F">
            <w:pPr>
              <w:spacing w:after="120"/>
              <w:jc w:val="both"/>
              <w:rPr>
                <w:spacing w:val="-3"/>
                <w:lang w:val="lv-LV"/>
              </w:rPr>
            </w:pPr>
            <w:r w:rsidRPr="004468B2">
              <w:rPr>
                <w:lang w:val="lv-LV"/>
              </w:rPr>
              <w:t>MK noteikumi Nr.376 (17.13., 17.15., 17.17.apakšpunkts).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lang w:val="lv-LV"/>
              </w:rPr>
            </w:pPr>
            <w:r w:rsidRPr="004468B2">
              <w:rPr>
                <w:lang w:val="lv-LV"/>
              </w:rPr>
              <w:t>Direktīvas norma pilnībā ieviesta.</w:t>
            </w:r>
          </w:p>
          <w:p w:rsidR="006658EA" w:rsidRPr="004468B2" w:rsidRDefault="006658EA" w:rsidP="006541EF">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2.punkts d)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F90493">
            <w:pPr>
              <w:spacing w:after="120"/>
              <w:rPr>
                <w:spacing w:val="-3"/>
                <w:lang w:val="lv-LV"/>
              </w:rPr>
            </w:pPr>
            <w:r w:rsidRPr="004468B2">
              <w:rPr>
                <w:lang w:val="lv-LV"/>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330B8F">
        <w:tblPrEx>
          <w:tblCellMar>
            <w:left w:w="0" w:type="dxa"/>
            <w:right w:w="0" w:type="dxa"/>
          </w:tblCellMar>
        </w:tblPrEx>
        <w:trPr>
          <w:gridAfter w:val="3"/>
          <w:wAfter w:w="2535" w:type="dxa"/>
          <w:cantSplit/>
          <w:trHeight w:val="1091"/>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2.punkts e)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F90493">
            <w:pPr>
              <w:spacing w:after="120"/>
              <w:rPr>
                <w:spacing w:val="-3"/>
                <w:lang w:val="lv-LV"/>
              </w:rPr>
            </w:pPr>
            <w:r w:rsidRPr="004468B2">
              <w:rPr>
                <w:lang w:val="lv-LV"/>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rPr>
                <w:spacing w:val="-3"/>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rPr>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lastRenderedPageBreak/>
              <w:t xml:space="preserve">Direktīvas </w:t>
            </w:r>
            <w:r w:rsidRPr="004468B2">
              <w:rPr>
                <w:spacing w:val="-3"/>
                <w:lang w:val="lv-LV"/>
              </w:rPr>
              <w:t>2010/84/ES 1.panta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6541EF">
            <w:pPr>
              <w:spacing w:after="120"/>
              <w:rPr>
                <w:spacing w:val="-3"/>
                <w:lang w:val="lv-LV"/>
              </w:rPr>
            </w:pPr>
            <w:r w:rsidRPr="004468B2">
              <w:rPr>
                <w:lang w:val="lv-LV"/>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lang w:val="lv-LV"/>
              </w:rPr>
            </w:pPr>
            <w:r w:rsidRPr="004468B2">
              <w:rPr>
                <w:lang w:val="lv-LV"/>
              </w:rPr>
              <w:t xml:space="preserve">Direktīvas norma pilnībā ieviesta. </w:t>
            </w:r>
            <w:r w:rsidRPr="004468B2">
              <w:rPr>
                <w:lang w:val="lv-LV" w:eastAsia="lv-LV"/>
              </w:rPr>
              <w:t xml:space="preserve">Eiropas Komisijas 2013.gada 7.marta īstenošanas regula </w:t>
            </w:r>
            <w:r w:rsidRPr="004468B2">
              <w:rPr>
                <w:lang w:val="lv-LV"/>
              </w:rPr>
              <w:t xml:space="preserve">Nr.198/2013 </w:t>
            </w:r>
            <w:r w:rsidRPr="004468B2">
              <w:rPr>
                <w:bCs/>
                <w:lang w:val="lv-LV"/>
              </w:rPr>
              <w:t>par simbola izvēli tādu cilvēkiem paredzētu zāļu identificēšanai, kurām piemēro papildu uzraudzību (publicēta Oficiālajā Vēstnesī 2013.gada 8.martā (L 65/17 - 18)) apstiprina melno simbolu kā apgrieztu melnu trijstūri</w:t>
            </w:r>
            <w:r w:rsidRPr="004468B2">
              <w:rPr>
                <w:lang w:val="lv-LV"/>
              </w:rPr>
              <w:t>”▼” un nosaka pārejas periodu tā ieviešanai zāļu aprakstā.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rPr>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lang w:val="lv-LV"/>
              </w:rPr>
              <w:t>MK noteikumi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lang w:val="lv-LV"/>
              </w:rPr>
              <w:t>MK noteikumi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6.punkts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lang w:val="lv-LV"/>
              </w:rPr>
              <w:t>MK noteikumi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ind w:left="57"/>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7.punkts (attiecībā uz Direktīvas 2001/83 21.panta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C015A5" w:rsidP="006541EF">
            <w:pPr>
              <w:spacing w:after="120"/>
              <w:ind w:left="57"/>
              <w:jc w:val="both"/>
              <w:rPr>
                <w:lang w:val="lv-LV"/>
              </w:rPr>
            </w:pPr>
            <w:r w:rsidRPr="004468B2">
              <w:rPr>
                <w:lang w:val="lv-LV"/>
              </w:rPr>
              <w:t>Direktīvas norma pārņemta ar grozījumiem MK noteikumos Nr.376 (MK noteikumi Nr.195).</w:t>
            </w:r>
          </w:p>
          <w:p w:rsidR="006658EA" w:rsidRPr="004468B2" w:rsidRDefault="006658EA" w:rsidP="006541EF">
            <w:pPr>
              <w:spacing w:after="120"/>
              <w:ind w:left="57"/>
              <w:jc w:val="both"/>
              <w:rPr>
                <w:lang w:val="lv-LV"/>
              </w:rPr>
            </w:pPr>
            <w:r w:rsidRPr="004468B2">
              <w:rPr>
                <w:lang w:val="lv-LV"/>
              </w:rPr>
              <w:t>MK noteikumi Nr.376 (91.1.apakšpunkts un 15.</w:t>
            </w:r>
            <w:r w:rsidRPr="004468B2">
              <w:rPr>
                <w:vertAlign w:val="superscript"/>
                <w:lang w:val="lv-LV"/>
              </w:rPr>
              <w:t>1</w:t>
            </w:r>
            <w:r w:rsidRPr="004468B2">
              <w:rPr>
                <w:lang w:val="lv-LV"/>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lastRenderedPageBreak/>
              <w:t xml:space="preserve">Direktīvas </w:t>
            </w:r>
            <w:r w:rsidRPr="004468B2">
              <w:rPr>
                <w:spacing w:val="-3"/>
                <w:lang w:val="lv-LV"/>
              </w:rPr>
              <w:t>2010/84/ES 1.panta 7.punkts (attiecībā uz Direktīvas 2001/83 21.panta 4.punktu)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C015A5" w:rsidP="006541EF">
            <w:pPr>
              <w:spacing w:after="120"/>
              <w:jc w:val="both"/>
              <w:rPr>
                <w:lang w:val="lv-LV"/>
              </w:rPr>
            </w:pPr>
            <w:r w:rsidRPr="004468B2">
              <w:rPr>
                <w:lang w:val="lv-LV"/>
              </w:rPr>
              <w:t>Direktīvas norma pārņemta ar grozījumiem MK noteikumos Nr.376 (MK noteikumi Nr.195).</w:t>
            </w:r>
          </w:p>
          <w:p w:rsidR="006658EA" w:rsidRPr="004468B2" w:rsidRDefault="006658EA" w:rsidP="006541EF">
            <w:pPr>
              <w:spacing w:after="120"/>
              <w:jc w:val="both"/>
              <w:rPr>
                <w:vertAlign w:val="superscript"/>
                <w:lang w:val="lv-LV"/>
              </w:rPr>
            </w:pPr>
            <w:r w:rsidRPr="004468B2">
              <w:rPr>
                <w:lang w:val="lv-LV"/>
              </w:rPr>
              <w:t>MK noteikumu Nr.376 15</w:t>
            </w:r>
            <w:r w:rsidRPr="004468B2">
              <w:rPr>
                <w:vertAlign w:val="superscript"/>
                <w:lang w:val="lv-LV"/>
              </w:rPr>
              <w:t>1</w:t>
            </w:r>
            <w:r w:rsidRPr="004468B2">
              <w:rPr>
                <w:lang w:val="lv-LV"/>
              </w:rPr>
              <w:t>., 89.punkts (89.3. un 89.4.apakšpunkts).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8.punkts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6541EF">
            <w:pPr>
              <w:spacing w:after="120"/>
              <w:rPr>
                <w:spacing w:val="-3"/>
                <w:lang w:val="lv-LV"/>
              </w:rPr>
            </w:pPr>
            <w:r w:rsidRPr="004468B2">
              <w:rPr>
                <w:lang w:val="lv-LV"/>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9.punkts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C015A5" w:rsidP="006541EF">
            <w:pPr>
              <w:spacing w:after="120"/>
              <w:jc w:val="both"/>
              <w:rPr>
                <w:lang w:val="lv-LV"/>
              </w:rPr>
            </w:pPr>
            <w:r w:rsidRPr="004468B2">
              <w:rPr>
                <w:lang w:val="lv-LV"/>
              </w:rPr>
              <w:t>Direktīvas norma pārņemta ar grozījumiem MK noteikumos Nr.376 (MK noteikumi Nr.195).</w:t>
            </w:r>
          </w:p>
          <w:p w:rsidR="006658EA" w:rsidRPr="004468B2" w:rsidRDefault="00B776BB" w:rsidP="006541EF">
            <w:pPr>
              <w:spacing w:after="120"/>
              <w:jc w:val="both"/>
              <w:rPr>
                <w:spacing w:val="-3"/>
                <w:lang w:val="lv-LV"/>
              </w:rPr>
            </w:pPr>
            <w:r w:rsidRPr="004468B2">
              <w:rPr>
                <w:spacing w:val="-3"/>
                <w:lang w:val="lv-LV"/>
              </w:rPr>
              <w:t>23.</w:t>
            </w:r>
            <w:r w:rsidR="006658EA" w:rsidRPr="004468B2">
              <w:rPr>
                <w:spacing w:val="-3"/>
                <w:lang w:val="lv-LV"/>
              </w:rPr>
              <w:t xml:space="preserve">punkts (attiecībā uz </w:t>
            </w:r>
            <w:r w:rsidR="006658EA" w:rsidRPr="004468B2">
              <w:rPr>
                <w:lang w:val="lv-LV"/>
              </w:rPr>
              <w:t>MK noteikumu Nr.376 jauno 90.</w:t>
            </w:r>
            <w:r w:rsidR="006658EA" w:rsidRPr="004468B2">
              <w:rPr>
                <w:vertAlign w:val="superscript"/>
                <w:lang w:val="lv-LV"/>
              </w:rPr>
              <w:t xml:space="preserve">1 </w:t>
            </w:r>
            <w:r w:rsidR="006658EA" w:rsidRPr="004468B2">
              <w:rPr>
                <w:lang w:val="lv-LV"/>
              </w:rPr>
              <w:t>un 91.</w:t>
            </w:r>
            <w:r w:rsidR="006658EA" w:rsidRPr="004468B2">
              <w:rPr>
                <w:vertAlign w:val="superscript"/>
                <w:lang w:val="lv-LV"/>
              </w:rPr>
              <w:t>2</w:t>
            </w:r>
            <w:r w:rsidR="006658EA" w:rsidRPr="004468B2">
              <w:rPr>
                <w:lang w:val="lv-LV"/>
              </w:rPr>
              <w:t>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10.punkts (attiecībā uz Direktīvas 2001/83 22.a) pantu)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C015A5" w:rsidP="00330B8F">
            <w:pPr>
              <w:spacing w:after="120"/>
              <w:jc w:val="both"/>
              <w:rPr>
                <w:spacing w:val="-3"/>
                <w:lang w:val="lv-LV"/>
              </w:rPr>
            </w:pPr>
            <w:r w:rsidRPr="004468B2">
              <w:rPr>
                <w:lang w:val="lv-LV"/>
              </w:rPr>
              <w:t>Direktīvas norma pārņemta ar grozījumiem MK noteikumos Nr.376 (MK noteikumi Nr.195).</w:t>
            </w:r>
          </w:p>
          <w:p w:rsidR="006658EA" w:rsidRPr="004468B2" w:rsidRDefault="006658EA" w:rsidP="00330B8F">
            <w:pPr>
              <w:spacing w:after="120"/>
              <w:jc w:val="both"/>
              <w:rPr>
                <w:spacing w:val="-3"/>
                <w:lang w:val="lv-LV"/>
              </w:rPr>
            </w:pPr>
            <w:r w:rsidRPr="004468B2">
              <w:rPr>
                <w:spacing w:val="-3"/>
                <w:lang w:val="lv-LV"/>
              </w:rPr>
              <w:t xml:space="preserve">(attiecībā uz </w:t>
            </w:r>
            <w:r w:rsidRPr="004468B2">
              <w:rPr>
                <w:lang w:val="lv-LV"/>
              </w:rPr>
              <w:t>MK noteikumu Nr.376 jauno 90.</w:t>
            </w:r>
            <w:r w:rsidRPr="004468B2">
              <w:rPr>
                <w:vertAlign w:val="superscript"/>
                <w:lang w:val="lv-LV"/>
              </w:rPr>
              <w:t>3</w:t>
            </w:r>
            <w:r w:rsidR="00B776BB" w:rsidRPr="004468B2">
              <w:rPr>
                <w:vertAlign w:val="superscript"/>
                <w:lang w:val="lv-LV"/>
              </w:rPr>
              <w:t> </w:t>
            </w:r>
            <w:r w:rsidRPr="004468B2">
              <w:rPr>
                <w:lang w:val="lv-LV"/>
              </w:rPr>
              <w:t>- 90.</w:t>
            </w:r>
            <w:r w:rsidRPr="004468B2">
              <w:rPr>
                <w:vertAlign w:val="superscript"/>
                <w:lang w:val="lv-LV"/>
              </w:rPr>
              <w:t xml:space="preserve">6 </w:t>
            </w:r>
            <w:r w:rsidRPr="004468B2">
              <w:rPr>
                <w:lang w:val="lv-LV"/>
              </w:rPr>
              <w:t>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10.punkts (attiecībā uz Direktīvas 2001/83 22.b) pantu)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attiecināma uz Eiropas Komisiju.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10.punkts (attiecībā uz Direktīvas 2001/83 22.c) panta 1.punktu)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330B8F">
            <w:pPr>
              <w:pStyle w:val="NoSpacing"/>
              <w:jc w:val="both"/>
              <w:rPr>
                <w:rFonts w:ascii="Times New Roman" w:hAnsi="Times New Roman"/>
                <w:sz w:val="24"/>
                <w:szCs w:val="24"/>
              </w:rPr>
            </w:pPr>
            <w:r w:rsidRPr="004468B2">
              <w:rPr>
                <w:rFonts w:ascii="Times New Roman" w:hAnsi="Times New Roman"/>
                <w:sz w:val="24"/>
                <w:szCs w:val="24"/>
              </w:rPr>
              <w:t>Direktīvas norma pārņemta ar grozījumiem MK noteikumos Nr.376 (MK noteikumi Nr.195).</w:t>
            </w:r>
            <w:r w:rsidRPr="004468B2">
              <w:rPr>
                <w:rFonts w:ascii="Times New Roman" w:hAnsi="Times New Roman"/>
                <w:spacing w:val="-3"/>
                <w:sz w:val="24"/>
                <w:szCs w:val="24"/>
              </w:rPr>
              <w:t xml:space="preserve"> </w:t>
            </w:r>
            <w:r w:rsidR="006658EA" w:rsidRPr="004468B2">
              <w:rPr>
                <w:rFonts w:ascii="Times New Roman" w:hAnsi="Times New Roman"/>
                <w:spacing w:val="-3"/>
                <w:sz w:val="24"/>
                <w:szCs w:val="24"/>
              </w:rPr>
              <w:t xml:space="preserve">(attiecībā uz </w:t>
            </w:r>
            <w:r w:rsidR="006658EA" w:rsidRPr="004468B2">
              <w:rPr>
                <w:rFonts w:ascii="Times New Roman" w:hAnsi="Times New Roman"/>
                <w:sz w:val="24"/>
                <w:szCs w:val="24"/>
              </w:rPr>
              <w:t>MK noteikumu Nr.376 jauno 90.</w:t>
            </w:r>
            <w:r w:rsidR="006658EA" w:rsidRPr="004468B2">
              <w:rPr>
                <w:rFonts w:ascii="Times New Roman" w:hAnsi="Times New Roman"/>
                <w:sz w:val="24"/>
                <w:szCs w:val="24"/>
                <w:vertAlign w:val="superscript"/>
              </w:rPr>
              <w:t>7</w:t>
            </w:r>
            <w:r w:rsidR="006658EA" w:rsidRPr="004468B2">
              <w:rPr>
                <w:rFonts w:ascii="Times New Roman" w:hAnsi="Times New Roman"/>
                <w:sz w:val="24"/>
                <w:szCs w:val="24"/>
              </w:rPr>
              <w:t>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CM4"/>
              <w:spacing w:before="60" w:after="60"/>
              <w:rPr>
                <w:spacing w:val="-3"/>
                <w:lang w:val="lv-LV"/>
              </w:rPr>
            </w:pPr>
            <w:r w:rsidRPr="004468B2">
              <w:rPr>
                <w:noProof/>
                <w:lang w:val="lv-LV"/>
              </w:rPr>
              <w:t xml:space="preserve">Direktīvas </w:t>
            </w:r>
            <w:r w:rsidRPr="004468B2">
              <w:rPr>
                <w:spacing w:val="-3"/>
                <w:lang w:val="lv-LV"/>
              </w:rPr>
              <w:t>2010/84/ES 1.panta 10.punkts (attiecībā uz Direktīvas 2001/83 22.c) panta 2.punktu)</w:t>
            </w:r>
          </w:p>
          <w:p w:rsidR="006658EA" w:rsidRPr="004468B2" w:rsidRDefault="006658EA" w:rsidP="006541EF">
            <w:pPr>
              <w:ind w:left="57"/>
              <w:rPr>
                <w:spacing w:val="-3"/>
                <w:lang w:val="lv-LV"/>
              </w:rPr>
            </w:pP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C015A5" w:rsidP="00C015A5">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11.punkts (attiecībā uz Direktīvas 2001/83 23.panta 1.punktu)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153E45">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3B593B">
        <w:tblPrEx>
          <w:tblCellMar>
            <w:left w:w="0" w:type="dxa"/>
            <w:right w:w="0" w:type="dxa"/>
          </w:tblCellMar>
        </w:tblPrEx>
        <w:trPr>
          <w:gridAfter w:val="3"/>
          <w:wAfter w:w="2535" w:type="dxa"/>
          <w:cantSplit/>
          <w:trHeight w:val="1202"/>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lastRenderedPageBreak/>
              <w:t xml:space="preserve">Direktīvas </w:t>
            </w:r>
            <w:r w:rsidRPr="004468B2">
              <w:rPr>
                <w:spacing w:val="-3"/>
                <w:lang w:val="lv-LV"/>
              </w:rPr>
              <w:t>2010/84/ES 1.panta 11.punkts (attiecībā uz Direktīvas 2001/83 23.panta 2.punktu)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11.punkts (attiecībā uz Direktīvas 2001/83 23.panta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11.punkts (attiecībā uz Direktīvas 2001/83 23.panta 4.punktu)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12.punkts a) apakšpunkts (attiecībā uz Direktīvas 2001/83 24.panta 2.punkta 2 daļu)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53E45" w:rsidRPr="004468B2" w:rsidRDefault="00153E45" w:rsidP="006541EF">
            <w:pPr>
              <w:pStyle w:val="NoSpacing"/>
              <w:jc w:val="both"/>
              <w:rPr>
                <w:rFonts w:ascii="Times New Roman" w:hAnsi="Times New Roman"/>
                <w:sz w:val="24"/>
                <w:szCs w:val="24"/>
              </w:rPr>
            </w:pPr>
            <w:r w:rsidRPr="004468B2">
              <w:rPr>
                <w:rFonts w:ascii="Times New Roman" w:hAnsi="Times New Roman"/>
                <w:sz w:val="24"/>
                <w:szCs w:val="24"/>
              </w:rPr>
              <w:t>Direktīvas norma pārņemta ar grozījumiem MK noteikumos Nr.376 (MK noteikumi Nr.195).</w:t>
            </w:r>
          </w:p>
          <w:p w:rsidR="00153E45" w:rsidRPr="004468B2" w:rsidRDefault="00153E45" w:rsidP="006541EF">
            <w:pPr>
              <w:pStyle w:val="NoSpacing"/>
              <w:jc w:val="both"/>
              <w:rPr>
                <w:rFonts w:ascii="Times New Roman" w:hAnsi="Times New Roman"/>
                <w:sz w:val="24"/>
                <w:szCs w:val="24"/>
              </w:rPr>
            </w:pPr>
          </w:p>
          <w:p w:rsidR="006658EA" w:rsidRPr="004468B2" w:rsidRDefault="006658EA" w:rsidP="006541EF">
            <w:pPr>
              <w:pStyle w:val="NoSpacing"/>
              <w:jc w:val="both"/>
              <w:rPr>
                <w:rFonts w:ascii="Times New Roman" w:hAnsi="Times New Roman"/>
                <w:sz w:val="24"/>
                <w:szCs w:val="24"/>
              </w:rPr>
            </w:pPr>
            <w:r w:rsidRPr="004468B2">
              <w:rPr>
                <w:rFonts w:ascii="Times New Roman" w:hAnsi="Times New Roman"/>
                <w:sz w:val="24"/>
                <w:szCs w:val="24"/>
              </w:rPr>
              <w:t>MK noteikumi Nr.376 (84. un 84.</w:t>
            </w:r>
            <w:r w:rsidRPr="004468B2">
              <w:rPr>
                <w:rFonts w:ascii="Times New Roman" w:hAnsi="Times New Roman"/>
                <w:sz w:val="24"/>
                <w:szCs w:val="24"/>
                <w:vertAlign w:val="superscript"/>
              </w:rPr>
              <w:t>1</w:t>
            </w:r>
            <w:r w:rsidRPr="004468B2">
              <w:rPr>
                <w:rFonts w:ascii="Times New Roman" w:hAnsi="Times New Roman"/>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12.punkts b) apakšpunkts (attiecībā uz Direktīvas 2001/83 24.panta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rPr>
                <w:rFonts w:ascii="Times New Roman" w:hAnsi="Times New Roman"/>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ir tehnisks grozījums saistībā ar 2010/84/ES 1.panta 15.punktu, kas nemaina saturu.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14.punkta a) apakšpunkts (attiecībā uz Direktīvas 2001/83 27.panta 1. un 2.punkta otrās daļas otro teikumu)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882DA1">
            <w:pPr>
              <w:pStyle w:val="NoSpacing"/>
              <w:jc w:val="both"/>
              <w:rPr>
                <w:rFonts w:ascii="Times New Roman" w:hAnsi="Times New Roman"/>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14.punkta b) apakšpunkts (attiecībā uz Direktīvas 2001/83 27.panta 2., 4., 5., 6. un 7.punktu)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jāievieš, jo attiecas uz Eiropas Zāļu aģentūras un Koordinācijas grupas locekļu pienākumiem.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lastRenderedPageBreak/>
              <w:t xml:space="preserve">Direktīvas </w:t>
            </w:r>
            <w:r w:rsidRPr="004468B2">
              <w:rPr>
                <w:spacing w:val="-3"/>
                <w:lang w:val="lv-LV"/>
              </w:rPr>
              <w:t>2010/84/ES 1.panta 15.punkts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ir tehnisks grozījums saistībā ar 2010/84/ES 1.panta 13.punktu, kas nemaina saturu.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16.punkta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16.punkta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17.punkts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18.punkts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19.punkts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216C97">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spacing w:after="120"/>
              <w:jc w:val="both"/>
              <w:rPr>
                <w:lang w:val="lv-LV"/>
              </w:rPr>
            </w:pPr>
            <w:r w:rsidRPr="004468B2">
              <w:rPr>
                <w:lang w:val="lv-LV"/>
              </w:rPr>
              <w:t>Direktīvas norma pilnībā ieviesta.</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noProof/>
                <w:lang w:val="lv-LV"/>
              </w:rPr>
              <w:t xml:space="preserve">Direktīvas </w:t>
            </w:r>
            <w:r w:rsidRPr="004468B2">
              <w:rPr>
                <w:spacing w:val="-3"/>
                <w:lang w:val="lv-LV"/>
              </w:rPr>
              <w:t>2010/84/ES 1.panta 20.punkts (attiecībā uz Direktīvas 2001/83 IX sadaļu, izņemot jauno 104. a) panta 1., 2., 3. un 4.punktu un Direktīvas 2001/83 jauno 107. b) panta 3.punktu un jauno 107. c) panta 1., 2., 3., 4., 5., 6. un 7.punktu)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spacing w:after="120"/>
              <w:jc w:val="both"/>
              <w:rPr>
                <w:spacing w:val="-3"/>
                <w:lang w:val="lv-LV"/>
              </w:rPr>
            </w:pPr>
            <w:r w:rsidRPr="004468B2">
              <w:rPr>
                <w:lang w:val="lv-LV"/>
              </w:rPr>
              <w:t xml:space="preserve">Direktīvas norma pārņemta ar </w:t>
            </w:r>
            <w:r w:rsidR="00B92B7C" w:rsidRPr="004468B2">
              <w:rPr>
                <w:lang w:val="lv-LV"/>
              </w:rPr>
              <w:t xml:space="preserve"> MK</w:t>
            </w:r>
            <w:r w:rsidRPr="004468B2">
              <w:rPr>
                <w:lang w:val="lv-LV"/>
              </w:rPr>
              <w:t xml:space="preserve"> noteikumiem Nr.47.</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spacing w:after="120"/>
              <w:jc w:val="both"/>
              <w:rPr>
                <w:lang w:val="lv-LV"/>
              </w:rPr>
            </w:pPr>
            <w:r w:rsidRPr="004468B2">
              <w:rPr>
                <w:lang w:val="lv-LV"/>
              </w:rPr>
              <w:t>Direktīvas norma pilnībā ieviesta.</w:t>
            </w:r>
          </w:p>
          <w:p w:rsidR="006658EA" w:rsidRPr="004468B2" w:rsidRDefault="006658EA" w:rsidP="001D10C6">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104. a) panta 1., 2., 3. un 4.punktu)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b) panta 3. 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lastRenderedPageBreak/>
              <w:t xml:space="preserve">Direktīvas </w:t>
            </w:r>
            <w:r w:rsidRPr="004468B2">
              <w:rPr>
                <w:spacing w:val="-3"/>
                <w:lang w:val="lv-LV"/>
              </w:rPr>
              <w:t>2010/84/ES 1.panta 20.punkts (attiecībā uz Direktīvas 2001/83 jauno 107. c) panta 1.punkts)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 xml:space="preserve">2010/84/ES 1.panta 20.punkts (attiecībā uz Direktīvas 2001/83 jauno 107.c)panta 2.punkta 1.paragrāfs </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2.punkta 2.paragrāfs)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3.punktu)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4.punkta 2.paragrāfu)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6541EF">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4.punkta 3.paragrāfu)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5.punktu)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F90493">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pStyle w:val="NoSpacing"/>
              <w:jc w:val="both"/>
              <w:rPr>
                <w:rFonts w:ascii="Times New Roman" w:hAnsi="Times New Roman"/>
                <w:sz w:val="24"/>
                <w:szCs w:val="24"/>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lang w:val="lv-LV"/>
              </w:rPr>
            </w:pPr>
            <w:r w:rsidRPr="004468B2">
              <w:rPr>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20.punkts (attiecībā uz Direktīvas 2001/83 jauno 107. c) panta, 6.punktu)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w:t>
            </w:r>
            <w:r w:rsidR="00B92B7C" w:rsidRPr="004468B2">
              <w:rPr>
                <w:rFonts w:ascii="Times New Roman" w:hAnsi="Times New Roman"/>
                <w:sz w:val="24"/>
                <w:szCs w:val="24"/>
              </w:rPr>
              <w:t>MK noteikumi Nr.195</w:t>
            </w:r>
            <w:r w:rsidRPr="004468B2">
              <w:rPr>
                <w:rFonts w:ascii="Times New Roman" w:hAnsi="Times New Roman"/>
                <w:sz w:val="24"/>
                <w:szCs w:val="24"/>
              </w:rPr>
              <w:t>).</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lang w:val="lv-LV"/>
              </w:rPr>
            </w:pPr>
            <w:r w:rsidRPr="004468B2">
              <w:rPr>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lastRenderedPageBreak/>
              <w:t xml:space="preserve">Direktīvas </w:t>
            </w:r>
            <w:r w:rsidRPr="004468B2">
              <w:rPr>
                <w:spacing w:val="-3"/>
                <w:lang w:val="lv-LV"/>
              </w:rPr>
              <w:t>2010/84/ES 1.panta 20.punkts (attiecībā uz Direktīvas 2001/83 jauno 107. c) panta, 7.punktu)</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jc w:val="both"/>
              <w:rPr>
                <w:rFonts w:ascii="Times New Roman" w:hAnsi="Times New Roman"/>
                <w:sz w:val="24"/>
                <w:szCs w:val="24"/>
              </w:rPr>
            </w:pPr>
            <w:r w:rsidRPr="004468B2">
              <w:rPr>
                <w:rFonts w:ascii="Times New Roman" w:hAnsi="Times New Roman"/>
                <w:sz w:val="24"/>
                <w:szCs w:val="24"/>
              </w:rPr>
              <w:t>Direktīvas norma pārņemta ar g</w:t>
            </w:r>
            <w:r w:rsidR="00C015A5" w:rsidRPr="004468B2">
              <w:rPr>
                <w:rFonts w:ascii="Times New Roman" w:hAnsi="Times New Roman"/>
                <w:sz w:val="24"/>
                <w:szCs w:val="24"/>
              </w:rPr>
              <w:t>rozījumiem MK noteikumos Nr.376.</w:t>
            </w:r>
          </w:p>
          <w:p w:rsidR="006658EA" w:rsidRPr="004468B2" w:rsidRDefault="006658EA" w:rsidP="00F90493">
            <w:pPr>
              <w:pStyle w:val="NoSpacing"/>
              <w:jc w:val="both"/>
              <w:rPr>
                <w:rFonts w:ascii="Times New Roman" w:hAnsi="Times New Roman"/>
                <w:spacing w:val="-3"/>
                <w:sz w:val="24"/>
                <w:szCs w:val="24"/>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pStyle w:val="NoSpacing"/>
              <w:jc w:val="both"/>
              <w:rPr>
                <w:rFonts w:ascii="Times New Roman" w:hAnsi="Times New Roman"/>
                <w:sz w:val="24"/>
                <w:szCs w:val="24"/>
              </w:rPr>
            </w:pPr>
            <w:r w:rsidRPr="004468B2">
              <w:rPr>
                <w:rFonts w:ascii="Times New Roman" w:hAnsi="Times New Roman"/>
                <w:spacing w:val="-3"/>
                <w:sz w:val="24"/>
                <w:szCs w:val="24"/>
              </w:rPr>
              <w:t xml:space="preserve">2010/84/ES 1.panta 20.punkts (attiecībā uz Direktīvas 2001/83 jauno 107. c) panta, 7.punkta 1.teikumu) </w:t>
            </w:r>
            <w:r w:rsidRPr="004468B2">
              <w:rPr>
                <w:rFonts w:ascii="Times New Roman" w:hAnsi="Times New Roman"/>
                <w:sz w:val="24"/>
                <w:szCs w:val="24"/>
              </w:rPr>
              <w:t>nav jāievieš, jo attiecas uz Eiropas Zāļu aģentūras pienākumu publicēt sarakstu, kurā ir iekļauti noteiktie Eiropas Savienības termiņi, pēc kuriem aprēķina periodisko ziņojumu iesniegšanas datumu, kā arī periodisko drošuma ziņojumu iesniegšanas biežums.</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lang w:val="lv-LV"/>
              </w:rPr>
            </w:pPr>
            <w:r w:rsidRPr="004468B2">
              <w:rPr>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 xml:space="preserve">2010/84/ES1.panta 21.punkts </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z w:val="24"/>
                <w:szCs w:val="24"/>
              </w:rPr>
            </w:pPr>
            <w:r w:rsidRPr="004468B2">
              <w:rPr>
                <w:rFonts w:ascii="Times New Roman" w:hAnsi="Times New Roman"/>
                <w:sz w:val="24"/>
                <w:szCs w:val="24"/>
              </w:rPr>
              <w:t xml:space="preserve">Direktīvas normas pārņemtas ar </w:t>
            </w:r>
            <w:r w:rsidR="00B92B7C" w:rsidRPr="004468B2">
              <w:rPr>
                <w:rFonts w:ascii="Times New Roman" w:hAnsi="Times New Roman"/>
                <w:sz w:val="24"/>
                <w:szCs w:val="24"/>
              </w:rPr>
              <w:t xml:space="preserve"> MK</w:t>
            </w:r>
            <w:r w:rsidRPr="004468B2">
              <w:rPr>
                <w:rFonts w:ascii="Times New Roman" w:hAnsi="Times New Roman"/>
                <w:sz w:val="24"/>
                <w:szCs w:val="24"/>
              </w:rPr>
              <w:t xml:space="preserve"> noteikumiem Nr.47.</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spacing w:after="120"/>
              <w:jc w:val="both"/>
              <w:rPr>
                <w:lang w:val="lv-LV"/>
              </w:rPr>
            </w:pPr>
            <w:r w:rsidRPr="004468B2">
              <w:rPr>
                <w:lang w:val="lv-LV"/>
              </w:rPr>
              <w:t>Direktīvas norma pilnībā ieviesta.</w:t>
            </w:r>
          </w:p>
          <w:p w:rsidR="006658EA" w:rsidRPr="004468B2" w:rsidRDefault="006658EA" w:rsidP="001D10C6">
            <w:pPr>
              <w:spacing w:after="120"/>
              <w:ind w:left="57"/>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22.punkts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153E45" w:rsidP="00C015A5">
            <w:pPr>
              <w:pStyle w:val="NoSpacing"/>
              <w:jc w:val="both"/>
              <w:rPr>
                <w:rFonts w:ascii="Times New Roman" w:hAnsi="Times New Roman"/>
                <w:spacing w:val="-3"/>
                <w:sz w:val="24"/>
                <w:szCs w:val="24"/>
              </w:rPr>
            </w:pPr>
            <w:r w:rsidRPr="004468B2">
              <w:rPr>
                <w:rFonts w:ascii="Times New Roman" w:hAnsi="Times New Roman"/>
                <w:sz w:val="24"/>
                <w:szCs w:val="24"/>
              </w:rPr>
              <w:t>Direktīvas norma pārņemta ar grozījumiem MK noteikumos Nr.376 (MK noteikumi Nr.195).</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2010/84/ES 1.panta 23.punkta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127DD" w:rsidP="00D209D8">
            <w:pPr>
              <w:pStyle w:val="NoSpacing"/>
              <w:rPr>
                <w:rFonts w:ascii="Times New Roman" w:hAnsi="Times New Roman"/>
                <w:sz w:val="24"/>
                <w:szCs w:val="24"/>
              </w:rPr>
            </w:pPr>
            <w:r w:rsidRPr="004468B2">
              <w:rPr>
                <w:rFonts w:ascii="Times New Roman" w:hAnsi="Times New Roman"/>
                <w:sz w:val="24"/>
                <w:szCs w:val="24"/>
              </w:rPr>
              <w:t>1.3</w:t>
            </w:r>
            <w:r w:rsidR="00D209D8" w:rsidRPr="004468B2">
              <w:rPr>
                <w:rFonts w:ascii="Times New Roman" w:hAnsi="Times New Roman"/>
                <w:sz w:val="24"/>
                <w:szCs w:val="24"/>
              </w:rPr>
              <w:t>4. un 1.35</w:t>
            </w:r>
            <w:r w:rsidR="006658EA"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jc w:val="both"/>
              <w:rPr>
                <w:noProof/>
                <w:lang w:val="lv-LV"/>
              </w:rPr>
            </w:pPr>
            <w:r w:rsidRPr="004468B2">
              <w:rPr>
                <w:noProof/>
                <w:lang w:val="lv-LV"/>
              </w:rPr>
              <w:t>Direktīvas 2010/84/ES 1.panta 23.punkta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209D8" w:rsidP="006541EF">
            <w:pPr>
              <w:pStyle w:val="NoSpacing"/>
              <w:rPr>
                <w:rFonts w:ascii="Times New Roman" w:hAnsi="Times New Roman"/>
                <w:sz w:val="24"/>
                <w:szCs w:val="24"/>
              </w:rPr>
            </w:pPr>
            <w:r w:rsidRPr="004468B2">
              <w:rPr>
                <w:rFonts w:ascii="Times New Roman" w:hAnsi="Times New Roman"/>
                <w:sz w:val="24"/>
                <w:szCs w:val="24"/>
              </w:rPr>
              <w:t>1.38</w:t>
            </w:r>
            <w:r w:rsidR="006658EA" w:rsidRPr="004468B2">
              <w:rPr>
                <w:rFonts w:ascii="Times New Roman" w:hAnsi="Times New Roman"/>
                <w:sz w:val="24"/>
                <w:szCs w:val="24"/>
              </w:rPr>
              <w:t>.apakšpunkts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lastRenderedPageBreak/>
              <w:t xml:space="preserve">Direktīvas </w:t>
            </w:r>
            <w:r w:rsidRPr="004468B2">
              <w:rPr>
                <w:spacing w:val="-3"/>
                <w:lang w:val="lv-LV"/>
              </w:rPr>
              <w:t>2010/84/ES 1.panta 24.punkts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p w:rsidR="006658EA" w:rsidRPr="004468B2" w:rsidRDefault="006658EA" w:rsidP="006541EF">
            <w:pPr>
              <w:spacing w:after="120"/>
              <w:rPr>
                <w:spacing w:val="-3"/>
                <w:lang w:val="lv-LV"/>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attiecas uz Eiropas Komisiju, Padomi un Eiropas Parlamentu pienākumiem un tiesībām saistībā ar deleģētajiem aktiem.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25.punkts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z w:val="24"/>
                <w:szCs w:val="24"/>
              </w:rPr>
            </w:pPr>
            <w:r w:rsidRPr="004468B2">
              <w:rPr>
                <w:rFonts w:ascii="Times New Roman" w:hAnsi="Times New Roman"/>
                <w:sz w:val="24"/>
                <w:szCs w:val="24"/>
              </w:rPr>
              <w:t xml:space="preserve">Direktīvas norma pārņemta ar </w:t>
            </w:r>
            <w:r w:rsidR="00B92B7C" w:rsidRPr="004468B2">
              <w:rPr>
                <w:rFonts w:ascii="Times New Roman" w:hAnsi="Times New Roman"/>
                <w:sz w:val="24"/>
                <w:szCs w:val="24"/>
              </w:rPr>
              <w:t xml:space="preserve"> MK</w:t>
            </w:r>
            <w:r w:rsidRPr="004468B2">
              <w:rPr>
                <w:rFonts w:ascii="Times New Roman" w:hAnsi="Times New Roman"/>
                <w:sz w:val="24"/>
                <w:szCs w:val="24"/>
              </w:rPr>
              <w:t xml:space="preserve"> noteikumiem Nr.47.</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26.punkts</w:t>
            </w:r>
          </w:p>
          <w:p w:rsidR="006658EA" w:rsidRPr="004468B2" w:rsidRDefault="006658EA" w:rsidP="006541EF">
            <w:pPr>
              <w:ind w:left="57"/>
              <w:jc w:val="both"/>
              <w:rPr>
                <w:spacing w:val="-3"/>
                <w:sz w:val="16"/>
                <w:szCs w:val="16"/>
                <w:lang w:val="lv-LV"/>
              </w:rPr>
            </w:pP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p w:rsidR="006658EA" w:rsidRPr="004468B2" w:rsidRDefault="006658EA" w:rsidP="006541EF">
            <w:pPr>
              <w:spacing w:after="120"/>
              <w:rPr>
                <w:spacing w:val="-3"/>
                <w:lang w:val="lv-LV"/>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attiecas uz Eiropas Zāļu aģentūras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27.punkts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AA3A0C">
            <w:pPr>
              <w:pStyle w:val="NoSpacing"/>
              <w:rPr>
                <w:rFonts w:ascii="Times New Roman" w:hAnsi="Times New Roman"/>
                <w:sz w:val="24"/>
                <w:szCs w:val="24"/>
              </w:rPr>
            </w:pPr>
            <w:r w:rsidRPr="004468B2">
              <w:rPr>
                <w:rFonts w:ascii="Times New Roman" w:hAnsi="Times New Roman"/>
                <w:sz w:val="24"/>
                <w:szCs w:val="24"/>
              </w:rPr>
              <w:t>1</w:t>
            </w:r>
            <w:r w:rsidR="00D209D8" w:rsidRPr="004468B2">
              <w:rPr>
                <w:rFonts w:ascii="Times New Roman" w:hAnsi="Times New Roman"/>
                <w:sz w:val="24"/>
                <w:szCs w:val="24"/>
              </w:rPr>
              <w:t>.22</w:t>
            </w:r>
            <w:r w:rsidRPr="004468B2">
              <w:rPr>
                <w:rFonts w:ascii="Times New Roman" w:hAnsi="Times New Roman"/>
                <w:sz w:val="24"/>
                <w:szCs w:val="24"/>
              </w:rPr>
              <w:t xml:space="preserve">.apakšpunkts </w:t>
            </w:r>
          </w:p>
          <w:p w:rsidR="006658EA" w:rsidRPr="004468B2" w:rsidRDefault="006658EA" w:rsidP="00AA3A0C">
            <w:pPr>
              <w:pStyle w:val="NoSpacing"/>
              <w:rPr>
                <w:rFonts w:ascii="Times New Roman" w:hAnsi="Times New Roman"/>
                <w:sz w:val="24"/>
                <w:szCs w:val="24"/>
              </w:rPr>
            </w:pPr>
          </w:p>
          <w:p w:rsidR="006658EA" w:rsidRPr="004468B2" w:rsidRDefault="006658EA" w:rsidP="00D127DD">
            <w:pPr>
              <w:pStyle w:val="NoSpacing"/>
              <w:rPr>
                <w:rFonts w:ascii="Times New Roman" w:hAnsi="Times New Roman"/>
                <w:sz w:val="24"/>
                <w:szCs w:val="24"/>
              </w:rPr>
            </w:pP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jc w:val="both"/>
              <w:rPr>
                <w:spacing w:val="-3"/>
                <w:lang w:val="lv-LV"/>
              </w:rPr>
            </w:pPr>
            <w:r w:rsidRPr="004468B2">
              <w:rPr>
                <w:noProof/>
                <w:lang w:val="lv-LV"/>
              </w:rPr>
              <w:t xml:space="preserve">Direktīvas </w:t>
            </w:r>
            <w:r w:rsidRPr="004468B2">
              <w:rPr>
                <w:spacing w:val="-3"/>
                <w:lang w:val="lv-LV"/>
              </w:rPr>
              <w:t>2010/84/ES 1.panta 28.punkts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rPr>
                <w:spacing w:val="-3"/>
                <w:lang w:val="lv-LV"/>
              </w:rPr>
            </w:pPr>
            <w:r w:rsidRPr="004468B2">
              <w:rPr>
                <w:spacing w:val="-3"/>
                <w:lang w:val="lv-LV"/>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spacing w:val="-3"/>
                <w:lang w:val="lv-LV"/>
              </w:rPr>
              <w:t>Nav jāpārņem, jo norma attiecas uz Eiropas Komisijas tiesībām.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Nav</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spacing w:val="-3"/>
                <w:lang w:val="lv-LV"/>
              </w:rPr>
            </w:pPr>
            <w:r w:rsidRPr="004468B2">
              <w:rPr>
                <w:noProof/>
                <w:lang w:val="lv-LV"/>
              </w:rPr>
              <w:t xml:space="preserve">Direktīvas </w:t>
            </w:r>
            <w:r w:rsidRPr="004468B2">
              <w:rPr>
                <w:spacing w:val="-3"/>
                <w:lang w:val="lv-LV"/>
              </w:rPr>
              <w:t>2010/84/ES 2.panta 1.punkts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z w:val="24"/>
                <w:szCs w:val="24"/>
              </w:rPr>
            </w:pPr>
            <w:r w:rsidRPr="004468B2">
              <w:rPr>
                <w:rFonts w:ascii="Times New Roman" w:hAnsi="Times New Roman"/>
                <w:sz w:val="24"/>
                <w:szCs w:val="24"/>
              </w:rPr>
              <w:t xml:space="preserve">Direktīvas norma pārņemta ar </w:t>
            </w:r>
            <w:r w:rsidR="00B92B7C" w:rsidRPr="004468B2">
              <w:rPr>
                <w:rFonts w:ascii="Times New Roman" w:hAnsi="Times New Roman"/>
                <w:sz w:val="24"/>
                <w:szCs w:val="24"/>
              </w:rPr>
              <w:t xml:space="preserve"> MK</w:t>
            </w:r>
            <w:r w:rsidRPr="004468B2">
              <w:rPr>
                <w:rFonts w:ascii="Times New Roman" w:hAnsi="Times New Roman"/>
                <w:sz w:val="24"/>
                <w:szCs w:val="24"/>
              </w:rPr>
              <w:t xml:space="preserve"> noteikumiem Nr.47.</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spacing w:val="-3"/>
                <w:lang w:val="lv-LV"/>
              </w:rPr>
            </w:pPr>
            <w:r w:rsidRPr="004468B2">
              <w:rPr>
                <w:noProof/>
                <w:lang w:val="lv-LV"/>
              </w:rPr>
              <w:t xml:space="preserve">Direktīvas </w:t>
            </w:r>
            <w:r w:rsidRPr="004468B2">
              <w:rPr>
                <w:spacing w:val="-3"/>
                <w:lang w:val="lv-LV"/>
              </w:rPr>
              <w:t>2010/84/ES 2.panta 2.punkts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z w:val="24"/>
                <w:szCs w:val="24"/>
              </w:rPr>
            </w:pPr>
            <w:r w:rsidRPr="004468B2">
              <w:rPr>
                <w:rFonts w:ascii="Times New Roman" w:hAnsi="Times New Roman"/>
                <w:sz w:val="24"/>
                <w:szCs w:val="24"/>
              </w:rPr>
              <w:t xml:space="preserve">Direktīvas norma pārņemta ar </w:t>
            </w:r>
            <w:r w:rsidR="00B92B7C" w:rsidRPr="004468B2">
              <w:rPr>
                <w:rFonts w:ascii="Times New Roman" w:hAnsi="Times New Roman"/>
                <w:sz w:val="24"/>
                <w:szCs w:val="24"/>
              </w:rPr>
              <w:t xml:space="preserve"> MK</w:t>
            </w:r>
            <w:r w:rsidRPr="004468B2">
              <w:rPr>
                <w:rFonts w:ascii="Times New Roman" w:hAnsi="Times New Roman"/>
                <w:sz w:val="24"/>
                <w:szCs w:val="24"/>
              </w:rPr>
              <w:t xml:space="preserve"> noteikumiem Nr.47</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rPr>
                <w:spacing w:val="-3"/>
                <w:lang w:val="lv-LV"/>
              </w:rPr>
            </w:pPr>
            <w:r w:rsidRPr="004468B2">
              <w:rPr>
                <w:noProof/>
                <w:lang w:val="lv-LV"/>
              </w:rPr>
              <w:t xml:space="preserve">Direktīvas </w:t>
            </w:r>
            <w:r w:rsidRPr="004468B2">
              <w:rPr>
                <w:spacing w:val="-3"/>
                <w:lang w:val="lv-LV"/>
              </w:rPr>
              <w:t>2010/84/ES 2.panta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15A5" w:rsidRPr="004468B2" w:rsidRDefault="00D209D8" w:rsidP="006541EF">
            <w:pPr>
              <w:pStyle w:val="NoSpacing"/>
              <w:jc w:val="both"/>
              <w:rPr>
                <w:rFonts w:ascii="Times New Roman" w:hAnsi="Times New Roman"/>
                <w:noProof/>
                <w:sz w:val="24"/>
                <w:szCs w:val="24"/>
              </w:rPr>
            </w:pPr>
            <w:r w:rsidRPr="004468B2">
              <w:rPr>
                <w:rFonts w:ascii="Times New Roman" w:hAnsi="Times New Roman"/>
                <w:noProof/>
                <w:sz w:val="24"/>
                <w:szCs w:val="24"/>
              </w:rPr>
              <w:t>1.51</w:t>
            </w:r>
            <w:r w:rsidR="00C015A5" w:rsidRPr="004468B2">
              <w:rPr>
                <w:rFonts w:ascii="Times New Roman" w:hAnsi="Times New Roman"/>
                <w:noProof/>
                <w:sz w:val="24"/>
                <w:szCs w:val="24"/>
              </w:rPr>
              <w:t>.apakšpunkts (Informatīvā atsauce uz Eiropas Savienības direktīvu) un 2.punkts.</w:t>
            </w:r>
          </w:p>
          <w:p w:rsidR="00C015A5" w:rsidRPr="004468B2" w:rsidRDefault="00C015A5" w:rsidP="006541EF">
            <w:pPr>
              <w:pStyle w:val="NoSpacing"/>
              <w:jc w:val="both"/>
              <w:rPr>
                <w:rFonts w:ascii="Times New Roman" w:hAnsi="Times New Roman"/>
                <w:noProof/>
                <w:sz w:val="24"/>
                <w:szCs w:val="24"/>
              </w:rPr>
            </w:pPr>
          </w:p>
          <w:p w:rsidR="006658EA" w:rsidRPr="004468B2" w:rsidRDefault="006658EA" w:rsidP="00C015A5">
            <w:pPr>
              <w:pStyle w:val="NoSpacing"/>
              <w:jc w:val="both"/>
              <w:rPr>
                <w:rFonts w:ascii="Times New Roman" w:hAnsi="Times New Roman"/>
                <w:sz w:val="24"/>
                <w:szCs w:val="24"/>
              </w:rPr>
            </w:pPr>
            <w:r w:rsidRPr="004468B2">
              <w:rPr>
                <w:rFonts w:ascii="Times New Roman" w:hAnsi="Times New Roman"/>
                <w:sz w:val="24"/>
                <w:szCs w:val="24"/>
              </w:rPr>
              <w:t xml:space="preserve">Direktīvas norma pārņemta ar </w:t>
            </w:r>
            <w:r w:rsidR="00B92B7C" w:rsidRPr="004468B2">
              <w:rPr>
                <w:rFonts w:ascii="Times New Roman" w:hAnsi="Times New Roman"/>
                <w:sz w:val="24"/>
                <w:szCs w:val="24"/>
              </w:rPr>
              <w:t xml:space="preserve"> MK</w:t>
            </w:r>
            <w:r w:rsidR="00C015A5" w:rsidRPr="004468B2">
              <w:rPr>
                <w:rFonts w:ascii="Times New Roman" w:hAnsi="Times New Roman"/>
                <w:sz w:val="24"/>
                <w:szCs w:val="24"/>
              </w:rPr>
              <w:t xml:space="preserve"> noteikumiem Nr.47 un </w:t>
            </w:r>
            <w:r w:rsidR="00B92B7C" w:rsidRPr="004468B2">
              <w:rPr>
                <w:rFonts w:ascii="Times New Roman" w:hAnsi="Times New Roman"/>
                <w:sz w:val="24"/>
                <w:szCs w:val="24"/>
              </w:rPr>
              <w:t xml:space="preserve"> MK</w:t>
            </w:r>
            <w:r w:rsidR="00C015A5" w:rsidRPr="004468B2">
              <w:rPr>
                <w:rFonts w:ascii="Times New Roman" w:hAnsi="Times New Roman"/>
                <w:sz w:val="24"/>
                <w:szCs w:val="24"/>
              </w:rPr>
              <w:t xml:space="preserve"> noteikumiem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r w:rsidRPr="004468B2">
              <w:rPr>
                <w:lang w:val="lv-LV"/>
              </w:rPr>
              <w:t>Direktīvas norma pilnībā ieviesta.</w:t>
            </w:r>
          </w:p>
          <w:p w:rsidR="006658EA" w:rsidRPr="004468B2" w:rsidRDefault="006658EA" w:rsidP="006541EF">
            <w:pPr>
              <w:spacing w:after="120"/>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r w:rsidRPr="004468B2">
              <w:rPr>
                <w:spacing w:val="-3"/>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lastRenderedPageBreak/>
              <w:t>Direktīvas 2012/26/EK 1.panta 1.punkts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D209D8" w:rsidP="00F90493">
            <w:pPr>
              <w:pStyle w:val="NoSpacing"/>
              <w:jc w:val="both"/>
              <w:rPr>
                <w:rFonts w:ascii="Times New Roman" w:hAnsi="Times New Roman"/>
                <w:sz w:val="24"/>
                <w:szCs w:val="24"/>
              </w:rPr>
            </w:pPr>
            <w:r w:rsidRPr="004468B2">
              <w:rPr>
                <w:rFonts w:ascii="Times New Roman" w:hAnsi="Times New Roman"/>
                <w:sz w:val="24"/>
                <w:szCs w:val="24"/>
              </w:rPr>
              <w:t>1.48</w:t>
            </w:r>
            <w:r w:rsidR="006658EA" w:rsidRPr="004468B2">
              <w:rPr>
                <w:rFonts w:ascii="Times New Roman" w:hAnsi="Times New Roman"/>
                <w:sz w:val="24"/>
                <w:szCs w:val="24"/>
              </w:rPr>
              <w:t xml:space="preserve">.apakšpunkts </w:t>
            </w:r>
          </w:p>
          <w:p w:rsidR="006658EA" w:rsidRPr="004468B2" w:rsidRDefault="006658EA" w:rsidP="00F90493">
            <w:pPr>
              <w:pStyle w:val="NoSpacing"/>
              <w:jc w:val="both"/>
              <w:rPr>
                <w:rFonts w:ascii="Times New Roman" w:hAnsi="Times New Roman"/>
                <w:sz w:val="24"/>
                <w:szCs w:val="24"/>
              </w:rPr>
            </w:pPr>
          </w:p>
          <w:p w:rsidR="006658EA" w:rsidRPr="004468B2" w:rsidRDefault="006658EA" w:rsidP="00B776BB">
            <w:pPr>
              <w:pStyle w:val="NoSpacing"/>
              <w:jc w:val="both"/>
              <w:rPr>
                <w:rFonts w:ascii="Times New Roman" w:hAnsi="Times New Roman"/>
                <w:sz w:val="24"/>
                <w:szCs w:val="24"/>
              </w:rPr>
            </w:pPr>
            <w:r w:rsidRPr="004468B2">
              <w:rPr>
                <w:rFonts w:ascii="Times New Roman" w:hAnsi="Times New Roman"/>
                <w:sz w:val="24"/>
                <w:szCs w:val="24"/>
              </w:rPr>
              <w:t>MK noteikumu Nr.416 (153.3.2.apakšpunkts).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2.punkta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3605B6">
            <w:pPr>
              <w:pStyle w:val="NoSpacing"/>
              <w:jc w:val="both"/>
              <w:rPr>
                <w:rFonts w:ascii="Times New Roman" w:hAnsi="Times New Roman"/>
                <w:sz w:val="24"/>
                <w:szCs w:val="24"/>
              </w:rPr>
            </w:pPr>
            <w:r w:rsidRPr="004468B2">
              <w:rPr>
                <w:rFonts w:ascii="Times New Roman" w:hAnsi="Times New Roman"/>
                <w:sz w:val="24"/>
                <w:szCs w:val="24"/>
              </w:rPr>
              <w:t>Direktīvas norma ir ieviesta ar MK noteikumiem Nr.47 (33.punkts) un MK noteikumiem Nr.376 (107.</w:t>
            </w:r>
            <w:r w:rsidRPr="004468B2">
              <w:rPr>
                <w:rFonts w:ascii="Times New Roman" w:hAnsi="Times New Roman"/>
                <w:sz w:val="24"/>
                <w:szCs w:val="24"/>
                <w:vertAlign w:val="superscript"/>
              </w:rPr>
              <w:t>1</w:t>
            </w:r>
            <w:r w:rsidRPr="004468B2">
              <w:rPr>
                <w:rFonts w:ascii="Times New Roman" w:hAnsi="Times New Roman"/>
                <w:sz w:val="24"/>
                <w:szCs w:val="24"/>
              </w:rPr>
              <w:t>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2.punkta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rPr>
                <w:rFonts w:ascii="Times New Roman" w:hAnsi="Times New Roman"/>
                <w:sz w:val="24"/>
                <w:szCs w:val="24"/>
              </w:rPr>
            </w:pPr>
            <w:r w:rsidRPr="004468B2">
              <w:rPr>
                <w:rFonts w:ascii="Times New Roman" w:hAnsi="Times New Roman"/>
                <w:sz w:val="24"/>
                <w:szCs w:val="24"/>
              </w:rPr>
              <w:t xml:space="preserve">Direktīvas norma tiks pārņemta ar grozījumiem </w:t>
            </w:r>
            <w:r w:rsidR="00B92B7C" w:rsidRPr="004468B2">
              <w:rPr>
                <w:rFonts w:ascii="Times New Roman" w:hAnsi="Times New Roman"/>
                <w:sz w:val="24"/>
                <w:szCs w:val="24"/>
              </w:rPr>
              <w:t xml:space="preserve">MK </w:t>
            </w:r>
            <w:r w:rsidRPr="004468B2">
              <w:rPr>
                <w:rFonts w:ascii="Times New Roman" w:hAnsi="Times New Roman"/>
                <w:sz w:val="24"/>
                <w:szCs w:val="24"/>
              </w:rPr>
              <w:t>noteikum</w:t>
            </w:r>
            <w:r w:rsidR="00B92B7C" w:rsidRPr="004468B2">
              <w:rPr>
                <w:rFonts w:ascii="Times New Roman" w:hAnsi="Times New Roman"/>
                <w:sz w:val="24"/>
                <w:szCs w:val="24"/>
              </w:rPr>
              <w:t>os</w:t>
            </w:r>
            <w:r w:rsidRPr="004468B2">
              <w:rPr>
                <w:rFonts w:ascii="Times New Roman" w:hAnsi="Times New Roman"/>
                <w:sz w:val="24"/>
                <w:szCs w:val="24"/>
              </w:rPr>
              <w:t xml:space="preserve">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3.punkts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rPr>
                <w:rFonts w:ascii="Times New Roman" w:hAnsi="Times New Roman"/>
                <w:sz w:val="24"/>
                <w:szCs w:val="24"/>
              </w:rPr>
            </w:pPr>
            <w:r w:rsidRPr="004468B2">
              <w:rPr>
                <w:rFonts w:ascii="Times New Roman" w:hAnsi="Times New Roman"/>
                <w:sz w:val="24"/>
                <w:szCs w:val="24"/>
              </w:rPr>
              <w:t xml:space="preserve">Direktīvas norma tiks pārņemta ar grozījumiem </w:t>
            </w:r>
            <w:r w:rsidR="00B92B7C" w:rsidRPr="004468B2">
              <w:rPr>
                <w:rFonts w:ascii="Times New Roman" w:hAnsi="Times New Roman"/>
                <w:sz w:val="24"/>
                <w:szCs w:val="24"/>
              </w:rPr>
              <w:t xml:space="preserve">MK </w:t>
            </w:r>
            <w:r w:rsidRPr="004468B2">
              <w:rPr>
                <w:rFonts w:ascii="Times New Roman" w:hAnsi="Times New Roman"/>
                <w:sz w:val="24"/>
                <w:szCs w:val="24"/>
              </w:rPr>
              <w:t>noteikum</w:t>
            </w:r>
            <w:r w:rsidR="00B92B7C" w:rsidRPr="004468B2">
              <w:rPr>
                <w:rFonts w:ascii="Times New Roman" w:hAnsi="Times New Roman"/>
                <w:sz w:val="24"/>
                <w:szCs w:val="24"/>
              </w:rPr>
              <w:t>os</w:t>
            </w:r>
            <w:r w:rsidRPr="004468B2">
              <w:rPr>
                <w:rFonts w:ascii="Times New Roman" w:hAnsi="Times New Roman"/>
                <w:sz w:val="24"/>
                <w:szCs w:val="24"/>
              </w:rPr>
              <w:t xml:space="preserve">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Nav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4.punkts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rPr>
                <w:rFonts w:ascii="Times New Roman" w:hAnsi="Times New Roman"/>
                <w:sz w:val="24"/>
                <w:szCs w:val="24"/>
              </w:rPr>
            </w:pPr>
            <w:r w:rsidRPr="004468B2">
              <w:rPr>
                <w:rFonts w:ascii="Times New Roman" w:hAnsi="Times New Roman"/>
                <w:sz w:val="24"/>
                <w:szCs w:val="24"/>
              </w:rPr>
              <w:t>Direktīvas norma ir ieviesta ar MK noteikumiem Nr.376 (109.punkts).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5.punkta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B92B7C">
            <w:pPr>
              <w:pStyle w:val="NoSpacing"/>
              <w:jc w:val="both"/>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noProof/>
                <w:sz w:val="24"/>
                <w:szCs w:val="24"/>
              </w:rPr>
              <w:t>MK noteikumi</w:t>
            </w:r>
            <w:r w:rsidR="00B92B7C" w:rsidRPr="004468B2">
              <w:rPr>
                <w:rFonts w:ascii="Times New Roman" w:hAnsi="Times New Roman"/>
                <w:noProof/>
                <w:sz w:val="24"/>
                <w:szCs w:val="24"/>
              </w:rPr>
              <w:t>em</w:t>
            </w:r>
            <w:r w:rsidRPr="004468B2">
              <w:rPr>
                <w:rFonts w:ascii="Times New Roman" w:hAnsi="Times New Roman"/>
                <w:noProof/>
                <w:sz w:val="24"/>
                <w:szCs w:val="24"/>
              </w:rPr>
              <w:t xml:space="preserve"> Nr.57 (3.punkts).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5.punkta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815C89">
            <w:pPr>
              <w:pStyle w:val="NoSpacing"/>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noProof/>
                <w:sz w:val="24"/>
                <w:szCs w:val="24"/>
              </w:rPr>
              <w:t>MK noteikumiem Nr.57 (3.punkts un 7.5.apakšpunkts).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5.punkta c)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rPr>
                <w:rFonts w:ascii="Times New Roman" w:hAnsi="Times New Roman"/>
                <w:sz w:val="24"/>
                <w:szCs w:val="24"/>
              </w:rPr>
            </w:pPr>
            <w:r w:rsidRPr="004468B2">
              <w:rPr>
                <w:rFonts w:ascii="Times New Roman" w:hAnsi="Times New Roman"/>
                <w:sz w:val="24"/>
                <w:szCs w:val="24"/>
              </w:rPr>
              <w:t xml:space="preserve">Direktīvas norma ir ieviesta ar </w:t>
            </w:r>
            <w:r w:rsidRPr="004468B2">
              <w:rPr>
                <w:rFonts w:ascii="Times New Roman" w:hAnsi="Times New Roman"/>
                <w:noProof/>
                <w:sz w:val="24"/>
                <w:szCs w:val="24"/>
              </w:rPr>
              <w:t>MK noteikumiem Nr.57 (7.6.apakšpunkts).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6.punkts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jc w:val="both"/>
              <w:rPr>
                <w:rFonts w:ascii="Times New Roman" w:hAnsi="Times New Roman"/>
                <w:sz w:val="24"/>
                <w:szCs w:val="24"/>
              </w:rPr>
            </w:pPr>
            <w:r w:rsidRPr="004468B2">
              <w:rPr>
                <w:rFonts w:ascii="Times New Roman" w:hAnsi="Times New Roman"/>
                <w:sz w:val="24"/>
                <w:szCs w:val="24"/>
              </w:rPr>
              <w:t>1.1</w:t>
            </w:r>
            <w:r w:rsidR="00BD3305" w:rsidRPr="004468B2">
              <w:rPr>
                <w:rFonts w:ascii="Times New Roman" w:hAnsi="Times New Roman"/>
                <w:sz w:val="24"/>
                <w:szCs w:val="24"/>
              </w:rPr>
              <w:t>1</w:t>
            </w:r>
            <w:r w:rsidRPr="004468B2">
              <w:rPr>
                <w:rFonts w:ascii="Times New Roman" w:hAnsi="Times New Roman"/>
                <w:sz w:val="24"/>
                <w:szCs w:val="24"/>
              </w:rPr>
              <w:t>.punkts (attiecībā uz 12.</w:t>
            </w:r>
            <w:r w:rsidR="00BD3305" w:rsidRPr="004468B2">
              <w:rPr>
                <w:rFonts w:ascii="Times New Roman" w:hAnsi="Times New Roman"/>
                <w:sz w:val="24"/>
                <w:szCs w:val="24"/>
                <w:vertAlign w:val="superscript"/>
              </w:rPr>
              <w:t>3</w:t>
            </w:r>
            <w:r w:rsidRPr="004468B2">
              <w:rPr>
                <w:rFonts w:ascii="Times New Roman" w:hAnsi="Times New Roman"/>
                <w:sz w:val="24"/>
                <w:szCs w:val="24"/>
              </w:rPr>
              <w:t>.apakšpunktu un 12.</w:t>
            </w:r>
            <w:r w:rsidR="00BD3305" w:rsidRPr="004468B2">
              <w:rPr>
                <w:rFonts w:ascii="Times New Roman" w:hAnsi="Times New Roman"/>
                <w:sz w:val="24"/>
                <w:szCs w:val="24"/>
                <w:vertAlign w:val="superscript"/>
              </w:rPr>
              <w:t>4</w:t>
            </w:r>
            <w:r w:rsidRPr="004468B2">
              <w:rPr>
                <w:rFonts w:ascii="Times New Roman" w:hAnsi="Times New Roman"/>
                <w:sz w:val="24"/>
                <w:szCs w:val="24"/>
                <w:vertAlign w:val="superscript"/>
              </w:rPr>
              <w:t xml:space="preserve"> </w:t>
            </w:r>
            <w:r w:rsidRPr="004468B2">
              <w:rPr>
                <w:rFonts w:ascii="Times New Roman" w:hAnsi="Times New Roman"/>
                <w:sz w:val="24"/>
                <w:szCs w:val="24"/>
              </w:rPr>
              <w:t>punktu).</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1D10C6">
            <w:pPr>
              <w:jc w:val="both"/>
              <w:rPr>
                <w:noProof/>
                <w:lang w:val="lv-LV"/>
              </w:rPr>
            </w:pPr>
            <w:r w:rsidRPr="004468B2">
              <w:rPr>
                <w:noProof/>
                <w:lang w:val="lv-LV"/>
              </w:rPr>
              <w:t>Stingrākas prasības neparedz.</w:t>
            </w:r>
          </w:p>
        </w:tc>
      </w:tr>
      <w:tr w:rsidR="006658EA" w:rsidRPr="004468B2" w:rsidTr="00F90493">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7.punkts</w:t>
            </w:r>
          </w:p>
        </w:tc>
        <w:tc>
          <w:tcPr>
            <w:tcW w:w="3261" w:type="dxa"/>
            <w:gridSpan w:val="4"/>
            <w:vMerge w:val="restart"/>
            <w:tcBorders>
              <w:top w:val="outset" w:sz="6" w:space="0" w:color="auto"/>
              <w:left w:val="outset" w:sz="6" w:space="0" w:color="auto"/>
              <w:right w:val="outset" w:sz="6" w:space="0" w:color="auto"/>
            </w:tcBorders>
            <w:tcMar>
              <w:top w:w="28" w:type="dxa"/>
              <w:left w:w="28" w:type="dxa"/>
              <w:bottom w:w="28" w:type="dxa"/>
              <w:right w:w="28" w:type="dxa"/>
            </w:tcMar>
            <w:hideMark/>
          </w:tcPr>
          <w:p w:rsidR="006658EA" w:rsidRPr="004468B2" w:rsidRDefault="006658EA" w:rsidP="004E5C1C">
            <w:pPr>
              <w:pStyle w:val="NoSpacing"/>
              <w:jc w:val="both"/>
              <w:rPr>
                <w:rFonts w:ascii="Times New Roman" w:hAnsi="Times New Roman"/>
                <w:sz w:val="24"/>
                <w:szCs w:val="24"/>
              </w:rPr>
            </w:pPr>
            <w:r w:rsidRPr="004468B2">
              <w:rPr>
                <w:rFonts w:ascii="Times New Roman" w:hAnsi="Times New Roman"/>
                <w:sz w:val="24"/>
                <w:szCs w:val="24"/>
              </w:rPr>
              <w:t xml:space="preserve">Direktīvas norma tiks pārņemta grozījumiem </w:t>
            </w:r>
            <w:r w:rsidRPr="004468B2">
              <w:rPr>
                <w:rFonts w:ascii="Times New Roman" w:hAnsi="Times New Roman"/>
                <w:noProof/>
                <w:sz w:val="24"/>
                <w:szCs w:val="24"/>
              </w:rPr>
              <w:t>Ministru kabineta noteikumi Nr.47.</w:t>
            </w:r>
          </w:p>
        </w:tc>
        <w:tc>
          <w:tcPr>
            <w:tcW w:w="1984" w:type="dxa"/>
            <w:gridSpan w:val="2"/>
            <w:vMerge w:val="restart"/>
            <w:tcBorders>
              <w:top w:val="outset" w:sz="6" w:space="0" w:color="auto"/>
              <w:left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lang w:val="lv-LV"/>
              </w:rPr>
            </w:pPr>
            <w:r w:rsidRPr="004468B2">
              <w:rPr>
                <w:lang w:val="lv-LV"/>
              </w:rPr>
              <w:t>Nav</w:t>
            </w:r>
          </w:p>
        </w:tc>
        <w:tc>
          <w:tcPr>
            <w:tcW w:w="1276" w:type="dxa"/>
            <w:vMerge w:val="restart"/>
            <w:tcBorders>
              <w:top w:val="outset" w:sz="6" w:space="0" w:color="auto"/>
              <w:left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lang w:val="lv-LV"/>
              </w:rPr>
            </w:pPr>
            <w:r w:rsidRPr="004468B2">
              <w:rPr>
                <w:lang w:val="lv-LV"/>
              </w:rPr>
              <w:t>Nav</w:t>
            </w:r>
          </w:p>
        </w:tc>
      </w:tr>
      <w:tr w:rsidR="006658EA" w:rsidRPr="004468B2" w:rsidTr="00F90493">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8.punkts</w:t>
            </w:r>
          </w:p>
        </w:tc>
        <w:tc>
          <w:tcPr>
            <w:tcW w:w="3261" w:type="dxa"/>
            <w:gridSpan w:val="4"/>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sz w:val="24"/>
                <w:szCs w:val="24"/>
              </w:rPr>
            </w:pPr>
          </w:p>
        </w:tc>
        <w:tc>
          <w:tcPr>
            <w:tcW w:w="1984" w:type="dxa"/>
            <w:gridSpan w:val="2"/>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p>
        </w:tc>
        <w:tc>
          <w:tcPr>
            <w:tcW w:w="1276" w:type="dxa"/>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p>
        </w:tc>
      </w:tr>
      <w:tr w:rsidR="006658EA" w:rsidRPr="004468B2" w:rsidTr="00F90493">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9.punkts</w:t>
            </w:r>
          </w:p>
        </w:tc>
        <w:tc>
          <w:tcPr>
            <w:tcW w:w="3261" w:type="dxa"/>
            <w:gridSpan w:val="4"/>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sz w:val="24"/>
                <w:szCs w:val="24"/>
              </w:rPr>
            </w:pPr>
          </w:p>
        </w:tc>
        <w:tc>
          <w:tcPr>
            <w:tcW w:w="1984" w:type="dxa"/>
            <w:gridSpan w:val="2"/>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p>
        </w:tc>
        <w:tc>
          <w:tcPr>
            <w:tcW w:w="1276" w:type="dxa"/>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p>
        </w:tc>
      </w:tr>
      <w:tr w:rsidR="006658EA" w:rsidRPr="004468B2" w:rsidTr="00F90493">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10.punkts</w:t>
            </w:r>
          </w:p>
        </w:tc>
        <w:tc>
          <w:tcPr>
            <w:tcW w:w="3261" w:type="dxa"/>
            <w:gridSpan w:val="4"/>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sz w:val="24"/>
                <w:szCs w:val="24"/>
              </w:rPr>
            </w:pPr>
          </w:p>
        </w:tc>
        <w:tc>
          <w:tcPr>
            <w:tcW w:w="1984" w:type="dxa"/>
            <w:gridSpan w:val="2"/>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p>
        </w:tc>
        <w:tc>
          <w:tcPr>
            <w:tcW w:w="1276" w:type="dxa"/>
            <w:vMerge/>
            <w:tcBorders>
              <w:left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p>
        </w:tc>
      </w:tr>
      <w:tr w:rsidR="006658EA" w:rsidRPr="004468B2" w:rsidTr="00F90493">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11.punkts</w:t>
            </w:r>
          </w:p>
        </w:tc>
        <w:tc>
          <w:tcPr>
            <w:tcW w:w="3261" w:type="dxa"/>
            <w:gridSpan w:val="4"/>
            <w:vMerge/>
            <w:tcBorders>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pStyle w:val="NoSpacing"/>
              <w:jc w:val="both"/>
              <w:rPr>
                <w:rFonts w:ascii="Times New Roman" w:hAnsi="Times New Roman"/>
                <w:sz w:val="24"/>
                <w:szCs w:val="24"/>
              </w:rPr>
            </w:pPr>
          </w:p>
        </w:tc>
        <w:tc>
          <w:tcPr>
            <w:tcW w:w="1984" w:type="dxa"/>
            <w:gridSpan w:val="2"/>
            <w:vMerge/>
            <w:tcBorders>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spacing w:after="120"/>
              <w:jc w:val="both"/>
              <w:rPr>
                <w:lang w:val="lv-LV"/>
              </w:rPr>
            </w:pPr>
          </w:p>
        </w:tc>
        <w:tc>
          <w:tcPr>
            <w:tcW w:w="1276" w:type="dxa"/>
            <w:vMerge/>
            <w:tcBorders>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541EF">
            <w:pPr>
              <w:ind w:left="57"/>
              <w:rPr>
                <w:spacing w:val="-3"/>
                <w:lang w:val="lv-LV"/>
              </w:rPr>
            </w:pP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lastRenderedPageBreak/>
              <w:t>Direktīvas 2012/26/EK 1.panta 12.punkta a)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rPr>
                <w:rFonts w:ascii="Times New Roman" w:hAnsi="Times New Roman"/>
                <w:sz w:val="24"/>
                <w:szCs w:val="24"/>
              </w:rPr>
            </w:pPr>
            <w:r w:rsidRPr="004468B2">
              <w:rPr>
                <w:rFonts w:ascii="Times New Roman" w:hAnsi="Times New Roman"/>
                <w:sz w:val="24"/>
                <w:szCs w:val="24"/>
              </w:rPr>
              <w:t>1.3</w:t>
            </w:r>
            <w:r w:rsidR="00085B87" w:rsidRPr="004468B2">
              <w:rPr>
                <w:rFonts w:ascii="Times New Roman" w:hAnsi="Times New Roman"/>
                <w:sz w:val="24"/>
                <w:szCs w:val="24"/>
              </w:rPr>
              <w:t>9</w:t>
            </w:r>
            <w:r w:rsidRPr="004468B2">
              <w:rPr>
                <w:rFonts w:ascii="Times New Roman" w:hAnsi="Times New Roman"/>
                <w:sz w:val="24"/>
                <w:szCs w:val="24"/>
              </w:rPr>
              <w:t>.apakšpunkts</w:t>
            </w:r>
          </w:p>
          <w:p w:rsidR="006658EA" w:rsidRPr="004468B2" w:rsidRDefault="006658EA" w:rsidP="00F90493">
            <w:pPr>
              <w:pStyle w:val="NoSpacing"/>
              <w:rPr>
                <w:rFonts w:ascii="Times New Roman" w:hAnsi="Times New Roman"/>
                <w:sz w:val="24"/>
                <w:szCs w:val="24"/>
              </w:rPr>
            </w:pPr>
          </w:p>
          <w:p w:rsidR="006658EA" w:rsidRPr="004468B2" w:rsidRDefault="006658EA" w:rsidP="00F90493">
            <w:pPr>
              <w:pStyle w:val="NoSpacing"/>
              <w:rPr>
                <w:rFonts w:ascii="Times New Roman" w:hAnsi="Times New Roman"/>
                <w:sz w:val="24"/>
                <w:szCs w:val="24"/>
              </w:rPr>
            </w:pPr>
            <w:r w:rsidRPr="004468B2">
              <w:rPr>
                <w:rFonts w:ascii="Times New Roman" w:hAnsi="Times New Roman"/>
                <w:sz w:val="24"/>
                <w:szCs w:val="24"/>
              </w:rPr>
              <w:t>Direktīvas norma daļēji pārņemta ar Ministru kabineta noteikumiem Nr.416 (115.punkts).</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jc w:val="both"/>
              <w:rPr>
                <w:noProof/>
                <w:lang w:val="lv-LV"/>
              </w:rPr>
            </w:pPr>
            <w:r w:rsidRPr="004468B2">
              <w:rPr>
                <w:noProof/>
                <w:lang w:val="lv-LV"/>
              </w:rPr>
              <w:t xml:space="preserve">Direktīvas norma pārņemta pilnībā.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0F61F2">
            <w:pPr>
              <w:jc w:val="both"/>
              <w:rPr>
                <w:noProof/>
                <w:lang w:val="lv-LV"/>
              </w:rPr>
            </w:pPr>
            <w:r w:rsidRPr="004468B2">
              <w:rPr>
                <w:noProof/>
                <w:lang w:val="lv-LV"/>
              </w:rPr>
              <w:t>Stingrākas prasības neparedz.</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1.panta 12.punkta b) apakšpunkts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rPr>
                <w:rFonts w:ascii="Times New Roman" w:hAnsi="Times New Roman"/>
                <w:sz w:val="24"/>
                <w:szCs w:val="24"/>
              </w:rPr>
            </w:pPr>
            <w:r w:rsidRPr="004468B2">
              <w:rPr>
                <w:rFonts w:ascii="Times New Roman" w:hAnsi="Times New Roman"/>
                <w:sz w:val="24"/>
                <w:szCs w:val="24"/>
              </w:rPr>
              <w:t>Nav</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jc w:val="both"/>
              <w:rPr>
                <w:rFonts w:ascii="Times New Roman" w:hAnsi="Times New Roman"/>
                <w:sz w:val="24"/>
                <w:szCs w:val="24"/>
              </w:rPr>
            </w:pPr>
            <w:r w:rsidRPr="004468B2">
              <w:rPr>
                <w:rFonts w:ascii="Times New Roman" w:hAnsi="Times New Roman"/>
                <w:sz w:val="24"/>
                <w:szCs w:val="24"/>
              </w:rPr>
              <w:t>Norma nav jāievieš, jo attiecas uz Eiropas Zāļu aģentūras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lang w:val="lv-LV"/>
              </w:rPr>
            </w:pPr>
            <w:r w:rsidRPr="004468B2">
              <w:rPr>
                <w:lang w:val="lv-LV"/>
              </w:rPr>
              <w:t>Nav</w:t>
            </w:r>
          </w:p>
        </w:tc>
      </w:tr>
      <w:tr w:rsidR="006658EA" w:rsidRPr="004468B2" w:rsidTr="0089740E">
        <w:tblPrEx>
          <w:tblCellMar>
            <w:left w:w="0" w:type="dxa"/>
            <w:right w:w="0" w:type="dxa"/>
          </w:tblCellMar>
        </w:tblPrEx>
        <w:trPr>
          <w:gridAfter w:val="3"/>
          <w:wAfter w:w="2535" w:type="dxa"/>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Direktīvas 2012/26/EK 2.pants</w:t>
            </w:r>
          </w:p>
        </w:tc>
        <w:tc>
          <w:tcPr>
            <w:tcW w:w="326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pStyle w:val="NoSpacing"/>
              <w:jc w:val="both"/>
              <w:rPr>
                <w:rFonts w:ascii="Times New Roman" w:hAnsi="Times New Roman"/>
                <w:noProof/>
                <w:sz w:val="24"/>
                <w:szCs w:val="24"/>
              </w:rPr>
            </w:pPr>
            <w:r w:rsidRPr="004468B2">
              <w:rPr>
                <w:rFonts w:ascii="Times New Roman" w:hAnsi="Times New Roman"/>
                <w:noProof/>
                <w:sz w:val="24"/>
                <w:szCs w:val="24"/>
              </w:rPr>
              <w:t>1.5</w:t>
            </w:r>
            <w:r w:rsidR="00085B87" w:rsidRPr="004468B2">
              <w:rPr>
                <w:rFonts w:ascii="Times New Roman" w:hAnsi="Times New Roman"/>
                <w:noProof/>
                <w:sz w:val="24"/>
                <w:szCs w:val="24"/>
              </w:rPr>
              <w:t>1</w:t>
            </w:r>
            <w:r w:rsidRPr="004468B2">
              <w:rPr>
                <w:rFonts w:ascii="Times New Roman" w:hAnsi="Times New Roman"/>
                <w:noProof/>
                <w:sz w:val="24"/>
                <w:szCs w:val="24"/>
              </w:rPr>
              <w:t>.apakšpunkts (Informatīvā atsauce uz Eiropas Savienības direktīvu) un 2.punkts.</w:t>
            </w:r>
          </w:p>
          <w:p w:rsidR="006658EA" w:rsidRPr="004468B2" w:rsidRDefault="006658EA" w:rsidP="00F90493">
            <w:pPr>
              <w:pStyle w:val="NoSpacing"/>
              <w:jc w:val="both"/>
              <w:rPr>
                <w:rFonts w:ascii="Times New Roman" w:hAnsi="Times New Roman"/>
                <w:noProof/>
                <w:sz w:val="24"/>
                <w:szCs w:val="24"/>
              </w:rPr>
            </w:pPr>
          </w:p>
          <w:p w:rsidR="006658EA" w:rsidRPr="004468B2" w:rsidRDefault="006658EA" w:rsidP="00322878">
            <w:pPr>
              <w:pStyle w:val="NoSpacing"/>
              <w:jc w:val="both"/>
              <w:rPr>
                <w:rFonts w:ascii="Times New Roman" w:hAnsi="Times New Roman"/>
                <w:noProof/>
                <w:sz w:val="24"/>
                <w:szCs w:val="24"/>
              </w:rPr>
            </w:pPr>
            <w:r w:rsidRPr="004468B2">
              <w:rPr>
                <w:rFonts w:ascii="Times New Roman" w:hAnsi="Times New Roman"/>
                <w:noProof/>
                <w:sz w:val="24"/>
                <w:szCs w:val="24"/>
              </w:rPr>
              <w:t>Informatīvā atsauce uz Eiropas Savienības direktīvu norādāma MK noteikumos Nr.57 un M</w:t>
            </w:r>
            <w:r w:rsidR="00322878" w:rsidRPr="004468B2">
              <w:rPr>
                <w:rFonts w:ascii="Times New Roman" w:hAnsi="Times New Roman"/>
                <w:noProof/>
                <w:sz w:val="24"/>
                <w:szCs w:val="24"/>
              </w:rPr>
              <w:t>K</w:t>
            </w:r>
            <w:r w:rsidRPr="004468B2">
              <w:rPr>
                <w:rFonts w:ascii="Times New Roman" w:hAnsi="Times New Roman"/>
                <w:noProof/>
                <w:sz w:val="24"/>
                <w:szCs w:val="24"/>
              </w:rPr>
              <w:t xml:space="preserve"> noteikumos Nr.376.</w:t>
            </w:r>
          </w:p>
        </w:tc>
        <w:tc>
          <w:tcPr>
            <w:tcW w:w="1984"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 xml:space="preserve">Direktīvas norma pārņemta daļēji.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F90493">
            <w:pPr>
              <w:jc w:val="both"/>
              <w:rPr>
                <w:noProof/>
                <w:lang w:val="lv-LV"/>
              </w:rPr>
            </w:pPr>
            <w:r w:rsidRPr="004468B2">
              <w:rPr>
                <w:noProof/>
                <w:lang w:val="lv-LV"/>
              </w:rPr>
              <w:t>Nav</w:t>
            </w:r>
          </w:p>
        </w:tc>
      </w:tr>
      <w:tr w:rsidR="006658EA" w:rsidRPr="004468B2" w:rsidTr="008B675E">
        <w:tblPrEx>
          <w:tblCellMar>
            <w:left w:w="0" w:type="dxa"/>
            <w:right w:w="0" w:type="dxa"/>
          </w:tblCellMar>
        </w:tblPrEx>
        <w:trPr>
          <w:gridAfter w:val="3"/>
          <w:wAfter w:w="2535" w:type="dxa"/>
          <w:cantSplit/>
          <w:trHeight w:val="281"/>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ind w:left="57"/>
              <w:rPr>
                <w:spacing w:val="-6"/>
                <w:lang w:val="lv-LV"/>
              </w:rPr>
            </w:pPr>
            <w:r w:rsidRPr="004468B2">
              <w:rPr>
                <w:spacing w:val="-6"/>
                <w:lang w:val="lv-LV"/>
              </w:rPr>
              <w:lastRenderedPageBreak/>
              <w:t>Kā ir izmantota ES tiesību aktā paredzētā rīcības brīvība dalībvalstij pārņemt vai ieviest noteiktas ES tiesību akta normas?</w:t>
            </w:r>
          </w:p>
          <w:p w:rsidR="006658EA" w:rsidRPr="004468B2" w:rsidRDefault="006658EA" w:rsidP="004134D0">
            <w:pPr>
              <w:ind w:left="57"/>
              <w:rPr>
                <w:spacing w:val="-3"/>
                <w:lang w:val="lv-LV"/>
              </w:rPr>
            </w:pPr>
            <w:r w:rsidRPr="004468B2">
              <w:rPr>
                <w:spacing w:val="-6"/>
                <w:lang w:val="lv-LV"/>
              </w:rPr>
              <w:t>Kādēļ?</w:t>
            </w:r>
          </w:p>
        </w:tc>
        <w:tc>
          <w:tcPr>
            <w:tcW w:w="6521"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47D7" w:rsidRPr="004468B2" w:rsidRDefault="00344B8A" w:rsidP="00D06139">
            <w:pPr>
              <w:ind w:left="57"/>
              <w:jc w:val="both"/>
              <w:rPr>
                <w:lang w:val="lv-LV"/>
              </w:rPr>
            </w:pPr>
            <w:r w:rsidRPr="004468B2">
              <w:rPr>
                <w:lang w:val="lv-LV"/>
              </w:rPr>
              <w:t>Direktīva</w:t>
            </w:r>
            <w:r w:rsidR="004A5AF2" w:rsidRPr="004468B2">
              <w:rPr>
                <w:lang w:val="lv-LV"/>
              </w:rPr>
              <w:t>s</w:t>
            </w:r>
            <w:r w:rsidRPr="004468B2">
              <w:rPr>
                <w:lang w:val="lv-LV"/>
              </w:rPr>
              <w:t xml:space="preserve"> 2001/83/ES</w:t>
            </w:r>
            <w:r w:rsidR="004A5AF2" w:rsidRPr="004468B2">
              <w:rPr>
                <w:lang w:val="lv-LV"/>
              </w:rPr>
              <w:t xml:space="preserve"> </w:t>
            </w:r>
            <w:r w:rsidRPr="004468B2">
              <w:rPr>
                <w:lang w:val="lv-LV"/>
              </w:rPr>
              <w:t>82.panta norma paredz vairumtirgotājam pienākumu, piegādājot zāles personai, kam atļauts vai kas ir tiesīga pārdot zāles attiecīgās dalībvalsts iedzīvotājiem, pievienot dokumentu, kurš ļauj noskaidrot zāļu sērijas (</w:t>
            </w:r>
            <w:r w:rsidRPr="004468B2">
              <w:rPr>
                <w:i/>
              </w:rPr>
              <w:t>batch</w:t>
            </w:r>
            <w:r w:rsidRPr="004468B2">
              <w:rPr>
                <w:lang w:val="lv-LV"/>
              </w:rPr>
              <w:t>) numuru vismaz tām zālēm, uz kurām ir norādītas drošuma pazīmes, kas minētas 54. panta o) apakšpunktā.</w:t>
            </w:r>
          </w:p>
          <w:p w:rsidR="00D06139" w:rsidRPr="004468B2" w:rsidRDefault="005306A8" w:rsidP="00D06139">
            <w:pPr>
              <w:ind w:left="57"/>
              <w:jc w:val="both"/>
              <w:rPr>
                <w:lang w:val="lv-LV"/>
              </w:rPr>
            </w:pPr>
            <w:r w:rsidRPr="004468B2">
              <w:rPr>
                <w:lang w:val="lv-LV"/>
              </w:rPr>
              <w:t>Direktīvas Nr.2011/62/ES 1.panta 19.punkta norma (Direktīva 2001/83/ES 85 a pants) attiecina Direktīva 2001/83/ES 82.pantā noteiktās prasības uz zāļu piegādi trešajām valstīm, un līdz ar to tas attiecināms arī uz ietverto rīcības brīvību. A</w:t>
            </w:r>
            <w:r w:rsidR="00D06139" w:rsidRPr="004468B2">
              <w:rPr>
                <w:lang w:val="lv-LV"/>
              </w:rPr>
              <w:t xml:space="preserve">ttiecinot </w:t>
            </w:r>
            <w:r w:rsidRPr="004468B2">
              <w:rPr>
                <w:lang w:val="lv-LV"/>
              </w:rPr>
              <w:t>prasību par</w:t>
            </w:r>
            <w:r w:rsidR="00D06139" w:rsidRPr="004468B2">
              <w:rPr>
                <w:lang w:val="lv-LV"/>
              </w:rPr>
              <w:t xml:space="preserve"> </w:t>
            </w:r>
            <w:r w:rsidRPr="004468B2">
              <w:rPr>
                <w:lang w:val="lv-LV"/>
              </w:rPr>
              <w:t>dokumentu pievienošanu zāļu piegādēs trešajām valstīm, kurā ietvertā informācija ļauj noskaidrot zāļu sērijas (</w:t>
            </w:r>
            <w:r w:rsidRPr="004468B2">
              <w:rPr>
                <w:i/>
              </w:rPr>
              <w:t>batch</w:t>
            </w:r>
            <w:r w:rsidRPr="004468B2">
              <w:rPr>
                <w:lang w:val="lv-LV"/>
              </w:rPr>
              <w:t xml:space="preserve">) numuru vismaz tām zālēm, tas </w:t>
            </w:r>
            <w:r w:rsidR="00D06139" w:rsidRPr="004468B2">
              <w:rPr>
                <w:lang w:val="lv-LV"/>
              </w:rPr>
              <w:t xml:space="preserve">dod iespēju izsekot konkrētu zāļu sēriju izsekošanas ceļiem, kas palielina zāļu atsaukšanas efektivitāti konkrētu zāļu sēriju defektu gadījumā, jo  zāļu vairumtirgotāja rīcībā ir informācija, kam iegādātam konkrēta zāļu sērija. Tas veicina zāļu izsekojamību un šī norma jau ir ietverta MK noteikumu </w:t>
            </w:r>
            <w:r w:rsidR="002B5631" w:rsidRPr="004468B2">
              <w:rPr>
                <w:lang w:val="lv-LV"/>
              </w:rPr>
              <w:t>12.5.6.2.apakšpunktā, nosakot zāļu vairum</w:t>
            </w:r>
            <w:r w:rsidR="002B5631" w:rsidRPr="004468B2">
              <w:rPr>
                <w:lang w:val="lv-LV"/>
              </w:rPr>
              <w:softHyphen/>
              <w:t>tirgotājam pienākumu, izplatot zāles vairumtirdzniecībā, nodrošināt protokolu vai pavadzīmju (papīra formā, elektroniski vai jebkurā citā formā) uzglabāšanu par zāļu pirkšanu un pārdošanu, lai par jebkuru darījumu ar zālēm būtu pieejami arī katras piegādātās zāļu ražošanas sērijas numurs.</w:t>
            </w:r>
          </w:p>
          <w:p w:rsidR="006658EA" w:rsidRPr="004468B2" w:rsidRDefault="00A1621B" w:rsidP="005306A8">
            <w:pPr>
              <w:jc w:val="both"/>
              <w:rPr>
                <w:lang w:val="lv-LV"/>
              </w:rPr>
            </w:pPr>
            <w:r w:rsidRPr="004468B2">
              <w:rPr>
                <w:lang w:val="lv-LV"/>
              </w:rPr>
              <w:t xml:space="preserve">Piemērojot rīcības brīvību, zāļu izsekojamības iespējas palielinās, </w:t>
            </w:r>
            <w:r w:rsidR="008E1320" w:rsidRPr="004468B2">
              <w:rPr>
                <w:lang w:val="lv-LV"/>
              </w:rPr>
              <w:t>jo</w:t>
            </w:r>
            <w:r w:rsidRPr="004468B2">
              <w:rPr>
                <w:lang w:val="lv-LV"/>
              </w:rPr>
              <w:t xml:space="preserve"> nepieciešamības gadījumā par </w:t>
            </w:r>
            <w:r w:rsidR="008E1320" w:rsidRPr="004468B2">
              <w:rPr>
                <w:lang w:val="lv-LV"/>
              </w:rPr>
              <w:t xml:space="preserve">zāļu sērijām ar defektiem </w:t>
            </w:r>
            <w:r w:rsidRPr="004468B2">
              <w:rPr>
                <w:lang w:val="lv-LV"/>
              </w:rPr>
              <w:t>ir iespējams sniegt informāciju arī trešo valstu kompetentajām iestādēm</w:t>
            </w:r>
            <w:r w:rsidR="008E1320" w:rsidRPr="004468B2">
              <w:rPr>
                <w:lang w:val="lv-LV"/>
              </w:rPr>
              <w:t>, kā arī informēt par konkrētu zāļu sēriju izplatīšanu.</w:t>
            </w:r>
          </w:p>
        </w:tc>
      </w:tr>
      <w:tr w:rsidR="006658EA" w:rsidRPr="004468B2" w:rsidTr="008B675E">
        <w:tblPrEx>
          <w:tblCellMar>
            <w:left w:w="0" w:type="dxa"/>
            <w:right w:w="0" w:type="dxa"/>
          </w:tblCellMar>
        </w:tblPrEx>
        <w:trPr>
          <w:gridAfter w:val="3"/>
          <w:wAfter w:w="2535" w:type="dxa"/>
          <w:cantSplit/>
          <w:trHeight w:val="9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ind w:left="57"/>
              <w:rPr>
                <w:spacing w:val="-6"/>
                <w:lang w:val="lv-LV"/>
              </w:rPr>
            </w:pPr>
            <w:r w:rsidRPr="004468B2">
              <w:rPr>
                <w:spacing w:val="-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1"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ind w:left="57"/>
              <w:rPr>
                <w:lang w:val="lv-LV"/>
              </w:rPr>
            </w:pPr>
            <w:r w:rsidRPr="004468B2">
              <w:rPr>
                <w:lang w:val="lv-LV"/>
              </w:rPr>
              <w:t>Nav attiecināms</w:t>
            </w:r>
            <w:r w:rsidR="00DA1D5F" w:rsidRPr="004468B2">
              <w:rPr>
                <w:lang w:val="lv-LV"/>
              </w:rPr>
              <w:t>.</w:t>
            </w:r>
          </w:p>
        </w:tc>
      </w:tr>
      <w:tr w:rsidR="006658EA" w:rsidRPr="004468B2" w:rsidTr="008B675E">
        <w:tblPrEx>
          <w:tblCellMar>
            <w:left w:w="0" w:type="dxa"/>
            <w:right w:w="0" w:type="dxa"/>
          </w:tblCellMar>
        </w:tblPrEx>
        <w:trPr>
          <w:gridAfter w:val="3"/>
          <w:wAfter w:w="2535" w:type="dxa"/>
          <w:cantSplit/>
          <w:trHeight w:val="4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4134D0">
            <w:pPr>
              <w:ind w:left="57"/>
              <w:rPr>
                <w:lang w:val="lv-LV"/>
              </w:rPr>
            </w:pPr>
            <w:r w:rsidRPr="004468B2">
              <w:rPr>
                <w:lang w:val="lv-LV"/>
              </w:rPr>
              <w:t>Cita informācija</w:t>
            </w:r>
          </w:p>
        </w:tc>
        <w:tc>
          <w:tcPr>
            <w:tcW w:w="6521"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58EA" w:rsidRPr="004468B2" w:rsidRDefault="006658EA" w:rsidP="006A5F30">
            <w:pPr>
              <w:shd w:val="clear" w:color="auto" w:fill="F5F5F5"/>
              <w:jc w:val="both"/>
              <w:textAlignment w:val="top"/>
              <w:rPr>
                <w:lang w:val="lv-LV"/>
              </w:rPr>
            </w:pPr>
            <w:r w:rsidRPr="004468B2">
              <w:rPr>
                <w:lang w:val="lv-LV"/>
              </w:rPr>
              <w:t>Nav</w:t>
            </w:r>
          </w:p>
        </w:tc>
      </w:tr>
      <w:tr w:rsidR="006658EA" w:rsidRPr="004468B2" w:rsidTr="00C30284">
        <w:tblPrEx>
          <w:tblCellMar>
            <w:left w:w="0" w:type="dxa"/>
            <w:right w:w="0" w:type="dxa"/>
          </w:tblCellMar>
        </w:tblPrEx>
        <w:trPr>
          <w:trHeight w:val="91"/>
        </w:trPr>
        <w:tc>
          <w:tcPr>
            <w:tcW w:w="166" w:type="dxa"/>
            <w:gridSpan w:val="2"/>
            <w:tcBorders>
              <w:top w:val="nil"/>
              <w:left w:val="nil"/>
              <w:bottom w:val="nil"/>
              <w:right w:val="nil"/>
            </w:tcBorders>
            <w:vAlign w:val="center"/>
            <w:hideMark/>
          </w:tcPr>
          <w:p w:rsidR="006658EA" w:rsidRPr="004468B2" w:rsidRDefault="006658EA" w:rsidP="004134D0">
            <w:pPr>
              <w:rPr>
                <w:lang w:val="lv-LV" w:eastAsia="lv-LV"/>
              </w:rPr>
            </w:pPr>
          </w:p>
        </w:tc>
        <w:tc>
          <w:tcPr>
            <w:tcW w:w="557" w:type="dxa"/>
            <w:gridSpan w:val="2"/>
            <w:tcBorders>
              <w:top w:val="nil"/>
              <w:left w:val="nil"/>
              <w:bottom w:val="nil"/>
              <w:right w:val="nil"/>
            </w:tcBorders>
            <w:vAlign w:val="center"/>
            <w:hideMark/>
          </w:tcPr>
          <w:p w:rsidR="006658EA" w:rsidRPr="004468B2" w:rsidRDefault="006658EA" w:rsidP="004134D0">
            <w:pPr>
              <w:rPr>
                <w:lang w:val="lv-LV" w:eastAsia="lv-LV"/>
              </w:rPr>
            </w:pPr>
          </w:p>
        </w:tc>
        <w:tc>
          <w:tcPr>
            <w:tcW w:w="2254" w:type="dxa"/>
            <w:gridSpan w:val="2"/>
            <w:tcBorders>
              <w:top w:val="nil"/>
              <w:left w:val="nil"/>
              <w:bottom w:val="nil"/>
              <w:right w:val="nil"/>
            </w:tcBorders>
            <w:vAlign w:val="center"/>
            <w:hideMark/>
          </w:tcPr>
          <w:p w:rsidR="006658EA" w:rsidRPr="004468B2" w:rsidRDefault="006658EA" w:rsidP="004134D0">
            <w:pPr>
              <w:rPr>
                <w:lang w:val="lv-LV" w:eastAsia="lv-LV"/>
              </w:rPr>
            </w:pPr>
          </w:p>
        </w:tc>
        <w:tc>
          <w:tcPr>
            <w:tcW w:w="1178" w:type="dxa"/>
            <w:gridSpan w:val="3"/>
            <w:tcBorders>
              <w:top w:val="nil"/>
              <w:left w:val="nil"/>
              <w:bottom w:val="nil"/>
              <w:right w:val="nil"/>
            </w:tcBorders>
            <w:vAlign w:val="center"/>
            <w:hideMark/>
          </w:tcPr>
          <w:p w:rsidR="006658EA" w:rsidRPr="004468B2" w:rsidRDefault="006658EA" w:rsidP="004134D0">
            <w:pPr>
              <w:rPr>
                <w:lang w:val="lv-LV" w:eastAsia="lv-LV"/>
              </w:rPr>
            </w:pPr>
          </w:p>
        </w:tc>
        <w:tc>
          <w:tcPr>
            <w:tcW w:w="2304" w:type="dxa"/>
            <w:gridSpan w:val="2"/>
            <w:tcBorders>
              <w:top w:val="nil"/>
              <w:left w:val="nil"/>
              <w:bottom w:val="nil"/>
              <w:right w:val="nil"/>
            </w:tcBorders>
            <w:vAlign w:val="center"/>
            <w:hideMark/>
          </w:tcPr>
          <w:p w:rsidR="006658EA" w:rsidRPr="004468B2" w:rsidRDefault="006658EA" w:rsidP="004134D0">
            <w:pPr>
              <w:rPr>
                <w:lang w:val="lv-LV" w:eastAsia="lv-LV"/>
              </w:rPr>
            </w:pPr>
          </w:p>
        </w:tc>
        <w:tc>
          <w:tcPr>
            <w:tcW w:w="4122" w:type="dxa"/>
            <w:gridSpan w:val="3"/>
            <w:tcBorders>
              <w:top w:val="nil"/>
              <w:left w:val="nil"/>
              <w:bottom w:val="nil"/>
              <w:right w:val="nil"/>
            </w:tcBorders>
            <w:vAlign w:val="center"/>
            <w:hideMark/>
          </w:tcPr>
          <w:p w:rsidR="006658EA" w:rsidRPr="004468B2" w:rsidRDefault="006658EA" w:rsidP="004134D0">
            <w:pPr>
              <w:rPr>
                <w:lang w:val="lv-LV" w:eastAsia="lv-LV"/>
              </w:rPr>
            </w:pPr>
          </w:p>
        </w:tc>
        <w:tc>
          <w:tcPr>
            <w:tcW w:w="20" w:type="dxa"/>
            <w:tcBorders>
              <w:top w:val="nil"/>
              <w:left w:val="nil"/>
              <w:bottom w:val="nil"/>
              <w:right w:val="nil"/>
            </w:tcBorders>
            <w:vAlign w:val="center"/>
            <w:hideMark/>
          </w:tcPr>
          <w:p w:rsidR="006658EA" w:rsidRPr="004468B2" w:rsidRDefault="006658EA" w:rsidP="004134D0">
            <w:pPr>
              <w:rPr>
                <w:lang w:val="lv-LV" w:eastAsia="lv-LV"/>
              </w:rPr>
            </w:pPr>
          </w:p>
        </w:tc>
        <w:tc>
          <w:tcPr>
            <w:tcW w:w="1432" w:type="dxa"/>
            <w:tcBorders>
              <w:top w:val="nil"/>
              <w:left w:val="nil"/>
              <w:bottom w:val="nil"/>
              <w:right w:val="nil"/>
            </w:tcBorders>
            <w:vAlign w:val="center"/>
            <w:hideMark/>
          </w:tcPr>
          <w:p w:rsidR="006658EA" w:rsidRPr="004468B2" w:rsidRDefault="006658EA" w:rsidP="004134D0">
            <w:pPr>
              <w:rPr>
                <w:lang w:val="lv-LV" w:eastAsia="lv-LV"/>
              </w:rPr>
            </w:pPr>
          </w:p>
        </w:tc>
      </w:tr>
    </w:tbl>
    <w:p w:rsidR="004134D0" w:rsidRPr="004468B2" w:rsidRDefault="004134D0" w:rsidP="004134D0">
      <w:pPr>
        <w:pStyle w:val="naisf"/>
        <w:spacing w:before="0" w:beforeAutospacing="0" w:after="0" w:afterAutospacing="0"/>
        <w:rPr>
          <w:sz w:val="28"/>
          <w:szCs w:val="28"/>
          <w:lang w:val="lv-LV"/>
        </w:rPr>
      </w:pPr>
    </w:p>
    <w:tbl>
      <w:tblPr>
        <w:tblW w:w="978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147"/>
        <w:gridCol w:w="3402"/>
        <w:gridCol w:w="3233"/>
      </w:tblGrid>
      <w:tr w:rsidR="004134D0" w:rsidRPr="004468B2" w:rsidTr="004134D0">
        <w:trPr>
          <w:trHeight w:val="20"/>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rsidR="00FB4613" w:rsidRPr="004468B2" w:rsidRDefault="004134D0" w:rsidP="00FB4613">
            <w:pPr>
              <w:pStyle w:val="NoSpacing"/>
              <w:rPr>
                <w:rFonts w:ascii="Times New Roman" w:hAnsi="Times New Roman"/>
                <w:b/>
              </w:rPr>
            </w:pPr>
            <w:r w:rsidRPr="004468B2">
              <w:rPr>
                <w:rFonts w:ascii="Times New Roman" w:hAnsi="Times New Roman"/>
                <w:b/>
              </w:rPr>
              <w:t>2.tabula</w:t>
            </w:r>
          </w:p>
          <w:p w:rsidR="004134D0" w:rsidRPr="004468B2" w:rsidRDefault="004134D0" w:rsidP="00FB4613">
            <w:pPr>
              <w:pStyle w:val="NoSpacing"/>
              <w:rPr>
                <w:rFonts w:ascii="Times New Roman" w:hAnsi="Times New Roman"/>
                <w:b/>
              </w:rPr>
            </w:pPr>
            <w:r w:rsidRPr="004468B2">
              <w:rPr>
                <w:rFonts w:ascii="Times New Roman" w:hAnsi="Times New Roman"/>
                <w:b/>
              </w:rPr>
              <w:t>Ar tiesību akta projektu izpildītās vai uzņemtās saistības, kas izriet no starptautiskajiem tiesību aktiem vai starptautiskas institūcijas vai organizācijas dokumentiem.</w:t>
            </w:r>
          </w:p>
          <w:p w:rsidR="004134D0" w:rsidRPr="004468B2" w:rsidRDefault="004134D0" w:rsidP="00FB4613">
            <w:pPr>
              <w:pStyle w:val="NoSpacing"/>
              <w:rPr>
                <w:sz w:val="28"/>
                <w:szCs w:val="28"/>
              </w:rPr>
            </w:pPr>
            <w:r w:rsidRPr="004468B2">
              <w:rPr>
                <w:rFonts w:ascii="Times New Roman" w:hAnsi="Times New Roman"/>
                <w:b/>
              </w:rPr>
              <w:t>Pasākumi šo saistību izpildei</w:t>
            </w:r>
          </w:p>
        </w:tc>
      </w:tr>
      <w:tr w:rsidR="004134D0" w:rsidRPr="004468B2" w:rsidTr="00144DB3">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4468B2" w:rsidRDefault="004134D0" w:rsidP="004134D0">
            <w:pPr>
              <w:pStyle w:val="naisf"/>
              <w:rPr>
                <w:spacing w:val="-6"/>
                <w:lang w:val="lv-LV"/>
              </w:rPr>
            </w:pPr>
            <w:r w:rsidRPr="004468B2">
              <w:rPr>
                <w:spacing w:val="-6"/>
                <w:lang w:val="lv-LV"/>
              </w:rPr>
              <w:t xml:space="preserve">Attiecīgā starptautiskā tiesību </w:t>
            </w:r>
            <w:r w:rsidRPr="004468B2">
              <w:rPr>
                <w:spacing w:val="-6"/>
                <w:lang w:val="lv-LV"/>
              </w:rPr>
              <w:lastRenderedPageBreak/>
              <w:t>akta vai starptautiskas institūcijas vai organizācijas dokumenta (turpmāk – starptautiskais dokuments) datums, numurs un nosaukums</w:t>
            </w:r>
          </w:p>
        </w:tc>
        <w:tc>
          <w:tcPr>
            <w:tcW w:w="6635" w:type="dxa"/>
            <w:gridSpan w:val="2"/>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lang w:val="lv-LV"/>
              </w:rPr>
            </w:pPr>
            <w:r w:rsidRPr="004468B2">
              <w:rPr>
                <w:lang w:val="lv-LV"/>
              </w:rPr>
              <w:lastRenderedPageBreak/>
              <w:t>Projekts šo jomu neskar.</w:t>
            </w:r>
          </w:p>
        </w:tc>
      </w:tr>
      <w:tr w:rsidR="004134D0" w:rsidRPr="004468B2" w:rsidTr="00144DB3">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4468B2" w:rsidRDefault="004134D0" w:rsidP="004134D0">
            <w:pPr>
              <w:pStyle w:val="naisf"/>
              <w:rPr>
                <w:lang w:val="lv-LV"/>
              </w:rPr>
            </w:pPr>
            <w:r w:rsidRPr="004468B2">
              <w:rPr>
                <w:lang w:val="lv-LV"/>
              </w:rPr>
              <w:lastRenderedPageBreak/>
              <w:t>A</w:t>
            </w:r>
          </w:p>
        </w:tc>
        <w:tc>
          <w:tcPr>
            <w:tcW w:w="3402" w:type="dxa"/>
            <w:tcBorders>
              <w:top w:val="outset" w:sz="6" w:space="0" w:color="auto"/>
              <w:left w:val="outset" w:sz="6" w:space="0" w:color="auto"/>
              <w:bottom w:val="outset" w:sz="6" w:space="0" w:color="auto"/>
              <w:right w:val="outset" w:sz="6" w:space="0" w:color="auto"/>
            </w:tcBorders>
            <w:vAlign w:val="center"/>
            <w:hideMark/>
          </w:tcPr>
          <w:p w:rsidR="004134D0" w:rsidRPr="004468B2" w:rsidRDefault="004134D0" w:rsidP="004134D0">
            <w:pPr>
              <w:pStyle w:val="naisf"/>
              <w:rPr>
                <w:lang w:val="lv-LV"/>
              </w:rPr>
            </w:pPr>
            <w:r w:rsidRPr="004468B2">
              <w:rPr>
                <w:lang w:val="lv-LV"/>
              </w:rPr>
              <w:t>B</w:t>
            </w:r>
          </w:p>
        </w:tc>
        <w:tc>
          <w:tcPr>
            <w:tcW w:w="3233" w:type="dxa"/>
            <w:tcBorders>
              <w:top w:val="outset" w:sz="6" w:space="0" w:color="auto"/>
              <w:left w:val="outset" w:sz="6" w:space="0" w:color="auto"/>
              <w:bottom w:val="outset" w:sz="6" w:space="0" w:color="auto"/>
              <w:right w:val="outset" w:sz="6" w:space="0" w:color="auto"/>
            </w:tcBorders>
            <w:vAlign w:val="center"/>
            <w:hideMark/>
          </w:tcPr>
          <w:p w:rsidR="004134D0" w:rsidRPr="004468B2" w:rsidRDefault="004134D0" w:rsidP="004134D0">
            <w:pPr>
              <w:pStyle w:val="naisf"/>
              <w:rPr>
                <w:lang w:val="lv-LV"/>
              </w:rPr>
            </w:pPr>
            <w:r w:rsidRPr="004468B2">
              <w:rPr>
                <w:lang w:val="lv-LV"/>
              </w:rPr>
              <w:t>C</w:t>
            </w:r>
          </w:p>
        </w:tc>
      </w:tr>
      <w:tr w:rsidR="004134D0" w:rsidRPr="004468B2" w:rsidTr="00144DB3">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spacing w:val="-6"/>
                <w:lang w:val="lv-LV"/>
              </w:rPr>
            </w:pPr>
            <w:r w:rsidRPr="004468B2">
              <w:rPr>
                <w:spacing w:val="-6"/>
                <w:lang w:val="lv-LV"/>
              </w:rPr>
              <w:t>Starptautiskās saistības (pēc būtības), kas izriet no norādītā starptautiskā dokumenta.</w:t>
            </w:r>
            <w:r w:rsidR="00B776BB" w:rsidRPr="004468B2">
              <w:rPr>
                <w:spacing w:val="-6"/>
                <w:lang w:val="lv-LV"/>
              </w:rPr>
              <w:t xml:space="preserve"> </w:t>
            </w:r>
            <w:r w:rsidRPr="004468B2">
              <w:rPr>
                <w:spacing w:val="-6"/>
                <w:lang w:val="lv-LV"/>
              </w:rPr>
              <w:t>Konkrēti veicamie pasākumi vai uzdevumi, kas nepieciešami šo starptautisko saistību izpildei</w:t>
            </w:r>
          </w:p>
        </w:tc>
        <w:tc>
          <w:tcPr>
            <w:tcW w:w="3402" w:type="dxa"/>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spacing w:val="-6"/>
                <w:lang w:val="lv-LV"/>
              </w:rPr>
            </w:pPr>
            <w:r w:rsidRPr="004468B2">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33" w:type="dxa"/>
            <w:tcBorders>
              <w:top w:val="outset" w:sz="6" w:space="0" w:color="auto"/>
              <w:left w:val="outset" w:sz="6" w:space="0" w:color="auto"/>
              <w:bottom w:val="outset" w:sz="6" w:space="0" w:color="auto"/>
              <w:right w:val="outset" w:sz="6" w:space="0" w:color="auto"/>
            </w:tcBorders>
            <w:hideMark/>
          </w:tcPr>
          <w:p w:rsidR="004134D0" w:rsidRPr="004468B2" w:rsidRDefault="004134D0" w:rsidP="00144DB3">
            <w:pPr>
              <w:pStyle w:val="naisf"/>
              <w:rPr>
                <w:spacing w:val="-6"/>
                <w:lang w:val="lv-LV"/>
              </w:rPr>
            </w:pPr>
            <w:r w:rsidRPr="004468B2">
              <w:rPr>
                <w:spacing w:val="-6"/>
                <w:lang w:val="lv-LV"/>
              </w:rPr>
              <w:t>Informācija par to, vai starptautiskās saistības, kas minētas šīs tabulas A ailē, tiek izpildītas pilnībā vai daļēji.</w:t>
            </w:r>
            <w:r w:rsidR="00B776BB" w:rsidRPr="004468B2">
              <w:rPr>
                <w:spacing w:val="-6"/>
                <w:lang w:val="lv-LV"/>
              </w:rPr>
              <w:t xml:space="preserve"> </w:t>
            </w:r>
            <w:r w:rsidRPr="004468B2">
              <w:rPr>
                <w:spacing w:val="-6"/>
                <w:lang w:val="lv-LV"/>
              </w:rPr>
              <w:t>Ja attiecīgās starptautiskās saistības tiek izpildītas daļēji, sniedz attiecīgu skaidrojumu, kā arī precīzi norāda, kad un kādā veidā starptautiskās saistības tiks izpildītas pilnībā.</w:t>
            </w:r>
            <w:r w:rsidR="00B776BB" w:rsidRPr="004468B2">
              <w:rPr>
                <w:spacing w:val="-6"/>
                <w:lang w:val="lv-LV"/>
              </w:rPr>
              <w:t xml:space="preserve"> </w:t>
            </w:r>
            <w:r w:rsidRPr="004468B2">
              <w:rPr>
                <w:spacing w:val="-6"/>
                <w:lang w:val="lv-LV"/>
              </w:rPr>
              <w:t>Norāda institūciju, kas ir atbildīga par šo saistību izpildi pilnībā</w:t>
            </w:r>
          </w:p>
        </w:tc>
      </w:tr>
      <w:tr w:rsidR="004134D0" w:rsidRPr="004468B2" w:rsidTr="00144DB3">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lang w:val="lv-LV"/>
              </w:rPr>
            </w:pPr>
            <w:r w:rsidRPr="004468B2">
              <w:rPr>
                <w:lang w:val="lv-LV"/>
              </w:rPr>
              <w:t>Projekts šo jomu neskar.</w:t>
            </w:r>
          </w:p>
        </w:tc>
        <w:tc>
          <w:tcPr>
            <w:tcW w:w="3402" w:type="dxa"/>
            <w:tcBorders>
              <w:top w:val="outset" w:sz="6" w:space="0" w:color="auto"/>
              <w:left w:val="outset" w:sz="6" w:space="0" w:color="auto"/>
              <w:bottom w:val="outset" w:sz="6" w:space="0" w:color="auto"/>
              <w:right w:val="outset" w:sz="6" w:space="0" w:color="auto"/>
            </w:tcBorders>
            <w:hideMark/>
          </w:tcPr>
          <w:p w:rsidR="004134D0" w:rsidRPr="004468B2" w:rsidRDefault="008F7702" w:rsidP="004134D0">
            <w:pPr>
              <w:pStyle w:val="naisf"/>
              <w:ind w:firstLine="374"/>
              <w:rPr>
                <w:lang w:val="lv-LV"/>
              </w:rPr>
            </w:pPr>
            <w:r w:rsidRPr="004468B2">
              <w:rPr>
                <w:lang w:val="lv-LV"/>
              </w:rPr>
              <w:t>Projekts šo jomu neskar</w:t>
            </w:r>
            <w:r w:rsidR="00DA1D5F" w:rsidRPr="004468B2">
              <w:rPr>
                <w:lang w:val="lv-LV"/>
              </w:rPr>
              <w:t>.</w:t>
            </w:r>
          </w:p>
        </w:tc>
        <w:tc>
          <w:tcPr>
            <w:tcW w:w="3233" w:type="dxa"/>
            <w:tcBorders>
              <w:top w:val="outset" w:sz="6" w:space="0" w:color="auto"/>
              <w:left w:val="outset" w:sz="6" w:space="0" w:color="auto"/>
              <w:bottom w:val="outset" w:sz="6" w:space="0" w:color="auto"/>
              <w:right w:val="outset" w:sz="6" w:space="0" w:color="auto"/>
            </w:tcBorders>
            <w:hideMark/>
          </w:tcPr>
          <w:p w:rsidR="004134D0" w:rsidRPr="004468B2" w:rsidRDefault="008F7702" w:rsidP="004134D0">
            <w:pPr>
              <w:pStyle w:val="naisf"/>
              <w:ind w:firstLine="374"/>
              <w:rPr>
                <w:lang w:val="lv-LV"/>
              </w:rPr>
            </w:pPr>
            <w:r w:rsidRPr="004468B2">
              <w:rPr>
                <w:lang w:val="lv-LV"/>
              </w:rPr>
              <w:t>Projekts šo jomu neskar</w:t>
            </w:r>
            <w:r w:rsidR="00DA1D5F" w:rsidRPr="004468B2">
              <w:rPr>
                <w:lang w:val="lv-LV"/>
              </w:rPr>
              <w:t>.</w:t>
            </w:r>
          </w:p>
        </w:tc>
      </w:tr>
      <w:tr w:rsidR="004134D0" w:rsidRPr="004468B2" w:rsidTr="00144DB3">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spacing w:val="6"/>
                <w:lang w:val="lv-LV"/>
              </w:rPr>
            </w:pPr>
            <w:r w:rsidRPr="004468B2">
              <w:rPr>
                <w:spacing w:val="6"/>
                <w:lang w:val="lv-LV"/>
              </w:rPr>
              <w:t>Vai starptautiskajā dokumentā paredzētās saistības nav pretrunā ar jau esošajām Latvijas Republikas starptautiskajām saistībām</w:t>
            </w:r>
          </w:p>
        </w:tc>
        <w:tc>
          <w:tcPr>
            <w:tcW w:w="6635" w:type="dxa"/>
            <w:gridSpan w:val="2"/>
            <w:tcBorders>
              <w:top w:val="outset" w:sz="6" w:space="0" w:color="auto"/>
              <w:left w:val="outset" w:sz="6" w:space="0" w:color="auto"/>
              <w:bottom w:val="outset" w:sz="6" w:space="0" w:color="auto"/>
              <w:right w:val="outset" w:sz="6" w:space="0" w:color="auto"/>
            </w:tcBorders>
            <w:hideMark/>
          </w:tcPr>
          <w:p w:rsidR="004134D0" w:rsidRPr="004468B2" w:rsidRDefault="008F7702" w:rsidP="004134D0">
            <w:pPr>
              <w:pStyle w:val="naisf"/>
              <w:ind w:firstLine="374"/>
              <w:rPr>
                <w:lang w:val="lv-LV"/>
              </w:rPr>
            </w:pPr>
            <w:r w:rsidRPr="004468B2">
              <w:rPr>
                <w:lang w:val="lv-LV"/>
              </w:rPr>
              <w:t>Projekts šo jomu neskar</w:t>
            </w:r>
            <w:r w:rsidR="00DA1D5F" w:rsidRPr="004468B2">
              <w:rPr>
                <w:lang w:val="lv-LV"/>
              </w:rPr>
              <w:t>.</w:t>
            </w:r>
          </w:p>
        </w:tc>
      </w:tr>
      <w:tr w:rsidR="004134D0" w:rsidRPr="004468B2" w:rsidTr="00144DB3">
        <w:trPr>
          <w:trHeight w:val="350"/>
        </w:trPr>
        <w:tc>
          <w:tcPr>
            <w:tcW w:w="3147" w:type="dxa"/>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lang w:val="lv-LV"/>
              </w:rPr>
            </w:pPr>
            <w:r w:rsidRPr="004468B2">
              <w:rPr>
                <w:lang w:val="lv-LV"/>
              </w:rPr>
              <w:t>Cita informācija</w:t>
            </w:r>
          </w:p>
        </w:tc>
        <w:tc>
          <w:tcPr>
            <w:tcW w:w="6635" w:type="dxa"/>
            <w:gridSpan w:val="2"/>
            <w:tcBorders>
              <w:top w:val="outset" w:sz="6" w:space="0" w:color="auto"/>
              <w:left w:val="outset" w:sz="6" w:space="0" w:color="auto"/>
              <w:bottom w:val="outset" w:sz="6" w:space="0" w:color="auto"/>
              <w:right w:val="outset" w:sz="6" w:space="0" w:color="auto"/>
            </w:tcBorders>
            <w:hideMark/>
          </w:tcPr>
          <w:p w:rsidR="004134D0" w:rsidRPr="004468B2" w:rsidRDefault="004134D0" w:rsidP="004134D0">
            <w:pPr>
              <w:pStyle w:val="naisf"/>
              <w:rPr>
                <w:lang w:val="lv-LV"/>
              </w:rPr>
            </w:pPr>
            <w:r w:rsidRPr="004468B2">
              <w:rPr>
                <w:lang w:val="lv-LV"/>
              </w:rPr>
              <w:t>Nav</w:t>
            </w:r>
          </w:p>
        </w:tc>
      </w:tr>
    </w:tbl>
    <w:p w:rsidR="004134D0" w:rsidRPr="004468B2" w:rsidRDefault="004134D0" w:rsidP="004134D0">
      <w:pPr>
        <w:pStyle w:val="naisf"/>
        <w:spacing w:before="0" w:beforeAutospacing="0" w:after="0" w:afterAutospacing="0"/>
        <w:rPr>
          <w:sz w:val="28"/>
          <w:szCs w:val="28"/>
          <w:lang w:val="lv-LV"/>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
        <w:gridCol w:w="2750"/>
        <w:gridCol w:w="6695"/>
      </w:tblGrid>
      <w:tr w:rsidR="004134D0" w:rsidRPr="004468B2" w:rsidTr="0003109E">
        <w:tc>
          <w:tcPr>
            <w:tcW w:w="9819"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t>VI. Sabiedrības līdzdalība un šīs līdzdalības rezultāti</w:t>
            </w:r>
          </w:p>
        </w:tc>
      </w:tr>
      <w:tr w:rsidR="004134D0" w:rsidRPr="004468B2" w:rsidTr="0003109E">
        <w:trPr>
          <w:trHeight w:val="553"/>
        </w:trPr>
        <w:tc>
          <w:tcPr>
            <w:tcW w:w="374"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rPr>
                <w:bCs/>
              </w:rPr>
            </w:pPr>
            <w:r w:rsidRPr="004468B2">
              <w:rPr>
                <w:bCs/>
              </w:rPr>
              <w:t>1.</w:t>
            </w:r>
          </w:p>
        </w:tc>
        <w:tc>
          <w:tcPr>
            <w:tcW w:w="2750"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tabs>
                <w:tab w:val="left" w:pos="170"/>
              </w:tabs>
              <w:spacing w:before="0" w:after="0"/>
              <w:ind w:left="57" w:right="57"/>
            </w:pPr>
            <w:r w:rsidRPr="004468B2">
              <w:t>Sabiedrības informēšana par projekta izstrādes uzsākšanu</w:t>
            </w:r>
          </w:p>
        </w:tc>
        <w:tc>
          <w:tcPr>
            <w:tcW w:w="6695" w:type="dxa"/>
            <w:tcBorders>
              <w:top w:val="single" w:sz="4" w:space="0" w:color="auto"/>
              <w:left w:val="single" w:sz="4" w:space="0" w:color="auto"/>
              <w:bottom w:val="single" w:sz="4" w:space="0" w:color="auto"/>
              <w:right w:val="single" w:sz="4" w:space="0" w:color="auto"/>
            </w:tcBorders>
            <w:hideMark/>
          </w:tcPr>
          <w:p w:rsidR="004134D0" w:rsidRPr="004468B2" w:rsidRDefault="00197E79" w:rsidP="00015256">
            <w:pPr>
              <w:pStyle w:val="NoSpacing"/>
              <w:jc w:val="both"/>
              <w:rPr>
                <w:rFonts w:ascii="Times New Roman" w:hAnsi="Times New Roman"/>
                <w:spacing w:val="-6"/>
                <w:sz w:val="24"/>
                <w:szCs w:val="24"/>
              </w:rPr>
            </w:pPr>
            <w:r w:rsidRPr="004468B2">
              <w:rPr>
                <w:rFonts w:ascii="Times New Roman" w:hAnsi="Times New Roman"/>
                <w:spacing w:val="-6"/>
                <w:sz w:val="24"/>
                <w:szCs w:val="24"/>
              </w:rPr>
              <w:t xml:space="preserve">2012.gada </w:t>
            </w:r>
            <w:r w:rsidR="00015256" w:rsidRPr="004468B2">
              <w:rPr>
                <w:rFonts w:ascii="Times New Roman" w:hAnsi="Times New Roman"/>
                <w:spacing w:val="-6"/>
                <w:sz w:val="24"/>
                <w:szCs w:val="24"/>
              </w:rPr>
              <w:t xml:space="preserve">Farmācijas jomas konsultatīvās padomes ietvaros </w:t>
            </w:r>
            <w:r w:rsidRPr="004468B2">
              <w:rPr>
                <w:rFonts w:ascii="Times New Roman" w:hAnsi="Times New Roman"/>
                <w:spacing w:val="-6"/>
                <w:sz w:val="24"/>
                <w:szCs w:val="24"/>
              </w:rPr>
              <w:t>notikusi apspriede</w:t>
            </w:r>
            <w:r w:rsidR="00BD3305" w:rsidRPr="004468B2">
              <w:rPr>
                <w:rFonts w:ascii="Times New Roman" w:hAnsi="Times New Roman"/>
                <w:spacing w:val="-6"/>
                <w:sz w:val="24"/>
                <w:szCs w:val="24"/>
              </w:rPr>
              <w:t>.</w:t>
            </w:r>
            <w:r w:rsidRPr="004468B2">
              <w:rPr>
                <w:rFonts w:ascii="Times New Roman" w:hAnsi="Times New Roman"/>
                <w:spacing w:val="-6"/>
                <w:sz w:val="24"/>
                <w:szCs w:val="24"/>
              </w:rPr>
              <w:t xml:space="preserve"> </w:t>
            </w:r>
            <w:r w:rsidR="00015256" w:rsidRPr="004468B2">
              <w:rPr>
                <w:rFonts w:ascii="Times New Roman" w:hAnsi="Times New Roman"/>
                <w:spacing w:val="-6"/>
                <w:sz w:val="24"/>
                <w:szCs w:val="24"/>
              </w:rPr>
              <w:t xml:space="preserve">Farmācijas jomas konsultatīvās padomes ietvaros </w:t>
            </w:r>
            <w:r w:rsidRPr="004468B2">
              <w:rPr>
                <w:rFonts w:ascii="Times New Roman" w:hAnsi="Times New Roman"/>
                <w:spacing w:val="-6"/>
                <w:sz w:val="24"/>
                <w:szCs w:val="24"/>
              </w:rPr>
              <w:t xml:space="preserve"> </w:t>
            </w:r>
            <w:r w:rsidR="00015256" w:rsidRPr="004468B2">
              <w:rPr>
                <w:rFonts w:ascii="Times New Roman" w:hAnsi="Times New Roman"/>
                <w:spacing w:val="-6"/>
                <w:sz w:val="24"/>
                <w:szCs w:val="24"/>
              </w:rPr>
              <w:t xml:space="preserve">sniegta informācija </w:t>
            </w:r>
            <w:r w:rsidRPr="004468B2">
              <w:rPr>
                <w:rFonts w:ascii="Times New Roman" w:hAnsi="Times New Roman"/>
                <w:spacing w:val="-6"/>
                <w:sz w:val="24"/>
                <w:szCs w:val="24"/>
              </w:rPr>
              <w:t xml:space="preserve">par Direktīvas 2011/62/ES </w:t>
            </w:r>
            <w:r w:rsidR="00982722" w:rsidRPr="004468B2">
              <w:rPr>
                <w:rFonts w:ascii="Times New Roman" w:hAnsi="Times New Roman"/>
                <w:spacing w:val="-6"/>
                <w:sz w:val="24"/>
                <w:szCs w:val="24"/>
              </w:rPr>
              <w:t xml:space="preserve">un 2010/84/ES </w:t>
            </w:r>
            <w:r w:rsidRPr="004468B2">
              <w:rPr>
                <w:rFonts w:ascii="Times New Roman" w:hAnsi="Times New Roman"/>
                <w:spacing w:val="-6"/>
                <w:sz w:val="24"/>
                <w:szCs w:val="24"/>
              </w:rPr>
              <w:t>prasību ieviešanu</w:t>
            </w:r>
            <w:r w:rsidR="00015256" w:rsidRPr="004468B2">
              <w:rPr>
                <w:rFonts w:ascii="Times New Roman" w:hAnsi="Times New Roman"/>
                <w:spacing w:val="-6"/>
                <w:sz w:val="24"/>
                <w:szCs w:val="24"/>
              </w:rPr>
              <w:t>.</w:t>
            </w:r>
          </w:p>
          <w:p w:rsidR="00EF0B3D" w:rsidRPr="004468B2" w:rsidRDefault="00EF0B3D" w:rsidP="00015256">
            <w:pPr>
              <w:pStyle w:val="NoSpacing"/>
              <w:jc w:val="both"/>
              <w:rPr>
                <w:rFonts w:ascii="Times New Roman" w:hAnsi="Times New Roman"/>
                <w:spacing w:val="-6"/>
                <w:sz w:val="24"/>
                <w:szCs w:val="24"/>
              </w:rPr>
            </w:pPr>
            <w:r w:rsidRPr="004468B2">
              <w:rPr>
                <w:rFonts w:ascii="Times New Roman" w:hAnsi="Times New Roman"/>
                <w:spacing w:val="-6"/>
                <w:sz w:val="24"/>
                <w:szCs w:val="24"/>
              </w:rPr>
              <w:t>Noteikumu projekts saskaņošanai nosūtīts pa e-pastu 2013.gada 16.aprīlī.</w:t>
            </w:r>
          </w:p>
          <w:p w:rsidR="009411F9" w:rsidRPr="004468B2" w:rsidRDefault="004717E2" w:rsidP="009411F9">
            <w:pPr>
              <w:pStyle w:val="NoSpacing"/>
              <w:jc w:val="both"/>
              <w:rPr>
                <w:rFonts w:ascii="Times New Roman" w:hAnsi="Times New Roman"/>
                <w:sz w:val="24"/>
                <w:szCs w:val="24"/>
              </w:rPr>
            </w:pPr>
            <w:r w:rsidRPr="004468B2">
              <w:rPr>
                <w:rFonts w:ascii="Times New Roman" w:hAnsi="Times New Roman"/>
                <w:sz w:val="24"/>
                <w:szCs w:val="24"/>
              </w:rPr>
              <w:t>Normas saistībā</w:t>
            </w:r>
            <w:r w:rsidR="009411F9" w:rsidRPr="004468B2">
              <w:rPr>
                <w:rFonts w:ascii="Times New Roman" w:hAnsi="Times New Roman"/>
                <w:sz w:val="24"/>
                <w:szCs w:val="24"/>
              </w:rPr>
              <w:t xml:space="preserve"> ar zāļu pieejamības datiem 2013.gada 21.martā nosūtītas izvērtēšanai Starptautisko inovatīvo farmaceitisko firmu asociācijai (SIFFA), Latvijas </w:t>
            </w:r>
            <w:proofErr w:type="spellStart"/>
            <w:r w:rsidR="009411F9" w:rsidRPr="004468B2">
              <w:rPr>
                <w:rFonts w:ascii="Times New Roman" w:hAnsi="Times New Roman"/>
                <w:sz w:val="24"/>
                <w:szCs w:val="24"/>
              </w:rPr>
              <w:t>Patentbrīvo</w:t>
            </w:r>
            <w:proofErr w:type="spellEnd"/>
            <w:r w:rsidR="009411F9" w:rsidRPr="004468B2">
              <w:rPr>
                <w:rFonts w:ascii="Times New Roman" w:hAnsi="Times New Roman"/>
                <w:sz w:val="24"/>
                <w:szCs w:val="24"/>
              </w:rPr>
              <w:t xml:space="preserve"> medikamentu asociācijai (LPMA),</w:t>
            </w:r>
            <w:r w:rsidR="008E424C" w:rsidRPr="004468B2">
              <w:rPr>
                <w:rFonts w:ascii="Times New Roman" w:hAnsi="Times New Roman"/>
                <w:sz w:val="24"/>
                <w:szCs w:val="24"/>
              </w:rPr>
              <w:t xml:space="preserve"> </w:t>
            </w:r>
            <w:r w:rsidR="009411F9" w:rsidRPr="004468B2">
              <w:rPr>
                <w:rFonts w:ascii="Times New Roman" w:hAnsi="Times New Roman"/>
                <w:sz w:val="24"/>
                <w:szCs w:val="24"/>
              </w:rPr>
              <w:t xml:space="preserve">Latvijas Ķīmijas un farmācijas uzņēmēju asociācijai (LĶĪFA) un </w:t>
            </w:r>
            <w:proofErr w:type="spellStart"/>
            <w:r w:rsidR="009411F9" w:rsidRPr="004468B2">
              <w:rPr>
                <w:rFonts w:ascii="Times New Roman" w:hAnsi="Times New Roman"/>
                <w:sz w:val="24"/>
                <w:szCs w:val="24"/>
              </w:rPr>
              <w:t>Biofarmācijas</w:t>
            </w:r>
            <w:proofErr w:type="spellEnd"/>
            <w:r w:rsidR="009411F9" w:rsidRPr="004468B2">
              <w:rPr>
                <w:rFonts w:ascii="Times New Roman" w:hAnsi="Times New Roman"/>
                <w:sz w:val="24"/>
                <w:szCs w:val="24"/>
              </w:rPr>
              <w:t xml:space="preserve"> ražotāju asociācijai Latvijā (BRAL).</w:t>
            </w:r>
          </w:p>
        </w:tc>
      </w:tr>
      <w:tr w:rsidR="004134D0" w:rsidRPr="004468B2" w:rsidTr="0003109E">
        <w:trPr>
          <w:trHeight w:val="339"/>
        </w:trPr>
        <w:tc>
          <w:tcPr>
            <w:tcW w:w="374"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rPr>
                <w:bCs/>
              </w:rPr>
            </w:pPr>
            <w:r w:rsidRPr="004468B2">
              <w:rPr>
                <w:bCs/>
              </w:rPr>
              <w:t>2.</w:t>
            </w:r>
          </w:p>
        </w:tc>
        <w:tc>
          <w:tcPr>
            <w:tcW w:w="2750"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 xml:space="preserve">Sabiedrības līdzdalība projekta izstrādē </w:t>
            </w:r>
          </w:p>
        </w:tc>
        <w:tc>
          <w:tcPr>
            <w:tcW w:w="6695" w:type="dxa"/>
            <w:tcBorders>
              <w:top w:val="single" w:sz="4" w:space="0" w:color="auto"/>
              <w:left w:val="single" w:sz="4" w:space="0" w:color="auto"/>
              <w:bottom w:val="single" w:sz="4" w:space="0" w:color="auto"/>
              <w:right w:val="single" w:sz="4" w:space="0" w:color="auto"/>
            </w:tcBorders>
            <w:hideMark/>
          </w:tcPr>
          <w:p w:rsidR="00692155" w:rsidRPr="004468B2" w:rsidRDefault="00692155" w:rsidP="00692155">
            <w:pPr>
              <w:pStyle w:val="NoSpacing"/>
              <w:jc w:val="both"/>
              <w:rPr>
                <w:rFonts w:ascii="Times New Roman" w:hAnsi="Times New Roman"/>
                <w:spacing w:val="-6"/>
                <w:sz w:val="24"/>
                <w:szCs w:val="24"/>
              </w:rPr>
            </w:pPr>
            <w:r w:rsidRPr="004468B2">
              <w:rPr>
                <w:rFonts w:ascii="Times New Roman" w:hAnsi="Times New Roman"/>
                <w:spacing w:val="-6"/>
                <w:sz w:val="24"/>
                <w:szCs w:val="24"/>
              </w:rPr>
              <w:t>No Farmācijas jomas konsultatīvās padomes locekļiem priekšlikumus un iebildumus sniedza Aptieku attīstības biedrība, Latvijas zāļu lieltirgotavu asociācija un Aptieku īpašnieku asociācija 2013.gada 29.aprīlī.</w:t>
            </w:r>
          </w:p>
        </w:tc>
      </w:tr>
      <w:tr w:rsidR="004134D0" w:rsidRPr="004468B2" w:rsidTr="0003109E">
        <w:trPr>
          <w:trHeight w:val="375"/>
        </w:trPr>
        <w:tc>
          <w:tcPr>
            <w:tcW w:w="374"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rPr>
                <w:bCs/>
              </w:rPr>
            </w:pPr>
            <w:r w:rsidRPr="004468B2">
              <w:rPr>
                <w:bCs/>
              </w:rPr>
              <w:t>3.</w:t>
            </w:r>
          </w:p>
        </w:tc>
        <w:tc>
          <w:tcPr>
            <w:tcW w:w="2750"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 xml:space="preserve">Sabiedrības līdzdalības rezultāti </w:t>
            </w:r>
          </w:p>
        </w:tc>
        <w:tc>
          <w:tcPr>
            <w:tcW w:w="6695" w:type="dxa"/>
            <w:tcBorders>
              <w:top w:val="single" w:sz="4" w:space="0" w:color="auto"/>
              <w:left w:val="single" w:sz="4" w:space="0" w:color="auto"/>
              <w:bottom w:val="single" w:sz="4" w:space="0" w:color="auto"/>
              <w:right w:val="single" w:sz="4" w:space="0" w:color="auto"/>
            </w:tcBorders>
            <w:hideMark/>
          </w:tcPr>
          <w:p w:rsidR="00DC76C1" w:rsidRPr="004468B2" w:rsidRDefault="00F61088" w:rsidP="00387698">
            <w:pPr>
              <w:jc w:val="both"/>
              <w:rPr>
                <w:lang w:val="lv-LV"/>
              </w:rPr>
            </w:pPr>
            <w:r w:rsidRPr="004468B2">
              <w:rPr>
                <w:lang w:val="lv-LV"/>
              </w:rPr>
              <w:t>1</w:t>
            </w:r>
            <w:r w:rsidR="005F51A4" w:rsidRPr="004468B2">
              <w:rPr>
                <w:lang w:val="lv-LV"/>
              </w:rPr>
              <w:t>. </w:t>
            </w:r>
            <w:r w:rsidR="00DC76C1" w:rsidRPr="004468B2">
              <w:rPr>
                <w:lang w:val="lv-LV"/>
              </w:rPr>
              <w:t xml:space="preserve">Aptieku attīstības biedrība </w:t>
            </w:r>
            <w:r w:rsidR="00085B87" w:rsidRPr="004468B2">
              <w:rPr>
                <w:lang w:val="lv-LV"/>
              </w:rPr>
              <w:t>atbalsta Noteikumu projekta 1.28</w:t>
            </w:r>
            <w:r w:rsidR="00DC76C1" w:rsidRPr="004468B2">
              <w:rPr>
                <w:lang w:val="lv-LV"/>
              </w:rPr>
              <w:t>.apakšpunktu uzlabot nereģistrētu zāļu pieejamību</w:t>
            </w:r>
            <w:r w:rsidR="005F51A4" w:rsidRPr="004468B2">
              <w:rPr>
                <w:lang w:val="lv-LV"/>
              </w:rPr>
              <w:t xml:space="preserve">, nodrošinot, ka zāļu vairumtirgotājs varēs iegādāties nereģistrētās zāles, kas atbilst lietojamo zāļu sarakstam vai tiek izplatītas ambulatorajai </w:t>
            </w:r>
            <w:r w:rsidR="005F51A4" w:rsidRPr="004468B2">
              <w:rPr>
                <w:lang w:val="lv-LV"/>
              </w:rPr>
              <w:lastRenderedPageBreak/>
              <w:t>ārstēšanai paredzēto zāļu iegādes izdevumu kompensācijas sistēmas ietvaros, no zāļu vairumtirgotāja, kuram ir Zāļu valsts aģentūras izdotu atļauja nereģistrētu zāļu izplatīšanas atļauja individuāli piešķirtām zālēm. Vienlaicīgi Aptieku attīstības biedrība atzīmē, ka lai uzlabotu nereģistrētu zāļu pieejamību, zāļu vairumtirgotājam būtu jābūt iespējai turēt individuālām zālēm nereģistrētu zāļu krājumus, jo piegādēm tērē pat nedēļas, līdz ar to tas varētu samazināt piegādes laiku un pacientiem nebūtu jāgaida.</w:t>
            </w:r>
          </w:p>
          <w:p w:rsidR="00DC76C1" w:rsidRPr="004468B2" w:rsidRDefault="00DC76C1" w:rsidP="00387698">
            <w:pPr>
              <w:jc w:val="both"/>
              <w:rPr>
                <w:lang w:val="lv-LV"/>
              </w:rPr>
            </w:pPr>
          </w:p>
          <w:p w:rsidR="004134D0" w:rsidRPr="004468B2" w:rsidRDefault="00F61088" w:rsidP="00387698">
            <w:pPr>
              <w:jc w:val="both"/>
              <w:rPr>
                <w:lang w:val="lv-LV"/>
              </w:rPr>
            </w:pPr>
            <w:r w:rsidRPr="004468B2">
              <w:rPr>
                <w:lang w:val="lv-LV"/>
              </w:rPr>
              <w:t>2</w:t>
            </w:r>
            <w:r w:rsidR="00370CEF" w:rsidRPr="004468B2">
              <w:rPr>
                <w:lang w:val="lv-LV"/>
              </w:rPr>
              <w:t>. </w:t>
            </w:r>
            <w:r w:rsidR="000027A7" w:rsidRPr="004468B2">
              <w:rPr>
                <w:lang w:val="lv-LV"/>
              </w:rPr>
              <w:t>Aptieku attīstības biedrība, Latvijas zāļu lieltirgotavu asociācija un Aptieku īpašnieku asociācija iebilst no MK noteikumiem svītrot 11.</w:t>
            </w:r>
            <w:r w:rsidR="000027A7" w:rsidRPr="004468B2">
              <w:rPr>
                <w:vertAlign w:val="superscript"/>
                <w:lang w:val="lv-LV"/>
              </w:rPr>
              <w:t>1</w:t>
            </w:r>
            <w:r w:rsidR="000027A7" w:rsidRPr="004468B2">
              <w:rPr>
                <w:lang w:val="lv-LV"/>
              </w:rPr>
              <w:t xml:space="preserve">punktu, kas nosaka komersants vai saimnieciskās darbības veicējs, kuram izsniegta speciāla atļauja (licence) aptiekas atvēršanai (darbībai), drīkst izplatīt zāles vairumtirdzniecībā ārstniecības iestādēm, sociālās aprūpes institūcijām, praktizējošiem veterinārārstiem un veterinārmedicīniskās aprūpes komersantiem, </w:t>
            </w:r>
            <w:r w:rsidR="00CC1341" w:rsidRPr="004468B2">
              <w:rPr>
                <w:lang w:val="lv-LV"/>
              </w:rPr>
              <w:t xml:space="preserve">kas samazina konkurenci un ierobežo ne tikai aptieku intereses, bet arī </w:t>
            </w:r>
            <w:r w:rsidR="00387698" w:rsidRPr="004468B2">
              <w:rPr>
                <w:lang w:val="lv-LV"/>
              </w:rPr>
              <w:t xml:space="preserve">sociālās aprūpes institūciju intereses, jo tad sociālās aprūpes institūcijai nebūs atļauts iegādāties zāles no zāļu lieltirgotavas un ārstniecības iestādēm nebūs iespēja iegādāties zāles aptiekā. Aptieku attīstības biedrības, Latvijas zāļu lieltirgotavu asociācijas un Aptieku īpašnieku asociācijas iebildums nav ņemts vērā un </w:t>
            </w:r>
            <w:r w:rsidR="0004244B" w:rsidRPr="004468B2">
              <w:rPr>
                <w:lang w:val="lv-LV"/>
              </w:rPr>
              <w:t>MK noteikumu Nr.416 11.</w:t>
            </w:r>
            <w:r w:rsidR="00CC1341" w:rsidRPr="004468B2">
              <w:rPr>
                <w:vertAlign w:val="superscript"/>
                <w:lang w:val="lv-LV"/>
              </w:rPr>
              <w:t>1</w:t>
            </w:r>
            <w:r w:rsidR="00CC1341" w:rsidRPr="004468B2">
              <w:rPr>
                <w:lang w:val="lv-LV"/>
              </w:rPr>
              <w:t xml:space="preserve">punkts </w:t>
            </w:r>
            <w:r w:rsidR="00387698" w:rsidRPr="004468B2">
              <w:rPr>
                <w:lang w:val="lv-LV"/>
              </w:rPr>
              <w:t>svītrots</w:t>
            </w:r>
            <w:r w:rsidR="00CC1341" w:rsidRPr="004468B2">
              <w:rPr>
                <w:lang w:val="lv-LV"/>
              </w:rPr>
              <w:t xml:space="preserve">, jo tas dublē Farmācijas likuma 35.panta </w:t>
            </w:r>
            <w:r w:rsidR="00BD3305" w:rsidRPr="004468B2">
              <w:rPr>
                <w:lang w:val="lv-LV"/>
              </w:rPr>
              <w:t xml:space="preserve">pirmās </w:t>
            </w:r>
            <w:r w:rsidR="00CC1341" w:rsidRPr="004468B2">
              <w:rPr>
                <w:lang w:val="lv-LV"/>
              </w:rPr>
              <w:t> daļas 4.punktu (Note</w:t>
            </w:r>
            <w:r w:rsidR="00387698" w:rsidRPr="004468B2">
              <w:rPr>
                <w:lang w:val="lv-LV"/>
              </w:rPr>
              <w:t xml:space="preserve">ikumu projekta 1.6.apakšpunkts), kas paredz vispārēja jeb atvērta tipa aptiekai tiesības izplatīt medikamentus ārstniecības iestādēm un sociālās aprūpes institūcijām. Arī Farmācijas likuma </w:t>
            </w:r>
            <w:r w:rsidR="00387698" w:rsidRPr="004468B2">
              <w:rPr>
                <w:bCs/>
                <w:lang w:val="lv-LV"/>
              </w:rPr>
              <w:t>48.pant</w:t>
            </w:r>
            <w:r w:rsidR="00BD3305" w:rsidRPr="004468B2">
              <w:rPr>
                <w:bCs/>
                <w:lang w:val="lv-LV"/>
              </w:rPr>
              <w:t>a</w:t>
            </w:r>
            <w:r w:rsidR="00BD3305" w:rsidRPr="004468B2">
              <w:rPr>
                <w:lang w:val="lv-LV"/>
              </w:rPr>
              <w:t xml:space="preserve"> pirmā</w:t>
            </w:r>
            <w:r w:rsidR="00387698" w:rsidRPr="004468B2">
              <w:rPr>
                <w:lang w:val="lv-LV"/>
              </w:rPr>
              <w:t xml:space="preserve"> daļa paredz zāļu lieltirgotavai tiesības izplatīt zāles ārstniecības iestādēm un sociālās aprūpes institūcijām.</w:t>
            </w:r>
          </w:p>
          <w:p w:rsidR="00370CEF" w:rsidRPr="004468B2" w:rsidRDefault="00370CEF" w:rsidP="00387698">
            <w:pPr>
              <w:jc w:val="both"/>
              <w:rPr>
                <w:lang w:val="lv-LV"/>
              </w:rPr>
            </w:pPr>
          </w:p>
          <w:p w:rsidR="00595A10" w:rsidRPr="004468B2" w:rsidRDefault="00F61088" w:rsidP="004C47D0">
            <w:pPr>
              <w:pStyle w:val="Bezatstarpm1"/>
              <w:jc w:val="both"/>
              <w:rPr>
                <w:rFonts w:ascii="Times New Roman" w:hAnsi="Times New Roman"/>
                <w:sz w:val="24"/>
                <w:szCs w:val="24"/>
                <w:lang w:val="lv-LV"/>
              </w:rPr>
            </w:pPr>
            <w:r w:rsidRPr="004468B2">
              <w:rPr>
                <w:rFonts w:ascii="Times New Roman" w:hAnsi="Times New Roman"/>
                <w:sz w:val="24"/>
                <w:szCs w:val="24"/>
                <w:lang w:val="lv-LV"/>
              </w:rPr>
              <w:t>3</w:t>
            </w:r>
            <w:r w:rsidR="00595A10" w:rsidRPr="004468B2">
              <w:rPr>
                <w:rFonts w:ascii="Times New Roman" w:hAnsi="Times New Roman"/>
                <w:sz w:val="24"/>
                <w:szCs w:val="24"/>
                <w:lang w:val="lv-LV"/>
              </w:rPr>
              <w:t>. Aptieku attīstības biedrība, Latvijas zāļu lieltirgotavu asociācija un Aptieku īpašnieku asociācija</w:t>
            </w:r>
            <w:r w:rsidR="00694EDC" w:rsidRPr="004468B2">
              <w:rPr>
                <w:rFonts w:ascii="Times New Roman" w:hAnsi="Times New Roman"/>
                <w:sz w:val="24"/>
                <w:szCs w:val="24"/>
                <w:lang w:val="lv-LV"/>
              </w:rPr>
              <w:t xml:space="preserve"> </w:t>
            </w:r>
            <w:r w:rsidR="00012FAB" w:rsidRPr="004468B2">
              <w:rPr>
                <w:rFonts w:ascii="Times New Roman" w:hAnsi="Times New Roman"/>
                <w:sz w:val="24"/>
                <w:szCs w:val="24"/>
                <w:lang w:val="lv-LV"/>
              </w:rPr>
              <w:t>uzskata, ka</w:t>
            </w:r>
            <w:r w:rsidR="00694EDC" w:rsidRPr="004468B2">
              <w:rPr>
                <w:rFonts w:ascii="Times New Roman" w:hAnsi="Times New Roman"/>
                <w:sz w:val="24"/>
                <w:szCs w:val="24"/>
                <w:lang w:val="lv-LV"/>
              </w:rPr>
              <w:t xml:space="preserve"> </w:t>
            </w:r>
            <w:r w:rsidR="00012FAB" w:rsidRPr="004468B2">
              <w:rPr>
                <w:rFonts w:ascii="Times New Roman" w:hAnsi="Times New Roman"/>
                <w:sz w:val="24"/>
                <w:szCs w:val="24"/>
                <w:lang w:val="lv-LV"/>
              </w:rPr>
              <w:t xml:space="preserve">nepieciešams precizēt </w:t>
            </w:r>
            <w:r w:rsidR="00694EDC" w:rsidRPr="004468B2">
              <w:rPr>
                <w:rFonts w:ascii="Times New Roman" w:hAnsi="Times New Roman"/>
                <w:sz w:val="24"/>
                <w:szCs w:val="24"/>
                <w:lang w:val="lv-LV"/>
              </w:rPr>
              <w:t>MK noteikumu Nr.416 12.</w:t>
            </w:r>
            <w:r w:rsidR="00694EDC" w:rsidRPr="004468B2">
              <w:rPr>
                <w:rFonts w:ascii="Times New Roman" w:hAnsi="Times New Roman"/>
                <w:sz w:val="24"/>
                <w:szCs w:val="24"/>
                <w:vertAlign w:val="superscript"/>
                <w:lang w:val="lv-LV"/>
              </w:rPr>
              <w:t>2</w:t>
            </w:r>
            <w:r w:rsidR="00362F33" w:rsidRPr="004468B2">
              <w:rPr>
                <w:rFonts w:ascii="Times New Roman" w:hAnsi="Times New Roman"/>
                <w:sz w:val="24"/>
                <w:szCs w:val="24"/>
                <w:lang w:val="lv-LV"/>
              </w:rPr>
              <w:t xml:space="preserve">punktu (Noteikumu projekta </w:t>
            </w:r>
            <w:r w:rsidR="00326B7A" w:rsidRPr="004468B2">
              <w:rPr>
                <w:rFonts w:ascii="Times New Roman" w:hAnsi="Times New Roman"/>
                <w:sz w:val="24"/>
                <w:szCs w:val="24"/>
                <w:lang w:val="lv-LV"/>
              </w:rPr>
              <w:t>1.11.apakšpunkts)</w:t>
            </w:r>
            <w:r w:rsidR="00012FAB" w:rsidRPr="004468B2">
              <w:rPr>
                <w:rFonts w:ascii="Times New Roman" w:hAnsi="Times New Roman"/>
                <w:sz w:val="24"/>
                <w:szCs w:val="24"/>
                <w:lang w:val="lv-LV"/>
              </w:rPr>
              <w:t xml:space="preserve">, kas nosaka </w:t>
            </w:r>
            <w:r w:rsidR="00C526A6" w:rsidRPr="004468B2">
              <w:rPr>
                <w:rFonts w:ascii="Times New Roman" w:hAnsi="Times New Roman"/>
                <w:sz w:val="24"/>
                <w:szCs w:val="24"/>
                <w:lang w:val="lv-LV"/>
              </w:rPr>
              <w:t xml:space="preserve">prasību </w:t>
            </w:r>
            <w:r w:rsidR="00330B4A" w:rsidRPr="004468B2">
              <w:rPr>
                <w:rFonts w:ascii="Times New Roman" w:hAnsi="Times New Roman"/>
                <w:sz w:val="24"/>
                <w:szCs w:val="24"/>
                <w:lang w:val="lv-LV"/>
              </w:rPr>
              <w:t>zāļu vairumtirgotāj</w:t>
            </w:r>
            <w:r w:rsidR="00C526A6" w:rsidRPr="004468B2">
              <w:rPr>
                <w:rFonts w:ascii="Times New Roman" w:hAnsi="Times New Roman"/>
                <w:sz w:val="24"/>
                <w:szCs w:val="24"/>
                <w:lang w:val="lv-LV"/>
              </w:rPr>
              <w:t>am</w:t>
            </w:r>
            <w:r w:rsidR="00330B4A" w:rsidRPr="004468B2">
              <w:rPr>
                <w:rFonts w:ascii="Times New Roman" w:hAnsi="Times New Roman"/>
                <w:sz w:val="24"/>
                <w:szCs w:val="24"/>
                <w:lang w:val="lv-LV"/>
              </w:rPr>
              <w:t xml:space="preserve">, </w:t>
            </w:r>
            <w:r w:rsidR="00C526A6" w:rsidRPr="004468B2">
              <w:rPr>
                <w:rFonts w:ascii="Times New Roman" w:hAnsi="Times New Roman"/>
                <w:sz w:val="24"/>
                <w:szCs w:val="24"/>
                <w:lang w:val="lv-LV"/>
              </w:rPr>
              <w:t>ja</w:t>
            </w:r>
            <w:r w:rsidR="00330B4A" w:rsidRPr="004468B2">
              <w:rPr>
                <w:rFonts w:ascii="Times New Roman" w:hAnsi="Times New Roman"/>
                <w:sz w:val="24"/>
                <w:szCs w:val="24"/>
                <w:lang w:val="lv-LV"/>
              </w:rPr>
              <w:t xml:space="preserve"> zāles iegūtas no cita zāļu vairumtirgotāja, </w:t>
            </w:r>
            <w:r w:rsidR="00C526A6" w:rsidRPr="004468B2">
              <w:rPr>
                <w:rFonts w:ascii="Times New Roman" w:hAnsi="Times New Roman"/>
                <w:sz w:val="24"/>
                <w:szCs w:val="24"/>
                <w:lang w:val="lv-LV"/>
              </w:rPr>
              <w:t>pārbaudīt</w:t>
            </w:r>
            <w:r w:rsidR="00330B4A" w:rsidRPr="004468B2">
              <w:rPr>
                <w:rFonts w:ascii="Times New Roman" w:hAnsi="Times New Roman"/>
                <w:sz w:val="24"/>
                <w:szCs w:val="24"/>
                <w:lang w:val="lv-LV"/>
              </w:rPr>
              <w:t xml:space="preserve">, vai zāļu piegādātājs vairumtirgotājs ievēro šo noteikumu III. nodaļā noteikto labu izplatīšanas praksi, un </w:t>
            </w:r>
            <w:r w:rsidR="00C526A6" w:rsidRPr="004468B2">
              <w:rPr>
                <w:rFonts w:ascii="Times New Roman" w:hAnsi="Times New Roman"/>
                <w:sz w:val="24"/>
                <w:szCs w:val="24"/>
                <w:lang w:val="lv-LV"/>
              </w:rPr>
              <w:t>pārbaudīt viņam ir</w:t>
            </w:r>
            <w:r w:rsidR="00330B4A" w:rsidRPr="004468B2">
              <w:rPr>
                <w:rFonts w:ascii="Times New Roman" w:hAnsi="Times New Roman"/>
                <w:sz w:val="24"/>
                <w:szCs w:val="24"/>
                <w:lang w:val="lv-LV"/>
              </w:rPr>
              <w:t xml:space="preserve"> šo noteikumu 11.punktā vai 13.punktā minētā licence</w:t>
            </w:r>
            <w:r w:rsidR="00C526A6" w:rsidRPr="004468B2">
              <w:rPr>
                <w:rFonts w:ascii="Times New Roman" w:hAnsi="Times New Roman"/>
                <w:sz w:val="24"/>
                <w:szCs w:val="24"/>
                <w:lang w:val="lv-LV"/>
              </w:rPr>
              <w:t xml:space="preserve">, jo </w:t>
            </w:r>
            <w:r w:rsidR="00012FAB" w:rsidRPr="004468B2">
              <w:rPr>
                <w:rFonts w:ascii="Times New Roman" w:hAnsi="Times New Roman"/>
                <w:sz w:val="24"/>
                <w:szCs w:val="24"/>
                <w:lang w:val="lv-LV"/>
              </w:rPr>
              <w:t>jānosaka</w:t>
            </w:r>
            <w:r w:rsidR="00C526A6" w:rsidRPr="004468B2">
              <w:rPr>
                <w:rFonts w:ascii="Times New Roman" w:hAnsi="Times New Roman"/>
                <w:sz w:val="24"/>
                <w:szCs w:val="24"/>
                <w:lang w:val="lv-LV"/>
              </w:rPr>
              <w:t xml:space="preserve"> pārbaudes</w:t>
            </w:r>
            <w:r w:rsidR="00012FAB" w:rsidRPr="004468B2">
              <w:rPr>
                <w:rFonts w:ascii="Times New Roman" w:hAnsi="Times New Roman"/>
                <w:sz w:val="24"/>
                <w:szCs w:val="24"/>
                <w:lang w:val="lv-LV"/>
              </w:rPr>
              <w:t xml:space="preserve"> mehānisms</w:t>
            </w:r>
            <w:r w:rsidR="00C526A6" w:rsidRPr="004468B2">
              <w:rPr>
                <w:rFonts w:ascii="Times New Roman" w:hAnsi="Times New Roman"/>
                <w:sz w:val="24"/>
                <w:szCs w:val="24"/>
                <w:lang w:val="lv-LV"/>
              </w:rPr>
              <w:t xml:space="preserve">, kā arī </w:t>
            </w:r>
            <w:r w:rsidR="00012FAB" w:rsidRPr="004468B2">
              <w:rPr>
                <w:rFonts w:ascii="Times New Roman" w:hAnsi="Times New Roman"/>
                <w:sz w:val="24"/>
                <w:szCs w:val="24"/>
                <w:lang w:val="lv-LV"/>
              </w:rPr>
              <w:t xml:space="preserve">tā kā </w:t>
            </w:r>
            <w:r w:rsidR="00C526A6" w:rsidRPr="004468B2">
              <w:rPr>
                <w:rFonts w:ascii="Times New Roman" w:hAnsi="Times New Roman"/>
                <w:sz w:val="24"/>
                <w:szCs w:val="24"/>
                <w:lang w:val="lv-LV"/>
              </w:rPr>
              <w:t>farmācijas uzraudzību veic Veselības inspekcija</w:t>
            </w:r>
            <w:r w:rsidR="00012FAB" w:rsidRPr="004468B2">
              <w:rPr>
                <w:rFonts w:ascii="Times New Roman" w:hAnsi="Times New Roman"/>
                <w:sz w:val="24"/>
                <w:szCs w:val="24"/>
                <w:lang w:val="lv-LV"/>
              </w:rPr>
              <w:t>,</w:t>
            </w:r>
            <w:r w:rsidR="00C526A6" w:rsidRPr="004468B2">
              <w:rPr>
                <w:rFonts w:ascii="Times New Roman" w:hAnsi="Times New Roman"/>
                <w:sz w:val="24"/>
                <w:szCs w:val="24"/>
                <w:lang w:val="lv-LV"/>
              </w:rPr>
              <w:t xml:space="preserve"> nav pareizi bez atbilstoša finansēšanas avota pārlikt Veselības inspekcijas funkcijas uz komersantu pleciem. </w:t>
            </w:r>
            <w:r w:rsidR="00362F33" w:rsidRPr="004468B2">
              <w:rPr>
                <w:rFonts w:ascii="Times New Roman" w:hAnsi="Times New Roman"/>
                <w:sz w:val="24"/>
                <w:szCs w:val="24"/>
                <w:lang w:val="lv-LV"/>
              </w:rPr>
              <w:t>Aptieku attīstības biedrības, Latvijas zāļu lieltirgotavu asociācijas un Aptieku īpašnieku asociācijas iebildums nav ņemts vērā, jo MK noteikumu Nr.416 12.</w:t>
            </w:r>
            <w:r w:rsidR="00362F33" w:rsidRPr="004468B2">
              <w:rPr>
                <w:rFonts w:ascii="Times New Roman" w:hAnsi="Times New Roman"/>
                <w:sz w:val="24"/>
                <w:szCs w:val="24"/>
                <w:vertAlign w:val="superscript"/>
                <w:lang w:val="lv-LV"/>
              </w:rPr>
              <w:t>2</w:t>
            </w:r>
            <w:r w:rsidR="00362F33" w:rsidRPr="004468B2">
              <w:rPr>
                <w:rFonts w:ascii="Times New Roman" w:hAnsi="Times New Roman"/>
                <w:sz w:val="24"/>
                <w:szCs w:val="24"/>
                <w:lang w:val="lv-LV"/>
              </w:rPr>
              <w:t xml:space="preserve">punkta norma ievieš </w:t>
            </w:r>
            <w:r w:rsidR="004C47D0" w:rsidRPr="004468B2">
              <w:rPr>
                <w:rFonts w:ascii="Times New Roman" w:hAnsi="Times New Roman"/>
                <w:noProof/>
                <w:sz w:val="24"/>
                <w:szCs w:val="24"/>
                <w:lang w:val="lv-LV"/>
              </w:rPr>
              <w:t xml:space="preserve">Direktīvas 2011/62/EK </w:t>
            </w:r>
            <w:r w:rsidR="004C47D0" w:rsidRPr="004468B2">
              <w:rPr>
                <w:rFonts w:ascii="Times New Roman" w:hAnsi="Times New Roman"/>
                <w:sz w:val="24"/>
                <w:szCs w:val="24"/>
                <w:lang w:val="lv-LV"/>
              </w:rPr>
              <w:t xml:space="preserve">1.panta 17.punkts d) apakšpunkta prasību, ar kuru tiek pastiprināta zāļu </w:t>
            </w:r>
            <w:r w:rsidR="004C47D0" w:rsidRPr="004468B2">
              <w:rPr>
                <w:rFonts w:ascii="Times New Roman" w:hAnsi="Times New Roman"/>
                <w:sz w:val="24"/>
                <w:szCs w:val="24"/>
                <w:lang w:val="lv-LV"/>
              </w:rPr>
              <w:lastRenderedPageBreak/>
              <w:t xml:space="preserve">vairumtirgotāja atbildība papildus valsts kompetento iestāžu funkcijām. Zāļu vairumtirgotājam pirms iegādājas zāles ir jāpieprasa uzrādīt attiecīgā licence, par kuras esamību var pārliecināties </w:t>
            </w:r>
            <w:r w:rsidR="00BD3305" w:rsidRPr="004468B2">
              <w:rPr>
                <w:rFonts w:ascii="Times New Roman" w:hAnsi="Times New Roman"/>
                <w:sz w:val="24"/>
                <w:szCs w:val="24"/>
                <w:lang w:val="lv-LV"/>
              </w:rPr>
              <w:t xml:space="preserve">vēršoties </w:t>
            </w:r>
            <w:r w:rsidR="004C47D0" w:rsidRPr="004468B2">
              <w:rPr>
                <w:rFonts w:ascii="Times New Roman" w:hAnsi="Times New Roman"/>
                <w:sz w:val="24"/>
                <w:szCs w:val="24"/>
                <w:lang w:val="lv-LV"/>
              </w:rPr>
              <w:t xml:space="preserve"> arī attiecīgās valsts kompetentajā iestādē.</w:t>
            </w:r>
          </w:p>
          <w:p w:rsidR="00173778" w:rsidRPr="004468B2" w:rsidRDefault="00173778" w:rsidP="004C47D0">
            <w:pPr>
              <w:pStyle w:val="Bezatstarpm1"/>
              <w:jc w:val="both"/>
              <w:rPr>
                <w:rFonts w:ascii="Times New Roman" w:hAnsi="Times New Roman"/>
                <w:sz w:val="24"/>
                <w:szCs w:val="24"/>
                <w:lang w:val="lv-LV"/>
              </w:rPr>
            </w:pPr>
          </w:p>
          <w:p w:rsidR="00671E86" w:rsidRPr="004468B2" w:rsidRDefault="00F61088" w:rsidP="00AA3928">
            <w:pPr>
              <w:pStyle w:val="Bezatstarpm1"/>
              <w:jc w:val="both"/>
              <w:rPr>
                <w:rFonts w:ascii="Times New Roman" w:hAnsi="Times New Roman"/>
                <w:sz w:val="24"/>
                <w:szCs w:val="24"/>
                <w:lang w:val="lv-LV"/>
              </w:rPr>
            </w:pPr>
            <w:r w:rsidRPr="004468B2">
              <w:rPr>
                <w:rFonts w:ascii="Times New Roman" w:hAnsi="Times New Roman"/>
                <w:sz w:val="24"/>
                <w:szCs w:val="24"/>
                <w:lang w:val="lv-LV"/>
              </w:rPr>
              <w:t>4</w:t>
            </w:r>
            <w:r w:rsidR="00173778" w:rsidRPr="004468B2">
              <w:rPr>
                <w:rFonts w:ascii="Times New Roman" w:hAnsi="Times New Roman"/>
                <w:sz w:val="24"/>
                <w:szCs w:val="24"/>
                <w:lang w:val="lv-LV"/>
              </w:rPr>
              <w:t>. </w:t>
            </w:r>
            <w:r w:rsidR="00AA59E6" w:rsidRPr="004468B2">
              <w:rPr>
                <w:rFonts w:ascii="Times New Roman" w:hAnsi="Times New Roman"/>
                <w:sz w:val="24"/>
                <w:szCs w:val="24"/>
                <w:lang w:val="lv-LV"/>
              </w:rPr>
              <w:t xml:space="preserve">Ņemts vērā </w:t>
            </w:r>
            <w:r w:rsidR="00173778" w:rsidRPr="004468B2">
              <w:rPr>
                <w:rFonts w:ascii="Times New Roman" w:hAnsi="Times New Roman"/>
                <w:sz w:val="24"/>
                <w:szCs w:val="24"/>
                <w:lang w:val="lv-LV"/>
              </w:rPr>
              <w:t>Aptieku attīstības biedrīb</w:t>
            </w:r>
            <w:r w:rsidR="00671E86" w:rsidRPr="004468B2">
              <w:rPr>
                <w:rFonts w:ascii="Times New Roman" w:hAnsi="Times New Roman"/>
                <w:sz w:val="24"/>
                <w:szCs w:val="24"/>
                <w:lang w:val="lv-LV"/>
              </w:rPr>
              <w:t>ai</w:t>
            </w:r>
            <w:r w:rsidR="00173778" w:rsidRPr="004468B2">
              <w:rPr>
                <w:rFonts w:ascii="Times New Roman" w:hAnsi="Times New Roman"/>
                <w:sz w:val="24"/>
                <w:szCs w:val="24"/>
                <w:lang w:val="lv-LV"/>
              </w:rPr>
              <w:t>, Latvijas zāļu lieltirgotavu asociācija</w:t>
            </w:r>
            <w:r w:rsidR="00671E86" w:rsidRPr="004468B2">
              <w:rPr>
                <w:rFonts w:ascii="Times New Roman" w:hAnsi="Times New Roman"/>
                <w:sz w:val="24"/>
                <w:szCs w:val="24"/>
                <w:lang w:val="lv-LV"/>
              </w:rPr>
              <w:t>i</w:t>
            </w:r>
            <w:r w:rsidR="00173778" w:rsidRPr="004468B2">
              <w:rPr>
                <w:rFonts w:ascii="Times New Roman" w:hAnsi="Times New Roman"/>
                <w:sz w:val="24"/>
                <w:szCs w:val="24"/>
                <w:lang w:val="lv-LV"/>
              </w:rPr>
              <w:t xml:space="preserve"> un Aptieku īpašnieku asociācija</w:t>
            </w:r>
            <w:r w:rsidR="00671E86" w:rsidRPr="004468B2">
              <w:rPr>
                <w:rFonts w:ascii="Times New Roman" w:hAnsi="Times New Roman"/>
                <w:sz w:val="24"/>
                <w:szCs w:val="24"/>
                <w:lang w:val="lv-LV"/>
              </w:rPr>
              <w:t>i iebildums attiecībā uz</w:t>
            </w:r>
            <w:r w:rsidR="00173778" w:rsidRPr="004468B2">
              <w:rPr>
                <w:rFonts w:ascii="Times New Roman" w:hAnsi="Times New Roman"/>
                <w:sz w:val="24"/>
                <w:szCs w:val="24"/>
                <w:lang w:val="lv-LV"/>
              </w:rPr>
              <w:t xml:space="preserve"> </w:t>
            </w:r>
            <w:r w:rsidR="00EE1431" w:rsidRPr="004468B2">
              <w:rPr>
                <w:rFonts w:ascii="Times New Roman" w:hAnsi="Times New Roman"/>
                <w:sz w:val="24"/>
                <w:szCs w:val="24"/>
                <w:lang w:val="lv-LV"/>
              </w:rPr>
              <w:t>MK noteikumu Nr.416 63.</w:t>
            </w:r>
            <w:r w:rsidR="00EE1431" w:rsidRPr="004468B2">
              <w:rPr>
                <w:rFonts w:ascii="Times New Roman" w:hAnsi="Times New Roman"/>
                <w:sz w:val="24"/>
                <w:szCs w:val="24"/>
                <w:vertAlign w:val="superscript"/>
                <w:lang w:val="lv-LV"/>
              </w:rPr>
              <w:t>1</w:t>
            </w:r>
            <w:r w:rsidR="00EE1431" w:rsidRPr="004468B2">
              <w:rPr>
                <w:rFonts w:ascii="Times New Roman" w:hAnsi="Times New Roman"/>
                <w:sz w:val="24"/>
                <w:szCs w:val="24"/>
                <w:lang w:val="lv-LV"/>
              </w:rPr>
              <w:t>punktu</w:t>
            </w:r>
            <w:r w:rsidR="00671E86" w:rsidRPr="004468B2">
              <w:rPr>
                <w:rFonts w:ascii="Times New Roman" w:hAnsi="Times New Roman"/>
                <w:sz w:val="24"/>
                <w:szCs w:val="24"/>
                <w:lang w:val="lv-LV"/>
              </w:rPr>
              <w:t xml:space="preserve"> </w:t>
            </w:r>
            <w:r w:rsidR="00085B87" w:rsidRPr="004468B2">
              <w:rPr>
                <w:rFonts w:ascii="Times New Roman" w:hAnsi="Times New Roman"/>
                <w:sz w:val="24"/>
                <w:szCs w:val="24"/>
                <w:lang w:val="lv-LV"/>
              </w:rPr>
              <w:t xml:space="preserve">(Noteikumu projekta 1.19.apakšpunkts) </w:t>
            </w:r>
            <w:r w:rsidR="00671E86" w:rsidRPr="004468B2">
              <w:rPr>
                <w:rFonts w:ascii="Times New Roman" w:hAnsi="Times New Roman"/>
                <w:sz w:val="24"/>
                <w:szCs w:val="24"/>
                <w:lang w:val="lv-LV"/>
              </w:rPr>
              <w:t>par nodevu, kuru paralēlais izplatītājs maksā</w:t>
            </w:r>
            <w:r w:rsidR="00671E86" w:rsidRPr="004468B2">
              <w:rPr>
                <w:rFonts w:ascii="Times New Roman" w:hAnsi="Times New Roman"/>
                <w:sz w:val="24"/>
                <w:szCs w:val="24"/>
                <w:vertAlign w:val="superscript"/>
                <w:lang w:val="lv-LV"/>
              </w:rPr>
              <w:t xml:space="preserve"> </w:t>
            </w:r>
            <w:r w:rsidR="003F50D9" w:rsidRPr="004468B2">
              <w:rPr>
                <w:rFonts w:ascii="Times New Roman" w:hAnsi="Times New Roman"/>
                <w:sz w:val="24"/>
                <w:szCs w:val="24"/>
                <w:lang w:val="lv-LV"/>
              </w:rPr>
              <w:t>Eiropas</w:t>
            </w:r>
            <w:r w:rsidR="003F50D9" w:rsidRPr="004468B2">
              <w:rPr>
                <w:rFonts w:ascii="Times New Roman" w:hAnsi="Times New Roman"/>
                <w:sz w:val="24"/>
                <w:szCs w:val="24"/>
                <w:vertAlign w:val="superscript"/>
                <w:lang w:val="lv-LV"/>
              </w:rPr>
              <w:t xml:space="preserve"> </w:t>
            </w:r>
            <w:r w:rsidR="003F50D9" w:rsidRPr="004468B2">
              <w:rPr>
                <w:rFonts w:ascii="Times New Roman" w:hAnsi="Times New Roman"/>
                <w:sz w:val="24"/>
                <w:szCs w:val="24"/>
                <w:lang w:val="lv-LV"/>
              </w:rPr>
              <w:t>Zāļu Aģentūrai</w:t>
            </w:r>
            <w:r w:rsidR="00671E86" w:rsidRPr="004468B2">
              <w:rPr>
                <w:rFonts w:ascii="Times New Roman" w:hAnsi="Times New Roman"/>
                <w:sz w:val="24"/>
                <w:szCs w:val="24"/>
                <w:lang w:val="lv-LV"/>
              </w:rPr>
              <w:t>,</w:t>
            </w:r>
            <w:r w:rsidR="003F50D9" w:rsidRPr="004468B2">
              <w:rPr>
                <w:rFonts w:ascii="Times New Roman" w:hAnsi="Times New Roman"/>
                <w:sz w:val="24"/>
                <w:szCs w:val="24"/>
                <w:lang w:val="lv-LV"/>
              </w:rPr>
              <w:t xml:space="preserve"> lai tā pārbaudītu, ka Eiropas Parlamenta un Padomes regulā Nr.</w:t>
            </w:r>
            <w:hyperlink r:id="rId16" w:tgtFrame="_blank" w:tooltip="Atvērt regulas konsolidēto versiju" w:history="1">
              <w:r w:rsidR="003F50D9" w:rsidRPr="004468B2">
                <w:rPr>
                  <w:rStyle w:val="Hyperlink"/>
                  <w:rFonts w:ascii="Times New Roman" w:hAnsi="Times New Roman"/>
                  <w:color w:val="auto"/>
                  <w:sz w:val="24"/>
                  <w:szCs w:val="24"/>
                  <w:u w:val="none"/>
                  <w:lang w:val="lv-LV"/>
                </w:rPr>
                <w:t>726/2004</w:t>
              </w:r>
            </w:hyperlink>
            <w:r w:rsidR="003F50D9" w:rsidRPr="004468B2">
              <w:rPr>
                <w:rFonts w:ascii="Times New Roman" w:hAnsi="Times New Roman"/>
                <w:sz w:val="24"/>
                <w:szCs w:val="24"/>
                <w:lang w:val="lv-LV"/>
              </w:rPr>
              <w:t xml:space="preserve"> par zālēm un tirdzniecības atļaujās paredzētie nosacījumi būtu ievēroti</w:t>
            </w:r>
            <w:r w:rsidR="00671E86" w:rsidRPr="004468B2">
              <w:rPr>
                <w:rFonts w:ascii="Times New Roman" w:hAnsi="Times New Roman"/>
                <w:sz w:val="24"/>
                <w:szCs w:val="24"/>
                <w:lang w:val="lv-LV"/>
              </w:rPr>
              <w:t xml:space="preserve">, jo nav noteikts kā šī samaksa veicama un kāds ir tās apmērs. </w:t>
            </w:r>
            <w:r w:rsidR="00012FAB" w:rsidRPr="004468B2">
              <w:rPr>
                <w:rFonts w:ascii="Times New Roman" w:hAnsi="Times New Roman"/>
                <w:sz w:val="24"/>
                <w:szCs w:val="24"/>
                <w:lang w:val="lv-LV"/>
              </w:rPr>
              <w:t xml:space="preserve">Informācija ir ietverta </w:t>
            </w:r>
            <w:r w:rsidR="00671E86" w:rsidRPr="004468B2">
              <w:rPr>
                <w:rFonts w:ascii="Times New Roman" w:hAnsi="Times New Roman"/>
                <w:sz w:val="24"/>
                <w:szCs w:val="24"/>
                <w:lang w:val="lv-LV"/>
              </w:rPr>
              <w:t xml:space="preserve">Anotācijā I sadaļā 1.8.apakšpunktā. Eiropas Zāļu aģentūrai maksa par pakalpojumiem ir noteikta </w:t>
            </w:r>
            <w:r w:rsidR="00671E86" w:rsidRPr="004468B2">
              <w:rPr>
                <w:rFonts w:ascii="Times New Roman" w:hAnsi="Times New Roman"/>
                <w:bCs/>
                <w:sz w:val="24"/>
                <w:szCs w:val="24"/>
                <w:lang w:val="lv-LV"/>
              </w:rPr>
              <w:t>Padomes 1995. gada</w:t>
            </w:r>
            <w:r w:rsidR="00B776BB" w:rsidRPr="004468B2">
              <w:rPr>
                <w:rFonts w:ascii="Times New Roman" w:hAnsi="Times New Roman"/>
                <w:bCs/>
                <w:sz w:val="24"/>
                <w:szCs w:val="24"/>
                <w:lang w:val="lv-LV"/>
              </w:rPr>
              <w:t xml:space="preserve"> 10. februāris regulā </w:t>
            </w:r>
            <w:r w:rsidR="00491371" w:rsidRPr="004468B2">
              <w:rPr>
                <w:rFonts w:ascii="Times New Roman" w:hAnsi="Times New Roman"/>
                <w:bCs/>
                <w:sz w:val="24"/>
                <w:szCs w:val="24"/>
                <w:lang w:val="lv-LV"/>
              </w:rPr>
              <w:t>(EK) Nr.</w:t>
            </w:r>
            <w:r w:rsidR="00671E86" w:rsidRPr="004468B2">
              <w:rPr>
                <w:rFonts w:ascii="Times New Roman" w:hAnsi="Times New Roman"/>
                <w:bCs/>
                <w:sz w:val="24"/>
                <w:szCs w:val="24"/>
                <w:lang w:val="lv-LV"/>
              </w:rPr>
              <w:t xml:space="preserve">297/95 par maksām, kas maksājamas Eiropas Zāļu novērtēšanas aģentūrai, </w:t>
            </w:r>
            <w:r w:rsidR="00B776BB" w:rsidRPr="004468B2">
              <w:rPr>
                <w:rFonts w:ascii="Times New Roman" w:hAnsi="Times New Roman"/>
                <w:sz w:val="24"/>
                <w:szCs w:val="24"/>
                <w:lang w:val="lv-LV"/>
              </w:rPr>
              <w:t>(OV L 35, 15.2.1995., 1.</w:t>
            </w:r>
            <w:r w:rsidR="00671E86" w:rsidRPr="004468B2">
              <w:rPr>
                <w:rFonts w:ascii="Times New Roman" w:hAnsi="Times New Roman"/>
                <w:sz w:val="24"/>
                <w:szCs w:val="24"/>
                <w:lang w:val="lv-LV"/>
              </w:rPr>
              <w:t>lpp.) (ar grozījumiem)</w:t>
            </w:r>
            <w:r w:rsidR="00AA3928" w:rsidRPr="004468B2">
              <w:rPr>
                <w:rFonts w:ascii="Times New Roman" w:hAnsi="Times New Roman"/>
                <w:sz w:val="24"/>
                <w:szCs w:val="24"/>
                <w:lang w:val="lv-LV"/>
              </w:rPr>
              <w:t>.</w:t>
            </w:r>
          </w:p>
          <w:p w:rsidR="00F20026" w:rsidRPr="004468B2" w:rsidRDefault="00F20026" w:rsidP="00AA3928">
            <w:pPr>
              <w:pStyle w:val="Bezatstarpm1"/>
              <w:jc w:val="both"/>
              <w:rPr>
                <w:rFonts w:ascii="Times New Roman" w:hAnsi="Times New Roman"/>
                <w:sz w:val="24"/>
                <w:szCs w:val="24"/>
                <w:lang w:val="lv-LV"/>
              </w:rPr>
            </w:pPr>
          </w:p>
          <w:p w:rsidR="00F20026" w:rsidRPr="004468B2" w:rsidRDefault="00F61088" w:rsidP="00BD718E">
            <w:pPr>
              <w:pStyle w:val="Bezatstarpm1"/>
              <w:jc w:val="both"/>
              <w:rPr>
                <w:rFonts w:ascii="Times New Roman" w:hAnsi="Times New Roman"/>
                <w:sz w:val="24"/>
                <w:szCs w:val="24"/>
                <w:lang w:val="lv-LV"/>
              </w:rPr>
            </w:pPr>
            <w:r w:rsidRPr="004468B2">
              <w:rPr>
                <w:rFonts w:ascii="Times New Roman" w:hAnsi="Times New Roman"/>
                <w:sz w:val="24"/>
                <w:szCs w:val="24"/>
                <w:lang w:val="lv-LV"/>
              </w:rPr>
              <w:t>5</w:t>
            </w:r>
            <w:r w:rsidR="00F20026" w:rsidRPr="004468B2">
              <w:rPr>
                <w:rFonts w:ascii="Times New Roman" w:hAnsi="Times New Roman"/>
                <w:sz w:val="24"/>
                <w:szCs w:val="24"/>
                <w:lang w:val="lv-LV"/>
              </w:rPr>
              <w:t>. Ņemts vērā Aptieku attīstības biedrības, Latvijas zāļu lieltirgotavu asociācijas un Aptieku īpašnieku asociācijas</w:t>
            </w:r>
            <w:r w:rsidR="00983A42" w:rsidRPr="004468B2">
              <w:rPr>
                <w:rFonts w:ascii="Times New Roman" w:hAnsi="Times New Roman"/>
                <w:sz w:val="24"/>
                <w:szCs w:val="24"/>
                <w:lang w:val="lv-LV"/>
              </w:rPr>
              <w:t xml:space="preserve"> iebildums un no Noteikumu projekta izslēgta norma par aizliegumu izplatīt starpniecības darījumu veidā un pārdot iedzīvotājiem viltotas zāles.</w:t>
            </w:r>
            <w:r w:rsidR="00BD718E" w:rsidRPr="004468B2">
              <w:rPr>
                <w:rFonts w:ascii="Times New Roman" w:hAnsi="Times New Roman"/>
                <w:sz w:val="24"/>
                <w:szCs w:val="24"/>
                <w:lang w:val="lv-LV"/>
              </w:rPr>
              <w:t xml:space="preserve"> Pamatojums ir Tieslietu ministrijas atzinums, jo šis ir uzskatāms par vispārīgu principu, kas nav ietverams noteikumu tvērumā (vispārīgu regulējumu ietver likumā, bet likumā ietverta regulējuma noteiktus aspektus ietv</w:t>
            </w:r>
            <w:r w:rsidR="00085B87" w:rsidRPr="004468B2">
              <w:rPr>
                <w:rFonts w:ascii="Times New Roman" w:hAnsi="Times New Roman"/>
                <w:sz w:val="24"/>
                <w:szCs w:val="24"/>
                <w:lang w:val="lv-LV"/>
              </w:rPr>
              <w:t>er Ministru kabineta noteikumos</w:t>
            </w:r>
            <w:r w:rsidR="00BD718E" w:rsidRPr="004468B2">
              <w:rPr>
                <w:rFonts w:ascii="Times New Roman" w:hAnsi="Times New Roman"/>
                <w:sz w:val="24"/>
                <w:szCs w:val="24"/>
                <w:lang w:val="lv-LV"/>
              </w:rPr>
              <w:t>)</w:t>
            </w:r>
            <w:r w:rsidR="00BD3305" w:rsidRPr="004468B2">
              <w:rPr>
                <w:rFonts w:ascii="Times New Roman" w:hAnsi="Times New Roman"/>
                <w:sz w:val="24"/>
                <w:szCs w:val="24"/>
                <w:lang w:val="lv-LV"/>
              </w:rPr>
              <w:t>.</w:t>
            </w:r>
            <w:r w:rsidR="00BD718E" w:rsidRPr="004468B2">
              <w:rPr>
                <w:rFonts w:ascii="Times New Roman" w:hAnsi="Times New Roman"/>
                <w:sz w:val="24"/>
                <w:szCs w:val="24"/>
                <w:lang w:val="lv-LV"/>
              </w:rPr>
              <w:t xml:space="preserve"> </w:t>
            </w:r>
            <w:r w:rsidR="00BD3305" w:rsidRPr="004468B2">
              <w:rPr>
                <w:rFonts w:ascii="Times New Roman" w:hAnsi="Times New Roman"/>
                <w:sz w:val="24"/>
                <w:szCs w:val="24"/>
                <w:lang w:val="lv-LV"/>
              </w:rPr>
              <w:t>Š</w:t>
            </w:r>
            <w:r w:rsidR="00BD718E" w:rsidRPr="004468B2">
              <w:rPr>
                <w:rFonts w:ascii="Times New Roman" w:hAnsi="Times New Roman"/>
                <w:sz w:val="24"/>
                <w:szCs w:val="24"/>
                <w:lang w:val="lv-LV"/>
              </w:rPr>
              <w:t>ī regulējuma ietveršana normatīvajā aktā ir apšaubāma, jo viltotu zāļu izplatīšanas aizliegums izriet no citviet normatīvajos aktos un projektā ietvertā regulējuma.</w:t>
            </w:r>
          </w:p>
          <w:p w:rsidR="0099098D" w:rsidRPr="004468B2" w:rsidRDefault="0099098D" w:rsidP="00BD718E">
            <w:pPr>
              <w:pStyle w:val="Bezatstarpm1"/>
              <w:jc w:val="both"/>
              <w:rPr>
                <w:rFonts w:ascii="Times New Roman" w:hAnsi="Times New Roman"/>
                <w:sz w:val="24"/>
                <w:szCs w:val="24"/>
                <w:lang w:val="lv-LV"/>
              </w:rPr>
            </w:pPr>
          </w:p>
          <w:p w:rsidR="0099098D" w:rsidRPr="004468B2" w:rsidRDefault="00F61088" w:rsidP="00462D24">
            <w:pPr>
              <w:pStyle w:val="Bezatstarpm1"/>
              <w:jc w:val="both"/>
              <w:rPr>
                <w:rFonts w:ascii="Times New Roman" w:hAnsi="Times New Roman"/>
                <w:sz w:val="24"/>
                <w:szCs w:val="24"/>
                <w:lang w:val="lv-LV"/>
              </w:rPr>
            </w:pPr>
            <w:r w:rsidRPr="004468B2">
              <w:rPr>
                <w:rFonts w:ascii="Times New Roman" w:hAnsi="Times New Roman"/>
                <w:sz w:val="24"/>
                <w:szCs w:val="24"/>
                <w:lang w:val="lv-LV"/>
              </w:rPr>
              <w:t>6</w:t>
            </w:r>
            <w:r w:rsidR="0099098D" w:rsidRPr="004468B2">
              <w:rPr>
                <w:rFonts w:ascii="Times New Roman" w:hAnsi="Times New Roman"/>
                <w:sz w:val="24"/>
                <w:szCs w:val="24"/>
                <w:lang w:val="lv-LV"/>
              </w:rPr>
              <w:t>.</w:t>
            </w:r>
            <w:r w:rsidR="006B46F1" w:rsidRPr="004468B2">
              <w:rPr>
                <w:rFonts w:ascii="Times New Roman" w:hAnsi="Times New Roman"/>
                <w:sz w:val="24"/>
                <w:szCs w:val="24"/>
                <w:lang w:val="lv-LV"/>
              </w:rPr>
              <w:t xml:space="preserve"> </w:t>
            </w:r>
            <w:r w:rsidR="00A22E35" w:rsidRPr="004468B2">
              <w:rPr>
                <w:rFonts w:ascii="Times New Roman" w:hAnsi="Times New Roman"/>
                <w:sz w:val="24"/>
                <w:szCs w:val="24"/>
                <w:lang w:val="lv-LV"/>
              </w:rPr>
              <w:t>Aptieku attīstības biedrība</w:t>
            </w:r>
            <w:r w:rsidR="002D58D7" w:rsidRPr="004468B2">
              <w:rPr>
                <w:rFonts w:ascii="Times New Roman" w:hAnsi="Times New Roman"/>
                <w:sz w:val="24"/>
                <w:szCs w:val="24"/>
                <w:lang w:val="lv-LV"/>
              </w:rPr>
              <w:t xml:space="preserve">, Latvijas zāļu lieltirgotavu asociācija </w:t>
            </w:r>
            <w:r w:rsidR="00A22E35" w:rsidRPr="004468B2">
              <w:rPr>
                <w:rFonts w:ascii="Times New Roman" w:hAnsi="Times New Roman"/>
                <w:sz w:val="24"/>
                <w:szCs w:val="24"/>
                <w:lang w:val="lv-LV"/>
              </w:rPr>
              <w:t>un Aptieku īpašnieku asociācija iebilst</w:t>
            </w:r>
            <w:r w:rsidR="002D58D7" w:rsidRPr="004468B2">
              <w:rPr>
                <w:rFonts w:ascii="Times New Roman" w:hAnsi="Times New Roman"/>
                <w:sz w:val="24"/>
                <w:szCs w:val="24"/>
                <w:lang w:val="lv-LV"/>
              </w:rPr>
              <w:t xml:space="preserve"> </w:t>
            </w:r>
            <w:r w:rsidR="00C720B9" w:rsidRPr="004468B2">
              <w:rPr>
                <w:rFonts w:ascii="Times New Roman" w:hAnsi="Times New Roman"/>
                <w:sz w:val="24"/>
                <w:szCs w:val="24"/>
                <w:lang w:val="lv-LV"/>
              </w:rPr>
              <w:t>MK noteikumu Nr.416</w:t>
            </w:r>
            <w:r w:rsidR="00D144E9" w:rsidRPr="004468B2">
              <w:rPr>
                <w:rFonts w:ascii="Times New Roman" w:hAnsi="Times New Roman"/>
                <w:sz w:val="24"/>
                <w:szCs w:val="24"/>
                <w:lang w:val="lv-LV"/>
              </w:rPr>
              <w:t xml:space="preserve"> 66.</w:t>
            </w:r>
            <w:r w:rsidR="00D144E9" w:rsidRPr="004468B2">
              <w:rPr>
                <w:rFonts w:ascii="Times New Roman" w:hAnsi="Times New Roman"/>
                <w:sz w:val="24"/>
                <w:szCs w:val="24"/>
                <w:vertAlign w:val="superscript"/>
                <w:lang w:val="lv-LV"/>
              </w:rPr>
              <w:t>1</w:t>
            </w:r>
            <w:r w:rsidR="00A22E35" w:rsidRPr="004468B2">
              <w:rPr>
                <w:rFonts w:ascii="Times New Roman" w:hAnsi="Times New Roman"/>
                <w:sz w:val="24"/>
                <w:szCs w:val="24"/>
                <w:lang w:val="lv-LV"/>
              </w:rPr>
              <w:t>punkta normai</w:t>
            </w:r>
            <w:r w:rsidR="00D144E9" w:rsidRPr="004468B2">
              <w:rPr>
                <w:rFonts w:ascii="Times New Roman" w:hAnsi="Times New Roman"/>
                <w:sz w:val="24"/>
                <w:szCs w:val="24"/>
                <w:lang w:val="lv-LV"/>
              </w:rPr>
              <w:t>, kas nosaka pienākumu</w:t>
            </w:r>
            <w:r w:rsidR="00D144E9" w:rsidRPr="004468B2">
              <w:rPr>
                <w:rFonts w:ascii="Times New Roman" w:hAnsi="Times New Roman"/>
                <w:sz w:val="24"/>
                <w:szCs w:val="24"/>
                <w:vertAlign w:val="superscript"/>
                <w:lang w:val="lv-LV"/>
              </w:rPr>
              <w:t xml:space="preserve"> </w:t>
            </w:r>
            <w:r w:rsidR="00D144E9" w:rsidRPr="004468B2">
              <w:rPr>
                <w:rFonts w:ascii="Times New Roman" w:hAnsi="Times New Roman"/>
                <w:sz w:val="24"/>
                <w:szCs w:val="24"/>
                <w:lang w:val="lv-LV"/>
              </w:rPr>
              <w:t>zāļu vairumtirgotājam pārbaudīt, vai iesaistītais starpnieks ir iz</w:t>
            </w:r>
            <w:r w:rsidR="00085B87" w:rsidRPr="004468B2">
              <w:rPr>
                <w:rFonts w:ascii="Times New Roman" w:hAnsi="Times New Roman"/>
                <w:sz w:val="24"/>
                <w:szCs w:val="24"/>
                <w:lang w:val="lv-LV"/>
              </w:rPr>
              <w:t>pildījis Noteikumu projekta 1.20</w:t>
            </w:r>
            <w:r w:rsidR="00D144E9" w:rsidRPr="004468B2">
              <w:rPr>
                <w:rFonts w:ascii="Times New Roman" w:hAnsi="Times New Roman"/>
                <w:sz w:val="24"/>
                <w:szCs w:val="24"/>
                <w:lang w:val="lv-LV"/>
              </w:rPr>
              <w:t>.apakšpunktā noteiktās prasības</w:t>
            </w:r>
            <w:r w:rsidR="00A22E35" w:rsidRPr="004468B2">
              <w:rPr>
                <w:rFonts w:ascii="Times New Roman" w:hAnsi="Times New Roman"/>
                <w:sz w:val="24"/>
                <w:szCs w:val="24"/>
                <w:lang w:val="lv-LV"/>
              </w:rPr>
              <w:t>, jo nevar Veselības inspekcijas funkcijas pārlikt uz vairumtirgotāju pleciem, neparedzot finansējumu papildus funkciju veikšanai, jo jebkādas papildus funkcijas pakalpojuma izmaksas nepieciešams iekļaut produkta (pakalpojuma) pašizmaksā.</w:t>
            </w:r>
            <w:r w:rsidR="00462D24" w:rsidRPr="004468B2">
              <w:rPr>
                <w:rFonts w:ascii="Times New Roman" w:hAnsi="Times New Roman"/>
                <w:sz w:val="24"/>
                <w:szCs w:val="24"/>
                <w:lang w:val="lv-LV"/>
              </w:rPr>
              <w:t xml:space="preserve"> Aptieku attīstības biedrības, Latvijas zāļu lieltirgotavu asociācijas un Aptieku īpašnieku asociācijas viedoklis nav ņemts vērā, jo MK noteikumu Nr.416 66.</w:t>
            </w:r>
            <w:r w:rsidR="00462D24" w:rsidRPr="004468B2">
              <w:rPr>
                <w:rFonts w:ascii="Times New Roman" w:hAnsi="Times New Roman"/>
                <w:sz w:val="24"/>
                <w:szCs w:val="24"/>
                <w:vertAlign w:val="superscript"/>
                <w:lang w:val="lv-LV"/>
              </w:rPr>
              <w:t>1</w:t>
            </w:r>
            <w:r w:rsidR="00462D24" w:rsidRPr="004468B2">
              <w:rPr>
                <w:rFonts w:ascii="Times New Roman" w:hAnsi="Times New Roman"/>
                <w:sz w:val="24"/>
                <w:szCs w:val="24"/>
                <w:lang w:val="lv-LV"/>
              </w:rPr>
              <w:t xml:space="preserve">punkta norma ievieš </w:t>
            </w:r>
            <w:r w:rsidR="00B776BB" w:rsidRPr="004468B2">
              <w:rPr>
                <w:rFonts w:ascii="Times New Roman" w:hAnsi="Times New Roman"/>
                <w:noProof/>
                <w:sz w:val="24"/>
                <w:szCs w:val="24"/>
                <w:lang w:val="lv-LV"/>
              </w:rPr>
              <w:t>Direktīvas 2011/62/ES</w:t>
            </w:r>
            <w:r w:rsidR="00462D24" w:rsidRPr="004468B2">
              <w:rPr>
                <w:rFonts w:ascii="Times New Roman" w:hAnsi="Times New Roman"/>
                <w:noProof/>
                <w:sz w:val="24"/>
                <w:szCs w:val="24"/>
                <w:lang w:val="lv-LV"/>
              </w:rPr>
              <w:t xml:space="preserve"> </w:t>
            </w:r>
            <w:r w:rsidR="00462D24" w:rsidRPr="004468B2">
              <w:rPr>
                <w:rFonts w:ascii="Times New Roman" w:hAnsi="Times New Roman"/>
                <w:sz w:val="24"/>
                <w:szCs w:val="24"/>
                <w:lang w:val="lv-LV"/>
              </w:rPr>
              <w:t xml:space="preserve">1.panta 17.punkts d) apakšpunkta prasību, ar kuru tiek pastiprināta zāļu vairumtirgotāja atbildība papildus valsts kompetento iestāžu funkcijām. Zāļu vairumtirgotājs var pieprasīt </w:t>
            </w:r>
            <w:r w:rsidR="00462D24" w:rsidRPr="004468B2">
              <w:rPr>
                <w:rFonts w:ascii="Times New Roman" w:hAnsi="Times New Roman"/>
                <w:sz w:val="24"/>
                <w:szCs w:val="24"/>
                <w:lang w:val="lv-LV"/>
              </w:rPr>
              <w:lastRenderedPageBreak/>
              <w:t xml:space="preserve">starpniekam uzrādīt reģistrācijas apliecību, par kuras esamību var pārliecināties </w:t>
            </w:r>
            <w:r w:rsidR="00BD3305" w:rsidRPr="004468B2">
              <w:rPr>
                <w:rFonts w:ascii="Times New Roman" w:hAnsi="Times New Roman"/>
                <w:sz w:val="24"/>
                <w:szCs w:val="24"/>
                <w:lang w:val="lv-LV"/>
              </w:rPr>
              <w:t xml:space="preserve">vēršoties </w:t>
            </w:r>
            <w:r w:rsidR="00462D24" w:rsidRPr="004468B2">
              <w:rPr>
                <w:rFonts w:ascii="Times New Roman" w:hAnsi="Times New Roman"/>
                <w:sz w:val="24"/>
                <w:szCs w:val="24"/>
                <w:lang w:val="lv-LV"/>
              </w:rPr>
              <w:t xml:space="preserve"> arī attiecīgās valsts kompetentajā iestādē.</w:t>
            </w:r>
          </w:p>
          <w:p w:rsidR="00012FAB" w:rsidRPr="004468B2" w:rsidRDefault="00012FAB" w:rsidP="00462D24">
            <w:pPr>
              <w:pStyle w:val="Bezatstarpm1"/>
              <w:jc w:val="both"/>
              <w:rPr>
                <w:rFonts w:ascii="Times New Roman" w:hAnsi="Times New Roman"/>
                <w:sz w:val="24"/>
                <w:szCs w:val="24"/>
                <w:lang w:val="lv-LV"/>
              </w:rPr>
            </w:pPr>
          </w:p>
          <w:p w:rsidR="00012FAB" w:rsidRPr="004468B2" w:rsidRDefault="00F61088" w:rsidP="00604748">
            <w:pPr>
              <w:pStyle w:val="Bezatstarpm1"/>
              <w:jc w:val="both"/>
              <w:rPr>
                <w:rFonts w:ascii="Times New Roman" w:hAnsi="Times New Roman"/>
                <w:sz w:val="24"/>
                <w:szCs w:val="24"/>
                <w:lang w:val="lv-LV"/>
              </w:rPr>
            </w:pPr>
            <w:r w:rsidRPr="004468B2">
              <w:rPr>
                <w:rFonts w:ascii="Times New Roman" w:hAnsi="Times New Roman"/>
                <w:sz w:val="24"/>
                <w:szCs w:val="24"/>
                <w:lang w:val="lv-LV"/>
              </w:rPr>
              <w:t>7</w:t>
            </w:r>
            <w:r w:rsidR="00012FAB" w:rsidRPr="004468B2">
              <w:rPr>
                <w:rFonts w:ascii="Times New Roman" w:hAnsi="Times New Roman"/>
                <w:sz w:val="24"/>
                <w:szCs w:val="24"/>
                <w:lang w:val="lv-LV"/>
              </w:rPr>
              <w:t>. Aptieku attīstības biedrība</w:t>
            </w:r>
            <w:r w:rsidR="00CE2DC4" w:rsidRPr="004468B2">
              <w:rPr>
                <w:rFonts w:ascii="Times New Roman" w:hAnsi="Times New Roman"/>
                <w:sz w:val="24"/>
                <w:szCs w:val="24"/>
                <w:lang w:val="lv-LV"/>
              </w:rPr>
              <w:t>s</w:t>
            </w:r>
            <w:r w:rsidR="00012FAB" w:rsidRPr="004468B2">
              <w:rPr>
                <w:rFonts w:ascii="Times New Roman" w:hAnsi="Times New Roman"/>
                <w:sz w:val="24"/>
                <w:szCs w:val="24"/>
                <w:lang w:val="lv-LV"/>
              </w:rPr>
              <w:t>, Latvijas zāļu lieltirgotavu asociācija</w:t>
            </w:r>
            <w:r w:rsidR="00CE2DC4" w:rsidRPr="004468B2">
              <w:rPr>
                <w:rFonts w:ascii="Times New Roman" w:hAnsi="Times New Roman"/>
                <w:sz w:val="24"/>
                <w:szCs w:val="24"/>
                <w:lang w:val="lv-LV"/>
              </w:rPr>
              <w:t>s</w:t>
            </w:r>
            <w:r w:rsidR="00012FAB" w:rsidRPr="004468B2">
              <w:rPr>
                <w:rFonts w:ascii="Times New Roman" w:hAnsi="Times New Roman"/>
                <w:sz w:val="24"/>
                <w:szCs w:val="24"/>
                <w:lang w:val="lv-LV"/>
              </w:rPr>
              <w:t xml:space="preserve"> un Aptieku īpašnieku asociācija</w:t>
            </w:r>
            <w:r w:rsidR="00CE2DC4" w:rsidRPr="004468B2">
              <w:rPr>
                <w:rFonts w:ascii="Times New Roman" w:hAnsi="Times New Roman"/>
                <w:sz w:val="24"/>
                <w:szCs w:val="24"/>
                <w:lang w:val="lv-LV"/>
              </w:rPr>
              <w:t>s</w:t>
            </w:r>
            <w:r w:rsidR="00012FAB" w:rsidRPr="004468B2">
              <w:rPr>
                <w:rFonts w:ascii="Times New Roman" w:hAnsi="Times New Roman"/>
                <w:sz w:val="24"/>
                <w:szCs w:val="24"/>
                <w:lang w:val="lv-LV"/>
              </w:rPr>
              <w:t xml:space="preserve"> </w:t>
            </w:r>
            <w:r w:rsidR="00CE2DC4" w:rsidRPr="004468B2">
              <w:rPr>
                <w:rFonts w:ascii="Times New Roman" w:hAnsi="Times New Roman"/>
                <w:sz w:val="24"/>
                <w:szCs w:val="24"/>
                <w:lang w:val="lv-LV"/>
              </w:rPr>
              <w:t>iebildums</w:t>
            </w:r>
            <w:r w:rsidR="00012FAB" w:rsidRPr="004468B2">
              <w:rPr>
                <w:rFonts w:ascii="Times New Roman" w:hAnsi="Times New Roman"/>
                <w:sz w:val="24"/>
                <w:szCs w:val="24"/>
                <w:lang w:val="lv-LV"/>
              </w:rPr>
              <w:t xml:space="preserve"> MK noteikumu Nr.416 </w:t>
            </w:r>
            <w:r w:rsidR="00604748" w:rsidRPr="004468B2">
              <w:rPr>
                <w:rFonts w:ascii="Times New Roman" w:hAnsi="Times New Roman"/>
                <w:sz w:val="24"/>
                <w:szCs w:val="24"/>
                <w:lang w:val="lv-LV"/>
              </w:rPr>
              <w:t>113</w:t>
            </w:r>
            <w:r w:rsidR="00012FAB" w:rsidRPr="004468B2">
              <w:rPr>
                <w:rFonts w:ascii="Times New Roman" w:hAnsi="Times New Roman"/>
                <w:sz w:val="24"/>
                <w:szCs w:val="24"/>
                <w:lang w:val="lv-LV"/>
              </w:rPr>
              <w:t>.</w:t>
            </w:r>
            <w:r w:rsidR="00012FAB" w:rsidRPr="004468B2">
              <w:rPr>
                <w:rFonts w:ascii="Times New Roman" w:hAnsi="Times New Roman"/>
                <w:sz w:val="24"/>
                <w:szCs w:val="24"/>
                <w:vertAlign w:val="superscript"/>
                <w:lang w:val="lv-LV"/>
              </w:rPr>
              <w:t>1</w:t>
            </w:r>
            <w:r w:rsidR="00012FAB" w:rsidRPr="004468B2">
              <w:rPr>
                <w:rFonts w:ascii="Times New Roman" w:hAnsi="Times New Roman"/>
                <w:sz w:val="24"/>
                <w:szCs w:val="24"/>
                <w:lang w:val="lv-LV"/>
              </w:rPr>
              <w:t>punkt</w:t>
            </w:r>
            <w:r w:rsidR="00604748" w:rsidRPr="004468B2">
              <w:rPr>
                <w:rFonts w:ascii="Times New Roman" w:hAnsi="Times New Roman"/>
                <w:sz w:val="24"/>
                <w:szCs w:val="24"/>
                <w:lang w:val="lv-LV"/>
              </w:rPr>
              <w:t>a norma</w:t>
            </w:r>
            <w:r w:rsidR="00CE2DC4" w:rsidRPr="004468B2">
              <w:rPr>
                <w:rFonts w:ascii="Times New Roman" w:hAnsi="Times New Roman"/>
                <w:sz w:val="24"/>
                <w:szCs w:val="24"/>
                <w:lang w:val="lv-LV"/>
              </w:rPr>
              <w:t>i</w:t>
            </w:r>
            <w:r w:rsidR="00604748" w:rsidRPr="004468B2">
              <w:rPr>
                <w:rFonts w:ascii="Times New Roman" w:hAnsi="Times New Roman"/>
                <w:sz w:val="24"/>
                <w:szCs w:val="24"/>
                <w:lang w:val="lv-LV"/>
              </w:rPr>
              <w:t xml:space="preserve"> </w:t>
            </w:r>
            <w:r w:rsidR="00B876ED" w:rsidRPr="004468B2">
              <w:rPr>
                <w:rFonts w:ascii="Times New Roman" w:hAnsi="Times New Roman"/>
                <w:sz w:val="24"/>
                <w:szCs w:val="24"/>
                <w:lang w:val="lv-LV"/>
              </w:rPr>
              <w:t>(</w:t>
            </w:r>
            <w:r w:rsidR="00185702" w:rsidRPr="004468B2">
              <w:rPr>
                <w:rFonts w:ascii="Times New Roman" w:hAnsi="Times New Roman"/>
                <w:sz w:val="24"/>
                <w:szCs w:val="24"/>
                <w:lang w:val="lv-LV"/>
              </w:rPr>
              <w:t xml:space="preserve">Noteikumu projekta </w:t>
            </w:r>
            <w:r w:rsidR="00085B87" w:rsidRPr="004468B2">
              <w:rPr>
                <w:rFonts w:ascii="Times New Roman" w:hAnsi="Times New Roman"/>
                <w:sz w:val="24"/>
                <w:szCs w:val="24"/>
                <w:lang w:val="lv-LV"/>
              </w:rPr>
              <w:t>1.38</w:t>
            </w:r>
            <w:r w:rsidR="00B876ED" w:rsidRPr="004468B2">
              <w:rPr>
                <w:rFonts w:ascii="Times New Roman" w:hAnsi="Times New Roman"/>
                <w:sz w:val="24"/>
                <w:szCs w:val="24"/>
                <w:lang w:val="lv-LV"/>
              </w:rPr>
              <w:t xml:space="preserve">.apakšpunkts; </w:t>
            </w:r>
            <w:r w:rsidR="00604748" w:rsidRPr="004468B2">
              <w:rPr>
                <w:rFonts w:ascii="Times New Roman" w:hAnsi="Times New Roman"/>
                <w:sz w:val="24"/>
                <w:szCs w:val="24"/>
                <w:lang w:val="lv-LV"/>
              </w:rPr>
              <w:t>attiecībā uz zālēm, kuru piegāde ir aizliegta, vai kuras ir atsauktas no tirgus saskaņā ar šo noteikumu 112. un 113.punktu, ārkārtas apstākļos pārejas periodā Veselības inspekcija kopīgi ar Zāļu valsts aģentūra ir tiesīga izņēmuma gadījumā atļaut piegādāt zāles pacientiem, kas ar tām jau tiek ārstēti (</w:t>
            </w:r>
            <w:r w:rsidR="00CE2DC4" w:rsidRPr="004468B2">
              <w:rPr>
                <w:rFonts w:ascii="Times New Roman" w:hAnsi="Times New Roman"/>
                <w:sz w:val="24"/>
                <w:szCs w:val="24"/>
                <w:lang w:val="lv-LV"/>
              </w:rPr>
              <w:t>neattiecas uz viltotām zālēm)), noteikt</w:t>
            </w:r>
            <w:r w:rsidR="00604748" w:rsidRPr="004468B2">
              <w:rPr>
                <w:rFonts w:ascii="Times New Roman" w:hAnsi="Times New Roman"/>
                <w:sz w:val="24"/>
                <w:szCs w:val="24"/>
                <w:lang w:val="lv-LV"/>
              </w:rPr>
              <w:t xml:space="preserve"> institūcija</w:t>
            </w:r>
            <w:r w:rsidR="00CE2DC4" w:rsidRPr="004468B2">
              <w:rPr>
                <w:rFonts w:ascii="Times New Roman" w:hAnsi="Times New Roman"/>
                <w:sz w:val="24"/>
                <w:szCs w:val="24"/>
                <w:lang w:val="lv-LV"/>
              </w:rPr>
              <w:t>s</w:t>
            </w:r>
            <w:r w:rsidR="00604748" w:rsidRPr="004468B2">
              <w:rPr>
                <w:rFonts w:ascii="Times New Roman" w:hAnsi="Times New Roman"/>
                <w:sz w:val="24"/>
                <w:szCs w:val="24"/>
                <w:lang w:val="lv-LV"/>
              </w:rPr>
              <w:t xml:space="preserve"> </w:t>
            </w:r>
            <w:r w:rsidR="00CE2DC4" w:rsidRPr="004468B2">
              <w:rPr>
                <w:rFonts w:ascii="Times New Roman" w:hAnsi="Times New Roman"/>
                <w:sz w:val="24"/>
                <w:szCs w:val="24"/>
                <w:lang w:val="lv-LV"/>
              </w:rPr>
              <w:t xml:space="preserve">atbildību par sekām, </w:t>
            </w:r>
            <w:r w:rsidR="00BD3305" w:rsidRPr="004468B2">
              <w:rPr>
                <w:rFonts w:ascii="Times New Roman" w:hAnsi="Times New Roman"/>
                <w:noProof/>
                <w:sz w:val="24"/>
                <w:szCs w:val="24"/>
                <w:lang w:val="lv-LV"/>
              </w:rPr>
              <w:t>nav ņemts vērā, jo iestāžu atbildība par savu darbību izriet jau no Valsts pārvaldes iekārtas likumā nostiprinātajiem vispārējiem valsts pārvaldes principiem.</w:t>
            </w:r>
          </w:p>
          <w:p w:rsidR="00C074DB" w:rsidRPr="004468B2" w:rsidRDefault="00C074DB" w:rsidP="00604748">
            <w:pPr>
              <w:pStyle w:val="Bezatstarpm1"/>
              <w:jc w:val="both"/>
              <w:rPr>
                <w:rFonts w:ascii="Times New Roman" w:hAnsi="Times New Roman"/>
                <w:sz w:val="24"/>
                <w:szCs w:val="24"/>
                <w:lang w:val="lv-LV"/>
              </w:rPr>
            </w:pPr>
          </w:p>
          <w:p w:rsidR="00C074DB" w:rsidRPr="004468B2" w:rsidRDefault="00F61088" w:rsidP="004F60AF">
            <w:pPr>
              <w:pStyle w:val="NoSpacing"/>
              <w:jc w:val="both"/>
              <w:rPr>
                <w:rFonts w:ascii="Times New Roman" w:hAnsi="Times New Roman"/>
                <w:sz w:val="24"/>
                <w:szCs w:val="24"/>
              </w:rPr>
            </w:pPr>
            <w:r w:rsidRPr="004468B2">
              <w:rPr>
                <w:rFonts w:ascii="Times New Roman" w:hAnsi="Times New Roman"/>
                <w:sz w:val="24"/>
                <w:szCs w:val="24"/>
              </w:rPr>
              <w:t>8</w:t>
            </w:r>
            <w:r w:rsidR="00C074DB" w:rsidRPr="004468B2">
              <w:rPr>
                <w:rFonts w:ascii="Times New Roman" w:hAnsi="Times New Roman"/>
                <w:sz w:val="24"/>
                <w:szCs w:val="24"/>
              </w:rPr>
              <w:t>. Aptieku attīstības biedrība, Latvijas zāļu lieltirgotavu asociācija un Aptieku īpašnieku asociācija iebilst MK noteikumu Nr.41</w:t>
            </w:r>
            <w:r w:rsidR="001B7B62" w:rsidRPr="004468B2">
              <w:rPr>
                <w:rFonts w:ascii="Times New Roman" w:hAnsi="Times New Roman"/>
                <w:sz w:val="24"/>
                <w:szCs w:val="24"/>
              </w:rPr>
              <w:t>6 146.10.</w:t>
            </w:r>
            <w:r w:rsidR="00886F18" w:rsidRPr="004468B2">
              <w:rPr>
                <w:rFonts w:ascii="Times New Roman" w:hAnsi="Times New Roman"/>
                <w:sz w:val="24"/>
                <w:szCs w:val="24"/>
              </w:rPr>
              <w:t>apakš</w:t>
            </w:r>
            <w:r w:rsidR="00185702" w:rsidRPr="004468B2">
              <w:rPr>
                <w:rFonts w:ascii="Times New Roman" w:hAnsi="Times New Roman"/>
                <w:sz w:val="24"/>
                <w:szCs w:val="24"/>
              </w:rPr>
              <w:t>punkta normai (</w:t>
            </w:r>
            <w:r w:rsidR="00B876ED" w:rsidRPr="004468B2">
              <w:rPr>
                <w:rFonts w:ascii="Times New Roman" w:hAnsi="Times New Roman"/>
                <w:sz w:val="24"/>
                <w:szCs w:val="24"/>
              </w:rPr>
              <w:t>Noteikumu projek</w:t>
            </w:r>
            <w:r w:rsidR="000A075F" w:rsidRPr="004468B2">
              <w:rPr>
                <w:rFonts w:ascii="Times New Roman" w:hAnsi="Times New Roman"/>
                <w:sz w:val="24"/>
                <w:szCs w:val="24"/>
              </w:rPr>
              <w:t>ta 1.44</w:t>
            </w:r>
            <w:r w:rsidR="00B876ED" w:rsidRPr="004468B2">
              <w:rPr>
                <w:rFonts w:ascii="Times New Roman" w:hAnsi="Times New Roman"/>
                <w:sz w:val="24"/>
                <w:szCs w:val="24"/>
              </w:rPr>
              <w:t xml:space="preserve">.apakšpunkts) attiecībā uz </w:t>
            </w:r>
            <w:r w:rsidR="00C074DB" w:rsidRPr="004468B2">
              <w:rPr>
                <w:rFonts w:ascii="Times New Roman" w:hAnsi="Times New Roman"/>
                <w:sz w:val="24"/>
                <w:szCs w:val="24"/>
              </w:rPr>
              <w:t>labas izplatīšanas</w:t>
            </w:r>
            <w:r w:rsidR="00B876ED" w:rsidRPr="004468B2">
              <w:rPr>
                <w:rFonts w:ascii="Times New Roman" w:hAnsi="Times New Roman"/>
                <w:sz w:val="24"/>
                <w:szCs w:val="24"/>
              </w:rPr>
              <w:t xml:space="preserve"> prakses atbilstības novērtēšanu saistītu</w:t>
            </w:r>
            <w:r w:rsidR="00C074DB" w:rsidRPr="004468B2">
              <w:rPr>
                <w:rFonts w:ascii="Times New Roman" w:hAnsi="Times New Roman"/>
                <w:sz w:val="24"/>
                <w:szCs w:val="24"/>
              </w:rPr>
              <w:t xml:space="preserve"> ar izbraukumu, </w:t>
            </w:r>
            <w:r w:rsidR="00B876ED" w:rsidRPr="004468B2">
              <w:rPr>
                <w:rFonts w:ascii="Times New Roman" w:hAnsi="Times New Roman"/>
                <w:sz w:val="24"/>
                <w:szCs w:val="24"/>
              </w:rPr>
              <w:t xml:space="preserve">un to, ka </w:t>
            </w:r>
            <w:r w:rsidR="00C074DB" w:rsidRPr="004468B2">
              <w:rPr>
                <w:rFonts w:ascii="Times New Roman" w:hAnsi="Times New Roman"/>
                <w:sz w:val="24"/>
                <w:szCs w:val="24"/>
              </w:rPr>
              <w:t>zāļu vairumtirgotājs sedz Zāļu valsts aģentūras amatpersonu ceļa (transporta) izdevumus līdz pārbaudāmam objektam un atpakaļ, izdevumus par viesnīcu (naktsmītni), veselības apdrošināšanas izdevumus un dienas naudu atbilstoši normatīvajiem aktiem par kārtību, kādā atlīdzināmi ar komandējumiem un darbinieku darba b</w:t>
            </w:r>
            <w:r w:rsidR="00B876ED" w:rsidRPr="004468B2">
              <w:rPr>
                <w:rFonts w:ascii="Times New Roman" w:hAnsi="Times New Roman"/>
                <w:sz w:val="24"/>
                <w:szCs w:val="24"/>
              </w:rPr>
              <w:t>raucieniem saistītie izdevumi, jo tās ir papildus administratīvās izmaksas, iekļaujamas komersantu preču un pakalpojumu cenā (grozot zāļu piecenojuma principu). Iebildums ir pret administratīvo izdevumu palielināšanu un izskatāma iespēja šo valsts funkciju nodrošināt finansējuma ietvaros</w:t>
            </w:r>
            <w:r w:rsidR="00FE201D" w:rsidRPr="004468B2">
              <w:rPr>
                <w:rFonts w:ascii="Times New Roman" w:hAnsi="Times New Roman"/>
                <w:sz w:val="24"/>
                <w:szCs w:val="24"/>
              </w:rPr>
              <w:t xml:space="preserve">. Iebildums nav ņemts vērā, jo </w:t>
            </w:r>
            <w:r w:rsidR="004F60AF" w:rsidRPr="004468B2">
              <w:rPr>
                <w:rFonts w:ascii="Times New Roman" w:hAnsi="Times New Roman"/>
                <w:noProof/>
                <w:sz w:val="24"/>
                <w:szCs w:val="24"/>
              </w:rPr>
              <w:t>Ministru kabineta 2013.gada 29.janvāra noteikumos Nr.75 ”Zāļu valsts aģentūras maksas pakalpojumu cenrādis”noteiktie</w:t>
            </w:r>
            <w:r w:rsidR="004F60AF" w:rsidRPr="004468B2">
              <w:rPr>
                <w:rFonts w:ascii="Times New Roman" w:hAnsi="Times New Roman"/>
                <w:bCs/>
                <w:noProof/>
                <w:spacing w:val="-6"/>
                <w:sz w:val="24"/>
                <w:szCs w:val="24"/>
              </w:rPr>
              <w:t xml:space="preserve"> Zāļu valsts aģenūras </w:t>
            </w:r>
            <w:r w:rsidR="004F60AF" w:rsidRPr="004468B2">
              <w:rPr>
                <w:rFonts w:ascii="Times New Roman" w:hAnsi="Times New Roman"/>
                <w:noProof/>
                <w:spacing w:val="-6"/>
                <w:sz w:val="24"/>
                <w:szCs w:val="24"/>
              </w:rPr>
              <w:t xml:space="preserve">maksas pakalpojumi par aktīvo vielu </w:t>
            </w:r>
            <w:r w:rsidR="004F60AF" w:rsidRPr="004468B2">
              <w:rPr>
                <w:rFonts w:ascii="Times New Roman" w:hAnsi="Times New Roman"/>
                <w:noProof/>
                <w:sz w:val="24"/>
                <w:szCs w:val="24"/>
              </w:rPr>
              <w:t xml:space="preserve">labas izplatīšanas prakses novērtēšanu </w:t>
            </w:r>
            <w:r w:rsidR="00E1199F" w:rsidRPr="004468B2">
              <w:rPr>
                <w:rFonts w:ascii="Times New Roman" w:hAnsi="Times New Roman"/>
                <w:noProof/>
                <w:sz w:val="24"/>
                <w:szCs w:val="24"/>
              </w:rPr>
              <w:t xml:space="preserve">pašreiz </w:t>
            </w:r>
            <w:r w:rsidR="004F60AF" w:rsidRPr="004468B2">
              <w:rPr>
                <w:rFonts w:ascii="Times New Roman" w:hAnsi="Times New Roman"/>
                <w:noProof/>
                <w:sz w:val="24"/>
                <w:szCs w:val="24"/>
              </w:rPr>
              <w:t xml:space="preserve">neietver </w:t>
            </w:r>
            <w:r w:rsidR="004F60AF" w:rsidRPr="004468B2">
              <w:rPr>
                <w:rFonts w:ascii="Times New Roman" w:hAnsi="Times New Roman"/>
                <w:sz w:val="24"/>
                <w:szCs w:val="24"/>
              </w:rPr>
              <w:t>ceļa (transporta) izdevumus līdz pārbaudāmam objektam un atpakaļ, izdevumus par viesnīcu (naktsmītni), veselības apdrošināšanas izdevumus un dienas naudu atbilstoši normatīvajiem aktiem par kārtību, kādā atlīdzināmi ar komandējumiem un darbinieku darba braucieniem saistītie izdevumi, jo tās ir papildus administratīvās izmaksas.</w:t>
            </w:r>
          </w:p>
          <w:p w:rsidR="00F61088" w:rsidRPr="004468B2" w:rsidRDefault="00F61088" w:rsidP="004F60AF">
            <w:pPr>
              <w:pStyle w:val="NoSpacing"/>
              <w:jc w:val="both"/>
              <w:rPr>
                <w:rFonts w:ascii="Times New Roman" w:hAnsi="Times New Roman"/>
                <w:sz w:val="24"/>
                <w:szCs w:val="24"/>
              </w:rPr>
            </w:pPr>
          </w:p>
          <w:p w:rsidR="008D7B26" w:rsidRPr="004468B2" w:rsidRDefault="008D7B26" w:rsidP="002819CB">
            <w:pPr>
              <w:jc w:val="both"/>
              <w:rPr>
                <w:lang w:val="lv-LV"/>
              </w:rPr>
            </w:pPr>
            <w:r w:rsidRPr="004468B2">
              <w:rPr>
                <w:lang w:val="lv-LV"/>
              </w:rPr>
              <w:t>9</w:t>
            </w:r>
            <w:r w:rsidR="00B776BB" w:rsidRPr="004468B2">
              <w:rPr>
                <w:lang w:val="lv-LV"/>
              </w:rPr>
              <w:t>. </w:t>
            </w:r>
            <w:r w:rsidRPr="004468B2">
              <w:rPr>
                <w:lang w:val="lv-LV"/>
              </w:rPr>
              <w:t>Atbilstoši Starptautisko inovatīvo farmaceitisko firmu asociācijas</w:t>
            </w:r>
          </w:p>
          <w:p w:rsidR="008D7B26" w:rsidRPr="004468B2" w:rsidRDefault="008D7B26" w:rsidP="00B776BB">
            <w:pPr>
              <w:jc w:val="both"/>
              <w:rPr>
                <w:lang w:val="lv-LV"/>
              </w:rPr>
            </w:pPr>
            <w:r w:rsidRPr="004468B2">
              <w:rPr>
                <w:lang w:val="lv-LV"/>
              </w:rPr>
              <w:t xml:space="preserve">2013.gada 2.maija priekšlikumam precizēts </w:t>
            </w:r>
            <w:r w:rsidR="00B776BB" w:rsidRPr="004468B2">
              <w:rPr>
                <w:lang w:val="lv-LV"/>
              </w:rPr>
              <w:t xml:space="preserve">MK noteikumu 416 </w:t>
            </w:r>
            <w:r w:rsidR="002819CB" w:rsidRPr="004468B2">
              <w:rPr>
                <w:lang w:val="lv-LV"/>
              </w:rPr>
              <w:t>153.3.2.apakšpunkts (</w:t>
            </w:r>
            <w:r w:rsidRPr="004468B2">
              <w:rPr>
                <w:lang w:val="lv-LV"/>
              </w:rPr>
              <w:t xml:space="preserve">Noteikumu projekta </w:t>
            </w:r>
            <w:r w:rsidR="000A075F" w:rsidRPr="004468B2">
              <w:t>1.48</w:t>
            </w:r>
            <w:r w:rsidRPr="004468B2">
              <w:t>.</w:t>
            </w:r>
            <w:r w:rsidR="002819CB" w:rsidRPr="004468B2">
              <w:t xml:space="preserve">apakšpunkts) </w:t>
            </w:r>
            <w:r w:rsidR="00B776BB" w:rsidRPr="004468B2">
              <w:rPr>
                <w:noProof/>
              </w:rPr>
              <w:t>atbilstoši Direktīvas 2012/26/ES</w:t>
            </w:r>
            <w:r w:rsidR="002819CB" w:rsidRPr="004468B2">
              <w:rPr>
                <w:noProof/>
              </w:rPr>
              <w:t xml:space="preserve"> 1.panta 1.punkta normai,</w:t>
            </w:r>
            <w:r w:rsidRPr="004468B2">
              <w:t> </w:t>
            </w:r>
            <w:r w:rsidR="002819CB" w:rsidRPr="004468B2">
              <w:t xml:space="preserve">par informācijas sniegšanu par reģistrētām zālēm, kuras pastāvīgi vai uz </w:t>
            </w:r>
            <w:r w:rsidR="002819CB" w:rsidRPr="004468B2">
              <w:lastRenderedPageBreak/>
              <w:t>laiku netiek laistas Latvijas tirgū, neprasot informāciju par situāciju citās Eiropas Savienības dalībvalstīs.</w:t>
            </w:r>
          </w:p>
          <w:p w:rsidR="008D7B26" w:rsidRPr="004468B2" w:rsidRDefault="008D7B26" w:rsidP="00D70765">
            <w:pPr>
              <w:jc w:val="both"/>
              <w:rPr>
                <w:lang w:val="lv-LV"/>
              </w:rPr>
            </w:pPr>
          </w:p>
          <w:p w:rsidR="00F61088" w:rsidRPr="004468B2" w:rsidRDefault="005F0D8D" w:rsidP="0017094D">
            <w:pPr>
              <w:jc w:val="both"/>
              <w:rPr>
                <w:lang w:val="lv-LV"/>
              </w:rPr>
            </w:pPr>
            <w:r w:rsidRPr="004468B2">
              <w:rPr>
                <w:lang w:val="lv-LV"/>
              </w:rPr>
              <w:t>10. </w:t>
            </w:r>
            <w:r w:rsidR="00F61088" w:rsidRPr="004468B2">
              <w:rPr>
                <w:lang w:val="lv-LV"/>
              </w:rPr>
              <w:t xml:space="preserve">Plašas diskusijas ar farmācijas jomas nevalstiskajām organizācijām, tajā skaitā, </w:t>
            </w:r>
            <w:r w:rsidR="00453FBE" w:rsidRPr="004468B2">
              <w:rPr>
                <w:lang w:val="lv-LV"/>
              </w:rPr>
              <w:t>Starptautisko inovatīvo</w:t>
            </w:r>
            <w:r w:rsidR="00286598" w:rsidRPr="004468B2">
              <w:rPr>
                <w:lang w:val="lv-LV"/>
              </w:rPr>
              <w:t xml:space="preserve"> farmaceitisko firmu asociāciju</w:t>
            </w:r>
            <w:r w:rsidR="00453FBE" w:rsidRPr="004468B2">
              <w:rPr>
                <w:lang w:val="lv-LV"/>
              </w:rPr>
              <w:t xml:space="preserve"> (SIFFA) </w:t>
            </w:r>
            <w:r w:rsidR="00F61088" w:rsidRPr="004468B2">
              <w:rPr>
                <w:lang w:val="lv-LV"/>
              </w:rPr>
              <w:t xml:space="preserve">un </w:t>
            </w:r>
            <w:r w:rsidR="00453FBE" w:rsidRPr="004468B2">
              <w:rPr>
                <w:lang w:val="lv-LV"/>
              </w:rPr>
              <w:t xml:space="preserve">Latvijas </w:t>
            </w:r>
            <w:proofErr w:type="spellStart"/>
            <w:r w:rsidR="00453FBE" w:rsidRPr="004468B2">
              <w:rPr>
                <w:lang w:val="lv-LV"/>
              </w:rPr>
              <w:t>Pat</w:t>
            </w:r>
            <w:r w:rsidR="00286598" w:rsidRPr="004468B2">
              <w:rPr>
                <w:lang w:val="lv-LV"/>
              </w:rPr>
              <w:t>entbrīvo</w:t>
            </w:r>
            <w:proofErr w:type="spellEnd"/>
            <w:r w:rsidR="00286598" w:rsidRPr="004468B2">
              <w:rPr>
                <w:lang w:val="lv-LV"/>
              </w:rPr>
              <w:t xml:space="preserve"> medikamentu asociāciju</w:t>
            </w:r>
            <w:r w:rsidR="00453FBE" w:rsidRPr="004468B2">
              <w:rPr>
                <w:lang w:val="lv-LV"/>
              </w:rPr>
              <w:t xml:space="preserve"> (</w:t>
            </w:r>
            <w:r w:rsidR="00F61088" w:rsidRPr="004468B2">
              <w:rPr>
                <w:lang w:val="lv-LV"/>
              </w:rPr>
              <w:t>LPMA</w:t>
            </w:r>
            <w:r w:rsidR="00453FBE" w:rsidRPr="004468B2">
              <w:rPr>
                <w:lang w:val="lv-LV"/>
              </w:rPr>
              <w:t>)</w:t>
            </w:r>
            <w:r w:rsidR="00F61088" w:rsidRPr="004468B2">
              <w:rPr>
                <w:lang w:val="lv-LV"/>
              </w:rPr>
              <w:t xml:space="preserve"> par zāļu vairumtirdzniecības datu sniegšanas kārtību un apjomu ir jau notikušas saistībā ar likumprojekta ”Grozījumi Farmācijas likumā” virzību pieņemšanai Saeimā.</w:t>
            </w:r>
            <w:r w:rsidR="00D539A4" w:rsidRPr="004468B2">
              <w:rPr>
                <w:lang w:val="lv-LV"/>
              </w:rPr>
              <w:t xml:space="preserve"> SIFFA (29.03.2013.) ir sniegusi ierosinājumu, papildināt sniedzamo datu pārskatus ar eksportēto zāļu vairumtirdzniecības realizācijas datiem, kas ņemts vērā, kā arī (02.05.2013.Nr.200-13/08) par </w:t>
            </w:r>
            <w:r w:rsidR="000A075F" w:rsidRPr="004468B2">
              <w:rPr>
                <w:lang w:val="lv-LV"/>
              </w:rPr>
              <w:t>Noteikumu projekta 1.44</w:t>
            </w:r>
            <w:r w:rsidR="00D539A4" w:rsidRPr="004468B2">
              <w:rPr>
                <w:lang w:val="lv-LV"/>
              </w:rPr>
              <w:t>.apakšpunktu (attiecībā uz Noteikumu papildināšanu ar 146.13.</w:t>
            </w:r>
            <w:r w:rsidR="0017094D" w:rsidRPr="004468B2">
              <w:rPr>
                <w:lang w:val="lv-LV"/>
              </w:rPr>
              <w:t xml:space="preserve"> un 146.14.</w:t>
            </w:r>
            <w:r w:rsidR="00D539A4" w:rsidRPr="004468B2">
              <w:rPr>
                <w:lang w:val="lv-LV"/>
              </w:rPr>
              <w:t>apakšpunktu) iekļaut realizācijas datu standarta pārskatus ne tikai par ceturksni, pusgadu un gadu, bet arī par mēnesi</w:t>
            </w:r>
            <w:r w:rsidR="0017094D" w:rsidRPr="004468B2">
              <w:rPr>
                <w:lang w:val="lv-LV"/>
              </w:rPr>
              <w:t xml:space="preserve">. </w:t>
            </w:r>
            <w:r w:rsidR="0017094D" w:rsidRPr="004468B2">
              <w:rPr>
                <w:bCs/>
                <w:lang w:val="lv-LV"/>
              </w:rPr>
              <w:t>2013.gada 11.jūlijā</w:t>
            </w:r>
            <w:r w:rsidR="0017094D" w:rsidRPr="004468B2">
              <w:rPr>
                <w:lang w:val="lv-LV"/>
              </w:rPr>
              <w:t xml:space="preserve"> Zāļu valsts aģentūrā notika sanāksme ”Par zāļu vairumtirdzniecības realizācijas datu sniegšanu komersantiem zāļu pieejamības analīzes veikšanai” ar Starptautisko inovatīvo farmaceitisko firmu asociāciju un Latvijas </w:t>
            </w:r>
            <w:proofErr w:type="spellStart"/>
            <w:r w:rsidR="0017094D" w:rsidRPr="004468B2">
              <w:rPr>
                <w:lang w:val="lv-LV"/>
              </w:rPr>
              <w:t>Patentbrīvo</w:t>
            </w:r>
            <w:proofErr w:type="spellEnd"/>
            <w:r w:rsidR="0017094D" w:rsidRPr="004468B2">
              <w:rPr>
                <w:lang w:val="lv-LV"/>
              </w:rPr>
              <w:t xml:space="preserve"> Medikamentu asociāciju pārstāvju dalību.</w:t>
            </w:r>
            <w:r w:rsidR="0017094D" w:rsidRPr="004468B2">
              <w:rPr>
                <w:b/>
                <w:bCs/>
                <w:lang w:val="lv-LV"/>
              </w:rPr>
              <w:t xml:space="preserve"> Sanāksmes laikā tika panākta vienošanās </w:t>
            </w:r>
            <w:r w:rsidR="0017094D" w:rsidRPr="004468B2">
              <w:rPr>
                <w:lang w:val="lv-LV"/>
              </w:rPr>
              <w:t>attiecībā par informācijas izsniegšanu pieprasītājam par zāļu vairumtirdzniecības realizācijas datiem sadalījumā pa mēnešiem vienam ceturksnim (146.13.1., 146.13.2. un 146.3.3.apakšpunkts), kā arī par zāļu reģistrācijas apliecības īpašnieka tiesībām saņemt zāļu vairumtirdzniecības realizācijas datus par savām zālēm pēc zāļu starptautiskā nepatentētā nosaukuma, zāļu reģistrācijas numura (146.13.4.apakšpunkts).</w:t>
            </w:r>
          </w:p>
        </w:tc>
      </w:tr>
      <w:tr w:rsidR="004134D0" w:rsidRPr="004468B2" w:rsidTr="0003109E">
        <w:trPr>
          <w:trHeight w:val="397"/>
        </w:trPr>
        <w:tc>
          <w:tcPr>
            <w:tcW w:w="374"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rPr>
                <w:bCs/>
              </w:rPr>
            </w:pPr>
            <w:r w:rsidRPr="004468B2">
              <w:rPr>
                <w:bCs/>
              </w:rPr>
              <w:lastRenderedPageBreak/>
              <w:t>4.</w:t>
            </w:r>
          </w:p>
        </w:tc>
        <w:tc>
          <w:tcPr>
            <w:tcW w:w="2750"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Saeimas un ekspertu līdzdalība</w:t>
            </w:r>
          </w:p>
        </w:tc>
        <w:tc>
          <w:tcPr>
            <w:tcW w:w="6695"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jc w:val="both"/>
            </w:pPr>
            <w:r w:rsidRPr="004468B2">
              <w:t>Konsultācijas ar Saeimas komisiju vai apakškomisiju, kā arī ar ekspertiem nav notikušas.</w:t>
            </w:r>
          </w:p>
        </w:tc>
      </w:tr>
      <w:tr w:rsidR="004134D0" w:rsidRPr="004468B2" w:rsidTr="0003109E">
        <w:trPr>
          <w:trHeight w:val="476"/>
        </w:trPr>
        <w:tc>
          <w:tcPr>
            <w:tcW w:w="374"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rPr>
                <w:bCs/>
              </w:rPr>
            </w:pPr>
            <w:r w:rsidRPr="004468B2">
              <w:rPr>
                <w:bCs/>
              </w:rPr>
              <w:t>5.</w:t>
            </w:r>
          </w:p>
        </w:tc>
        <w:tc>
          <w:tcPr>
            <w:tcW w:w="2750"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Cita informācija</w:t>
            </w:r>
          </w:p>
        </w:tc>
        <w:tc>
          <w:tcPr>
            <w:tcW w:w="6695" w:type="dxa"/>
            <w:tcBorders>
              <w:top w:val="single" w:sz="4" w:space="0" w:color="auto"/>
              <w:left w:val="single" w:sz="4" w:space="0" w:color="auto"/>
              <w:bottom w:val="single" w:sz="4" w:space="0" w:color="auto"/>
              <w:right w:val="single" w:sz="4" w:space="0" w:color="auto"/>
            </w:tcBorders>
            <w:hideMark/>
          </w:tcPr>
          <w:p w:rsidR="004134D0" w:rsidRPr="004468B2" w:rsidRDefault="00015256" w:rsidP="004134D0">
            <w:pPr>
              <w:pStyle w:val="naiskr"/>
              <w:spacing w:before="0" w:after="0"/>
              <w:ind w:left="57" w:right="57"/>
              <w:jc w:val="both"/>
            </w:pPr>
            <w:r w:rsidRPr="004468B2">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4468B2">
              <w:t>Sustento</w:t>
            </w:r>
            <w:proofErr w:type="spellEnd"/>
            <w:r w:rsidRPr="004468B2">
              <w:t xml:space="preserve">”, Latvijas Ķīmijas un farmācijas uzņēmēju asociācijas, Latvijas Patērētāju interešu aizstāvības asociācijas, Latvijas </w:t>
            </w:r>
            <w:proofErr w:type="spellStart"/>
            <w:r w:rsidRPr="004468B2">
              <w:t>Patentbrīvo</w:t>
            </w:r>
            <w:proofErr w:type="spellEnd"/>
            <w:r w:rsidRPr="004468B2">
              <w:t xml:space="preserve"> medikamentu asociācijas, Latvijas Zāļu lieltirgotāju asociācijas un Starptautisko inovatīvo farmaceitisko firmu asociācijas.</w:t>
            </w:r>
          </w:p>
        </w:tc>
      </w:tr>
    </w:tbl>
    <w:p w:rsidR="004134D0" w:rsidRPr="004468B2" w:rsidRDefault="004134D0" w:rsidP="004134D0">
      <w:pPr>
        <w:pStyle w:val="naisf"/>
        <w:spacing w:before="0" w:beforeAutospacing="0" w:after="0" w:afterAutospacing="0"/>
        <w:rPr>
          <w:sz w:val="28"/>
          <w:szCs w:val="28"/>
          <w:lang w:val="lv-LV"/>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2437"/>
        <w:gridCol w:w="7061"/>
      </w:tblGrid>
      <w:tr w:rsidR="004134D0" w:rsidRPr="004468B2" w:rsidTr="004134D0">
        <w:tc>
          <w:tcPr>
            <w:tcW w:w="9924" w:type="dxa"/>
            <w:gridSpan w:val="3"/>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t>VII. Tiesību akta projekta izpildes nodrošināšana un tās ietekme uz institūcijām</w:t>
            </w:r>
          </w:p>
        </w:tc>
      </w:tr>
      <w:tr w:rsidR="004134D0" w:rsidRPr="004468B2" w:rsidTr="006C488D">
        <w:trPr>
          <w:trHeight w:val="427"/>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rPr>
                <w:b w:val="0"/>
              </w:rPr>
              <w:t>1.</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f"/>
              <w:spacing w:before="0" w:beforeAutospacing="0" w:after="0" w:afterAutospacing="0"/>
              <w:ind w:left="57" w:right="57"/>
              <w:rPr>
                <w:lang w:val="lv-LV"/>
              </w:rPr>
            </w:pPr>
            <w:r w:rsidRPr="004468B2">
              <w:rPr>
                <w:lang w:val="lv-LV"/>
              </w:rPr>
              <w:t xml:space="preserve">Projekta izpildē iesaistītās institūcijas </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oSpacing"/>
              <w:jc w:val="both"/>
              <w:rPr>
                <w:rFonts w:ascii="Times New Roman" w:hAnsi="Times New Roman"/>
                <w:sz w:val="24"/>
                <w:szCs w:val="24"/>
              </w:rPr>
            </w:pPr>
            <w:r w:rsidRPr="004468B2">
              <w:rPr>
                <w:rFonts w:ascii="Times New Roman" w:hAnsi="Times New Roman"/>
                <w:sz w:val="24"/>
                <w:szCs w:val="24"/>
              </w:rPr>
              <w:t>Zāļu valsts aģentūra.</w:t>
            </w:r>
          </w:p>
          <w:p w:rsidR="004134D0" w:rsidRPr="004468B2" w:rsidRDefault="004134D0" w:rsidP="004134D0">
            <w:pPr>
              <w:pStyle w:val="NoSpacing"/>
              <w:jc w:val="both"/>
              <w:rPr>
                <w:rFonts w:ascii="Times New Roman" w:hAnsi="Times New Roman"/>
                <w:sz w:val="24"/>
                <w:szCs w:val="24"/>
              </w:rPr>
            </w:pPr>
            <w:r w:rsidRPr="004468B2">
              <w:rPr>
                <w:rFonts w:ascii="Times New Roman" w:hAnsi="Times New Roman"/>
                <w:sz w:val="24"/>
                <w:szCs w:val="24"/>
              </w:rPr>
              <w:t>Veselības inspekcija.</w:t>
            </w:r>
          </w:p>
        </w:tc>
      </w:tr>
      <w:tr w:rsidR="004134D0" w:rsidRPr="004468B2" w:rsidTr="006C488D">
        <w:trPr>
          <w:trHeight w:val="463"/>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rPr>
                <w:b w:val="0"/>
              </w:rPr>
              <w:lastRenderedPageBreak/>
              <w:t>2.</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f"/>
              <w:spacing w:before="0" w:beforeAutospacing="0" w:after="0" w:afterAutospacing="0"/>
              <w:ind w:left="57" w:right="57"/>
              <w:rPr>
                <w:lang w:val="lv-LV"/>
              </w:rPr>
            </w:pPr>
            <w:r w:rsidRPr="004468B2">
              <w:rPr>
                <w:lang w:val="lv-LV"/>
              </w:rPr>
              <w:t xml:space="preserve">Projekta izpildes ietekme uz pārvaldes funkcijām </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352190" w:rsidP="003B593B">
            <w:pPr>
              <w:pStyle w:val="NoSpacing"/>
              <w:jc w:val="both"/>
              <w:rPr>
                <w:rFonts w:ascii="Times New Roman" w:hAnsi="Times New Roman"/>
                <w:spacing w:val="-6"/>
                <w:sz w:val="24"/>
                <w:szCs w:val="24"/>
              </w:rPr>
            </w:pPr>
            <w:r w:rsidRPr="004468B2">
              <w:rPr>
                <w:rFonts w:ascii="Times New Roman" w:hAnsi="Times New Roman"/>
                <w:spacing w:val="-6"/>
                <w:sz w:val="24"/>
                <w:szCs w:val="24"/>
                <w:lang w:eastAsia="lv-LV"/>
              </w:rPr>
              <w:t>Noteikumu projekts</w:t>
            </w:r>
            <w:r w:rsidR="004134D0" w:rsidRPr="004468B2">
              <w:rPr>
                <w:rFonts w:ascii="Times New Roman" w:hAnsi="Times New Roman"/>
                <w:spacing w:val="-6"/>
                <w:sz w:val="24"/>
                <w:szCs w:val="24"/>
                <w:lang w:eastAsia="lv-LV"/>
              </w:rPr>
              <w:t xml:space="preserve"> paplašina </w:t>
            </w:r>
            <w:r w:rsidR="004134D0" w:rsidRPr="004468B2">
              <w:rPr>
                <w:rFonts w:ascii="Times New Roman" w:hAnsi="Times New Roman"/>
                <w:spacing w:val="-6"/>
                <w:sz w:val="24"/>
                <w:szCs w:val="24"/>
              </w:rPr>
              <w:t>pienākumus un tiesības</w:t>
            </w:r>
            <w:r w:rsidR="004134D0" w:rsidRPr="004468B2">
              <w:rPr>
                <w:rFonts w:ascii="Times New Roman" w:hAnsi="Times New Roman"/>
                <w:spacing w:val="-6"/>
                <w:sz w:val="24"/>
                <w:szCs w:val="24"/>
                <w:lang w:eastAsia="lv-LV"/>
              </w:rPr>
              <w:t xml:space="preserve"> </w:t>
            </w:r>
            <w:r w:rsidR="004134D0" w:rsidRPr="004468B2">
              <w:rPr>
                <w:rFonts w:ascii="Times New Roman" w:hAnsi="Times New Roman"/>
                <w:spacing w:val="-6"/>
                <w:sz w:val="24"/>
                <w:szCs w:val="24"/>
              </w:rPr>
              <w:t xml:space="preserve">Zāļu valsts aģentūrai veikt uzraudzības funkcijas par </w:t>
            </w:r>
            <w:r w:rsidR="00FA78AA" w:rsidRPr="004468B2">
              <w:rPr>
                <w:rFonts w:ascii="Times New Roman" w:hAnsi="Times New Roman"/>
                <w:spacing w:val="-6"/>
                <w:sz w:val="24"/>
                <w:szCs w:val="24"/>
              </w:rPr>
              <w:t>personām, kuras veic starpniecības darījumus ar zālēm un viltotajām zālēm</w:t>
            </w:r>
            <w:r w:rsidR="003B593B" w:rsidRPr="004468B2">
              <w:rPr>
                <w:rFonts w:ascii="Times New Roman" w:hAnsi="Times New Roman"/>
                <w:spacing w:val="-6"/>
                <w:sz w:val="24"/>
                <w:szCs w:val="24"/>
              </w:rPr>
              <w:t>, kā arī pastiprina Zāļu valsts aģentūras un Veselības in</w:t>
            </w:r>
            <w:r w:rsidR="005412A1" w:rsidRPr="004468B2">
              <w:rPr>
                <w:rFonts w:ascii="Times New Roman" w:hAnsi="Times New Roman"/>
                <w:spacing w:val="-6"/>
                <w:sz w:val="24"/>
                <w:szCs w:val="24"/>
              </w:rPr>
              <w:t>s</w:t>
            </w:r>
            <w:r w:rsidR="003B593B" w:rsidRPr="004468B2">
              <w:rPr>
                <w:rFonts w:ascii="Times New Roman" w:hAnsi="Times New Roman"/>
                <w:spacing w:val="-6"/>
                <w:sz w:val="24"/>
                <w:szCs w:val="24"/>
              </w:rPr>
              <w:t>pekcijas uzraudzību par aptiekām, kuras izp</w:t>
            </w:r>
            <w:r w:rsidR="005412A1" w:rsidRPr="004468B2">
              <w:rPr>
                <w:rFonts w:ascii="Times New Roman" w:hAnsi="Times New Roman"/>
                <w:spacing w:val="-6"/>
                <w:sz w:val="24"/>
                <w:szCs w:val="24"/>
              </w:rPr>
              <w:t>l</w:t>
            </w:r>
            <w:r w:rsidR="003B593B" w:rsidRPr="004468B2">
              <w:rPr>
                <w:rFonts w:ascii="Times New Roman" w:hAnsi="Times New Roman"/>
                <w:spacing w:val="-6"/>
                <w:sz w:val="24"/>
                <w:szCs w:val="24"/>
              </w:rPr>
              <w:t>ata zāles ar tīmekļa starpniecību.</w:t>
            </w:r>
          </w:p>
        </w:tc>
      </w:tr>
      <w:tr w:rsidR="004134D0" w:rsidRPr="004468B2" w:rsidTr="006C488D">
        <w:trPr>
          <w:trHeight w:val="725"/>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rPr>
                <w:b w:val="0"/>
              </w:rPr>
              <w:t>3.</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f"/>
              <w:spacing w:before="0" w:beforeAutospacing="0" w:after="0" w:afterAutospacing="0"/>
              <w:ind w:left="57" w:right="57"/>
              <w:rPr>
                <w:spacing w:val="-6"/>
                <w:lang w:val="lv-LV"/>
              </w:rPr>
            </w:pPr>
            <w:r w:rsidRPr="004468B2">
              <w:rPr>
                <w:spacing w:val="-6"/>
                <w:lang w:val="lv-LV"/>
              </w:rPr>
              <w:t>Projekta izpildes ietekme uz pārvaldes institucionālo struktūru.</w:t>
            </w:r>
          </w:p>
          <w:p w:rsidR="004134D0" w:rsidRPr="004468B2" w:rsidRDefault="004134D0" w:rsidP="004134D0">
            <w:pPr>
              <w:pStyle w:val="naisf"/>
              <w:spacing w:before="0" w:beforeAutospacing="0" w:after="0" w:afterAutospacing="0"/>
              <w:ind w:left="57" w:right="57"/>
              <w:rPr>
                <w:lang w:val="lv-LV"/>
              </w:rPr>
            </w:pPr>
            <w:r w:rsidRPr="004468B2">
              <w:rPr>
                <w:spacing w:val="-6"/>
                <w:lang w:val="lv-LV"/>
              </w:rPr>
              <w:t>Jaunu institūciju izveide</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5D480E" w:rsidP="00990459">
            <w:pPr>
              <w:pStyle w:val="naisnod"/>
              <w:spacing w:before="0" w:after="0"/>
              <w:ind w:left="57" w:right="57"/>
              <w:jc w:val="left"/>
              <w:rPr>
                <w:b w:val="0"/>
              </w:rPr>
            </w:pPr>
            <w:r w:rsidRPr="004468B2">
              <w:rPr>
                <w:b w:val="0"/>
              </w:rPr>
              <w:t>P</w:t>
            </w:r>
            <w:r w:rsidR="005412A1" w:rsidRPr="004468B2">
              <w:rPr>
                <w:b w:val="0"/>
              </w:rPr>
              <w:t>rojekts šo jomu neskar</w:t>
            </w:r>
            <w:r w:rsidR="00B776BB" w:rsidRPr="004468B2">
              <w:rPr>
                <w:b w:val="0"/>
              </w:rPr>
              <w:t>.</w:t>
            </w:r>
          </w:p>
        </w:tc>
      </w:tr>
      <w:tr w:rsidR="004134D0" w:rsidRPr="004468B2" w:rsidTr="006C488D">
        <w:trPr>
          <w:trHeight w:val="780"/>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rPr>
                <w:b w:val="0"/>
              </w:rPr>
              <w:t>4.</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f"/>
              <w:spacing w:before="0" w:beforeAutospacing="0" w:after="0" w:afterAutospacing="0"/>
              <w:ind w:left="57" w:right="57"/>
              <w:rPr>
                <w:spacing w:val="-6"/>
                <w:lang w:val="lv-LV"/>
              </w:rPr>
            </w:pPr>
            <w:r w:rsidRPr="004468B2">
              <w:rPr>
                <w:spacing w:val="-6"/>
                <w:lang w:val="lv-LV"/>
              </w:rPr>
              <w:t>Projekta izpildes ietekme uz pārvaldes institucionālo struktūru.</w:t>
            </w:r>
          </w:p>
          <w:p w:rsidR="004134D0" w:rsidRPr="004468B2" w:rsidRDefault="004134D0" w:rsidP="004134D0">
            <w:pPr>
              <w:pStyle w:val="naisf"/>
              <w:spacing w:before="0" w:beforeAutospacing="0" w:after="0" w:afterAutospacing="0"/>
              <w:ind w:left="57" w:right="57"/>
              <w:rPr>
                <w:lang w:val="lv-LV"/>
              </w:rPr>
            </w:pPr>
            <w:r w:rsidRPr="004468B2">
              <w:rPr>
                <w:spacing w:val="-6"/>
                <w:lang w:val="lv-LV"/>
              </w:rPr>
              <w:t>Esošu institūciju likvidācija</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5D480E" w:rsidP="00990459">
            <w:pPr>
              <w:pStyle w:val="naisnod"/>
              <w:spacing w:before="0" w:after="0"/>
              <w:ind w:left="57" w:right="57"/>
              <w:jc w:val="left"/>
              <w:rPr>
                <w:b w:val="0"/>
              </w:rPr>
            </w:pPr>
            <w:r w:rsidRPr="004468B2">
              <w:rPr>
                <w:b w:val="0"/>
              </w:rPr>
              <w:t>P</w:t>
            </w:r>
            <w:r w:rsidR="005412A1" w:rsidRPr="004468B2">
              <w:rPr>
                <w:b w:val="0"/>
              </w:rPr>
              <w:t>rojekts šo jomu neskar</w:t>
            </w:r>
            <w:r w:rsidR="00B776BB" w:rsidRPr="004468B2">
              <w:rPr>
                <w:b w:val="0"/>
              </w:rPr>
              <w:t>.</w:t>
            </w:r>
          </w:p>
        </w:tc>
      </w:tr>
      <w:tr w:rsidR="004134D0" w:rsidRPr="004468B2" w:rsidTr="006C488D">
        <w:trPr>
          <w:trHeight w:val="703"/>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nod"/>
              <w:spacing w:before="0" w:after="0"/>
              <w:ind w:left="57" w:right="57"/>
              <w:rPr>
                <w:b w:val="0"/>
              </w:rPr>
            </w:pPr>
            <w:r w:rsidRPr="004468B2">
              <w:rPr>
                <w:b w:val="0"/>
              </w:rPr>
              <w:t>5.</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f"/>
              <w:spacing w:before="0" w:beforeAutospacing="0" w:after="0" w:afterAutospacing="0"/>
              <w:ind w:left="57" w:right="57"/>
              <w:rPr>
                <w:spacing w:val="-6"/>
                <w:lang w:val="lv-LV"/>
              </w:rPr>
            </w:pPr>
            <w:r w:rsidRPr="004468B2">
              <w:rPr>
                <w:spacing w:val="-6"/>
                <w:lang w:val="lv-LV"/>
              </w:rPr>
              <w:t>Projekta izpildes ietekme uz pārvaldes institucionālo struktūru.</w:t>
            </w:r>
          </w:p>
          <w:p w:rsidR="004134D0" w:rsidRPr="004468B2" w:rsidRDefault="004134D0" w:rsidP="004134D0">
            <w:pPr>
              <w:pStyle w:val="naisf"/>
              <w:spacing w:before="0" w:beforeAutospacing="0" w:after="0" w:afterAutospacing="0"/>
              <w:ind w:left="57" w:right="57"/>
              <w:rPr>
                <w:lang w:val="lv-LV"/>
              </w:rPr>
            </w:pPr>
            <w:r w:rsidRPr="004468B2">
              <w:rPr>
                <w:spacing w:val="-6"/>
                <w:lang w:val="lv-LV"/>
              </w:rPr>
              <w:t>Esošu institūciju reorganizācija</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5412A1" w:rsidP="00990459">
            <w:pPr>
              <w:pStyle w:val="naisnod"/>
              <w:spacing w:before="0" w:after="0"/>
              <w:ind w:left="57" w:right="57"/>
              <w:jc w:val="both"/>
              <w:rPr>
                <w:b w:val="0"/>
              </w:rPr>
            </w:pPr>
            <w:r w:rsidRPr="004468B2">
              <w:rPr>
                <w:b w:val="0"/>
              </w:rPr>
              <w:t>Projekts šo jomu neskar</w:t>
            </w:r>
            <w:r w:rsidR="00B776BB" w:rsidRPr="004468B2">
              <w:rPr>
                <w:b w:val="0"/>
              </w:rPr>
              <w:t>.</w:t>
            </w:r>
          </w:p>
        </w:tc>
      </w:tr>
      <w:tr w:rsidR="004134D0" w:rsidRPr="004468B2" w:rsidTr="006C488D">
        <w:trPr>
          <w:trHeight w:val="365"/>
        </w:trPr>
        <w:tc>
          <w:tcPr>
            <w:tcW w:w="426"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6.</w:t>
            </w:r>
          </w:p>
        </w:tc>
        <w:tc>
          <w:tcPr>
            <w:tcW w:w="2437"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Cita informācija</w:t>
            </w:r>
          </w:p>
        </w:tc>
        <w:tc>
          <w:tcPr>
            <w:tcW w:w="7061" w:type="dxa"/>
            <w:tcBorders>
              <w:top w:val="single" w:sz="4" w:space="0" w:color="auto"/>
              <w:left w:val="single" w:sz="4" w:space="0" w:color="auto"/>
              <w:bottom w:val="single" w:sz="4" w:space="0" w:color="auto"/>
              <w:right w:val="single" w:sz="4" w:space="0" w:color="auto"/>
            </w:tcBorders>
            <w:hideMark/>
          </w:tcPr>
          <w:p w:rsidR="004134D0" w:rsidRPr="004468B2" w:rsidRDefault="004134D0" w:rsidP="004134D0">
            <w:pPr>
              <w:pStyle w:val="naiskr"/>
              <w:spacing w:before="0" w:after="0"/>
              <w:ind w:left="57" w:right="57"/>
            </w:pPr>
            <w:r w:rsidRPr="004468B2">
              <w:t>Nav</w:t>
            </w:r>
          </w:p>
        </w:tc>
      </w:tr>
    </w:tbl>
    <w:p w:rsidR="00485A9E" w:rsidRPr="004468B2" w:rsidRDefault="00485A9E" w:rsidP="00485A9E">
      <w:pPr>
        <w:rPr>
          <w:b/>
          <w:sz w:val="28"/>
          <w:szCs w:val="28"/>
          <w:lang w:val="lv-LV"/>
        </w:rPr>
      </w:pPr>
    </w:p>
    <w:p w:rsidR="00CB2893" w:rsidRPr="004468B2" w:rsidRDefault="00CB2893" w:rsidP="00CB2893">
      <w:pPr>
        <w:jc w:val="both"/>
        <w:rPr>
          <w:sz w:val="28"/>
          <w:szCs w:val="28"/>
          <w:lang w:val="lv-LV"/>
        </w:rPr>
      </w:pPr>
    </w:p>
    <w:p w:rsidR="00CB2893" w:rsidRPr="004468B2" w:rsidRDefault="00CB2893" w:rsidP="00A87F98">
      <w:pPr>
        <w:ind w:firstLine="720"/>
        <w:jc w:val="both"/>
        <w:rPr>
          <w:rStyle w:val="Strong"/>
          <w:b w:val="0"/>
          <w:bCs w:val="0"/>
          <w:sz w:val="28"/>
          <w:szCs w:val="28"/>
          <w:lang w:val="lv-LV"/>
        </w:rPr>
      </w:pPr>
      <w:r w:rsidRPr="004468B2">
        <w:rPr>
          <w:sz w:val="28"/>
          <w:szCs w:val="28"/>
          <w:lang w:val="lv-LV"/>
        </w:rPr>
        <w:t>Veselības ministre</w:t>
      </w:r>
      <w:r w:rsidRPr="004468B2">
        <w:rPr>
          <w:sz w:val="28"/>
          <w:szCs w:val="28"/>
          <w:lang w:val="lv-LV"/>
        </w:rPr>
        <w:tab/>
      </w:r>
      <w:r w:rsidRPr="004468B2">
        <w:rPr>
          <w:sz w:val="28"/>
          <w:szCs w:val="28"/>
          <w:lang w:val="lv-LV"/>
        </w:rPr>
        <w:tab/>
      </w:r>
      <w:r w:rsidRPr="004468B2">
        <w:rPr>
          <w:sz w:val="28"/>
          <w:szCs w:val="28"/>
          <w:lang w:val="lv-LV"/>
        </w:rPr>
        <w:tab/>
      </w:r>
      <w:r w:rsidRPr="004468B2">
        <w:rPr>
          <w:sz w:val="28"/>
          <w:szCs w:val="28"/>
          <w:lang w:val="lv-LV"/>
        </w:rPr>
        <w:tab/>
      </w:r>
      <w:r w:rsidRPr="004468B2">
        <w:rPr>
          <w:sz w:val="28"/>
          <w:szCs w:val="28"/>
          <w:lang w:val="lv-LV"/>
        </w:rPr>
        <w:tab/>
      </w:r>
      <w:r w:rsidRPr="004468B2">
        <w:rPr>
          <w:sz w:val="28"/>
          <w:szCs w:val="28"/>
          <w:lang w:val="lv-LV"/>
        </w:rPr>
        <w:tab/>
        <w:t>I.Circene</w:t>
      </w:r>
    </w:p>
    <w:p w:rsidR="00A4357A" w:rsidRPr="004468B2" w:rsidRDefault="00A4357A" w:rsidP="00A4357A">
      <w:pPr>
        <w:pStyle w:val="NoSpacing"/>
        <w:tabs>
          <w:tab w:val="left" w:pos="2270"/>
        </w:tabs>
        <w:jc w:val="both"/>
        <w:rPr>
          <w:rFonts w:ascii="Times New Roman" w:hAnsi="Times New Roman"/>
          <w:sz w:val="24"/>
          <w:szCs w:val="24"/>
        </w:rPr>
      </w:pPr>
    </w:p>
    <w:p w:rsidR="00410EA3" w:rsidRPr="004468B2" w:rsidRDefault="00410EA3" w:rsidP="00A4357A">
      <w:pPr>
        <w:pStyle w:val="NoSpacing"/>
        <w:tabs>
          <w:tab w:val="left" w:pos="2270"/>
        </w:tabs>
        <w:jc w:val="both"/>
        <w:rPr>
          <w:rFonts w:ascii="Times New Roman" w:hAnsi="Times New Roman"/>
          <w:sz w:val="24"/>
          <w:szCs w:val="24"/>
        </w:rPr>
      </w:pPr>
    </w:p>
    <w:p w:rsidR="00B746A5" w:rsidRPr="004468B2" w:rsidRDefault="00B746A5" w:rsidP="00A4357A">
      <w:pPr>
        <w:pStyle w:val="NoSpacing"/>
        <w:tabs>
          <w:tab w:val="left" w:pos="2270"/>
        </w:tabs>
        <w:jc w:val="both"/>
        <w:rPr>
          <w:rFonts w:ascii="Times New Roman" w:hAnsi="Times New Roman"/>
          <w:sz w:val="24"/>
          <w:szCs w:val="24"/>
        </w:rPr>
      </w:pPr>
    </w:p>
    <w:p w:rsidR="00B746A5" w:rsidRPr="004468B2" w:rsidRDefault="00B746A5" w:rsidP="00A4357A">
      <w:pPr>
        <w:pStyle w:val="NoSpacing"/>
        <w:tabs>
          <w:tab w:val="left" w:pos="2270"/>
        </w:tabs>
        <w:jc w:val="both"/>
        <w:rPr>
          <w:rFonts w:ascii="Times New Roman" w:hAnsi="Times New Roman"/>
          <w:sz w:val="24"/>
          <w:szCs w:val="24"/>
        </w:rPr>
      </w:pPr>
    </w:p>
    <w:p w:rsidR="00B746A5" w:rsidRPr="004468B2" w:rsidRDefault="00B746A5" w:rsidP="00A4357A">
      <w:pPr>
        <w:pStyle w:val="NoSpacing"/>
        <w:tabs>
          <w:tab w:val="left" w:pos="2270"/>
        </w:tabs>
        <w:jc w:val="both"/>
        <w:rPr>
          <w:rFonts w:ascii="Times New Roman" w:hAnsi="Times New Roman"/>
          <w:sz w:val="24"/>
          <w:szCs w:val="24"/>
        </w:rPr>
      </w:pPr>
    </w:p>
    <w:p w:rsidR="00B746A5" w:rsidRPr="004468B2" w:rsidRDefault="00B746A5" w:rsidP="00A4357A">
      <w:pPr>
        <w:pStyle w:val="NoSpacing"/>
        <w:tabs>
          <w:tab w:val="left" w:pos="2270"/>
        </w:tabs>
        <w:jc w:val="both"/>
        <w:rPr>
          <w:rFonts w:ascii="Times New Roman" w:hAnsi="Times New Roman"/>
          <w:sz w:val="24"/>
          <w:szCs w:val="24"/>
        </w:rPr>
      </w:pPr>
    </w:p>
    <w:p w:rsidR="002541F0" w:rsidRPr="004468B2" w:rsidRDefault="002541F0" w:rsidP="00A4357A">
      <w:pPr>
        <w:pStyle w:val="NoSpacing"/>
        <w:tabs>
          <w:tab w:val="left" w:pos="2270"/>
        </w:tabs>
        <w:jc w:val="both"/>
        <w:rPr>
          <w:rFonts w:ascii="Times New Roman" w:hAnsi="Times New Roman"/>
          <w:sz w:val="24"/>
          <w:szCs w:val="24"/>
        </w:rPr>
      </w:pPr>
    </w:p>
    <w:p w:rsidR="002541F0" w:rsidRPr="004468B2" w:rsidRDefault="002541F0" w:rsidP="00A4357A">
      <w:pPr>
        <w:pStyle w:val="NoSpacing"/>
        <w:tabs>
          <w:tab w:val="left" w:pos="2270"/>
        </w:tabs>
        <w:jc w:val="both"/>
        <w:rPr>
          <w:rFonts w:ascii="Times New Roman" w:hAnsi="Times New Roman"/>
          <w:sz w:val="24"/>
          <w:szCs w:val="24"/>
        </w:rPr>
      </w:pPr>
    </w:p>
    <w:p w:rsidR="002541F0" w:rsidRPr="004468B2" w:rsidRDefault="002541F0" w:rsidP="00A4357A">
      <w:pPr>
        <w:pStyle w:val="NoSpacing"/>
        <w:tabs>
          <w:tab w:val="left" w:pos="2270"/>
        </w:tabs>
        <w:jc w:val="both"/>
        <w:rPr>
          <w:rFonts w:ascii="Times New Roman" w:hAnsi="Times New Roman"/>
          <w:sz w:val="24"/>
          <w:szCs w:val="24"/>
        </w:rPr>
      </w:pPr>
    </w:p>
    <w:p w:rsidR="002541F0" w:rsidRPr="004468B2" w:rsidRDefault="002541F0" w:rsidP="00A4357A">
      <w:pPr>
        <w:pStyle w:val="NoSpacing"/>
        <w:tabs>
          <w:tab w:val="left" w:pos="2270"/>
        </w:tabs>
        <w:jc w:val="both"/>
        <w:rPr>
          <w:rFonts w:ascii="Times New Roman" w:hAnsi="Times New Roman"/>
          <w:sz w:val="24"/>
          <w:szCs w:val="24"/>
        </w:rPr>
      </w:pPr>
    </w:p>
    <w:p w:rsidR="00A4357A" w:rsidRPr="004468B2" w:rsidRDefault="008B6CBD" w:rsidP="00A4357A">
      <w:pPr>
        <w:pStyle w:val="NoSpacing"/>
        <w:tabs>
          <w:tab w:val="left" w:pos="2270"/>
        </w:tabs>
        <w:jc w:val="both"/>
        <w:rPr>
          <w:rFonts w:ascii="Times New Roman" w:hAnsi="Times New Roman"/>
          <w:sz w:val="24"/>
          <w:szCs w:val="24"/>
        </w:rPr>
      </w:pPr>
      <w:r w:rsidRPr="004468B2">
        <w:rPr>
          <w:rFonts w:ascii="Times New Roman" w:hAnsi="Times New Roman"/>
          <w:sz w:val="24"/>
          <w:szCs w:val="24"/>
        </w:rPr>
        <w:t>25</w:t>
      </w:r>
      <w:r w:rsidR="00D1763B" w:rsidRPr="004468B2">
        <w:rPr>
          <w:rFonts w:ascii="Times New Roman" w:hAnsi="Times New Roman"/>
          <w:sz w:val="24"/>
          <w:szCs w:val="24"/>
        </w:rPr>
        <w:t>.07</w:t>
      </w:r>
      <w:r w:rsidR="003F4D5E" w:rsidRPr="004468B2">
        <w:rPr>
          <w:rFonts w:ascii="Times New Roman" w:hAnsi="Times New Roman"/>
          <w:sz w:val="24"/>
          <w:szCs w:val="24"/>
        </w:rPr>
        <w:t>.</w:t>
      </w:r>
      <w:r w:rsidR="00A4357A" w:rsidRPr="004468B2">
        <w:rPr>
          <w:rFonts w:ascii="Times New Roman" w:hAnsi="Times New Roman"/>
          <w:sz w:val="24"/>
          <w:szCs w:val="24"/>
        </w:rPr>
        <w:t xml:space="preserve">2013. </w:t>
      </w:r>
      <w:r w:rsidRPr="004468B2">
        <w:rPr>
          <w:rFonts w:ascii="Times New Roman" w:hAnsi="Times New Roman"/>
          <w:sz w:val="24"/>
          <w:szCs w:val="24"/>
        </w:rPr>
        <w:t>14</w:t>
      </w:r>
      <w:r w:rsidR="00A4357A" w:rsidRPr="004468B2">
        <w:rPr>
          <w:rFonts w:ascii="Times New Roman" w:hAnsi="Times New Roman"/>
          <w:sz w:val="24"/>
          <w:szCs w:val="24"/>
        </w:rPr>
        <w:t>:</w:t>
      </w:r>
      <w:r w:rsidR="00A674D9">
        <w:rPr>
          <w:rFonts w:ascii="Times New Roman" w:hAnsi="Times New Roman"/>
          <w:sz w:val="24"/>
          <w:szCs w:val="24"/>
        </w:rPr>
        <w:t>32</w:t>
      </w:r>
    </w:p>
    <w:p w:rsidR="00A4357A" w:rsidRPr="004468B2" w:rsidRDefault="00C04DD9" w:rsidP="00A4357A">
      <w:pPr>
        <w:pStyle w:val="NoSpacing"/>
        <w:jc w:val="both"/>
        <w:rPr>
          <w:rFonts w:ascii="Times New Roman" w:hAnsi="Times New Roman"/>
          <w:sz w:val="24"/>
          <w:szCs w:val="24"/>
        </w:rPr>
      </w:pPr>
      <w:r w:rsidRPr="004468B2">
        <w:rPr>
          <w:rFonts w:ascii="Times New Roman" w:hAnsi="Times New Roman"/>
          <w:sz w:val="24"/>
          <w:szCs w:val="24"/>
        </w:rPr>
        <w:t>13</w:t>
      </w:r>
      <w:r w:rsidR="008B6CBD" w:rsidRPr="004468B2">
        <w:rPr>
          <w:rFonts w:ascii="Times New Roman" w:hAnsi="Times New Roman"/>
          <w:sz w:val="24"/>
          <w:szCs w:val="24"/>
        </w:rPr>
        <w:t>710</w:t>
      </w:r>
    </w:p>
    <w:p w:rsidR="005F5A63" w:rsidRPr="004468B2" w:rsidRDefault="005F5A63" w:rsidP="00A4357A">
      <w:pPr>
        <w:pStyle w:val="NoSpacing"/>
        <w:jc w:val="both"/>
        <w:rPr>
          <w:rFonts w:ascii="Times New Roman" w:hAnsi="Times New Roman"/>
          <w:sz w:val="24"/>
          <w:szCs w:val="24"/>
        </w:rPr>
      </w:pPr>
    </w:p>
    <w:p w:rsidR="00A4357A" w:rsidRPr="004468B2" w:rsidRDefault="00A4357A" w:rsidP="00A4357A">
      <w:pPr>
        <w:pStyle w:val="NoSpacing"/>
        <w:jc w:val="both"/>
        <w:rPr>
          <w:rFonts w:ascii="Times New Roman" w:hAnsi="Times New Roman"/>
          <w:sz w:val="24"/>
          <w:szCs w:val="24"/>
        </w:rPr>
      </w:pPr>
      <w:r w:rsidRPr="004468B2">
        <w:rPr>
          <w:rFonts w:ascii="Times New Roman" w:hAnsi="Times New Roman"/>
          <w:sz w:val="24"/>
          <w:szCs w:val="24"/>
        </w:rPr>
        <w:t>I.Mača</w:t>
      </w:r>
    </w:p>
    <w:p w:rsidR="00A4357A" w:rsidRPr="004468B2" w:rsidRDefault="00A4357A" w:rsidP="00E47152">
      <w:pPr>
        <w:pStyle w:val="NoSpacing"/>
        <w:jc w:val="both"/>
        <w:rPr>
          <w:rFonts w:ascii="Times New Roman" w:hAnsi="Times New Roman"/>
          <w:sz w:val="24"/>
          <w:szCs w:val="24"/>
        </w:rPr>
      </w:pPr>
      <w:r w:rsidRPr="004468B2">
        <w:rPr>
          <w:rFonts w:ascii="Times New Roman" w:hAnsi="Times New Roman"/>
          <w:sz w:val="24"/>
          <w:szCs w:val="24"/>
        </w:rPr>
        <w:t xml:space="preserve">67876117, </w:t>
      </w:r>
      <w:hyperlink r:id="rId17" w:history="1">
        <w:r w:rsidRPr="004468B2">
          <w:rPr>
            <w:rStyle w:val="Hyperlink"/>
            <w:rFonts w:ascii="Times New Roman" w:hAnsi="Times New Roman"/>
            <w:color w:val="auto"/>
            <w:sz w:val="24"/>
            <w:szCs w:val="24"/>
            <w:u w:val="none"/>
          </w:rPr>
          <w:t>Inguna.Maca@vm.gov.lv</w:t>
        </w:r>
      </w:hyperlink>
    </w:p>
    <w:p w:rsidR="002349BB" w:rsidRPr="004468B2" w:rsidRDefault="002349BB" w:rsidP="00E47152">
      <w:pPr>
        <w:pStyle w:val="NoSpacing"/>
        <w:jc w:val="both"/>
        <w:rPr>
          <w:rFonts w:ascii="Times New Roman" w:hAnsi="Times New Roman"/>
          <w:sz w:val="24"/>
          <w:szCs w:val="24"/>
        </w:rPr>
      </w:pPr>
      <w:r w:rsidRPr="004468B2">
        <w:rPr>
          <w:rFonts w:ascii="Times New Roman" w:hAnsi="Times New Roman"/>
          <w:sz w:val="24"/>
          <w:szCs w:val="24"/>
        </w:rPr>
        <w:t>S.Riekstiņa</w:t>
      </w:r>
    </w:p>
    <w:p w:rsidR="002349BB" w:rsidRPr="004468B2" w:rsidRDefault="002349BB" w:rsidP="00E47152">
      <w:pPr>
        <w:pStyle w:val="NoSpacing"/>
        <w:jc w:val="both"/>
        <w:rPr>
          <w:rFonts w:ascii="Times New Roman" w:hAnsi="Times New Roman"/>
          <w:sz w:val="24"/>
          <w:szCs w:val="24"/>
        </w:rPr>
      </w:pPr>
      <w:r w:rsidRPr="004468B2">
        <w:rPr>
          <w:rFonts w:ascii="Times New Roman" w:hAnsi="Times New Roman"/>
          <w:sz w:val="24"/>
          <w:szCs w:val="24"/>
        </w:rPr>
        <w:t xml:space="preserve">67876117, </w:t>
      </w:r>
      <w:hyperlink r:id="rId18" w:history="1">
        <w:r w:rsidR="00660339" w:rsidRPr="004468B2">
          <w:rPr>
            <w:rStyle w:val="Hyperlink"/>
            <w:rFonts w:ascii="Times New Roman" w:hAnsi="Times New Roman"/>
            <w:color w:val="auto"/>
            <w:sz w:val="24"/>
            <w:szCs w:val="24"/>
            <w:u w:val="none"/>
          </w:rPr>
          <w:t>Silvija.Riekstina@vm.gov.lv</w:t>
        </w:r>
      </w:hyperlink>
    </w:p>
    <w:p w:rsidR="00660339" w:rsidRPr="004468B2" w:rsidRDefault="00660339" w:rsidP="00660339">
      <w:pPr>
        <w:pStyle w:val="NoSpacing"/>
        <w:jc w:val="both"/>
        <w:rPr>
          <w:rFonts w:ascii="Times New Roman" w:hAnsi="Times New Roman"/>
          <w:noProof/>
          <w:sz w:val="24"/>
          <w:szCs w:val="24"/>
        </w:rPr>
      </w:pPr>
      <w:r w:rsidRPr="004468B2">
        <w:rPr>
          <w:rFonts w:ascii="Times New Roman" w:hAnsi="Times New Roman"/>
          <w:noProof/>
          <w:sz w:val="24"/>
          <w:szCs w:val="24"/>
        </w:rPr>
        <w:t>V.Skudra</w:t>
      </w:r>
    </w:p>
    <w:p w:rsidR="00DA1D5F" w:rsidRPr="004468B2" w:rsidRDefault="00660339">
      <w:pPr>
        <w:pStyle w:val="NoSpacing"/>
        <w:jc w:val="both"/>
        <w:rPr>
          <w:rFonts w:ascii="Times New Roman" w:hAnsi="Times New Roman"/>
          <w:noProof/>
          <w:sz w:val="24"/>
          <w:szCs w:val="24"/>
        </w:rPr>
      </w:pPr>
      <w:r w:rsidRPr="004468B2">
        <w:rPr>
          <w:rFonts w:ascii="Times New Roman" w:hAnsi="Times New Roman"/>
          <w:noProof/>
          <w:sz w:val="24"/>
          <w:szCs w:val="24"/>
        </w:rPr>
        <w:t xml:space="preserve">67876038, </w:t>
      </w:r>
      <w:hyperlink r:id="rId19" w:history="1">
        <w:r w:rsidRPr="004468B2">
          <w:rPr>
            <w:rStyle w:val="Hyperlink"/>
            <w:rFonts w:ascii="Times New Roman" w:hAnsi="Times New Roman"/>
            <w:noProof/>
            <w:color w:val="auto"/>
            <w:sz w:val="24"/>
            <w:szCs w:val="24"/>
            <w:u w:val="none"/>
          </w:rPr>
          <w:t>Vesma.Skudra@vm.gov.lv</w:t>
        </w:r>
      </w:hyperlink>
    </w:p>
    <w:sectPr w:rsidR="00DA1D5F" w:rsidRPr="004468B2" w:rsidSect="00722013">
      <w:headerReference w:type="default" r:id="rId20"/>
      <w:footerReference w:type="default" r:id="rId21"/>
      <w:footerReference w:type="first" r:id="rId22"/>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61" w:rsidRDefault="00AA5B61" w:rsidP="00CB2893">
      <w:r>
        <w:separator/>
      </w:r>
    </w:p>
  </w:endnote>
  <w:endnote w:type="continuationSeparator" w:id="0">
    <w:p w:rsidR="00AA5B61" w:rsidRDefault="00AA5B61"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Pr="00A559B1" w:rsidRDefault="008B6CBD" w:rsidP="00B47DC5">
    <w:pPr>
      <w:pStyle w:val="Footer"/>
      <w:jc w:val="both"/>
      <w:rPr>
        <w:lang w:val="lv-LV"/>
      </w:rPr>
    </w:pPr>
    <w:r>
      <w:rPr>
        <w:lang w:val="lv-LV"/>
      </w:rPr>
      <w:t>VMAnot_25</w:t>
    </w:r>
    <w:r w:rsidR="00AA5B61">
      <w:rPr>
        <w:lang w:val="lv-LV"/>
      </w:rPr>
      <w:t>07</w:t>
    </w:r>
    <w:r w:rsidR="00AA5B61" w:rsidRPr="00A559B1">
      <w:rPr>
        <w:lang w:val="lv-LV"/>
      </w:rPr>
      <w:t>13_</w:t>
    </w:r>
    <w:r w:rsidR="00AA5B61">
      <w:rPr>
        <w:lang w:val="lv-LV"/>
      </w:rPr>
      <w:t>VSS364</w:t>
    </w:r>
    <w:r w:rsidR="00AA5B61" w:rsidRPr="00A559B1">
      <w:rPr>
        <w:lang w:val="lv-LV"/>
      </w:rPr>
      <w:t>; Ministru kabineta noteikumu projekts ”Grozījumi Ministru kabineta 2007.gada 26.jūnija noteikumos Nr.416 ”Zāļu izplatīšanas un kvalitātes kontroles kārtība””</w:t>
    </w:r>
  </w:p>
  <w:p w:rsidR="00AA5B61" w:rsidRPr="00A559B1" w:rsidRDefault="00AA5B61" w:rsidP="00B47DC5">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Pr="005A3520" w:rsidRDefault="008B6CBD" w:rsidP="00950477">
    <w:pPr>
      <w:pStyle w:val="Footer"/>
      <w:jc w:val="both"/>
      <w:rPr>
        <w:lang w:val="lv-LV"/>
      </w:rPr>
    </w:pPr>
    <w:r>
      <w:rPr>
        <w:lang w:val="lv-LV"/>
      </w:rPr>
      <w:t>VMAnot_25</w:t>
    </w:r>
    <w:r w:rsidR="00AA5B61">
      <w:rPr>
        <w:lang w:val="lv-LV"/>
      </w:rPr>
      <w:t>07</w:t>
    </w:r>
    <w:r w:rsidR="00AA5B61" w:rsidRPr="005A3520">
      <w:rPr>
        <w:lang w:val="lv-LV"/>
      </w:rPr>
      <w:t>13_VSS364; Ministru kabineta noteikumu projekts ”Grozījumi Ministru kabineta 2007.gada 26.jūnija noteikumos Nr.416 ”Zāļu izplatīšanas un kvalitātes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61" w:rsidRDefault="00AA5B61" w:rsidP="00CB2893">
      <w:r>
        <w:separator/>
      </w:r>
    </w:p>
  </w:footnote>
  <w:footnote w:type="continuationSeparator" w:id="0">
    <w:p w:rsidR="00AA5B61" w:rsidRDefault="00AA5B61"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FF25D9">
    <w:pPr>
      <w:pStyle w:val="Header"/>
      <w:jc w:val="center"/>
    </w:pPr>
    <w:fldSimple w:instr=" PAGE   \* MERGEFORMAT ">
      <w:r w:rsidR="00A674D9">
        <w:rPr>
          <w:noProof/>
        </w:rPr>
        <w:t>57</w:t>
      </w:r>
    </w:fldSimple>
  </w:p>
  <w:p w:rsidR="00AA5B61" w:rsidRDefault="00AA5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9"/>
    <w:multiLevelType w:val="hybridMultilevel"/>
    <w:tmpl w:val="518CEA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C7FD4"/>
    <w:multiLevelType w:val="hybridMultilevel"/>
    <w:tmpl w:val="99027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D12F72"/>
    <w:multiLevelType w:val="hybridMultilevel"/>
    <w:tmpl w:val="5D809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406F7D"/>
    <w:multiLevelType w:val="hybridMultilevel"/>
    <w:tmpl w:val="2E18954A"/>
    <w:lvl w:ilvl="0" w:tplc="72E8C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B0E03"/>
    <w:multiLevelType w:val="hybridMultilevel"/>
    <w:tmpl w:val="9B78E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391153"/>
    <w:multiLevelType w:val="hybridMultilevel"/>
    <w:tmpl w:val="AC082656"/>
    <w:lvl w:ilvl="0" w:tplc="75A010B0">
      <w:start w:val="1"/>
      <w:numFmt w:val="lowerLetter"/>
      <w:lvlText w:val="%1)"/>
      <w:lvlJc w:val="left"/>
      <w:pPr>
        <w:ind w:left="720" w:hanging="360"/>
      </w:pPr>
      <w:rPr>
        <w:rFonts w:hint="default"/>
        <w:color w:val="333333"/>
        <w:sz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F376114"/>
    <w:multiLevelType w:val="hybridMultilevel"/>
    <w:tmpl w:val="2938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B5CD7"/>
    <w:multiLevelType w:val="hybridMultilevel"/>
    <w:tmpl w:val="1A9C5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49810EFF"/>
    <w:multiLevelType w:val="hybridMultilevel"/>
    <w:tmpl w:val="6D5277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F20982"/>
    <w:multiLevelType w:val="hybridMultilevel"/>
    <w:tmpl w:val="3AA891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C0550C"/>
    <w:multiLevelType w:val="hybridMultilevel"/>
    <w:tmpl w:val="A7AE36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E54A20"/>
    <w:multiLevelType w:val="hybridMultilevel"/>
    <w:tmpl w:val="3812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6"/>
  </w:num>
  <w:num w:numId="5">
    <w:abstractNumId w:val="12"/>
  </w:num>
  <w:num w:numId="6">
    <w:abstractNumId w:val="8"/>
  </w:num>
  <w:num w:numId="7">
    <w:abstractNumId w:val="15"/>
  </w:num>
  <w:num w:numId="8">
    <w:abstractNumId w:val="7"/>
  </w:num>
  <w:num w:numId="9">
    <w:abstractNumId w:val="10"/>
  </w:num>
  <w:num w:numId="10">
    <w:abstractNumId w:val="13"/>
  </w:num>
  <w:num w:numId="11">
    <w:abstractNumId w:val="5"/>
  </w:num>
  <w:num w:numId="12">
    <w:abstractNumId w:val="1"/>
  </w:num>
  <w:num w:numId="13">
    <w:abstractNumId w:val="3"/>
  </w:num>
  <w:num w:numId="14">
    <w:abstractNumId w:val="14"/>
  </w:num>
  <w:num w:numId="15">
    <w:abstractNumId w:val="0"/>
  </w:num>
  <w:num w:numId="16">
    <w:abstractNumId w:val="9"/>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806"/>
    <w:rsid w:val="00001D79"/>
    <w:rsid w:val="00001E9A"/>
    <w:rsid w:val="00001EF2"/>
    <w:rsid w:val="0000228C"/>
    <w:rsid w:val="00002559"/>
    <w:rsid w:val="000027A7"/>
    <w:rsid w:val="00003487"/>
    <w:rsid w:val="00003659"/>
    <w:rsid w:val="00003C89"/>
    <w:rsid w:val="00005208"/>
    <w:rsid w:val="0000613D"/>
    <w:rsid w:val="00006E22"/>
    <w:rsid w:val="0000718E"/>
    <w:rsid w:val="00007FAA"/>
    <w:rsid w:val="00010861"/>
    <w:rsid w:val="00011558"/>
    <w:rsid w:val="000117F2"/>
    <w:rsid w:val="000127B3"/>
    <w:rsid w:val="00012BFE"/>
    <w:rsid w:val="00012FAB"/>
    <w:rsid w:val="00012FFB"/>
    <w:rsid w:val="00013BD0"/>
    <w:rsid w:val="00015256"/>
    <w:rsid w:val="000155B8"/>
    <w:rsid w:val="00015964"/>
    <w:rsid w:val="00016CD7"/>
    <w:rsid w:val="00016ECD"/>
    <w:rsid w:val="0002034A"/>
    <w:rsid w:val="00020485"/>
    <w:rsid w:val="00020906"/>
    <w:rsid w:val="00020A20"/>
    <w:rsid w:val="000213A2"/>
    <w:rsid w:val="00021C8F"/>
    <w:rsid w:val="00022C05"/>
    <w:rsid w:val="00023126"/>
    <w:rsid w:val="00023CF5"/>
    <w:rsid w:val="00023EB6"/>
    <w:rsid w:val="0002589B"/>
    <w:rsid w:val="000258B6"/>
    <w:rsid w:val="00027257"/>
    <w:rsid w:val="00027846"/>
    <w:rsid w:val="00027D57"/>
    <w:rsid w:val="00030EEF"/>
    <w:rsid w:val="0003109E"/>
    <w:rsid w:val="00031188"/>
    <w:rsid w:val="0003155C"/>
    <w:rsid w:val="00032BCC"/>
    <w:rsid w:val="00035CEA"/>
    <w:rsid w:val="00036198"/>
    <w:rsid w:val="000362FE"/>
    <w:rsid w:val="000364FB"/>
    <w:rsid w:val="000367B6"/>
    <w:rsid w:val="000404ED"/>
    <w:rsid w:val="0004227C"/>
    <w:rsid w:val="0004244B"/>
    <w:rsid w:val="000424E6"/>
    <w:rsid w:val="00042608"/>
    <w:rsid w:val="00044972"/>
    <w:rsid w:val="00046C3E"/>
    <w:rsid w:val="000474E0"/>
    <w:rsid w:val="0004750B"/>
    <w:rsid w:val="00047C33"/>
    <w:rsid w:val="00050905"/>
    <w:rsid w:val="000525F8"/>
    <w:rsid w:val="00052ABA"/>
    <w:rsid w:val="00052C5D"/>
    <w:rsid w:val="000535C7"/>
    <w:rsid w:val="000537FB"/>
    <w:rsid w:val="000538E3"/>
    <w:rsid w:val="0005425A"/>
    <w:rsid w:val="000551ED"/>
    <w:rsid w:val="0005624A"/>
    <w:rsid w:val="000601B5"/>
    <w:rsid w:val="000616E4"/>
    <w:rsid w:val="00061C6C"/>
    <w:rsid w:val="000639A9"/>
    <w:rsid w:val="000639C0"/>
    <w:rsid w:val="0006439A"/>
    <w:rsid w:val="00064E34"/>
    <w:rsid w:val="000676C0"/>
    <w:rsid w:val="00070972"/>
    <w:rsid w:val="00070AAB"/>
    <w:rsid w:val="00070C8F"/>
    <w:rsid w:val="00071924"/>
    <w:rsid w:val="00072A2E"/>
    <w:rsid w:val="00072EAE"/>
    <w:rsid w:val="00073417"/>
    <w:rsid w:val="0007341A"/>
    <w:rsid w:val="0007480F"/>
    <w:rsid w:val="00074FDB"/>
    <w:rsid w:val="0007516E"/>
    <w:rsid w:val="00075530"/>
    <w:rsid w:val="00075CB7"/>
    <w:rsid w:val="00077473"/>
    <w:rsid w:val="0007751C"/>
    <w:rsid w:val="00081194"/>
    <w:rsid w:val="0008146C"/>
    <w:rsid w:val="0008348C"/>
    <w:rsid w:val="00083B1E"/>
    <w:rsid w:val="00083E00"/>
    <w:rsid w:val="000843C4"/>
    <w:rsid w:val="000846B6"/>
    <w:rsid w:val="00085B87"/>
    <w:rsid w:val="00085FFD"/>
    <w:rsid w:val="000863BB"/>
    <w:rsid w:val="00086975"/>
    <w:rsid w:val="00086DC5"/>
    <w:rsid w:val="00087FA1"/>
    <w:rsid w:val="00092538"/>
    <w:rsid w:val="000931C2"/>
    <w:rsid w:val="00096225"/>
    <w:rsid w:val="00096BF0"/>
    <w:rsid w:val="00096C3F"/>
    <w:rsid w:val="000A015C"/>
    <w:rsid w:val="000A075F"/>
    <w:rsid w:val="000A0FCE"/>
    <w:rsid w:val="000A1209"/>
    <w:rsid w:val="000A16CA"/>
    <w:rsid w:val="000A19B1"/>
    <w:rsid w:val="000A3086"/>
    <w:rsid w:val="000A3C2E"/>
    <w:rsid w:val="000A58BA"/>
    <w:rsid w:val="000A614A"/>
    <w:rsid w:val="000A66DA"/>
    <w:rsid w:val="000A6C30"/>
    <w:rsid w:val="000B0AC6"/>
    <w:rsid w:val="000B251B"/>
    <w:rsid w:val="000B253B"/>
    <w:rsid w:val="000B3BE4"/>
    <w:rsid w:val="000B3DD2"/>
    <w:rsid w:val="000B3FB7"/>
    <w:rsid w:val="000B4A2A"/>
    <w:rsid w:val="000B4DC9"/>
    <w:rsid w:val="000B6BA6"/>
    <w:rsid w:val="000B725F"/>
    <w:rsid w:val="000B778C"/>
    <w:rsid w:val="000B7AA0"/>
    <w:rsid w:val="000C03F3"/>
    <w:rsid w:val="000C0FC9"/>
    <w:rsid w:val="000C2321"/>
    <w:rsid w:val="000C259E"/>
    <w:rsid w:val="000C32AD"/>
    <w:rsid w:val="000C358D"/>
    <w:rsid w:val="000C4733"/>
    <w:rsid w:val="000C4A28"/>
    <w:rsid w:val="000C4E9F"/>
    <w:rsid w:val="000C50A4"/>
    <w:rsid w:val="000C5484"/>
    <w:rsid w:val="000C5C8F"/>
    <w:rsid w:val="000C61FD"/>
    <w:rsid w:val="000C73FC"/>
    <w:rsid w:val="000D0EF3"/>
    <w:rsid w:val="000D142E"/>
    <w:rsid w:val="000D24D0"/>
    <w:rsid w:val="000D2653"/>
    <w:rsid w:val="000D30C8"/>
    <w:rsid w:val="000D35D0"/>
    <w:rsid w:val="000D3F72"/>
    <w:rsid w:val="000D6996"/>
    <w:rsid w:val="000D79E9"/>
    <w:rsid w:val="000D7E97"/>
    <w:rsid w:val="000E0ECE"/>
    <w:rsid w:val="000E128E"/>
    <w:rsid w:val="000E1F01"/>
    <w:rsid w:val="000E34DE"/>
    <w:rsid w:val="000E44C0"/>
    <w:rsid w:val="000E4C59"/>
    <w:rsid w:val="000E4EF6"/>
    <w:rsid w:val="000E5134"/>
    <w:rsid w:val="000E5623"/>
    <w:rsid w:val="000E5642"/>
    <w:rsid w:val="000E5A1E"/>
    <w:rsid w:val="000E6DC8"/>
    <w:rsid w:val="000E6FF6"/>
    <w:rsid w:val="000E7116"/>
    <w:rsid w:val="000F04E4"/>
    <w:rsid w:val="000F0872"/>
    <w:rsid w:val="000F12D6"/>
    <w:rsid w:val="000F1993"/>
    <w:rsid w:val="000F1E84"/>
    <w:rsid w:val="000F215C"/>
    <w:rsid w:val="000F248E"/>
    <w:rsid w:val="000F25E3"/>
    <w:rsid w:val="000F4743"/>
    <w:rsid w:val="000F61F2"/>
    <w:rsid w:val="000F63CB"/>
    <w:rsid w:val="000F67D9"/>
    <w:rsid w:val="000F73C3"/>
    <w:rsid w:val="000F7478"/>
    <w:rsid w:val="000F7A2D"/>
    <w:rsid w:val="0010123C"/>
    <w:rsid w:val="0010193C"/>
    <w:rsid w:val="0010348D"/>
    <w:rsid w:val="001034FD"/>
    <w:rsid w:val="00103C93"/>
    <w:rsid w:val="00103F60"/>
    <w:rsid w:val="0010475B"/>
    <w:rsid w:val="00106744"/>
    <w:rsid w:val="00106B6D"/>
    <w:rsid w:val="00106E49"/>
    <w:rsid w:val="0011015E"/>
    <w:rsid w:val="00110A3F"/>
    <w:rsid w:val="001113B6"/>
    <w:rsid w:val="00111DD7"/>
    <w:rsid w:val="001129C8"/>
    <w:rsid w:val="0011592A"/>
    <w:rsid w:val="00116331"/>
    <w:rsid w:val="0011644F"/>
    <w:rsid w:val="001176B2"/>
    <w:rsid w:val="0012073D"/>
    <w:rsid w:val="00120CD4"/>
    <w:rsid w:val="00120F93"/>
    <w:rsid w:val="00123D54"/>
    <w:rsid w:val="00123FBC"/>
    <w:rsid w:val="00124208"/>
    <w:rsid w:val="00124AC5"/>
    <w:rsid w:val="001252C4"/>
    <w:rsid w:val="00125BD1"/>
    <w:rsid w:val="0012667B"/>
    <w:rsid w:val="00131F58"/>
    <w:rsid w:val="001336D0"/>
    <w:rsid w:val="00133F2F"/>
    <w:rsid w:val="00135123"/>
    <w:rsid w:val="001356D2"/>
    <w:rsid w:val="00135E59"/>
    <w:rsid w:val="001360E6"/>
    <w:rsid w:val="00136DDE"/>
    <w:rsid w:val="00137E23"/>
    <w:rsid w:val="00141217"/>
    <w:rsid w:val="00141EA5"/>
    <w:rsid w:val="0014384D"/>
    <w:rsid w:val="001444FF"/>
    <w:rsid w:val="001445B9"/>
    <w:rsid w:val="001448BC"/>
    <w:rsid w:val="00144DB3"/>
    <w:rsid w:val="00146FA1"/>
    <w:rsid w:val="00147C7C"/>
    <w:rsid w:val="001512CE"/>
    <w:rsid w:val="001525F6"/>
    <w:rsid w:val="00153693"/>
    <w:rsid w:val="00153E45"/>
    <w:rsid w:val="00155AC5"/>
    <w:rsid w:val="00155B54"/>
    <w:rsid w:val="00155DB0"/>
    <w:rsid w:val="00156061"/>
    <w:rsid w:val="001609B9"/>
    <w:rsid w:val="001615FD"/>
    <w:rsid w:val="0016272A"/>
    <w:rsid w:val="0016281F"/>
    <w:rsid w:val="001630A1"/>
    <w:rsid w:val="001648A7"/>
    <w:rsid w:val="00164DFE"/>
    <w:rsid w:val="00165216"/>
    <w:rsid w:val="00165849"/>
    <w:rsid w:val="0017094D"/>
    <w:rsid w:val="00170B67"/>
    <w:rsid w:val="00171CBB"/>
    <w:rsid w:val="00171E86"/>
    <w:rsid w:val="00172B60"/>
    <w:rsid w:val="0017318A"/>
    <w:rsid w:val="00173778"/>
    <w:rsid w:val="00173792"/>
    <w:rsid w:val="00173B68"/>
    <w:rsid w:val="00174C6B"/>
    <w:rsid w:val="00174EE9"/>
    <w:rsid w:val="0017659B"/>
    <w:rsid w:val="00177807"/>
    <w:rsid w:val="0018103F"/>
    <w:rsid w:val="00181FD3"/>
    <w:rsid w:val="00182D52"/>
    <w:rsid w:val="00183317"/>
    <w:rsid w:val="00183A10"/>
    <w:rsid w:val="001844D0"/>
    <w:rsid w:val="00185702"/>
    <w:rsid w:val="00185D59"/>
    <w:rsid w:val="0018735F"/>
    <w:rsid w:val="00187F32"/>
    <w:rsid w:val="00190A0D"/>
    <w:rsid w:val="00191E34"/>
    <w:rsid w:val="001926F4"/>
    <w:rsid w:val="00192B03"/>
    <w:rsid w:val="001934B2"/>
    <w:rsid w:val="00193809"/>
    <w:rsid w:val="00193D34"/>
    <w:rsid w:val="00196C13"/>
    <w:rsid w:val="00197301"/>
    <w:rsid w:val="00197A5E"/>
    <w:rsid w:val="00197E79"/>
    <w:rsid w:val="001A0AA6"/>
    <w:rsid w:val="001A25F8"/>
    <w:rsid w:val="001A25FA"/>
    <w:rsid w:val="001A4B0C"/>
    <w:rsid w:val="001A59B1"/>
    <w:rsid w:val="001A5E30"/>
    <w:rsid w:val="001A6C3F"/>
    <w:rsid w:val="001A7345"/>
    <w:rsid w:val="001A77B7"/>
    <w:rsid w:val="001A7FB2"/>
    <w:rsid w:val="001B02DD"/>
    <w:rsid w:val="001B361C"/>
    <w:rsid w:val="001B45AA"/>
    <w:rsid w:val="001B48EB"/>
    <w:rsid w:val="001B4AD9"/>
    <w:rsid w:val="001B6625"/>
    <w:rsid w:val="001B685D"/>
    <w:rsid w:val="001B6B99"/>
    <w:rsid w:val="001B7B62"/>
    <w:rsid w:val="001C0906"/>
    <w:rsid w:val="001C1FAC"/>
    <w:rsid w:val="001C2D8D"/>
    <w:rsid w:val="001C2FF0"/>
    <w:rsid w:val="001C3035"/>
    <w:rsid w:val="001C32A5"/>
    <w:rsid w:val="001C33F8"/>
    <w:rsid w:val="001C3F6E"/>
    <w:rsid w:val="001C4205"/>
    <w:rsid w:val="001C6B9D"/>
    <w:rsid w:val="001D0F6A"/>
    <w:rsid w:val="001D10C6"/>
    <w:rsid w:val="001D1743"/>
    <w:rsid w:val="001D269C"/>
    <w:rsid w:val="001D273C"/>
    <w:rsid w:val="001D3896"/>
    <w:rsid w:val="001D3FAB"/>
    <w:rsid w:val="001D5313"/>
    <w:rsid w:val="001D722E"/>
    <w:rsid w:val="001E080D"/>
    <w:rsid w:val="001E0B9E"/>
    <w:rsid w:val="001E1CD7"/>
    <w:rsid w:val="001E3D9E"/>
    <w:rsid w:val="001E4052"/>
    <w:rsid w:val="001E465A"/>
    <w:rsid w:val="001E4D7C"/>
    <w:rsid w:val="001E68F7"/>
    <w:rsid w:val="001E690E"/>
    <w:rsid w:val="001F155D"/>
    <w:rsid w:val="001F2135"/>
    <w:rsid w:val="001F324C"/>
    <w:rsid w:val="001F378B"/>
    <w:rsid w:val="002006D2"/>
    <w:rsid w:val="0020129F"/>
    <w:rsid w:val="002012CC"/>
    <w:rsid w:val="00202829"/>
    <w:rsid w:val="0020359B"/>
    <w:rsid w:val="00203D8D"/>
    <w:rsid w:val="00203DE2"/>
    <w:rsid w:val="002051CB"/>
    <w:rsid w:val="00205255"/>
    <w:rsid w:val="00206043"/>
    <w:rsid w:val="0020692E"/>
    <w:rsid w:val="00211483"/>
    <w:rsid w:val="002117D8"/>
    <w:rsid w:val="00212275"/>
    <w:rsid w:val="00214050"/>
    <w:rsid w:val="00216C97"/>
    <w:rsid w:val="00216E7A"/>
    <w:rsid w:val="00220757"/>
    <w:rsid w:val="0022123C"/>
    <w:rsid w:val="0022124A"/>
    <w:rsid w:val="0022215C"/>
    <w:rsid w:val="002243E8"/>
    <w:rsid w:val="00224852"/>
    <w:rsid w:val="00224A40"/>
    <w:rsid w:val="00224E45"/>
    <w:rsid w:val="002269B0"/>
    <w:rsid w:val="00227CD0"/>
    <w:rsid w:val="00231BEF"/>
    <w:rsid w:val="00231C29"/>
    <w:rsid w:val="00232311"/>
    <w:rsid w:val="002329DB"/>
    <w:rsid w:val="00232B00"/>
    <w:rsid w:val="00232BD7"/>
    <w:rsid w:val="00234237"/>
    <w:rsid w:val="002349BB"/>
    <w:rsid w:val="00234D06"/>
    <w:rsid w:val="00236DF8"/>
    <w:rsid w:val="00237965"/>
    <w:rsid w:val="00237C73"/>
    <w:rsid w:val="00241184"/>
    <w:rsid w:val="00242A09"/>
    <w:rsid w:val="00243381"/>
    <w:rsid w:val="002444C1"/>
    <w:rsid w:val="00244F7E"/>
    <w:rsid w:val="00250BB5"/>
    <w:rsid w:val="002541F0"/>
    <w:rsid w:val="00254673"/>
    <w:rsid w:val="00254DB1"/>
    <w:rsid w:val="00255DCA"/>
    <w:rsid w:val="00256D42"/>
    <w:rsid w:val="002575EB"/>
    <w:rsid w:val="00257F0F"/>
    <w:rsid w:val="0026007F"/>
    <w:rsid w:val="002600AD"/>
    <w:rsid w:val="00262B67"/>
    <w:rsid w:val="0026362B"/>
    <w:rsid w:val="00264F6C"/>
    <w:rsid w:val="00265129"/>
    <w:rsid w:val="002659DE"/>
    <w:rsid w:val="00265E30"/>
    <w:rsid w:val="00266066"/>
    <w:rsid w:val="0026778F"/>
    <w:rsid w:val="00267857"/>
    <w:rsid w:val="00270413"/>
    <w:rsid w:val="00271F51"/>
    <w:rsid w:val="002720C8"/>
    <w:rsid w:val="002721FB"/>
    <w:rsid w:val="00272A73"/>
    <w:rsid w:val="00273252"/>
    <w:rsid w:val="002743AB"/>
    <w:rsid w:val="002748F4"/>
    <w:rsid w:val="00274D7B"/>
    <w:rsid w:val="00275243"/>
    <w:rsid w:val="0027638C"/>
    <w:rsid w:val="00276851"/>
    <w:rsid w:val="00276E83"/>
    <w:rsid w:val="0027718C"/>
    <w:rsid w:val="00277E4A"/>
    <w:rsid w:val="002802FA"/>
    <w:rsid w:val="00280EDB"/>
    <w:rsid w:val="002819CB"/>
    <w:rsid w:val="00281A6E"/>
    <w:rsid w:val="00281B45"/>
    <w:rsid w:val="00281DB0"/>
    <w:rsid w:val="0028304C"/>
    <w:rsid w:val="0028328F"/>
    <w:rsid w:val="0028438E"/>
    <w:rsid w:val="00284EBC"/>
    <w:rsid w:val="002858DF"/>
    <w:rsid w:val="002863C6"/>
    <w:rsid w:val="00286598"/>
    <w:rsid w:val="00286FD8"/>
    <w:rsid w:val="00290A4A"/>
    <w:rsid w:val="00291D81"/>
    <w:rsid w:val="00292E58"/>
    <w:rsid w:val="0029328D"/>
    <w:rsid w:val="00293B62"/>
    <w:rsid w:val="00294F06"/>
    <w:rsid w:val="00295843"/>
    <w:rsid w:val="002958CE"/>
    <w:rsid w:val="00295A1F"/>
    <w:rsid w:val="00295C5E"/>
    <w:rsid w:val="002975D8"/>
    <w:rsid w:val="002A00C5"/>
    <w:rsid w:val="002A14E9"/>
    <w:rsid w:val="002A161C"/>
    <w:rsid w:val="002A1BB8"/>
    <w:rsid w:val="002A25B9"/>
    <w:rsid w:val="002A2663"/>
    <w:rsid w:val="002A312F"/>
    <w:rsid w:val="002A3135"/>
    <w:rsid w:val="002A39BC"/>
    <w:rsid w:val="002A4616"/>
    <w:rsid w:val="002A60B7"/>
    <w:rsid w:val="002A64F9"/>
    <w:rsid w:val="002A7337"/>
    <w:rsid w:val="002A7636"/>
    <w:rsid w:val="002A7E62"/>
    <w:rsid w:val="002B00DD"/>
    <w:rsid w:val="002B015F"/>
    <w:rsid w:val="002B01ED"/>
    <w:rsid w:val="002B0817"/>
    <w:rsid w:val="002B2C44"/>
    <w:rsid w:val="002B2CBA"/>
    <w:rsid w:val="002B390D"/>
    <w:rsid w:val="002B405C"/>
    <w:rsid w:val="002B44EE"/>
    <w:rsid w:val="002B4575"/>
    <w:rsid w:val="002B48FE"/>
    <w:rsid w:val="002B4906"/>
    <w:rsid w:val="002B5631"/>
    <w:rsid w:val="002B588D"/>
    <w:rsid w:val="002B667F"/>
    <w:rsid w:val="002C0158"/>
    <w:rsid w:val="002C066E"/>
    <w:rsid w:val="002C09EC"/>
    <w:rsid w:val="002C139F"/>
    <w:rsid w:val="002C2789"/>
    <w:rsid w:val="002C2F8F"/>
    <w:rsid w:val="002C373D"/>
    <w:rsid w:val="002C382A"/>
    <w:rsid w:val="002C3A96"/>
    <w:rsid w:val="002C3C41"/>
    <w:rsid w:val="002C53E6"/>
    <w:rsid w:val="002C70A1"/>
    <w:rsid w:val="002D03B6"/>
    <w:rsid w:val="002D0B40"/>
    <w:rsid w:val="002D173A"/>
    <w:rsid w:val="002D211B"/>
    <w:rsid w:val="002D2BF3"/>
    <w:rsid w:val="002D2D67"/>
    <w:rsid w:val="002D2D6D"/>
    <w:rsid w:val="002D3650"/>
    <w:rsid w:val="002D3A5E"/>
    <w:rsid w:val="002D427C"/>
    <w:rsid w:val="002D4E98"/>
    <w:rsid w:val="002D5110"/>
    <w:rsid w:val="002D58D7"/>
    <w:rsid w:val="002D6B8C"/>
    <w:rsid w:val="002D6CE4"/>
    <w:rsid w:val="002D6ED5"/>
    <w:rsid w:val="002D72DE"/>
    <w:rsid w:val="002D77C3"/>
    <w:rsid w:val="002E1D0A"/>
    <w:rsid w:val="002E2A00"/>
    <w:rsid w:val="002E349A"/>
    <w:rsid w:val="002E46BA"/>
    <w:rsid w:val="002E6DA0"/>
    <w:rsid w:val="002F1031"/>
    <w:rsid w:val="002F1B5A"/>
    <w:rsid w:val="002F27CE"/>
    <w:rsid w:val="002F28E4"/>
    <w:rsid w:val="002F3755"/>
    <w:rsid w:val="002F3E4C"/>
    <w:rsid w:val="002F43EE"/>
    <w:rsid w:val="002F4BA7"/>
    <w:rsid w:val="002F58B9"/>
    <w:rsid w:val="002F5B5D"/>
    <w:rsid w:val="002F5B65"/>
    <w:rsid w:val="002F5F38"/>
    <w:rsid w:val="002F76BF"/>
    <w:rsid w:val="002F7A3A"/>
    <w:rsid w:val="0030015A"/>
    <w:rsid w:val="00300A11"/>
    <w:rsid w:val="0030227F"/>
    <w:rsid w:val="00304587"/>
    <w:rsid w:val="0030518D"/>
    <w:rsid w:val="003056C3"/>
    <w:rsid w:val="00305D7F"/>
    <w:rsid w:val="00307532"/>
    <w:rsid w:val="00310ABB"/>
    <w:rsid w:val="00310D75"/>
    <w:rsid w:val="00311781"/>
    <w:rsid w:val="00311AC2"/>
    <w:rsid w:val="00312031"/>
    <w:rsid w:val="003124A7"/>
    <w:rsid w:val="0031332A"/>
    <w:rsid w:val="0031557A"/>
    <w:rsid w:val="00315D16"/>
    <w:rsid w:val="00316543"/>
    <w:rsid w:val="0031799C"/>
    <w:rsid w:val="00320778"/>
    <w:rsid w:val="00320D27"/>
    <w:rsid w:val="00322878"/>
    <w:rsid w:val="00322A91"/>
    <w:rsid w:val="0032303C"/>
    <w:rsid w:val="003230EE"/>
    <w:rsid w:val="00323EEF"/>
    <w:rsid w:val="0032589F"/>
    <w:rsid w:val="00325E9A"/>
    <w:rsid w:val="003262F8"/>
    <w:rsid w:val="00326B7A"/>
    <w:rsid w:val="00326C6F"/>
    <w:rsid w:val="00330B4A"/>
    <w:rsid w:val="00330B8F"/>
    <w:rsid w:val="00330C77"/>
    <w:rsid w:val="00332320"/>
    <w:rsid w:val="0033252A"/>
    <w:rsid w:val="00332DC5"/>
    <w:rsid w:val="003333CB"/>
    <w:rsid w:val="00333595"/>
    <w:rsid w:val="00333A13"/>
    <w:rsid w:val="00333D26"/>
    <w:rsid w:val="00333F42"/>
    <w:rsid w:val="003341D8"/>
    <w:rsid w:val="003345FB"/>
    <w:rsid w:val="00336345"/>
    <w:rsid w:val="00336D51"/>
    <w:rsid w:val="0034089D"/>
    <w:rsid w:val="00340CF9"/>
    <w:rsid w:val="0034143D"/>
    <w:rsid w:val="0034255C"/>
    <w:rsid w:val="00342C5C"/>
    <w:rsid w:val="003431B7"/>
    <w:rsid w:val="00343D5C"/>
    <w:rsid w:val="00344414"/>
    <w:rsid w:val="00344B19"/>
    <w:rsid w:val="00344B8A"/>
    <w:rsid w:val="0034592D"/>
    <w:rsid w:val="00345DE8"/>
    <w:rsid w:val="0034672E"/>
    <w:rsid w:val="00346895"/>
    <w:rsid w:val="0034698A"/>
    <w:rsid w:val="0034760E"/>
    <w:rsid w:val="003506D2"/>
    <w:rsid w:val="00350DEA"/>
    <w:rsid w:val="00350EC6"/>
    <w:rsid w:val="00351798"/>
    <w:rsid w:val="00351843"/>
    <w:rsid w:val="00352190"/>
    <w:rsid w:val="00352639"/>
    <w:rsid w:val="00352D4F"/>
    <w:rsid w:val="00353F8D"/>
    <w:rsid w:val="00354417"/>
    <w:rsid w:val="00356B31"/>
    <w:rsid w:val="00357331"/>
    <w:rsid w:val="00357CE0"/>
    <w:rsid w:val="00360504"/>
    <w:rsid w:val="003605B6"/>
    <w:rsid w:val="00362F33"/>
    <w:rsid w:val="00363BF0"/>
    <w:rsid w:val="00365723"/>
    <w:rsid w:val="003660D1"/>
    <w:rsid w:val="00366195"/>
    <w:rsid w:val="00366A46"/>
    <w:rsid w:val="00367229"/>
    <w:rsid w:val="003708E7"/>
    <w:rsid w:val="0037090F"/>
    <w:rsid w:val="00370BF6"/>
    <w:rsid w:val="00370CEF"/>
    <w:rsid w:val="003715AE"/>
    <w:rsid w:val="00371B37"/>
    <w:rsid w:val="00371EA2"/>
    <w:rsid w:val="00372F6F"/>
    <w:rsid w:val="003732A1"/>
    <w:rsid w:val="00373595"/>
    <w:rsid w:val="00374185"/>
    <w:rsid w:val="003745DD"/>
    <w:rsid w:val="00374711"/>
    <w:rsid w:val="00374D74"/>
    <w:rsid w:val="00376763"/>
    <w:rsid w:val="0037714E"/>
    <w:rsid w:val="003777FF"/>
    <w:rsid w:val="0038016F"/>
    <w:rsid w:val="00381DA4"/>
    <w:rsid w:val="00382E29"/>
    <w:rsid w:val="00383694"/>
    <w:rsid w:val="003849A2"/>
    <w:rsid w:val="00386538"/>
    <w:rsid w:val="003867E8"/>
    <w:rsid w:val="00387698"/>
    <w:rsid w:val="00387D0E"/>
    <w:rsid w:val="00390B3E"/>
    <w:rsid w:val="00390C06"/>
    <w:rsid w:val="003918D7"/>
    <w:rsid w:val="00392359"/>
    <w:rsid w:val="003924A6"/>
    <w:rsid w:val="003930FB"/>
    <w:rsid w:val="00393342"/>
    <w:rsid w:val="00394C74"/>
    <w:rsid w:val="00395DA8"/>
    <w:rsid w:val="00396584"/>
    <w:rsid w:val="0039747A"/>
    <w:rsid w:val="00397497"/>
    <w:rsid w:val="00397498"/>
    <w:rsid w:val="0039786A"/>
    <w:rsid w:val="003A1305"/>
    <w:rsid w:val="003A1EB7"/>
    <w:rsid w:val="003A2134"/>
    <w:rsid w:val="003A34FA"/>
    <w:rsid w:val="003A3E82"/>
    <w:rsid w:val="003A4517"/>
    <w:rsid w:val="003A5C24"/>
    <w:rsid w:val="003A5F1F"/>
    <w:rsid w:val="003A60C2"/>
    <w:rsid w:val="003A65E2"/>
    <w:rsid w:val="003A6F8A"/>
    <w:rsid w:val="003A7D4F"/>
    <w:rsid w:val="003B1D2F"/>
    <w:rsid w:val="003B3939"/>
    <w:rsid w:val="003B593B"/>
    <w:rsid w:val="003B65FE"/>
    <w:rsid w:val="003B6EE2"/>
    <w:rsid w:val="003B7C58"/>
    <w:rsid w:val="003C00B6"/>
    <w:rsid w:val="003C3E55"/>
    <w:rsid w:val="003C4839"/>
    <w:rsid w:val="003C6879"/>
    <w:rsid w:val="003C70A8"/>
    <w:rsid w:val="003C70B0"/>
    <w:rsid w:val="003D0542"/>
    <w:rsid w:val="003D0645"/>
    <w:rsid w:val="003D07CE"/>
    <w:rsid w:val="003D170E"/>
    <w:rsid w:val="003D204B"/>
    <w:rsid w:val="003D2411"/>
    <w:rsid w:val="003D2614"/>
    <w:rsid w:val="003D32C7"/>
    <w:rsid w:val="003D32CF"/>
    <w:rsid w:val="003D457C"/>
    <w:rsid w:val="003D45B5"/>
    <w:rsid w:val="003D46E2"/>
    <w:rsid w:val="003D57E3"/>
    <w:rsid w:val="003D72F8"/>
    <w:rsid w:val="003E12B1"/>
    <w:rsid w:val="003E140B"/>
    <w:rsid w:val="003E2EB3"/>
    <w:rsid w:val="003E6725"/>
    <w:rsid w:val="003F010D"/>
    <w:rsid w:val="003F06B5"/>
    <w:rsid w:val="003F0C56"/>
    <w:rsid w:val="003F2433"/>
    <w:rsid w:val="003F264B"/>
    <w:rsid w:val="003F2839"/>
    <w:rsid w:val="003F3C32"/>
    <w:rsid w:val="003F4D5E"/>
    <w:rsid w:val="003F5045"/>
    <w:rsid w:val="003F50D9"/>
    <w:rsid w:val="003F5B92"/>
    <w:rsid w:val="003F6263"/>
    <w:rsid w:val="003F6D61"/>
    <w:rsid w:val="003F70F4"/>
    <w:rsid w:val="00401F09"/>
    <w:rsid w:val="00402A02"/>
    <w:rsid w:val="00403EFF"/>
    <w:rsid w:val="004050E7"/>
    <w:rsid w:val="00405444"/>
    <w:rsid w:val="004056A1"/>
    <w:rsid w:val="00405A9B"/>
    <w:rsid w:val="00405F34"/>
    <w:rsid w:val="0040694B"/>
    <w:rsid w:val="00406A87"/>
    <w:rsid w:val="004075D5"/>
    <w:rsid w:val="00407A9B"/>
    <w:rsid w:val="00410EA3"/>
    <w:rsid w:val="00410FD7"/>
    <w:rsid w:val="00411E1F"/>
    <w:rsid w:val="00411F2B"/>
    <w:rsid w:val="00412D3D"/>
    <w:rsid w:val="004134D0"/>
    <w:rsid w:val="004136CE"/>
    <w:rsid w:val="00413D49"/>
    <w:rsid w:val="0041446A"/>
    <w:rsid w:val="00414510"/>
    <w:rsid w:val="004149EC"/>
    <w:rsid w:val="00415AA1"/>
    <w:rsid w:val="00415BF5"/>
    <w:rsid w:val="004177F0"/>
    <w:rsid w:val="00417C3C"/>
    <w:rsid w:val="00422BAC"/>
    <w:rsid w:val="00422E2C"/>
    <w:rsid w:val="00424B4E"/>
    <w:rsid w:val="004251C2"/>
    <w:rsid w:val="00426F6D"/>
    <w:rsid w:val="004307EF"/>
    <w:rsid w:val="004313AB"/>
    <w:rsid w:val="00432FD5"/>
    <w:rsid w:val="00433962"/>
    <w:rsid w:val="0043489D"/>
    <w:rsid w:val="00435879"/>
    <w:rsid w:val="0043622F"/>
    <w:rsid w:val="004429A5"/>
    <w:rsid w:val="004447BA"/>
    <w:rsid w:val="0044516C"/>
    <w:rsid w:val="00445834"/>
    <w:rsid w:val="0044662B"/>
    <w:rsid w:val="004468B2"/>
    <w:rsid w:val="00447E5B"/>
    <w:rsid w:val="00451663"/>
    <w:rsid w:val="0045174B"/>
    <w:rsid w:val="00453287"/>
    <w:rsid w:val="0045352D"/>
    <w:rsid w:val="00453556"/>
    <w:rsid w:val="00453FBE"/>
    <w:rsid w:val="00454155"/>
    <w:rsid w:val="004546F7"/>
    <w:rsid w:val="00454E96"/>
    <w:rsid w:val="00455A1D"/>
    <w:rsid w:val="00456109"/>
    <w:rsid w:val="00456504"/>
    <w:rsid w:val="00456F06"/>
    <w:rsid w:val="004606BF"/>
    <w:rsid w:val="004607D9"/>
    <w:rsid w:val="0046098E"/>
    <w:rsid w:val="0046121C"/>
    <w:rsid w:val="00461300"/>
    <w:rsid w:val="00461B90"/>
    <w:rsid w:val="004621FB"/>
    <w:rsid w:val="00462A69"/>
    <w:rsid w:val="00462D24"/>
    <w:rsid w:val="00463FE8"/>
    <w:rsid w:val="00464A01"/>
    <w:rsid w:val="00464E03"/>
    <w:rsid w:val="00465C7E"/>
    <w:rsid w:val="004674DF"/>
    <w:rsid w:val="004708B9"/>
    <w:rsid w:val="004709DE"/>
    <w:rsid w:val="00470CBA"/>
    <w:rsid w:val="004712C4"/>
    <w:rsid w:val="004717E2"/>
    <w:rsid w:val="004719E3"/>
    <w:rsid w:val="00472B84"/>
    <w:rsid w:val="004745BE"/>
    <w:rsid w:val="00474B43"/>
    <w:rsid w:val="004758BA"/>
    <w:rsid w:val="004764E5"/>
    <w:rsid w:val="00476B20"/>
    <w:rsid w:val="0047771C"/>
    <w:rsid w:val="004811DA"/>
    <w:rsid w:val="00482357"/>
    <w:rsid w:val="00483A65"/>
    <w:rsid w:val="0048585D"/>
    <w:rsid w:val="00485A9E"/>
    <w:rsid w:val="0048647E"/>
    <w:rsid w:val="0048662C"/>
    <w:rsid w:val="004872B9"/>
    <w:rsid w:val="0048753A"/>
    <w:rsid w:val="00490AB2"/>
    <w:rsid w:val="00491371"/>
    <w:rsid w:val="00492670"/>
    <w:rsid w:val="00493383"/>
    <w:rsid w:val="00494804"/>
    <w:rsid w:val="00494867"/>
    <w:rsid w:val="004949CF"/>
    <w:rsid w:val="00494BD2"/>
    <w:rsid w:val="00495692"/>
    <w:rsid w:val="00495B17"/>
    <w:rsid w:val="004960AE"/>
    <w:rsid w:val="004962EC"/>
    <w:rsid w:val="004969D6"/>
    <w:rsid w:val="00496AE5"/>
    <w:rsid w:val="00496B23"/>
    <w:rsid w:val="004A0F32"/>
    <w:rsid w:val="004A13E8"/>
    <w:rsid w:val="004A19D4"/>
    <w:rsid w:val="004A1E90"/>
    <w:rsid w:val="004A245A"/>
    <w:rsid w:val="004A2E5D"/>
    <w:rsid w:val="004A2F48"/>
    <w:rsid w:val="004A3CD2"/>
    <w:rsid w:val="004A4330"/>
    <w:rsid w:val="004A460D"/>
    <w:rsid w:val="004A5587"/>
    <w:rsid w:val="004A5AF2"/>
    <w:rsid w:val="004A5CA6"/>
    <w:rsid w:val="004A64D2"/>
    <w:rsid w:val="004A7F09"/>
    <w:rsid w:val="004B012E"/>
    <w:rsid w:val="004B04C2"/>
    <w:rsid w:val="004B07C3"/>
    <w:rsid w:val="004B32E6"/>
    <w:rsid w:val="004B4BD0"/>
    <w:rsid w:val="004B531A"/>
    <w:rsid w:val="004B5969"/>
    <w:rsid w:val="004B6B48"/>
    <w:rsid w:val="004B6E15"/>
    <w:rsid w:val="004B70EC"/>
    <w:rsid w:val="004B749A"/>
    <w:rsid w:val="004C06C4"/>
    <w:rsid w:val="004C0A2C"/>
    <w:rsid w:val="004C1099"/>
    <w:rsid w:val="004C229F"/>
    <w:rsid w:val="004C3626"/>
    <w:rsid w:val="004C3E41"/>
    <w:rsid w:val="004C3F8F"/>
    <w:rsid w:val="004C47D0"/>
    <w:rsid w:val="004C6DFC"/>
    <w:rsid w:val="004D13C0"/>
    <w:rsid w:val="004D1468"/>
    <w:rsid w:val="004D18E1"/>
    <w:rsid w:val="004D1DF8"/>
    <w:rsid w:val="004D27D7"/>
    <w:rsid w:val="004D28FE"/>
    <w:rsid w:val="004D2CE3"/>
    <w:rsid w:val="004D4105"/>
    <w:rsid w:val="004D4234"/>
    <w:rsid w:val="004D4C52"/>
    <w:rsid w:val="004D5543"/>
    <w:rsid w:val="004D734D"/>
    <w:rsid w:val="004D7857"/>
    <w:rsid w:val="004E10BF"/>
    <w:rsid w:val="004E1F86"/>
    <w:rsid w:val="004E25CF"/>
    <w:rsid w:val="004E27E3"/>
    <w:rsid w:val="004E352C"/>
    <w:rsid w:val="004E4379"/>
    <w:rsid w:val="004E5C1C"/>
    <w:rsid w:val="004E6717"/>
    <w:rsid w:val="004E7619"/>
    <w:rsid w:val="004E788B"/>
    <w:rsid w:val="004F0C73"/>
    <w:rsid w:val="004F1832"/>
    <w:rsid w:val="004F1E47"/>
    <w:rsid w:val="004F1F32"/>
    <w:rsid w:val="004F52AE"/>
    <w:rsid w:val="004F5B55"/>
    <w:rsid w:val="004F60AF"/>
    <w:rsid w:val="004F68A6"/>
    <w:rsid w:val="004F6D1E"/>
    <w:rsid w:val="004F704C"/>
    <w:rsid w:val="004F798B"/>
    <w:rsid w:val="004F7C1B"/>
    <w:rsid w:val="00501553"/>
    <w:rsid w:val="005023BF"/>
    <w:rsid w:val="00502C7E"/>
    <w:rsid w:val="00503613"/>
    <w:rsid w:val="00503E30"/>
    <w:rsid w:val="00503EB5"/>
    <w:rsid w:val="00503FE7"/>
    <w:rsid w:val="00504E0B"/>
    <w:rsid w:val="005051C0"/>
    <w:rsid w:val="0050533C"/>
    <w:rsid w:val="0050591F"/>
    <w:rsid w:val="005062B8"/>
    <w:rsid w:val="0050659B"/>
    <w:rsid w:val="00506961"/>
    <w:rsid w:val="005076BD"/>
    <w:rsid w:val="00507C0E"/>
    <w:rsid w:val="005103EE"/>
    <w:rsid w:val="00510F92"/>
    <w:rsid w:val="00511361"/>
    <w:rsid w:val="005116DC"/>
    <w:rsid w:val="0051256F"/>
    <w:rsid w:val="00513D71"/>
    <w:rsid w:val="00513F15"/>
    <w:rsid w:val="00514B9D"/>
    <w:rsid w:val="005171FB"/>
    <w:rsid w:val="00517218"/>
    <w:rsid w:val="00517794"/>
    <w:rsid w:val="00517A11"/>
    <w:rsid w:val="00520B8E"/>
    <w:rsid w:val="00520E93"/>
    <w:rsid w:val="005224D8"/>
    <w:rsid w:val="00523F5E"/>
    <w:rsid w:val="0052471F"/>
    <w:rsid w:val="005252E8"/>
    <w:rsid w:val="00525472"/>
    <w:rsid w:val="00527AC8"/>
    <w:rsid w:val="00527F00"/>
    <w:rsid w:val="00530015"/>
    <w:rsid w:val="005306A8"/>
    <w:rsid w:val="005312BE"/>
    <w:rsid w:val="00531657"/>
    <w:rsid w:val="00533239"/>
    <w:rsid w:val="00534192"/>
    <w:rsid w:val="005350AA"/>
    <w:rsid w:val="0053563C"/>
    <w:rsid w:val="00536E90"/>
    <w:rsid w:val="00536F27"/>
    <w:rsid w:val="00537924"/>
    <w:rsid w:val="0054061F"/>
    <w:rsid w:val="005412A1"/>
    <w:rsid w:val="00541485"/>
    <w:rsid w:val="005433DD"/>
    <w:rsid w:val="00543A95"/>
    <w:rsid w:val="0054408D"/>
    <w:rsid w:val="005454A0"/>
    <w:rsid w:val="0054553E"/>
    <w:rsid w:val="00545AE4"/>
    <w:rsid w:val="00546505"/>
    <w:rsid w:val="00547553"/>
    <w:rsid w:val="00547B05"/>
    <w:rsid w:val="005506BD"/>
    <w:rsid w:val="0055247B"/>
    <w:rsid w:val="00553679"/>
    <w:rsid w:val="00553DD2"/>
    <w:rsid w:val="005541E7"/>
    <w:rsid w:val="0055429B"/>
    <w:rsid w:val="005549AE"/>
    <w:rsid w:val="00555114"/>
    <w:rsid w:val="00556AD3"/>
    <w:rsid w:val="00556D5C"/>
    <w:rsid w:val="00556EA6"/>
    <w:rsid w:val="0055743A"/>
    <w:rsid w:val="005577C6"/>
    <w:rsid w:val="0055797A"/>
    <w:rsid w:val="00560428"/>
    <w:rsid w:val="005604B1"/>
    <w:rsid w:val="00560A34"/>
    <w:rsid w:val="005618FE"/>
    <w:rsid w:val="005620B0"/>
    <w:rsid w:val="00563E81"/>
    <w:rsid w:val="005651EB"/>
    <w:rsid w:val="005655D2"/>
    <w:rsid w:val="005668F2"/>
    <w:rsid w:val="005676C9"/>
    <w:rsid w:val="00567C0E"/>
    <w:rsid w:val="00570F3B"/>
    <w:rsid w:val="00571807"/>
    <w:rsid w:val="00571846"/>
    <w:rsid w:val="00571A9B"/>
    <w:rsid w:val="00571EE5"/>
    <w:rsid w:val="00572259"/>
    <w:rsid w:val="005737B2"/>
    <w:rsid w:val="0057389D"/>
    <w:rsid w:val="00574EAE"/>
    <w:rsid w:val="00575397"/>
    <w:rsid w:val="00575E90"/>
    <w:rsid w:val="00576C1C"/>
    <w:rsid w:val="00577451"/>
    <w:rsid w:val="00577D8A"/>
    <w:rsid w:val="0058070B"/>
    <w:rsid w:val="0058620B"/>
    <w:rsid w:val="00586C6E"/>
    <w:rsid w:val="00586ECA"/>
    <w:rsid w:val="00586F05"/>
    <w:rsid w:val="0058713B"/>
    <w:rsid w:val="005871EF"/>
    <w:rsid w:val="0058744C"/>
    <w:rsid w:val="005878D7"/>
    <w:rsid w:val="005900CA"/>
    <w:rsid w:val="00590396"/>
    <w:rsid w:val="00590E04"/>
    <w:rsid w:val="00590FCC"/>
    <w:rsid w:val="00591279"/>
    <w:rsid w:val="00592143"/>
    <w:rsid w:val="005923E0"/>
    <w:rsid w:val="005925AD"/>
    <w:rsid w:val="00592697"/>
    <w:rsid w:val="00594664"/>
    <w:rsid w:val="00594BA3"/>
    <w:rsid w:val="00595A10"/>
    <w:rsid w:val="00596131"/>
    <w:rsid w:val="00596207"/>
    <w:rsid w:val="00596F38"/>
    <w:rsid w:val="005979EB"/>
    <w:rsid w:val="005A037D"/>
    <w:rsid w:val="005A08A2"/>
    <w:rsid w:val="005A2D9F"/>
    <w:rsid w:val="005A30B3"/>
    <w:rsid w:val="005A3520"/>
    <w:rsid w:val="005A36FE"/>
    <w:rsid w:val="005A381F"/>
    <w:rsid w:val="005A3B6B"/>
    <w:rsid w:val="005A4149"/>
    <w:rsid w:val="005A4E91"/>
    <w:rsid w:val="005A55B6"/>
    <w:rsid w:val="005A577B"/>
    <w:rsid w:val="005A57CE"/>
    <w:rsid w:val="005A620F"/>
    <w:rsid w:val="005A6483"/>
    <w:rsid w:val="005A6ABA"/>
    <w:rsid w:val="005B0026"/>
    <w:rsid w:val="005B0520"/>
    <w:rsid w:val="005B0C8C"/>
    <w:rsid w:val="005B0DBE"/>
    <w:rsid w:val="005B22FF"/>
    <w:rsid w:val="005B4164"/>
    <w:rsid w:val="005B4F4C"/>
    <w:rsid w:val="005B7014"/>
    <w:rsid w:val="005B7380"/>
    <w:rsid w:val="005B7C9C"/>
    <w:rsid w:val="005B7D43"/>
    <w:rsid w:val="005B7D91"/>
    <w:rsid w:val="005B7E9F"/>
    <w:rsid w:val="005B7F01"/>
    <w:rsid w:val="005C1A5C"/>
    <w:rsid w:val="005C1C77"/>
    <w:rsid w:val="005C3956"/>
    <w:rsid w:val="005C40E6"/>
    <w:rsid w:val="005C55BD"/>
    <w:rsid w:val="005C5DCD"/>
    <w:rsid w:val="005C6885"/>
    <w:rsid w:val="005C707A"/>
    <w:rsid w:val="005D2028"/>
    <w:rsid w:val="005D4010"/>
    <w:rsid w:val="005D480E"/>
    <w:rsid w:val="005D4C35"/>
    <w:rsid w:val="005D588E"/>
    <w:rsid w:val="005D5B87"/>
    <w:rsid w:val="005D5C08"/>
    <w:rsid w:val="005D641D"/>
    <w:rsid w:val="005D651E"/>
    <w:rsid w:val="005E0460"/>
    <w:rsid w:val="005E06A7"/>
    <w:rsid w:val="005E06CD"/>
    <w:rsid w:val="005E17ED"/>
    <w:rsid w:val="005E1B67"/>
    <w:rsid w:val="005E38BC"/>
    <w:rsid w:val="005E3C37"/>
    <w:rsid w:val="005E3F05"/>
    <w:rsid w:val="005E4BE0"/>
    <w:rsid w:val="005E4F9B"/>
    <w:rsid w:val="005E50F5"/>
    <w:rsid w:val="005E523D"/>
    <w:rsid w:val="005E53DD"/>
    <w:rsid w:val="005E53FB"/>
    <w:rsid w:val="005E56AB"/>
    <w:rsid w:val="005E5C8F"/>
    <w:rsid w:val="005E5E37"/>
    <w:rsid w:val="005E7E70"/>
    <w:rsid w:val="005F0D8D"/>
    <w:rsid w:val="005F102C"/>
    <w:rsid w:val="005F105D"/>
    <w:rsid w:val="005F1A36"/>
    <w:rsid w:val="005F20F1"/>
    <w:rsid w:val="005F31DB"/>
    <w:rsid w:val="005F3AD5"/>
    <w:rsid w:val="005F3DF5"/>
    <w:rsid w:val="005F4064"/>
    <w:rsid w:val="005F47A7"/>
    <w:rsid w:val="005F4F41"/>
    <w:rsid w:val="005F502F"/>
    <w:rsid w:val="005F51A4"/>
    <w:rsid w:val="005F5A63"/>
    <w:rsid w:val="005F5AC6"/>
    <w:rsid w:val="005F5FF9"/>
    <w:rsid w:val="005F626A"/>
    <w:rsid w:val="006014BC"/>
    <w:rsid w:val="0060153A"/>
    <w:rsid w:val="00601E27"/>
    <w:rsid w:val="00603C6F"/>
    <w:rsid w:val="00604748"/>
    <w:rsid w:val="006049DC"/>
    <w:rsid w:val="00604B28"/>
    <w:rsid w:val="00604FE7"/>
    <w:rsid w:val="006059EB"/>
    <w:rsid w:val="006068D2"/>
    <w:rsid w:val="00607061"/>
    <w:rsid w:val="00610B04"/>
    <w:rsid w:val="00610B7B"/>
    <w:rsid w:val="006110B4"/>
    <w:rsid w:val="00612A64"/>
    <w:rsid w:val="006134BB"/>
    <w:rsid w:val="00613A22"/>
    <w:rsid w:val="006140F4"/>
    <w:rsid w:val="00614771"/>
    <w:rsid w:val="00614C40"/>
    <w:rsid w:val="0061583A"/>
    <w:rsid w:val="00615876"/>
    <w:rsid w:val="00616C32"/>
    <w:rsid w:val="00616F34"/>
    <w:rsid w:val="0061758E"/>
    <w:rsid w:val="00617B7E"/>
    <w:rsid w:val="00617CA3"/>
    <w:rsid w:val="006202C7"/>
    <w:rsid w:val="00623DF0"/>
    <w:rsid w:val="00624B6C"/>
    <w:rsid w:val="00624D64"/>
    <w:rsid w:val="006250DD"/>
    <w:rsid w:val="006261FF"/>
    <w:rsid w:val="006266C1"/>
    <w:rsid w:val="00626EAD"/>
    <w:rsid w:val="006308D7"/>
    <w:rsid w:val="00630A2E"/>
    <w:rsid w:val="006315FF"/>
    <w:rsid w:val="006319B4"/>
    <w:rsid w:val="00631D60"/>
    <w:rsid w:val="00632C2B"/>
    <w:rsid w:val="006343A2"/>
    <w:rsid w:val="0063459B"/>
    <w:rsid w:val="006352A3"/>
    <w:rsid w:val="006359F6"/>
    <w:rsid w:val="00636FFA"/>
    <w:rsid w:val="00637474"/>
    <w:rsid w:val="006402B2"/>
    <w:rsid w:val="0064051F"/>
    <w:rsid w:val="00640B8A"/>
    <w:rsid w:val="00640D72"/>
    <w:rsid w:val="006412A2"/>
    <w:rsid w:val="00641B3B"/>
    <w:rsid w:val="00641C48"/>
    <w:rsid w:val="00641D4B"/>
    <w:rsid w:val="00643D5C"/>
    <w:rsid w:val="00644EEE"/>
    <w:rsid w:val="00645148"/>
    <w:rsid w:val="0064714F"/>
    <w:rsid w:val="006479CA"/>
    <w:rsid w:val="00647B05"/>
    <w:rsid w:val="00647DEC"/>
    <w:rsid w:val="00647FE9"/>
    <w:rsid w:val="00650317"/>
    <w:rsid w:val="00650A1B"/>
    <w:rsid w:val="0065252E"/>
    <w:rsid w:val="00652780"/>
    <w:rsid w:val="006534F1"/>
    <w:rsid w:val="0065370F"/>
    <w:rsid w:val="00653A0F"/>
    <w:rsid w:val="00653CC9"/>
    <w:rsid w:val="0065415D"/>
    <w:rsid w:val="006541EF"/>
    <w:rsid w:val="006551C1"/>
    <w:rsid w:val="00655540"/>
    <w:rsid w:val="00656F73"/>
    <w:rsid w:val="00657BE0"/>
    <w:rsid w:val="00660339"/>
    <w:rsid w:val="0066056D"/>
    <w:rsid w:val="00661AB8"/>
    <w:rsid w:val="006627AC"/>
    <w:rsid w:val="00662CDC"/>
    <w:rsid w:val="0066553F"/>
    <w:rsid w:val="006658EA"/>
    <w:rsid w:val="0066690A"/>
    <w:rsid w:val="0067020C"/>
    <w:rsid w:val="00671585"/>
    <w:rsid w:val="00671E86"/>
    <w:rsid w:val="00672CEC"/>
    <w:rsid w:val="0067328C"/>
    <w:rsid w:val="00674464"/>
    <w:rsid w:val="00674826"/>
    <w:rsid w:val="00674EA3"/>
    <w:rsid w:val="006751B5"/>
    <w:rsid w:val="006764B9"/>
    <w:rsid w:val="006823B9"/>
    <w:rsid w:val="00682CAA"/>
    <w:rsid w:val="00683136"/>
    <w:rsid w:val="00684082"/>
    <w:rsid w:val="006843F8"/>
    <w:rsid w:val="00684B98"/>
    <w:rsid w:val="006855F0"/>
    <w:rsid w:val="00686AEA"/>
    <w:rsid w:val="00690212"/>
    <w:rsid w:val="00692155"/>
    <w:rsid w:val="0069237F"/>
    <w:rsid w:val="00692624"/>
    <w:rsid w:val="00694963"/>
    <w:rsid w:val="00694EDC"/>
    <w:rsid w:val="0069529C"/>
    <w:rsid w:val="006958A3"/>
    <w:rsid w:val="00695AFC"/>
    <w:rsid w:val="00695C18"/>
    <w:rsid w:val="006A0592"/>
    <w:rsid w:val="006A0D91"/>
    <w:rsid w:val="006A0DD9"/>
    <w:rsid w:val="006A1372"/>
    <w:rsid w:val="006A1AC3"/>
    <w:rsid w:val="006A1BE2"/>
    <w:rsid w:val="006A2794"/>
    <w:rsid w:val="006A3774"/>
    <w:rsid w:val="006A3944"/>
    <w:rsid w:val="006A3AA3"/>
    <w:rsid w:val="006A3E07"/>
    <w:rsid w:val="006A40DA"/>
    <w:rsid w:val="006A43CD"/>
    <w:rsid w:val="006A5101"/>
    <w:rsid w:val="006A5F30"/>
    <w:rsid w:val="006A629D"/>
    <w:rsid w:val="006A64BB"/>
    <w:rsid w:val="006B14FA"/>
    <w:rsid w:val="006B2772"/>
    <w:rsid w:val="006B3174"/>
    <w:rsid w:val="006B404C"/>
    <w:rsid w:val="006B43F7"/>
    <w:rsid w:val="006B46F1"/>
    <w:rsid w:val="006B4FDA"/>
    <w:rsid w:val="006B52E7"/>
    <w:rsid w:val="006B7B11"/>
    <w:rsid w:val="006B7E6D"/>
    <w:rsid w:val="006C0422"/>
    <w:rsid w:val="006C052A"/>
    <w:rsid w:val="006C1229"/>
    <w:rsid w:val="006C138E"/>
    <w:rsid w:val="006C26E2"/>
    <w:rsid w:val="006C2C24"/>
    <w:rsid w:val="006C488D"/>
    <w:rsid w:val="006C4DC1"/>
    <w:rsid w:val="006C5573"/>
    <w:rsid w:val="006C7156"/>
    <w:rsid w:val="006C7175"/>
    <w:rsid w:val="006D1EF7"/>
    <w:rsid w:val="006D2340"/>
    <w:rsid w:val="006D2E59"/>
    <w:rsid w:val="006D3495"/>
    <w:rsid w:val="006D42D9"/>
    <w:rsid w:val="006D5447"/>
    <w:rsid w:val="006D5A1A"/>
    <w:rsid w:val="006D67CA"/>
    <w:rsid w:val="006E176A"/>
    <w:rsid w:val="006E1EB0"/>
    <w:rsid w:val="006E2A35"/>
    <w:rsid w:val="006E5607"/>
    <w:rsid w:val="006E676D"/>
    <w:rsid w:val="006E72EE"/>
    <w:rsid w:val="006F118E"/>
    <w:rsid w:val="006F1503"/>
    <w:rsid w:val="006F15D9"/>
    <w:rsid w:val="006F230B"/>
    <w:rsid w:val="006F33FD"/>
    <w:rsid w:val="006F355B"/>
    <w:rsid w:val="006F3CE1"/>
    <w:rsid w:val="006F50D0"/>
    <w:rsid w:val="006F536B"/>
    <w:rsid w:val="006F5C60"/>
    <w:rsid w:val="006F720C"/>
    <w:rsid w:val="0070162A"/>
    <w:rsid w:val="007021F3"/>
    <w:rsid w:val="0070262A"/>
    <w:rsid w:val="00702E6A"/>
    <w:rsid w:val="00703827"/>
    <w:rsid w:val="00705043"/>
    <w:rsid w:val="00705302"/>
    <w:rsid w:val="007057C7"/>
    <w:rsid w:val="007073D3"/>
    <w:rsid w:val="007100CA"/>
    <w:rsid w:val="00710DA7"/>
    <w:rsid w:val="007116A5"/>
    <w:rsid w:val="00711CA9"/>
    <w:rsid w:val="00712F30"/>
    <w:rsid w:val="00714689"/>
    <w:rsid w:val="007147F7"/>
    <w:rsid w:val="0071590E"/>
    <w:rsid w:val="00717303"/>
    <w:rsid w:val="0071759A"/>
    <w:rsid w:val="007211CA"/>
    <w:rsid w:val="00722013"/>
    <w:rsid w:val="00722F4C"/>
    <w:rsid w:val="00724FF0"/>
    <w:rsid w:val="00725638"/>
    <w:rsid w:val="00725834"/>
    <w:rsid w:val="00725E6A"/>
    <w:rsid w:val="007275C7"/>
    <w:rsid w:val="0073012D"/>
    <w:rsid w:val="00731092"/>
    <w:rsid w:val="007310FC"/>
    <w:rsid w:val="007323D7"/>
    <w:rsid w:val="0073285C"/>
    <w:rsid w:val="00732D7E"/>
    <w:rsid w:val="00733C13"/>
    <w:rsid w:val="007348F6"/>
    <w:rsid w:val="00736555"/>
    <w:rsid w:val="0074046D"/>
    <w:rsid w:val="00740DCB"/>
    <w:rsid w:val="00740E52"/>
    <w:rsid w:val="007414AF"/>
    <w:rsid w:val="00743F60"/>
    <w:rsid w:val="007441A3"/>
    <w:rsid w:val="0074536C"/>
    <w:rsid w:val="00745A77"/>
    <w:rsid w:val="007479B5"/>
    <w:rsid w:val="007508B5"/>
    <w:rsid w:val="00752379"/>
    <w:rsid w:val="0075287F"/>
    <w:rsid w:val="00752A04"/>
    <w:rsid w:val="0075302A"/>
    <w:rsid w:val="00753D87"/>
    <w:rsid w:val="00754720"/>
    <w:rsid w:val="007547E1"/>
    <w:rsid w:val="00760861"/>
    <w:rsid w:val="0076089D"/>
    <w:rsid w:val="007618D8"/>
    <w:rsid w:val="00761991"/>
    <w:rsid w:val="007623B4"/>
    <w:rsid w:val="00762657"/>
    <w:rsid w:val="007635A2"/>
    <w:rsid w:val="00763E00"/>
    <w:rsid w:val="00763E64"/>
    <w:rsid w:val="0076702F"/>
    <w:rsid w:val="00767CEC"/>
    <w:rsid w:val="0077048D"/>
    <w:rsid w:val="00770868"/>
    <w:rsid w:val="00770B0C"/>
    <w:rsid w:val="007716B7"/>
    <w:rsid w:val="00771EA6"/>
    <w:rsid w:val="00772762"/>
    <w:rsid w:val="00772D47"/>
    <w:rsid w:val="007738D6"/>
    <w:rsid w:val="00774171"/>
    <w:rsid w:val="007747D7"/>
    <w:rsid w:val="0077497C"/>
    <w:rsid w:val="0077570D"/>
    <w:rsid w:val="00775B93"/>
    <w:rsid w:val="00776714"/>
    <w:rsid w:val="00776771"/>
    <w:rsid w:val="007767C3"/>
    <w:rsid w:val="0078004F"/>
    <w:rsid w:val="00780341"/>
    <w:rsid w:val="0078091D"/>
    <w:rsid w:val="007814AA"/>
    <w:rsid w:val="00781587"/>
    <w:rsid w:val="00781677"/>
    <w:rsid w:val="00781ACA"/>
    <w:rsid w:val="00781BED"/>
    <w:rsid w:val="007820F0"/>
    <w:rsid w:val="00783DDF"/>
    <w:rsid w:val="00784BF3"/>
    <w:rsid w:val="00786222"/>
    <w:rsid w:val="00787BBB"/>
    <w:rsid w:val="00791F07"/>
    <w:rsid w:val="00792EB9"/>
    <w:rsid w:val="007956E9"/>
    <w:rsid w:val="0079759D"/>
    <w:rsid w:val="00797D75"/>
    <w:rsid w:val="007A0DC3"/>
    <w:rsid w:val="007A18C0"/>
    <w:rsid w:val="007A3041"/>
    <w:rsid w:val="007A3BB0"/>
    <w:rsid w:val="007A4933"/>
    <w:rsid w:val="007A5621"/>
    <w:rsid w:val="007A6CDC"/>
    <w:rsid w:val="007A7A9B"/>
    <w:rsid w:val="007B02CC"/>
    <w:rsid w:val="007B0316"/>
    <w:rsid w:val="007B0A56"/>
    <w:rsid w:val="007B1B60"/>
    <w:rsid w:val="007B2AC2"/>
    <w:rsid w:val="007B4F20"/>
    <w:rsid w:val="007B5858"/>
    <w:rsid w:val="007B6C10"/>
    <w:rsid w:val="007B7669"/>
    <w:rsid w:val="007C01EA"/>
    <w:rsid w:val="007C1123"/>
    <w:rsid w:val="007C1238"/>
    <w:rsid w:val="007C20ED"/>
    <w:rsid w:val="007C2149"/>
    <w:rsid w:val="007C250E"/>
    <w:rsid w:val="007C29CD"/>
    <w:rsid w:val="007C3EDD"/>
    <w:rsid w:val="007C45F8"/>
    <w:rsid w:val="007C4C9F"/>
    <w:rsid w:val="007C77B4"/>
    <w:rsid w:val="007C78BD"/>
    <w:rsid w:val="007C793F"/>
    <w:rsid w:val="007C7A41"/>
    <w:rsid w:val="007D15E7"/>
    <w:rsid w:val="007D1FE3"/>
    <w:rsid w:val="007D38D4"/>
    <w:rsid w:val="007D3D2F"/>
    <w:rsid w:val="007D4EB3"/>
    <w:rsid w:val="007D693A"/>
    <w:rsid w:val="007D6E20"/>
    <w:rsid w:val="007D7A99"/>
    <w:rsid w:val="007E00C5"/>
    <w:rsid w:val="007E1B16"/>
    <w:rsid w:val="007E1F4A"/>
    <w:rsid w:val="007E2C5E"/>
    <w:rsid w:val="007E40DF"/>
    <w:rsid w:val="007E47C8"/>
    <w:rsid w:val="007E5094"/>
    <w:rsid w:val="007E5631"/>
    <w:rsid w:val="007E5AB8"/>
    <w:rsid w:val="007E65E0"/>
    <w:rsid w:val="007E6947"/>
    <w:rsid w:val="007E7022"/>
    <w:rsid w:val="007E7B55"/>
    <w:rsid w:val="007F09D8"/>
    <w:rsid w:val="007F0D26"/>
    <w:rsid w:val="007F0FEC"/>
    <w:rsid w:val="007F22EF"/>
    <w:rsid w:val="007F33D2"/>
    <w:rsid w:val="007F5E24"/>
    <w:rsid w:val="007F6A28"/>
    <w:rsid w:val="007F7F3A"/>
    <w:rsid w:val="0080020F"/>
    <w:rsid w:val="0080092A"/>
    <w:rsid w:val="00800AC5"/>
    <w:rsid w:val="00801AA8"/>
    <w:rsid w:val="00801D51"/>
    <w:rsid w:val="008037C1"/>
    <w:rsid w:val="008047D0"/>
    <w:rsid w:val="008048D4"/>
    <w:rsid w:val="0080564D"/>
    <w:rsid w:val="00805A99"/>
    <w:rsid w:val="00806424"/>
    <w:rsid w:val="00807AAE"/>
    <w:rsid w:val="00807C42"/>
    <w:rsid w:val="0081028E"/>
    <w:rsid w:val="00811B9F"/>
    <w:rsid w:val="00811CEA"/>
    <w:rsid w:val="00811D1E"/>
    <w:rsid w:val="0081245E"/>
    <w:rsid w:val="00813771"/>
    <w:rsid w:val="008138FD"/>
    <w:rsid w:val="00813C19"/>
    <w:rsid w:val="00814E84"/>
    <w:rsid w:val="00815869"/>
    <w:rsid w:val="00815C89"/>
    <w:rsid w:val="008170E4"/>
    <w:rsid w:val="0081799D"/>
    <w:rsid w:val="0082128D"/>
    <w:rsid w:val="00822BEA"/>
    <w:rsid w:val="0082441D"/>
    <w:rsid w:val="008266A9"/>
    <w:rsid w:val="0082786D"/>
    <w:rsid w:val="00827D4C"/>
    <w:rsid w:val="00827DFE"/>
    <w:rsid w:val="008303C7"/>
    <w:rsid w:val="00832F5A"/>
    <w:rsid w:val="0083309E"/>
    <w:rsid w:val="008333DA"/>
    <w:rsid w:val="0083358A"/>
    <w:rsid w:val="00834CD2"/>
    <w:rsid w:val="008353D5"/>
    <w:rsid w:val="0083684F"/>
    <w:rsid w:val="00840635"/>
    <w:rsid w:val="008441D0"/>
    <w:rsid w:val="00844E3F"/>
    <w:rsid w:val="00845B87"/>
    <w:rsid w:val="00846485"/>
    <w:rsid w:val="0085061E"/>
    <w:rsid w:val="00850BEB"/>
    <w:rsid w:val="008510DE"/>
    <w:rsid w:val="00851676"/>
    <w:rsid w:val="008539EC"/>
    <w:rsid w:val="00853BC7"/>
    <w:rsid w:val="0085504F"/>
    <w:rsid w:val="00855D58"/>
    <w:rsid w:val="00855EC1"/>
    <w:rsid w:val="00856C4B"/>
    <w:rsid w:val="00857293"/>
    <w:rsid w:val="008577E0"/>
    <w:rsid w:val="008579F8"/>
    <w:rsid w:val="00860A2B"/>
    <w:rsid w:val="008615D6"/>
    <w:rsid w:val="00861984"/>
    <w:rsid w:val="00861E2A"/>
    <w:rsid w:val="00863425"/>
    <w:rsid w:val="00863730"/>
    <w:rsid w:val="00863A5E"/>
    <w:rsid w:val="008656B5"/>
    <w:rsid w:val="00865FE6"/>
    <w:rsid w:val="0086620E"/>
    <w:rsid w:val="00867421"/>
    <w:rsid w:val="0087239E"/>
    <w:rsid w:val="0087275B"/>
    <w:rsid w:val="00875C6F"/>
    <w:rsid w:val="00876159"/>
    <w:rsid w:val="0087669A"/>
    <w:rsid w:val="00880451"/>
    <w:rsid w:val="008808E0"/>
    <w:rsid w:val="0088225D"/>
    <w:rsid w:val="00882DA1"/>
    <w:rsid w:val="008833C9"/>
    <w:rsid w:val="00883668"/>
    <w:rsid w:val="00884438"/>
    <w:rsid w:val="0088589A"/>
    <w:rsid w:val="00886C79"/>
    <w:rsid w:val="00886F18"/>
    <w:rsid w:val="0089094B"/>
    <w:rsid w:val="0089306F"/>
    <w:rsid w:val="0089389A"/>
    <w:rsid w:val="00894AC7"/>
    <w:rsid w:val="00894D14"/>
    <w:rsid w:val="00895B9B"/>
    <w:rsid w:val="0089740E"/>
    <w:rsid w:val="008A1606"/>
    <w:rsid w:val="008A1754"/>
    <w:rsid w:val="008A220A"/>
    <w:rsid w:val="008A2ACA"/>
    <w:rsid w:val="008A30B2"/>
    <w:rsid w:val="008A3503"/>
    <w:rsid w:val="008A3749"/>
    <w:rsid w:val="008A59CA"/>
    <w:rsid w:val="008A5A5E"/>
    <w:rsid w:val="008A61FF"/>
    <w:rsid w:val="008A638A"/>
    <w:rsid w:val="008A70F3"/>
    <w:rsid w:val="008A75E8"/>
    <w:rsid w:val="008B060C"/>
    <w:rsid w:val="008B2AC4"/>
    <w:rsid w:val="008B361E"/>
    <w:rsid w:val="008B5090"/>
    <w:rsid w:val="008B5475"/>
    <w:rsid w:val="008B5D6E"/>
    <w:rsid w:val="008B61D9"/>
    <w:rsid w:val="008B675E"/>
    <w:rsid w:val="008B6CBD"/>
    <w:rsid w:val="008B7BB0"/>
    <w:rsid w:val="008B7DFE"/>
    <w:rsid w:val="008C27B5"/>
    <w:rsid w:val="008C2924"/>
    <w:rsid w:val="008C4545"/>
    <w:rsid w:val="008C7396"/>
    <w:rsid w:val="008D042F"/>
    <w:rsid w:val="008D080D"/>
    <w:rsid w:val="008D10FC"/>
    <w:rsid w:val="008D1A96"/>
    <w:rsid w:val="008D2603"/>
    <w:rsid w:val="008D2617"/>
    <w:rsid w:val="008D269E"/>
    <w:rsid w:val="008D2842"/>
    <w:rsid w:val="008D2EC3"/>
    <w:rsid w:val="008D338D"/>
    <w:rsid w:val="008D479C"/>
    <w:rsid w:val="008D580E"/>
    <w:rsid w:val="008D6A6E"/>
    <w:rsid w:val="008D6F79"/>
    <w:rsid w:val="008D6FDA"/>
    <w:rsid w:val="008D7B26"/>
    <w:rsid w:val="008E0F37"/>
    <w:rsid w:val="008E0FB6"/>
    <w:rsid w:val="008E1320"/>
    <w:rsid w:val="008E153A"/>
    <w:rsid w:val="008E24FC"/>
    <w:rsid w:val="008E3863"/>
    <w:rsid w:val="008E3A08"/>
    <w:rsid w:val="008E3F4D"/>
    <w:rsid w:val="008E424C"/>
    <w:rsid w:val="008E5C2A"/>
    <w:rsid w:val="008E5C4E"/>
    <w:rsid w:val="008E5D46"/>
    <w:rsid w:val="008E5D79"/>
    <w:rsid w:val="008E6944"/>
    <w:rsid w:val="008E6DC4"/>
    <w:rsid w:val="008E6DF3"/>
    <w:rsid w:val="008F0CCD"/>
    <w:rsid w:val="008F235D"/>
    <w:rsid w:val="008F2721"/>
    <w:rsid w:val="008F2C67"/>
    <w:rsid w:val="008F5F9E"/>
    <w:rsid w:val="008F7702"/>
    <w:rsid w:val="009009D2"/>
    <w:rsid w:val="00900E7C"/>
    <w:rsid w:val="0090141C"/>
    <w:rsid w:val="00901A8F"/>
    <w:rsid w:val="00902066"/>
    <w:rsid w:val="00902168"/>
    <w:rsid w:val="0090265A"/>
    <w:rsid w:val="0090424D"/>
    <w:rsid w:val="009049AE"/>
    <w:rsid w:val="009051B1"/>
    <w:rsid w:val="009052B2"/>
    <w:rsid w:val="00905698"/>
    <w:rsid w:val="00906903"/>
    <w:rsid w:val="00907AD4"/>
    <w:rsid w:val="00907AFE"/>
    <w:rsid w:val="00910080"/>
    <w:rsid w:val="009116E6"/>
    <w:rsid w:val="0091183B"/>
    <w:rsid w:val="00911C05"/>
    <w:rsid w:val="00912C2F"/>
    <w:rsid w:val="00912C31"/>
    <w:rsid w:val="00912D2D"/>
    <w:rsid w:val="00914070"/>
    <w:rsid w:val="00914CF6"/>
    <w:rsid w:val="00915251"/>
    <w:rsid w:val="00915398"/>
    <w:rsid w:val="00915955"/>
    <w:rsid w:val="0091610A"/>
    <w:rsid w:val="00916208"/>
    <w:rsid w:val="00917146"/>
    <w:rsid w:val="00920C8B"/>
    <w:rsid w:val="00922353"/>
    <w:rsid w:val="009224AB"/>
    <w:rsid w:val="00922C3C"/>
    <w:rsid w:val="00923EBB"/>
    <w:rsid w:val="0092412A"/>
    <w:rsid w:val="009274D4"/>
    <w:rsid w:val="00930658"/>
    <w:rsid w:val="00930802"/>
    <w:rsid w:val="00930A20"/>
    <w:rsid w:val="009319F2"/>
    <w:rsid w:val="00931B33"/>
    <w:rsid w:val="00932CD7"/>
    <w:rsid w:val="009336E6"/>
    <w:rsid w:val="00933C7A"/>
    <w:rsid w:val="00934AE9"/>
    <w:rsid w:val="00935891"/>
    <w:rsid w:val="00935CF5"/>
    <w:rsid w:val="00935E4E"/>
    <w:rsid w:val="009364C8"/>
    <w:rsid w:val="009375D2"/>
    <w:rsid w:val="00937774"/>
    <w:rsid w:val="00937E0A"/>
    <w:rsid w:val="00937F40"/>
    <w:rsid w:val="009411F9"/>
    <w:rsid w:val="009412FC"/>
    <w:rsid w:val="00944E95"/>
    <w:rsid w:val="009450A3"/>
    <w:rsid w:val="00950477"/>
    <w:rsid w:val="0095047B"/>
    <w:rsid w:val="0095085A"/>
    <w:rsid w:val="00951361"/>
    <w:rsid w:val="00952728"/>
    <w:rsid w:val="0095378B"/>
    <w:rsid w:val="00953B01"/>
    <w:rsid w:val="00953C2C"/>
    <w:rsid w:val="00955362"/>
    <w:rsid w:val="00955DB4"/>
    <w:rsid w:val="009568A7"/>
    <w:rsid w:val="00957389"/>
    <w:rsid w:val="009607B9"/>
    <w:rsid w:val="009622D4"/>
    <w:rsid w:val="00963A31"/>
    <w:rsid w:val="00963AE1"/>
    <w:rsid w:val="0096473E"/>
    <w:rsid w:val="00964910"/>
    <w:rsid w:val="00966565"/>
    <w:rsid w:val="00967043"/>
    <w:rsid w:val="00967ABA"/>
    <w:rsid w:val="00971542"/>
    <w:rsid w:val="00973CD8"/>
    <w:rsid w:val="00974792"/>
    <w:rsid w:val="009748AA"/>
    <w:rsid w:val="00977D46"/>
    <w:rsid w:val="009815B7"/>
    <w:rsid w:val="009825DF"/>
    <w:rsid w:val="00982722"/>
    <w:rsid w:val="0098275A"/>
    <w:rsid w:val="009829D4"/>
    <w:rsid w:val="0098333F"/>
    <w:rsid w:val="00983A42"/>
    <w:rsid w:val="009845AA"/>
    <w:rsid w:val="009865E1"/>
    <w:rsid w:val="00986C73"/>
    <w:rsid w:val="0098717D"/>
    <w:rsid w:val="00987D9C"/>
    <w:rsid w:val="00987FF8"/>
    <w:rsid w:val="009901AF"/>
    <w:rsid w:val="00990459"/>
    <w:rsid w:val="0099098D"/>
    <w:rsid w:val="009917CD"/>
    <w:rsid w:val="009918AE"/>
    <w:rsid w:val="009918F6"/>
    <w:rsid w:val="00991C1D"/>
    <w:rsid w:val="009920B4"/>
    <w:rsid w:val="009921E7"/>
    <w:rsid w:val="00992838"/>
    <w:rsid w:val="009929DA"/>
    <w:rsid w:val="00992E82"/>
    <w:rsid w:val="00992EB2"/>
    <w:rsid w:val="00994414"/>
    <w:rsid w:val="009A00E5"/>
    <w:rsid w:val="009A037D"/>
    <w:rsid w:val="009A05B2"/>
    <w:rsid w:val="009A069C"/>
    <w:rsid w:val="009A1BBD"/>
    <w:rsid w:val="009A1F18"/>
    <w:rsid w:val="009A2044"/>
    <w:rsid w:val="009A2561"/>
    <w:rsid w:val="009A267D"/>
    <w:rsid w:val="009A371E"/>
    <w:rsid w:val="009A39BE"/>
    <w:rsid w:val="009A4979"/>
    <w:rsid w:val="009A4D25"/>
    <w:rsid w:val="009A56B8"/>
    <w:rsid w:val="009A64A9"/>
    <w:rsid w:val="009A7A93"/>
    <w:rsid w:val="009B2A03"/>
    <w:rsid w:val="009B3473"/>
    <w:rsid w:val="009B3F17"/>
    <w:rsid w:val="009B6184"/>
    <w:rsid w:val="009B73EB"/>
    <w:rsid w:val="009C05C2"/>
    <w:rsid w:val="009C1906"/>
    <w:rsid w:val="009C1A31"/>
    <w:rsid w:val="009C2681"/>
    <w:rsid w:val="009C2D7A"/>
    <w:rsid w:val="009C363E"/>
    <w:rsid w:val="009C3B77"/>
    <w:rsid w:val="009C545F"/>
    <w:rsid w:val="009C5B02"/>
    <w:rsid w:val="009C62B5"/>
    <w:rsid w:val="009C65AE"/>
    <w:rsid w:val="009C66C0"/>
    <w:rsid w:val="009C6B88"/>
    <w:rsid w:val="009D0B77"/>
    <w:rsid w:val="009D0E26"/>
    <w:rsid w:val="009D1322"/>
    <w:rsid w:val="009D282B"/>
    <w:rsid w:val="009D43FD"/>
    <w:rsid w:val="009D4629"/>
    <w:rsid w:val="009D4B03"/>
    <w:rsid w:val="009D57AE"/>
    <w:rsid w:val="009D5B55"/>
    <w:rsid w:val="009D5F88"/>
    <w:rsid w:val="009D5FB6"/>
    <w:rsid w:val="009D6303"/>
    <w:rsid w:val="009D729F"/>
    <w:rsid w:val="009D72D2"/>
    <w:rsid w:val="009D7468"/>
    <w:rsid w:val="009E0421"/>
    <w:rsid w:val="009E09BC"/>
    <w:rsid w:val="009E0C00"/>
    <w:rsid w:val="009E12C2"/>
    <w:rsid w:val="009E16B1"/>
    <w:rsid w:val="009E2AD9"/>
    <w:rsid w:val="009E3915"/>
    <w:rsid w:val="009E5C3D"/>
    <w:rsid w:val="009E736A"/>
    <w:rsid w:val="009E7976"/>
    <w:rsid w:val="009F091C"/>
    <w:rsid w:val="009F0BFE"/>
    <w:rsid w:val="009F0EDA"/>
    <w:rsid w:val="009F1C5C"/>
    <w:rsid w:val="009F252A"/>
    <w:rsid w:val="009F27F2"/>
    <w:rsid w:val="009F2F1A"/>
    <w:rsid w:val="009F3D0F"/>
    <w:rsid w:val="009F3E5E"/>
    <w:rsid w:val="009F4390"/>
    <w:rsid w:val="009F4F9B"/>
    <w:rsid w:val="009F555D"/>
    <w:rsid w:val="009F5CEB"/>
    <w:rsid w:val="009F5E75"/>
    <w:rsid w:val="009F5EBE"/>
    <w:rsid w:val="009F6A62"/>
    <w:rsid w:val="00A003D9"/>
    <w:rsid w:val="00A0040D"/>
    <w:rsid w:val="00A007BE"/>
    <w:rsid w:val="00A012FC"/>
    <w:rsid w:val="00A03208"/>
    <w:rsid w:val="00A03FD4"/>
    <w:rsid w:val="00A04982"/>
    <w:rsid w:val="00A058F9"/>
    <w:rsid w:val="00A05B22"/>
    <w:rsid w:val="00A06587"/>
    <w:rsid w:val="00A06DED"/>
    <w:rsid w:val="00A070C3"/>
    <w:rsid w:val="00A07CE8"/>
    <w:rsid w:val="00A07E9D"/>
    <w:rsid w:val="00A107B0"/>
    <w:rsid w:val="00A1107B"/>
    <w:rsid w:val="00A11748"/>
    <w:rsid w:val="00A11938"/>
    <w:rsid w:val="00A11DA2"/>
    <w:rsid w:val="00A132DA"/>
    <w:rsid w:val="00A13678"/>
    <w:rsid w:val="00A137D2"/>
    <w:rsid w:val="00A14065"/>
    <w:rsid w:val="00A14925"/>
    <w:rsid w:val="00A15A9F"/>
    <w:rsid w:val="00A1621B"/>
    <w:rsid w:val="00A17401"/>
    <w:rsid w:val="00A17A33"/>
    <w:rsid w:val="00A2099A"/>
    <w:rsid w:val="00A20A56"/>
    <w:rsid w:val="00A226C9"/>
    <w:rsid w:val="00A22E35"/>
    <w:rsid w:val="00A23724"/>
    <w:rsid w:val="00A248F5"/>
    <w:rsid w:val="00A24CED"/>
    <w:rsid w:val="00A24FF1"/>
    <w:rsid w:val="00A257E2"/>
    <w:rsid w:val="00A267FA"/>
    <w:rsid w:val="00A2689C"/>
    <w:rsid w:val="00A26BC5"/>
    <w:rsid w:val="00A2789E"/>
    <w:rsid w:val="00A3069C"/>
    <w:rsid w:val="00A3102C"/>
    <w:rsid w:val="00A33D24"/>
    <w:rsid w:val="00A34470"/>
    <w:rsid w:val="00A346B5"/>
    <w:rsid w:val="00A34AF7"/>
    <w:rsid w:val="00A350AF"/>
    <w:rsid w:val="00A3609C"/>
    <w:rsid w:val="00A362E6"/>
    <w:rsid w:val="00A41916"/>
    <w:rsid w:val="00A42926"/>
    <w:rsid w:val="00A4313F"/>
    <w:rsid w:val="00A4357A"/>
    <w:rsid w:val="00A436AE"/>
    <w:rsid w:val="00A44275"/>
    <w:rsid w:val="00A4507F"/>
    <w:rsid w:val="00A450F5"/>
    <w:rsid w:val="00A45778"/>
    <w:rsid w:val="00A45D4C"/>
    <w:rsid w:val="00A46AFA"/>
    <w:rsid w:val="00A475AF"/>
    <w:rsid w:val="00A479D2"/>
    <w:rsid w:val="00A51FC8"/>
    <w:rsid w:val="00A5216E"/>
    <w:rsid w:val="00A53BF1"/>
    <w:rsid w:val="00A54343"/>
    <w:rsid w:val="00A54D76"/>
    <w:rsid w:val="00A559B1"/>
    <w:rsid w:val="00A56A44"/>
    <w:rsid w:val="00A56ECC"/>
    <w:rsid w:val="00A57276"/>
    <w:rsid w:val="00A573F5"/>
    <w:rsid w:val="00A578A8"/>
    <w:rsid w:val="00A57E97"/>
    <w:rsid w:val="00A61210"/>
    <w:rsid w:val="00A6144E"/>
    <w:rsid w:val="00A62DFF"/>
    <w:rsid w:val="00A655D5"/>
    <w:rsid w:val="00A66A2B"/>
    <w:rsid w:val="00A66EE7"/>
    <w:rsid w:val="00A674D9"/>
    <w:rsid w:val="00A71F91"/>
    <w:rsid w:val="00A72D53"/>
    <w:rsid w:val="00A730DD"/>
    <w:rsid w:val="00A7313E"/>
    <w:rsid w:val="00A73187"/>
    <w:rsid w:val="00A74C62"/>
    <w:rsid w:val="00A74D13"/>
    <w:rsid w:val="00A769B0"/>
    <w:rsid w:val="00A76A65"/>
    <w:rsid w:val="00A800A1"/>
    <w:rsid w:val="00A80FD9"/>
    <w:rsid w:val="00A81835"/>
    <w:rsid w:val="00A828E5"/>
    <w:rsid w:val="00A832A5"/>
    <w:rsid w:val="00A832FE"/>
    <w:rsid w:val="00A83B5C"/>
    <w:rsid w:val="00A85F5C"/>
    <w:rsid w:val="00A86135"/>
    <w:rsid w:val="00A87023"/>
    <w:rsid w:val="00A87F98"/>
    <w:rsid w:val="00A90FB1"/>
    <w:rsid w:val="00A91EAA"/>
    <w:rsid w:val="00A92A4A"/>
    <w:rsid w:val="00A92B7C"/>
    <w:rsid w:val="00A93490"/>
    <w:rsid w:val="00A94912"/>
    <w:rsid w:val="00A95384"/>
    <w:rsid w:val="00A95E8E"/>
    <w:rsid w:val="00A975BC"/>
    <w:rsid w:val="00AA06BA"/>
    <w:rsid w:val="00AA1969"/>
    <w:rsid w:val="00AA1A9A"/>
    <w:rsid w:val="00AA2905"/>
    <w:rsid w:val="00AA2A75"/>
    <w:rsid w:val="00AA2F2F"/>
    <w:rsid w:val="00AA34BE"/>
    <w:rsid w:val="00AA3928"/>
    <w:rsid w:val="00AA3A0C"/>
    <w:rsid w:val="00AA3C09"/>
    <w:rsid w:val="00AA4265"/>
    <w:rsid w:val="00AA48B5"/>
    <w:rsid w:val="00AA4CE7"/>
    <w:rsid w:val="00AA4F8F"/>
    <w:rsid w:val="00AA59E6"/>
    <w:rsid w:val="00AA5B61"/>
    <w:rsid w:val="00AA62C8"/>
    <w:rsid w:val="00AA6877"/>
    <w:rsid w:val="00AA7021"/>
    <w:rsid w:val="00AA7EF2"/>
    <w:rsid w:val="00AB1C98"/>
    <w:rsid w:val="00AB2B0D"/>
    <w:rsid w:val="00AB2F41"/>
    <w:rsid w:val="00AB37BB"/>
    <w:rsid w:val="00AB3FB9"/>
    <w:rsid w:val="00AB43C0"/>
    <w:rsid w:val="00AB4A01"/>
    <w:rsid w:val="00AB4B06"/>
    <w:rsid w:val="00AB54B5"/>
    <w:rsid w:val="00AB56BA"/>
    <w:rsid w:val="00AB5A0D"/>
    <w:rsid w:val="00AB647D"/>
    <w:rsid w:val="00AB652C"/>
    <w:rsid w:val="00AB65DF"/>
    <w:rsid w:val="00AB7767"/>
    <w:rsid w:val="00AB7DC3"/>
    <w:rsid w:val="00AB7FE9"/>
    <w:rsid w:val="00AC0B7F"/>
    <w:rsid w:val="00AC1433"/>
    <w:rsid w:val="00AC1982"/>
    <w:rsid w:val="00AC213B"/>
    <w:rsid w:val="00AC2916"/>
    <w:rsid w:val="00AC2B97"/>
    <w:rsid w:val="00AC3338"/>
    <w:rsid w:val="00AC404C"/>
    <w:rsid w:val="00AC469E"/>
    <w:rsid w:val="00AC4989"/>
    <w:rsid w:val="00AC5385"/>
    <w:rsid w:val="00AC55DB"/>
    <w:rsid w:val="00AC7066"/>
    <w:rsid w:val="00AC7362"/>
    <w:rsid w:val="00AD0A27"/>
    <w:rsid w:val="00AD135E"/>
    <w:rsid w:val="00AD3332"/>
    <w:rsid w:val="00AD4E21"/>
    <w:rsid w:val="00AD542A"/>
    <w:rsid w:val="00AD752D"/>
    <w:rsid w:val="00AD794C"/>
    <w:rsid w:val="00AD7D6A"/>
    <w:rsid w:val="00AE0BC6"/>
    <w:rsid w:val="00AE16E3"/>
    <w:rsid w:val="00AE2E63"/>
    <w:rsid w:val="00AE3508"/>
    <w:rsid w:val="00AE4C2E"/>
    <w:rsid w:val="00AE511F"/>
    <w:rsid w:val="00AE58EE"/>
    <w:rsid w:val="00AE6037"/>
    <w:rsid w:val="00AF046F"/>
    <w:rsid w:val="00AF0B67"/>
    <w:rsid w:val="00AF0F6E"/>
    <w:rsid w:val="00AF2508"/>
    <w:rsid w:val="00AF2A1B"/>
    <w:rsid w:val="00AF2B3F"/>
    <w:rsid w:val="00AF35DD"/>
    <w:rsid w:val="00AF3D35"/>
    <w:rsid w:val="00AF491B"/>
    <w:rsid w:val="00AF5550"/>
    <w:rsid w:val="00B01916"/>
    <w:rsid w:val="00B0376E"/>
    <w:rsid w:val="00B03A89"/>
    <w:rsid w:val="00B03E7E"/>
    <w:rsid w:val="00B05125"/>
    <w:rsid w:val="00B05455"/>
    <w:rsid w:val="00B057F1"/>
    <w:rsid w:val="00B066CD"/>
    <w:rsid w:val="00B07572"/>
    <w:rsid w:val="00B104D8"/>
    <w:rsid w:val="00B1073B"/>
    <w:rsid w:val="00B1174D"/>
    <w:rsid w:val="00B12448"/>
    <w:rsid w:val="00B124EC"/>
    <w:rsid w:val="00B13802"/>
    <w:rsid w:val="00B13E9F"/>
    <w:rsid w:val="00B1431F"/>
    <w:rsid w:val="00B14E58"/>
    <w:rsid w:val="00B150EF"/>
    <w:rsid w:val="00B1565C"/>
    <w:rsid w:val="00B166EC"/>
    <w:rsid w:val="00B20926"/>
    <w:rsid w:val="00B21A66"/>
    <w:rsid w:val="00B23491"/>
    <w:rsid w:val="00B23B31"/>
    <w:rsid w:val="00B2408B"/>
    <w:rsid w:val="00B242FC"/>
    <w:rsid w:val="00B250DE"/>
    <w:rsid w:val="00B2646E"/>
    <w:rsid w:val="00B269DF"/>
    <w:rsid w:val="00B27542"/>
    <w:rsid w:val="00B279EE"/>
    <w:rsid w:val="00B301F1"/>
    <w:rsid w:val="00B321E1"/>
    <w:rsid w:val="00B324D7"/>
    <w:rsid w:val="00B3280F"/>
    <w:rsid w:val="00B32D30"/>
    <w:rsid w:val="00B3416F"/>
    <w:rsid w:val="00B34924"/>
    <w:rsid w:val="00B36544"/>
    <w:rsid w:val="00B375BC"/>
    <w:rsid w:val="00B41CF5"/>
    <w:rsid w:val="00B41F68"/>
    <w:rsid w:val="00B420DE"/>
    <w:rsid w:val="00B43CC4"/>
    <w:rsid w:val="00B44576"/>
    <w:rsid w:val="00B4672C"/>
    <w:rsid w:val="00B46EBC"/>
    <w:rsid w:val="00B476F5"/>
    <w:rsid w:val="00B4793C"/>
    <w:rsid w:val="00B47DC5"/>
    <w:rsid w:val="00B5163D"/>
    <w:rsid w:val="00B54538"/>
    <w:rsid w:val="00B54E7C"/>
    <w:rsid w:val="00B5555E"/>
    <w:rsid w:val="00B56077"/>
    <w:rsid w:val="00B5796D"/>
    <w:rsid w:val="00B57C7C"/>
    <w:rsid w:val="00B60698"/>
    <w:rsid w:val="00B60FCF"/>
    <w:rsid w:val="00B610CF"/>
    <w:rsid w:val="00B61176"/>
    <w:rsid w:val="00B6154C"/>
    <w:rsid w:val="00B6158F"/>
    <w:rsid w:val="00B617F9"/>
    <w:rsid w:val="00B650E4"/>
    <w:rsid w:val="00B66292"/>
    <w:rsid w:val="00B66C5B"/>
    <w:rsid w:val="00B66C6C"/>
    <w:rsid w:val="00B6795F"/>
    <w:rsid w:val="00B7169F"/>
    <w:rsid w:val="00B7201B"/>
    <w:rsid w:val="00B72EC0"/>
    <w:rsid w:val="00B7327A"/>
    <w:rsid w:val="00B73787"/>
    <w:rsid w:val="00B746A5"/>
    <w:rsid w:val="00B75F6E"/>
    <w:rsid w:val="00B76438"/>
    <w:rsid w:val="00B769EA"/>
    <w:rsid w:val="00B771DC"/>
    <w:rsid w:val="00B772C9"/>
    <w:rsid w:val="00B776BB"/>
    <w:rsid w:val="00B77E67"/>
    <w:rsid w:val="00B80552"/>
    <w:rsid w:val="00B80A18"/>
    <w:rsid w:val="00B80AD9"/>
    <w:rsid w:val="00B8130E"/>
    <w:rsid w:val="00B82E6A"/>
    <w:rsid w:val="00B84509"/>
    <w:rsid w:val="00B84A33"/>
    <w:rsid w:val="00B86702"/>
    <w:rsid w:val="00B876ED"/>
    <w:rsid w:val="00B87DC0"/>
    <w:rsid w:val="00B90428"/>
    <w:rsid w:val="00B90C40"/>
    <w:rsid w:val="00B90FC9"/>
    <w:rsid w:val="00B918B3"/>
    <w:rsid w:val="00B92195"/>
    <w:rsid w:val="00B92B47"/>
    <w:rsid w:val="00B92B7C"/>
    <w:rsid w:val="00B9395B"/>
    <w:rsid w:val="00B969E3"/>
    <w:rsid w:val="00B9757B"/>
    <w:rsid w:val="00B97F8C"/>
    <w:rsid w:val="00BA0BB0"/>
    <w:rsid w:val="00BA0D88"/>
    <w:rsid w:val="00BA2028"/>
    <w:rsid w:val="00BA3BA2"/>
    <w:rsid w:val="00BA3CFB"/>
    <w:rsid w:val="00BB1209"/>
    <w:rsid w:val="00BB1416"/>
    <w:rsid w:val="00BB1BA4"/>
    <w:rsid w:val="00BB3435"/>
    <w:rsid w:val="00BB35FE"/>
    <w:rsid w:val="00BB41A8"/>
    <w:rsid w:val="00BB44F5"/>
    <w:rsid w:val="00BB546C"/>
    <w:rsid w:val="00BB54F3"/>
    <w:rsid w:val="00BB639F"/>
    <w:rsid w:val="00BB6400"/>
    <w:rsid w:val="00BB666C"/>
    <w:rsid w:val="00BB6885"/>
    <w:rsid w:val="00BB7CBB"/>
    <w:rsid w:val="00BC0F29"/>
    <w:rsid w:val="00BC253E"/>
    <w:rsid w:val="00BC2B7B"/>
    <w:rsid w:val="00BC2D50"/>
    <w:rsid w:val="00BC396B"/>
    <w:rsid w:val="00BC4B11"/>
    <w:rsid w:val="00BC5E85"/>
    <w:rsid w:val="00BC78D6"/>
    <w:rsid w:val="00BC7CA8"/>
    <w:rsid w:val="00BD18AA"/>
    <w:rsid w:val="00BD1AA8"/>
    <w:rsid w:val="00BD3305"/>
    <w:rsid w:val="00BD4E48"/>
    <w:rsid w:val="00BD5469"/>
    <w:rsid w:val="00BD6288"/>
    <w:rsid w:val="00BD718E"/>
    <w:rsid w:val="00BE2252"/>
    <w:rsid w:val="00BE48E6"/>
    <w:rsid w:val="00BE4DC6"/>
    <w:rsid w:val="00BE4F93"/>
    <w:rsid w:val="00BE540B"/>
    <w:rsid w:val="00BE5810"/>
    <w:rsid w:val="00BE6BB5"/>
    <w:rsid w:val="00BF0688"/>
    <w:rsid w:val="00BF0D0F"/>
    <w:rsid w:val="00BF0E48"/>
    <w:rsid w:val="00BF1CE5"/>
    <w:rsid w:val="00BF2054"/>
    <w:rsid w:val="00BF229E"/>
    <w:rsid w:val="00BF3292"/>
    <w:rsid w:val="00BF467F"/>
    <w:rsid w:val="00BF4C00"/>
    <w:rsid w:val="00BF5CF3"/>
    <w:rsid w:val="00BF7780"/>
    <w:rsid w:val="00C006CA"/>
    <w:rsid w:val="00C00FFC"/>
    <w:rsid w:val="00C015A5"/>
    <w:rsid w:val="00C027E1"/>
    <w:rsid w:val="00C02F1A"/>
    <w:rsid w:val="00C03137"/>
    <w:rsid w:val="00C039A3"/>
    <w:rsid w:val="00C04145"/>
    <w:rsid w:val="00C049F1"/>
    <w:rsid w:val="00C04DD9"/>
    <w:rsid w:val="00C04F8C"/>
    <w:rsid w:val="00C059C9"/>
    <w:rsid w:val="00C05A7E"/>
    <w:rsid w:val="00C074DB"/>
    <w:rsid w:val="00C07CCF"/>
    <w:rsid w:val="00C11440"/>
    <w:rsid w:val="00C114F9"/>
    <w:rsid w:val="00C118C8"/>
    <w:rsid w:val="00C11C7D"/>
    <w:rsid w:val="00C124C9"/>
    <w:rsid w:val="00C125BF"/>
    <w:rsid w:val="00C1287A"/>
    <w:rsid w:val="00C1331B"/>
    <w:rsid w:val="00C13675"/>
    <w:rsid w:val="00C157ED"/>
    <w:rsid w:val="00C16DC7"/>
    <w:rsid w:val="00C16E42"/>
    <w:rsid w:val="00C17A24"/>
    <w:rsid w:val="00C17BB4"/>
    <w:rsid w:val="00C206DA"/>
    <w:rsid w:val="00C2076D"/>
    <w:rsid w:val="00C20911"/>
    <w:rsid w:val="00C20D02"/>
    <w:rsid w:val="00C20E23"/>
    <w:rsid w:val="00C21B56"/>
    <w:rsid w:val="00C21E53"/>
    <w:rsid w:val="00C21F1D"/>
    <w:rsid w:val="00C22988"/>
    <w:rsid w:val="00C252CA"/>
    <w:rsid w:val="00C25B9C"/>
    <w:rsid w:val="00C267CF"/>
    <w:rsid w:val="00C26CEF"/>
    <w:rsid w:val="00C26CFB"/>
    <w:rsid w:val="00C27E1A"/>
    <w:rsid w:val="00C30284"/>
    <w:rsid w:val="00C31AB2"/>
    <w:rsid w:val="00C31EA8"/>
    <w:rsid w:val="00C31F72"/>
    <w:rsid w:val="00C31FF9"/>
    <w:rsid w:val="00C3216E"/>
    <w:rsid w:val="00C333B7"/>
    <w:rsid w:val="00C33585"/>
    <w:rsid w:val="00C33784"/>
    <w:rsid w:val="00C33924"/>
    <w:rsid w:val="00C352A8"/>
    <w:rsid w:val="00C35A50"/>
    <w:rsid w:val="00C35D2F"/>
    <w:rsid w:val="00C362D1"/>
    <w:rsid w:val="00C36669"/>
    <w:rsid w:val="00C36F94"/>
    <w:rsid w:val="00C37692"/>
    <w:rsid w:val="00C40898"/>
    <w:rsid w:val="00C42152"/>
    <w:rsid w:val="00C43293"/>
    <w:rsid w:val="00C43AC0"/>
    <w:rsid w:val="00C45719"/>
    <w:rsid w:val="00C47E59"/>
    <w:rsid w:val="00C50314"/>
    <w:rsid w:val="00C507DA"/>
    <w:rsid w:val="00C511F5"/>
    <w:rsid w:val="00C526A6"/>
    <w:rsid w:val="00C526BF"/>
    <w:rsid w:val="00C52B74"/>
    <w:rsid w:val="00C52C28"/>
    <w:rsid w:val="00C52FB9"/>
    <w:rsid w:val="00C53C4D"/>
    <w:rsid w:val="00C54328"/>
    <w:rsid w:val="00C546D2"/>
    <w:rsid w:val="00C552D4"/>
    <w:rsid w:val="00C5792D"/>
    <w:rsid w:val="00C600AB"/>
    <w:rsid w:val="00C61BE7"/>
    <w:rsid w:val="00C61C5E"/>
    <w:rsid w:val="00C63273"/>
    <w:rsid w:val="00C636F0"/>
    <w:rsid w:val="00C639FE"/>
    <w:rsid w:val="00C673EF"/>
    <w:rsid w:val="00C6791D"/>
    <w:rsid w:val="00C67E06"/>
    <w:rsid w:val="00C71DD0"/>
    <w:rsid w:val="00C720B9"/>
    <w:rsid w:val="00C72681"/>
    <w:rsid w:val="00C72B44"/>
    <w:rsid w:val="00C75D11"/>
    <w:rsid w:val="00C7614E"/>
    <w:rsid w:val="00C77FAC"/>
    <w:rsid w:val="00C80861"/>
    <w:rsid w:val="00C81B05"/>
    <w:rsid w:val="00C83918"/>
    <w:rsid w:val="00C839E0"/>
    <w:rsid w:val="00C83E96"/>
    <w:rsid w:val="00C8416B"/>
    <w:rsid w:val="00C847D4"/>
    <w:rsid w:val="00C84C42"/>
    <w:rsid w:val="00C84D11"/>
    <w:rsid w:val="00C857E6"/>
    <w:rsid w:val="00C85B15"/>
    <w:rsid w:val="00C85F34"/>
    <w:rsid w:val="00C865F7"/>
    <w:rsid w:val="00C86D5E"/>
    <w:rsid w:val="00C86DB0"/>
    <w:rsid w:val="00C8754A"/>
    <w:rsid w:val="00C87A2F"/>
    <w:rsid w:val="00C906B6"/>
    <w:rsid w:val="00C90F2A"/>
    <w:rsid w:val="00C91CC9"/>
    <w:rsid w:val="00C9289F"/>
    <w:rsid w:val="00C93C0C"/>
    <w:rsid w:val="00C945A7"/>
    <w:rsid w:val="00C9571C"/>
    <w:rsid w:val="00C97E61"/>
    <w:rsid w:val="00CA0C3B"/>
    <w:rsid w:val="00CA0E7A"/>
    <w:rsid w:val="00CA13FE"/>
    <w:rsid w:val="00CA1AFC"/>
    <w:rsid w:val="00CA1E33"/>
    <w:rsid w:val="00CA20D1"/>
    <w:rsid w:val="00CA3385"/>
    <w:rsid w:val="00CA46CA"/>
    <w:rsid w:val="00CA5D5A"/>
    <w:rsid w:val="00CA6A38"/>
    <w:rsid w:val="00CB0D9C"/>
    <w:rsid w:val="00CB12DC"/>
    <w:rsid w:val="00CB13F0"/>
    <w:rsid w:val="00CB2098"/>
    <w:rsid w:val="00CB20F7"/>
    <w:rsid w:val="00CB2893"/>
    <w:rsid w:val="00CB2BCA"/>
    <w:rsid w:val="00CB4333"/>
    <w:rsid w:val="00CB54A1"/>
    <w:rsid w:val="00CB54E9"/>
    <w:rsid w:val="00CB55D2"/>
    <w:rsid w:val="00CB5E68"/>
    <w:rsid w:val="00CB60B0"/>
    <w:rsid w:val="00CC00F1"/>
    <w:rsid w:val="00CC0874"/>
    <w:rsid w:val="00CC1341"/>
    <w:rsid w:val="00CC187B"/>
    <w:rsid w:val="00CC41AC"/>
    <w:rsid w:val="00CC578F"/>
    <w:rsid w:val="00CC69A4"/>
    <w:rsid w:val="00CC7907"/>
    <w:rsid w:val="00CC7D9E"/>
    <w:rsid w:val="00CD3CEF"/>
    <w:rsid w:val="00CD5FB5"/>
    <w:rsid w:val="00CD6E62"/>
    <w:rsid w:val="00CD71A7"/>
    <w:rsid w:val="00CD762C"/>
    <w:rsid w:val="00CE03AA"/>
    <w:rsid w:val="00CE25E5"/>
    <w:rsid w:val="00CE2DC4"/>
    <w:rsid w:val="00CE3482"/>
    <w:rsid w:val="00CE3635"/>
    <w:rsid w:val="00CE3889"/>
    <w:rsid w:val="00CE4314"/>
    <w:rsid w:val="00CE58CB"/>
    <w:rsid w:val="00CF0396"/>
    <w:rsid w:val="00CF0601"/>
    <w:rsid w:val="00CF062C"/>
    <w:rsid w:val="00CF199A"/>
    <w:rsid w:val="00CF1A9C"/>
    <w:rsid w:val="00CF2CA8"/>
    <w:rsid w:val="00CF5375"/>
    <w:rsid w:val="00CF5C80"/>
    <w:rsid w:val="00CF5D65"/>
    <w:rsid w:val="00CF63F8"/>
    <w:rsid w:val="00CF6891"/>
    <w:rsid w:val="00D008AA"/>
    <w:rsid w:val="00D00EC7"/>
    <w:rsid w:val="00D0151E"/>
    <w:rsid w:val="00D02825"/>
    <w:rsid w:val="00D0397E"/>
    <w:rsid w:val="00D056D9"/>
    <w:rsid w:val="00D05C20"/>
    <w:rsid w:val="00D0603C"/>
    <w:rsid w:val="00D06139"/>
    <w:rsid w:val="00D06E60"/>
    <w:rsid w:val="00D0743D"/>
    <w:rsid w:val="00D118D5"/>
    <w:rsid w:val="00D11C3F"/>
    <w:rsid w:val="00D120F7"/>
    <w:rsid w:val="00D127DD"/>
    <w:rsid w:val="00D12CCE"/>
    <w:rsid w:val="00D144E9"/>
    <w:rsid w:val="00D157EA"/>
    <w:rsid w:val="00D1592E"/>
    <w:rsid w:val="00D15AF7"/>
    <w:rsid w:val="00D15BF7"/>
    <w:rsid w:val="00D16E0C"/>
    <w:rsid w:val="00D1763B"/>
    <w:rsid w:val="00D206C2"/>
    <w:rsid w:val="00D209D8"/>
    <w:rsid w:val="00D21AF8"/>
    <w:rsid w:val="00D22C3F"/>
    <w:rsid w:val="00D234A4"/>
    <w:rsid w:val="00D25418"/>
    <w:rsid w:val="00D25489"/>
    <w:rsid w:val="00D25E7A"/>
    <w:rsid w:val="00D2614D"/>
    <w:rsid w:val="00D27D00"/>
    <w:rsid w:val="00D27DC0"/>
    <w:rsid w:val="00D27E75"/>
    <w:rsid w:val="00D30843"/>
    <w:rsid w:val="00D30ECB"/>
    <w:rsid w:val="00D30FAC"/>
    <w:rsid w:val="00D319D8"/>
    <w:rsid w:val="00D32026"/>
    <w:rsid w:val="00D35975"/>
    <w:rsid w:val="00D363BF"/>
    <w:rsid w:val="00D36E80"/>
    <w:rsid w:val="00D371F4"/>
    <w:rsid w:val="00D373A8"/>
    <w:rsid w:val="00D40ADF"/>
    <w:rsid w:val="00D426C4"/>
    <w:rsid w:val="00D428C0"/>
    <w:rsid w:val="00D42B07"/>
    <w:rsid w:val="00D44445"/>
    <w:rsid w:val="00D44960"/>
    <w:rsid w:val="00D44A19"/>
    <w:rsid w:val="00D44F2C"/>
    <w:rsid w:val="00D45818"/>
    <w:rsid w:val="00D45B38"/>
    <w:rsid w:val="00D46046"/>
    <w:rsid w:val="00D47F9F"/>
    <w:rsid w:val="00D5016E"/>
    <w:rsid w:val="00D50EE4"/>
    <w:rsid w:val="00D51D96"/>
    <w:rsid w:val="00D520D7"/>
    <w:rsid w:val="00D528E1"/>
    <w:rsid w:val="00D5389B"/>
    <w:rsid w:val="00D539A4"/>
    <w:rsid w:val="00D53B32"/>
    <w:rsid w:val="00D5464B"/>
    <w:rsid w:val="00D556B6"/>
    <w:rsid w:val="00D559AF"/>
    <w:rsid w:val="00D55C3A"/>
    <w:rsid w:val="00D56BAA"/>
    <w:rsid w:val="00D57A99"/>
    <w:rsid w:val="00D57AF2"/>
    <w:rsid w:val="00D6058B"/>
    <w:rsid w:val="00D60CB2"/>
    <w:rsid w:val="00D6265B"/>
    <w:rsid w:val="00D6311B"/>
    <w:rsid w:val="00D646B9"/>
    <w:rsid w:val="00D65AED"/>
    <w:rsid w:val="00D65D86"/>
    <w:rsid w:val="00D6608E"/>
    <w:rsid w:val="00D7023C"/>
    <w:rsid w:val="00D70765"/>
    <w:rsid w:val="00D712DC"/>
    <w:rsid w:val="00D72712"/>
    <w:rsid w:val="00D72906"/>
    <w:rsid w:val="00D72D8E"/>
    <w:rsid w:val="00D73002"/>
    <w:rsid w:val="00D76AC3"/>
    <w:rsid w:val="00D76D0F"/>
    <w:rsid w:val="00D77867"/>
    <w:rsid w:val="00D77F29"/>
    <w:rsid w:val="00D803A1"/>
    <w:rsid w:val="00D80661"/>
    <w:rsid w:val="00D8181B"/>
    <w:rsid w:val="00D81D5D"/>
    <w:rsid w:val="00D84CF1"/>
    <w:rsid w:val="00D84EB8"/>
    <w:rsid w:val="00D85BF1"/>
    <w:rsid w:val="00D8602C"/>
    <w:rsid w:val="00D86123"/>
    <w:rsid w:val="00D86717"/>
    <w:rsid w:val="00D87C0C"/>
    <w:rsid w:val="00D92358"/>
    <w:rsid w:val="00D92395"/>
    <w:rsid w:val="00D93E74"/>
    <w:rsid w:val="00D9518E"/>
    <w:rsid w:val="00D962A0"/>
    <w:rsid w:val="00D962FE"/>
    <w:rsid w:val="00D96603"/>
    <w:rsid w:val="00D9742B"/>
    <w:rsid w:val="00DA0989"/>
    <w:rsid w:val="00DA0D4B"/>
    <w:rsid w:val="00DA1D5F"/>
    <w:rsid w:val="00DA1D71"/>
    <w:rsid w:val="00DA21BB"/>
    <w:rsid w:val="00DA2221"/>
    <w:rsid w:val="00DA275D"/>
    <w:rsid w:val="00DA2F1C"/>
    <w:rsid w:val="00DA34EF"/>
    <w:rsid w:val="00DA40F5"/>
    <w:rsid w:val="00DA42B0"/>
    <w:rsid w:val="00DA4831"/>
    <w:rsid w:val="00DA4D7E"/>
    <w:rsid w:val="00DA55DF"/>
    <w:rsid w:val="00DA5A67"/>
    <w:rsid w:val="00DA6037"/>
    <w:rsid w:val="00DA658E"/>
    <w:rsid w:val="00DA6770"/>
    <w:rsid w:val="00DB0C0C"/>
    <w:rsid w:val="00DB23FC"/>
    <w:rsid w:val="00DB2E0B"/>
    <w:rsid w:val="00DB3712"/>
    <w:rsid w:val="00DB3DB0"/>
    <w:rsid w:val="00DB3E6C"/>
    <w:rsid w:val="00DB605F"/>
    <w:rsid w:val="00DB6368"/>
    <w:rsid w:val="00DB6779"/>
    <w:rsid w:val="00DB7C7A"/>
    <w:rsid w:val="00DC0614"/>
    <w:rsid w:val="00DC0FA7"/>
    <w:rsid w:val="00DC171A"/>
    <w:rsid w:val="00DC2C81"/>
    <w:rsid w:val="00DC3B86"/>
    <w:rsid w:val="00DC3F70"/>
    <w:rsid w:val="00DC5F97"/>
    <w:rsid w:val="00DC64EE"/>
    <w:rsid w:val="00DC64FB"/>
    <w:rsid w:val="00DC6833"/>
    <w:rsid w:val="00DC68F8"/>
    <w:rsid w:val="00DC6A4F"/>
    <w:rsid w:val="00DC6BBF"/>
    <w:rsid w:val="00DC762B"/>
    <w:rsid w:val="00DC76C1"/>
    <w:rsid w:val="00DC78AB"/>
    <w:rsid w:val="00DC7C37"/>
    <w:rsid w:val="00DD067C"/>
    <w:rsid w:val="00DD0AEC"/>
    <w:rsid w:val="00DD0D13"/>
    <w:rsid w:val="00DD1C31"/>
    <w:rsid w:val="00DD2B39"/>
    <w:rsid w:val="00DD374D"/>
    <w:rsid w:val="00DD4EC6"/>
    <w:rsid w:val="00DD522A"/>
    <w:rsid w:val="00DD5BEE"/>
    <w:rsid w:val="00DD636A"/>
    <w:rsid w:val="00DD6371"/>
    <w:rsid w:val="00DD6D22"/>
    <w:rsid w:val="00DD709B"/>
    <w:rsid w:val="00DD7B6D"/>
    <w:rsid w:val="00DE04B9"/>
    <w:rsid w:val="00DE15D3"/>
    <w:rsid w:val="00DE2B2F"/>
    <w:rsid w:val="00DE3DD9"/>
    <w:rsid w:val="00DE456B"/>
    <w:rsid w:val="00DE5593"/>
    <w:rsid w:val="00DE6B17"/>
    <w:rsid w:val="00DE709C"/>
    <w:rsid w:val="00DF0683"/>
    <w:rsid w:val="00DF2106"/>
    <w:rsid w:val="00DF2D70"/>
    <w:rsid w:val="00DF3314"/>
    <w:rsid w:val="00DF5FE9"/>
    <w:rsid w:val="00DF75B4"/>
    <w:rsid w:val="00E00271"/>
    <w:rsid w:val="00E00CF0"/>
    <w:rsid w:val="00E02AC6"/>
    <w:rsid w:val="00E02C69"/>
    <w:rsid w:val="00E031B7"/>
    <w:rsid w:val="00E10295"/>
    <w:rsid w:val="00E11611"/>
    <w:rsid w:val="00E117C8"/>
    <w:rsid w:val="00E11805"/>
    <w:rsid w:val="00E1199F"/>
    <w:rsid w:val="00E132C5"/>
    <w:rsid w:val="00E13378"/>
    <w:rsid w:val="00E13470"/>
    <w:rsid w:val="00E14069"/>
    <w:rsid w:val="00E158FA"/>
    <w:rsid w:val="00E15BD2"/>
    <w:rsid w:val="00E16C2E"/>
    <w:rsid w:val="00E1762F"/>
    <w:rsid w:val="00E20041"/>
    <w:rsid w:val="00E206C0"/>
    <w:rsid w:val="00E20E61"/>
    <w:rsid w:val="00E21A95"/>
    <w:rsid w:val="00E21BA9"/>
    <w:rsid w:val="00E221D8"/>
    <w:rsid w:val="00E233B4"/>
    <w:rsid w:val="00E24826"/>
    <w:rsid w:val="00E27CDA"/>
    <w:rsid w:val="00E30794"/>
    <w:rsid w:val="00E3104B"/>
    <w:rsid w:val="00E32ACC"/>
    <w:rsid w:val="00E32DC4"/>
    <w:rsid w:val="00E33153"/>
    <w:rsid w:val="00E33589"/>
    <w:rsid w:val="00E33AD4"/>
    <w:rsid w:val="00E34F9A"/>
    <w:rsid w:val="00E35FD2"/>
    <w:rsid w:val="00E36725"/>
    <w:rsid w:val="00E3735F"/>
    <w:rsid w:val="00E404C1"/>
    <w:rsid w:val="00E41DAB"/>
    <w:rsid w:val="00E41F2C"/>
    <w:rsid w:val="00E41F65"/>
    <w:rsid w:val="00E41F85"/>
    <w:rsid w:val="00E4284E"/>
    <w:rsid w:val="00E428A1"/>
    <w:rsid w:val="00E4372E"/>
    <w:rsid w:val="00E4432E"/>
    <w:rsid w:val="00E4470E"/>
    <w:rsid w:val="00E46A34"/>
    <w:rsid w:val="00E470AB"/>
    <w:rsid w:val="00E47152"/>
    <w:rsid w:val="00E52480"/>
    <w:rsid w:val="00E5318D"/>
    <w:rsid w:val="00E5376B"/>
    <w:rsid w:val="00E537CE"/>
    <w:rsid w:val="00E53EE2"/>
    <w:rsid w:val="00E543A2"/>
    <w:rsid w:val="00E54F0A"/>
    <w:rsid w:val="00E561B9"/>
    <w:rsid w:val="00E56363"/>
    <w:rsid w:val="00E57B25"/>
    <w:rsid w:val="00E61315"/>
    <w:rsid w:val="00E62307"/>
    <w:rsid w:val="00E62C64"/>
    <w:rsid w:val="00E64D7C"/>
    <w:rsid w:val="00E654EA"/>
    <w:rsid w:val="00E65CA7"/>
    <w:rsid w:val="00E668CC"/>
    <w:rsid w:val="00E671EF"/>
    <w:rsid w:val="00E67CE3"/>
    <w:rsid w:val="00E700E0"/>
    <w:rsid w:val="00E7063A"/>
    <w:rsid w:val="00E7122E"/>
    <w:rsid w:val="00E72133"/>
    <w:rsid w:val="00E742DC"/>
    <w:rsid w:val="00E75BF8"/>
    <w:rsid w:val="00E75D00"/>
    <w:rsid w:val="00E76254"/>
    <w:rsid w:val="00E76574"/>
    <w:rsid w:val="00E766BD"/>
    <w:rsid w:val="00E7698C"/>
    <w:rsid w:val="00E80012"/>
    <w:rsid w:val="00E8022C"/>
    <w:rsid w:val="00E81E09"/>
    <w:rsid w:val="00E821AB"/>
    <w:rsid w:val="00E8247E"/>
    <w:rsid w:val="00E82869"/>
    <w:rsid w:val="00E82E07"/>
    <w:rsid w:val="00E82FED"/>
    <w:rsid w:val="00E845E5"/>
    <w:rsid w:val="00E850E5"/>
    <w:rsid w:val="00E85582"/>
    <w:rsid w:val="00E86978"/>
    <w:rsid w:val="00E86BCC"/>
    <w:rsid w:val="00E86D01"/>
    <w:rsid w:val="00E870A5"/>
    <w:rsid w:val="00E879B6"/>
    <w:rsid w:val="00E9049A"/>
    <w:rsid w:val="00E9085D"/>
    <w:rsid w:val="00E90FE8"/>
    <w:rsid w:val="00E91126"/>
    <w:rsid w:val="00E920C5"/>
    <w:rsid w:val="00E92D27"/>
    <w:rsid w:val="00E930D5"/>
    <w:rsid w:val="00E94048"/>
    <w:rsid w:val="00E948A5"/>
    <w:rsid w:val="00E94D16"/>
    <w:rsid w:val="00E95FD0"/>
    <w:rsid w:val="00E967B9"/>
    <w:rsid w:val="00E96DC9"/>
    <w:rsid w:val="00E97651"/>
    <w:rsid w:val="00EA1504"/>
    <w:rsid w:val="00EA20D0"/>
    <w:rsid w:val="00EA4F0A"/>
    <w:rsid w:val="00EA4FAA"/>
    <w:rsid w:val="00EA5635"/>
    <w:rsid w:val="00EA5774"/>
    <w:rsid w:val="00EA5867"/>
    <w:rsid w:val="00EA5873"/>
    <w:rsid w:val="00EA61CA"/>
    <w:rsid w:val="00EA7FF7"/>
    <w:rsid w:val="00EB0E5B"/>
    <w:rsid w:val="00EB1375"/>
    <w:rsid w:val="00EB1904"/>
    <w:rsid w:val="00EB1E97"/>
    <w:rsid w:val="00EB2114"/>
    <w:rsid w:val="00EB280B"/>
    <w:rsid w:val="00EB3546"/>
    <w:rsid w:val="00EB36EB"/>
    <w:rsid w:val="00EB38BD"/>
    <w:rsid w:val="00EB464F"/>
    <w:rsid w:val="00EB5E62"/>
    <w:rsid w:val="00EC07B3"/>
    <w:rsid w:val="00EC50C0"/>
    <w:rsid w:val="00EC5281"/>
    <w:rsid w:val="00EC63ED"/>
    <w:rsid w:val="00EC70E1"/>
    <w:rsid w:val="00EC772D"/>
    <w:rsid w:val="00EC7D7F"/>
    <w:rsid w:val="00EC7FC7"/>
    <w:rsid w:val="00ED077A"/>
    <w:rsid w:val="00ED0D1B"/>
    <w:rsid w:val="00ED1CC5"/>
    <w:rsid w:val="00ED1DBF"/>
    <w:rsid w:val="00ED3297"/>
    <w:rsid w:val="00ED3B4E"/>
    <w:rsid w:val="00ED4FC0"/>
    <w:rsid w:val="00ED55A3"/>
    <w:rsid w:val="00ED5D8F"/>
    <w:rsid w:val="00ED66A5"/>
    <w:rsid w:val="00ED727C"/>
    <w:rsid w:val="00ED7BDE"/>
    <w:rsid w:val="00EE018F"/>
    <w:rsid w:val="00EE1431"/>
    <w:rsid w:val="00EE1AC2"/>
    <w:rsid w:val="00EE2272"/>
    <w:rsid w:val="00EE36F1"/>
    <w:rsid w:val="00EE3F89"/>
    <w:rsid w:val="00EE4A7C"/>
    <w:rsid w:val="00EE5163"/>
    <w:rsid w:val="00EE600F"/>
    <w:rsid w:val="00EE743B"/>
    <w:rsid w:val="00EE7B08"/>
    <w:rsid w:val="00EF0B3D"/>
    <w:rsid w:val="00EF0E74"/>
    <w:rsid w:val="00EF23D7"/>
    <w:rsid w:val="00EF2A87"/>
    <w:rsid w:val="00EF2C60"/>
    <w:rsid w:val="00EF3396"/>
    <w:rsid w:val="00EF3AAA"/>
    <w:rsid w:val="00EF3BE8"/>
    <w:rsid w:val="00EF46CC"/>
    <w:rsid w:val="00EF4BE4"/>
    <w:rsid w:val="00EF54FE"/>
    <w:rsid w:val="00EF7435"/>
    <w:rsid w:val="00EF7D5D"/>
    <w:rsid w:val="00F000F5"/>
    <w:rsid w:val="00F0077F"/>
    <w:rsid w:val="00F00812"/>
    <w:rsid w:val="00F022F5"/>
    <w:rsid w:val="00F02BBA"/>
    <w:rsid w:val="00F04434"/>
    <w:rsid w:val="00F054BA"/>
    <w:rsid w:val="00F102AC"/>
    <w:rsid w:val="00F11EF3"/>
    <w:rsid w:val="00F11FCD"/>
    <w:rsid w:val="00F12412"/>
    <w:rsid w:val="00F12BDC"/>
    <w:rsid w:val="00F14747"/>
    <w:rsid w:val="00F148E9"/>
    <w:rsid w:val="00F15001"/>
    <w:rsid w:val="00F15169"/>
    <w:rsid w:val="00F160FD"/>
    <w:rsid w:val="00F1610C"/>
    <w:rsid w:val="00F16CF1"/>
    <w:rsid w:val="00F17D31"/>
    <w:rsid w:val="00F20026"/>
    <w:rsid w:val="00F2260E"/>
    <w:rsid w:val="00F24A59"/>
    <w:rsid w:val="00F25959"/>
    <w:rsid w:val="00F25C3D"/>
    <w:rsid w:val="00F26CF4"/>
    <w:rsid w:val="00F27237"/>
    <w:rsid w:val="00F277A2"/>
    <w:rsid w:val="00F30BDE"/>
    <w:rsid w:val="00F32012"/>
    <w:rsid w:val="00F32465"/>
    <w:rsid w:val="00F32948"/>
    <w:rsid w:val="00F33F2A"/>
    <w:rsid w:val="00F3775C"/>
    <w:rsid w:val="00F40759"/>
    <w:rsid w:val="00F40C7F"/>
    <w:rsid w:val="00F4248B"/>
    <w:rsid w:val="00F42504"/>
    <w:rsid w:val="00F42A2D"/>
    <w:rsid w:val="00F43B7A"/>
    <w:rsid w:val="00F44A71"/>
    <w:rsid w:val="00F45673"/>
    <w:rsid w:val="00F47537"/>
    <w:rsid w:val="00F47869"/>
    <w:rsid w:val="00F47D0E"/>
    <w:rsid w:val="00F50224"/>
    <w:rsid w:val="00F50D67"/>
    <w:rsid w:val="00F51A2F"/>
    <w:rsid w:val="00F51AFE"/>
    <w:rsid w:val="00F5201C"/>
    <w:rsid w:val="00F52AE4"/>
    <w:rsid w:val="00F533E9"/>
    <w:rsid w:val="00F601CA"/>
    <w:rsid w:val="00F60E65"/>
    <w:rsid w:val="00F61088"/>
    <w:rsid w:val="00F633A7"/>
    <w:rsid w:val="00F63AA4"/>
    <w:rsid w:val="00F63EDC"/>
    <w:rsid w:val="00F647CD"/>
    <w:rsid w:val="00F6497D"/>
    <w:rsid w:val="00F64C36"/>
    <w:rsid w:val="00F653F5"/>
    <w:rsid w:val="00F65DA3"/>
    <w:rsid w:val="00F66EC7"/>
    <w:rsid w:val="00F70175"/>
    <w:rsid w:val="00F71105"/>
    <w:rsid w:val="00F727C1"/>
    <w:rsid w:val="00F72D1B"/>
    <w:rsid w:val="00F73B15"/>
    <w:rsid w:val="00F75127"/>
    <w:rsid w:val="00F756A0"/>
    <w:rsid w:val="00F7577A"/>
    <w:rsid w:val="00F76C31"/>
    <w:rsid w:val="00F7711F"/>
    <w:rsid w:val="00F80B76"/>
    <w:rsid w:val="00F8124D"/>
    <w:rsid w:val="00F8171E"/>
    <w:rsid w:val="00F81DC0"/>
    <w:rsid w:val="00F82533"/>
    <w:rsid w:val="00F82E15"/>
    <w:rsid w:val="00F835EB"/>
    <w:rsid w:val="00F83B34"/>
    <w:rsid w:val="00F83E58"/>
    <w:rsid w:val="00F83FAC"/>
    <w:rsid w:val="00F86920"/>
    <w:rsid w:val="00F86E5C"/>
    <w:rsid w:val="00F87057"/>
    <w:rsid w:val="00F87866"/>
    <w:rsid w:val="00F87A59"/>
    <w:rsid w:val="00F87B31"/>
    <w:rsid w:val="00F90493"/>
    <w:rsid w:val="00F9165A"/>
    <w:rsid w:val="00F91965"/>
    <w:rsid w:val="00F92E97"/>
    <w:rsid w:val="00F94B7B"/>
    <w:rsid w:val="00F9575C"/>
    <w:rsid w:val="00F958EA"/>
    <w:rsid w:val="00F95FE4"/>
    <w:rsid w:val="00F964EE"/>
    <w:rsid w:val="00F97948"/>
    <w:rsid w:val="00FA1834"/>
    <w:rsid w:val="00FA3A92"/>
    <w:rsid w:val="00FA4428"/>
    <w:rsid w:val="00FA46CA"/>
    <w:rsid w:val="00FA493E"/>
    <w:rsid w:val="00FA5818"/>
    <w:rsid w:val="00FA70C9"/>
    <w:rsid w:val="00FA78AA"/>
    <w:rsid w:val="00FB042C"/>
    <w:rsid w:val="00FB0E5A"/>
    <w:rsid w:val="00FB2C0F"/>
    <w:rsid w:val="00FB4613"/>
    <w:rsid w:val="00FB4B9E"/>
    <w:rsid w:val="00FB6BD6"/>
    <w:rsid w:val="00FB6C0F"/>
    <w:rsid w:val="00FB7121"/>
    <w:rsid w:val="00FC118A"/>
    <w:rsid w:val="00FC12D6"/>
    <w:rsid w:val="00FC60E0"/>
    <w:rsid w:val="00FC692F"/>
    <w:rsid w:val="00FC6D37"/>
    <w:rsid w:val="00FD0A6D"/>
    <w:rsid w:val="00FD1A7A"/>
    <w:rsid w:val="00FD1F19"/>
    <w:rsid w:val="00FD245D"/>
    <w:rsid w:val="00FD2DAF"/>
    <w:rsid w:val="00FD4B11"/>
    <w:rsid w:val="00FD5359"/>
    <w:rsid w:val="00FD5588"/>
    <w:rsid w:val="00FD61D3"/>
    <w:rsid w:val="00FD6433"/>
    <w:rsid w:val="00FD664F"/>
    <w:rsid w:val="00FD7A62"/>
    <w:rsid w:val="00FE07EE"/>
    <w:rsid w:val="00FE098F"/>
    <w:rsid w:val="00FE201D"/>
    <w:rsid w:val="00FE226E"/>
    <w:rsid w:val="00FE558A"/>
    <w:rsid w:val="00FE5E67"/>
    <w:rsid w:val="00FE65A5"/>
    <w:rsid w:val="00FE6B77"/>
    <w:rsid w:val="00FE7A66"/>
    <w:rsid w:val="00FF033D"/>
    <w:rsid w:val="00FF10A5"/>
    <w:rsid w:val="00FF150F"/>
    <w:rsid w:val="00FF25D9"/>
    <w:rsid w:val="00FF265C"/>
    <w:rsid w:val="00FF2FB2"/>
    <w:rsid w:val="00FF5C45"/>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uiPriority w:val="99"/>
    <w:qFormat/>
    <w:rsid w:val="00CB2893"/>
    <w:rPr>
      <w:b/>
      <w:bCs/>
    </w:rPr>
  </w:style>
  <w:style w:type="paragraph" w:customStyle="1" w:styleId="naisf">
    <w:name w:val="naisf"/>
    <w:basedOn w:val="Normal"/>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aliases w:val="normal"/>
    <w:basedOn w:val="Normal"/>
    <w:link w:val="HeaderChar"/>
    <w:unhideWhenUsed/>
    <w:rsid w:val="00CB2893"/>
    <w:pPr>
      <w:tabs>
        <w:tab w:val="center" w:pos="4153"/>
        <w:tab w:val="right" w:pos="8306"/>
      </w:tabs>
    </w:pPr>
  </w:style>
  <w:style w:type="character" w:customStyle="1" w:styleId="HeaderChar">
    <w:name w:val="Header Char"/>
    <w:aliases w:val="normal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eastAsia="en-US"/>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unhideWhenUsed/>
    <w:rsid w:val="004134D0"/>
    <w:rPr>
      <w:color w:val="000000"/>
      <w:sz w:val="20"/>
      <w:szCs w:val="20"/>
      <w:lang w:val="lv-LV" w:eastAsia="lv-LV"/>
    </w:rPr>
  </w:style>
  <w:style w:type="character" w:customStyle="1" w:styleId="FootnoteTextChar">
    <w:name w:val="Footnote Text Char"/>
    <w:basedOn w:val="DefaultParagraphFont"/>
    <w:link w:val="FootnoteText"/>
    <w:uiPriority w:val="99"/>
    <w:rsid w:val="004134D0"/>
    <w:rPr>
      <w:rFonts w:ascii="Times New Roman" w:eastAsia="Times New Roman" w:hAnsi="Times New Roman"/>
      <w:color w:val="000000"/>
    </w:rPr>
  </w:style>
  <w:style w:type="paragraph" w:styleId="Title">
    <w:name w:val="Title"/>
    <w:basedOn w:val="Normal"/>
    <w:link w:val="TitleChar"/>
    <w:qFormat/>
    <w:rsid w:val="004134D0"/>
    <w:pPr>
      <w:jc w:val="center"/>
    </w:pPr>
    <w:rPr>
      <w:b/>
      <w:color w:val="000000"/>
      <w:sz w:val="28"/>
      <w:szCs w:val="20"/>
      <w:lang w:val="lv-LV"/>
    </w:rPr>
  </w:style>
  <w:style w:type="character" w:customStyle="1" w:styleId="TitleChar">
    <w:name w:val="Title Char"/>
    <w:basedOn w:val="DefaultParagraphFont"/>
    <w:link w:val="Title"/>
    <w:rsid w:val="004134D0"/>
    <w:rPr>
      <w:rFonts w:ascii="Times New Roman" w:eastAsia="Times New Roman" w:hAnsi="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rsid w:val="004134D0"/>
  </w:style>
  <w:style w:type="paragraph" w:customStyle="1" w:styleId="tvhtml1">
    <w:name w:val="tv_html1"/>
    <w:basedOn w:val="Normal"/>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rsid w:val="00CB54E9"/>
  </w:style>
  <w:style w:type="paragraph" w:customStyle="1" w:styleId="tv2131">
    <w:name w:val="tv2131"/>
    <w:basedOn w:val="Normal"/>
    <w:rsid w:val="006C4DC1"/>
    <w:pPr>
      <w:spacing w:before="240" w:line="360" w:lineRule="auto"/>
      <w:ind w:firstLine="300"/>
      <w:jc w:val="both"/>
    </w:pPr>
    <w:rPr>
      <w:rFonts w:ascii="Verdana" w:hAnsi="Verdana"/>
      <w:sz w:val="18"/>
      <w:szCs w:val="18"/>
      <w:lang w:val="lv-LV" w:eastAsia="lv-LV"/>
    </w:rPr>
  </w:style>
  <w:style w:type="character" w:customStyle="1" w:styleId="fontsize21">
    <w:name w:val="fontsize21"/>
    <w:basedOn w:val="DefaultParagraphFont"/>
    <w:rsid w:val="00292E58"/>
    <w:rPr>
      <w:i/>
      <w:iCs/>
      <w:sz w:val="10"/>
      <w:szCs w:val="10"/>
    </w:rPr>
  </w:style>
  <w:style w:type="paragraph" w:customStyle="1" w:styleId="labojumupamats1">
    <w:name w:val="labojumu_pamats1"/>
    <w:basedOn w:val="Normal"/>
    <w:rsid w:val="006A3774"/>
    <w:pPr>
      <w:spacing w:before="56" w:line="360" w:lineRule="auto"/>
      <w:ind w:firstLine="374"/>
    </w:pPr>
    <w:rPr>
      <w:rFonts w:ascii="Verdana" w:hAnsi="Verdana"/>
      <w:i/>
      <w:iCs/>
      <w:sz w:val="21"/>
      <w:szCs w:val="21"/>
      <w:lang w:val="lv-LV" w:eastAsia="lv-LV"/>
    </w:rPr>
  </w:style>
  <w:style w:type="paragraph" w:customStyle="1" w:styleId="tv213">
    <w:name w:val="tv213"/>
    <w:basedOn w:val="Normal"/>
    <w:rsid w:val="00265129"/>
    <w:pPr>
      <w:spacing w:before="100" w:beforeAutospacing="1" w:after="100" w:afterAutospacing="1"/>
    </w:pPr>
    <w:rPr>
      <w:lang w:val="lv-LV" w:eastAsia="lv-LV"/>
    </w:rPr>
  </w:style>
  <w:style w:type="character" w:customStyle="1" w:styleId="spelle">
    <w:name w:val="spelle"/>
    <w:basedOn w:val="DefaultParagraphFont"/>
    <w:rsid w:val="00CB0D9C"/>
  </w:style>
  <w:style w:type="paragraph" w:customStyle="1" w:styleId="Bezatstarpm1">
    <w:name w:val="Bez atstarpēm1"/>
    <w:uiPriority w:val="1"/>
    <w:qFormat/>
    <w:rsid w:val="000027A7"/>
    <w:rPr>
      <w:rFonts w:eastAsia="Times New Roman"/>
      <w:sz w:val="22"/>
      <w:szCs w:val="22"/>
      <w:lang w:val="en-US" w:eastAsia="en-US"/>
    </w:rPr>
  </w:style>
  <w:style w:type="paragraph" w:customStyle="1" w:styleId="top2">
    <w:name w:val="top2"/>
    <w:basedOn w:val="Normal"/>
    <w:uiPriority w:val="99"/>
    <w:rsid w:val="005B0C8C"/>
    <w:pPr>
      <w:spacing w:before="100" w:beforeAutospacing="1" w:after="100" w:afterAutospacing="1"/>
    </w:pPr>
    <w:rPr>
      <w:lang w:val="lv-LV" w:eastAsia="lv-LV"/>
    </w:rPr>
  </w:style>
  <w:style w:type="paragraph" w:customStyle="1" w:styleId="bdc">
    <w:name w:val="bdc"/>
    <w:basedOn w:val="Normal"/>
    <w:uiPriority w:val="99"/>
    <w:rsid w:val="00915955"/>
    <w:pPr>
      <w:spacing w:before="100" w:beforeAutospacing="1" w:after="100" w:afterAutospacing="1"/>
    </w:pPr>
    <w:rPr>
      <w:b/>
      <w:bCs/>
      <w:lang w:val="lv-LV" w:eastAsia="lv-LV"/>
    </w:rPr>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238369029">
      <w:bodyDiv w:val="1"/>
      <w:marLeft w:val="0"/>
      <w:marRight w:val="0"/>
      <w:marTop w:val="0"/>
      <w:marBottom w:val="0"/>
      <w:divBdr>
        <w:top w:val="none" w:sz="0" w:space="0" w:color="auto"/>
        <w:left w:val="none" w:sz="0" w:space="0" w:color="auto"/>
        <w:bottom w:val="none" w:sz="0" w:space="0" w:color="auto"/>
        <w:right w:val="none" w:sz="0" w:space="0" w:color="auto"/>
      </w:divBdr>
      <w:divsChild>
        <w:div w:id="1665089948">
          <w:marLeft w:val="0"/>
          <w:marRight w:val="0"/>
          <w:marTop w:val="0"/>
          <w:marBottom w:val="0"/>
          <w:divBdr>
            <w:top w:val="none" w:sz="0" w:space="0" w:color="auto"/>
            <w:left w:val="none" w:sz="0" w:space="0" w:color="auto"/>
            <w:bottom w:val="none" w:sz="0" w:space="0" w:color="auto"/>
            <w:right w:val="none" w:sz="0" w:space="0" w:color="auto"/>
          </w:divBdr>
          <w:divsChild>
            <w:div w:id="1633707875">
              <w:marLeft w:val="0"/>
              <w:marRight w:val="0"/>
              <w:marTop w:val="0"/>
              <w:marBottom w:val="0"/>
              <w:divBdr>
                <w:top w:val="none" w:sz="0" w:space="0" w:color="auto"/>
                <w:left w:val="none" w:sz="0" w:space="0" w:color="auto"/>
                <w:bottom w:val="none" w:sz="0" w:space="0" w:color="auto"/>
                <w:right w:val="none" w:sz="0" w:space="0" w:color="auto"/>
              </w:divBdr>
              <w:divsChild>
                <w:div w:id="1645695484">
                  <w:marLeft w:val="0"/>
                  <w:marRight w:val="0"/>
                  <w:marTop w:val="0"/>
                  <w:marBottom w:val="0"/>
                  <w:divBdr>
                    <w:top w:val="none" w:sz="0" w:space="0" w:color="auto"/>
                    <w:left w:val="none" w:sz="0" w:space="0" w:color="auto"/>
                    <w:bottom w:val="none" w:sz="0" w:space="0" w:color="auto"/>
                    <w:right w:val="none" w:sz="0" w:space="0" w:color="auto"/>
                  </w:divBdr>
                  <w:divsChild>
                    <w:div w:id="21057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92669">
      <w:bodyDiv w:val="1"/>
      <w:marLeft w:val="0"/>
      <w:marRight w:val="0"/>
      <w:marTop w:val="0"/>
      <w:marBottom w:val="0"/>
      <w:divBdr>
        <w:top w:val="none" w:sz="0" w:space="0" w:color="auto"/>
        <w:left w:val="none" w:sz="0" w:space="0" w:color="auto"/>
        <w:bottom w:val="none" w:sz="0" w:space="0" w:color="auto"/>
        <w:right w:val="none" w:sz="0" w:space="0" w:color="auto"/>
      </w:divBdr>
    </w:div>
    <w:div w:id="328096226">
      <w:bodyDiv w:val="1"/>
      <w:marLeft w:val="0"/>
      <w:marRight w:val="0"/>
      <w:marTop w:val="0"/>
      <w:marBottom w:val="0"/>
      <w:divBdr>
        <w:top w:val="none" w:sz="0" w:space="0" w:color="auto"/>
        <w:left w:val="none" w:sz="0" w:space="0" w:color="auto"/>
        <w:bottom w:val="none" w:sz="0" w:space="0" w:color="auto"/>
        <w:right w:val="none" w:sz="0" w:space="0" w:color="auto"/>
      </w:divBdr>
      <w:divsChild>
        <w:div w:id="1574314630">
          <w:marLeft w:val="0"/>
          <w:marRight w:val="0"/>
          <w:marTop w:val="0"/>
          <w:marBottom w:val="0"/>
          <w:divBdr>
            <w:top w:val="none" w:sz="0" w:space="0" w:color="auto"/>
            <w:left w:val="none" w:sz="0" w:space="0" w:color="auto"/>
            <w:bottom w:val="none" w:sz="0" w:space="0" w:color="auto"/>
            <w:right w:val="none" w:sz="0" w:space="0" w:color="auto"/>
          </w:divBdr>
          <w:divsChild>
            <w:div w:id="1832790395">
              <w:marLeft w:val="0"/>
              <w:marRight w:val="0"/>
              <w:marTop w:val="0"/>
              <w:marBottom w:val="0"/>
              <w:divBdr>
                <w:top w:val="none" w:sz="0" w:space="0" w:color="auto"/>
                <w:left w:val="none" w:sz="0" w:space="0" w:color="auto"/>
                <w:bottom w:val="none" w:sz="0" w:space="0" w:color="auto"/>
                <w:right w:val="none" w:sz="0" w:space="0" w:color="auto"/>
              </w:divBdr>
              <w:divsChild>
                <w:div w:id="1682197158">
                  <w:marLeft w:val="0"/>
                  <w:marRight w:val="0"/>
                  <w:marTop w:val="0"/>
                  <w:marBottom w:val="0"/>
                  <w:divBdr>
                    <w:top w:val="none" w:sz="0" w:space="0" w:color="auto"/>
                    <w:left w:val="none" w:sz="0" w:space="0" w:color="auto"/>
                    <w:bottom w:val="none" w:sz="0" w:space="0" w:color="auto"/>
                    <w:right w:val="none" w:sz="0" w:space="0" w:color="auto"/>
                  </w:divBdr>
                  <w:divsChild>
                    <w:div w:id="1537280640">
                      <w:marLeft w:val="0"/>
                      <w:marRight w:val="0"/>
                      <w:marTop w:val="0"/>
                      <w:marBottom w:val="0"/>
                      <w:divBdr>
                        <w:top w:val="none" w:sz="0" w:space="0" w:color="auto"/>
                        <w:left w:val="none" w:sz="0" w:space="0" w:color="auto"/>
                        <w:bottom w:val="none" w:sz="0" w:space="0" w:color="auto"/>
                        <w:right w:val="none" w:sz="0" w:space="0" w:color="auto"/>
                      </w:divBdr>
                      <w:divsChild>
                        <w:div w:id="1380398596">
                          <w:marLeft w:val="0"/>
                          <w:marRight w:val="0"/>
                          <w:marTop w:val="0"/>
                          <w:marBottom w:val="0"/>
                          <w:divBdr>
                            <w:top w:val="none" w:sz="0" w:space="0" w:color="auto"/>
                            <w:left w:val="none" w:sz="0" w:space="0" w:color="auto"/>
                            <w:bottom w:val="none" w:sz="0" w:space="0" w:color="auto"/>
                            <w:right w:val="none" w:sz="0" w:space="0" w:color="auto"/>
                          </w:divBdr>
                          <w:divsChild>
                            <w:div w:id="420416078">
                              <w:marLeft w:val="0"/>
                              <w:marRight w:val="0"/>
                              <w:marTop w:val="0"/>
                              <w:marBottom w:val="0"/>
                              <w:divBdr>
                                <w:top w:val="none" w:sz="0" w:space="0" w:color="auto"/>
                                <w:left w:val="none" w:sz="0" w:space="0" w:color="auto"/>
                                <w:bottom w:val="none" w:sz="0" w:space="0" w:color="auto"/>
                                <w:right w:val="none" w:sz="0" w:space="0" w:color="auto"/>
                              </w:divBdr>
                              <w:divsChild>
                                <w:div w:id="2104835584">
                                  <w:marLeft w:val="0"/>
                                  <w:marRight w:val="0"/>
                                  <w:marTop w:val="0"/>
                                  <w:marBottom w:val="0"/>
                                  <w:divBdr>
                                    <w:top w:val="none" w:sz="0" w:space="0" w:color="auto"/>
                                    <w:left w:val="none" w:sz="0" w:space="0" w:color="auto"/>
                                    <w:bottom w:val="none" w:sz="0" w:space="0" w:color="auto"/>
                                    <w:right w:val="none" w:sz="0" w:space="0" w:color="auto"/>
                                  </w:divBdr>
                                  <w:divsChild>
                                    <w:div w:id="320744601">
                                      <w:marLeft w:val="0"/>
                                      <w:marRight w:val="0"/>
                                      <w:marTop w:val="0"/>
                                      <w:marBottom w:val="0"/>
                                      <w:divBdr>
                                        <w:top w:val="single" w:sz="4" w:space="0" w:color="F5F5F5"/>
                                        <w:left w:val="single" w:sz="4" w:space="0" w:color="F5F5F5"/>
                                        <w:bottom w:val="single" w:sz="4" w:space="0" w:color="F5F5F5"/>
                                        <w:right w:val="single" w:sz="4" w:space="0" w:color="F5F5F5"/>
                                      </w:divBdr>
                                      <w:divsChild>
                                        <w:div w:id="27873389">
                                          <w:marLeft w:val="0"/>
                                          <w:marRight w:val="0"/>
                                          <w:marTop w:val="0"/>
                                          <w:marBottom w:val="0"/>
                                          <w:divBdr>
                                            <w:top w:val="none" w:sz="0" w:space="0" w:color="auto"/>
                                            <w:left w:val="none" w:sz="0" w:space="0" w:color="auto"/>
                                            <w:bottom w:val="none" w:sz="0" w:space="0" w:color="auto"/>
                                            <w:right w:val="none" w:sz="0" w:space="0" w:color="auto"/>
                                          </w:divBdr>
                                          <w:divsChild>
                                            <w:div w:id="1381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06193771">
      <w:bodyDiv w:val="1"/>
      <w:marLeft w:val="0"/>
      <w:marRight w:val="0"/>
      <w:marTop w:val="0"/>
      <w:marBottom w:val="0"/>
      <w:divBdr>
        <w:top w:val="none" w:sz="0" w:space="0" w:color="auto"/>
        <w:left w:val="none" w:sz="0" w:space="0" w:color="auto"/>
        <w:bottom w:val="none" w:sz="0" w:space="0" w:color="auto"/>
        <w:right w:val="none" w:sz="0" w:space="0" w:color="auto"/>
      </w:divBdr>
      <w:divsChild>
        <w:div w:id="496850580">
          <w:marLeft w:val="0"/>
          <w:marRight w:val="0"/>
          <w:marTop w:val="0"/>
          <w:marBottom w:val="0"/>
          <w:divBdr>
            <w:top w:val="none" w:sz="0" w:space="0" w:color="auto"/>
            <w:left w:val="none" w:sz="0" w:space="0" w:color="auto"/>
            <w:bottom w:val="none" w:sz="0" w:space="0" w:color="auto"/>
            <w:right w:val="none" w:sz="0" w:space="0" w:color="auto"/>
          </w:divBdr>
          <w:divsChild>
            <w:div w:id="948244348">
              <w:marLeft w:val="0"/>
              <w:marRight w:val="0"/>
              <w:marTop w:val="0"/>
              <w:marBottom w:val="0"/>
              <w:divBdr>
                <w:top w:val="none" w:sz="0" w:space="0" w:color="auto"/>
                <w:left w:val="none" w:sz="0" w:space="0" w:color="auto"/>
                <w:bottom w:val="none" w:sz="0" w:space="0" w:color="auto"/>
                <w:right w:val="none" w:sz="0" w:space="0" w:color="auto"/>
              </w:divBdr>
              <w:divsChild>
                <w:div w:id="885603347">
                  <w:marLeft w:val="0"/>
                  <w:marRight w:val="0"/>
                  <w:marTop w:val="0"/>
                  <w:marBottom w:val="0"/>
                  <w:divBdr>
                    <w:top w:val="none" w:sz="0" w:space="0" w:color="auto"/>
                    <w:left w:val="none" w:sz="0" w:space="0" w:color="auto"/>
                    <w:bottom w:val="none" w:sz="0" w:space="0" w:color="auto"/>
                    <w:right w:val="none" w:sz="0" w:space="0" w:color="auto"/>
                  </w:divBdr>
                  <w:divsChild>
                    <w:div w:id="1955405767">
                      <w:marLeft w:val="0"/>
                      <w:marRight w:val="0"/>
                      <w:marTop w:val="0"/>
                      <w:marBottom w:val="0"/>
                      <w:divBdr>
                        <w:top w:val="none" w:sz="0" w:space="0" w:color="auto"/>
                        <w:left w:val="none" w:sz="0" w:space="0" w:color="auto"/>
                        <w:bottom w:val="none" w:sz="0" w:space="0" w:color="auto"/>
                        <w:right w:val="none" w:sz="0" w:space="0" w:color="auto"/>
                      </w:divBdr>
                      <w:divsChild>
                        <w:div w:id="1913660965">
                          <w:marLeft w:val="0"/>
                          <w:marRight w:val="0"/>
                          <w:marTop w:val="0"/>
                          <w:marBottom w:val="0"/>
                          <w:divBdr>
                            <w:top w:val="none" w:sz="0" w:space="0" w:color="auto"/>
                            <w:left w:val="none" w:sz="0" w:space="0" w:color="auto"/>
                            <w:bottom w:val="none" w:sz="0" w:space="0" w:color="auto"/>
                            <w:right w:val="none" w:sz="0" w:space="0" w:color="auto"/>
                          </w:divBdr>
                          <w:divsChild>
                            <w:div w:id="176235595">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sChild>
                                    <w:div w:id="771054613">
                                      <w:marLeft w:val="0"/>
                                      <w:marRight w:val="0"/>
                                      <w:marTop w:val="0"/>
                                      <w:marBottom w:val="0"/>
                                      <w:divBdr>
                                        <w:top w:val="single" w:sz="8" w:space="0" w:color="F5F5F5"/>
                                        <w:left w:val="single" w:sz="8" w:space="0" w:color="F5F5F5"/>
                                        <w:bottom w:val="single" w:sz="8" w:space="0" w:color="F5F5F5"/>
                                        <w:right w:val="single" w:sz="8" w:space="0" w:color="F5F5F5"/>
                                      </w:divBdr>
                                      <w:divsChild>
                                        <w:div w:id="483090840">
                                          <w:marLeft w:val="0"/>
                                          <w:marRight w:val="0"/>
                                          <w:marTop w:val="0"/>
                                          <w:marBottom w:val="0"/>
                                          <w:divBdr>
                                            <w:top w:val="none" w:sz="0" w:space="0" w:color="auto"/>
                                            <w:left w:val="none" w:sz="0" w:space="0" w:color="auto"/>
                                            <w:bottom w:val="none" w:sz="0" w:space="0" w:color="auto"/>
                                            <w:right w:val="none" w:sz="0" w:space="0" w:color="auto"/>
                                          </w:divBdr>
                                          <w:divsChild>
                                            <w:div w:id="596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6432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76">
          <w:marLeft w:val="0"/>
          <w:marRight w:val="0"/>
          <w:marTop w:val="0"/>
          <w:marBottom w:val="0"/>
          <w:divBdr>
            <w:top w:val="none" w:sz="0" w:space="0" w:color="auto"/>
            <w:left w:val="none" w:sz="0" w:space="0" w:color="auto"/>
            <w:bottom w:val="none" w:sz="0" w:space="0" w:color="auto"/>
            <w:right w:val="none" w:sz="0" w:space="0" w:color="auto"/>
          </w:divBdr>
          <w:divsChild>
            <w:div w:id="1069769494">
              <w:marLeft w:val="0"/>
              <w:marRight w:val="0"/>
              <w:marTop w:val="0"/>
              <w:marBottom w:val="0"/>
              <w:divBdr>
                <w:top w:val="none" w:sz="0" w:space="0" w:color="auto"/>
                <w:left w:val="none" w:sz="0" w:space="0" w:color="auto"/>
                <w:bottom w:val="none" w:sz="0" w:space="0" w:color="auto"/>
                <w:right w:val="none" w:sz="0" w:space="0" w:color="auto"/>
              </w:divBdr>
              <w:divsChild>
                <w:div w:id="1149594179">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0"/>
                      <w:marRight w:val="0"/>
                      <w:marTop w:val="0"/>
                      <w:marBottom w:val="0"/>
                      <w:divBdr>
                        <w:top w:val="none" w:sz="0" w:space="0" w:color="auto"/>
                        <w:left w:val="none" w:sz="0" w:space="0" w:color="auto"/>
                        <w:bottom w:val="none" w:sz="0" w:space="0" w:color="auto"/>
                        <w:right w:val="none" w:sz="0" w:space="0" w:color="auto"/>
                      </w:divBdr>
                      <w:divsChild>
                        <w:div w:id="1966691520">
                          <w:marLeft w:val="0"/>
                          <w:marRight w:val="0"/>
                          <w:marTop w:val="0"/>
                          <w:marBottom w:val="0"/>
                          <w:divBdr>
                            <w:top w:val="none" w:sz="0" w:space="0" w:color="auto"/>
                            <w:left w:val="none" w:sz="0" w:space="0" w:color="auto"/>
                            <w:bottom w:val="none" w:sz="0" w:space="0" w:color="auto"/>
                            <w:right w:val="none" w:sz="0" w:space="0" w:color="auto"/>
                          </w:divBdr>
                          <w:divsChild>
                            <w:div w:id="745498337">
                              <w:marLeft w:val="0"/>
                              <w:marRight w:val="0"/>
                              <w:marTop w:val="0"/>
                              <w:marBottom w:val="0"/>
                              <w:divBdr>
                                <w:top w:val="none" w:sz="0" w:space="0" w:color="auto"/>
                                <w:left w:val="none" w:sz="0" w:space="0" w:color="auto"/>
                                <w:bottom w:val="none" w:sz="0" w:space="0" w:color="auto"/>
                                <w:right w:val="none" w:sz="0" w:space="0" w:color="auto"/>
                              </w:divBdr>
                              <w:divsChild>
                                <w:div w:id="1836722267">
                                  <w:marLeft w:val="0"/>
                                  <w:marRight w:val="0"/>
                                  <w:marTop w:val="0"/>
                                  <w:marBottom w:val="0"/>
                                  <w:divBdr>
                                    <w:top w:val="none" w:sz="0" w:space="0" w:color="auto"/>
                                    <w:left w:val="none" w:sz="0" w:space="0" w:color="auto"/>
                                    <w:bottom w:val="none" w:sz="0" w:space="0" w:color="auto"/>
                                    <w:right w:val="none" w:sz="0" w:space="0" w:color="auto"/>
                                  </w:divBdr>
                                  <w:divsChild>
                                    <w:div w:id="1355690791">
                                      <w:marLeft w:val="0"/>
                                      <w:marRight w:val="0"/>
                                      <w:marTop w:val="0"/>
                                      <w:marBottom w:val="0"/>
                                      <w:divBdr>
                                        <w:top w:val="single" w:sz="8" w:space="0" w:color="F5F5F5"/>
                                        <w:left w:val="single" w:sz="8" w:space="0" w:color="F5F5F5"/>
                                        <w:bottom w:val="single" w:sz="8" w:space="0" w:color="F5F5F5"/>
                                        <w:right w:val="single" w:sz="8" w:space="0" w:color="F5F5F5"/>
                                      </w:divBdr>
                                      <w:divsChild>
                                        <w:div w:id="120736482">
                                          <w:marLeft w:val="0"/>
                                          <w:marRight w:val="0"/>
                                          <w:marTop w:val="0"/>
                                          <w:marBottom w:val="0"/>
                                          <w:divBdr>
                                            <w:top w:val="none" w:sz="0" w:space="0" w:color="auto"/>
                                            <w:left w:val="none" w:sz="0" w:space="0" w:color="auto"/>
                                            <w:bottom w:val="none" w:sz="0" w:space="0" w:color="auto"/>
                                            <w:right w:val="none" w:sz="0" w:space="0" w:color="auto"/>
                                          </w:divBdr>
                                          <w:divsChild>
                                            <w:div w:id="1889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497738">
      <w:bodyDiv w:val="1"/>
      <w:marLeft w:val="0"/>
      <w:marRight w:val="0"/>
      <w:marTop w:val="0"/>
      <w:marBottom w:val="0"/>
      <w:divBdr>
        <w:top w:val="none" w:sz="0" w:space="0" w:color="auto"/>
        <w:left w:val="none" w:sz="0" w:space="0" w:color="auto"/>
        <w:bottom w:val="none" w:sz="0" w:space="0" w:color="auto"/>
        <w:right w:val="none" w:sz="0" w:space="0" w:color="auto"/>
      </w:divBdr>
      <w:divsChild>
        <w:div w:id="1908148793">
          <w:marLeft w:val="0"/>
          <w:marRight w:val="0"/>
          <w:marTop w:val="0"/>
          <w:marBottom w:val="0"/>
          <w:divBdr>
            <w:top w:val="none" w:sz="0" w:space="0" w:color="auto"/>
            <w:left w:val="none" w:sz="0" w:space="0" w:color="auto"/>
            <w:bottom w:val="none" w:sz="0" w:space="0" w:color="auto"/>
            <w:right w:val="none" w:sz="0" w:space="0" w:color="auto"/>
          </w:divBdr>
        </w:div>
      </w:divsChild>
    </w:div>
    <w:div w:id="1118529025">
      <w:bodyDiv w:val="1"/>
      <w:marLeft w:val="0"/>
      <w:marRight w:val="0"/>
      <w:marTop w:val="0"/>
      <w:marBottom w:val="0"/>
      <w:divBdr>
        <w:top w:val="none" w:sz="0" w:space="0" w:color="auto"/>
        <w:left w:val="none" w:sz="0" w:space="0" w:color="auto"/>
        <w:bottom w:val="none" w:sz="0" w:space="0" w:color="auto"/>
        <w:right w:val="none" w:sz="0" w:space="0" w:color="auto"/>
      </w:divBdr>
      <w:divsChild>
        <w:div w:id="191302892">
          <w:marLeft w:val="0"/>
          <w:marRight w:val="0"/>
          <w:marTop w:val="0"/>
          <w:marBottom w:val="0"/>
          <w:divBdr>
            <w:top w:val="none" w:sz="0" w:space="0" w:color="auto"/>
            <w:left w:val="none" w:sz="0" w:space="0" w:color="auto"/>
            <w:bottom w:val="none" w:sz="0" w:space="0" w:color="auto"/>
            <w:right w:val="none" w:sz="0" w:space="0" w:color="auto"/>
          </w:divBdr>
          <w:divsChild>
            <w:div w:id="228269762">
              <w:marLeft w:val="0"/>
              <w:marRight w:val="0"/>
              <w:marTop w:val="0"/>
              <w:marBottom w:val="0"/>
              <w:divBdr>
                <w:top w:val="none" w:sz="0" w:space="0" w:color="auto"/>
                <w:left w:val="none" w:sz="0" w:space="0" w:color="auto"/>
                <w:bottom w:val="none" w:sz="0" w:space="0" w:color="auto"/>
                <w:right w:val="none" w:sz="0" w:space="0" w:color="auto"/>
              </w:divBdr>
              <w:divsChild>
                <w:div w:id="412746369">
                  <w:marLeft w:val="0"/>
                  <w:marRight w:val="0"/>
                  <w:marTop w:val="0"/>
                  <w:marBottom w:val="0"/>
                  <w:divBdr>
                    <w:top w:val="none" w:sz="0" w:space="0" w:color="auto"/>
                    <w:left w:val="none" w:sz="0" w:space="0" w:color="auto"/>
                    <w:bottom w:val="none" w:sz="0" w:space="0" w:color="auto"/>
                    <w:right w:val="none" w:sz="0" w:space="0" w:color="auto"/>
                  </w:divBdr>
                  <w:divsChild>
                    <w:div w:id="1929801323">
                      <w:marLeft w:val="0"/>
                      <w:marRight w:val="0"/>
                      <w:marTop w:val="0"/>
                      <w:marBottom w:val="0"/>
                      <w:divBdr>
                        <w:top w:val="none" w:sz="0" w:space="0" w:color="auto"/>
                        <w:left w:val="none" w:sz="0" w:space="0" w:color="auto"/>
                        <w:bottom w:val="none" w:sz="0" w:space="0" w:color="auto"/>
                        <w:right w:val="none" w:sz="0" w:space="0" w:color="auto"/>
                      </w:divBdr>
                      <w:divsChild>
                        <w:div w:id="674844080">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0"/>
                              <w:marRight w:val="0"/>
                              <w:marTop w:val="0"/>
                              <w:marBottom w:val="0"/>
                              <w:divBdr>
                                <w:top w:val="none" w:sz="0" w:space="0" w:color="auto"/>
                                <w:left w:val="none" w:sz="0" w:space="0" w:color="auto"/>
                                <w:bottom w:val="none" w:sz="0" w:space="0" w:color="auto"/>
                                <w:right w:val="none" w:sz="0" w:space="0" w:color="auto"/>
                              </w:divBdr>
                              <w:divsChild>
                                <w:div w:id="1880431246">
                                  <w:marLeft w:val="0"/>
                                  <w:marRight w:val="0"/>
                                  <w:marTop w:val="0"/>
                                  <w:marBottom w:val="0"/>
                                  <w:divBdr>
                                    <w:top w:val="none" w:sz="0" w:space="0" w:color="auto"/>
                                    <w:left w:val="none" w:sz="0" w:space="0" w:color="auto"/>
                                    <w:bottom w:val="none" w:sz="0" w:space="0" w:color="auto"/>
                                    <w:right w:val="none" w:sz="0" w:space="0" w:color="auto"/>
                                  </w:divBdr>
                                  <w:divsChild>
                                    <w:div w:id="1527789304">
                                      <w:marLeft w:val="0"/>
                                      <w:marRight w:val="0"/>
                                      <w:marTop w:val="0"/>
                                      <w:marBottom w:val="0"/>
                                      <w:divBdr>
                                        <w:top w:val="single" w:sz="8" w:space="0" w:color="F5F5F5"/>
                                        <w:left w:val="single" w:sz="8" w:space="0" w:color="F5F5F5"/>
                                        <w:bottom w:val="single" w:sz="8" w:space="0" w:color="F5F5F5"/>
                                        <w:right w:val="single" w:sz="8" w:space="0" w:color="F5F5F5"/>
                                      </w:divBdr>
                                      <w:divsChild>
                                        <w:div w:id="684287919">
                                          <w:marLeft w:val="0"/>
                                          <w:marRight w:val="0"/>
                                          <w:marTop w:val="0"/>
                                          <w:marBottom w:val="0"/>
                                          <w:divBdr>
                                            <w:top w:val="none" w:sz="0" w:space="0" w:color="auto"/>
                                            <w:left w:val="none" w:sz="0" w:space="0" w:color="auto"/>
                                            <w:bottom w:val="none" w:sz="0" w:space="0" w:color="auto"/>
                                            <w:right w:val="none" w:sz="0" w:space="0" w:color="auto"/>
                                          </w:divBdr>
                                          <w:divsChild>
                                            <w:div w:id="1670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18413">
      <w:bodyDiv w:val="1"/>
      <w:marLeft w:val="0"/>
      <w:marRight w:val="0"/>
      <w:marTop w:val="0"/>
      <w:marBottom w:val="0"/>
      <w:divBdr>
        <w:top w:val="none" w:sz="0" w:space="0" w:color="auto"/>
        <w:left w:val="none" w:sz="0" w:space="0" w:color="auto"/>
        <w:bottom w:val="none" w:sz="0" w:space="0" w:color="auto"/>
        <w:right w:val="none" w:sz="0" w:space="0" w:color="auto"/>
      </w:divBdr>
      <w:divsChild>
        <w:div w:id="463542672">
          <w:marLeft w:val="0"/>
          <w:marRight w:val="0"/>
          <w:marTop w:val="0"/>
          <w:marBottom w:val="0"/>
          <w:divBdr>
            <w:top w:val="none" w:sz="0" w:space="0" w:color="auto"/>
            <w:left w:val="none" w:sz="0" w:space="0" w:color="auto"/>
            <w:bottom w:val="none" w:sz="0" w:space="0" w:color="auto"/>
            <w:right w:val="none" w:sz="0" w:space="0" w:color="auto"/>
          </w:divBdr>
          <w:divsChild>
            <w:div w:id="1367025417">
              <w:marLeft w:val="0"/>
              <w:marRight w:val="0"/>
              <w:marTop w:val="0"/>
              <w:marBottom w:val="0"/>
              <w:divBdr>
                <w:top w:val="none" w:sz="0" w:space="0" w:color="auto"/>
                <w:left w:val="none" w:sz="0" w:space="0" w:color="auto"/>
                <w:bottom w:val="none" w:sz="0" w:space="0" w:color="auto"/>
                <w:right w:val="none" w:sz="0" w:space="0" w:color="auto"/>
              </w:divBdr>
              <w:divsChild>
                <w:div w:id="1675034923">
                  <w:marLeft w:val="0"/>
                  <w:marRight w:val="0"/>
                  <w:marTop w:val="0"/>
                  <w:marBottom w:val="0"/>
                  <w:divBdr>
                    <w:top w:val="none" w:sz="0" w:space="0" w:color="auto"/>
                    <w:left w:val="none" w:sz="0" w:space="0" w:color="auto"/>
                    <w:bottom w:val="none" w:sz="0" w:space="0" w:color="auto"/>
                    <w:right w:val="none" w:sz="0" w:space="0" w:color="auto"/>
                  </w:divBdr>
                  <w:divsChild>
                    <w:div w:id="8873343">
                      <w:marLeft w:val="0"/>
                      <w:marRight w:val="0"/>
                      <w:marTop w:val="0"/>
                      <w:marBottom w:val="0"/>
                      <w:divBdr>
                        <w:top w:val="none" w:sz="0" w:space="0" w:color="auto"/>
                        <w:left w:val="none" w:sz="0" w:space="0" w:color="auto"/>
                        <w:bottom w:val="none" w:sz="0" w:space="0" w:color="auto"/>
                        <w:right w:val="none" w:sz="0" w:space="0" w:color="auto"/>
                      </w:divBdr>
                      <w:divsChild>
                        <w:div w:id="923874301">
                          <w:marLeft w:val="0"/>
                          <w:marRight w:val="0"/>
                          <w:marTop w:val="0"/>
                          <w:marBottom w:val="0"/>
                          <w:divBdr>
                            <w:top w:val="none" w:sz="0" w:space="0" w:color="auto"/>
                            <w:left w:val="none" w:sz="0" w:space="0" w:color="auto"/>
                            <w:bottom w:val="none" w:sz="0" w:space="0" w:color="auto"/>
                            <w:right w:val="none" w:sz="0" w:space="0" w:color="auto"/>
                          </w:divBdr>
                          <w:divsChild>
                            <w:div w:id="496582685">
                              <w:marLeft w:val="0"/>
                              <w:marRight w:val="0"/>
                              <w:marTop w:val="0"/>
                              <w:marBottom w:val="0"/>
                              <w:divBdr>
                                <w:top w:val="none" w:sz="0" w:space="0" w:color="auto"/>
                                <w:left w:val="none" w:sz="0" w:space="0" w:color="auto"/>
                                <w:bottom w:val="none" w:sz="0" w:space="0" w:color="auto"/>
                                <w:right w:val="none" w:sz="0" w:space="0" w:color="auto"/>
                              </w:divBdr>
                              <w:divsChild>
                                <w:div w:id="2043822535">
                                  <w:marLeft w:val="0"/>
                                  <w:marRight w:val="0"/>
                                  <w:marTop w:val="0"/>
                                  <w:marBottom w:val="0"/>
                                  <w:divBdr>
                                    <w:top w:val="none" w:sz="0" w:space="0" w:color="auto"/>
                                    <w:left w:val="none" w:sz="0" w:space="0" w:color="auto"/>
                                    <w:bottom w:val="none" w:sz="0" w:space="0" w:color="auto"/>
                                    <w:right w:val="none" w:sz="0" w:space="0" w:color="auto"/>
                                  </w:divBdr>
                                  <w:divsChild>
                                    <w:div w:id="682249922">
                                      <w:marLeft w:val="0"/>
                                      <w:marRight w:val="0"/>
                                      <w:marTop w:val="0"/>
                                      <w:marBottom w:val="0"/>
                                      <w:divBdr>
                                        <w:top w:val="single" w:sz="8" w:space="0" w:color="F5F5F5"/>
                                        <w:left w:val="single" w:sz="8" w:space="0" w:color="F5F5F5"/>
                                        <w:bottom w:val="single" w:sz="8" w:space="0" w:color="F5F5F5"/>
                                        <w:right w:val="single" w:sz="8" w:space="0" w:color="F5F5F5"/>
                                      </w:divBdr>
                                      <w:divsChild>
                                        <w:div w:id="1513686314">
                                          <w:marLeft w:val="0"/>
                                          <w:marRight w:val="0"/>
                                          <w:marTop w:val="0"/>
                                          <w:marBottom w:val="0"/>
                                          <w:divBdr>
                                            <w:top w:val="none" w:sz="0" w:space="0" w:color="auto"/>
                                            <w:left w:val="none" w:sz="0" w:space="0" w:color="auto"/>
                                            <w:bottom w:val="none" w:sz="0" w:space="0" w:color="auto"/>
                                            <w:right w:val="none" w:sz="0" w:space="0" w:color="auto"/>
                                          </w:divBdr>
                                          <w:divsChild>
                                            <w:div w:id="1488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6589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99">
          <w:marLeft w:val="0"/>
          <w:marRight w:val="0"/>
          <w:marTop w:val="0"/>
          <w:marBottom w:val="0"/>
          <w:divBdr>
            <w:top w:val="none" w:sz="0" w:space="0" w:color="auto"/>
            <w:left w:val="none" w:sz="0" w:space="0" w:color="auto"/>
            <w:bottom w:val="none" w:sz="0" w:space="0" w:color="auto"/>
            <w:right w:val="none" w:sz="0" w:space="0" w:color="auto"/>
          </w:divBdr>
          <w:divsChild>
            <w:div w:id="231087813">
              <w:marLeft w:val="0"/>
              <w:marRight w:val="0"/>
              <w:marTop w:val="0"/>
              <w:marBottom w:val="0"/>
              <w:divBdr>
                <w:top w:val="none" w:sz="0" w:space="0" w:color="auto"/>
                <w:left w:val="none" w:sz="0" w:space="0" w:color="auto"/>
                <w:bottom w:val="none" w:sz="0" w:space="0" w:color="auto"/>
                <w:right w:val="none" w:sz="0" w:space="0" w:color="auto"/>
              </w:divBdr>
              <w:divsChild>
                <w:div w:id="1593199862">
                  <w:marLeft w:val="0"/>
                  <w:marRight w:val="0"/>
                  <w:marTop w:val="0"/>
                  <w:marBottom w:val="0"/>
                  <w:divBdr>
                    <w:top w:val="none" w:sz="0" w:space="0" w:color="auto"/>
                    <w:left w:val="none" w:sz="0" w:space="0" w:color="auto"/>
                    <w:bottom w:val="none" w:sz="0" w:space="0" w:color="auto"/>
                    <w:right w:val="none" w:sz="0" w:space="0" w:color="auto"/>
                  </w:divBdr>
                  <w:divsChild>
                    <w:div w:id="507448597">
                      <w:marLeft w:val="0"/>
                      <w:marRight w:val="0"/>
                      <w:marTop w:val="0"/>
                      <w:marBottom w:val="0"/>
                      <w:divBdr>
                        <w:top w:val="none" w:sz="0" w:space="0" w:color="auto"/>
                        <w:left w:val="none" w:sz="0" w:space="0" w:color="auto"/>
                        <w:bottom w:val="none" w:sz="0" w:space="0" w:color="auto"/>
                        <w:right w:val="none" w:sz="0" w:space="0" w:color="auto"/>
                      </w:divBdr>
                      <w:divsChild>
                        <w:div w:id="775029230">
                          <w:marLeft w:val="0"/>
                          <w:marRight w:val="0"/>
                          <w:marTop w:val="0"/>
                          <w:marBottom w:val="0"/>
                          <w:divBdr>
                            <w:top w:val="none" w:sz="0" w:space="0" w:color="auto"/>
                            <w:left w:val="none" w:sz="0" w:space="0" w:color="auto"/>
                            <w:bottom w:val="none" w:sz="0" w:space="0" w:color="auto"/>
                            <w:right w:val="none" w:sz="0" w:space="0" w:color="auto"/>
                          </w:divBdr>
                          <w:divsChild>
                            <w:div w:id="1089733830">
                              <w:marLeft w:val="0"/>
                              <w:marRight w:val="0"/>
                              <w:marTop w:val="0"/>
                              <w:marBottom w:val="0"/>
                              <w:divBdr>
                                <w:top w:val="none" w:sz="0" w:space="0" w:color="auto"/>
                                <w:left w:val="none" w:sz="0" w:space="0" w:color="auto"/>
                                <w:bottom w:val="none" w:sz="0" w:space="0" w:color="auto"/>
                                <w:right w:val="none" w:sz="0" w:space="0" w:color="auto"/>
                              </w:divBdr>
                              <w:divsChild>
                                <w:div w:id="592780592">
                                  <w:marLeft w:val="0"/>
                                  <w:marRight w:val="0"/>
                                  <w:marTop w:val="0"/>
                                  <w:marBottom w:val="0"/>
                                  <w:divBdr>
                                    <w:top w:val="none" w:sz="0" w:space="0" w:color="auto"/>
                                    <w:left w:val="none" w:sz="0" w:space="0" w:color="auto"/>
                                    <w:bottom w:val="none" w:sz="0" w:space="0" w:color="auto"/>
                                    <w:right w:val="none" w:sz="0" w:space="0" w:color="auto"/>
                                  </w:divBdr>
                                  <w:divsChild>
                                    <w:div w:id="436684078">
                                      <w:marLeft w:val="0"/>
                                      <w:marRight w:val="0"/>
                                      <w:marTop w:val="0"/>
                                      <w:marBottom w:val="0"/>
                                      <w:divBdr>
                                        <w:top w:val="single" w:sz="8" w:space="0" w:color="F5F5F5"/>
                                        <w:left w:val="single" w:sz="8" w:space="0" w:color="F5F5F5"/>
                                        <w:bottom w:val="single" w:sz="8" w:space="0" w:color="F5F5F5"/>
                                        <w:right w:val="single" w:sz="8" w:space="0" w:color="F5F5F5"/>
                                      </w:divBdr>
                                      <w:divsChild>
                                        <w:div w:id="513618708">
                                          <w:marLeft w:val="0"/>
                                          <w:marRight w:val="0"/>
                                          <w:marTop w:val="0"/>
                                          <w:marBottom w:val="0"/>
                                          <w:divBdr>
                                            <w:top w:val="none" w:sz="0" w:space="0" w:color="auto"/>
                                            <w:left w:val="none" w:sz="0" w:space="0" w:color="auto"/>
                                            <w:bottom w:val="none" w:sz="0" w:space="0" w:color="auto"/>
                                            <w:right w:val="none" w:sz="0" w:space="0" w:color="auto"/>
                                          </w:divBdr>
                                          <w:divsChild>
                                            <w:div w:id="109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956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75">
          <w:marLeft w:val="0"/>
          <w:marRight w:val="0"/>
          <w:marTop w:val="0"/>
          <w:marBottom w:val="0"/>
          <w:divBdr>
            <w:top w:val="none" w:sz="0" w:space="0" w:color="auto"/>
            <w:left w:val="none" w:sz="0" w:space="0" w:color="auto"/>
            <w:bottom w:val="none" w:sz="0" w:space="0" w:color="auto"/>
            <w:right w:val="none" w:sz="0" w:space="0" w:color="auto"/>
          </w:divBdr>
          <w:divsChild>
            <w:div w:id="1632007099">
              <w:marLeft w:val="0"/>
              <w:marRight w:val="0"/>
              <w:marTop w:val="0"/>
              <w:marBottom w:val="0"/>
              <w:divBdr>
                <w:top w:val="none" w:sz="0" w:space="0" w:color="auto"/>
                <w:left w:val="none" w:sz="0" w:space="0" w:color="auto"/>
                <w:bottom w:val="none" w:sz="0" w:space="0" w:color="auto"/>
                <w:right w:val="none" w:sz="0" w:space="0" w:color="auto"/>
              </w:divBdr>
              <w:divsChild>
                <w:div w:id="1862668642">
                  <w:marLeft w:val="0"/>
                  <w:marRight w:val="0"/>
                  <w:marTop w:val="0"/>
                  <w:marBottom w:val="0"/>
                  <w:divBdr>
                    <w:top w:val="none" w:sz="0" w:space="0" w:color="auto"/>
                    <w:left w:val="none" w:sz="0" w:space="0" w:color="auto"/>
                    <w:bottom w:val="none" w:sz="0" w:space="0" w:color="auto"/>
                    <w:right w:val="none" w:sz="0" w:space="0" w:color="auto"/>
                  </w:divBdr>
                  <w:divsChild>
                    <w:div w:id="860894668">
                      <w:marLeft w:val="0"/>
                      <w:marRight w:val="0"/>
                      <w:marTop w:val="0"/>
                      <w:marBottom w:val="0"/>
                      <w:divBdr>
                        <w:top w:val="none" w:sz="0" w:space="0" w:color="auto"/>
                        <w:left w:val="none" w:sz="0" w:space="0" w:color="auto"/>
                        <w:bottom w:val="none" w:sz="0" w:space="0" w:color="auto"/>
                        <w:right w:val="none" w:sz="0" w:space="0" w:color="auto"/>
                      </w:divBdr>
                      <w:divsChild>
                        <w:div w:id="430200976">
                          <w:marLeft w:val="0"/>
                          <w:marRight w:val="0"/>
                          <w:marTop w:val="0"/>
                          <w:marBottom w:val="0"/>
                          <w:divBdr>
                            <w:top w:val="none" w:sz="0" w:space="0" w:color="auto"/>
                            <w:left w:val="none" w:sz="0" w:space="0" w:color="auto"/>
                            <w:bottom w:val="none" w:sz="0" w:space="0" w:color="auto"/>
                            <w:right w:val="none" w:sz="0" w:space="0" w:color="auto"/>
                          </w:divBdr>
                          <w:divsChild>
                            <w:div w:id="422839914">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0"/>
                                  <w:marRight w:val="0"/>
                                  <w:marTop w:val="0"/>
                                  <w:marBottom w:val="0"/>
                                  <w:divBdr>
                                    <w:top w:val="none" w:sz="0" w:space="0" w:color="auto"/>
                                    <w:left w:val="none" w:sz="0" w:space="0" w:color="auto"/>
                                    <w:bottom w:val="none" w:sz="0" w:space="0" w:color="auto"/>
                                    <w:right w:val="none" w:sz="0" w:space="0" w:color="auto"/>
                                  </w:divBdr>
                                  <w:divsChild>
                                    <w:div w:id="1972323795">
                                      <w:marLeft w:val="0"/>
                                      <w:marRight w:val="0"/>
                                      <w:marTop w:val="0"/>
                                      <w:marBottom w:val="0"/>
                                      <w:divBdr>
                                        <w:top w:val="single" w:sz="8" w:space="0" w:color="F5F5F5"/>
                                        <w:left w:val="single" w:sz="8" w:space="0" w:color="F5F5F5"/>
                                        <w:bottom w:val="single" w:sz="8" w:space="0" w:color="F5F5F5"/>
                                        <w:right w:val="single" w:sz="8" w:space="0" w:color="F5F5F5"/>
                                      </w:divBdr>
                                      <w:divsChild>
                                        <w:div w:id="677199269">
                                          <w:marLeft w:val="0"/>
                                          <w:marRight w:val="0"/>
                                          <w:marTop w:val="0"/>
                                          <w:marBottom w:val="0"/>
                                          <w:divBdr>
                                            <w:top w:val="none" w:sz="0" w:space="0" w:color="auto"/>
                                            <w:left w:val="none" w:sz="0" w:space="0" w:color="auto"/>
                                            <w:bottom w:val="none" w:sz="0" w:space="0" w:color="auto"/>
                                            <w:right w:val="none" w:sz="0" w:space="0" w:color="auto"/>
                                          </w:divBdr>
                                          <w:divsChild>
                                            <w:div w:id="1462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617367">
      <w:bodyDiv w:val="1"/>
      <w:marLeft w:val="0"/>
      <w:marRight w:val="0"/>
      <w:marTop w:val="0"/>
      <w:marBottom w:val="0"/>
      <w:divBdr>
        <w:top w:val="none" w:sz="0" w:space="0" w:color="auto"/>
        <w:left w:val="none" w:sz="0" w:space="0" w:color="auto"/>
        <w:bottom w:val="none" w:sz="0" w:space="0" w:color="auto"/>
        <w:right w:val="none" w:sz="0" w:space="0" w:color="auto"/>
      </w:divBdr>
      <w:divsChild>
        <w:div w:id="51732239">
          <w:marLeft w:val="0"/>
          <w:marRight w:val="0"/>
          <w:marTop w:val="0"/>
          <w:marBottom w:val="0"/>
          <w:divBdr>
            <w:top w:val="none" w:sz="0" w:space="0" w:color="auto"/>
            <w:left w:val="none" w:sz="0" w:space="0" w:color="auto"/>
            <w:bottom w:val="none" w:sz="0" w:space="0" w:color="auto"/>
            <w:right w:val="none" w:sz="0" w:space="0" w:color="auto"/>
          </w:divBdr>
        </w:div>
      </w:divsChild>
    </w:div>
    <w:div w:id="1759133319">
      <w:bodyDiv w:val="1"/>
      <w:marLeft w:val="0"/>
      <w:marRight w:val="0"/>
      <w:marTop w:val="0"/>
      <w:marBottom w:val="0"/>
      <w:divBdr>
        <w:top w:val="none" w:sz="0" w:space="0" w:color="auto"/>
        <w:left w:val="none" w:sz="0" w:space="0" w:color="auto"/>
        <w:bottom w:val="none" w:sz="0" w:space="0" w:color="auto"/>
        <w:right w:val="none" w:sz="0" w:space="0" w:color="auto"/>
      </w:divBdr>
      <w:divsChild>
        <w:div w:id="347370620">
          <w:marLeft w:val="0"/>
          <w:marRight w:val="0"/>
          <w:marTop w:val="0"/>
          <w:marBottom w:val="0"/>
          <w:divBdr>
            <w:top w:val="none" w:sz="0" w:space="0" w:color="auto"/>
            <w:left w:val="none" w:sz="0" w:space="0" w:color="auto"/>
            <w:bottom w:val="none" w:sz="0" w:space="0" w:color="auto"/>
            <w:right w:val="none" w:sz="0" w:space="0" w:color="auto"/>
          </w:divBdr>
          <w:divsChild>
            <w:div w:id="1577939720">
              <w:marLeft w:val="0"/>
              <w:marRight w:val="0"/>
              <w:marTop w:val="0"/>
              <w:marBottom w:val="0"/>
              <w:divBdr>
                <w:top w:val="none" w:sz="0" w:space="0" w:color="auto"/>
                <w:left w:val="none" w:sz="0" w:space="0" w:color="auto"/>
                <w:bottom w:val="none" w:sz="0" w:space="0" w:color="auto"/>
                <w:right w:val="none" w:sz="0" w:space="0" w:color="auto"/>
              </w:divBdr>
              <w:divsChild>
                <w:div w:id="1474709722">
                  <w:marLeft w:val="0"/>
                  <w:marRight w:val="0"/>
                  <w:marTop w:val="0"/>
                  <w:marBottom w:val="0"/>
                  <w:divBdr>
                    <w:top w:val="none" w:sz="0" w:space="0" w:color="auto"/>
                    <w:left w:val="none" w:sz="0" w:space="0" w:color="auto"/>
                    <w:bottom w:val="none" w:sz="0" w:space="0" w:color="auto"/>
                    <w:right w:val="none" w:sz="0" w:space="0" w:color="auto"/>
                  </w:divBdr>
                  <w:divsChild>
                    <w:div w:id="1947690967">
                      <w:marLeft w:val="0"/>
                      <w:marRight w:val="0"/>
                      <w:marTop w:val="0"/>
                      <w:marBottom w:val="0"/>
                      <w:divBdr>
                        <w:top w:val="none" w:sz="0" w:space="0" w:color="auto"/>
                        <w:left w:val="none" w:sz="0" w:space="0" w:color="auto"/>
                        <w:bottom w:val="none" w:sz="0" w:space="0" w:color="auto"/>
                        <w:right w:val="none" w:sz="0" w:space="0" w:color="auto"/>
                      </w:divBdr>
                      <w:divsChild>
                        <w:div w:id="1669408327">
                          <w:marLeft w:val="0"/>
                          <w:marRight w:val="0"/>
                          <w:marTop w:val="0"/>
                          <w:marBottom w:val="0"/>
                          <w:divBdr>
                            <w:top w:val="none" w:sz="0" w:space="0" w:color="auto"/>
                            <w:left w:val="none" w:sz="0" w:space="0" w:color="auto"/>
                            <w:bottom w:val="none" w:sz="0" w:space="0" w:color="auto"/>
                            <w:right w:val="none" w:sz="0" w:space="0" w:color="auto"/>
                          </w:divBdr>
                          <w:divsChild>
                            <w:div w:id="317001778">
                              <w:marLeft w:val="0"/>
                              <w:marRight w:val="0"/>
                              <w:marTop w:val="0"/>
                              <w:marBottom w:val="0"/>
                              <w:divBdr>
                                <w:top w:val="none" w:sz="0" w:space="0" w:color="auto"/>
                                <w:left w:val="none" w:sz="0" w:space="0" w:color="auto"/>
                                <w:bottom w:val="none" w:sz="0" w:space="0" w:color="auto"/>
                                <w:right w:val="none" w:sz="0" w:space="0" w:color="auto"/>
                              </w:divBdr>
                              <w:divsChild>
                                <w:div w:id="1033699695">
                                  <w:marLeft w:val="0"/>
                                  <w:marRight w:val="0"/>
                                  <w:marTop w:val="0"/>
                                  <w:marBottom w:val="0"/>
                                  <w:divBdr>
                                    <w:top w:val="none" w:sz="0" w:space="0" w:color="auto"/>
                                    <w:left w:val="none" w:sz="0" w:space="0" w:color="auto"/>
                                    <w:bottom w:val="none" w:sz="0" w:space="0" w:color="auto"/>
                                    <w:right w:val="none" w:sz="0" w:space="0" w:color="auto"/>
                                  </w:divBdr>
                                  <w:divsChild>
                                    <w:div w:id="1597058626">
                                      <w:marLeft w:val="0"/>
                                      <w:marRight w:val="0"/>
                                      <w:marTop w:val="0"/>
                                      <w:marBottom w:val="0"/>
                                      <w:divBdr>
                                        <w:top w:val="single" w:sz="8" w:space="0" w:color="F5F5F5"/>
                                        <w:left w:val="single" w:sz="8" w:space="0" w:color="F5F5F5"/>
                                        <w:bottom w:val="single" w:sz="8" w:space="0" w:color="F5F5F5"/>
                                        <w:right w:val="single" w:sz="8" w:space="0" w:color="F5F5F5"/>
                                      </w:divBdr>
                                      <w:divsChild>
                                        <w:div w:id="15734975">
                                          <w:marLeft w:val="0"/>
                                          <w:marRight w:val="0"/>
                                          <w:marTop w:val="0"/>
                                          <w:marBottom w:val="0"/>
                                          <w:divBdr>
                                            <w:top w:val="none" w:sz="0" w:space="0" w:color="auto"/>
                                            <w:left w:val="none" w:sz="0" w:space="0" w:color="auto"/>
                                            <w:bottom w:val="none" w:sz="0" w:space="0" w:color="auto"/>
                                            <w:right w:val="none" w:sz="0" w:space="0" w:color="auto"/>
                                          </w:divBdr>
                                          <w:divsChild>
                                            <w:div w:id="2119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 w:id="20242858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891">
          <w:marLeft w:val="0"/>
          <w:marRight w:val="0"/>
          <w:marTop w:val="0"/>
          <w:marBottom w:val="0"/>
          <w:divBdr>
            <w:top w:val="none" w:sz="0" w:space="0" w:color="auto"/>
            <w:left w:val="none" w:sz="0" w:space="0" w:color="auto"/>
            <w:bottom w:val="none" w:sz="0" w:space="0" w:color="auto"/>
            <w:right w:val="none" w:sz="0" w:space="0" w:color="auto"/>
          </w:divBdr>
          <w:divsChild>
            <w:div w:id="501120201">
              <w:marLeft w:val="0"/>
              <w:marRight w:val="0"/>
              <w:marTop w:val="0"/>
              <w:marBottom w:val="0"/>
              <w:divBdr>
                <w:top w:val="none" w:sz="0" w:space="0" w:color="auto"/>
                <w:left w:val="none" w:sz="0" w:space="0" w:color="auto"/>
                <w:bottom w:val="none" w:sz="0" w:space="0" w:color="auto"/>
                <w:right w:val="none" w:sz="0" w:space="0" w:color="auto"/>
              </w:divBdr>
              <w:divsChild>
                <w:div w:id="1050180607">
                  <w:marLeft w:val="0"/>
                  <w:marRight w:val="0"/>
                  <w:marTop w:val="0"/>
                  <w:marBottom w:val="0"/>
                  <w:divBdr>
                    <w:top w:val="none" w:sz="0" w:space="0" w:color="auto"/>
                    <w:left w:val="none" w:sz="0" w:space="0" w:color="auto"/>
                    <w:bottom w:val="none" w:sz="0" w:space="0" w:color="auto"/>
                    <w:right w:val="none" w:sz="0" w:space="0" w:color="auto"/>
                  </w:divBdr>
                  <w:divsChild>
                    <w:div w:id="1476994923">
                      <w:marLeft w:val="0"/>
                      <w:marRight w:val="0"/>
                      <w:marTop w:val="0"/>
                      <w:marBottom w:val="0"/>
                      <w:divBdr>
                        <w:top w:val="none" w:sz="0" w:space="0" w:color="auto"/>
                        <w:left w:val="none" w:sz="0" w:space="0" w:color="auto"/>
                        <w:bottom w:val="none" w:sz="0" w:space="0" w:color="auto"/>
                        <w:right w:val="none" w:sz="0" w:space="0" w:color="auto"/>
                      </w:divBdr>
                      <w:divsChild>
                        <w:div w:id="1669600553">
                          <w:marLeft w:val="0"/>
                          <w:marRight w:val="0"/>
                          <w:marTop w:val="0"/>
                          <w:marBottom w:val="0"/>
                          <w:divBdr>
                            <w:top w:val="none" w:sz="0" w:space="0" w:color="auto"/>
                            <w:left w:val="none" w:sz="0" w:space="0" w:color="auto"/>
                            <w:bottom w:val="none" w:sz="0" w:space="0" w:color="auto"/>
                            <w:right w:val="none" w:sz="0" w:space="0" w:color="auto"/>
                          </w:divBdr>
                          <w:divsChild>
                            <w:div w:id="524749677">
                              <w:marLeft w:val="0"/>
                              <w:marRight w:val="0"/>
                              <w:marTop w:val="0"/>
                              <w:marBottom w:val="0"/>
                              <w:divBdr>
                                <w:top w:val="none" w:sz="0" w:space="0" w:color="auto"/>
                                <w:left w:val="none" w:sz="0" w:space="0" w:color="auto"/>
                                <w:bottom w:val="none" w:sz="0" w:space="0" w:color="auto"/>
                                <w:right w:val="none" w:sz="0" w:space="0" w:color="auto"/>
                              </w:divBdr>
                              <w:divsChild>
                                <w:div w:id="243610892">
                                  <w:marLeft w:val="0"/>
                                  <w:marRight w:val="0"/>
                                  <w:marTop w:val="0"/>
                                  <w:marBottom w:val="0"/>
                                  <w:divBdr>
                                    <w:top w:val="none" w:sz="0" w:space="0" w:color="auto"/>
                                    <w:left w:val="none" w:sz="0" w:space="0" w:color="auto"/>
                                    <w:bottom w:val="none" w:sz="0" w:space="0" w:color="auto"/>
                                    <w:right w:val="none" w:sz="0" w:space="0" w:color="auto"/>
                                  </w:divBdr>
                                  <w:divsChild>
                                    <w:div w:id="726104697">
                                      <w:marLeft w:val="0"/>
                                      <w:marRight w:val="0"/>
                                      <w:marTop w:val="0"/>
                                      <w:marBottom w:val="0"/>
                                      <w:divBdr>
                                        <w:top w:val="single" w:sz="6" w:space="0" w:color="F5F5F5"/>
                                        <w:left w:val="single" w:sz="6" w:space="0" w:color="F5F5F5"/>
                                        <w:bottom w:val="single" w:sz="6" w:space="0" w:color="F5F5F5"/>
                                        <w:right w:val="single" w:sz="6" w:space="0" w:color="F5F5F5"/>
                                      </w:divBdr>
                                      <w:divsChild>
                                        <w:div w:id="1440951931">
                                          <w:marLeft w:val="0"/>
                                          <w:marRight w:val="0"/>
                                          <w:marTop w:val="0"/>
                                          <w:marBottom w:val="0"/>
                                          <w:divBdr>
                                            <w:top w:val="none" w:sz="0" w:space="0" w:color="auto"/>
                                            <w:left w:val="none" w:sz="0" w:space="0" w:color="auto"/>
                                            <w:bottom w:val="none" w:sz="0" w:space="0" w:color="auto"/>
                                            <w:right w:val="none" w:sz="0" w:space="0" w:color="auto"/>
                                          </w:divBdr>
                                          <w:divsChild>
                                            <w:div w:id="1454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1L0083:20091005:LV:HTML" TargetMode="External"/><Relationship Id="rId13" Type="http://schemas.openxmlformats.org/officeDocument/2006/relationships/hyperlink" Target="http://www.ema.europa.eu/docs/en_GB/document_library/Other/2012/03/WC500124904.pdf" TargetMode="External"/><Relationship Id="rId18" Type="http://schemas.openxmlformats.org/officeDocument/2006/relationships/hyperlink" Target="mailto:Silvija.Riekstina@v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xUriServ/LexUriServ.do?uri=CONSLEG:2004R0726:20090706:LV:HTML" TargetMode="External"/><Relationship Id="rId17" Type="http://schemas.openxmlformats.org/officeDocument/2006/relationships/hyperlink" Target="mailto:Inguna.Maca@vm.gov.lv" TargetMode="External"/><Relationship Id="rId2" Type="http://schemas.openxmlformats.org/officeDocument/2006/relationships/numbering" Target="numbering.xml"/><Relationship Id="rId16" Type="http://schemas.openxmlformats.org/officeDocument/2006/relationships/hyperlink" Target="http://eur-lex.europa.eu/LexUriServ/LexUriServ.do?uri=CONSLEG:2004R0726:20090706:LV: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4R0726:20090706:LV: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8149" TargetMode="External"/><Relationship Id="rId23" Type="http://schemas.openxmlformats.org/officeDocument/2006/relationships/fontTable" Target="fontTable.xml"/><Relationship Id="rId10" Type="http://schemas.openxmlformats.org/officeDocument/2006/relationships/hyperlink" Target="http://www.em.gov.lv/em/2nd/?cat=30291" TargetMode="External"/><Relationship Id="rId19" Type="http://schemas.openxmlformats.org/officeDocument/2006/relationships/hyperlink" Target="mailto:Vesma.Skudra@vm.gov.lv" TargetMode="External"/><Relationship Id="rId4" Type="http://schemas.openxmlformats.org/officeDocument/2006/relationships/settings" Target="settings.xml"/><Relationship Id="rId9" Type="http://schemas.openxmlformats.org/officeDocument/2006/relationships/hyperlink" Target="http://www.who.int/medicines/areas/quality_safety/regulation_legislation/certification/contacts/en/index.html" TargetMode="External"/><Relationship Id="rId14" Type="http://schemas.openxmlformats.org/officeDocument/2006/relationships/hyperlink" Target="http://ec.europa.eu/health/files/counterf_par_trade/planning.pdf"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F5FD-4FC9-47C5-B913-80A78E2D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57</Pages>
  <Words>16557</Words>
  <Characters>94377</Characters>
  <Application>Microsoft Office Word</Application>
  <DocSecurity>0</DocSecurity>
  <Lines>786</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26.jūnija noteikumos Nr.416 "Zāļu izplatīšanas un kvalitātes kontroles kārtība"" anotācija</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110713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26.jūnija noteikumos Nr.416 "Zāļu izplatīšanas un kvalitātes kontroles kārtība"" anotācija</dc:title>
  <dc:subject>Projekta anotācija</dc:subject>
  <dc:creator>Ingūna Mača;Silvija Riekstiņa</dc:creator>
  <dc:description>inguna.maca@vm.gov.lv; tālr. 67876117_x000d_
silvija.riekstina@vm.gov.lv; tālr.67876117</dc:description>
  <cp:lastModifiedBy>imaca</cp:lastModifiedBy>
  <cp:revision>121</cp:revision>
  <cp:lastPrinted>2013-04-15T06:42:00Z</cp:lastPrinted>
  <dcterms:created xsi:type="dcterms:W3CDTF">2013-07-01T15:51:00Z</dcterms:created>
  <dcterms:modified xsi:type="dcterms:W3CDTF">2013-07-25T11:32:00Z</dcterms:modified>
</cp:coreProperties>
</file>