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B7" w:rsidRDefault="005064B7" w:rsidP="008B0DFB">
      <w:pPr>
        <w:pStyle w:val="naislab"/>
        <w:spacing w:before="0" w:after="0"/>
        <w:jc w:val="center"/>
        <w:outlineLvl w:val="0"/>
        <w:rPr>
          <w:b/>
          <w:sz w:val="28"/>
          <w:szCs w:val="28"/>
        </w:rPr>
      </w:pPr>
      <w:r w:rsidRPr="002922DC">
        <w:rPr>
          <w:b/>
          <w:sz w:val="28"/>
          <w:szCs w:val="28"/>
        </w:rPr>
        <w:t xml:space="preserve">Ministru kabineta </w:t>
      </w:r>
      <w:r w:rsidR="007155F9">
        <w:rPr>
          <w:b/>
          <w:sz w:val="28"/>
          <w:szCs w:val="28"/>
        </w:rPr>
        <w:t>noteikumu</w:t>
      </w:r>
      <w:r w:rsidRPr="002922DC">
        <w:rPr>
          <w:b/>
          <w:sz w:val="28"/>
          <w:szCs w:val="28"/>
        </w:rPr>
        <w:t xml:space="preserve"> projekta „Zāļu valsts aģentūr</w:t>
      </w:r>
      <w:r w:rsidR="007155F9">
        <w:rPr>
          <w:b/>
          <w:sz w:val="28"/>
          <w:szCs w:val="28"/>
        </w:rPr>
        <w:t>as nolikums</w:t>
      </w:r>
      <w:r w:rsidRPr="002922DC">
        <w:rPr>
          <w:b/>
          <w:sz w:val="28"/>
          <w:szCs w:val="28"/>
        </w:rPr>
        <w:t>”</w:t>
      </w:r>
      <w:r w:rsidR="00D77663">
        <w:rPr>
          <w:b/>
          <w:sz w:val="28"/>
          <w:szCs w:val="28"/>
        </w:rPr>
        <w:t xml:space="preserve"> anotācija</w:t>
      </w:r>
    </w:p>
    <w:p w:rsidR="00571CFE" w:rsidRPr="002922DC" w:rsidRDefault="00571CFE" w:rsidP="008B0DFB">
      <w:pPr>
        <w:pStyle w:val="naislab"/>
        <w:spacing w:before="0" w:after="0"/>
        <w:jc w:val="center"/>
        <w:outlineLvl w:val="0"/>
        <w:rPr>
          <w:sz w:val="28"/>
          <w:szCs w:val="28"/>
        </w:rPr>
      </w:pPr>
    </w:p>
    <w:p w:rsidR="005064B7" w:rsidRPr="002922DC" w:rsidRDefault="005064B7" w:rsidP="008B0DFB">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7559"/>
      </w:tblGrid>
      <w:tr w:rsidR="005064B7" w:rsidRPr="002922DC" w:rsidTr="00291F9F">
        <w:tc>
          <w:tcPr>
            <w:tcW w:w="9539" w:type="dxa"/>
            <w:gridSpan w:val="3"/>
          </w:tcPr>
          <w:p w:rsidR="005064B7" w:rsidRPr="002922DC" w:rsidRDefault="005064B7" w:rsidP="00291F9F">
            <w:pPr>
              <w:pStyle w:val="naislab"/>
              <w:spacing w:before="0" w:after="0"/>
              <w:jc w:val="center"/>
              <w:outlineLvl w:val="0"/>
              <w:rPr>
                <w:b/>
                <w:sz w:val="28"/>
                <w:szCs w:val="28"/>
              </w:rPr>
            </w:pPr>
            <w:r w:rsidRPr="002922DC">
              <w:rPr>
                <w:b/>
              </w:rPr>
              <w:t>I. Tiesību akta projekta izstrādes nepieciešamība</w:t>
            </w:r>
          </w:p>
        </w:tc>
      </w:tr>
      <w:tr w:rsidR="005064B7" w:rsidRPr="002922DC" w:rsidTr="00291F9F">
        <w:tc>
          <w:tcPr>
            <w:tcW w:w="540" w:type="dxa"/>
          </w:tcPr>
          <w:p w:rsidR="005064B7" w:rsidRPr="002922DC" w:rsidRDefault="005064B7" w:rsidP="00291F9F">
            <w:pPr>
              <w:pStyle w:val="naislab"/>
              <w:spacing w:before="0" w:after="0"/>
              <w:jc w:val="center"/>
              <w:outlineLvl w:val="0"/>
              <w:rPr>
                <w:sz w:val="28"/>
                <w:szCs w:val="28"/>
              </w:rPr>
            </w:pPr>
            <w:r w:rsidRPr="002922DC">
              <w:rPr>
                <w:sz w:val="22"/>
                <w:szCs w:val="22"/>
              </w:rPr>
              <w:t>1.</w:t>
            </w:r>
          </w:p>
        </w:tc>
        <w:tc>
          <w:tcPr>
            <w:tcW w:w="1440" w:type="dxa"/>
          </w:tcPr>
          <w:p w:rsidR="005064B7" w:rsidRPr="002922DC" w:rsidRDefault="005064B7" w:rsidP="00291F9F">
            <w:pPr>
              <w:pStyle w:val="naislab"/>
              <w:spacing w:before="0" w:after="0"/>
              <w:jc w:val="both"/>
              <w:outlineLvl w:val="0"/>
              <w:rPr>
                <w:sz w:val="28"/>
                <w:szCs w:val="28"/>
              </w:rPr>
            </w:pPr>
            <w:r w:rsidRPr="002922DC">
              <w:rPr>
                <w:sz w:val="22"/>
                <w:szCs w:val="22"/>
              </w:rPr>
              <w:t>Pamatojums</w:t>
            </w:r>
          </w:p>
        </w:tc>
        <w:tc>
          <w:tcPr>
            <w:tcW w:w="7559" w:type="dxa"/>
          </w:tcPr>
          <w:p w:rsidR="005064B7" w:rsidRPr="002922DC" w:rsidRDefault="00DF26F5" w:rsidP="00DF26F5">
            <w:pPr>
              <w:ind w:right="69"/>
              <w:jc w:val="both"/>
            </w:pPr>
            <w:r>
              <w:t>1.</w:t>
            </w:r>
            <w:r w:rsidR="005064B7" w:rsidRPr="002922DC">
              <w:t xml:space="preserve">Publisko aģentūru likuma </w:t>
            </w:r>
            <w:r>
              <w:t xml:space="preserve">4.panta otrā daļa un </w:t>
            </w:r>
            <w:r w:rsidR="005064B7" w:rsidRPr="002922DC">
              <w:t>pārejas noteikumu 2.punkt</w:t>
            </w:r>
            <w:r w:rsidR="005064B7">
              <w:t>s.</w:t>
            </w:r>
          </w:p>
          <w:p w:rsidR="005064B7" w:rsidRDefault="005064B7" w:rsidP="000E4000">
            <w:pPr>
              <w:pStyle w:val="naislab"/>
              <w:spacing w:before="0" w:after="0"/>
              <w:jc w:val="both"/>
              <w:outlineLvl w:val="0"/>
            </w:pPr>
            <w:r>
              <w:t>2</w:t>
            </w:r>
            <w:r w:rsidRPr="002922DC">
              <w:t>. Ministru prezidenta 2009.gada 22.decembra rezolūcijas Nr.12/JUR-831 1.punkt</w:t>
            </w:r>
            <w:r>
              <w:t>s</w:t>
            </w:r>
            <w:r w:rsidRPr="002922DC">
              <w:t>, kurš nosaka, ka visiem ministriem līdz 2012.gada 1.decembrim jānodrošina Publisko aģentūru likuma pārejas noteikumu 4.punktā Ministru kabinetam dotā uzdevuma izpildi.</w:t>
            </w:r>
          </w:p>
          <w:p w:rsidR="00FC69E7" w:rsidRPr="00FC69E7" w:rsidRDefault="00FC69E7" w:rsidP="00E602FE">
            <w:pPr>
              <w:pStyle w:val="naislab"/>
              <w:spacing w:before="0" w:after="0"/>
              <w:jc w:val="both"/>
              <w:outlineLvl w:val="0"/>
            </w:pPr>
            <w:r w:rsidRPr="00FC69E7">
              <w:t>3.</w:t>
            </w:r>
            <w:r w:rsidR="0061452A">
              <w:t xml:space="preserve"> </w:t>
            </w:r>
            <w:r w:rsidRPr="00FC69E7">
              <w:t xml:space="preserve">Valsts sekretāru sanāksmes 2012.gada 28.jūnija sēdes (protokols Nr.26, </w:t>
            </w:r>
            <w:r w:rsidRPr="00FC69E7">
              <w:rPr>
                <w:rFonts w:eastAsiaTheme="minorHAnsi"/>
                <w:bCs/>
                <w:color w:val="000000"/>
              </w:rPr>
              <w:t>52.§)</w:t>
            </w:r>
            <w:r w:rsidRPr="00FC69E7">
              <w:t xml:space="preserve"> </w:t>
            </w:r>
            <w:proofErr w:type="spellStart"/>
            <w:r w:rsidRPr="00FC69E7">
              <w:t>protokollēmuma</w:t>
            </w:r>
            <w:proofErr w:type="spellEnd"/>
            <w:r w:rsidRPr="00FC69E7">
              <w:t xml:space="preserve"> </w:t>
            </w:r>
            <w:r w:rsidRPr="00FC69E7">
              <w:rPr>
                <w:rFonts w:eastAsiaTheme="minorHAnsi"/>
                <w:bCs/>
                <w:color w:val="000000"/>
              </w:rPr>
              <w:t xml:space="preserve">„Informatīvais ziņojums par valsts aģentūru statusa maiņu” </w:t>
            </w:r>
            <w:r>
              <w:rPr>
                <w:rFonts w:eastAsiaTheme="minorHAnsi"/>
                <w:bCs/>
                <w:color w:val="000000"/>
              </w:rPr>
              <w:t>2.1.apakšpunkts un 3.punkts.</w:t>
            </w:r>
          </w:p>
        </w:tc>
      </w:tr>
      <w:tr w:rsidR="005064B7" w:rsidRPr="002922DC" w:rsidTr="00DB1878">
        <w:trPr>
          <w:trHeight w:val="1063"/>
        </w:trPr>
        <w:tc>
          <w:tcPr>
            <w:tcW w:w="540" w:type="dxa"/>
          </w:tcPr>
          <w:p w:rsidR="005064B7" w:rsidRPr="002922DC" w:rsidRDefault="005064B7" w:rsidP="00291F9F">
            <w:pPr>
              <w:pStyle w:val="naislab"/>
              <w:spacing w:before="0" w:after="0"/>
              <w:jc w:val="center"/>
              <w:outlineLvl w:val="0"/>
              <w:rPr>
                <w:sz w:val="28"/>
                <w:szCs w:val="28"/>
              </w:rPr>
            </w:pPr>
            <w:r w:rsidRPr="002922DC">
              <w:rPr>
                <w:sz w:val="22"/>
                <w:szCs w:val="22"/>
              </w:rPr>
              <w:t>2.</w:t>
            </w:r>
          </w:p>
        </w:tc>
        <w:tc>
          <w:tcPr>
            <w:tcW w:w="1440" w:type="dxa"/>
          </w:tcPr>
          <w:p w:rsidR="005064B7" w:rsidRPr="002922DC" w:rsidRDefault="005064B7" w:rsidP="00291F9F">
            <w:pPr>
              <w:pStyle w:val="naislab"/>
              <w:spacing w:before="0" w:after="0"/>
              <w:jc w:val="both"/>
              <w:outlineLvl w:val="0"/>
              <w:rPr>
                <w:sz w:val="28"/>
                <w:szCs w:val="28"/>
              </w:rPr>
            </w:pPr>
            <w:r w:rsidRPr="002922DC">
              <w:rPr>
                <w:sz w:val="22"/>
                <w:szCs w:val="22"/>
              </w:rPr>
              <w:t>Pašreizējā situācija un problēmas</w:t>
            </w:r>
          </w:p>
        </w:tc>
        <w:tc>
          <w:tcPr>
            <w:tcW w:w="7559" w:type="dxa"/>
          </w:tcPr>
          <w:p w:rsidR="005064B7" w:rsidRPr="002922DC" w:rsidRDefault="005064B7" w:rsidP="008B716A">
            <w:pPr>
              <w:jc w:val="both"/>
            </w:pPr>
            <w:r w:rsidRPr="002922DC">
              <w:t>2010.gada 1.janvārī stāj</w:t>
            </w:r>
            <w:r>
              <w:t>ā</w:t>
            </w:r>
            <w:r w:rsidRPr="002922DC">
              <w:t>s spēkā Publisko aģentūru likums (pieņemts Saeimā 2009.</w:t>
            </w:r>
            <w:r>
              <w:t>gada 1.decembrī</w:t>
            </w:r>
            <w:r w:rsidRPr="002922DC">
              <w:t>)</w:t>
            </w:r>
            <w:r>
              <w:t xml:space="preserve"> un</w:t>
            </w:r>
            <w:r w:rsidRPr="002922DC">
              <w:t xml:space="preserve"> spēku zaudē</w:t>
            </w:r>
            <w:r>
              <w:t>ja</w:t>
            </w:r>
            <w:r w:rsidRPr="002922DC">
              <w:t xml:space="preserve"> Publisko aģentūru likums (pieņemts Saeimā 2001.</w:t>
            </w:r>
            <w:r>
              <w:t>gada 22.martā</w:t>
            </w:r>
            <w:r w:rsidRPr="002922DC">
              <w:t>).</w:t>
            </w:r>
            <w:r w:rsidR="008B716A">
              <w:t xml:space="preserve"> </w:t>
            </w:r>
            <w:r w:rsidRPr="002922DC">
              <w:t xml:space="preserve">Saskaņā ar Publisko aģentūru likuma pārejas noteikumu 5.punktu līdz jaunu valsts aģentūru </w:t>
            </w:r>
            <w:smartTag w:uri="schemas-tilde-lv/tildestengine" w:element="veidnes">
              <w:smartTagPr>
                <w:attr w:name="text" w:val="nolikumu"/>
                <w:attr w:name="id" w:val="-1"/>
                <w:attr w:name="baseform" w:val="nolikum|s"/>
              </w:smartTagPr>
              <w:r w:rsidRPr="002922DC">
                <w:t>nolikumu</w:t>
              </w:r>
            </w:smartTag>
            <w:r w:rsidRPr="002922DC">
              <w:t xml:space="preserve"> spēkā stāšanās dienai, bet ne ilgāk kā līdz 2013.gada 1.janvārim ir piemērojami valsts aģentūru </w:t>
            </w:r>
            <w:smartTag w:uri="schemas-tilde-lv/tildestengine" w:element="veidnes">
              <w:smartTagPr>
                <w:attr w:name="text" w:val="nolikumi"/>
                <w:attr w:name="id" w:val="-1"/>
                <w:attr w:name="baseform" w:val="nolikum|s"/>
              </w:smartTagPr>
              <w:r w:rsidRPr="002922DC">
                <w:t>nolikumi</w:t>
              </w:r>
            </w:smartTag>
            <w:r w:rsidRPr="002922DC">
              <w:t xml:space="preserve">, kas izdoti uz iepriekšējā Publisko aģentūru likuma pamata. Minētā likuma pārejas noteikumu 2.punkts nosaka, ka ministrijas izvērtē valsts aģentūru darbības atbilstību šā likuma prasībām, un Ministru kabinets līdz 2013.gada 1.janvārim pieņem </w:t>
            </w:r>
            <w:smartTag w:uri="schemas-tilde-lv/tildestengine" w:element="veidnes">
              <w:smartTagPr>
                <w:attr w:name="text" w:val="lēmumu"/>
                <w:attr w:name="id" w:val="-1"/>
                <w:attr w:name="baseform" w:val="lēmum|s"/>
              </w:smartTagPr>
              <w:r w:rsidRPr="002922DC">
                <w:t>lēmumu</w:t>
              </w:r>
            </w:smartTag>
            <w:r w:rsidRPr="002922DC">
              <w:t xml:space="preserve"> par attiecīgās aģentūras darbības turpināšanu, aģentūras likvidēšanu vai reorganizēšanu, ievērojot Valsts pārvaldes iekārtas likuma 15.pantā noteiktās prasības. </w:t>
            </w:r>
            <w:r>
              <w:t>P</w:t>
            </w:r>
            <w:r w:rsidRPr="002922DC">
              <w:t xml:space="preserve">ārejas noteikumu 3.punkts nosaka, ka līdz minētajam Ministru kabineta </w:t>
            </w:r>
            <w:smartTag w:uri="schemas-tilde-lv/tildestengine" w:element="veidnes">
              <w:smartTagPr>
                <w:attr w:name="text" w:val="lēmumam"/>
                <w:attr w:name="id" w:val="-1"/>
                <w:attr w:name="baseform" w:val="lēmum|s"/>
              </w:smartTagPr>
              <w:r w:rsidRPr="002922DC">
                <w:t>lēmumam</w:t>
              </w:r>
            </w:smartTag>
            <w:r w:rsidRPr="002922DC">
              <w:t xml:space="preserve"> valsts aģentūras, kas izveidotas līdz šā likuma spēkā stāšanās dienai, darbojas saskaņā ar Valsts pārvaldes iekārtas likumā noteikto tiešās pārvaldes iestāžu statusu un Likumā par budžetu un finanšu vadību noteikto budžeta iestāžu finansēšanas kārtību. Uz šīm aģentūrām nav attiecināmi šā likuma noteikumi, ciktāl tas nenosaka citādi.</w:t>
            </w:r>
          </w:p>
          <w:p w:rsidR="00C42E76" w:rsidRPr="006630E2" w:rsidRDefault="005064B7" w:rsidP="00C42E76">
            <w:pPr>
              <w:pStyle w:val="naisf"/>
              <w:spacing w:before="0" w:after="0"/>
              <w:ind w:firstLine="0"/>
              <w:rPr>
                <w:b/>
              </w:rPr>
            </w:pPr>
            <w:r>
              <w:t>Veselības ministrija v</w:t>
            </w:r>
            <w:r w:rsidRPr="002922DC">
              <w:t>eic</w:t>
            </w:r>
            <w:r>
              <w:t>a</w:t>
            </w:r>
            <w:r w:rsidRPr="002922DC">
              <w:t xml:space="preserve"> </w:t>
            </w:r>
            <w:r>
              <w:t>v</w:t>
            </w:r>
            <w:r w:rsidRPr="002922DC">
              <w:t>eselības ministra pārraudzībā esošās valsts aģentūras „Zāļu valsts aģentūra” (turpmāk - Zāļu valsts aģentūra) darbības izvērtēšanu saska</w:t>
            </w:r>
            <w:r>
              <w:t>ņā ar Publisko aģentūru likuma</w:t>
            </w:r>
            <w:r w:rsidR="006630E2">
              <w:t xml:space="preserve"> prasībām, ņemot vērā</w:t>
            </w:r>
            <w:r>
              <w:t xml:space="preserve"> pārejas noteikumu 2.punktu</w:t>
            </w:r>
            <w:r w:rsidR="0094314E">
              <w:t xml:space="preserve">. </w:t>
            </w:r>
            <w:r w:rsidR="00D2104F" w:rsidRPr="00D52796">
              <w:t xml:space="preserve">Turpmāk </w:t>
            </w:r>
            <w:r w:rsidR="00E421A8">
              <w:t>anotācijā un tās pielikumā</w:t>
            </w:r>
            <w:r w:rsidR="00D2104F" w:rsidRPr="00D52796">
              <w:t xml:space="preserve"> tiek atspoguļots Zāļu valsts aģentūras</w:t>
            </w:r>
            <w:r w:rsidR="00044DC1">
              <w:t xml:space="preserve"> </w:t>
            </w:r>
            <w:r w:rsidR="006630E2">
              <w:t>uzdevumu izvērtējums</w:t>
            </w:r>
            <w:r w:rsidR="00044DC1">
              <w:t>, tajā skaitā</w:t>
            </w:r>
            <w:r w:rsidR="00D2104F" w:rsidRPr="00D52796">
              <w:t xml:space="preserve"> </w:t>
            </w:r>
            <w:r w:rsidR="00E421A8">
              <w:t xml:space="preserve">tās sniegto </w:t>
            </w:r>
            <w:r w:rsidR="00D2104F" w:rsidRPr="00D52796">
              <w:t>pakalpojumu izvērtējums</w:t>
            </w:r>
            <w:r w:rsidR="006630E2">
              <w:t xml:space="preserve">, ņemot vērā, ka </w:t>
            </w:r>
            <w:r w:rsidR="006630E2" w:rsidRPr="006630E2">
              <w:rPr>
                <w:b/>
              </w:rPr>
              <w:t>valsts aģentūra ir valsts iestāde, kurai ar likumu un Ministru kabineta noteikumiem ir noteikta kompetence pakalpojumu sniegšanas jomā.</w:t>
            </w:r>
          </w:p>
          <w:p w:rsidR="005064B7" w:rsidRPr="002922DC" w:rsidRDefault="005064B7" w:rsidP="00C42E76">
            <w:pPr>
              <w:pStyle w:val="naisf"/>
              <w:spacing w:before="0" w:after="0"/>
              <w:ind w:firstLine="0"/>
            </w:pPr>
            <w:r w:rsidRPr="002922DC">
              <w:t xml:space="preserve">Zāļu valsts aģentūra </w:t>
            </w:r>
            <w:r w:rsidR="006630E2">
              <w:t xml:space="preserve">pašreiz </w:t>
            </w:r>
            <w:r w:rsidRPr="002922DC">
              <w:t xml:space="preserve">ir no valsts budžeta finansēta iestāde, kura atbilstoši </w:t>
            </w:r>
            <w:r w:rsidRPr="00201F53">
              <w:t>Likumam par budžetu un finanšu vadību pilda noteiktas valsts pārvaldes funkcijas un kuras darbība pilnībā tiek finansēta no tās ieņēmumiem par sniegtajiem maksas pakalpojumiem. Saskaņā</w:t>
            </w:r>
            <w:r w:rsidRPr="002922DC">
              <w:t xml:space="preserve"> ar Ministru kabineta </w:t>
            </w:r>
            <w:r>
              <w:t>2004.gada 7.decembra noteikumu N</w:t>
            </w:r>
            <w:r w:rsidRPr="002922DC">
              <w:t xml:space="preserve">r.1006 „Zāļu valsts aģentūras nolikums” 2.punktu, </w:t>
            </w:r>
            <w:r>
              <w:t>Zāļu valsts aģentūras</w:t>
            </w:r>
            <w:r w:rsidRPr="002922DC">
              <w:t xml:space="preserve"> darbības mērķis ir nodrošināt zāļu tirgus izpēti un efektīvu, drošu un kvalitatīvu zāļu pieejamību Latvijas iedzīvotājiem. </w:t>
            </w:r>
            <w:r>
              <w:t xml:space="preserve">Zāļu valsts aģentūrai  saskaņā ar normatīvajiem aktiem ir </w:t>
            </w:r>
            <w:r w:rsidRPr="002922DC">
              <w:t xml:space="preserve">noteiktas </w:t>
            </w:r>
            <w:r>
              <w:t>šādas</w:t>
            </w:r>
            <w:r w:rsidRPr="002922DC">
              <w:t xml:space="preserve"> funkcijas</w:t>
            </w:r>
            <w:r>
              <w:t>:</w:t>
            </w:r>
          </w:p>
          <w:p w:rsidR="005064B7" w:rsidRPr="002922DC" w:rsidRDefault="005064B7" w:rsidP="002A7CDD">
            <w:pPr>
              <w:numPr>
                <w:ilvl w:val="0"/>
                <w:numId w:val="1"/>
              </w:numPr>
              <w:jc w:val="both"/>
            </w:pPr>
            <w:r w:rsidRPr="002922DC">
              <w:t xml:space="preserve">Zāļu novērtēšana un reģistrēšana (reģistrācija, pārreģistrācija, izmaiņu apstiprināšana, </w:t>
            </w:r>
            <w:proofErr w:type="spellStart"/>
            <w:r w:rsidRPr="002922DC">
              <w:t>pēcreģistrācijas</w:t>
            </w:r>
            <w:proofErr w:type="spellEnd"/>
            <w:r w:rsidRPr="002922DC">
              <w:t xml:space="preserve"> uzraudzība);</w:t>
            </w:r>
          </w:p>
          <w:p w:rsidR="005064B7" w:rsidRPr="002922DC" w:rsidRDefault="005064B7" w:rsidP="002A7CDD">
            <w:pPr>
              <w:numPr>
                <w:ilvl w:val="0"/>
                <w:numId w:val="1"/>
              </w:numPr>
              <w:jc w:val="both"/>
            </w:pPr>
            <w:r w:rsidRPr="002922DC">
              <w:lastRenderedPageBreak/>
              <w:t>Zāļu lietošanas drošuma uzraudzība (</w:t>
            </w:r>
            <w:proofErr w:type="spellStart"/>
            <w:r w:rsidRPr="002922DC">
              <w:t>farmakovigilance</w:t>
            </w:r>
            <w:proofErr w:type="spellEnd"/>
            <w:r w:rsidRPr="002922DC">
              <w:t>);</w:t>
            </w:r>
          </w:p>
          <w:p w:rsidR="005064B7" w:rsidRPr="002922DC" w:rsidRDefault="005064B7" w:rsidP="002A7CDD">
            <w:pPr>
              <w:numPr>
                <w:ilvl w:val="0"/>
                <w:numId w:val="1"/>
              </w:numPr>
              <w:jc w:val="both"/>
            </w:pPr>
            <w:r w:rsidRPr="002922DC">
              <w:t>Zāļu piederības noteikšana recepšu vai bezrecepšu zālēm;</w:t>
            </w:r>
          </w:p>
          <w:p w:rsidR="005064B7" w:rsidRPr="002922DC" w:rsidRDefault="005064B7" w:rsidP="002A7CDD">
            <w:pPr>
              <w:numPr>
                <w:ilvl w:val="0"/>
                <w:numId w:val="1"/>
              </w:numPr>
              <w:jc w:val="both"/>
            </w:pPr>
            <w:r w:rsidRPr="002922DC">
              <w:t>Atzinuma sniegšana par produkta atbilstību Farmācijas likumā noteiktajai zāļu definīcijai;</w:t>
            </w:r>
          </w:p>
          <w:p w:rsidR="005064B7" w:rsidRPr="002922DC" w:rsidRDefault="005064B7" w:rsidP="002A7CDD">
            <w:pPr>
              <w:numPr>
                <w:ilvl w:val="0"/>
                <w:numId w:val="1"/>
              </w:numPr>
              <w:jc w:val="both"/>
            </w:pPr>
            <w:r w:rsidRPr="002922DC">
              <w:t>Atļauju izsniegšana narkotisko, psihotropo zāļu/vielu un prekursoru ievešanai, izvešanai;</w:t>
            </w:r>
          </w:p>
          <w:p w:rsidR="005064B7" w:rsidRPr="002922DC" w:rsidRDefault="005064B7" w:rsidP="002A7CDD">
            <w:pPr>
              <w:numPr>
                <w:ilvl w:val="0"/>
                <w:numId w:val="1"/>
              </w:numPr>
              <w:jc w:val="both"/>
            </w:pPr>
            <w:r w:rsidRPr="002922DC">
              <w:t xml:space="preserve"> Narkotisko un psihotropo vielu un zāļu tranzīta atļaujas izsniegšana;</w:t>
            </w:r>
          </w:p>
          <w:p w:rsidR="005064B7" w:rsidRPr="002922DC" w:rsidRDefault="005064B7" w:rsidP="002A7CDD">
            <w:pPr>
              <w:numPr>
                <w:ilvl w:val="0"/>
                <w:numId w:val="1"/>
              </w:numPr>
              <w:jc w:val="both"/>
            </w:pPr>
            <w:r w:rsidRPr="002922DC">
              <w:t>Atļauju izsniegšana paralēli importēto zāļu izplatīšanai;</w:t>
            </w:r>
          </w:p>
          <w:p w:rsidR="005064B7" w:rsidRPr="002922DC" w:rsidRDefault="005064B7" w:rsidP="002A7CDD">
            <w:pPr>
              <w:numPr>
                <w:ilvl w:val="0"/>
                <w:numId w:val="1"/>
              </w:numPr>
              <w:jc w:val="both"/>
            </w:pPr>
            <w:r w:rsidRPr="002922DC">
              <w:t xml:space="preserve"> Atļauju izsniegšana nereģistrētu zāļu izplatīšanai un nereģistrētu zāļu izplatīšanai individuāli piešķirtām zālēm;</w:t>
            </w:r>
          </w:p>
          <w:p w:rsidR="005064B7" w:rsidRPr="002922DC" w:rsidRDefault="005064B7" w:rsidP="002A7CDD">
            <w:pPr>
              <w:numPr>
                <w:ilvl w:val="0"/>
                <w:numId w:val="1"/>
              </w:numPr>
              <w:jc w:val="both"/>
            </w:pPr>
            <w:r w:rsidRPr="002922DC">
              <w:t>Atļauju izsniegšana zāļu atlikušo krājumu izplatīšanai;</w:t>
            </w:r>
          </w:p>
          <w:p w:rsidR="005064B7" w:rsidRPr="002922DC" w:rsidRDefault="005064B7" w:rsidP="002A7CDD">
            <w:pPr>
              <w:numPr>
                <w:ilvl w:val="0"/>
                <w:numId w:val="1"/>
              </w:numPr>
              <w:jc w:val="both"/>
            </w:pPr>
            <w:r w:rsidRPr="002922DC">
              <w:t>Atļauju izsniegšana Latvijā kontrolējamo narkotisko vielu, psihotropo vielu un prekursoru I, II un III sarakstā iekļauto augu, vielu un zāļu izmantošanai medicīniskiem un zinātniskiem pētījumiem, fizikālo un ķīmisko īpašību noteikšanai vai apmācībai;</w:t>
            </w:r>
          </w:p>
          <w:p w:rsidR="005064B7" w:rsidRPr="002922DC" w:rsidRDefault="005064B7" w:rsidP="002A7CDD">
            <w:pPr>
              <w:numPr>
                <w:ilvl w:val="0"/>
                <w:numId w:val="1"/>
              </w:numPr>
              <w:jc w:val="both"/>
            </w:pPr>
            <w:r w:rsidRPr="002922DC">
              <w:t>Prekursoru operatoru reģistrācijas karšu un speciālu atļauju (licenču) izsniegšana darbam ar prekursoriem;</w:t>
            </w:r>
          </w:p>
          <w:p w:rsidR="005064B7" w:rsidRPr="002922DC" w:rsidRDefault="005064B7" w:rsidP="002A7CDD">
            <w:pPr>
              <w:numPr>
                <w:ilvl w:val="0"/>
                <w:numId w:val="1"/>
              </w:numPr>
              <w:jc w:val="both"/>
            </w:pPr>
            <w:r w:rsidRPr="002922DC">
              <w:t>Narkotisko, psihotropo vielu, kā arī prekursoru legālās aprites uzskaite un kontrole;</w:t>
            </w:r>
          </w:p>
          <w:p w:rsidR="005064B7" w:rsidRPr="002922DC" w:rsidRDefault="005064B7" w:rsidP="002A7CDD">
            <w:pPr>
              <w:numPr>
                <w:ilvl w:val="0"/>
                <w:numId w:val="1"/>
              </w:numPr>
              <w:jc w:val="both"/>
            </w:pPr>
            <w:r w:rsidRPr="002922DC">
              <w:t>Atļaujas izsniegšana zāļu klīniskās izpētes veikšanai un tās norises uzraudzība, kā arī zāļu lietošanas novērojumu izvērtēšana;</w:t>
            </w:r>
          </w:p>
          <w:p w:rsidR="005064B7" w:rsidRPr="002922DC" w:rsidRDefault="005064B7" w:rsidP="002A7CDD">
            <w:pPr>
              <w:numPr>
                <w:ilvl w:val="0"/>
                <w:numId w:val="1"/>
              </w:numPr>
              <w:jc w:val="both"/>
            </w:pPr>
            <w:r w:rsidRPr="002922DC">
              <w:t>Informācijas apkopošana par novērotajām blakusparādībām, ko izraisījusi zāļu lietošana, kā arī par zāļu blakusparādībām klīnisko pētījumu projektos;</w:t>
            </w:r>
          </w:p>
          <w:p w:rsidR="005064B7" w:rsidRPr="002922DC" w:rsidRDefault="005064B7" w:rsidP="002A7CDD">
            <w:pPr>
              <w:numPr>
                <w:ilvl w:val="0"/>
                <w:numId w:val="1"/>
              </w:numPr>
              <w:jc w:val="both"/>
            </w:pPr>
            <w:r w:rsidRPr="002922DC">
              <w:t>Zāļu klīniskās izpētes atbilstības vērtēšana labas klīniskās prakses prasībām;</w:t>
            </w:r>
          </w:p>
          <w:p w:rsidR="005064B7" w:rsidRPr="002922DC" w:rsidRDefault="005064B7" w:rsidP="002A7CDD">
            <w:pPr>
              <w:numPr>
                <w:ilvl w:val="0"/>
                <w:numId w:val="1"/>
              </w:numPr>
              <w:jc w:val="both"/>
            </w:pPr>
            <w:r w:rsidRPr="002922DC">
              <w:t>Zāļu kvalitātes rādītāju kontroles veikšana;</w:t>
            </w:r>
          </w:p>
          <w:p w:rsidR="005064B7" w:rsidRPr="002922DC" w:rsidRDefault="005064B7" w:rsidP="002A7CDD">
            <w:pPr>
              <w:numPr>
                <w:ilvl w:val="0"/>
                <w:numId w:val="1"/>
              </w:numPr>
              <w:jc w:val="both"/>
            </w:pPr>
            <w:r w:rsidRPr="002922DC">
              <w:t>Attīrītā ūdens kvalitātes kontrole;</w:t>
            </w:r>
          </w:p>
          <w:p w:rsidR="005064B7" w:rsidRPr="002922DC" w:rsidRDefault="005064B7" w:rsidP="002A7CDD">
            <w:pPr>
              <w:numPr>
                <w:ilvl w:val="0"/>
                <w:numId w:val="1"/>
              </w:numPr>
              <w:jc w:val="both"/>
            </w:pPr>
            <w:r w:rsidRPr="002922DC">
              <w:t>Reaģentu pagatavošana aptiekām;</w:t>
            </w:r>
          </w:p>
          <w:p w:rsidR="005064B7" w:rsidRPr="002922DC" w:rsidRDefault="005064B7" w:rsidP="002A7CDD">
            <w:pPr>
              <w:numPr>
                <w:ilvl w:val="0"/>
                <w:numId w:val="1"/>
              </w:numPr>
              <w:jc w:val="both"/>
            </w:pPr>
            <w:r w:rsidRPr="002922DC">
              <w:t>Riska mazināšanas plānu saskaņošana;</w:t>
            </w:r>
          </w:p>
          <w:p w:rsidR="005064B7" w:rsidRPr="002922DC" w:rsidRDefault="005064B7" w:rsidP="002A7CDD">
            <w:pPr>
              <w:numPr>
                <w:ilvl w:val="0"/>
                <w:numId w:val="1"/>
              </w:numPr>
              <w:jc w:val="both"/>
            </w:pPr>
            <w:r w:rsidRPr="002922DC">
              <w:t>Medicīnisko ierīču atbilstības novērtēšana un reģistrācija;</w:t>
            </w:r>
          </w:p>
          <w:p w:rsidR="005064B7" w:rsidRPr="002922DC" w:rsidRDefault="005064B7" w:rsidP="002A7CDD">
            <w:pPr>
              <w:numPr>
                <w:ilvl w:val="0"/>
                <w:numId w:val="1"/>
              </w:numPr>
              <w:jc w:val="both"/>
            </w:pPr>
            <w:r w:rsidRPr="002922DC">
              <w:t>Atļaujas izsniegšana medicīnisko ierīču klīnisko pētījumu veikšanai (norises uzraudzība);</w:t>
            </w:r>
          </w:p>
          <w:p w:rsidR="005064B7" w:rsidRPr="002922DC" w:rsidRDefault="005064B7" w:rsidP="002A7CDD">
            <w:pPr>
              <w:numPr>
                <w:ilvl w:val="0"/>
                <w:numId w:val="1"/>
              </w:numPr>
              <w:jc w:val="both"/>
            </w:pPr>
            <w:r w:rsidRPr="002922DC">
              <w:t>Medicīnisko ierīču lietošanas drošības uzraudzība (</w:t>
            </w:r>
            <w:proofErr w:type="spellStart"/>
            <w:r w:rsidRPr="002922DC">
              <w:t>vigilance</w:t>
            </w:r>
            <w:proofErr w:type="spellEnd"/>
            <w:r w:rsidRPr="002922DC">
              <w:t>);</w:t>
            </w:r>
          </w:p>
          <w:p w:rsidR="005064B7" w:rsidRPr="002922DC" w:rsidRDefault="005064B7" w:rsidP="002A7CDD">
            <w:pPr>
              <w:numPr>
                <w:ilvl w:val="0"/>
                <w:numId w:val="1"/>
              </w:numPr>
              <w:jc w:val="both"/>
            </w:pPr>
            <w:r w:rsidRPr="002922DC">
              <w:t>Speciālās atļaujas (licences) zāļu vai pētāmo zāļu ražošanai vai importēšanai no trešajām valstīm (valstis, kas nav Eiropas Savienības dalībvalstis, vai Eiropas Brīvās tirdzniecības asociācijas valstis, kas parakstījušas Eiropas Ekonomikas zonas līgumu), tajā skaitā no valstīm, kurās atbilstoši Farmācijas likuma 51.</w:t>
            </w:r>
            <w:r w:rsidRPr="002922DC">
              <w:rPr>
                <w:vertAlign w:val="superscript"/>
              </w:rPr>
              <w:t xml:space="preserve">2 </w:t>
            </w:r>
            <w:r w:rsidRPr="002922DC">
              <w:t>pantam kā speciālās darbības joma ir norādīta veterināro zāļu ražošana un atbilstoši likumam "Par narkotisko un psihotropo vielu un zāļu likumīgās aprites kārtību" norādītas atļautās ražošanas vai importēšanas darbības ar Latvijā kontrolējamo narkotisko vielu, psihotropo vielu un prekursoru II un III sarakstā iekļautajām vielām  un zālēm, kas satur minētajos sarakstos iekļautās narkotiskās un psihotropās vielas;</w:t>
            </w:r>
          </w:p>
          <w:p w:rsidR="005064B7" w:rsidRPr="002922DC" w:rsidRDefault="005064B7" w:rsidP="002A7CDD">
            <w:pPr>
              <w:numPr>
                <w:ilvl w:val="0"/>
                <w:numId w:val="1"/>
              </w:numPr>
              <w:jc w:val="both"/>
            </w:pPr>
            <w:r w:rsidRPr="002922DC">
              <w:t>Speciālās atļaujas (licences) zāļu lieltirgotavas atvēršanai (darbībai), tajā skaitā licenci, kurā atbilstoši Farmācijas likuma 45.</w:t>
            </w:r>
            <w:r w:rsidRPr="002922DC">
              <w:rPr>
                <w:vertAlign w:val="superscript"/>
              </w:rPr>
              <w:t xml:space="preserve">1 </w:t>
            </w:r>
            <w:r w:rsidRPr="002922DC">
              <w:t xml:space="preserve">pantam kā speciālās darbības joma ir norādīta veterināro zāļu izplatīšana un atbilstoši likumam "Par narkotisko un psihotropo </w:t>
            </w:r>
            <w:r w:rsidRPr="002922DC">
              <w:lastRenderedPageBreak/>
              <w:t>vielu un zāļu likumīgās aprites kārtību" norādītas atļautās darbības ar kontrolējamām vielām un narkotiskām un psihotropām zālēm;</w:t>
            </w:r>
          </w:p>
          <w:p w:rsidR="005064B7" w:rsidRPr="002922DC" w:rsidRDefault="005064B7" w:rsidP="002A7CDD">
            <w:pPr>
              <w:numPr>
                <w:ilvl w:val="0"/>
                <w:numId w:val="1"/>
              </w:numPr>
              <w:jc w:val="both"/>
            </w:pPr>
            <w:r w:rsidRPr="002922DC">
              <w:t xml:space="preserve"> Speciālās atļaujas (licences) izsniegšana vispārēja jeb atvērta tipa aptiekas atvēršanai (darbībai);</w:t>
            </w:r>
          </w:p>
          <w:p w:rsidR="005064B7" w:rsidRPr="002922DC" w:rsidRDefault="005064B7" w:rsidP="002A7CDD">
            <w:pPr>
              <w:numPr>
                <w:ilvl w:val="0"/>
                <w:numId w:val="1"/>
              </w:numPr>
              <w:jc w:val="both"/>
            </w:pPr>
            <w:r w:rsidRPr="002922DC">
              <w:t>Speciālās atļaujas (licences) izsniegšana slēgta tipa jeb ārstniecības iestāžu aptiekas atvēršanai (darbībai);</w:t>
            </w:r>
          </w:p>
          <w:p w:rsidR="005064B7" w:rsidRPr="002922DC" w:rsidRDefault="005064B7" w:rsidP="002A7CDD">
            <w:pPr>
              <w:numPr>
                <w:ilvl w:val="0"/>
                <w:numId w:val="1"/>
              </w:numPr>
              <w:jc w:val="both"/>
            </w:pPr>
            <w:r w:rsidRPr="002922DC">
              <w:t>Speciālās atļaujas (licences) aktīvo farmaceitisko vielu vai kontrolējamo vielu ražošanai vai spirta (</w:t>
            </w:r>
            <w:proofErr w:type="spellStart"/>
            <w:r w:rsidRPr="002922DC">
              <w:t>palīgviela</w:t>
            </w:r>
            <w:proofErr w:type="spellEnd"/>
            <w:r w:rsidRPr="002922DC">
              <w:t>) fasēšanai</w:t>
            </w:r>
          </w:p>
          <w:p w:rsidR="005064B7" w:rsidRPr="002922DC" w:rsidRDefault="005064B7" w:rsidP="002A7CDD">
            <w:pPr>
              <w:numPr>
                <w:ilvl w:val="0"/>
                <w:numId w:val="1"/>
              </w:numPr>
              <w:jc w:val="both"/>
            </w:pPr>
            <w:r w:rsidRPr="002922DC">
              <w:t>Zāļu lieltirgotavu, zāļu ražotāju (arī ārvalsts ražotāju) atbilstības novērtēšana un uzraudzība;</w:t>
            </w:r>
          </w:p>
          <w:p w:rsidR="005064B7" w:rsidRPr="002922DC" w:rsidRDefault="005064B7" w:rsidP="002A7CDD">
            <w:pPr>
              <w:numPr>
                <w:ilvl w:val="0"/>
                <w:numId w:val="1"/>
              </w:numPr>
              <w:jc w:val="both"/>
            </w:pPr>
            <w:r w:rsidRPr="002922DC">
              <w:t>Zāļu izplatīšanas atbilstības novērtēšana zāļu labas izplatīšanas prakses prasībām;</w:t>
            </w:r>
          </w:p>
          <w:p w:rsidR="005064B7" w:rsidRPr="002922DC" w:rsidRDefault="005064B7" w:rsidP="002A7CDD">
            <w:pPr>
              <w:numPr>
                <w:ilvl w:val="0"/>
                <w:numId w:val="1"/>
              </w:numPr>
              <w:jc w:val="both"/>
            </w:pPr>
            <w:r w:rsidRPr="002922DC">
              <w:t>Labas ražošanas prakses nodrošinājuma pārbaude (uzraudzība) zāļu ražošanas vai importēšanas uzņēmumā vai laboratorijā;</w:t>
            </w:r>
          </w:p>
          <w:p w:rsidR="005064B7" w:rsidRPr="002922DC" w:rsidRDefault="005064B7" w:rsidP="002A7CDD">
            <w:pPr>
              <w:numPr>
                <w:ilvl w:val="0"/>
                <w:numId w:val="1"/>
              </w:numPr>
              <w:jc w:val="both"/>
            </w:pPr>
            <w:r w:rsidRPr="002922DC">
              <w:t>Labas ražošanas prakses nodrošinājuma pārbaude (uzraudzība) valstī, kas nav Eiropas Ekonomikas zonas dalībvalsts, zāļu ražošanas uzņēmumā vai laboratorijā;</w:t>
            </w:r>
          </w:p>
          <w:p w:rsidR="005064B7" w:rsidRPr="002922DC" w:rsidRDefault="005064B7" w:rsidP="002A7CDD">
            <w:pPr>
              <w:numPr>
                <w:ilvl w:val="0"/>
                <w:numId w:val="1"/>
              </w:numPr>
              <w:jc w:val="both"/>
            </w:pPr>
            <w:r w:rsidRPr="002922DC">
              <w:t>Labas ražošanas prakses nodrošinājuma pārbaude, kuru pēc zāļu ražotāja pieprasījuma veic izejvielu ražošanas vai importēšanas uzņēmumā;</w:t>
            </w:r>
          </w:p>
          <w:p w:rsidR="005064B7" w:rsidRPr="002922DC" w:rsidRDefault="005064B7" w:rsidP="002A7CDD">
            <w:pPr>
              <w:numPr>
                <w:ilvl w:val="0"/>
                <w:numId w:val="1"/>
              </w:numPr>
              <w:jc w:val="both"/>
            </w:pPr>
            <w:r w:rsidRPr="002922DC">
              <w:t>Labas ražošanas prakses nodrošinājuma pārbaude, kuru pēc zāļu ražotāja pieprasījuma veic izejvielu ražošanas uzņēmumā, valstī, kas neatrodas Eiropas Ekonomikas zonā;</w:t>
            </w:r>
          </w:p>
          <w:p w:rsidR="005064B7" w:rsidRPr="002922DC" w:rsidRDefault="005064B7" w:rsidP="002A7CDD">
            <w:pPr>
              <w:numPr>
                <w:ilvl w:val="0"/>
                <w:numId w:val="1"/>
              </w:numPr>
              <w:jc w:val="both"/>
            </w:pPr>
            <w:r w:rsidRPr="002922DC">
              <w:t>Produkta sertifikātu, tā saīsināto formu un paziņojumu par zāļu reģistrācijas statusu izsniegšana;</w:t>
            </w:r>
          </w:p>
          <w:p w:rsidR="005064B7" w:rsidRPr="002922DC" w:rsidRDefault="005064B7" w:rsidP="002A7CDD">
            <w:pPr>
              <w:numPr>
                <w:ilvl w:val="0"/>
                <w:numId w:val="1"/>
              </w:numPr>
              <w:jc w:val="both"/>
            </w:pPr>
            <w:r w:rsidRPr="002922DC">
              <w:t>Ārstniecības iestāžu asins kabinetu, asins sagatavošanas nodaļu un Valsts asinsdonoru centra atbilstības novērtēšana un uzraudzība;</w:t>
            </w:r>
          </w:p>
          <w:p w:rsidR="005064B7" w:rsidRPr="002922DC" w:rsidRDefault="005064B7" w:rsidP="002A7CDD">
            <w:pPr>
              <w:numPr>
                <w:ilvl w:val="0"/>
                <w:numId w:val="1"/>
              </w:numPr>
              <w:jc w:val="both"/>
            </w:pPr>
            <w:r w:rsidRPr="002922DC">
              <w:t xml:space="preserve">Kontroles pasākumu veikšana asins un asins komponentu kvalitātes nodrošināšanai un procedūras </w:t>
            </w:r>
            <w:proofErr w:type="spellStart"/>
            <w:r w:rsidRPr="002922DC">
              <w:t>hemovigilances</w:t>
            </w:r>
            <w:proofErr w:type="spellEnd"/>
            <w:r w:rsidRPr="002922DC">
              <w:t xml:space="preserve"> pārraudzībai;</w:t>
            </w:r>
          </w:p>
          <w:p w:rsidR="005064B7" w:rsidRPr="002922DC" w:rsidRDefault="005064B7" w:rsidP="002A7CDD">
            <w:pPr>
              <w:numPr>
                <w:ilvl w:val="0"/>
                <w:numId w:val="1"/>
              </w:numPr>
              <w:jc w:val="both"/>
            </w:pPr>
            <w:r w:rsidRPr="002922DC">
              <w:t>Audu, šūnu un orgānu ieguves un uzglabāšanas centru atbilstības novērtēšana un uzraudzība;</w:t>
            </w:r>
          </w:p>
          <w:p w:rsidR="005064B7" w:rsidRPr="002922DC" w:rsidRDefault="005064B7" w:rsidP="002A7CDD">
            <w:pPr>
              <w:numPr>
                <w:ilvl w:val="0"/>
                <w:numId w:val="1"/>
              </w:numPr>
              <w:jc w:val="both"/>
            </w:pPr>
            <w:r w:rsidRPr="002922DC">
              <w:t xml:space="preserve"> Iesniegto zāļu patēriņa statistikas datu apkopošana un analizēšana Latvijā;</w:t>
            </w:r>
          </w:p>
          <w:p w:rsidR="005064B7" w:rsidRDefault="005064B7" w:rsidP="002A7CDD">
            <w:pPr>
              <w:numPr>
                <w:ilvl w:val="0"/>
                <w:numId w:val="1"/>
              </w:numPr>
              <w:spacing w:after="120"/>
              <w:ind w:left="805" w:hanging="448"/>
              <w:jc w:val="both"/>
            </w:pPr>
            <w:r w:rsidRPr="002922DC">
              <w:t>Informācijas aktualizēšana par zāļu pieejamību tirgū un ražotāja deklarēto zāļu realizācijas cenu Latvijā.</w:t>
            </w:r>
          </w:p>
          <w:p w:rsidR="00044DC1" w:rsidRPr="00044DC1" w:rsidRDefault="006630E2" w:rsidP="005865A7">
            <w:pPr>
              <w:jc w:val="both"/>
              <w:rPr>
                <w:b/>
              </w:rPr>
            </w:pPr>
            <w:r w:rsidRPr="00044DC1">
              <w:t xml:space="preserve">Zāļu </w:t>
            </w:r>
            <w:r w:rsidRPr="00925B56">
              <w:t>valsts aģentūra</w:t>
            </w:r>
            <w:r w:rsidR="00044DC1" w:rsidRPr="00925B56">
              <w:t xml:space="preserve"> ir veselības ministra padotībā esoša valsts iestāde, kurai ar</w:t>
            </w:r>
            <w:r w:rsidR="00044DC1" w:rsidRPr="00044DC1">
              <w:rPr>
                <w:b/>
              </w:rPr>
              <w:t xml:space="preserve"> </w:t>
            </w:r>
            <w:r w:rsidR="00044DC1" w:rsidRPr="00044DC1">
              <w:rPr>
                <w:color w:val="000000"/>
              </w:rPr>
              <w:t xml:space="preserve">Farmācijas likumu, likumu „Par narkotisko un psihotropo vielu un zāļu likumīgās aprites kārtību”, likumu „Par prekursoriem” un citiem normatīvajiem </w:t>
            </w:r>
            <w:r w:rsidR="00044DC1" w:rsidRPr="007E41D8">
              <w:rPr>
                <w:color w:val="000000"/>
              </w:rPr>
              <w:t xml:space="preserve">aktiem </w:t>
            </w:r>
            <w:r w:rsidR="00925B56" w:rsidRPr="007E41D8">
              <w:rPr>
                <w:color w:val="000000"/>
              </w:rPr>
              <w:t>ir</w:t>
            </w:r>
            <w:r w:rsidR="00044DC1" w:rsidRPr="007E41D8">
              <w:t xml:space="preserve"> </w:t>
            </w:r>
            <w:r w:rsidR="00044DC1" w:rsidRPr="007E41D8">
              <w:rPr>
                <w:u w:val="single"/>
              </w:rPr>
              <w:t>noteikta kompetence pakalpojumu sniegšanas jomā</w:t>
            </w:r>
            <w:r w:rsidR="00925B56" w:rsidRPr="007E41D8">
              <w:rPr>
                <w:u w:val="single"/>
              </w:rPr>
              <w:t>.</w:t>
            </w:r>
            <w:r w:rsidR="00925B56" w:rsidRPr="007E41D8">
              <w:t xml:space="preserve"> Zāļu valsts aģentūra</w:t>
            </w:r>
            <w:r w:rsidR="00925B56" w:rsidRPr="002922DC">
              <w:t xml:space="preserve"> </w:t>
            </w:r>
            <w:r w:rsidR="00925B56">
              <w:t xml:space="preserve">sniedz pakalpojumus </w:t>
            </w:r>
            <w:r w:rsidR="00925B56" w:rsidRPr="002922DC">
              <w:t>zāļu un aktīvo vielu ražotāj</w:t>
            </w:r>
            <w:r w:rsidR="00925B56">
              <w:t>iem</w:t>
            </w:r>
            <w:r w:rsidR="00925B56" w:rsidRPr="002922DC">
              <w:t>, zāļu izplatītāj</w:t>
            </w:r>
            <w:r w:rsidR="00925B56">
              <w:t>iem</w:t>
            </w:r>
            <w:r w:rsidR="00925B56" w:rsidRPr="002922DC">
              <w:t>, medicīnisko ierīču ražotāj</w:t>
            </w:r>
            <w:r w:rsidR="00925B56">
              <w:t>iem</w:t>
            </w:r>
            <w:r w:rsidR="00925B56" w:rsidRPr="002922DC">
              <w:t xml:space="preserve"> un izplatītāj</w:t>
            </w:r>
            <w:r w:rsidR="00925B56">
              <w:t>iem</w:t>
            </w:r>
            <w:r w:rsidR="00925B56" w:rsidRPr="002922DC">
              <w:t xml:space="preserve"> un uzņēmum</w:t>
            </w:r>
            <w:r w:rsidR="00925B56">
              <w:t>iem</w:t>
            </w:r>
            <w:r w:rsidR="00925B56" w:rsidRPr="002922DC">
              <w:t>, kas nodarbojas ar asins un audu, šūnu un orgānu ieguvi un citām darbībām, farmaceitus, prekursoru operatorus</w:t>
            </w:r>
            <w:r w:rsidR="00925B56">
              <w:t>, tie skar arī ārstus</w:t>
            </w:r>
            <w:r w:rsidR="00925B56" w:rsidRPr="002922DC">
              <w:t xml:space="preserve"> un plašu sabiedrību.</w:t>
            </w:r>
            <w:r w:rsidR="00B7770B">
              <w:t xml:space="preserve"> </w:t>
            </w:r>
            <w:r w:rsidR="00B7770B" w:rsidRPr="00E421A8">
              <w:rPr>
                <w:b/>
              </w:rPr>
              <w:t xml:space="preserve">Konkrēti </w:t>
            </w:r>
            <w:r w:rsidR="005865A7" w:rsidRPr="00E421A8">
              <w:rPr>
                <w:b/>
              </w:rPr>
              <w:t xml:space="preserve">Zāļu valsts aģentūras sniegtie pakalpojumi un normatīvie akti, kas ietver Zāļu valsts aģentūrai </w:t>
            </w:r>
            <w:r w:rsidR="003B64D1" w:rsidRPr="00E421A8">
              <w:rPr>
                <w:b/>
              </w:rPr>
              <w:t>uzdevumu</w:t>
            </w:r>
            <w:r w:rsidR="003B64D1">
              <w:rPr>
                <w:b/>
              </w:rPr>
              <w:t>s</w:t>
            </w:r>
            <w:r w:rsidR="003B64D1" w:rsidRPr="00E421A8">
              <w:rPr>
                <w:b/>
              </w:rPr>
              <w:t xml:space="preserve"> </w:t>
            </w:r>
            <w:r w:rsidR="005865A7" w:rsidRPr="00E421A8">
              <w:rPr>
                <w:b/>
              </w:rPr>
              <w:t>pakalpojumu sniegšanas jomā</w:t>
            </w:r>
            <w:r w:rsidR="003B64D1">
              <w:rPr>
                <w:b/>
              </w:rPr>
              <w:t xml:space="preserve"> un detalizēts funkciju izvērtējums </w:t>
            </w:r>
            <w:r w:rsidR="00B7770B" w:rsidRPr="00E421A8">
              <w:rPr>
                <w:b/>
              </w:rPr>
              <w:t>ir norādīti šīs anotācijas</w:t>
            </w:r>
            <w:r w:rsidR="00B7770B" w:rsidRPr="005865A7">
              <w:t xml:space="preserve"> </w:t>
            </w:r>
            <w:r w:rsidR="00B7770B" w:rsidRPr="005865A7">
              <w:rPr>
                <w:b/>
              </w:rPr>
              <w:t>pielikumā</w:t>
            </w:r>
            <w:r w:rsidR="00B7770B" w:rsidRPr="00B7770B">
              <w:rPr>
                <w:b/>
              </w:rPr>
              <w:t>.</w:t>
            </w:r>
          </w:p>
          <w:p w:rsidR="005064B7" w:rsidRDefault="005064B7" w:rsidP="006A3FD1">
            <w:pPr>
              <w:jc w:val="both"/>
            </w:pPr>
            <w:r w:rsidRPr="00562BC1">
              <w:t>Zāļu valsts aģentūra savu darbību primāri realizē nacionālā līmenī, bet vienlaicīgi tā ir starptautiska Eiropas zāļu aģentūru (</w:t>
            </w:r>
            <w:proofErr w:type="spellStart"/>
            <w:r w:rsidRPr="00562BC1">
              <w:t>The</w:t>
            </w:r>
            <w:proofErr w:type="spellEnd"/>
            <w:r w:rsidRPr="00562BC1">
              <w:t xml:space="preserve"> </w:t>
            </w:r>
            <w:proofErr w:type="spellStart"/>
            <w:r w:rsidRPr="00562BC1">
              <w:t>European</w:t>
            </w:r>
            <w:proofErr w:type="spellEnd"/>
            <w:r w:rsidRPr="00562BC1">
              <w:t xml:space="preserve"> </w:t>
            </w:r>
            <w:proofErr w:type="spellStart"/>
            <w:r w:rsidRPr="00562BC1">
              <w:t>Medicines</w:t>
            </w:r>
            <w:proofErr w:type="spellEnd"/>
            <w:r w:rsidRPr="00562BC1">
              <w:t xml:space="preserve"> </w:t>
            </w:r>
            <w:proofErr w:type="spellStart"/>
            <w:r w:rsidRPr="00562BC1">
              <w:t>Regulatory</w:t>
            </w:r>
            <w:proofErr w:type="spellEnd"/>
            <w:r w:rsidRPr="00562BC1">
              <w:t xml:space="preserve"> </w:t>
            </w:r>
            <w:proofErr w:type="spellStart"/>
            <w:r w:rsidRPr="00562BC1">
              <w:t>Network</w:t>
            </w:r>
            <w:proofErr w:type="spellEnd"/>
            <w:r w:rsidRPr="00562BC1">
              <w:t>) tīkla dalībnieks, kurā ir 45 nacionālas aģentūras no 27 valstīm un Eiropas zāļu aģentūra. Sadarbības būtība ir</w:t>
            </w:r>
            <w:r w:rsidR="00E421A8">
              <w:t xml:space="preserve"> </w:t>
            </w:r>
            <w:r w:rsidR="00E421A8">
              <w:lastRenderedPageBreak/>
              <w:t>pakalpojumu sniegšana, lai nodrošinātu</w:t>
            </w:r>
            <w:r w:rsidRPr="00562BC1">
              <w:t xml:space="preserve"> vienotu</w:t>
            </w:r>
            <w:r w:rsidR="00E421A8">
              <w:t>s</w:t>
            </w:r>
            <w:r w:rsidRPr="00562BC1">
              <w:t xml:space="preserve"> standartu</w:t>
            </w:r>
            <w:r w:rsidR="00E421A8">
              <w:t>s un procedūras</w:t>
            </w:r>
            <w:r w:rsidRPr="00562BC1">
              <w:t xml:space="preserve"> farmācijas nozarē, kur komersanti pārsvarā darbojas globālā tirgū. </w:t>
            </w:r>
            <w:r w:rsidR="00E421A8">
              <w:t>Pakalpojumu sniegšanā z</w:t>
            </w:r>
            <w:r w:rsidRPr="00562BC1">
              <w:t>āļu reģistrācijas un uzraudzības jomā pastāv kopīgas procedūras, piemēram, zāļu reģistrācija savstarpējās atzīšanas procedūrā vai zāļu reģistrācija decentralizētā procedūrā, kopīgas ražotāju vai produktu pārbaudes, savstarpēja lēmumu atzīšana un informācijas apmaiņa, kā arī kopīgas datu bāzes.</w:t>
            </w:r>
          </w:p>
          <w:p w:rsidR="005064B7" w:rsidRDefault="005064B7" w:rsidP="00A70392">
            <w:pPr>
              <w:jc w:val="both"/>
            </w:pPr>
            <w:r w:rsidRPr="002922DC">
              <w:t>Zāļu valsts aģentūr</w:t>
            </w:r>
            <w:r>
              <w:t xml:space="preserve">ai </w:t>
            </w:r>
            <w:r w:rsidR="00E421A8">
              <w:t xml:space="preserve">pakalpojumu sniegšanā </w:t>
            </w:r>
            <w:r w:rsidRPr="002922DC">
              <w:t xml:space="preserve">ir </w:t>
            </w:r>
            <w:r>
              <w:t>jānodrošina</w:t>
            </w:r>
            <w:r w:rsidRPr="002922DC">
              <w:t xml:space="preserve"> pakalpojumu kvalitāti līdzvērtīgu labākajām nozares kompetentajām institūcijām Eiropas Savienībā</w:t>
            </w:r>
            <w:r>
              <w:t>, lai</w:t>
            </w:r>
            <w:r w:rsidRPr="002922DC">
              <w:t xml:space="preserve"> sabiedrība iegū</w:t>
            </w:r>
            <w:r>
              <w:t>tu</w:t>
            </w:r>
            <w:r w:rsidRPr="002922DC">
              <w:t xml:space="preserve"> lielāku pārliecību par minēto produktu drošumu, bet komersanti iespēju</w:t>
            </w:r>
            <w:r>
              <w:t xml:space="preserve"> iziet starptautiskajā tirgū. Šā</w:t>
            </w:r>
            <w:r w:rsidRPr="002922DC">
              <w:t xml:space="preserve"> mērķa īstenošanai Zāļu valsts aģentūra nepārtraukti pilnveido profesionālo kompetenci, lai spētu līdzdarboties un pārstāvētu valsts intereses Eiropas Savienības Komitejās, piedalītos starptautisko tiesību aktu sagatavošanā un tirgus risku minimizēšanā, kā arī nodrošinātu zinātnisku konsultāciju sniegšanu iesaistītajām pusēm. </w:t>
            </w:r>
            <w:r w:rsidRPr="00A70392">
              <w:t xml:space="preserve">Par Zāļu valsts aģentūras </w:t>
            </w:r>
            <w:r w:rsidR="00B41C26">
              <w:t>pakalpojumu</w:t>
            </w:r>
            <w:r w:rsidRPr="00A70392">
              <w:t xml:space="preserve"> efektivitāti liecina fakts, ka jau no 2009.gada komersanti ir izvēlējušies Latviju par atsauces valsti, veicot zāļu reģistrāciju savstarpējās atzīšanas procedūrā vairākās valstīs vienlaicīgi.</w:t>
            </w:r>
            <w:r w:rsidRPr="002922DC">
              <w:t xml:space="preserve"> Zāļu valsts aģentūras darbinieki un deleģētie eksperti piedalās Eiropas Savienības Padomes, Komisijas, Eiropas Zāļu aģentūras un citu Eiropas Savienības institūciju veidotajās darba grupās, kuras risina jautājumus saistībā ar zāļu reģistrēšanu, izplatīšanu, uzraudzību, kā arī ar medicīnisko ierīču klīnisko izpēti, lietošanas drošuma uzraudzību un atbilstības novērtēšanu. Zāļu valsts aģentūra sadarbojas</w:t>
            </w:r>
            <w:r w:rsidR="00B41C26">
              <w:t xml:space="preserve"> </w:t>
            </w:r>
            <w:r w:rsidRPr="002922DC">
              <w:t xml:space="preserve">ar citām Veselības ministrijas padotības iestādēm (Nacionālo veselības dienestu, Veselības inspekciju), nodrošinot </w:t>
            </w:r>
            <w:r w:rsidR="00B41C26">
              <w:t>tām pakalpojumus</w:t>
            </w:r>
            <w:r w:rsidR="00B41C26" w:rsidRPr="002922DC">
              <w:t xml:space="preserve"> </w:t>
            </w:r>
            <w:r w:rsidR="00B41C26">
              <w:t xml:space="preserve">- </w:t>
            </w:r>
            <w:r w:rsidRPr="002922DC">
              <w:t>informāciju par zāļu pieejamību, kvalitāti un statistikas datiem par zāļu izplatīšanu.</w:t>
            </w:r>
          </w:p>
          <w:p w:rsidR="00926C28" w:rsidRPr="00E16FD8" w:rsidRDefault="00D13AAF" w:rsidP="00926C28">
            <w:pPr>
              <w:jc w:val="both"/>
              <w:rPr>
                <w:sz w:val="28"/>
                <w:szCs w:val="28"/>
              </w:rPr>
            </w:pPr>
            <w:r w:rsidRPr="00E03D8E">
              <w:t>Ņemot vērā normatīvajos aktos Zāļu valsts aģentūr</w:t>
            </w:r>
            <w:r w:rsidR="00925B56">
              <w:t>ai noteiktos uzdevumus</w:t>
            </w:r>
            <w:r w:rsidRPr="00E03D8E">
              <w:t xml:space="preserve">, </w:t>
            </w:r>
            <w:r w:rsidR="00926C28" w:rsidRPr="00926C28">
              <w:rPr>
                <w:b/>
              </w:rPr>
              <w:t xml:space="preserve">Aģentūras darbības mērķis ir īstenot un attīstīt kvalitatīvus un pamatotus pakalpojumus </w:t>
            </w:r>
            <w:r w:rsidR="00926C28" w:rsidRPr="00926C28">
              <w:rPr>
                <w:rStyle w:val="A2"/>
                <w:b/>
                <w:sz w:val="24"/>
              </w:rPr>
              <w:t>veselības aprūpē izmantojamo ārstniecības līdzekļu, cilvēka asiņu, audu, šūnu un orgānu</w:t>
            </w:r>
            <w:r w:rsidR="00926C28" w:rsidRPr="00926C28">
              <w:rPr>
                <w:b/>
              </w:rPr>
              <w:t xml:space="preserve"> ieguves un izmantošanas vietu, kā arī farmaceitiskās darbības uzņēmumu</w:t>
            </w:r>
            <w:r w:rsidR="00926C28" w:rsidRPr="00926C28">
              <w:rPr>
                <w:rStyle w:val="A2"/>
                <w:b/>
                <w:sz w:val="24"/>
              </w:rPr>
              <w:t xml:space="preserve"> </w:t>
            </w:r>
            <w:r w:rsidR="00926C28" w:rsidRPr="00926C28">
              <w:rPr>
                <w:b/>
              </w:rPr>
              <w:t>jomās atbilstoši valsts un sabiedrības interesēm veselības aprūpes nozarē.</w:t>
            </w:r>
          </w:p>
          <w:p w:rsidR="005064B7" w:rsidRPr="00770381" w:rsidRDefault="005064B7" w:rsidP="00F73A02">
            <w:pPr>
              <w:jc w:val="both"/>
            </w:pPr>
            <w:r w:rsidRPr="002922DC">
              <w:t>Zāļu valsts aģentūra sniedz publiskos maksas pakalpojumus saskaņā ar Ministru kabineta 2006.gada 17.janvāra noteikumiem Nr.61 „Noteikumi par Zāļu valsts aģentūras publisko maksas pakalpojumu cenrādi”.</w:t>
            </w:r>
            <w:r w:rsidR="00D13AAF">
              <w:t xml:space="preserve"> </w:t>
            </w:r>
            <w:r w:rsidRPr="002922DC">
              <w:t xml:space="preserve">Zāļu valsts aģentūras pakalpojumu izcenojumi ir sagatavoti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noteiktajām prasībām. Saskaņā ar noteikumu prasībām, izcenojumā tiek iekļautas tiešās un netiešās izmaksas, pakalpojuma cena ir vienāda ar pašizmaksu. Dažu pakalpojumu cenās ir iestrādātas uz pakalpojumu tieši neattiecināmās izmaksas, kas veidojas no citu </w:t>
            </w:r>
            <w:r>
              <w:t xml:space="preserve">Zāļu valsts aģentūras </w:t>
            </w:r>
            <w:r w:rsidR="00B41C26">
              <w:t xml:space="preserve">uzdevumu </w:t>
            </w:r>
            <w:r w:rsidRPr="002922DC">
              <w:t xml:space="preserve">finansēšanai nepieciešamajiem izdevumiem un par kurām netiek saņemta ne valsts budžeta dotācija, ne maksa par pakalpojumu vai maksa nesedz pilnībā izmaksas (skatīt pielikumu). </w:t>
            </w:r>
            <w:r w:rsidRPr="009509A0">
              <w:t xml:space="preserve">Piemēram, zāļu </w:t>
            </w:r>
            <w:proofErr w:type="spellStart"/>
            <w:r w:rsidRPr="009509A0">
              <w:t>pēcreģistrēšanas</w:t>
            </w:r>
            <w:proofErr w:type="spellEnd"/>
            <w:r w:rsidRPr="009509A0">
              <w:t xml:space="preserve"> gada uzraudzības maksā tiek iekļauti izdevumi par </w:t>
            </w:r>
            <w:proofErr w:type="spellStart"/>
            <w:r w:rsidRPr="009509A0">
              <w:t>farmakovigilanci</w:t>
            </w:r>
            <w:proofErr w:type="spellEnd"/>
            <w:r w:rsidRPr="009509A0">
              <w:t xml:space="preserve">, Latvijas un starptautisko zāļu, klīnisko pētījumu reģistru uzturēšanu, ar ārstu un zāļu lietotāju informēšanu par zālēm saistītie izdevumi un citi izdevumi, kuri </w:t>
            </w:r>
            <w:r w:rsidRPr="009509A0">
              <w:lastRenderedPageBreak/>
              <w:t>netieši, bet cieši saistīti ar šo pakalpojumu.</w:t>
            </w:r>
            <w:r w:rsidRPr="002922DC">
              <w:t xml:space="preserve"> Zāļu reģistrācijas pakalpojumu cenās ir iekļauti 59% tiešo un 41% netiešo izdevumu</w:t>
            </w:r>
            <w:r w:rsidRPr="009509A0">
              <w:t xml:space="preserve">. </w:t>
            </w:r>
            <w:r w:rsidRPr="004A12F7">
              <w:t>Ieviešot papildus maksas pakalpojumus</w:t>
            </w:r>
            <w:r w:rsidR="00A80E05">
              <w:t xml:space="preserve">, </w:t>
            </w:r>
            <w:r w:rsidRPr="00770381">
              <w:t>būtu iespējams samazināt zāļu reģistrācijas maksas.</w:t>
            </w:r>
          </w:p>
          <w:p w:rsidR="005064B7" w:rsidRPr="002922DC" w:rsidRDefault="005064B7" w:rsidP="00EE2FD8">
            <w:pPr>
              <w:jc w:val="both"/>
            </w:pPr>
            <w:r w:rsidRPr="002922DC">
              <w:t xml:space="preserve">Lielāko Zāļu valsts aģentūras ieņēmumu </w:t>
            </w:r>
            <w:r w:rsidR="00B41C26">
              <w:t xml:space="preserve">par pakalpojumu </w:t>
            </w:r>
            <w:r w:rsidRPr="002922DC">
              <w:t xml:space="preserve">apjomu veido ieņēmumi par zāļu reģistrāciju un pārreģistrāciju un citu normatīvajos aktos noteikto </w:t>
            </w:r>
            <w:r w:rsidR="00A80E05">
              <w:t xml:space="preserve">uzdevumu </w:t>
            </w:r>
            <w:r w:rsidRPr="002922DC">
              <w:t>pildīšanu, kas ir maksas pakalpojums. Ieņēmumu apjoms par šo pakalpojumu katru gadu nav vienāds, jo ir atkarīgs no farmaceitisko kompāniju iesniegto pieteikumu skaita zāļu reģistrēšanai un pārreģistrēšanai. 2011.gadā 89.7% no visiem ieņēmumiem tika iegūti no zāļu reģistrācijas pakalpojumiem, tāpēc šo pakalpojumu cenas un struktūras izmaiņas būtiski ietekmē kopējo Zāļu valsts aģentūras budžetu. Saskaņā ar Ministru kabineta 2006.gada 9.maija noteikumu Nr.376 „</w:t>
            </w:r>
            <w:r w:rsidR="00DE22BA">
              <w:t>Zāļu reģistrēšanas kārtība” 85. un</w:t>
            </w:r>
            <w:r w:rsidRPr="002922DC">
              <w:t xml:space="preserve"> 85</w:t>
            </w:r>
            <w:r w:rsidRPr="002922DC">
              <w:rPr>
                <w:vertAlign w:val="superscript"/>
              </w:rPr>
              <w:t>1</w:t>
            </w:r>
            <w:r w:rsidRPr="002922DC">
              <w:t>punktā</w:t>
            </w:r>
            <w:r w:rsidRPr="002922DC">
              <w:rPr>
                <w:rStyle w:val="Vresatsauce"/>
              </w:rPr>
              <w:t xml:space="preserve"> </w:t>
            </w:r>
            <w:r w:rsidRPr="002922DC">
              <w:t xml:space="preserve"> noteikto, Zāļu valsts aģentūras pilnu samaksu par zāļu reģistrācijas pakalpojumiem saņem pirms pakalpojuma veikšanas</w:t>
            </w:r>
            <w:r w:rsidRPr="002922DC">
              <w:rPr>
                <w:b/>
              </w:rPr>
              <w:t xml:space="preserve"> </w:t>
            </w:r>
            <w:r w:rsidRPr="002922DC">
              <w:t>un pirms ar to saistīto izdevumu rašanās un apmaksas.</w:t>
            </w:r>
          </w:p>
          <w:p w:rsidR="005064B7" w:rsidRPr="002922DC" w:rsidRDefault="005064B7" w:rsidP="00EE2FD8">
            <w:pPr>
              <w:jc w:val="both"/>
            </w:pPr>
            <w:r w:rsidRPr="002922DC">
              <w:t>Piemērojot priekšapmaksu, Zāļu valsts aģentūra nosedz izmaksas par darbiem, kas veikti līdz pakalpojuma izpildes pārtraukšanai vai pabeigšanai, kā rezultātā tiek ieviesta skaidrība pakalpojuma saņēmējam par pakalpojuma apmaksu un par iemaksātās priekšapmaksas atmaksas kārtību pakalpojumu pārtraukšanas gadījumā. Ņemot vērā priekšapmaksu, tiek palielināta</w:t>
            </w:r>
            <w:r w:rsidR="00201F53">
              <w:t xml:space="preserve"> </w:t>
            </w:r>
            <w:r w:rsidRPr="002922DC">
              <w:t>arī iesniedzēju atbildība par kvalitatīv</w:t>
            </w:r>
            <w:r>
              <w:t>u</w:t>
            </w:r>
            <w:r w:rsidRPr="002922DC">
              <w:t xml:space="preserve"> reģistrācija</w:t>
            </w:r>
            <w:r>
              <w:t>i</w:t>
            </w:r>
            <w:r w:rsidRPr="002922DC">
              <w:t xml:space="preserve"> </w:t>
            </w:r>
            <w:r>
              <w:t xml:space="preserve">nepieciešamo </w:t>
            </w:r>
            <w:r w:rsidRPr="002922DC">
              <w:t>dokument</w:t>
            </w:r>
            <w:r>
              <w:t>u</w:t>
            </w:r>
            <w:r w:rsidRPr="002922DC">
              <w:t xml:space="preserve"> iesniegšanu, kā rezultātā tiek samazināti administratīvie izdevumi (sarakste starp Zāļu valsts aģentūru un iesniedzēju par reģistrācijas dokumentācijas trūkumu novēršanu), kā arī tiek atvieglots reģistrācijas dokumentu izskatī</w:t>
            </w:r>
            <w:r>
              <w:t xml:space="preserve">šanas process. Pakalpojuma izpildes </w:t>
            </w:r>
            <w:r w:rsidRPr="002922DC">
              <w:t xml:space="preserve">ilgums ir atkarīgs arī no </w:t>
            </w:r>
            <w:r w:rsidR="00B41C26">
              <w:t>iesniedzēja</w:t>
            </w:r>
            <w:r w:rsidRPr="002922DC">
              <w:t xml:space="preserve"> spējas un vēlmes veikt nepieciešamās darbības, </w:t>
            </w:r>
            <w:r>
              <w:t>pakalpojuma</w:t>
            </w:r>
            <w:r w:rsidRPr="002922DC">
              <w:t xml:space="preserve"> izpilde var tikt pabeigta pat pēc vairākiem atskaites periodiem. Tāpēc līdzekļi, kuri tiek saņemti avansā, nav atzīstami par ieņēmumiem līdz pakalpojuma pabeigšanai.</w:t>
            </w:r>
          </w:p>
          <w:p w:rsidR="005064B7" w:rsidRPr="002922DC" w:rsidRDefault="005064B7" w:rsidP="00C22DB5">
            <w:pPr>
              <w:pStyle w:val="Sarakstarindkopa"/>
              <w:ind w:left="0"/>
              <w:jc w:val="both"/>
            </w:pPr>
            <w:r w:rsidRPr="002922DC">
              <w:t xml:space="preserve">Kopš 2009.gada 1.janvāra Zāļu valsts aģentūrai tika piemērots budžeta finansētas iestādes statuss - kontā Valsts kasē esošais līdzekļu atlikums tika uzskatīts par ieņēmumu atlikumu un deponēts. Netika ņemts vērā, ka Zāļu valsts aģentūras </w:t>
            </w:r>
            <w:r w:rsidRPr="002922DC">
              <w:rPr>
                <w:bCs/>
              </w:rPr>
              <w:t>norēķinu konta līdzekļus uz atskaites perioda beigām veido:</w:t>
            </w:r>
          </w:p>
          <w:p w:rsidR="005064B7" w:rsidRPr="002922DC" w:rsidRDefault="005064B7" w:rsidP="00C22DB5">
            <w:pPr>
              <w:pStyle w:val="naisf"/>
              <w:numPr>
                <w:ilvl w:val="0"/>
                <w:numId w:val="4"/>
              </w:numPr>
              <w:spacing w:before="0" w:after="0"/>
              <w:rPr>
                <w:bCs/>
              </w:rPr>
            </w:pPr>
            <w:r w:rsidRPr="002922DC">
              <w:rPr>
                <w:bCs/>
              </w:rPr>
              <w:t>klientu avansi, kas ir saņemti pirms pakalpojuma sniegšanas, turklāt daļa no tiem, kā rāda pieredze, tiek atsaukta un nauda jāatgriež;</w:t>
            </w:r>
          </w:p>
          <w:p w:rsidR="005064B7" w:rsidRPr="002922DC" w:rsidRDefault="005064B7" w:rsidP="00C22DB5">
            <w:pPr>
              <w:pStyle w:val="naisf"/>
              <w:numPr>
                <w:ilvl w:val="0"/>
                <w:numId w:val="4"/>
              </w:numPr>
              <w:spacing w:before="0" w:after="0"/>
              <w:rPr>
                <w:bCs/>
              </w:rPr>
            </w:pPr>
            <w:r w:rsidRPr="002922DC">
              <w:rPr>
                <w:bCs/>
              </w:rPr>
              <w:t>klientu avansu daļa par pakalpojumiem, kuru sniegšana pārskata gadā ir tikusi iesākta, bet kuri tiks pabeigti nākamajos pārskata periodos.</w:t>
            </w:r>
          </w:p>
          <w:p w:rsidR="005064B7" w:rsidRPr="002922DC" w:rsidRDefault="005064B7" w:rsidP="00C22DB5">
            <w:pPr>
              <w:ind w:left="45"/>
              <w:jc w:val="both"/>
              <w:rPr>
                <w:bCs/>
              </w:rPr>
            </w:pPr>
            <w:r w:rsidRPr="002922DC">
              <w:rPr>
                <w:bCs/>
              </w:rPr>
              <w:t xml:space="preserve">Turklāt naudas līdzekļi, kas gada beigās palikuši </w:t>
            </w:r>
            <w:r w:rsidRPr="002922DC">
              <w:t>Zāļu valsts aģentūras</w:t>
            </w:r>
            <w:r w:rsidRPr="002922DC">
              <w:rPr>
                <w:bCs/>
              </w:rPr>
              <w:t xml:space="preserve"> norēķinu kontā, kā nākamo periodu ieņēmumi vai avansi un tiek deponēti, bija paredzēti ne tikai nākamā gada izdevumiem, saskaņā ar finansēšanas plānu, bet arī iepriekšējā gada izdevumu segšanai, par kuriem </w:t>
            </w:r>
            <w:r w:rsidRPr="002922DC">
              <w:t>Zāļu valsts aģentūra</w:t>
            </w:r>
            <w:r w:rsidRPr="002922DC">
              <w:rPr>
                <w:bCs/>
              </w:rPr>
              <w:t xml:space="preserve"> rēķinus saņems tikai nākamajā gadā, kā arī saistību segšanai  (avansu atmaksai) par atsauktajiem pakalpojumiem.</w:t>
            </w:r>
          </w:p>
          <w:p w:rsidR="005064B7" w:rsidRPr="002922DC" w:rsidRDefault="005064B7" w:rsidP="00C22DB5">
            <w:pPr>
              <w:jc w:val="both"/>
            </w:pPr>
            <w:r w:rsidRPr="002922DC">
              <w:t xml:space="preserve">Ņemot vērā to, ka no 2009.gada 1.janvāra Zāļu valsts aģentūrai nebija iespējas izmantot valsts pamatbudžeta kontos esošo līdzekļu atlikumu nākamajā saimnieciskajā gadā, lai savlaicīgi atmaksātu zāļu reģistrētājiem par pakalpojumiem kas netika veikti, Zāļu valsts aģentūras parādu summa </w:t>
            </w:r>
            <w:r>
              <w:t xml:space="preserve">privātpersonām </w:t>
            </w:r>
            <w:r w:rsidRPr="002922DC">
              <w:t>ir pieaugusi uz 2012.gada 1.janvāri līdz Ls 300 000.</w:t>
            </w:r>
          </w:p>
          <w:p w:rsidR="005064B7" w:rsidRPr="002922DC" w:rsidRDefault="005064B7" w:rsidP="00EC05A7">
            <w:pPr>
              <w:jc w:val="both"/>
            </w:pPr>
            <w:r w:rsidRPr="002922DC">
              <w:t xml:space="preserve">Zāļu valsts aģentūra savu funkciju nodrošināšanu realizē no ieņēmumiem par maksas pakalpojumiem. </w:t>
            </w:r>
            <w:r w:rsidRPr="00B41C26">
              <w:rPr>
                <w:u w:val="single"/>
              </w:rPr>
              <w:t xml:space="preserve">Lielāko Zāļu valsts aģentūras ieņēmumu </w:t>
            </w:r>
            <w:r w:rsidRPr="00B41C26">
              <w:rPr>
                <w:u w:val="single"/>
              </w:rPr>
              <w:lastRenderedPageBreak/>
              <w:t xml:space="preserve">apjomu veido ieņēmumi par </w:t>
            </w:r>
            <w:r w:rsidR="00F73A02" w:rsidRPr="00B41C26">
              <w:rPr>
                <w:u w:val="single"/>
              </w:rPr>
              <w:t xml:space="preserve">privātpersonām sniegtajiem pakalpojumiem par </w:t>
            </w:r>
            <w:r w:rsidRPr="00B41C26">
              <w:rPr>
                <w:u w:val="single"/>
              </w:rPr>
              <w:t xml:space="preserve">zāļu reģistrāciju un pārreģistrāciju un citu normatīvajos aktos noteikto </w:t>
            </w:r>
            <w:r w:rsidR="00F73A02" w:rsidRPr="00B41C26">
              <w:rPr>
                <w:u w:val="single"/>
              </w:rPr>
              <w:t xml:space="preserve">uzdevumu </w:t>
            </w:r>
            <w:r w:rsidRPr="00B41C26">
              <w:rPr>
                <w:u w:val="single"/>
              </w:rPr>
              <w:t>pildīšanu, kuri pēc Finanšu ministrijas informatīvajā ziņojumā „Par valsts nodevu un maksas pakalpojumu nošķiršanu un nodevas sistēmas pilnveidošanu” norādītajiem kritērijiem atbilst maksas pakalpojumiem.</w:t>
            </w:r>
            <w:r w:rsidRPr="002922DC">
              <w:t xml:space="preserve"> Ieņēmumu apjoms par šiem pakalpojumiem katru gadu nav vienāds, jo </w:t>
            </w:r>
            <w:r>
              <w:t xml:space="preserve">tas </w:t>
            </w:r>
            <w:r w:rsidRPr="002922DC">
              <w:t>ir atkarīgs no</w:t>
            </w:r>
            <w:r w:rsidR="00F73A02">
              <w:t xml:space="preserve"> privātpersonu</w:t>
            </w:r>
            <w:r w:rsidRPr="002922DC">
              <w:t xml:space="preserve"> </w:t>
            </w:r>
            <w:r w:rsidR="00F73A02">
              <w:t>(</w:t>
            </w:r>
            <w:r w:rsidRPr="002922DC">
              <w:t>farmaceitisko kompāniju</w:t>
            </w:r>
            <w:r w:rsidR="00F73A02">
              <w:t>)</w:t>
            </w:r>
            <w:r w:rsidRPr="002922DC">
              <w:t xml:space="preserve"> iesniegto pieteikumu skaita zāļu reģistrēšanai un pārreģistrēšanai.</w:t>
            </w:r>
          </w:p>
          <w:p w:rsidR="005064B7" w:rsidRPr="002922DC" w:rsidRDefault="005064B7" w:rsidP="001D2F18">
            <w:pPr>
              <w:jc w:val="both"/>
            </w:pPr>
            <w:r w:rsidRPr="002922DC">
              <w:t xml:space="preserve">Tā kā budžeta iestādei līdzekļi darbības finansēšanai tiek piešķirti uz gadu, budžeta iestādes var uzņemties tikai īstermiņa saistības. Tomēr, atbilstoši </w:t>
            </w:r>
            <w:r w:rsidR="00F73A02">
              <w:t xml:space="preserve">privātpersonām sniegto </w:t>
            </w:r>
            <w:r w:rsidRPr="002922DC">
              <w:t xml:space="preserve">pakalpojumu izpildes specifikai un apmaksas kārtībai </w:t>
            </w:r>
            <w:r w:rsidRPr="00CF6089">
              <w:t xml:space="preserve">zāļu reģistrēšanā un zāļu </w:t>
            </w:r>
            <w:proofErr w:type="spellStart"/>
            <w:r w:rsidRPr="00CF6089">
              <w:t>pērcreģistrācijas</w:t>
            </w:r>
            <w:proofErr w:type="spellEnd"/>
            <w:r w:rsidRPr="00CF6089">
              <w:t xml:space="preserve"> saistītajām procedūrām</w:t>
            </w:r>
            <w:r w:rsidRPr="002922DC">
              <w:t>, Zāļu valsts aģentūra nevar iekļauties šajos nosacījumos, jo pirms pakalpojuma uzsākšanas pakalpojuma saņēmējs pilnā apmērā samaksā priekšapmaksu par Zāļu valsts aģentūras publisko maksas pakalpojumu cenrāža pielikuma 1., 2., 3., 4., 5., 6., 7., 8., 9., 10., 11. un 13.punktā minētajiem pakalpojumiem. Zāļu valsts aģentūra pilnu samaksu par pakalpojumiem saņem pirms pakalpojuma veikšanas</w:t>
            </w:r>
            <w:r w:rsidRPr="002922DC">
              <w:rPr>
                <w:b/>
              </w:rPr>
              <w:t xml:space="preserve"> </w:t>
            </w:r>
            <w:r w:rsidRPr="002922DC">
              <w:t xml:space="preserve">un pirms ar to saistīto izdevumu rašanās un apmaksas, tāpēc Zāļu valsts aģentūrai ir nepieciešamība izmantot valsts pamatbudžeta kontos esošo līdzekļu atlikumu nākamajā saimnieciskajā gadā atbilstoši finansēšanas plānā piešķirtajiem asignējumiem. Esošais Zāļu valsts aģentūras finansēšanas modelis nesekmē efektīvu pakalpojumu sniegšanu un pakalpojumu kvalitātes uzlabošanu (tai skaitā pieejamību privātpersonām), jo </w:t>
            </w:r>
            <w:r>
              <w:t xml:space="preserve">Zāļu valsts aģentūrai kā </w:t>
            </w:r>
            <w:r w:rsidRPr="002922DC">
              <w:t>tiešaj</w:t>
            </w:r>
            <w:r>
              <w:t>ai valsts</w:t>
            </w:r>
            <w:r w:rsidRPr="002922DC">
              <w:t xml:space="preserve"> pārvaldes iestād</w:t>
            </w:r>
            <w:r>
              <w:t>ei</w:t>
            </w:r>
            <w:r w:rsidRPr="002922DC">
              <w:t xml:space="preserve"> </w:t>
            </w:r>
            <w:r w:rsidR="000D30C5">
              <w:t>ir</w:t>
            </w:r>
            <w:r w:rsidRPr="002922DC">
              <w:t xml:space="preserve"> ierobežotas iespējas izmantot finanšu resursus, kas iegūti no sniegtajiem maksas pakalpojumiem, lai paaugstinātu kapacitāti un sekotu zāļu aprites tirgus aktivitātēm.</w:t>
            </w:r>
          </w:p>
          <w:p w:rsidR="005064B7" w:rsidRPr="00926C28" w:rsidRDefault="005064B7" w:rsidP="001D2F18">
            <w:pPr>
              <w:jc w:val="both"/>
              <w:rPr>
                <w:b/>
              </w:rPr>
            </w:pPr>
            <w:r w:rsidRPr="00926C28">
              <w:rPr>
                <w:b/>
              </w:rPr>
              <w:t>Zāļu valsts aģentūra</w:t>
            </w:r>
            <w:r w:rsidR="00E10616" w:rsidRPr="00926C28">
              <w:rPr>
                <w:b/>
              </w:rPr>
              <w:t>i</w:t>
            </w:r>
            <w:r w:rsidRPr="00926C28">
              <w:rPr>
                <w:b/>
              </w:rPr>
              <w:t xml:space="preserve"> nepieciešams turpināt darbu publiskas aģentūras statusā, </w:t>
            </w:r>
            <w:r w:rsidR="000D30C5" w:rsidRPr="00926C28">
              <w:rPr>
                <w:b/>
              </w:rPr>
              <w:t>ņemot vērā, ka tā</w:t>
            </w:r>
            <w:r w:rsidR="00926C28" w:rsidRPr="00926C28">
              <w:rPr>
                <w:b/>
              </w:rPr>
              <w:t>s galvenais uzdevums ir</w:t>
            </w:r>
            <w:r w:rsidR="000D30C5" w:rsidRPr="00926C28">
              <w:rPr>
                <w:b/>
              </w:rPr>
              <w:t xml:space="preserve"> snie</w:t>
            </w:r>
            <w:r w:rsidR="00926C28" w:rsidRPr="00926C28">
              <w:rPr>
                <w:b/>
              </w:rPr>
              <w:t>gt</w:t>
            </w:r>
            <w:r w:rsidR="000D30C5" w:rsidRPr="00926C28">
              <w:rPr>
                <w:b/>
              </w:rPr>
              <w:t xml:space="preserve"> pakalpojumus privātpersonām, valsts un pašvaldību iestādēm un ārvalstu institūcijām</w:t>
            </w:r>
            <w:r w:rsidR="00926C28" w:rsidRPr="00926C28">
              <w:rPr>
                <w:b/>
              </w:rPr>
              <w:t xml:space="preserve"> - </w:t>
            </w:r>
            <w:r w:rsidRPr="00926C28">
              <w:rPr>
                <w:b/>
              </w:rPr>
              <w:t xml:space="preserve">lai atbilstoši konkrētajai situācijai un nepieciešamajam darba apjomam ātrāk un efektīvāk </w:t>
            </w:r>
            <w:r w:rsidR="000D30C5" w:rsidRPr="00926C28">
              <w:rPr>
                <w:b/>
              </w:rPr>
              <w:t>sniegtu</w:t>
            </w:r>
            <w:r w:rsidRPr="00926C28">
              <w:rPr>
                <w:b/>
              </w:rPr>
              <w:t xml:space="preserve"> pieprasītos pakalpojumus un</w:t>
            </w:r>
            <w:r w:rsidR="000D30C5" w:rsidRPr="00926C28">
              <w:rPr>
                <w:b/>
              </w:rPr>
              <w:t xml:space="preserve"> realizētu</w:t>
            </w:r>
            <w:r w:rsidRPr="00926C28">
              <w:rPr>
                <w:b/>
              </w:rPr>
              <w:t xml:space="preserve"> ar to saistīto darba apjomu, nodrošin</w:t>
            </w:r>
            <w:r w:rsidR="000D30C5" w:rsidRPr="00926C28">
              <w:rPr>
                <w:b/>
              </w:rPr>
              <w:t>ot</w:t>
            </w:r>
            <w:r w:rsidRPr="00926C28">
              <w:rPr>
                <w:b/>
              </w:rPr>
              <w:t xml:space="preserve"> konkurētspējīgu nepieciešamo zāļu pieejamību patērētājam, kā arī sniegtu objektīvu informāciju par zālēm un citiem </w:t>
            </w:r>
            <w:r w:rsidR="000D30C5" w:rsidRPr="00926C28">
              <w:rPr>
                <w:b/>
              </w:rPr>
              <w:t>Zāļu valsts aģen</w:t>
            </w:r>
            <w:r w:rsidR="00862037" w:rsidRPr="00926C28">
              <w:rPr>
                <w:b/>
              </w:rPr>
              <w:t xml:space="preserve">tūras kompetences </w:t>
            </w:r>
            <w:r w:rsidR="000D30C5" w:rsidRPr="00926C28">
              <w:rPr>
                <w:b/>
              </w:rPr>
              <w:t>jautājumiem.</w:t>
            </w:r>
          </w:p>
          <w:p w:rsidR="005064B7" w:rsidRPr="002922DC" w:rsidRDefault="005064B7" w:rsidP="006E3680">
            <w:pPr>
              <w:jc w:val="both"/>
            </w:pPr>
            <w:r w:rsidRPr="002922DC">
              <w:t>Veselības ministrija, izvērtējot Zāļu valsts aģentūras pastāvēšanas lietderību un efektivitāti, secināja, ka Zāļu valsts aģentūra nesaņem valsts budžeta dotāciju uzturēšanas izdevumu un personāla atlīdzības finansējumam, ieņēmumu resursi tiek izlietoti uzturēšanas (atalgojums, darba devēja valsts sociālās apdrošināšanas izmaksas, preces un pakalpojumi) un kapitālo izdevumu segšanai</w:t>
            </w:r>
            <w:r w:rsidR="00862037">
              <w:t>.</w:t>
            </w:r>
          </w:p>
          <w:p w:rsidR="00D77FB5" w:rsidRDefault="005064B7" w:rsidP="00770381">
            <w:pPr>
              <w:jc w:val="both"/>
            </w:pPr>
            <w:r w:rsidRPr="002922DC">
              <w:rPr>
                <w:lang w:bidi="lo-LA"/>
              </w:rPr>
              <w:t xml:space="preserve">Publisko aģentūru likuma 5.panta piektā daļa </w:t>
            </w:r>
            <w:r w:rsidRPr="002922DC">
              <w:t>paredz, ka ieņēmumi par maksas pakalpojumiem, kā arī citi pašu ieņēmumi paliek aģentūru rīcībā un aģentūrām ir tiesības tos izlietot valsts pārvaldes uzdevumu izpildei turpmākajos gados. Saglabājot Zāļu valsts aģentūras statusu kā valsts aģentūra, uzdevumu izpildes nodrošināšanai varē</w:t>
            </w:r>
            <w:r>
              <w:t>s</w:t>
            </w:r>
            <w:r w:rsidRPr="002922DC">
              <w:t xml:space="preserve"> efektīvāk plānot budžetu, ieguldot Zāļu valsts aģentūras darbības attīstībā, nodrošinot to </w:t>
            </w:r>
            <w:r w:rsidR="00862037">
              <w:t>uzdevumu</w:t>
            </w:r>
            <w:r w:rsidRPr="002922DC">
              <w:t xml:space="preserve"> izpildi, kuru veikšana netiek segta ar ieņ</w:t>
            </w:r>
            <w:r>
              <w:t>ēmumiem no maksas pakalpojumiem, p</w:t>
            </w:r>
            <w:r w:rsidRPr="002922DC">
              <w:t xml:space="preserve">iemēram, zāļu lietošanas drošības uzraudzība </w:t>
            </w:r>
            <w:r w:rsidRPr="002922DC">
              <w:lastRenderedPageBreak/>
              <w:t>(</w:t>
            </w:r>
            <w:proofErr w:type="spellStart"/>
            <w:r w:rsidRPr="002922DC">
              <w:t>farmakovigilance</w:t>
            </w:r>
            <w:proofErr w:type="spellEnd"/>
            <w:r w:rsidRPr="002922DC">
              <w:t xml:space="preserve">), informatīvas sistēmas uzturēšana un pilnveidošana, pastāvīgas un aktuālas informācijas sniegšana klientiem un sabiedrībai, izmantojot dažādus informācijas kanālus. </w:t>
            </w:r>
            <w:r>
              <w:t>Nepieciešams</w:t>
            </w:r>
            <w:r w:rsidRPr="002922DC">
              <w:t xml:space="preserve"> turpināt veidot un attīstīt konkurētspējīgu ekspertu komandu, lai piedalītos Eiropas Savienības zāļu reģistrācijas, riska mazināšanas, Eiropas Ekonomiskās zonas dalībvalstu zāļu aģentūru tīkla (</w:t>
            </w:r>
            <w:proofErr w:type="spellStart"/>
            <w:r w:rsidRPr="002922DC">
              <w:t>European</w:t>
            </w:r>
            <w:proofErr w:type="spellEnd"/>
            <w:r w:rsidRPr="002922DC">
              <w:t xml:space="preserve"> </w:t>
            </w:r>
            <w:proofErr w:type="spellStart"/>
            <w:r w:rsidRPr="002922DC">
              <w:t>Network</w:t>
            </w:r>
            <w:proofErr w:type="spellEnd"/>
            <w:r w:rsidRPr="002922DC">
              <w:t xml:space="preserve">) savstarpējās darba dalīšanas un kopējos projektos. Zāļu valsts aģentūras </w:t>
            </w:r>
            <w:r w:rsidR="00862037">
              <w:t xml:space="preserve">uzdevumu </w:t>
            </w:r>
            <w:r w:rsidRPr="002922DC">
              <w:t xml:space="preserve">izpilde ir saistīta ar specializētu jomu un tā ir ilglaicīga. </w:t>
            </w:r>
            <w:r w:rsidR="00862037">
              <w:t>L</w:t>
            </w:r>
            <w:r w:rsidRPr="002922DC">
              <w:t xml:space="preserve">ai nodrošinātu zāļu reģistrācijas izmaksu un līdz ar to cenu samazinājumu, dažu </w:t>
            </w:r>
            <w:r w:rsidR="00E10616">
              <w:t>uzdevumu</w:t>
            </w:r>
            <w:r w:rsidRPr="002922DC">
              <w:t xml:space="preserve"> finansēšanai (</w:t>
            </w:r>
            <w:r w:rsidR="004A12F7">
              <w:t xml:space="preserve">anotācijas pielikuma </w:t>
            </w:r>
            <w:r w:rsidR="00E10616">
              <w:t>10., 12., 17., 20., 34. un 38.punkts)</w:t>
            </w:r>
            <w:r w:rsidRPr="002922DC">
              <w:t xml:space="preserve">, kuru darbība nav saistīta ar zāļu reģistrāciju un kuru maksas pakalpojumi nesedz izmaksas, </w:t>
            </w:r>
            <w:r w:rsidR="004A12F7">
              <w:t xml:space="preserve">saskaņā ar Veselības ministrijā veikto izvērtējumu </w:t>
            </w:r>
            <w:r w:rsidR="00862037">
              <w:t>būtu nepieciešams ieviest jaunus pakalpojumu veidus, ņemot vērā, ka dotācija</w:t>
            </w:r>
            <w:r w:rsidR="00E10616">
              <w:t xml:space="preserve"> netiek piešķirta</w:t>
            </w:r>
            <w:r w:rsidR="00862037">
              <w:t xml:space="preserve">. </w:t>
            </w:r>
            <w:r w:rsidRPr="00E10616">
              <w:rPr>
                <w:u w:val="single"/>
              </w:rPr>
              <w:t>Prasību</w:t>
            </w:r>
            <w:r w:rsidRPr="003033B4">
              <w:rPr>
                <w:u w:val="single"/>
              </w:rPr>
              <w:t>, ka lielāko daļu no iestādes budžeta veido ieņēmumi no pakalpojumu sniegšanas, objektīvi vērtējot, Zāļu valsts aģentūra var izpildīt</w:t>
            </w:r>
            <w:r w:rsidRPr="00926C28">
              <w:rPr>
                <w:b/>
              </w:rPr>
              <w:t xml:space="preserve">. Ņemot vērā, ka </w:t>
            </w:r>
            <w:r w:rsidR="00E10616" w:rsidRPr="00926C28">
              <w:rPr>
                <w:b/>
              </w:rPr>
              <w:t>pakalpojumi,</w:t>
            </w:r>
            <w:r w:rsidR="00883536" w:rsidRPr="00926C28">
              <w:rPr>
                <w:b/>
              </w:rPr>
              <w:t xml:space="preserve"> ko</w:t>
            </w:r>
            <w:r w:rsidRPr="00926C28">
              <w:rPr>
                <w:b/>
              </w:rPr>
              <w:t xml:space="preserve"> īsteno Zāļu valsts aģentūra ir būtisk</w:t>
            </w:r>
            <w:r w:rsidR="00883536" w:rsidRPr="00926C28">
              <w:rPr>
                <w:b/>
              </w:rPr>
              <w:t>i</w:t>
            </w:r>
            <w:r w:rsidRPr="00926C28">
              <w:rPr>
                <w:b/>
              </w:rPr>
              <w:t xml:space="preserve"> gan Latvijai, gan Eiropas dalībvalstīm, lai iegūtu pēc iespējas labāko rezultātu gan Latvijā, gan Eiropas dalībvalstīs, ir</w:t>
            </w:r>
            <w:r w:rsidRPr="002964ED">
              <w:t xml:space="preserve"> </w:t>
            </w:r>
            <w:r w:rsidRPr="002964ED">
              <w:rPr>
                <w:b/>
              </w:rPr>
              <w:t>jāsaglabā Zāļu valsts aģentūras statuss kā valsts aģentūrai</w:t>
            </w:r>
            <w:r w:rsidR="000F5144" w:rsidRPr="002964ED">
              <w:rPr>
                <w:b/>
              </w:rPr>
              <w:t xml:space="preserve"> (budžeta nefinansētas iestādes statuss)</w:t>
            </w:r>
            <w:r w:rsidRPr="002964ED">
              <w:rPr>
                <w:b/>
              </w:rPr>
              <w:t>,</w:t>
            </w:r>
            <w:r w:rsidR="00883536">
              <w:rPr>
                <w:b/>
              </w:rPr>
              <w:t xml:space="preserve"> kurai ir noteikta kompetence pakalpojumu sniegšanas jomā un </w:t>
            </w:r>
            <w:r w:rsidR="00E10616">
              <w:rPr>
                <w:b/>
              </w:rPr>
              <w:t xml:space="preserve">tā </w:t>
            </w:r>
            <w:r w:rsidRPr="002964ED">
              <w:rPr>
                <w:b/>
              </w:rPr>
              <w:t>darbojas saskaņā ar Publisko aģentūru likumu.</w:t>
            </w:r>
            <w:r w:rsidR="00601B70">
              <w:rPr>
                <w:u w:val="single"/>
              </w:rPr>
              <w:t xml:space="preserve"> </w:t>
            </w:r>
            <w:r w:rsidRPr="003033B4">
              <w:rPr>
                <w:u w:val="single"/>
              </w:rPr>
              <w:t xml:space="preserve">Ņemot vērā minēto, secināms, ka Zāļu valsts aģentūras darbības turpināšana valsts aģentūras statusā atbilst Publisko aģentūru likuma 2.panta pirmajai daļai, </w:t>
            </w:r>
            <w:r w:rsidR="00E10616">
              <w:rPr>
                <w:u w:val="single"/>
              </w:rPr>
              <w:t xml:space="preserve">3.panta pirmajai daļai, </w:t>
            </w:r>
            <w:r w:rsidRPr="003033B4">
              <w:rPr>
                <w:u w:val="single"/>
              </w:rPr>
              <w:t>4.panta pirmajai daļai un 13.pantam</w:t>
            </w:r>
            <w:r w:rsidRPr="00D552C0">
              <w:t>.</w:t>
            </w:r>
            <w:r w:rsidR="0006043E" w:rsidRPr="00D552C0">
              <w:t xml:space="preserve"> Visa izvērtējuma rezultātā</w:t>
            </w:r>
            <w:r w:rsidR="00770381">
              <w:t xml:space="preserve"> </w:t>
            </w:r>
            <w:r w:rsidR="000F5144" w:rsidRPr="00D552C0">
              <w:rPr>
                <w:b/>
              </w:rPr>
              <w:t>Zāļu valsts aģentūra, sākot ar 2013.gadu un turpmākajos gados</w:t>
            </w:r>
            <w:r w:rsidR="0022202F">
              <w:rPr>
                <w:b/>
              </w:rPr>
              <w:t>,</w:t>
            </w:r>
            <w:r w:rsidR="000F5144" w:rsidRPr="00D552C0">
              <w:rPr>
                <w:b/>
              </w:rPr>
              <w:t xml:space="preserve"> Publisko aģentūru likuma izpratnē darbosies kā budžeta nefinansēta iestāde</w:t>
            </w:r>
            <w:r w:rsidR="00883536">
              <w:rPr>
                <w:b/>
              </w:rPr>
              <w:t xml:space="preserve"> pakalpojumu sniegšanas jomā</w:t>
            </w:r>
            <w:r w:rsidR="000F5144" w:rsidRPr="00D552C0">
              <w:rPr>
                <w:b/>
              </w:rPr>
              <w:t xml:space="preserve"> un </w:t>
            </w:r>
            <w:r w:rsidR="00883536">
              <w:rPr>
                <w:b/>
              </w:rPr>
              <w:t>uzdevumu</w:t>
            </w:r>
            <w:r w:rsidR="000F5144" w:rsidRPr="00D552C0">
              <w:rPr>
                <w:b/>
              </w:rPr>
              <w:t xml:space="preserve"> nodrošināšan</w:t>
            </w:r>
            <w:r w:rsidR="00883536">
              <w:rPr>
                <w:b/>
              </w:rPr>
              <w:t>ai</w:t>
            </w:r>
            <w:r w:rsidR="000F5144" w:rsidRPr="00D552C0">
              <w:rPr>
                <w:b/>
              </w:rPr>
              <w:t xml:space="preserve"> saistītos izdevumus segs no ieņēmumiem no maksas pakalpojumu sniegšanas.</w:t>
            </w:r>
            <w:r w:rsidR="000F5144" w:rsidRPr="00D552C0">
              <w:t xml:space="preserve"> </w:t>
            </w:r>
          </w:p>
          <w:p w:rsidR="00E10616" w:rsidRDefault="00770381" w:rsidP="00E10616">
            <w:pPr>
              <w:autoSpaceDE w:val="0"/>
              <w:autoSpaceDN w:val="0"/>
              <w:adjustRightInd w:val="0"/>
              <w:jc w:val="both"/>
              <w:rPr>
                <w:rFonts w:eastAsiaTheme="minorHAnsi"/>
                <w:color w:val="000000"/>
              </w:rPr>
            </w:pPr>
            <w:r>
              <w:t>Lai nodrošinātu</w:t>
            </w:r>
            <w:r w:rsidR="00BC2458">
              <w:t xml:space="preserve"> </w:t>
            </w:r>
            <w:r w:rsidR="00BC2458" w:rsidRPr="00FC69E7">
              <w:t xml:space="preserve">Valsts sekretāru sanāksmes 2012.gada 28.jūnija sēdes (protokols Nr.26, </w:t>
            </w:r>
            <w:r w:rsidR="00BC2458" w:rsidRPr="00FC69E7">
              <w:rPr>
                <w:rFonts w:eastAsiaTheme="minorHAnsi"/>
                <w:bCs/>
                <w:color w:val="000000"/>
              </w:rPr>
              <w:t>52.§)</w:t>
            </w:r>
            <w:r w:rsidR="00BC2458" w:rsidRPr="00FC69E7">
              <w:t xml:space="preserve"> </w:t>
            </w:r>
            <w:proofErr w:type="spellStart"/>
            <w:r w:rsidR="00BC2458" w:rsidRPr="00FC69E7">
              <w:t>protokollēmuma</w:t>
            </w:r>
            <w:proofErr w:type="spellEnd"/>
            <w:r w:rsidR="00BC2458" w:rsidRPr="00FC69E7">
              <w:t xml:space="preserve"> </w:t>
            </w:r>
            <w:r w:rsidR="00BC2458" w:rsidRPr="00FC69E7">
              <w:rPr>
                <w:rFonts w:eastAsiaTheme="minorHAnsi"/>
                <w:bCs/>
                <w:color w:val="000000"/>
              </w:rPr>
              <w:t xml:space="preserve">„Informatīvais ziņojums par valsts aģentūru statusa maiņu” </w:t>
            </w:r>
            <w:r w:rsidR="00BC2458">
              <w:rPr>
                <w:rFonts w:eastAsiaTheme="minorHAnsi"/>
                <w:bCs/>
                <w:color w:val="000000"/>
              </w:rPr>
              <w:t xml:space="preserve">2.1.apakšpunkta un 3.punkta izpildi, kas nosaka, ka </w:t>
            </w:r>
            <w:r w:rsidR="007C2A58">
              <w:rPr>
                <w:rFonts w:eastAsiaTheme="minorHAnsi"/>
                <w:color w:val="000000"/>
                <w:sz w:val="28"/>
                <w:szCs w:val="28"/>
              </w:rPr>
              <w:t xml:space="preserve">     </w:t>
            </w:r>
            <w:r w:rsidR="008A3D83">
              <w:rPr>
                <w:rFonts w:eastAsiaTheme="minorHAnsi"/>
                <w:color w:val="000000"/>
                <w:sz w:val="28"/>
                <w:szCs w:val="28"/>
              </w:rPr>
              <w:t>„</w:t>
            </w:r>
            <w:r w:rsidR="0022202F" w:rsidRPr="00883536">
              <w:rPr>
                <w:rFonts w:eastAsiaTheme="minorHAnsi"/>
                <w:color w:val="000000"/>
              </w:rPr>
              <w:t>[</w:t>
            </w:r>
            <w:r w:rsidR="007C2A58" w:rsidRPr="007C2A58">
              <w:rPr>
                <w:rFonts w:eastAsiaTheme="minorHAnsi"/>
                <w:color w:val="000000"/>
              </w:rPr>
              <w:t>2.1.</w:t>
            </w:r>
            <w:r w:rsidR="0022202F">
              <w:rPr>
                <w:rFonts w:eastAsiaTheme="minorHAnsi"/>
                <w:color w:val="000000"/>
              </w:rPr>
              <w:t>]</w:t>
            </w:r>
            <w:r w:rsidR="007C2A58" w:rsidRPr="007C2A58">
              <w:rPr>
                <w:rFonts w:eastAsiaTheme="minorHAnsi"/>
                <w:color w:val="000000"/>
              </w:rPr>
              <w:t xml:space="preserve"> konstatējot aģentūras darbības atbilstību Publisko aģentūru likuma prasībām, izskatīšanai Ministru kabinetā virza attiecīgās aģentūras nolikumu, kurš izdots saskaņā ar Publisko aģentūru likuma 4.panta otro daļu, paredzot nolikuma spēkā stāšanās laiku 2013.gada 1.janvārī. Nolikuma anotācijā norāda informāciju par veikto funkciju un valsts aģentūras budžeta veidošanās izvērtējumu un atbilstību Publisko aģentūru likuma pr</w:t>
            </w:r>
            <w:r w:rsidR="00BB7EF9">
              <w:rPr>
                <w:rFonts w:eastAsiaTheme="minorHAnsi"/>
                <w:color w:val="000000"/>
              </w:rPr>
              <w:t>asībām, kā arī citu informāciju”, Veselības ministrija ir sagatavojusi Ministru kabineta noteikumu projektu „Zāļu valsts aģentūras nolikums”</w:t>
            </w:r>
            <w:r w:rsidR="007155F9">
              <w:rPr>
                <w:rFonts w:eastAsiaTheme="minorHAnsi"/>
                <w:color w:val="000000"/>
              </w:rPr>
              <w:t xml:space="preserve"> (turpmāk – noteikumu projekts), paredzot</w:t>
            </w:r>
            <w:r w:rsidR="00BB7EF9">
              <w:rPr>
                <w:rFonts w:eastAsiaTheme="minorHAnsi"/>
                <w:color w:val="000000"/>
              </w:rPr>
              <w:t>, ka tas stājas spēkā ar 2013.gada 1.janvāri</w:t>
            </w:r>
            <w:r w:rsidR="00B82B35">
              <w:rPr>
                <w:rFonts w:eastAsiaTheme="minorHAnsi"/>
                <w:color w:val="000000"/>
              </w:rPr>
              <w:t>.</w:t>
            </w:r>
          </w:p>
          <w:p w:rsidR="0006328F" w:rsidRDefault="00516B71" w:rsidP="008A3D83">
            <w:pPr>
              <w:autoSpaceDE w:val="0"/>
              <w:autoSpaceDN w:val="0"/>
              <w:adjustRightInd w:val="0"/>
              <w:jc w:val="both"/>
            </w:pPr>
            <w:r w:rsidRPr="002F3F5F">
              <w:t>Notei</w:t>
            </w:r>
            <w:r w:rsidR="00927F71">
              <w:t>kumu projektā ietveramas normas</w:t>
            </w:r>
            <w:r w:rsidRPr="002F3F5F">
              <w:t xml:space="preserve"> </w:t>
            </w:r>
            <w:r w:rsidR="002E58C0">
              <w:t>atbilstoši</w:t>
            </w:r>
            <w:r w:rsidRPr="002F3F5F">
              <w:t xml:space="preserve"> Publisko aģentūru likumā </w:t>
            </w:r>
            <w:r w:rsidR="00E10616">
              <w:t>4.panta otr</w:t>
            </w:r>
            <w:r w:rsidR="008A3D83">
              <w:t>ās</w:t>
            </w:r>
            <w:r w:rsidR="002E58C0">
              <w:t xml:space="preserve"> daļas prasībām, l</w:t>
            </w:r>
            <w:r w:rsidR="002F3F5F" w:rsidRPr="002F3F5F">
              <w:t>ai noteiktu aģentūras mērķi</w:t>
            </w:r>
            <w:r w:rsidR="002E58C0">
              <w:t>,</w:t>
            </w:r>
            <w:r w:rsidR="002F3F5F" w:rsidRPr="002F3F5F">
              <w:t xml:space="preserve"> padotību, </w:t>
            </w:r>
            <w:r w:rsidR="002E58C0">
              <w:t>uzraudzības kārtību</w:t>
            </w:r>
            <w:r w:rsidR="002F3F5F" w:rsidRPr="002F3F5F">
              <w:t>,</w:t>
            </w:r>
            <w:r w:rsidR="002E58C0">
              <w:t xml:space="preserve"> uzdevumus, administratīvo aktu </w:t>
            </w:r>
            <w:r w:rsidR="00927F71">
              <w:t>a</w:t>
            </w:r>
            <w:r w:rsidR="002E58C0">
              <w:t>pstrīdēšanas un pārsūdzēšanas kārtību. Zāļu valsts aģentūras administratīvo aktu izdošanas kārtība detalizēti noteikta farmaceitisko darbības jomu reglamentējošos ārējos normatīvajos aktos</w:t>
            </w:r>
            <w:r w:rsidR="00927F71">
              <w:t>, tādēļ nav nepieciešams to noteikt nolikumā.</w:t>
            </w:r>
          </w:p>
          <w:p w:rsidR="008A3D83" w:rsidRPr="002F3F5F" w:rsidRDefault="008A3D83" w:rsidP="00DE2501">
            <w:pPr>
              <w:autoSpaceDE w:val="0"/>
              <w:autoSpaceDN w:val="0"/>
              <w:adjustRightInd w:val="0"/>
              <w:jc w:val="both"/>
            </w:pPr>
            <w:r>
              <w:t>Farmācijas likuma 10.pantā ietvertās Zāļu valsts aģentūras funkcijas līdz 2013 gada 1.janvārim</w:t>
            </w:r>
            <w:r w:rsidR="00DE2501">
              <w:t xml:space="preserve"> precizējamas, ņemot Zāļu valsts aģentūras faktiski kompetenci pakalpojumu sniegšanas jomā.</w:t>
            </w:r>
          </w:p>
        </w:tc>
      </w:tr>
      <w:tr w:rsidR="005064B7" w:rsidRPr="002922DC" w:rsidTr="00291F9F">
        <w:tc>
          <w:tcPr>
            <w:tcW w:w="540" w:type="dxa"/>
          </w:tcPr>
          <w:p w:rsidR="005064B7" w:rsidRPr="002922DC" w:rsidRDefault="005064B7" w:rsidP="00291F9F">
            <w:pPr>
              <w:pStyle w:val="naislab"/>
              <w:spacing w:before="0" w:after="0"/>
              <w:jc w:val="center"/>
              <w:outlineLvl w:val="0"/>
            </w:pPr>
            <w:r w:rsidRPr="002922DC">
              <w:rPr>
                <w:sz w:val="22"/>
                <w:szCs w:val="22"/>
              </w:rPr>
              <w:lastRenderedPageBreak/>
              <w:t>3.</w:t>
            </w:r>
          </w:p>
        </w:tc>
        <w:tc>
          <w:tcPr>
            <w:tcW w:w="1440" w:type="dxa"/>
          </w:tcPr>
          <w:p w:rsidR="005064B7" w:rsidRPr="002922DC" w:rsidRDefault="005064B7" w:rsidP="00291F9F">
            <w:pPr>
              <w:pStyle w:val="naislab"/>
              <w:spacing w:before="0" w:after="0"/>
              <w:jc w:val="both"/>
              <w:outlineLvl w:val="0"/>
            </w:pPr>
            <w:r w:rsidRPr="002922DC">
              <w:rPr>
                <w:sz w:val="22"/>
                <w:szCs w:val="22"/>
              </w:rPr>
              <w:t>Saistītie politikas ietekmes novērtējumi un pētījumi</w:t>
            </w:r>
          </w:p>
        </w:tc>
        <w:tc>
          <w:tcPr>
            <w:tcW w:w="7559" w:type="dxa"/>
          </w:tcPr>
          <w:p w:rsidR="005064B7" w:rsidRPr="002922DC" w:rsidRDefault="005064B7" w:rsidP="00E1290B">
            <w:pPr>
              <w:jc w:val="both"/>
            </w:pPr>
            <w:r w:rsidRPr="002922DC">
              <w:t xml:space="preserve">Nav </w:t>
            </w:r>
            <w:r>
              <w:t>veikti</w:t>
            </w:r>
            <w:r w:rsidR="00E03D8E">
              <w:t>.</w:t>
            </w:r>
          </w:p>
        </w:tc>
      </w:tr>
      <w:tr w:rsidR="005064B7" w:rsidRPr="002922DC" w:rsidTr="00291F9F">
        <w:tc>
          <w:tcPr>
            <w:tcW w:w="540" w:type="dxa"/>
          </w:tcPr>
          <w:p w:rsidR="005064B7" w:rsidRPr="002922DC" w:rsidRDefault="005064B7" w:rsidP="00291F9F">
            <w:pPr>
              <w:pStyle w:val="naislab"/>
              <w:spacing w:before="0" w:after="0"/>
              <w:jc w:val="center"/>
              <w:outlineLvl w:val="0"/>
            </w:pPr>
            <w:r w:rsidRPr="002922DC">
              <w:rPr>
                <w:sz w:val="22"/>
                <w:szCs w:val="22"/>
              </w:rPr>
              <w:t>4.</w:t>
            </w:r>
          </w:p>
        </w:tc>
        <w:tc>
          <w:tcPr>
            <w:tcW w:w="1440" w:type="dxa"/>
          </w:tcPr>
          <w:p w:rsidR="005064B7" w:rsidRPr="002922DC" w:rsidRDefault="005064B7" w:rsidP="00291F9F">
            <w:pPr>
              <w:pStyle w:val="naislab"/>
              <w:spacing w:before="0" w:after="0"/>
              <w:jc w:val="both"/>
              <w:outlineLvl w:val="0"/>
            </w:pPr>
            <w:r w:rsidRPr="002922DC">
              <w:rPr>
                <w:sz w:val="22"/>
                <w:szCs w:val="22"/>
              </w:rPr>
              <w:t>Tiesiskā regulējuma mērķis un būtība</w:t>
            </w:r>
          </w:p>
        </w:tc>
        <w:tc>
          <w:tcPr>
            <w:tcW w:w="7559" w:type="dxa"/>
          </w:tcPr>
          <w:p w:rsidR="000753BC" w:rsidRDefault="000753BC" w:rsidP="00201F53">
            <w:pPr>
              <w:jc w:val="both"/>
            </w:pPr>
            <w:r>
              <w:t xml:space="preserve">Noteikumu </w:t>
            </w:r>
            <w:r w:rsidR="005064B7" w:rsidRPr="00201F53">
              <w:t xml:space="preserve">projekta mērķis ir </w:t>
            </w:r>
            <w:r>
              <w:t xml:space="preserve">pieņemt Zāļu valsts aģentūras nolikumu, saglabājot </w:t>
            </w:r>
            <w:r w:rsidR="005064B7" w:rsidRPr="00201F53">
              <w:t>Zāļu valsts aģentūrai publiskas aģentūras status</w:t>
            </w:r>
            <w:r>
              <w:t>u ar 2013.gada 1.janvāra</w:t>
            </w:r>
            <w:r w:rsidR="005064B7" w:rsidRPr="00201F53">
              <w:t>.</w:t>
            </w:r>
          </w:p>
          <w:p w:rsidR="00927F71" w:rsidRDefault="000753BC" w:rsidP="00927F71">
            <w:pPr>
              <w:jc w:val="both"/>
            </w:pPr>
            <w:r>
              <w:t xml:space="preserve">Noteikumu </w:t>
            </w:r>
            <w:r w:rsidR="00201F53">
              <w:t>būtība ir noteikt, ka ar 2013.gada 1.janvāri aģentūra darbojas saskaņā ar Publisko aģentūru likuma prasībām</w:t>
            </w:r>
            <w:r>
              <w:t xml:space="preserve"> un pieņemt Zāļu valsts aģentūras nolikumu.</w:t>
            </w:r>
            <w:r w:rsidR="00345517">
              <w:t xml:space="preserve"> </w:t>
            </w:r>
            <w:r w:rsidR="00345517" w:rsidRPr="002F3F5F">
              <w:t>Noteikumu projektā ietver</w:t>
            </w:r>
            <w:r w:rsidR="00345517">
              <w:t>tas</w:t>
            </w:r>
            <w:r w:rsidR="00345517" w:rsidRPr="002F3F5F">
              <w:t xml:space="preserve"> normas, kas </w:t>
            </w:r>
            <w:r w:rsidR="00927F71">
              <w:t>atbilstoši</w:t>
            </w:r>
            <w:r w:rsidR="00927F71" w:rsidRPr="002F3F5F">
              <w:t xml:space="preserve"> Publisko aģentūru likumā </w:t>
            </w:r>
            <w:r w:rsidR="00927F71">
              <w:t>4.panta otrajai daļas prasībām, nosaka</w:t>
            </w:r>
            <w:r w:rsidR="00927F71" w:rsidRPr="002F3F5F">
              <w:t xml:space="preserve"> aģentūras mērķi</w:t>
            </w:r>
            <w:r w:rsidR="00927F71">
              <w:t>,</w:t>
            </w:r>
            <w:r w:rsidR="00927F71" w:rsidRPr="002F3F5F">
              <w:t xml:space="preserve"> padotību, </w:t>
            </w:r>
            <w:r w:rsidR="00927F71">
              <w:t>uzraudzības kārtību</w:t>
            </w:r>
            <w:r w:rsidR="00927F71" w:rsidRPr="002F3F5F">
              <w:t>,</w:t>
            </w:r>
            <w:r w:rsidR="00927F71">
              <w:t xml:space="preserve"> uzdevumus, administratīvo aktu apstrīdēšanas un pārsūdzēšanas kārtību.</w:t>
            </w:r>
          </w:p>
          <w:p w:rsidR="00D552C0" w:rsidRPr="002922DC" w:rsidRDefault="00E03D8E" w:rsidP="00927F71">
            <w:pPr>
              <w:jc w:val="both"/>
            </w:pPr>
            <w:r>
              <w:t>Noteikumu</w:t>
            </w:r>
            <w:r w:rsidR="00D552C0">
              <w:t xml:space="preserve"> projekts atrisinās visas 2.punktā minētās problēmas.</w:t>
            </w:r>
          </w:p>
        </w:tc>
      </w:tr>
      <w:tr w:rsidR="005064B7" w:rsidRPr="002922DC" w:rsidTr="00291F9F">
        <w:tc>
          <w:tcPr>
            <w:tcW w:w="540" w:type="dxa"/>
          </w:tcPr>
          <w:p w:rsidR="005064B7" w:rsidRPr="002922DC" w:rsidRDefault="005064B7" w:rsidP="00291F9F">
            <w:pPr>
              <w:pStyle w:val="Galvene"/>
              <w:jc w:val="center"/>
              <w:outlineLvl w:val="0"/>
            </w:pPr>
            <w:r w:rsidRPr="002922DC">
              <w:rPr>
                <w:sz w:val="22"/>
                <w:szCs w:val="22"/>
              </w:rPr>
              <w:t>5.</w:t>
            </w:r>
          </w:p>
        </w:tc>
        <w:tc>
          <w:tcPr>
            <w:tcW w:w="1440" w:type="dxa"/>
          </w:tcPr>
          <w:p w:rsidR="005064B7" w:rsidRPr="002922DC" w:rsidRDefault="005064B7" w:rsidP="00291F9F">
            <w:pPr>
              <w:pStyle w:val="Galvene"/>
              <w:jc w:val="both"/>
              <w:outlineLvl w:val="0"/>
            </w:pPr>
            <w:r w:rsidRPr="002922DC">
              <w:rPr>
                <w:sz w:val="22"/>
                <w:szCs w:val="22"/>
              </w:rPr>
              <w:t>Projekta izstrādē iesaistītās institūcijas</w:t>
            </w:r>
          </w:p>
        </w:tc>
        <w:tc>
          <w:tcPr>
            <w:tcW w:w="7559" w:type="dxa"/>
          </w:tcPr>
          <w:p w:rsidR="005064B7" w:rsidRPr="002922DC" w:rsidRDefault="005064B7" w:rsidP="00291F9F">
            <w:pPr>
              <w:jc w:val="both"/>
            </w:pPr>
            <w:r>
              <w:t>Veselības ministrija un</w:t>
            </w:r>
            <w:r w:rsidRPr="002922DC">
              <w:t xml:space="preserve"> Zāļu valsts aģentūra</w:t>
            </w:r>
            <w:r w:rsidR="00345517">
              <w:t>.</w:t>
            </w:r>
          </w:p>
        </w:tc>
      </w:tr>
      <w:tr w:rsidR="005064B7" w:rsidRPr="002922DC" w:rsidTr="00291F9F">
        <w:tc>
          <w:tcPr>
            <w:tcW w:w="540" w:type="dxa"/>
          </w:tcPr>
          <w:p w:rsidR="005064B7" w:rsidRPr="002922DC" w:rsidRDefault="005064B7" w:rsidP="00291F9F">
            <w:pPr>
              <w:pStyle w:val="naislab"/>
              <w:spacing w:before="0" w:after="0"/>
              <w:jc w:val="center"/>
              <w:outlineLvl w:val="0"/>
            </w:pPr>
            <w:r w:rsidRPr="002922DC">
              <w:rPr>
                <w:sz w:val="22"/>
                <w:szCs w:val="22"/>
              </w:rPr>
              <w:t>6.</w:t>
            </w:r>
          </w:p>
        </w:tc>
        <w:tc>
          <w:tcPr>
            <w:tcW w:w="1440" w:type="dxa"/>
          </w:tcPr>
          <w:p w:rsidR="005064B7" w:rsidRPr="002922DC" w:rsidRDefault="005064B7" w:rsidP="00291F9F">
            <w:pPr>
              <w:pStyle w:val="naislab"/>
              <w:spacing w:before="0" w:after="0"/>
              <w:jc w:val="both"/>
              <w:outlineLvl w:val="0"/>
            </w:pPr>
            <w:r w:rsidRPr="002922DC">
              <w:rPr>
                <w:sz w:val="22"/>
                <w:szCs w:val="22"/>
              </w:rPr>
              <w:t>Iemesli, kādēļ netika nodrošināta sabiedrības līdzdalība</w:t>
            </w:r>
          </w:p>
        </w:tc>
        <w:tc>
          <w:tcPr>
            <w:tcW w:w="7559" w:type="dxa"/>
          </w:tcPr>
          <w:p w:rsidR="005064B7" w:rsidRPr="002922DC" w:rsidRDefault="00E03D8E" w:rsidP="002E7E6F">
            <w:pPr>
              <w:jc w:val="both"/>
            </w:pPr>
            <w:r>
              <w:t>Noteikumu p</w:t>
            </w:r>
            <w:r w:rsidR="005064B7" w:rsidRPr="002922DC">
              <w:t>rojekts pēc būtības attiecas tikai uz iestādes darbības turpināšanu publiskas aģentūras statusā atbilstoši Publisko aģentūru likuma prasībām, tādēļ nav nepieciešama sabiedrības līdzdalības nodrošināšana.</w:t>
            </w:r>
          </w:p>
        </w:tc>
      </w:tr>
      <w:tr w:rsidR="005064B7" w:rsidRPr="002922DC" w:rsidTr="00291F9F">
        <w:tc>
          <w:tcPr>
            <w:tcW w:w="540" w:type="dxa"/>
          </w:tcPr>
          <w:p w:rsidR="005064B7" w:rsidRPr="002922DC" w:rsidRDefault="005064B7" w:rsidP="00291F9F">
            <w:pPr>
              <w:pStyle w:val="naislab"/>
              <w:spacing w:before="0" w:after="0"/>
              <w:jc w:val="center"/>
              <w:outlineLvl w:val="0"/>
            </w:pPr>
            <w:r w:rsidRPr="002922DC">
              <w:rPr>
                <w:sz w:val="22"/>
                <w:szCs w:val="22"/>
              </w:rPr>
              <w:t>7.</w:t>
            </w:r>
          </w:p>
        </w:tc>
        <w:tc>
          <w:tcPr>
            <w:tcW w:w="1440" w:type="dxa"/>
          </w:tcPr>
          <w:p w:rsidR="005064B7" w:rsidRPr="002922DC" w:rsidRDefault="005064B7" w:rsidP="00291F9F">
            <w:pPr>
              <w:pStyle w:val="naislab"/>
              <w:spacing w:before="0" w:after="0"/>
              <w:jc w:val="both"/>
              <w:outlineLvl w:val="0"/>
            </w:pPr>
            <w:r w:rsidRPr="002922DC">
              <w:rPr>
                <w:sz w:val="22"/>
                <w:szCs w:val="22"/>
              </w:rPr>
              <w:t>Cita informācija</w:t>
            </w:r>
          </w:p>
        </w:tc>
        <w:tc>
          <w:tcPr>
            <w:tcW w:w="7559" w:type="dxa"/>
          </w:tcPr>
          <w:p w:rsidR="00B82B35" w:rsidRDefault="00B82B35" w:rsidP="00291F9F">
            <w:pPr>
              <w:jc w:val="both"/>
            </w:pPr>
            <w:r>
              <w:t xml:space="preserve">Noteikumi nosaka, ka </w:t>
            </w:r>
            <w:r w:rsidRPr="002922DC">
              <w:t xml:space="preserve">Ministru kabineta </w:t>
            </w:r>
            <w:r>
              <w:t>2004.gada 7.decembra noteikumi N</w:t>
            </w:r>
            <w:r w:rsidRPr="002922DC">
              <w:t>r.1006 „Zāļu valsts aģentūras nolikums”</w:t>
            </w:r>
            <w:r>
              <w:t xml:space="preserve"> tiek atzīti </w:t>
            </w:r>
            <w:r w:rsidR="000753BC">
              <w:t xml:space="preserve">ar 2013.gada 1.janvāri </w:t>
            </w:r>
            <w:r w:rsidR="009D6524">
              <w:t>par spēku zaudējušiem.</w:t>
            </w:r>
          </w:p>
          <w:p w:rsidR="009D6524" w:rsidRDefault="009D6524" w:rsidP="009D6524">
            <w:pPr>
              <w:jc w:val="both"/>
              <w:rPr>
                <w:color w:val="000000"/>
              </w:rPr>
            </w:pPr>
            <w:r w:rsidRPr="009D6524">
              <w:t xml:space="preserve">Noteikumu projektam pievienots Ministru kabineta sēdes </w:t>
            </w:r>
            <w:proofErr w:type="spellStart"/>
            <w:r w:rsidRPr="009D6524">
              <w:t>protokollēmuma</w:t>
            </w:r>
            <w:proofErr w:type="spellEnd"/>
            <w:r w:rsidRPr="009D6524">
              <w:t xml:space="preserve"> projekts, kura 2.punkts nosaka, s</w:t>
            </w:r>
            <w:r w:rsidRPr="009D6524">
              <w:rPr>
                <w:color w:val="000000"/>
              </w:rPr>
              <w:t>askaņā ar Publisko aģentūru likuma pārejas noteikumu 2.punktu noteikt, ka Veselības ministrijas padotībā esošā Zāļu valsts aģentūra ar 2013.gada 1.janvāri darbojas saskaņā ar Publisko aģentūru likuma prasībām.</w:t>
            </w:r>
          </w:p>
          <w:p w:rsidR="00097E03" w:rsidRDefault="00097E03" w:rsidP="00097E03">
            <w:pPr>
              <w:jc w:val="both"/>
            </w:pPr>
            <w:proofErr w:type="spellStart"/>
            <w:r w:rsidRPr="00097E03">
              <w:rPr>
                <w:color w:val="000000"/>
              </w:rPr>
              <w:t>Protokollēmuma</w:t>
            </w:r>
            <w:proofErr w:type="spellEnd"/>
            <w:r w:rsidRPr="00097E03">
              <w:rPr>
                <w:color w:val="000000"/>
              </w:rPr>
              <w:t xml:space="preserve"> </w:t>
            </w:r>
            <w:r>
              <w:rPr>
                <w:color w:val="000000"/>
              </w:rPr>
              <w:t xml:space="preserve">projekta </w:t>
            </w:r>
            <w:r w:rsidRPr="00097E03">
              <w:rPr>
                <w:color w:val="000000"/>
              </w:rPr>
              <w:t>3.punkts nosaka, ka n</w:t>
            </w:r>
            <w:r w:rsidRPr="00097E03">
              <w:t>oteikumi īstenojami no Zāļu valsts aģentūras ieņēmumiem no maksas pakalpojumiem un citiem pašu ieņēmumiem.</w:t>
            </w:r>
          </w:p>
          <w:p w:rsidR="008A3D83" w:rsidRPr="008A3D83" w:rsidRDefault="008A3D83" w:rsidP="00097E03">
            <w:pPr>
              <w:jc w:val="both"/>
              <w:rPr>
                <w:color w:val="000000"/>
              </w:rPr>
            </w:pPr>
            <w:r>
              <w:rPr>
                <w:color w:val="000000"/>
              </w:rPr>
              <w:t xml:space="preserve">Saskaņā ar Tieslietu ministrijas priekšlikumu </w:t>
            </w:r>
            <w:proofErr w:type="spellStart"/>
            <w:r>
              <w:rPr>
                <w:color w:val="000000"/>
              </w:rPr>
              <w:t>p</w:t>
            </w:r>
            <w:r w:rsidRPr="00097E03">
              <w:rPr>
                <w:color w:val="000000"/>
              </w:rPr>
              <w:t>rotokollēmuma</w:t>
            </w:r>
            <w:proofErr w:type="spellEnd"/>
            <w:r w:rsidRPr="00097E03">
              <w:rPr>
                <w:color w:val="000000"/>
              </w:rPr>
              <w:t xml:space="preserve"> </w:t>
            </w:r>
            <w:r>
              <w:rPr>
                <w:color w:val="000000"/>
              </w:rPr>
              <w:t xml:space="preserve">projekta 4.punkts nosaka uzdevumu </w:t>
            </w:r>
            <w:r w:rsidRPr="008A3D83">
              <w:t xml:space="preserve">Veselības ministrijai sagatavot un veselības ministram līdz 2012.gada 30.augustam iesniegt noteiktā kārtībā izskatīšanai Saeimā 2.lasījumā priekšlikumus par likumprojekta „Grozījums Farmācijas likumā” papildināšanu, lai precizētu Zāļu valsts aģentūras funkcijas atbilstoši Publisko aģentūru likumā noteiktajai valsts aģentūras kompetencei pakalpojumu </w:t>
            </w:r>
            <w:r w:rsidR="00C53763">
              <w:t>sniegšanas jomā</w:t>
            </w:r>
            <w:r>
              <w:t>.</w:t>
            </w:r>
          </w:p>
          <w:p w:rsidR="00F07293" w:rsidRPr="002922DC" w:rsidRDefault="00F07293" w:rsidP="00F07293">
            <w:pPr>
              <w:autoSpaceDE w:val="0"/>
              <w:autoSpaceDN w:val="0"/>
              <w:adjustRightInd w:val="0"/>
              <w:jc w:val="both"/>
            </w:pPr>
            <w:r w:rsidRPr="00FC69E7">
              <w:t xml:space="preserve">Valsts sekretāru sanāksmes 2012.gada 28.jūnija sēdes (protokols Nr.26, </w:t>
            </w:r>
            <w:r w:rsidRPr="00FC69E7">
              <w:rPr>
                <w:rFonts w:eastAsiaTheme="minorHAnsi"/>
                <w:bCs/>
                <w:color w:val="000000"/>
              </w:rPr>
              <w:t>52.§)</w:t>
            </w:r>
            <w:r w:rsidRPr="00FC69E7">
              <w:t xml:space="preserve"> </w:t>
            </w:r>
            <w:proofErr w:type="spellStart"/>
            <w:r w:rsidRPr="00FC69E7">
              <w:t>protokollēmuma</w:t>
            </w:r>
            <w:proofErr w:type="spellEnd"/>
            <w:r w:rsidRPr="00FC69E7">
              <w:t xml:space="preserve"> </w:t>
            </w:r>
            <w:r w:rsidRPr="00FC69E7">
              <w:rPr>
                <w:rFonts w:eastAsiaTheme="minorHAnsi"/>
                <w:bCs/>
                <w:color w:val="000000"/>
              </w:rPr>
              <w:t xml:space="preserve">„Informatīvais ziņojums par valsts aģentūru statusa maiņu” </w:t>
            </w:r>
            <w:r>
              <w:rPr>
                <w:rFonts w:eastAsiaTheme="minorHAnsi"/>
                <w:bCs/>
                <w:color w:val="000000"/>
              </w:rPr>
              <w:t xml:space="preserve">2.1.apakšpunkta un 3.punkts nosaka: </w:t>
            </w:r>
            <w:r w:rsidRPr="00F07293">
              <w:rPr>
                <w:rFonts w:eastAsiaTheme="minorHAnsi"/>
                <w:color w:val="000000"/>
              </w:rPr>
              <w:t xml:space="preserve">„Ņemot vērā Valsts sekretāru sanāksmes š.g. 23.februāra </w:t>
            </w:r>
            <w:proofErr w:type="spellStart"/>
            <w:r w:rsidRPr="00F07293">
              <w:rPr>
                <w:rFonts w:eastAsiaTheme="minorHAnsi"/>
                <w:color w:val="000000"/>
              </w:rPr>
              <w:t>protokollēmumu</w:t>
            </w:r>
            <w:proofErr w:type="spellEnd"/>
            <w:r w:rsidRPr="00F07293">
              <w:rPr>
                <w:rFonts w:eastAsiaTheme="minorHAnsi"/>
                <w:color w:val="000000"/>
              </w:rPr>
              <w:t xml:space="preserve"> (Prot.Nr.8 38.§), lai aģentūra varētu sākt darboties kā budžeta nefinansēta iestāde</w:t>
            </w:r>
            <w:r w:rsidR="002E7E6F">
              <w:rPr>
                <w:rFonts w:eastAsiaTheme="minorHAnsi"/>
                <w:color w:val="000000"/>
              </w:rPr>
              <w:t>,</w:t>
            </w:r>
            <w:r w:rsidRPr="00F07293">
              <w:rPr>
                <w:rFonts w:eastAsiaTheme="minorHAnsi"/>
                <w:color w:val="000000"/>
              </w:rPr>
              <w:t xml:space="preserve"> sākot ar 2013.gadu, un, lai nodrošinātu, ka ministrijas iesniedz budžeta nefinansētu institūciju budžeta projektus Likuma par budžetu un finanšu vadību noteiktajā termiņā, lēmumam Ministru kabinetā par budžeta nefinansētas iestādes izveidi ir jābūt pieņemtam līdz 2012.gada</w:t>
            </w:r>
            <w:r w:rsidR="000753BC">
              <w:rPr>
                <w:rFonts w:eastAsiaTheme="minorHAnsi"/>
                <w:color w:val="000000"/>
              </w:rPr>
              <w:t xml:space="preserve"> </w:t>
            </w:r>
            <w:r w:rsidR="00582CBC">
              <w:rPr>
                <w:rFonts w:eastAsiaTheme="minorHAnsi"/>
                <w:color w:val="000000"/>
              </w:rPr>
              <w:t>1.augustam</w:t>
            </w:r>
            <w:r w:rsidRPr="00F07293">
              <w:rPr>
                <w:rFonts w:eastAsiaTheme="minorHAnsi"/>
                <w:color w:val="000000"/>
              </w:rPr>
              <w:t>”</w:t>
            </w:r>
            <w:r w:rsidR="00582CBC">
              <w:rPr>
                <w:rFonts w:eastAsiaTheme="minorHAnsi"/>
                <w:color w:val="000000"/>
              </w:rPr>
              <w:t>.</w:t>
            </w:r>
          </w:p>
        </w:tc>
      </w:tr>
    </w:tbl>
    <w:p w:rsidR="005064B7" w:rsidRPr="002922DC" w:rsidRDefault="005064B7" w:rsidP="008B0DFB"/>
    <w:tbl>
      <w:tblPr>
        <w:tblW w:w="98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3671"/>
        <w:gridCol w:w="5287"/>
        <w:gridCol w:w="135"/>
      </w:tblGrid>
      <w:tr w:rsidR="005064B7" w:rsidRPr="002922DC" w:rsidTr="00B3584C">
        <w:trPr>
          <w:gridAfter w:val="1"/>
          <w:wAfter w:w="135" w:type="dxa"/>
        </w:trPr>
        <w:tc>
          <w:tcPr>
            <w:tcW w:w="9738" w:type="dxa"/>
            <w:gridSpan w:val="3"/>
          </w:tcPr>
          <w:p w:rsidR="005064B7" w:rsidRPr="002922DC" w:rsidRDefault="005064B7" w:rsidP="00291F9F">
            <w:pPr>
              <w:jc w:val="center"/>
              <w:rPr>
                <w:b/>
              </w:rPr>
            </w:pPr>
            <w:r w:rsidRPr="002922DC">
              <w:rPr>
                <w:b/>
              </w:rPr>
              <w:lastRenderedPageBreak/>
              <w:t>II. Tiesību akta projekta ietekme uz sabiedrību</w:t>
            </w:r>
          </w:p>
        </w:tc>
      </w:tr>
      <w:tr w:rsidR="005064B7" w:rsidRPr="002922DC" w:rsidTr="00B3584C">
        <w:trPr>
          <w:gridAfter w:val="1"/>
          <w:wAfter w:w="135" w:type="dxa"/>
        </w:trPr>
        <w:tc>
          <w:tcPr>
            <w:tcW w:w="780" w:type="dxa"/>
          </w:tcPr>
          <w:p w:rsidR="005064B7" w:rsidRPr="002922DC" w:rsidRDefault="005064B7" w:rsidP="00291F9F">
            <w:pPr>
              <w:pStyle w:val="naislab"/>
              <w:spacing w:before="0" w:after="0"/>
              <w:jc w:val="center"/>
              <w:outlineLvl w:val="0"/>
            </w:pPr>
            <w:r w:rsidRPr="002922DC">
              <w:t>1.</w:t>
            </w:r>
          </w:p>
        </w:tc>
        <w:tc>
          <w:tcPr>
            <w:tcW w:w="3671" w:type="dxa"/>
          </w:tcPr>
          <w:p w:rsidR="005064B7" w:rsidRPr="002922DC" w:rsidRDefault="005064B7" w:rsidP="00291F9F">
            <w:pPr>
              <w:pStyle w:val="naislab"/>
              <w:spacing w:before="0" w:after="0"/>
              <w:jc w:val="both"/>
              <w:outlineLvl w:val="0"/>
            </w:pPr>
            <w:r w:rsidRPr="002922DC">
              <w:t>Sabiedrības mērķgrupa</w:t>
            </w:r>
          </w:p>
        </w:tc>
        <w:tc>
          <w:tcPr>
            <w:tcW w:w="5287" w:type="dxa"/>
          </w:tcPr>
          <w:p w:rsidR="005064B7" w:rsidRPr="002922DC" w:rsidRDefault="005064B7" w:rsidP="00E1290B">
            <w:pPr>
              <w:jc w:val="both"/>
            </w:pPr>
            <w:r>
              <w:t>Zāļu valsts aģentūra un personas, kuras saņem Zāļu valsts aģentūras pakalpojumus</w:t>
            </w:r>
          </w:p>
        </w:tc>
      </w:tr>
      <w:tr w:rsidR="005064B7" w:rsidRPr="002922DC" w:rsidTr="00B3584C">
        <w:trPr>
          <w:gridAfter w:val="1"/>
          <w:wAfter w:w="135" w:type="dxa"/>
        </w:trPr>
        <w:tc>
          <w:tcPr>
            <w:tcW w:w="780" w:type="dxa"/>
          </w:tcPr>
          <w:p w:rsidR="005064B7" w:rsidRPr="002922DC" w:rsidRDefault="005064B7" w:rsidP="00291F9F">
            <w:pPr>
              <w:pStyle w:val="naislab"/>
              <w:spacing w:before="0" w:after="0"/>
              <w:jc w:val="center"/>
              <w:outlineLvl w:val="0"/>
            </w:pPr>
            <w:r w:rsidRPr="002922DC">
              <w:rPr>
                <w:sz w:val="22"/>
                <w:szCs w:val="22"/>
              </w:rPr>
              <w:t>2.</w:t>
            </w:r>
          </w:p>
        </w:tc>
        <w:tc>
          <w:tcPr>
            <w:tcW w:w="3671" w:type="dxa"/>
          </w:tcPr>
          <w:p w:rsidR="005064B7" w:rsidRPr="002922DC" w:rsidRDefault="005064B7" w:rsidP="00291F9F">
            <w:pPr>
              <w:pStyle w:val="naislab"/>
              <w:spacing w:before="0" w:after="0"/>
              <w:jc w:val="both"/>
              <w:outlineLvl w:val="0"/>
            </w:pPr>
            <w:r w:rsidRPr="002922DC">
              <w:t>Citas sabiedrības grupas (bez mērķgrupas), kuras tiesiskais regulējums arī ietekmē vai varētu ietekmēt</w:t>
            </w:r>
          </w:p>
        </w:tc>
        <w:tc>
          <w:tcPr>
            <w:tcW w:w="5287" w:type="dxa"/>
          </w:tcPr>
          <w:p w:rsidR="005064B7" w:rsidRPr="002922DC" w:rsidRDefault="005064B7" w:rsidP="00291F9F">
            <w:pPr>
              <w:jc w:val="both"/>
            </w:pPr>
            <w:r w:rsidRPr="002922DC">
              <w:t>Nav attiecināms</w:t>
            </w:r>
          </w:p>
        </w:tc>
      </w:tr>
      <w:tr w:rsidR="005064B7" w:rsidRPr="002922DC" w:rsidTr="00B3584C">
        <w:trPr>
          <w:gridAfter w:val="1"/>
          <w:wAfter w:w="135" w:type="dxa"/>
        </w:trPr>
        <w:tc>
          <w:tcPr>
            <w:tcW w:w="780" w:type="dxa"/>
          </w:tcPr>
          <w:p w:rsidR="005064B7" w:rsidRPr="002922DC" w:rsidRDefault="005064B7" w:rsidP="00291F9F">
            <w:pPr>
              <w:pStyle w:val="naislab"/>
              <w:spacing w:before="0" w:after="0"/>
              <w:jc w:val="center"/>
              <w:outlineLvl w:val="0"/>
            </w:pPr>
            <w:r w:rsidRPr="002922DC">
              <w:rPr>
                <w:sz w:val="22"/>
                <w:szCs w:val="22"/>
              </w:rPr>
              <w:t>3.</w:t>
            </w:r>
          </w:p>
        </w:tc>
        <w:tc>
          <w:tcPr>
            <w:tcW w:w="3671" w:type="dxa"/>
          </w:tcPr>
          <w:p w:rsidR="005064B7" w:rsidRPr="002922DC" w:rsidRDefault="005064B7" w:rsidP="00291F9F">
            <w:pPr>
              <w:pStyle w:val="naislab"/>
              <w:spacing w:before="0" w:after="0"/>
              <w:jc w:val="both"/>
              <w:outlineLvl w:val="0"/>
            </w:pPr>
            <w:r w:rsidRPr="002922DC">
              <w:rPr>
                <w:sz w:val="22"/>
                <w:szCs w:val="22"/>
              </w:rPr>
              <w:t>Tiesiskā regulējuma finansiālā ietekme</w:t>
            </w:r>
          </w:p>
        </w:tc>
        <w:tc>
          <w:tcPr>
            <w:tcW w:w="5287" w:type="dxa"/>
          </w:tcPr>
          <w:p w:rsidR="005064B7" w:rsidRPr="002922DC" w:rsidRDefault="00E03D8E" w:rsidP="00E03D8E">
            <w:pPr>
              <w:jc w:val="both"/>
            </w:pPr>
            <w:r>
              <w:t>Noteikumu p</w:t>
            </w:r>
            <w:r w:rsidR="005064B7">
              <w:t xml:space="preserve">rojekts šo jomu neskar </w:t>
            </w:r>
          </w:p>
        </w:tc>
      </w:tr>
      <w:tr w:rsidR="005064B7" w:rsidRPr="002922DC" w:rsidTr="00B3584C">
        <w:trPr>
          <w:gridAfter w:val="1"/>
          <w:wAfter w:w="135" w:type="dxa"/>
        </w:trPr>
        <w:tc>
          <w:tcPr>
            <w:tcW w:w="780" w:type="dxa"/>
          </w:tcPr>
          <w:p w:rsidR="005064B7" w:rsidRPr="002922DC" w:rsidRDefault="005064B7" w:rsidP="00291F9F">
            <w:pPr>
              <w:pStyle w:val="naislab"/>
              <w:spacing w:before="0" w:after="0"/>
              <w:jc w:val="center"/>
              <w:outlineLvl w:val="0"/>
            </w:pPr>
            <w:r w:rsidRPr="002922DC">
              <w:rPr>
                <w:sz w:val="22"/>
                <w:szCs w:val="22"/>
              </w:rPr>
              <w:t>4.</w:t>
            </w:r>
          </w:p>
        </w:tc>
        <w:tc>
          <w:tcPr>
            <w:tcW w:w="3671" w:type="dxa"/>
          </w:tcPr>
          <w:p w:rsidR="005064B7" w:rsidRPr="002922DC" w:rsidRDefault="005064B7" w:rsidP="00291F9F">
            <w:pPr>
              <w:pStyle w:val="naislab"/>
              <w:spacing w:before="0" w:after="0"/>
              <w:jc w:val="both"/>
              <w:outlineLvl w:val="0"/>
            </w:pPr>
            <w:r w:rsidRPr="002922DC">
              <w:rPr>
                <w:sz w:val="22"/>
                <w:szCs w:val="22"/>
              </w:rPr>
              <w:t>Tiesiskā regulējuma nefinansiālā ietekme</w:t>
            </w:r>
          </w:p>
        </w:tc>
        <w:tc>
          <w:tcPr>
            <w:tcW w:w="5287" w:type="dxa"/>
          </w:tcPr>
          <w:p w:rsidR="005064B7" w:rsidRPr="002922DC" w:rsidRDefault="00B82B35" w:rsidP="00E1290B">
            <w:r>
              <w:t>P</w:t>
            </w:r>
            <w:r w:rsidR="005064B7">
              <w:t xml:space="preserve">ersonas, kuras saņem Zāļu valsts aģentūras pakalpojumu </w:t>
            </w:r>
            <w:r w:rsidR="005064B7" w:rsidRPr="00601B70">
              <w:t>tiek informētas</w:t>
            </w:r>
            <w:r w:rsidR="005064B7">
              <w:t xml:space="preserve"> par Zāļu valsts aģentūras statusu </w:t>
            </w:r>
            <w:r>
              <w:t xml:space="preserve">un kompetenci </w:t>
            </w:r>
            <w:r w:rsidR="005064B7">
              <w:t>no 2013 gada 1.janvāra.</w:t>
            </w:r>
            <w:r w:rsidR="005064B7" w:rsidRPr="002922DC">
              <w:t xml:space="preserve"> </w:t>
            </w:r>
          </w:p>
        </w:tc>
      </w:tr>
      <w:tr w:rsidR="005064B7" w:rsidRPr="002922DC" w:rsidTr="00B3584C">
        <w:trPr>
          <w:gridAfter w:val="1"/>
          <w:wAfter w:w="135" w:type="dxa"/>
        </w:trPr>
        <w:tc>
          <w:tcPr>
            <w:tcW w:w="780" w:type="dxa"/>
          </w:tcPr>
          <w:p w:rsidR="005064B7" w:rsidRPr="002922DC" w:rsidRDefault="005064B7" w:rsidP="00291F9F">
            <w:pPr>
              <w:pStyle w:val="naislab"/>
              <w:spacing w:before="0" w:after="0"/>
              <w:jc w:val="center"/>
              <w:outlineLvl w:val="0"/>
            </w:pPr>
            <w:r w:rsidRPr="002922DC">
              <w:rPr>
                <w:sz w:val="22"/>
                <w:szCs w:val="22"/>
              </w:rPr>
              <w:t>5.</w:t>
            </w:r>
          </w:p>
        </w:tc>
        <w:tc>
          <w:tcPr>
            <w:tcW w:w="3671" w:type="dxa"/>
          </w:tcPr>
          <w:p w:rsidR="005064B7" w:rsidRPr="002922DC" w:rsidRDefault="005064B7" w:rsidP="00291F9F">
            <w:pPr>
              <w:pStyle w:val="naislab"/>
              <w:spacing w:before="0" w:after="0"/>
              <w:jc w:val="both"/>
              <w:outlineLvl w:val="0"/>
            </w:pPr>
            <w:r w:rsidRPr="002922DC">
              <w:rPr>
                <w:sz w:val="22"/>
                <w:szCs w:val="22"/>
              </w:rPr>
              <w:t>Administratīvās procedūras raksturojums</w:t>
            </w:r>
          </w:p>
        </w:tc>
        <w:tc>
          <w:tcPr>
            <w:tcW w:w="5287" w:type="dxa"/>
          </w:tcPr>
          <w:p w:rsidR="005064B7" w:rsidRPr="002922DC" w:rsidRDefault="00E03D8E" w:rsidP="00E03D8E">
            <w:r>
              <w:t>Noteikumu p</w:t>
            </w:r>
            <w:r w:rsidR="005064B7">
              <w:t>rojekts nemaina administratīvās pr</w:t>
            </w:r>
            <w:r w:rsidR="005064B7" w:rsidRPr="00601B70">
              <w:t>oce</w:t>
            </w:r>
            <w:r w:rsidR="005064B7">
              <w:t>dūras</w:t>
            </w:r>
          </w:p>
        </w:tc>
      </w:tr>
      <w:tr w:rsidR="005064B7" w:rsidRPr="002922DC" w:rsidTr="00B3584C">
        <w:trPr>
          <w:gridAfter w:val="1"/>
          <w:wAfter w:w="135" w:type="dxa"/>
        </w:trPr>
        <w:tc>
          <w:tcPr>
            <w:tcW w:w="780" w:type="dxa"/>
          </w:tcPr>
          <w:p w:rsidR="005064B7" w:rsidRPr="002922DC" w:rsidRDefault="005064B7" w:rsidP="00291F9F">
            <w:pPr>
              <w:pStyle w:val="naislab"/>
              <w:spacing w:before="0" w:after="0"/>
              <w:jc w:val="center"/>
              <w:outlineLvl w:val="0"/>
            </w:pPr>
            <w:r w:rsidRPr="002922DC">
              <w:rPr>
                <w:sz w:val="22"/>
                <w:szCs w:val="22"/>
              </w:rPr>
              <w:t>6.</w:t>
            </w:r>
          </w:p>
        </w:tc>
        <w:tc>
          <w:tcPr>
            <w:tcW w:w="3671" w:type="dxa"/>
          </w:tcPr>
          <w:p w:rsidR="005064B7" w:rsidRPr="002922DC" w:rsidRDefault="005064B7" w:rsidP="00291F9F">
            <w:pPr>
              <w:pStyle w:val="naislab"/>
              <w:spacing w:before="0" w:after="0"/>
              <w:jc w:val="both"/>
              <w:outlineLvl w:val="0"/>
            </w:pPr>
            <w:r w:rsidRPr="002922DC">
              <w:rPr>
                <w:sz w:val="22"/>
                <w:szCs w:val="22"/>
              </w:rPr>
              <w:t>Administratīvo izmaksu monetārs novērtējums</w:t>
            </w:r>
          </w:p>
        </w:tc>
        <w:tc>
          <w:tcPr>
            <w:tcW w:w="5287" w:type="dxa"/>
          </w:tcPr>
          <w:p w:rsidR="005064B7" w:rsidRPr="002922DC" w:rsidRDefault="00E03D8E" w:rsidP="00E03D8E">
            <w:r>
              <w:t>Noteikumu p</w:t>
            </w:r>
            <w:r w:rsidR="005064B7">
              <w:t>rojekts šo jomu neskar</w:t>
            </w:r>
          </w:p>
        </w:tc>
      </w:tr>
      <w:tr w:rsidR="005064B7" w:rsidRPr="002922DC" w:rsidTr="00B3584C">
        <w:trPr>
          <w:gridAfter w:val="1"/>
          <w:wAfter w:w="135" w:type="dxa"/>
        </w:trPr>
        <w:tc>
          <w:tcPr>
            <w:tcW w:w="780" w:type="dxa"/>
          </w:tcPr>
          <w:p w:rsidR="005064B7" w:rsidRPr="002922DC" w:rsidRDefault="005064B7" w:rsidP="00291F9F">
            <w:pPr>
              <w:pStyle w:val="naislab"/>
              <w:spacing w:before="0" w:after="0"/>
              <w:jc w:val="center"/>
              <w:outlineLvl w:val="0"/>
            </w:pPr>
            <w:r w:rsidRPr="002922DC">
              <w:rPr>
                <w:sz w:val="22"/>
                <w:szCs w:val="22"/>
              </w:rPr>
              <w:t>7.</w:t>
            </w:r>
          </w:p>
        </w:tc>
        <w:tc>
          <w:tcPr>
            <w:tcW w:w="3671" w:type="dxa"/>
          </w:tcPr>
          <w:p w:rsidR="005064B7" w:rsidRPr="002922DC" w:rsidRDefault="005064B7" w:rsidP="00291F9F">
            <w:pPr>
              <w:pStyle w:val="naislab"/>
              <w:spacing w:before="0" w:after="0"/>
              <w:jc w:val="both"/>
              <w:outlineLvl w:val="0"/>
            </w:pPr>
            <w:r w:rsidRPr="002922DC">
              <w:rPr>
                <w:sz w:val="22"/>
                <w:szCs w:val="22"/>
              </w:rPr>
              <w:t>Cita informācija</w:t>
            </w:r>
          </w:p>
        </w:tc>
        <w:tc>
          <w:tcPr>
            <w:tcW w:w="5287" w:type="dxa"/>
          </w:tcPr>
          <w:p w:rsidR="005064B7" w:rsidRPr="002922DC" w:rsidRDefault="005064B7" w:rsidP="00291F9F">
            <w:pPr>
              <w:jc w:val="both"/>
            </w:pPr>
            <w:r w:rsidRPr="002922DC">
              <w:t>Nav.</w:t>
            </w:r>
          </w:p>
        </w:tc>
      </w:tr>
      <w:tr w:rsidR="005064B7" w:rsidRPr="002922DC" w:rsidTr="00DD3527">
        <w:tblPrEx>
          <w:tblCellMar>
            <w:left w:w="0" w:type="dxa"/>
            <w:right w:w="0" w:type="dxa"/>
          </w:tblCellMar>
          <w:tblLook w:val="00A0"/>
        </w:tblPrEx>
        <w:trPr>
          <w:trHeight w:val="2961"/>
        </w:trPr>
        <w:tc>
          <w:tcPr>
            <w:tcW w:w="9873" w:type="dxa"/>
            <w:gridSpan w:val="4"/>
          </w:tcPr>
          <w:p w:rsidR="005064B7" w:rsidRPr="00201F53" w:rsidRDefault="005064B7" w:rsidP="00776635"/>
          <w:tbl>
            <w:tblPr>
              <w:tblW w:w="985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863"/>
              <w:gridCol w:w="1602"/>
              <w:gridCol w:w="1813"/>
              <w:gridCol w:w="1151"/>
              <w:gridCol w:w="1151"/>
              <w:gridCol w:w="1273"/>
            </w:tblGrid>
            <w:tr w:rsidR="005064B7" w:rsidRPr="00C62AC0" w:rsidTr="00B3584C">
              <w:tc>
                <w:tcPr>
                  <w:tcW w:w="5000" w:type="pct"/>
                  <w:gridSpan w:val="6"/>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jc w:val="center"/>
                  </w:pPr>
                  <w:r w:rsidRPr="00D552C0">
                    <w:rPr>
                      <w:b/>
                      <w:bCs/>
                    </w:rPr>
                    <w:t>III. Tiesību akta projekta ietekme uz valsts budžetu un pašvaldību budžetiem</w:t>
                  </w:r>
                </w:p>
              </w:tc>
            </w:tr>
            <w:tr w:rsidR="005064B7" w:rsidRPr="00C62AC0" w:rsidTr="00B3584C">
              <w:tc>
                <w:tcPr>
                  <w:tcW w:w="1453" w:type="pct"/>
                  <w:vMerge w:val="restart"/>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before="100" w:beforeAutospacing="1" w:after="100" w:afterAutospacing="1"/>
                    <w:jc w:val="center"/>
                  </w:pPr>
                  <w:r w:rsidRPr="00D552C0">
                    <w:rPr>
                      <w:b/>
                      <w:bCs/>
                    </w:rPr>
                    <w:t>Rādītāji</w:t>
                  </w:r>
                </w:p>
              </w:tc>
              <w:tc>
                <w:tcPr>
                  <w:tcW w:w="1732" w:type="pct"/>
                  <w:gridSpan w:val="2"/>
                  <w:vMerge w:val="restart"/>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before="100" w:beforeAutospacing="1" w:after="100" w:afterAutospacing="1"/>
                    <w:jc w:val="center"/>
                  </w:pPr>
                  <w:r w:rsidRPr="00D552C0">
                    <w:rPr>
                      <w:b/>
                      <w:bCs/>
                    </w:rPr>
                    <w:t>2012. gads</w:t>
                  </w:r>
                </w:p>
              </w:tc>
              <w:tc>
                <w:tcPr>
                  <w:tcW w:w="1815" w:type="pct"/>
                  <w:gridSpan w:val="3"/>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before="100" w:beforeAutospacing="1" w:after="100" w:afterAutospacing="1"/>
                    <w:jc w:val="center"/>
                  </w:pPr>
                  <w:r w:rsidRPr="00D552C0">
                    <w:t>Turpmākie trīs gadi (tūkst. latu)</w:t>
                  </w:r>
                </w:p>
              </w:tc>
            </w:tr>
            <w:tr w:rsidR="005064B7" w:rsidRPr="00C62AC0" w:rsidTr="00B3584C">
              <w:tc>
                <w:tcPr>
                  <w:tcW w:w="1453" w:type="pct"/>
                  <w:vMerge/>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tc>
              <w:tc>
                <w:tcPr>
                  <w:tcW w:w="1732" w:type="pct"/>
                  <w:gridSpan w:val="2"/>
                  <w:vMerge/>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tc>
              <w:tc>
                <w:tcPr>
                  <w:tcW w:w="584" w:type="pct"/>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before="100" w:beforeAutospacing="1" w:after="100" w:afterAutospacing="1"/>
                    <w:jc w:val="center"/>
                  </w:pPr>
                  <w:r w:rsidRPr="00D552C0">
                    <w:rPr>
                      <w:b/>
                      <w:bCs/>
                    </w:rPr>
                    <w:t>2013.</w:t>
                  </w:r>
                </w:p>
              </w:tc>
              <w:tc>
                <w:tcPr>
                  <w:tcW w:w="584" w:type="pct"/>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before="100" w:beforeAutospacing="1" w:after="100" w:afterAutospacing="1"/>
                    <w:jc w:val="center"/>
                  </w:pPr>
                  <w:r w:rsidRPr="00D552C0">
                    <w:rPr>
                      <w:b/>
                      <w:bCs/>
                    </w:rPr>
                    <w:t>2014.</w:t>
                  </w:r>
                </w:p>
              </w:tc>
              <w:tc>
                <w:tcPr>
                  <w:tcW w:w="648" w:type="pct"/>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before="100" w:beforeAutospacing="1" w:after="100" w:afterAutospacing="1"/>
                    <w:jc w:val="center"/>
                  </w:pPr>
                  <w:r w:rsidRPr="00D552C0">
                    <w:rPr>
                      <w:b/>
                      <w:bCs/>
                    </w:rPr>
                    <w:t>2015.</w:t>
                  </w:r>
                </w:p>
              </w:tc>
            </w:tr>
            <w:tr w:rsidR="005064B7" w:rsidRPr="00C62AC0" w:rsidTr="00B3584C">
              <w:tc>
                <w:tcPr>
                  <w:tcW w:w="1453" w:type="pct"/>
                  <w:vMerge/>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tc>
              <w:tc>
                <w:tcPr>
                  <w:tcW w:w="813" w:type="pct"/>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before="100" w:beforeAutospacing="1" w:after="100" w:afterAutospacing="1"/>
                    <w:jc w:val="center"/>
                  </w:pPr>
                  <w:r w:rsidRPr="00D552C0">
                    <w:t>Saskaņā ar valsts budžetu kārtējam gadam</w:t>
                  </w:r>
                </w:p>
              </w:tc>
              <w:tc>
                <w:tcPr>
                  <w:tcW w:w="920" w:type="pct"/>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before="100" w:beforeAutospacing="1" w:after="100" w:afterAutospacing="1"/>
                    <w:jc w:val="center"/>
                  </w:pPr>
                  <w:r w:rsidRPr="00D552C0">
                    <w:t>Izmaiņas kārtējā gadā, salīdzinot ar budžetu kārtējam gadam</w:t>
                  </w:r>
                </w:p>
              </w:tc>
              <w:tc>
                <w:tcPr>
                  <w:tcW w:w="584" w:type="pct"/>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before="100" w:beforeAutospacing="1" w:after="100" w:afterAutospacing="1"/>
                    <w:jc w:val="center"/>
                  </w:pPr>
                  <w:r w:rsidRPr="00D552C0">
                    <w:t>Izmaiņas, salīdzinot ar kārtējo (n) gadu</w:t>
                  </w:r>
                </w:p>
              </w:tc>
              <w:tc>
                <w:tcPr>
                  <w:tcW w:w="584" w:type="pct"/>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before="100" w:beforeAutospacing="1" w:after="100" w:afterAutospacing="1"/>
                    <w:jc w:val="center"/>
                  </w:pPr>
                  <w:r w:rsidRPr="00D552C0">
                    <w:t>Izmaiņas, salīdzinot ar kārtējo (n) gadu</w:t>
                  </w:r>
                </w:p>
              </w:tc>
              <w:tc>
                <w:tcPr>
                  <w:tcW w:w="648" w:type="pct"/>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before="100" w:beforeAutospacing="1" w:after="100" w:afterAutospacing="1"/>
                    <w:jc w:val="center"/>
                  </w:pPr>
                  <w:r w:rsidRPr="00D552C0">
                    <w:t>Izmaiņas, salīdzinot ar kārtējo (n) gadu</w:t>
                  </w:r>
                </w:p>
              </w:tc>
            </w:tr>
            <w:tr w:rsidR="00C62AC0" w:rsidRPr="00C62AC0" w:rsidTr="00B3584C">
              <w:tc>
                <w:tcPr>
                  <w:tcW w:w="1453" w:type="pct"/>
                  <w:tcBorders>
                    <w:top w:val="single" w:sz="4" w:space="0" w:color="auto"/>
                    <w:left w:val="single" w:sz="4" w:space="0" w:color="auto"/>
                    <w:bottom w:val="single" w:sz="4" w:space="0" w:color="auto"/>
                    <w:right w:val="single" w:sz="4" w:space="0" w:color="auto"/>
                  </w:tcBorders>
                </w:tcPr>
                <w:p w:rsidR="00C62AC0" w:rsidRPr="00D552C0" w:rsidRDefault="00C62AC0" w:rsidP="009104C0">
                  <w:pPr>
                    <w:spacing w:before="100" w:beforeAutospacing="1" w:after="100" w:afterAutospacing="1"/>
                  </w:pPr>
                  <w:r w:rsidRPr="00D552C0">
                    <w:t>1. Budžeta ieņēmumi:</w:t>
                  </w:r>
                </w:p>
              </w:tc>
              <w:tc>
                <w:tcPr>
                  <w:tcW w:w="813" w:type="pct"/>
                  <w:tcBorders>
                    <w:top w:val="single" w:sz="4" w:space="0" w:color="auto"/>
                    <w:left w:val="single" w:sz="4" w:space="0" w:color="auto"/>
                    <w:bottom w:val="single" w:sz="4" w:space="0" w:color="auto"/>
                    <w:right w:val="single" w:sz="4" w:space="0" w:color="auto"/>
                  </w:tcBorders>
                </w:tcPr>
                <w:p w:rsidR="00C62AC0" w:rsidRPr="00D552C0" w:rsidRDefault="00C62AC0" w:rsidP="009104C0">
                  <w:pPr>
                    <w:spacing w:line="360" w:lineRule="auto"/>
                    <w:jc w:val="center"/>
                    <w:rPr>
                      <w:b/>
                    </w:rPr>
                  </w:pPr>
                  <w:r w:rsidRPr="00D552C0">
                    <w:rPr>
                      <w:b/>
                    </w:rPr>
                    <w:t>3 327,9</w:t>
                  </w:r>
                </w:p>
              </w:tc>
              <w:tc>
                <w:tcPr>
                  <w:tcW w:w="920"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9104C0">
                  <w:pPr>
                    <w:spacing w:line="360" w:lineRule="auto"/>
                    <w:jc w:val="center"/>
                    <w:rPr>
                      <w:b/>
                    </w:rPr>
                  </w:pPr>
                  <w:r w:rsidRPr="00D552C0">
                    <w:rPr>
                      <w:b/>
                    </w:rPr>
                    <w:t>0</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rPr>
                      <w:b/>
                    </w:rPr>
                  </w:pPr>
                  <w:r w:rsidRPr="00D552C0">
                    <w:rPr>
                      <w:b/>
                    </w:rPr>
                    <w:t>-3 327,9</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rPr>
                      <w:b/>
                    </w:rPr>
                  </w:pPr>
                  <w:r w:rsidRPr="00D552C0">
                    <w:rPr>
                      <w:b/>
                    </w:rPr>
                    <w:t>-3 327,9</w:t>
                  </w:r>
                </w:p>
              </w:tc>
              <w:tc>
                <w:tcPr>
                  <w:tcW w:w="648"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rPr>
                      <w:b/>
                    </w:rPr>
                  </w:pPr>
                  <w:r w:rsidRPr="00D552C0">
                    <w:rPr>
                      <w:b/>
                    </w:rPr>
                    <w:t>-3 327,9</w:t>
                  </w:r>
                </w:p>
              </w:tc>
            </w:tr>
            <w:tr w:rsidR="00C62AC0" w:rsidRPr="00C62AC0" w:rsidTr="00B3584C">
              <w:tc>
                <w:tcPr>
                  <w:tcW w:w="1453" w:type="pct"/>
                  <w:tcBorders>
                    <w:top w:val="single" w:sz="4" w:space="0" w:color="auto"/>
                    <w:left w:val="single" w:sz="4" w:space="0" w:color="auto"/>
                    <w:bottom w:val="single" w:sz="4" w:space="0" w:color="auto"/>
                    <w:right w:val="single" w:sz="4" w:space="0" w:color="auto"/>
                  </w:tcBorders>
                </w:tcPr>
                <w:p w:rsidR="00C62AC0" w:rsidRPr="00D552C0" w:rsidRDefault="00C62AC0" w:rsidP="009104C0">
                  <w:pPr>
                    <w:spacing w:before="100" w:beforeAutospacing="1" w:after="100" w:afterAutospacing="1"/>
                  </w:pPr>
                  <w:r w:rsidRPr="00D552C0">
                    <w:t>1.1. valsts pamatbudžets</w:t>
                  </w:r>
                </w:p>
                <w:p w:rsidR="00C62AC0" w:rsidRPr="00D552C0" w:rsidRDefault="00C62AC0" w:rsidP="009104C0">
                  <w:pPr>
                    <w:spacing w:before="24" w:after="24"/>
                  </w:pPr>
                  <w:r w:rsidRPr="00D552C0">
                    <w:t>1.1.1. dotācija no vispārējiem ieņēmumiem;</w:t>
                  </w:r>
                </w:p>
                <w:p w:rsidR="00C62AC0" w:rsidRPr="00D552C0" w:rsidRDefault="00C62AC0" w:rsidP="009104C0">
                  <w:pPr>
                    <w:spacing w:before="24" w:after="24"/>
                  </w:pPr>
                  <w:r w:rsidRPr="00D552C0">
                    <w:t>1.1.2. ieņēmumi no maksas pakalpojumiem un citi pašu ieņēmumi</w:t>
                  </w:r>
                </w:p>
              </w:tc>
              <w:tc>
                <w:tcPr>
                  <w:tcW w:w="813" w:type="pct"/>
                  <w:tcBorders>
                    <w:top w:val="single" w:sz="4" w:space="0" w:color="auto"/>
                    <w:left w:val="single" w:sz="4" w:space="0" w:color="auto"/>
                    <w:bottom w:val="single" w:sz="4" w:space="0" w:color="auto"/>
                    <w:right w:val="single" w:sz="4" w:space="0" w:color="auto"/>
                  </w:tcBorders>
                </w:tcPr>
                <w:p w:rsidR="00C62AC0" w:rsidRPr="00D552C0" w:rsidRDefault="00C62AC0" w:rsidP="009104C0"/>
                <w:p w:rsidR="00C62AC0" w:rsidRPr="00D552C0" w:rsidRDefault="00C62AC0" w:rsidP="009104C0"/>
                <w:p w:rsidR="00C62AC0" w:rsidRPr="00D552C0" w:rsidRDefault="00C62AC0" w:rsidP="009104C0"/>
                <w:p w:rsidR="00C62AC0" w:rsidRPr="00D552C0" w:rsidRDefault="00C62AC0" w:rsidP="009104C0">
                  <w:pPr>
                    <w:jc w:val="center"/>
                  </w:pPr>
                  <w:r w:rsidRPr="00D552C0">
                    <w:t>3 327,9</w:t>
                  </w:r>
                </w:p>
                <w:p w:rsidR="00C62AC0" w:rsidRPr="00D552C0" w:rsidRDefault="00C62AC0" w:rsidP="009104C0">
                  <w:pPr>
                    <w:jc w:val="center"/>
                  </w:pPr>
                </w:p>
              </w:tc>
              <w:tc>
                <w:tcPr>
                  <w:tcW w:w="920"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-3 327,9</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-3 327,9</w:t>
                  </w:r>
                </w:p>
              </w:tc>
              <w:tc>
                <w:tcPr>
                  <w:tcW w:w="648"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-3 327,9</w:t>
                  </w:r>
                </w:p>
              </w:tc>
            </w:tr>
            <w:tr w:rsidR="00C62AC0" w:rsidRPr="00C62AC0" w:rsidTr="00B3584C">
              <w:tc>
                <w:tcPr>
                  <w:tcW w:w="1453" w:type="pct"/>
                  <w:tcBorders>
                    <w:top w:val="single" w:sz="4" w:space="0" w:color="auto"/>
                    <w:left w:val="single" w:sz="4" w:space="0" w:color="auto"/>
                    <w:bottom w:val="single" w:sz="4" w:space="0" w:color="auto"/>
                    <w:right w:val="single" w:sz="4" w:space="0" w:color="auto"/>
                  </w:tcBorders>
                </w:tcPr>
                <w:p w:rsidR="00C62AC0" w:rsidRPr="00D552C0" w:rsidRDefault="00C62AC0" w:rsidP="009104C0">
                  <w:pPr>
                    <w:spacing w:before="100" w:beforeAutospacing="1" w:after="100" w:afterAutospacing="1"/>
                  </w:pPr>
                  <w:r w:rsidRPr="00D552C0">
                    <w:t>1.2. valsts speciālais budžets</w:t>
                  </w:r>
                </w:p>
              </w:tc>
              <w:tc>
                <w:tcPr>
                  <w:tcW w:w="813" w:type="pct"/>
                  <w:tcBorders>
                    <w:top w:val="single" w:sz="4" w:space="0" w:color="auto"/>
                    <w:left w:val="single" w:sz="4" w:space="0" w:color="auto"/>
                    <w:bottom w:val="single" w:sz="4" w:space="0" w:color="auto"/>
                    <w:right w:val="single" w:sz="4" w:space="0" w:color="auto"/>
                  </w:tcBorders>
                </w:tcPr>
                <w:p w:rsidR="00C62AC0" w:rsidRPr="00D552C0" w:rsidRDefault="00C62AC0" w:rsidP="009104C0">
                  <w:pPr>
                    <w:spacing w:line="360" w:lineRule="auto"/>
                    <w:jc w:val="center"/>
                  </w:pPr>
                  <w:r w:rsidRPr="00D552C0">
                    <w:t>0</w:t>
                  </w:r>
                </w:p>
              </w:tc>
              <w:tc>
                <w:tcPr>
                  <w:tcW w:w="920"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0</w:t>
                  </w:r>
                </w:p>
              </w:tc>
            </w:tr>
            <w:tr w:rsidR="00C62AC0" w:rsidRPr="00C62AC0" w:rsidTr="00B3584C">
              <w:tc>
                <w:tcPr>
                  <w:tcW w:w="1453" w:type="pct"/>
                  <w:tcBorders>
                    <w:top w:val="single" w:sz="4" w:space="0" w:color="auto"/>
                    <w:left w:val="single" w:sz="4" w:space="0" w:color="auto"/>
                    <w:bottom w:val="single" w:sz="4" w:space="0" w:color="auto"/>
                    <w:right w:val="single" w:sz="4" w:space="0" w:color="auto"/>
                  </w:tcBorders>
                </w:tcPr>
                <w:p w:rsidR="00C62AC0" w:rsidRPr="00D552C0" w:rsidRDefault="00C62AC0" w:rsidP="009104C0">
                  <w:pPr>
                    <w:spacing w:before="100" w:beforeAutospacing="1" w:after="100" w:afterAutospacing="1"/>
                  </w:pPr>
                  <w:r w:rsidRPr="00D552C0">
                    <w:t>1.3. pašvaldību budžets</w:t>
                  </w:r>
                </w:p>
              </w:tc>
              <w:tc>
                <w:tcPr>
                  <w:tcW w:w="813" w:type="pct"/>
                  <w:tcBorders>
                    <w:top w:val="single" w:sz="4" w:space="0" w:color="auto"/>
                    <w:left w:val="single" w:sz="4" w:space="0" w:color="auto"/>
                    <w:bottom w:val="single" w:sz="4" w:space="0" w:color="auto"/>
                    <w:right w:val="single" w:sz="4" w:space="0" w:color="auto"/>
                  </w:tcBorders>
                </w:tcPr>
                <w:p w:rsidR="00C62AC0" w:rsidRPr="00D552C0" w:rsidRDefault="00C62AC0" w:rsidP="009104C0">
                  <w:pPr>
                    <w:spacing w:line="360" w:lineRule="auto"/>
                    <w:jc w:val="center"/>
                  </w:pPr>
                  <w:r w:rsidRPr="00D552C0">
                    <w:t>0</w:t>
                  </w:r>
                </w:p>
              </w:tc>
              <w:tc>
                <w:tcPr>
                  <w:tcW w:w="920"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0</w:t>
                  </w:r>
                </w:p>
              </w:tc>
            </w:tr>
            <w:tr w:rsidR="00C62AC0" w:rsidRPr="00C62AC0" w:rsidTr="00B3584C">
              <w:tc>
                <w:tcPr>
                  <w:tcW w:w="1453" w:type="pct"/>
                  <w:tcBorders>
                    <w:top w:val="single" w:sz="4" w:space="0" w:color="auto"/>
                    <w:left w:val="single" w:sz="4" w:space="0" w:color="auto"/>
                    <w:bottom w:val="single" w:sz="4" w:space="0" w:color="auto"/>
                    <w:right w:val="single" w:sz="4" w:space="0" w:color="auto"/>
                  </w:tcBorders>
                </w:tcPr>
                <w:p w:rsidR="00C62AC0" w:rsidRPr="00D552C0" w:rsidRDefault="00C62AC0" w:rsidP="009104C0">
                  <w:pPr>
                    <w:spacing w:before="100" w:beforeAutospacing="1" w:after="100" w:afterAutospacing="1"/>
                  </w:pPr>
                  <w:r w:rsidRPr="00D552C0">
                    <w:t>2. Budžeta izdevumi:</w:t>
                  </w:r>
                </w:p>
              </w:tc>
              <w:tc>
                <w:tcPr>
                  <w:tcW w:w="813" w:type="pct"/>
                  <w:tcBorders>
                    <w:top w:val="single" w:sz="4" w:space="0" w:color="auto"/>
                    <w:left w:val="single" w:sz="4" w:space="0" w:color="auto"/>
                    <w:bottom w:val="single" w:sz="4" w:space="0" w:color="auto"/>
                    <w:right w:val="single" w:sz="4" w:space="0" w:color="auto"/>
                  </w:tcBorders>
                </w:tcPr>
                <w:p w:rsidR="00C62AC0" w:rsidRPr="00D552C0" w:rsidRDefault="00C62AC0" w:rsidP="009104C0">
                  <w:pPr>
                    <w:spacing w:line="360" w:lineRule="auto"/>
                    <w:jc w:val="center"/>
                    <w:rPr>
                      <w:b/>
                    </w:rPr>
                  </w:pPr>
                  <w:r w:rsidRPr="00D552C0">
                    <w:rPr>
                      <w:b/>
                    </w:rPr>
                    <w:t>3 327,9</w:t>
                  </w:r>
                </w:p>
              </w:tc>
              <w:tc>
                <w:tcPr>
                  <w:tcW w:w="920"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rPr>
                      <w:b/>
                    </w:rPr>
                  </w:pPr>
                  <w:r w:rsidRPr="00D552C0">
                    <w:rPr>
                      <w:b/>
                    </w:rPr>
                    <w:t>0</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rPr>
                      <w:b/>
                    </w:rPr>
                  </w:pPr>
                  <w:r w:rsidRPr="00D552C0">
                    <w:rPr>
                      <w:b/>
                    </w:rPr>
                    <w:t>-3 327,9</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rPr>
                      <w:b/>
                    </w:rPr>
                  </w:pPr>
                  <w:r w:rsidRPr="00D552C0">
                    <w:rPr>
                      <w:b/>
                    </w:rPr>
                    <w:t>-3 327,9</w:t>
                  </w:r>
                </w:p>
              </w:tc>
              <w:tc>
                <w:tcPr>
                  <w:tcW w:w="648"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rPr>
                      <w:b/>
                    </w:rPr>
                  </w:pPr>
                  <w:r w:rsidRPr="00D552C0">
                    <w:rPr>
                      <w:b/>
                    </w:rPr>
                    <w:t>-3 327,9</w:t>
                  </w:r>
                </w:p>
              </w:tc>
            </w:tr>
            <w:tr w:rsidR="00C62AC0" w:rsidRPr="00C62AC0" w:rsidTr="00B3584C">
              <w:tc>
                <w:tcPr>
                  <w:tcW w:w="1453" w:type="pct"/>
                  <w:tcBorders>
                    <w:top w:val="single" w:sz="4" w:space="0" w:color="auto"/>
                    <w:left w:val="single" w:sz="4" w:space="0" w:color="auto"/>
                    <w:bottom w:val="single" w:sz="4" w:space="0" w:color="auto"/>
                    <w:right w:val="single" w:sz="4" w:space="0" w:color="auto"/>
                  </w:tcBorders>
                </w:tcPr>
                <w:p w:rsidR="00C62AC0" w:rsidRPr="00D552C0" w:rsidRDefault="00C62AC0" w:rsidP="009104C0">
                  <w:pPr>
                    <w:spacing w:before="100" w:beforeAutospacing="1" w:after="100" w:afterAutospacing="1"/>
                  </w:pPr>
                  <w:r w:rsidRPr="00D552C0">
                    <w:t>2.1. valsts pamatbudžets</w:t>
                  </w:r>
                </w:p>
                <w:p w:rsidR="00C62AC0" w:rsidRPr="00D552C0" w:rsidRDefault="00C62AC0" w:rsidP="009104C0">
                  <w:pPr>
                    <w:spacing w:before="24" w:after="24"/>
                  </w:pPr>
                  <w:r w:rsidRPr="00D552C0">
                    <w:t>2.1.1. dotācija no vispārējiem ieņēmumiem;</w:t>
                  </w:r>
                </w:p>
                <w:p w:rsidR="00C62AC0" w:rsidRPr="00D552C0" w:rsidRDefault="00C62AC0" w:rsidP="009104C0">
                  <w:pPr>
                    <w:spacing w:before="100" w:beforeAutospacing="1" w:after="100" w:afterAutospacing="1"/>
                  </w:pPr>
                  <w:r w:rsidRPr="00D552C0">
                    <w:t>2.1.2. ieņēmumi no maksas pakalpojumiem un citi pašu ieņēmumi</w:t>
                  </w:r>
                </w:p>
              </w:tc>
              <w:tc>
                <w:tcPr>
                  <w:tcW w:w="813" w:type="pct"/>
                  <w:tcBorders>
                    <w:top w:val="single" w:sz="4" w:space="0" w:color="auto"/>
                    <w:left w:val="single" w:sz="4" w:space="0" w:color="auto"/>
                    <w:bottom w:val="single" w:sz="4" w:space="0" w:color="auto"/>
                    <w:right w:val="single" w:sz="4" w:space="0" w:color="auto"/>
                  </w:tcBorders>
                </w:tcPr>
                <w:p w:rsidR="00C62AC0" w:rsidRPr="00D552C0" w:rsidRDefault="00C62AC0" w:rsidP="009104C0">
                  <w:pPr>
                    <w:spacing w:line="360" w:lineRule="auto"/>
                    <w:jc w:val="center"/>
                  </w:pPr>
                </w:p>
                <w:p w:rsidR="00C62AC0" w:rsidRPr="00D552C0" w:rsidRDefault="00C62AC0" w:rsidP="009104C0"/>
                <w:p w:rsidR="00C62AC0" w:rsidRPr="00D552C0" w:rsidRDefault="00C62AC0" w:rsidP="009104C0"/>
                <w:p w:rsidR="00C62AC0" w:rsidRPr="00D552C0" w:rsidRDefault="00C62AC0" w:rsidP="009104C0"/>
                <w:p w:rsidR="00C62AC0" w:rsidRPr="00D552C0" w:rsidRDefault="00C62AC0" w:rsidP="009104C0">
                  <w:pPr>
                    <w:jc w:val="center"/>
                  </w:pPr>
                </w:p>
                <w:p w:rsidR="00C62AC0" w:rsidRPr="00D552C0" w:rsidRDefault="00C62AC0" w:rsidP="009104C0">
                  <w:pPr>
                    <w:jc w:val="center"/>
                  </w:pPr>
                  <w:r w:rsidRPr="00D552C0">
                    <w:t>3 327,9</w:t>
                  </w:r>
                </w:p>
                <w:p w:rsidR="00C62AC0" w:rsidRPr="00D552C0" w:rsidRDefault="00C62AC0" w:rsidP="009104C0">
                  <w:pPr>
                    <w:jc w:val="center"/>
                  </w:pPr>
                </w:p>
                <w:p w:rsidR="00C62AC0" w:rsidRPr="00D552C0" w:rsidRDefault="00C62AC0" w:rsidP="009104C0">
                  <w:pPr>
                    <w:jc w:val="center"/>
                  </w:pPr>
                </w:p>
                <w:p w:rsidR="00C62AC0" w:rsidRPr="00D552C0" w:rsidRDefault="00C62AC0" w:rsidP="009104C0">
                  <w:pPr>
                    <w:jc w:val="center"/>
                  </w:pPr>
                </w:p>
                <w:p w:rsidR="00C62AC0" w:rsidRPr="00D552C0" w:rsidRDefault="00C62AC0" w:rsidP="009104C0">
                  <w:pPr>
                    <w:jc w:val="center"/>
                  </w:pPr>
                </w:p>
                <w:p w:rsidR="00C62AC0" w:rsidRPr="00D552C0" w:rsidRDefault="00C62AC0" w:rsidP="009104C0">
                  <w:pPr>
                    <w:jc w:val="center"/>
                  </w:pPr>
                </w:p>
              </w:tc>
              <w:tc>
                <w:tcPr>
                  <w:tcW w:w="920"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lastRenderedPageBreak/>
                    <w:t>0</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-3 327,9</w:t>
                  </w:r>
                </w:p>
              </w:tc>
              <w:tc>
                <w:tcPr>
                  <w:tcW w:w="584"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-3 327,9</w:t>
                  </w:r>
                </w:p>
              </w:tc>
              <w:tc>
                <w:tcPr>
                  <w:tcW w:w="648" w:type="pct"/>
                  <w:tcBorders>
                    <w:top w:val="single" w:sz="4" w:space="0" w:color="auto"/>
                    <w:left w:val="single" w:sz="4" w:space="0" w:color="auto"/>
                    <w:bottom w:val="single" w:sz="4" w:space="0" w:color="auto"/>
                    <w:right w:val="single" w:sz="4" w:space="0" w:color="auto"/>
                  </w:tcBorders>
                  <w:vAlign w:val="center"/>
                </w:tcPr>
                <w:p w:rsidR="00C62AC0" w:rsidRPr="00D552C0" w:rsidRDefault="00C62AC0" w:rsidP="00C62AC0">
                  <w:pPr>
                    <w:spacing w:line="360" w:lineRule="auto"/>
                    <w:jc w:val="center"/>
                  </w:pPr>
                  <w:r w:rsidRPr="00D552C0">
                    <w:t>-3 327,9</w:t>
                  </w:r>
                </w:p>
              </w:tc>
            </w:tr>
            <w:tr w:rsidR="005064B7" w:rsidRPr="00C62AC0" w:rsidTr="00B3584C">
              <w:tc>
                <w:tcPr>
                  <w:tcW w:w="145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pPr>
                  <w:r w:rsidRPr="00D552C0">
                    <w:lastRenderedPageBreak/>
                    <w:t>2.2. valsts speciālais budžets</w:t>
                  </w:r>
                </w:p>
              </w:tc>
              <w:tc>
                <w:tcPr>
                  <w:tcW w:w="81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r>
            <w:tr w:rsidR="005064B7" w:rsidRPr="00C62AC0" w:rsidTr="00B3584C">
              <w:tc>
                <w:tcPr>
                  <w:tcW w:w="145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pPr>
                  <w:r w:rsidRPr="00D552C0">
                    <w:t>2.3. pašvaldību budžets</w:t>
                  </w:r>
                </w:p>
              </w:tc>
              <w:tc>
                <w:tcPr>
                  <w:tcW w:w="81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r>
            <w:tr w:rsidR="005064B7" w:rsidRPr="00C62AC0" w:rsidTr="00B3584C">
              <w:tc>
                <w:tcPr>
                  <w:tcW w:w="145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pPr>
                  <w:r w:rsidRPr="00D552C0">
                    <w:t>3. Finansiālā ietekme:</w:t>
                  </w:r>
                </w:p>
              </w:tc>
              <w:tc>
                <w:tcPr>
                  <w:tcW w:w="813" w:type="pct"/>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pPr>
                    <w:spacing w:line="360" w:lineRule="auto"/>
                    <w:jc w:val="center"/>
                    <w:rPr>
                      <w:b/>
                    </w:rPr>
                  </w:pPr>
                  <w:r w:rsidRPr="00D552C0">
                    <w:rPr>
                      <w:b/>
                    </w:rPr>
                    <w:t>0</w:t>
                  </w:r>
                </w:p>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rPr>
                      <w:b/>
                    </w:rPr>
                  </w:pPr>
                  <w:r w:rsidRPr="00D552C0">
                    <w:rPr>
                      <w:b/>
                    </w:rPr>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rPr>
                      <w:b/>
                    </w:rPr>
                  </w:pPr>
                  <w:r w:rsidRPr="00D552C0">
                    <w:rPr>
                      <w:b/>
                    </w:rPr>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rPr>
                      <w:b/>
                    </w:rPr>
                  </w:pPr>
                  <w:r w:rsidRPr="00D552C0">
                    <w:rPr>
                      <w:b/>
                    </w:rPr>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rPr>
                      <w:b/>
                    </w:rPr>
                  </w:pPr>
                  <w:r w:rsidRPr="00D552C0">
                    <w:rPr>
                      <w:b/>
                    </w:rPr>
                    <w:t>0</w:t>
                  </w:r>
                </w:p>
              </w:tc>
            </w:tr>
            <w:tr w:rsidR="005064B7" w:rsidRPr="00C62AC0" w:rsidTr="00B3584C">
              <w:tc>
                <w:tcPr>
                  <w:tcW w:w="145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pPr>
                  <w:r w:rsidRPr="00D552C0">
                    <w:t>3.1. valsts pamatbudžets</w:t>
                  </w:r>
                </w:p>
              </w:tc>
              <w:tc>
                <w:tcPr>
                  <w:tcW w:w="81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r>
            <w:tr w:rsidR="005064B7" w:rsidRPr="00C62AC0" w:rsidTr="00B3584C">
              <w:tc>
                <w:tcPr>
                  <w:tcW w:w="145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pPr>
                  <w:r w:rsidRPr="00D552C0">
                    <w:t>3.2. speciālais budžets</w:t>
                  </w:r>
                </w:p>
              </w:tc>
              <w:tc>
                <w:tcPr>
                  <w:tcW w:w="81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r>
            <w:tr w:rsidR="005064B7" w:rsidRPr="00C62AC0" w:rsidTr="00B3584C">
              <w:tc>
                <w:tcPr>
                  <w:tcW w:w="145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pPr>
                  <w:r w:rsidRPr="00D552C0">
                    <w:t>3.3. pašvaldību budžets</w:t>
                  </w:r>
                </w:p>
              </w:tc>
              <w:tc>
                <w:tcPr>
                  <w:tcW w:w="81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r>
            <w:tr w:rsidR="005064B7" w:rsidRPr="00C62AC0" w:rsidTr="00B3584C">
              <w:tc>
                <w:tcPr>
                  <w:tcW w:w="1453" w:type="pct"/>
                  <w:vMerge w:val="restar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pPr>
                  <w:r w:rsidRPr="00D552C0">
                    <w:t>4. Finanšu līdzekļi papildu izde</w:t>
                  </w:r>
                  <w:r w:rsidRPr="00D552C0">
                    <w:softHyphen/>
                    <w:t>vumu finansēšanai (kompensējošu izdevumu samazinājumu norāda ar "+" zīmi)</w:t>
                  </w:r>
                </w:p>
              </w:tc>
              <w:tc>
                <w:tcPr>
                  <w:tcW w:w="813" w:type="pct"/>
                  <w:vMerge w:val="restar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jc w:val="center"/>
                  </w:pPr>
                  <w:r w:rsidRPr="00D552C0">
                    <w:t>X</w:t>
                  </w:r>
                </w:p>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r>
            <w:tr w:rsidR="005064B7" w:rsidRPr="00C62AC0" w:rsidTr="00B3584C">
              <w:tc>
                <w:tcPr>
                  <w:tcW w:w="1453" w:type="pct"/>
                  <w:vMerge/>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tc>
              <w:tc>
                <w:tcPr>
                  <w:tcW w:w="813" w:type="pct"/>
                  <w:vMerge/>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r>
            <w:tr w:rsidR="005064B7" w:rsidRPr="00C62AC0" w:rsidTr="00B3584C">
              <w:tc>
                <w:tcPr>
                  <w:tcW w:w="1453" w:type="pct"/>
                  <w:vMerge/>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tc>
              <w:tc>
                <w:tcPr>
                  <w:tcW w:w="813" w:type="pct"/>
                  <w:vMerge/>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r>
            <w:tr w:rsidR="005064B7" w:rsidRPr="00C62AC0" w:rsidTr="00B3584C">
              <w:tc>
                <w:tcPr>
                  <w:tcW w:w="145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pPr>
                  <w:r w:rsidRPr="00D552C0">
                    <w:t>5. Precizēta finansiālā ietekme:</w:t>
                  </w:r>
                </w:p>
              </w:tc>
              <w:tc>
                <w:tcPr>
                  <w:tcW w:w="813" w:type="pct"/>
                  <w:vMerge w:val="restar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jc w:val="center"/>
                  </w:pPr>
                  <w:r w:rsidRPr="00D552C0">
                    <w:t>X</w:t>
                  </w:r>
                </w:p>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rPr>
                      <w:b/>
                    </w:rPr>
                  </w:pPr>
                  <w:r w:rsidRPr="00D552C0">
                    <w:rPr>
                      <w:b/>
                    </w:rPr>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rPr>
                      <w:b/>
                    </w:rPr>
                  </w:pPr>
                  <w:r w:rsidRPr="00D552C0">
                    <w:rPr>
                      <w:b/>
                    </w:rPr>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rPr>
                      <w:b/>
                    </w:rPr>
                  </w:pPr>
                  <w:r w:rsidRPr="00D552C0">
                    <w:rPr>
                      <w:b/>
                    </w:rPr>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rPr>
                      <w:b/>
                    </w:rPr>
                  </w:pPr>
                  <w:r w:rsidRPr="00D552C0">
                    <w:rPr>
                      <w:b/>
                    </w:rPr>
                    <w:t>0</w:t>
                  </w:r>
                </w:p>
              </w:tc>
            </w:tr>
            <w:tr w:rsidR="005064B7" w:rsidRPr="00C62AC0" w:rsidTr="00B3584C">
              <w:tc>
                <w:tcPr>
                  <w:tcW w:w="145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pPr>
                  <w:r w:rsidRPr="00D552C0">
                    <w:t>5.1. valsts pamatbudžets</w:t>
                  </w:r>
                </w:p>
              </w:tc>
              <w:tc>
                <w:tcPr>
                  <w:tcW w:w="813" w:type="pct"/>
                  <w:vMerge/>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r>
            <w:tr w:rsidR="005064B7" w:rsidRPr="00C62AC0" w:rsidTr="00B3584C">
              <w:tc>
                <w:tcPr>
                  <w:tcW w:w="145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pPr>
                  <w:r w:rsidRPr="00D552C0">
                    <w:t>5.2. speciālais budžets</w:t>
                  </w:r>
                </w:p>
              </w:tc>
              <w:tc>
                <w:tcPr>
                  <w:tcW w:w="813" w:type="pct"/>
                  <w:vMerge/>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r>
            <w:tr w:rsidR="005064B7" w:rsidRPr="00C62AC0" w:rsidTr="00B3584C">
              <w:tc>
                <w:tcPr>
                  <w:tcW w:w="1453"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before="100" w:beforeAutospacing="1" w:after="100" w:afterAutospacing="1"/>
                  </w:pPr>
                  <w:r w:rsidRPr="00D552C0">
                    <w:t>5.3. pašvaldību budžets</w:t>
                  </w:r>
                </w:p>
              </w:tc>
              <w:tc>
                <w:tcPr>
                  <w:tcW w:w="813" w:type="pct"/>
                  <w:vMerge/>
                  <w:tcBorders>
                    <w:top w:val="single" w:sz="4" w:space="0" w:color="auto"/>
                    <w:left w:val="single" w:sz="4" w:space="0" w:color="auto"/>
                    <w:bottom w:val="single" w:sz="4" w:space="0" w:color="auto"/>
                    <w:right w:val="single" w:sz="4" w:space="0" w:color="auto"/>
                  </w:tcBorders>
                  <w:vAlign w:val="center"/>
                </w:tcPr>
                <w:p w:rsidR="005064B7" w:rsidRPr="00D552C0" w:rsidRDefault="005064B7" w:rsidP="009104C0"/>
              </w:tc>
              <w:tc>
                <w:tcPr>
                  <w:tcW w:w="920"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584" w:type="pct"/>
                  <w:tcBorders>
                    <w:top w:val="single" w:sz="4" w:space="0" w:color="auto"/>
                    <w:left w:val="single" w:sz="4" w:space="0" w:color="auto"/>
                    <w:bottom w:val="single" w:sz="4" w:space="0" w:color="auto"/>
                    <w:right w:val="single" w:sz="4" w:space="0" w:color="auto"/>
                  </w:tcBorders>
                </w:tcPr>
                <w:p w:rsidR="005064B7" w:rsidRPr="00D552C0" w:rsidRDefault="005064B7" w:rsidP="009104C0">
                  <w:pPr>
                    <w:spacing w:line="360" w:lineRule="auto"/>
                    <w:jc w:val="center"/>
                  </w:pPr>
                  <w:r w:rsidRPr="00D552C0">
                    <w:t>0</w:t>
                  </w:r>
                </w:p>
              </w:tc>
              <w:tc>
                <w:tcPr>
                  <w:tcW w:w="648" w:type="pct"/>
                  <w:tcBorders>
                    <w:top w:val="single" w:sz="4" w:space="0" w:color="auto"/>
                    <w:left w:val="single" w:sz="4" w:space="0" w:color="auto"/>
                    <w:bottom w:val="single" w:sz="4" w:space="0" w:color="auto"/>
                    <w:right w:val="single" w:sz="4" w:space="0" w:color="auto"/>
                  </w:tcBorders>
                </w:tcPr>
                <w:p w:rsidR="005064B7" w:rsidRPr="00D552C0" w:rsidRDefault="005064B7" w:rsidP="008A13B2">
                  <w:pPr>
                    <w:spacing w:line="360" w:lineRule="auto"/>
                    <w:jc w:val="center"/>
                  </w:pPr>
                  <w:r w:rsidRPr="00D552C0">
                    <w:t>0</w:t>
                  </w:r>
                </w:p>
              </w:tc>
            </w:tr>
            <w:tr w:rsidR="00FD2E98" w:rsidRPr="00C62AC0" w:rsidTr="00B3584C">
              <w:trPr>
                <w:trHeight w:val="40"/>
              </w:trPr>
              <w:tc>
                <w:tcPr>
                  <w:tcW w:w="1453" w:type="pct"/>
                  <w:tcBorders>
                    <w:top w:val="single" w:sz="4" w:space="0" w:color="auto"/>
                    <w:left w:val="single" w:sz="4" w:space="0" w:color="auto"/>
                    <w:bottom w:val="single" w:sz="4" w:space="0" w:color="auto"/>
                    <w:right w:val="single" w:sz="4" w:space="0" w:color="auto"/>
                  </w:tcBorders>
                </w:tcPr>
                <w:p w:rsidR="00FD2E98" w:rsidRPr="00D552C0" w:rsidRDefault="00FD2E98" w:rsidP="009104C0">
                  <w:pPr>
                    <w:spacing w:before="100" w:beforeAutospacing="1" w:after="100" w:afterAutospacing="1"/>
                  </w:pPr>
                  <w:r w:rsidRPr="00D552C0">
                    <w:t>6. Detalizēts ieņēmumu un izdevu</w:t>
                  </w:r>
                  <w:r w:rsidRPr="00D552C0">
                    <w:softHyphen/>
                    <w:t>mu aprēķins (ja nepieciešams, detalizētu ieņēmumu un izdevumu aprēķinu var pievienot anotācijas pielikumā):</w:t>
                  </w:r>
                </w:p>
              </w:tc>
              <w:tc>
                <w:tcPr>
                  <w:tcW w:w="3547" w:type="pct"/>
                  <w:gridSpan w:val="5"/>
                  <w:vMerge w:val="restart"/>
                  <w:tcBorders>
                    <w:top w:val="single" w:sz="4" w:space="0" w:color="auto"/>
                    <w:left w:val="single" w:sz="4" w:space="0" w:color="auto"/>
                    <w:right w:val="single" w:sz="4" w:space="0" w:color="auto"/>
                  </w:tcBorders>
                </w:tcPr>
                <w:p w:rsidR="00FD2E98" w:rsidRPr="00D552C0" w:rsidRDefault="00FD2E98" w:rsidP="009104C0">
                  <w:pPr>
                    <w:jc w:val="both"/>
                  </w:pPr>
                  <w:r w:rsidRPr="00D552C0">
                    <w:t xml:space="preserve">Atbilstoši likumam „Par valsts budžetu 2012.gadam” Zāļu valsts aģentūras plānotie maksas pakalpojumu ieņēmumi un tiem atbilstošie izdevumi valsts budžeta programmā </w:t>
                  </w:r>
                  <w:r w:rsidRPr="00D552C0">
                    <w:rPr>
                      <w:lang w:val="de-DE"/>
                    </w:rPr>
                    <w:t>48.00.00 „</w:t>
                  </w:r>
                  <w:proofErr w:type="spellStart"/>
                  <w:r w:rsidRPr="00D552C0">
                    <w:rPr>
                      <w:lang w:val="de-DE"/>
                    </w:rPr>
                    <w:t>Medikamentu</w:t>
                  </w:r>
                  <w:proofErr w:type="spellEnd"/>
                  <w:r w:rsidRPr="00D552C0">
                    <w:rPr>
                      <w:lang w:val="de-DE"/>
                    </w:rPr>
                    <w:t xml:space="preserve"> </w:t>
                  </w:r>
                  <w:proofErr w:type="spellStart"/>
                  <w:r w:rsidRPr="00D552C0">
                    <w:rPr>
                      <w:lang w:val="de-DE"/>
                    </w:rPr>
                    <w:t>un</w:t>
                  </w:r>
                  <w:proofErr w:type="spellEnd"/>
                  <w:r w:rsidRPr="00D552C0">
                    <w:rPr>
                      <w:lang w:val="de-DE"/>
                    </w:rPr>
                    <w:t xml:space="preserve"> </w:t>
                  </w:r>
                  <w:proofErr w:type="spellStart"/>
                  <w:r w:rsidRPr="00D552C0">
                    <w:rPr>
                      <w:lang w:val="de-DE"/>
                    </w:rPr>
                    <w:t>medicīnas</w:t>
                  </w:r>
                  <w:proofErr w:type="spellEnd"/>
                  <w:r w:rsidRPr="00D552C0">
                    <w:rPr>
                      <w:lang w:val="de-DE"/>
                    </w:rPr>
                    <w:t xml:space="preserve"> </w:t>
                  </w:r>
                  <w:proofErr w:type="spellStart"/>
                  <w:r w:rsidRPr="00D552C0">
                    <w:rPr>
                      <w:lang w:val="de-DE"/>
                    </w:rPr>
                    <w:t>preču</w:t>
                  </w:r>
                  <w:proofErr w:type="spellEnd"/>
                  <w:r w:rsidRPr="00D552C0">
                    <w:rPr>
                      <w:lang w:val="de-DE"/>
                    </w:rPr>
                    <w:t xml:space="preserve"> </w:t>
                  </w:r>
                  <w:proofErr w:type="spellStart"/>
                  <w:r w:rsidRPr="00D552C0">
                    <w:rPr>
                      <w:lang w:val="de-DE"/>
                    </w:rPr>
                    <w:t>novērtēšana</w:t>
                  </w:r>
                  <w:proofErr w:type="spellEnd"/>
                  <w:r w:rsidRPr="00D552C0">
                    <w:rPr>
                      <w:lang w:val="de-DE"/>
                    </w:rPr>
                    <w:t xml:space="preserve"> </w:t>
                  </w:r>
                  <w:proofErr w:type="spellStart"/>
                  <w:r w:rsidRPr="00D552C0">
                    <w:rPr>
                      <w:lang w:val="de-DE"/>
                    </w:rPr>
                    <w:t>un</w:t>
                  </w:r>
                  <w:proofErr w:type="spellEnd"/>
                  <w:r w:rsidRPr="00D552C0">
                    <w:rPr>
                      <w:lang w:val="de-DE"/>
                    </w:rPr>
                    <w:t xml:space="preserve"> </w:t>
                  </w:r>
                  <w:proofErr w:type="spellStart"/>
                  <w:r w:rsidRPr="00D552C0">
                    <w:rPr>
                      <w:lang w:val="de-DE"/>
                    </w:rPr>
                    <w:t>reģistrācija</w:t>
                  </w:r>
                  <w:proofErr w:type="spellEnd"/>
                  <w:r w:rsidRPr="00D552C0">
                    <w:rPr>
                      <w:lang w:val="de-DE"/>
                    </w:rPr>
                    <w:t>“</w:t>
                  </w:r>
                  <w:r w:rsidRPr="00D552C0">
                    <w:t xml:space="preserve"> 3 327 889 lati.</w:t>
                  </w:r>
                </w:p>
                <w:p w:rsidR="00FD2E98" w:rsidRPr="00D552C0" w:rsidRDefault="00FD2E98" w:rsidP="00D77FB5">
                  <w:pPr>
                    <w:ind w:right="135"/>
                    <w:jc w:val="both"/>
                  </w:pPr>
                  <w:r w:rsidRPr="00D552C0">
                    <w:t>Resursiem atbilstoši izdevumi 2012</w:t>
                  </w:r>
                  <w:r w:rsidR="002964ED">
                    <w:t>.</w:t>
                  </w:r>
                  <w:r w:rsidRPr="00D552C0">
                    <w:t>:</w:t>
                  </w:r>
                </w:p>
                <w:p w:rsidR="00FD2E98" w:rsidRPr="00D552C0" w:rsidRDefault="00FD2E98" w:rsidP="00FD2E98">
                  <w:pPr>
                    <w:pStyle w:val="Sarakstarindkopa"/>
                    <w:numPr>
                      <w:ilvl w:val="0"/>
                      <w:numId w:val="3"/>
                    </w:numPr>
                    <w:ind w:right="135"/>
                    <w:contextualSpacing/>
                    <w:jc w:val="both"/>
                  </w:pPr>
                  <w:r w:rsidRPr="00D552C0">
                    <w:t xml:space="preserve">atlīdzība Ls 1 670 487 (tai skaitā izdevumus atalgojums Ls 1 368 </w:t>
                  </w:r>
                  <w:r w:rsidRPr="00D552C0">
                    <w:lastRenderedPageBreak/>
                    <w:t>035);</w:t>
                  </w:r>
                </w:p>
                <w:p w:rsidR="00FD2E98" w:rsidRPr="00D552C0" w:rsidRDefault="00FD2E98" w:rsidP="00FD2E98">
                  <w:pPr>
                    <w:pStyle w:val="Sarakstarindkopa"/>
                    <w:numPr>
                      <w:ilvl w:val="0"/>
                      <w:numId w:val="3"/>
                    </w:numPr>
                    <w:ind w:right="135"/>
                    <w:contextualSpacing/>
                    <w:jc w:val="both"/>
                  </w:pPr>
                  <w:r w:rsidRPr="00D552C0">
                    <w:t xml:space="preserve"> preces un pakalpojumi Ls 1 376 402;</w:t>
                  </w:r>
                </w:p>
                <w:p w:rsidR="00FD2E98" w:rsidRPr="00D552C0" w:rsidRDefault="00FD2E98" w:rsidP="009104C0">
                  <w:pPr>
                    <w:pStyle w:val="Sarakstarindkopa"/>
                    <w:numPr>
                      <w:ilvl w:val="0"/>
                      <w:numId w:val="3"/>
                    </w:numPr>
                    <w:ind w:right="135"/>
                    <w:contextualSpacing/>
                    <w:jc w:val="both"/>
                  </w:pPr>
                  <w:r w:rsidRPr="00D552C0">
                    <w:t xml:space="preserve"> kapitālie izdevumi Ls 281 000.</w:t>
                  </w:r>
                </w:p>
                <w:p w:rsidR="00FD2E98" w:rsidRPr="00D552C0" w:rsidRDefault="00FD2E98" w:rsidP="009104C0">
                  <w:pPr>
                    <w:jc w:val="both"/>
                  </w:pPr>
                  <w:r w:rsidRPr="00D552C0">
                    <w:t xml:space="preserve">Atbilstoši apstiprinātajai budžeta bāzei 2013.-2015.gadam (Ministru kabineta 2012.gada 17.aprīļa sēdes protokols Nr.20, 38.§ Informatīvais ziņojums "Par valsts budžeta bāzes izdevumiem 2013. – 2015.gadam un bāzes izdevumos neiekļautajiem ministriju un citu centrālo valsts iestāžu iesniegtajiem papildu pieprasījumiem") plānoti maksas pakalpojumu ieņēmumi un tiem atbilstošie izdevumi budžeta programmā </w:t>
                  </w:r>
                  <w:r w:rsidRPr="00D552C0">
                    <w:rPr>
                      <w:lang w:val="de-DE"/>
                    </w:rPr>
                    <w:t>48.00.00 „</w:t>
                  </w:r>
                  <w:proofErr w:type="spellStart"/>
                  <w:r w:rsidRPr="00D552C0">
                    <w:rPr>
                      <w:lang w:val="de-DE"/>
                    </w:rPr>
                    <w:t>Medikamentu</w:t>
                  </w:r>
                  <w:proofErr w:type="spellEnd"/>
                  <w:r w:rsidRPr="00D552C0">
                    <w:rPr>
                      <w:lang w:val="de-DE"/>
                    </w:rPr>
                    <w:t xml:space="preserve"> </w:t>
                  </w:r>
                  <w:proofErr w:type="spellStart"/>
                  <w:r w:rsidRPr="00D552C0">
                    <w:rPr>
                      <w:lang w:val="de-DE"/>
                    </w:rPr>
                    <w:t>un</w:t>
                  </w:r>
                  <w:proofErr w:type="spellEnd"/>
                  <w:r w:rsidRPr="00D552C0">
                    <w:rPr>
                      <w:lang w:val="de-DE"/>
                    </w:rPr>
                    <w:t xml:space="preserve"> </w:t>
                  </w:r>
                  <w:proofErr w:type="spellStart"/>
                  <w:r w:rsidRPr="00D552C0">
                    <w:rPr>
                      <w:lang w:val="de-DE"/>
                    </w:rPr>
                    <w:t>medicīnas</w:t>
                  </w:r>
                  <w:proofErr w:type="spellEnd"/>
                  <w:r w:rsidRPr="00D552C0">
                    <w:rPr>
                      <w:lang w:val="de-DE"/>
                    </w:rPr>
                    <w:t xml:space="preserve"> </w:t>
                  </w:r>
                  <w:proofErr w:type="spellStart"/>
                  <w:r w:rsidRPr="00D552C0">
                    <w:rPr>
                      <w:lang w:val="de-DE"/>
                    </w:rPr>
                    <w:t>preču</w:t>
                  </w:r>
                  <w:proofErr w:type="spellEnd"/>
                  <w:r w:rsidRPr="00D552C0">
                    <w:rPr>
                      <w:lang w:val="de-DE"/>
                    </w:rPr>
                    <w:t xml:space="preserve"> </w:t>
                  </w:r>
                  <w:proofErr w:type="spellStart"/>
                  <w:r w:rsidRPr="00D552C0">
                    <w:rPr>
                      <w:lang w:val="de-DE"/>
                    </w:rPr>
                    <w:t>novērtēšana</w:t>
                  </w:r>
                  <w:proofErr w:type="spellEnd"/>
                  <w:r w:rsidRPr="00D552C0">
                    <w:rPr>
                      <w:lang w:val="de-DE"/>
                    </w:rPr>
                    <w:t xml:space="preserve"> </w:t>
                  </w:r>
                  <w:proofErr w:type="spellStart"/>
                  <w:r w:rsidRPr="00D552C0">
                    <w:rPr>
                      <w:lang w:val="de-DE"/>
                    </w:rPr>
                    <w:t>un</w:t>
                  </w:r>
                  <w:proofErr w:type="spellEnd"/>
                  <w:r w:rsidRPr="00D552C0">
                    <w:rPr>
                      <w:lang w:val="de-DE"/>
                    </w:rPr>
                    <w:t xml:space="preserve"> </w:t>
                  </w:r>
                  <w:proofErr w:type="spellStart"/>
                  <w:r w:rsidRPr="00D552C0">
                    <w:rPr>
                      <w:lang w:val="de-DE"/>
                    </w:rPr>
                    <w:t>reģistrācija</w:t>
                  </w:r>
                  <w:proofErr w:type="spellEnd"/>
                  <w:r w:rsidRPr="00D552C0">
                    <w:rPr>
                      <w:lang w:val="de-DE"/>
                    </w:rPr>
                    <w:t>“</w:t>
                  </w:r>
                  <w:r w:rsidRPr="00D552C0">
                    <w:t xml:space="preserve"> 3 327 889 lati.</w:t>
                  </w:r>
                </w:p>
                <w:p w:rsidR="00FD2E98" w:rsidRPr="00D552C0" w:rsidRDefault="00FD2E98" w:rsidP="009104C0">
                  <w:pPr>
                    <w:jc w:val="both"/>
                  </w:pPr>
                  <w:r w:rsidRPr="00D552C0">
                    <w:t xml:space="preserve">Tā kā </w:t>
                  </w:r>
                  <w:r w:rsidR="00E03D8E">
                    <w:t xml:space="preserve">noteikumu </w:t>
                  </w:r>
                  <w:r w:rsidRPr="00D552C0">
                    <w:t xml:space="preserve">projekts paredz noteikt, ka Veselības ministrijas padotībā esošā Zāļu valsts aģentūra ar 2013.gada 1.janvāri darbojas saskaņā ar Publisko aģentūru likuma prasībām un ņemot vērā Publisko aģentūru likuma 13.panta trešajā daļā paredzēto, ka valsts aģentūra Likumā par budžetu un finanšu vadību noteiktajā kārtībā patstāvīgi veido valsts aģentūras budžetu, kuru apstiprina Ministru kabinets, tad 2013.gadā un turpmākajos gados ieņēmumu un izdevumu daļa </w:t>
                  </w:r>
                  <w:r w:rsidR="00D77FB5" w:rsidRPr="00D552C0">
                    <w:t>(anotācij</w:t>
                  </w:r>
                  <w:r w:rsidR="002964ED">
                    <w:t>a</w:t>
                  </w:r>
                  <w:r w:rsidR="00D77FB5" w:rsidRPr="00D552C0">
                    <w:t xml:space="preserve">s III sadaļas 1. un 2.punkts) </w:t>
                  </w:r>
                  <w:r w:rsidRPr="00D552C0">
                    <w:t xml:space="preserve">tiek samazināta par summu 3 327 889 lati.    </w:t>
                  </w:r>
                </w:p>
                <w:p w:rsidR="00FD2E98" w:rsidRPr="00D552C0" w:rsidRDefault="00FD2E98" w:rsidP="009104C0">
                  <w:pPr>
                    <w:jc w:val="both"/>
                  </w:pPr>
                  <w:r w:rsidRPr="00D552C0">
                    <w:t>Saskaņā ar Likumu par budžetu un finanšu vadību, sākot ar 2013.gadu, Zāļu valsts aģentūras kā budžeta nefinansētas iestādes budžeta summa tiks ie</w:t>
                  </w:r>
                  <w:r w:rsidR="00D77FB5" w:rsidRPr="00D552C0">
                    <w:t>kļauta konsolidētajā kopbudžetā, Veselības ministrijas budžetā tā netiks atspoguļota.</w:t>
                  </w:r>
                </w:p>
                <w:p w:rsidR="00FD2E98" w:rsidRPr="00D552C0" w:rsidRDefault="00FD2E98" w:rsidP="00D77FB5">
                  <w:pPr>
                    <w:jc w:val="both"/>
                  </w:pPr>
                  <w:r w:rsidRPr="00D552C0">
                    <w:t>Saskaņā ar Likuma par budžetu un finanšu vadību 41.panta (1</w:t>
                  </w:r>
                  <w:r w:rsidRPr="00D552C0">
                    <w:rPr>
                      <w:vertAlign w:val="superscript"/>
                    </w:rPr>
                    <w:t>1</w:t>
                  </w:r>
                  <w:r w:rsidRPr="00D552C0">
                    <w:t xml:space="preserve">) daļu Zāļu valsts aģentūras 2013.gada gada budžeta projektu apstiprināšanai Ministru kabinetā Veselības ministrijai jāiesniedz līdz 2012.gada gada 1.septembrim, </w:t>
                  </w:r>
                  <w:r w:rsidR="00D77FB5" w:rsidRPr="00D552C0">
                    <w:t>savukārt</w:t>
                  </w:r>
                  <w:r w:rsidRPr="00D552C0">
                    <w:t xml:space="preserve"> Ministru kabinets to apstiprinās līdz 2012.gada 15.septembrim. </w:t>
                  </w:r>
                  <w:r w:rsidR="00D77FB5" w:rsidRPr="00D552C0">
                    <w:t>Vienlaicīgi ar aģentūras budžetu Ministru kabinetam apstiprināšanai tiks iesniegta aģentūras vidēja termiņa darbības stratēģiju 2013.-2015.gadam.</w:t>
                  </w:r>
                </w:p>
              </w:tc>
            </w:tr>
            <w:tr w:rsidR="00FD2E98" w:rsidRPr="00C62AC0" w:rsidTr="002F41C5">
              <w:trPr>
                <w:trHeight w:val="8910"/>
              </w:trPr>
              <w:tc>
                <w:tcPr>
                  <w:tcW w:w="1453" w:type="pct"/>
                  <w:tcBorders>
                    <w:top w:val="single" w:sz="4" w:space="0" w:color="auto"/>
                    <w:left w:val="single" w:sz="4" w:space="0" w:color="auto"/>
                    <w:bottom w:val="single" w:sz="4" w:space="0" w:color="auto"/>
                    <w:right w:val="single" w:sz="4" w:space="0" w:color="auto"/>
                  </w:tcBorders>
                </w:tcPr>
                <w:p w:rsidR="00FD2E98" w:rsidRPr="00D552C0" w:rsidRDefault="00FD2E98" w:rsidP="009104C0">
                  <w:pPr>
                    <w:spacing w:before="100" w:beforeAutospacing="1" w:after="100" w:afterAutospacing="1"/>
                  </w:pPr>
                  <w:r w:rsidRPr="00D552C0">
                    <w:lastRenderedPageBreak/>
                    <w:t>6.1. detalizēts ieņēmumu aprēķins</w:t>
                  </w:r>
                </w:p>
                <w:p w:rsidR="00FD2E98" w:rsidRPr="00D552C0" w:rsidRDefault="00FD2E98" w:rsidP="009104C0">
                  <w:pPr>
                    <w:spacing w:before="100" w:beforeAutospacing="1" w:after="100" w:afterAutospacing="1"/>
                  </w:pPr>
                </w:p>
                <w:p w:rsidR="00FD2E98" w:rsidRPr="00D552C0" w:rsidRDefault="00FD2E98" w:rsidP="009104C0">
                  <w:pPr>
                    <w:spacing w:before="100" w:beforeAutospacing="1" w:after="100" w:afterAutospacing="1"/>
                  </w:pPr>
                  <w:r w:rsidRPr="00D552C0">
                    <w:t>6.2. detalizēts izdevumu aprēķins</w:t>
                  </w:r>
                </w:p>
              </w:tc>
              <w:tc>
                <w:tcPr>
                  <w:tcW w:w="3547" w:type="pct"/>
                  <w:gridSpan w:val="5"/>
                  <w:vMerge/>
                  <w:tcBorders>
                    <w:left w:val="single" w:sz="4" w:space="0" w:color="auto"/>
                    <w:bottom w:val="single" w:sz="4" w:space="0" w:color="auto"/>
                    <w:right w:val="single" w:sz="4" w:space="0" w:color="auto"/>
                  </w:tcBorders>
                  <w:vAlign w:val="center"/>
                </w:tcPr>
                <w:p w:rsidR="00FD2E98" w:rsidRPr="00D552C0" w:rsidRDefault="00FD2E98" w:rsidP="009104C0"/>
              </w:tc>
            </w:tr>
            <w:tr w:rsidR="005064B7" w:rsidRPr="00C62AC0" w:rsidTr="00DD3527">
              <w:trPr>
                <w:trHeight w:val="2648"/>
              </w:trPr>
              <w:tc>
                <w:tcPr>
                  <w:tcW w:w="1453" w:type="pct"/>
                  <w:tcBorders>
                    <w:top w:val="single" w:sz="4" w:space="0" w:color="auto"/>
                    <w:left w:val="single" w:sz="4" w:space="0" w:color="auto"/>
                    <w:bottom w:val="single" w:sz="4" w:space="0" w:color="auto"/>
                    <w:right w:val="single" w:sz="4" w:space="0" w:color="auto"/>
                  </w:tcBorders>
                </w:tcPr>
                <w:p w:rsidR="007E41D8" w:rsidRPr="00D552C0" w:rsidRDefault="005064B7" w:rsidP="007E41D8">
                  <w:pPr>
                    <w:spacing w:before="100" w:beforeAutospacing="1" w:after="100" w:afterAutospacing="1"/>
                  </w:pPr>
                  <w:r w:rsidRPr="00D552C0">
                    <w:lastRenderedPageBreak/>
                    <w:t>7. Cita informācija</w:t>
                  </w:r>
                </w:p>
              </w:tc>
              <w:tc>
                <w:tcPr>
                  <w:tcW w:w="3547" w:type="pct"/>
                  <w:gridSpan w:val="5"/>
                  <w:tcBorders>
                    <w:top w:val="single" w:sz="4" w:space="0" w:color="auto"/>
                    <w:left w:val="single" w:sz="4" w:space="0" w:color="auto"/>
                    <w:bottom w:val="single" w:sz="4" w:space="0" w:color="auto"/>
                    <w:right w:val="single" w:sz="4" w:space="0" w:color="auto"/>
                  </w:tcBorders>
                </w:tcPr>
                <w:p w:rsidR="005064B7" w:rsidRPr="00076D55" w:rsidRDefault="00076D55" w:rsidP="005265AD">
                  <w:pPr>
                    <w:jc w:val="both"/>
                  </w:pPr>
                  <w:r w:rsidRPr="00076D55">
                    <w:t xml:space="preserve">Veselības ministrija priekšlikumu par ieņēmumu un izdevumu valsts budžeta programmā </w:t>
                  </w:r>
                  <w:r w:rsidRPr="00076D55">
                    <w:rPr>
                      <w:lang w:val="de-DE"/>
                    </w:rPr>
                    <w:t>48.00.00 „</w:t>
                  </w:r>
                  <w:proofErr w:type="spellStart"/>
                  <w:r w:rsidRPr="00076D55">
                    <w:rPr>
                      <w:lang w:val="de-DE"/>
                    </w:rPr>
                    <w:t>Medikamentu</w:t>
                  </w:r>
                  <w:proofErr w:type="spellEnd"/>
                  <w:r w:rsidRPr="00076D55">
                    <w:rPr>
                      <w:lang w:val="de-DE"/>
                    </w:rPr>
                    <w:t xml:space="preserve"> </w:t>
                  </w:r>
                  <w:proofErr w:type="spellStart"/>
                  <w:r w:rsidRPr="00076D55">
                    <w:rPr>
                      <w:lang w:val="de-DE"/>
                    </w:rPr>
                    <w:t>un</w:t>
                  </w:r>
                  <w:proofErr w:type="spellEnd"/>
                  <w:r w:rsidRPr="00076D55">
                    <w:rPr>
                      <w:lang w:val="de-DE"/>
                    </w:rPr>
                    <w:t xml:space="preserve"> </w:t>
                  </w:r>
                  <w:proofErr w:type="spellStart"/>
                  <w:r w:rsidRPr="00076D55">
                    <w:rPr>
                      <w:lang w:val="de-DE"/>
                    </w:rPr>
                    <w:t>medicīnas</w:t>
                  </w:r>
                  <w:proofErr w:type="spellEnd"/>
                  <w:r w:rsidRPr="00076D55">
                    <w:rPr>
                      <w:lang w:val="de-DE"/>
                    </w:rPr>
                    <w:t xml:space="preserve"> </w:t>
                  </w:r>
                  <w:proofErr w:type="spellStart"/>
                  <w:r w:rsidRPr="00076D55">
                    <w:rPr>
                      <w:lang w:val="de-DE"/>
                    </w:rPr>
                    <w:t>preču</w:t>
                  </w:r>
                  <w:proofErr w:type="spellEnd"/>
                  <w:r w:rsidRPr="00076D55">
                    <w:rPr>
                      <w:lang w:val="de-DE"/>
                    </w:rPr>
                    <w:t xml:space="preserve"> </w:t>
                  </w:r>
                  <w:proofErr w:type="spellStart"/>
                  <w:r w:rsidRPr="00076D55">
                    <w:rPr>
                      <w:lang w:val="de-DE"/>
                    </w:rPr>
                    <w:t>novērtēšana</w:t>
                  </w:r>
                  <w:proofErr w:type="spellEnd"/>
                  <w:r w:rsidRPr="00076D55">
                    <w:rPr>
                      <w:lang w:val="de-DE"/>
                    </w:rPr>
                    <w:t xml:space="preserve"> </w:t>
                  </w:r>
                  <w:proofErr w:type="spellStart"/>
                  <w:r w:rsidRPr="00076D55">
                    <w:rPr>
                      <w:lang w:val="de-DE"/>
                    </w:rPr>
                    <w:t>un</w:t>
                  </w:r>
                  <w:proofErr w:type="spellEnd"/>
                  <w:r w:rsidRPr="00076D55">
                    <w:rPr>
                      <w:lang w:val="de-DE"/>
                    </w:rPr>
                    <w:t xml:space="preserve"> </w:t>
                  </w:r>
                  <w:proofErr w:type="spellStart"/>
                  <w:r w:rsidRPr="00076D55">
                    <w:rPr>
                      <w:lang w:val="de-DE"/>
                    </w:rPr>
                    <w:t>reģistrācija</w:t>
                  </w:r>
                  <w:proofErr w:type="spellEnd"/>
                  <w:r w:rsidRPr="00076D55">
                    <w:rPr>
                      <w:lang w:val="de-DE"/>
                    </w:rPr>
                    <w:t>“</w:t>
                  </w:r>
                  <w:r w:rsidRPr="00076D55">
                    <w:t xml:space="preserve"> samazinājumu par 3 327 889 lati 2013.-2015.gadā iesniegs Finanšu ministrijā likumprojekta „Par valsts budžetu 2013.gadam”</w:t>
                  </w:r>
                  <w:r w:rsidR="005265AD">
                    <w:t xml:space="preserve"> sagatavošanas un </w:t>
                  </w:r>
                  <w:r w:rsidR="00D61C4A">
                    <w:t xml:space="preserve">izskatīšanas </w:t>
                  </w:r>
                  <w:r w:rsidRPr="00076D55">
                    <w:t>procesā.</w:t>
                  </w:r>
                </w:p>
              </w:tc>
            </w:tr>
          </w:tbl>
          <w:p w:rsidR="005064B7" w:rsidRPr="002922DC" w:rsidRDefault="005064B7" w:rsidP="002538EF">
            <w:pPr>
              <w:ind w:firstLine="720"/>
              <w:jc w:val="both"/>
              <w:rPr>
                <w:b/>
              </w:rPr>
            </w:pPr>
          </w:p>
        </w:tc>
      </w:tr>
    </w:tbl>
    <w:p w:rsidR="005064B7" w:rsidRDefault="005064B7" w:rsidP="008B0DFB"/>
    <w:p w:rsidR="00A82AC7" w:rsidRPr="002546D4" w:rsidRDefault="00A82AC7" w:rsidP="00A82AC7">
      <w:pPr>
        <w:jc w:val="both"/>
        <w:rPr>
          <w:color w:val="000000"/>
          <w:sz w:val="28"/>
          <w:szCs w:val="28"/>
        </w:rPr>
      </w:pPr>
    </w:p>
    <w:tbl>
      <w:tblPr>
        <w:tblW w:w="9447"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37"/>
        <w:gridCol w:w="6014"/>
      </w:tblGrid>
      <w:tr w:rsidR="00A82AC7" w:rsidRPr="002546D4" w:rsidTr="00A82AC7">
        <w:trPr>
          <w:jc w:val="center"/>
        </w:trPr>
        <w:tc>
          <w:tcPr>
            <w:tcW w:w="9447" w:type="dxa"/>
            <w:gridSpan w:val="3"/>
          </w:tcPr>
          <w:p w:rsidR="00A82AC7" w:rsidRPr="002546D4" w:rsidRDefault="00A82AC7" w:rsidP="00A82AC7">
            <w:pPr>
              <w:pStyle w:val="naisnod"/>
              <w:spacing w:before="0" w:after="0"/>
              <w:rPr>
                <w:color w:val="000000"/>
              </w:rPr>
            </w:pPr>
            <w:r w:rsidRPr="002546D4">
              <w:rPr>
                <w:color w:val="000000"/>
              </w:rPr>
              <w:t>IV. Tiesību akta projekta ietekme uz spēkā esošo tiesību normu sistēmu</w:t>
            </w:r>
          </w:p>
        </w:tc>
      </w:tr>
      <w:tr w:rsidR="00A82AC7" w:rsidRPr="002546D4" w:rsidTr="00A82AC7">
        <w:trPr>
          <w:jc w:val="center"/>
        </w:trPr>
        <w:tc>
          <w:tcPr>
            <w:tcW w:w="396" w:type="dxa"/>
          </w:tcPr>
          <w:p w:rsidR="00A82AC7" w:rsidRPr="002546D4" w:rsidRDefault="00A82AC7" w:rsidP="00A82AC7">
            <w:pPr>
              <w:pStyle w:val="naiskr"/>
              <w:tabs>
                <w:tab w:val="left" w:pos="2628"/>
              </w:tabs>
              <w:spacing w:before="0" w:after="0"/>
              <w:jc w:val="both"/>
              <w:rPr>
                <w:iCs/>
                <w:color w:val="000000"/>
              </w:rPr>
            </w:pPr>
            <w:r w:rsidRPr="002546D4">
              <w:rPr>
                <w:iCs/>
                <w:color w:val="000000"/>
              </w:rPr>
              <w:t>1.</w:t>
            </w:r>
          </w:p>
        </w:tc>
        <w:tc>
          <w:tcPr>
            <w:tcW w:w="3037" w:type="dxa"/>
          </w:tcPr>
          <w:p w:rsidR="00A82AC7" w:rsidRPr="002546D4" w:rsidRDefault="00A82AC7" w:rsidP="00A82AC7">
            <w:pPr>
              <w:pStyle w:val="naiskr"/>
              <w:tabs>
                <w:tab w:val="left" w:pos="2628"/>
              </w:tabs>
              <w:spacing w:before="0" w:after="0"/>
              <w:jc w:val="both"/>
              <w:rPr>
                <w:iCs/>
                <w:color w:val="000000"/>
              </w:rPr>
            </w:pPr>
            <w:r w:rsidRPr="002546D4">
              <w:rPr>
                <w:color w:val="000000"/>
                <w:sz w:val="22"/>
                <w:szCs w:val="22"/>
              </w:rPr>
              <w:t>Nepieciešamie saistītie tiesību aktu projekti</w:t>
            </w:r>
          </w:p>
        </w:tc>
        <w:tc>
          <w:tcPr>
            <w:tcW w:w="6014" w:type="dxa"/>
          </w:tcPr>
          <w:p w:rsidR="00A82AC7" w:rsidRPr="002546D4" w:rsidRDefault="00A82AC7" w:rsidP="00A82AC7">
            <w:pPr>
              <w:pStyle w:val="naiskr"/>
              <w:tabs>
                <w:tab w:val="left" w:pos="2628"/>
              </w:tabs>
              <w:spacing w:before="100" w:beforeAutospacing="1" w:after="100" w:afterAutospacing="1"/>
              <w:jc w:val="both"/>
              <w:rPr>
                <w:bCs/>
                <w:color w:val="000000"/>
              </w:rPr>
            </w:pPr>
            <w:r w:rsidRPr="002546D4">
              <w:rPr>
                <w:color w:val="000000"/>
              </w:rPr>
              <w:t xml:space="preserve">Nepieciešams veikt grozījumus </w:t>
            </w:r>
            <w:r>
              <w:rPr>
                <w:color w:val="000000"/>
              </w:rPr>
              <w:t>Farmācijas likumā, lai precizētu Farmācijas likuma 10.pantā ietverto Zāļu valsts aģentūras kompetenci pakalpojumu sniegšanas jomā.</w:t>
            </w:r>
          </w:p>
          <w:p w:rsidR="00A82AC7" w:rsidRPr="002546D4" w:rsidRDefault="00A82AC7" w:rsidP="00A82AC7">
            <w:pPr>
              <w:jc w:val="both"/>
              <w:rPr>
                <w:color w:val="000000"/>
              </w:rPr>
            </w:pPr>
          </w:p>
          <w:p w:rsidR="00A82AC7" w:rsidRPr="002546D4" w:rsidRDefault="00B42EF8" w:rsidP="00B42EF8">
            <w:pPr>
              <w:jc w:val="both"/>
              <w:rPr>
                <w:color w:val="000000"/>
              </w:rPr>
            </w:pPr>
            <w:r>
              <w:rPr>
                <w:color w:val="000000"/>
              </w:rPr>
              <w:lastRenderedPageBreak/>
              <w:t>Veselības ministrija noteiktā kārtībā izstrādās</w:t>
            </w:r>
            <w:r w:rsidRPr="002546D4">
              <w:rPr>
                <w:color w:val="000000"/>
              </w:rPr>
              <w:t xml:space="preserve"> un iesniegs </w:t>
            </w:r>
            <w:r>
              <w:rPr>
                <w:color w:val="000000"/>
              </w:rPr>
              <w:t xml:space="preserve">Saeimai izskatīšanai 2.lasījumā </w:t>
            </w:r>
            <w:r w:rsidRPr="002546D4">
              <w:rPr>
                <w:color w:val="000000"/>
              </w:rPr>
              <w:t xml:space="preserve">noteiktā kārtībā līdz 2012.gada </w:t>
            </w:r>
            <w:r>
              <w:rPr>
                <w:color w:val="000000"/>
              </w:rPr>
              <w:t>30</w:t>
            </w:r>
            <w:r w:rsidRPr="002546D4">
              <w:rPr>
                <w:color w:val="000000"/>
              </w:rPr>
              <w:t>.</w:t>
            </w:r>
            <w:r>
              <w:rPr>
                <w:color w:val="000000"/>
              </w:rPr>
              <w:t xml:space="preserve">augustam priekšlikumus par  likumprojekta „Grozījumi Farmācijas likumā”  papildināšanu </w:t>
            </w:r>
            <w:r w:rsidR="00A82AC7" w:rsidRPr="002546D4">
              <w:rPr>
                <w:color w:val="000000"/>
              </w:rPr>
              <w:t xml:space="preserve">Ar </w:t>
            </w:r>
            <w:r w:rsidR="00A82AC7">
              <w:rPr>
                <w:color w:val="000000"/>
              </w:rPr>
              <w:t xml:space="preserve">Zāļu valsts aģentūras statusa noteikšanu saistītos grozījumus Farmācijas likumā saistībā ar </w:t>
            </w:r>
            <w:r>
              <w:rPr>
                <w:color w:val="000000"/>
              </w:rPr>
              <w:t xml:space="preserve">tās </w:t>
            </w:r>
            <w:r w:rsidR="00A82AC7">
              <w:rPr>
                <w:color w:val="000000"/>
              </w:rPr>
              <w:t>darbību ar 2012.gada 1.janvāri saskaņā ar Publisko aģentūru likumu</w:t>
            </w:r>
            <w:r>
              <w:rPr>
                <w:color w:val="000000"/>
              </w:rPr>
              <w:t>.</w:t>
            </w:r>
          </w:p>
        </w:tc>
      </w:tr>
      <w:tr w:rsidR="00A82AC7" w:rsidRPr="002546D4" w:rsidTr="00A82AC7">
        <w:trPr>
          <w:jc w:val="center"/>
        </w:trPr>
        <w:tc>
          <w:tcPr>
            <w:tcW w:w="396" w:type="dxa"/>
          </w:tcPr>
          <w:p w:rsidR="00A82AC7" w:rsidRPr="002546D4" w:rsidRDefault="00A82AC7" w:rsidP="00A82AC7">
            <w:pPr>
              <w:pStyle w:val="naiskr"/>
              <w:tabs>
                <w:tab w:val="left" w:pos="2628"/>
              </w:tabs>
              <w:spacing w:before="0" w:after="0"/>
              <w:jc w:val="both"/>
              <w:rPr>
                <w:iCs/>
                <w:color w:val="000000"/>
              </w:rPr>
            </w:pPr>
            <w:r w:rsidRPr="002546D4">
              <w:rPr>
                <w:iCs/>
                <w:color w:val="000000"/>
              </w:rPr>
              <w:lastRenderedPageBreak/>
              <w:t>2.</w:t>
            </w:r>
          </w:p>
        </w:tc>
        <w:tc>
          <w:tcPr>
            <w:tcW w:w="3037" w:type="dxa"/>
          </w:tcPr>
          <w:p w:rsidR="00A82AC7" w:rsidRPr="002546D4" w:rsidRDefault="00A82AC7" w:rsidP="00A82AC7">
            <w:pPr>
              <w:pStyle w:val="naiskr"/>
              <w:tabs>
                <w:tab w:val="left" w:pos="2628"/>
              </w:tabs>
              <w:spacing w:before="0" w:after="0"/>
              <w:jc w:val="both"/>
              <w:rPr>
                <w:iCs/>
                <w:color w:val="000000"/>
              </w:rPr>
            </w:pPr>
            <w:r w:rsidRPr="002546D4">
              <w:rPr>
                <w:color w:val="000000"/>
                <w:sz w:val="22"/>
                <w:szCs w:val="22"/>
              </w:rPr>
              <w:t>Cita informācija</w:t>
            </w:r>
          </w:p>
        </w:tc>
        <w:tc>
          <w:tcPr>
            <w:tcW w:w="6014" w:type="dxa"/>
          </w:tcPr>
          <w:p w:rsidR="00A82AC7" w:rsidRPr="002546D4" w:rsidRDefault="00A82AC7" w:rsidP="00A82AC7">
            <w:pPr>
              <w:pStyle w:val="naiskr"/>
              <w:tabs>
                <w:tab w:val="left" w:pos="2628"/>
              </w:tabs>
              <w:spacing w:before="0" w:after="0"/>
              <w:jc w:val="both"/>
              <w:rPr>
                <w:iCs/>
                <w:color w:val="000000"/>
              </w:rPr>
            </w:pPr>
            <w:r w:rsidRPr="002546D4">
              <w:rPr>
                <w:iCs/>
                <w:color w:val="000000"/>
              </w:rPr>
              <w:t>Nav</w:t>
            </w:r>
          </w:p>
        </w:tc>
      </w:tr>
    </w:tbl>
    <w:p w:rsidR="007E41D8" w:rsidRDefault="007E41D8" w:rsidP="008B0DFB"/>
    <w:p w:rsidR="007E41D8" w:rsidRDefault="007E41D8" w:rsidP="008B0DFB"/>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1"/>
        <w:gridCol w:w="3885"/>
        <w:gridCol w:w="4576"/>
      </w:tblGrid>
      <w:tr w:rsidR="0006328F" w:rsidRPr="009A3C4B" w:rsidTr="0006328F">
        <w:trPr>
          <w:tblCellSpacing w:w="0" w:type="dxa"/>
        </w:trPr>
        <w:tc>
          <w:tcPr>
            <w:tcW w:w="9782" w:type="dxa"/>
            <w:gridSpan w:val="3"/>
            <w:tcBorders>
              <w:top w:val="single" w:sz="4" w:space="0" w:color="auto"/>
              <w:left w:val="single" w:sz="4" w:space="0" w:color="auto"/>
              <w:bottom w:val="outset" w:sz="6" w:space="0" w:color="auto"/>
              <w:right w:val="single" w:sz="4" w:space="0" w:color="auto"/>
            </w:tcBorders>
            <w:hideMark/>
          </w:tcPr>
          <w:p w:rsidR="0006328F" w:rsidRPr="009A3C4B" w:rsidRDefault="0006328F" w:rsidP="0006328F">
            <w:pPr>
              <w:spacing w:before="150" w:after="150"/>
              <w:jc w:val="center"/>
              <w:rPr>
                <w:b/>
                <w:bCs/>
              </w:rPr>
            </w:pPr>
            <w:r w:rsidRPr="009A3C4B">
              <w:rPr>
                <w:b/>
                <w:bCs/>
              </w:rPr>
              <w:t> V. Tiesību akta projekta atbilstība Latvijas Republikas starptautiskajām saistībām</w:t>
            </w:r>
          </w:p>
        </w:tc>
      </w:tr>
      <w:tr w:rsidR="0006328F" w:rsidRPr="009A3C4B" w:rsidTr="0006328F">
        <w:trPr>
          <w:tblCellSpacing w:w="0" w:type="dxa"/>
        </w:trPr>
        <w:tc>
          <w:tcPr>
            <w:tcW w:w="1321" w:type="dxa"/>
            <w:tcBorders>
              <w:top w:val="outset" w:sz="6" w:space="0" w:color="auto"/>
              <w:left w:val="single" w:sz="4" w:space="0" w:color="auto"/>
              <w:bottom w:val="outset" w:sz="6" w:space="0" w:color="auto"/>
              <w:right w:val="outset" w:sz="6" w:space="0" w:color="auto"/>
            </w:tcBorders>
            <w:hideMark/>
          </w:tcPr>
          <w:p w:rsidR="0006328F" w:rsidRPr="009A3C4B" w:rsidRDefault="0006328F" w:rsidP="0006328F">
            <w:pPr>
              <w:spacing w:before="75" w:after="75"/>
            </w:pPr>
            <w:r w:rsidRPr="009A3C4B">
              <w:t> 1.</w:t>
            </w:r>
          </w:p>
        </w:tc>
        <w:tc>
          <w:tcPr>
            <w:tcW w:w="3885" w:type="dxa"/>
            <w:tcBorders>
              <w:top w:val="outset" w:sz="6" w:space="0" w:color="auto"/>
              <w:left w:val="outset" w:sz="6" w:space="0" w:color="auto"/>
              <w:bottom w:val="outset" w:sz="6" w:space="0" w:color="auto"/>
              <w:right w:val="outset" w:sz="6" w:space="0" w:color="auto"/>
            </w:tcBorders>
            <w:hideMark/>
          </w:tcPr>
          <w:p w:rsidR="0006328F" w:rsidRPr="009A3C4B" w:rsidRDefault="0006328F" w:rsidP="0006328F">
            <w:pPr>
              <w:spacing w:before="75" w:after="75"/>
            </w:pPr>
            <w:r w:rsidRPr="009A3C4B">
              <w:t> Saistības pret Eiropas Savienību</w:t>
            </w:r>
          </w:p>
        </w:tc>
        <w:tc>
          <w:tcPr>
            <w:tcW w:w="4576" w:type="dxa"/>
            <w:tcBorders>
              <w:top w:val="outset" w:sz="6" w:space="0" w:color="auto"/>
              <w:left w:val="outset" w:sz="6" w:space="0" w:color="auto"/>
              <w:bottom w:val="outset" w:sz="6" w:space="0" w:color="auto"/>
              <w:right w:val="single" w:sz="4" w:space="0" w:color="auto"/>
            </w:tcBorders>
            <w:vAlign w:val="center"/>
            <w:hideMark/>
          </w:tcPr>
          <w:p w:rsidR="00C336E5" w:rsidRPr="00DD3527" w:rsidRDefault="00107B83" w:rsidP="0006328F">
            <w:pPr>
              <w:spacing w:before="75" w:after="75"/>
              <w:jc w:val="both"/>
            </w:pPr>
            <w:r>
              <w:t xml:space="preserve">1. </w:t>
            </w:r>
            <w:r w:rsidR="00C336E5" w:rsidRPr="00281848">
              <w:t>Eiropas Parlamenta un Padomes 2004.gada 31.marta Regula (EK) Nr</w:t>
            </w:r>
            <w:r w:rsidR="00C336E5" w:rsidRPr="00DD3527">
              <w:t xml:space="preserve">. </w:t>
            </w:r>
            <w:hyperlink r:id="rId8" w:tgtFrame="_blank" w:tooltip="Atvērt regulas konsolidēto versiju" w:history="1">
              <w:r w:rsidR="00C336E5" w:rsidRPr="00DD3527">
                <w:rPr>
                  <w:rStyle w:val="Hipersaite"/>
                  <w:color w:val="auto"/>
                </w:rPr>
                <w:t>726/2004</w:t>
              </w:r>
            </w:hyperlink>
            <w:r w:rsidR="00C336E5" w:rsidRPr="00DD3527">
              <w:t>, ar ko nosaka cilvēkiem paredzēto un veterināro zāļu reģistrēšanas un uzraudzības Kopienas procedūras un izveido Eiropas Zāļu aģentūru</w:t>
            </w:r>
            <w:r w:rsidR="00281848" w:rsidRPr="00DD3527">
              <w:t>;</w:t>
            </w:r>
          </w:p>
          <w:p w:rsidR="00C336E5" w:rsidRPr="00DD3527" w:rsidRDefault="00C336E5" w:rsidP="0006328F">
            <w:pPr>
              <w:spacing w:before="75" w:after="75"/>
              <w:jc w:val="both"/>
            </w:pPr>
            <w:r w:rsidRPr="00DD3527">
              <w:t xml:space="preserve">2. Eiropas Parlamenta un Padomes 2006.gada 12.decembra Regula (EK) Nr. </w:t>
            </w:r>
            <w:hyperlink r:id="rId9" w:tgtFrame="_blank" w:tooltip="Atvērt regulas konsolidēto versiju" w:history="1">
              <w:r w:rsidRPr="00DD3527">
                <w:rPr>
                  <w:rStyle w:val="Hipersaite"/>
                  <w:color w:val="auto"/>
                </w:rPr>
                <w:t>1901/2006</w:t>
              </w:r>
            </w:hyperlink>
            <w:r w:rsidRPr="00DD3527">
              <w:t xml:space="preserve"> par pediatrijā lietojamām zālēm un par grozījumiem Regulā (EEK) Nr. </w:t>
            </w:r>
            <w:hyperlink r:id="rId10" w:tgtFrame="_blank" w:tooltip="Atvērt regulas konsolidēto versiju" w:history="1">
              <w:r w:rsidRPr="00DD3527">
                <w:rPr>
                  <w:rStyle w:val="Hipersaite"/>
                  <w:color w:val="auto"/>
                </w:rPr>
                <w:t>1768/92</w:t>
              </w:r>
            </w:hyperlink>
            <w:r w:rsidRPr="00DD3527">
              <w:t xml:space="preserve">, Direktīvā </w:t>
            </w:r>
            <w:hyperlink r:id="rId11" w:tgtFrame="_blank" w:tooltip="Atvērt direktīvas konsolidēto versiju" w:history="1">
              <w:r w:rsidRPr="00DD3527">
                <w:rPr>
                  <w:rStyle w:val="Hipersaite"/>
                  <w:color w:val="auto"/>
                </w:rPr>
                <w:t>2001/20/EK</w:t>
              </w:r>
            </w:hyperlink>
            <w:r w:rsidRPr="00DD3527">
              <w:t xml:space="preserve">, Direktīvā </w:t>
            </w:r>
            <w:hyperlink r:id="rId12" w:tgtFrame="_blank" w:tooltip="Atvērt direktīvas konsolidēto versiju" w:history="1">
              <w:r w:rsidRPr="00DD3527">
                <w:rPr>
                  <w:rStyle w:val="Hipersaite"/>
                  <w:color w:val="auto"/>
                </w:rPr>
                <w:t>2001/83/EK</w:t>
              </w:r>
            </w:hyperlink>
            <w:r w:rsidRPr="00DD3527">
              <w:t xml:space="preserve"> un Regulā (EK) Nr. </w:t>
            </w:r>
            <w:hyperlink r:id="rId13" w:tgtFrame="_blank" w:tooltip="Atvērt regulas konsolidēto versiju" w:history="1">
              <w:r w:rsidRPr="00DD3527">
                <w:rPr>
                  <w:rStyle w:val="Hipersaite"/>
                  <w:color w:val="auto"/>
                </w:rPr>
                <w:t>726/2004</w:t>
              </w:r>
            </w:hyperlink>
            <w:r w:rsidR="00281848" w:rsidRPr="00DD3527">
              <w:t>;</w:t>
            </w:r>
          </w:p>
          <w:p w:rsidR="0006328F" w:rsidRPr="00DD3527" w:rsidRDefault="00C336E5" w:rsidP="0006328F">
            <w:pPr>
              <w:spacing w:before="75" w:after="75"/>
              <w:jc w:val="both"/>
            </w:pPr>
            <w:r w:rsidRPr="00DD3527">
              <w:t>3</w:t>
            </w:r>
            <w:r w:rsidR="00281848" w:rsidRPr="00DD3527">
              <w:t xml:space="preserve">. Eiropas Parlamenta un Padomes 2007.gada 13.novembra Regula (EK) Nr. </w:t>
            </w:r>
            <w:hyperlink r:id="rId14" w:tgtFrame="_blank" w:tooltip="Atvērt regulas konsolidēto versiju" w:history="1">
              <w:r w:rsidR="00281848" w:rsidRPr="00DD3527">
                <w:rPr>
                  <w:rStyle w:val="Hipersaite"/>
                  <w:color w:val="auto"/>
                </w:rPr>
                <w:t>1394/2007</w:t>
              </w:r>
            </w:hyperlink>
            <w:r w:rsidR="00281848" w:rsidRPr="00DD3527">
              <w:t xml:space="preserve"> par uzlabotas terapijas zālēm, un ar ko groza Direktīvu </w:t>
            </w:r>
            <w:hyperlink r:id="rId15" w:tgtFrame="_blank" w:tooltip="Atvērt direktīvas konsolidēto versiju" w:history="1">
              <w:r w:rsidR="00281848" w:rsidRPr="00DD3527">
                <w:rPr>
                  <w:rStyle w:val="Hipersaite"/>
                  <w:color w:val="auto"/>
                </w:rPr>
                <w:t>2001/83/EK</w:t>
              </w:r>
            </w:hyperlink>
            <w:r w:rsidR="00281848" w:rsidRPr="00DD3527">
              <w:t xml:space="preserve"> un Regulu (EK) Nr. </w:t>
            </w:r>
            <w:hyperlink r:id="rId16" w:tgtFrame="_blank" w:tooltip="Atvērt regulas konsolidēto versiju" w:history="1">
              <w:r w:rsidR="00281848" w:rsidRPr="00DD3527">
                <w:rPr>
                  <w:rStyle w:val="Hipersaite"/>
                  <w:color w:val="auto"/>
                </w:rPr>
                <w:t>726/2004</w:t>
              </w:r>
            </w:hyperlink>
            <w:r w:rsidR="00281848" w:rsidRPr="00DD3527">
              <w:t>;</w:t>
            </w:r>
          </w:p>
          <w:p w:rsidR="00281848" w:rsidRPr="00281848" w:rsidRDefault="00281848" w:rsidP="00281848">
            <w:pPr>
              <w:jc w:val="both"/>
            </w:pPr>
            <w:r w:rsidRPr="00DD3527">
              <w:t xml:space="preserve">4. Eiropas Komisijas 2008.gada 24.novembra Regula (EK) Nr. </w:t>
            </w:r>
            <w:hyperlink r:id="rId17" w:tgtFrame="_blank" w:tooltip="Atvērt regulu latviešu valodā" w:history="1">
              <w:r w:rsidRPr="00DD3527">
                <w:rPr>
                  <w:rStyle w:val="Hipersaite"/>
                  <w:color w:val="auto"/>
                </w:rPr>
                <w:t>1234/2008</w:t>
              </w:r>
            </w:hyperlink>
            <w:r w:rsidRPr="00DD3527">
              <w:t xml:space="preserve"> par</w:t>
            </w:r>
            <w:r w:rsidRPr="00281848">
              <w:t xml:space="preserve"> izmaiņu izskatīšanu cilvēkiem paredzētu zāļu un veterināro zāļu tirdzniecības atļauju nosacījumos;</w:t>
            </w:r>
          </w:p>
          <w:p w:rsidR="00281848" w:rsidRPr="00281848" w:rsidRDefault="00281848" w:rsidP="0006328F">
            <w:pPr>
              <w:spacing w:before="75" w:after="75"/>
              <w:jc w:val="both"/>
              <w:rPr>
                <w:color w:val="000000"/>
              </w:rPr>
            </w:pPr>
            <w:r w:rsidRPr="00281848">
              <w:t xml:space="preserve">5. </w:t>
            </w:r>
            <w:r w:rsidRPr="00281848">
              <w:rPr>
                <w:color w:val="000000"/>
              </w:rPr>
              <w:t xml:space="preserve">Eiropas Parlamenta un Padomes 2010.gada 15.decembra Regula (ES) Nr. 1235/2010, ar kuru attiecībā uz cilvēkiem paredzēto zāļu </w:t>
            </w:r>
            <w:proofErr w:type="spellStart"/>
            <w:r w:rsidRPr="00281848">
              <w:rPr>
                <w:color w:val="000000"/>
              </w:rPr>
              <w:t>farmakovigilanci</w:t>
            </w:r>
            <w:proofErr w:type="spellEnd"/>
            <w:r w:rsidRPr="00281848">
              <w:rPr>
                <w:color w:val="000000"/>
              </w:rPr>
              <w:t xml:space="preserve"> groza Regulu (EK) Nr. 726/2004, ar ko nosaka cilvēkiem paredzēto un veterināro zāļu reģistrēšanas un uzraudzības Kopienas procedūras un izveido Eiropas Zāļu aģentūru, un Regulu (EK) Nr. 1394/2007 par uzlabotas terapijas zālēm</w:t>
            </w:r>
            <w:r>
              <w:rPr>
                <w:color w:val="000000"/>
              </w:rPr>
              <w:t>;</w:t>
            </w:r>
          </w:p>
          <w:p w:rsidR="00281848" w:rsidRPr="009A3C4B" w:rsidRDefault="002964ED" w:rsidP="0006328F">
            <w:pPr>
              <w:spacing w:before="75" w:after="75"/>
              <w:jc w:val="both"/>
            </w:pPr>
            <w:r>
              <w:rPr>
                <w:color w:val="000000"/>
              </w:rPr>
              <w:t>6</w:t>
            </w:r>
            <w:r w:rsidR="00281848" w:rsidRPr="00281848">
              <w:rPr>
                <w:color w:val="000000"/>
              </w:rPr>
              <w:t xml:space="preserve">. </w:t>
            </w:r>
            <w:r w:rsidR="00281848" w:rsidRPr="00281848">
              <w:t xml:space="preserve">Eiropas </w:t>
            </w:r>
            <w:r w:rsidR="00281848" w:rsidRPr="00281848">
              <w:rPr>
                <w:rFonts w:ascii="Tms Rmn" w:hAnsi="Tms Rmn" w:cs="Tms Rmn"/>
                <w:color w:val="000000"/>
              </w:rPr>
              <w:t xml:space="preserve">Komisijas 2012. gada 19. jūnija Īstenošanas regula (ES) Nr. 520/2012 par Eiropas Parlamenta un Padomes Regulā (EK) Nr. 726/2004 un Eiropas Parlamenta un Padomes Direktīvā 2001/83/EK noteikto </w:t>
            </w:r>
            <w:proofErr w:type="spellStart"/>
            <w:r w:rsidR="00281848" w:rsidRPr="00281848">
              <w:rPr>
                <w:rFonts w:ascii="Tms Rmn" w:hAnsi="Tms Rmn" w:cs="Tms Rmn"/>
                <w:color w:val="000000"/>
              </w:rPr>
              <w:t>farmakovigilances</w:t>
            </w:r>
            <w:proofErr w:type="spellEnd"/>
            <w:r w:rsidR="00281848" w:rsidRPr="00281848">
              <w:rPr>
                <w:rFonts w:ascii="Tms Rmn" w:hAnsi="Tms Rmn" w:cs="Tms Rmn"/>
                <w:color w:val="000000"/>
              </w:rPr>
              <w:t xml:space="preserve"> darbību izpildi</w:t>
            </w:r>
            <w:r w:rsidR="00281848">
              <w:rPr>
                <w:rFonts w:ascii="Tms Rmn" w:hAnsi="Tms Rmn" w:cs="Tms Rmn"/>
                <w:color w:val="000000"/>
              </w:rPr>
              <w:t>.</w:t>
            </w:r>
          </w:p>
        </w:tc>
      </w:tr>
      <w:tr w:rsidR="0006328F" w:rsidRPr="009A3C4B" w:rsidTr="0006328F">
        <w:trPr>
          <w:tblCellSpacing w:w="0" w:type="dxa"/>
        </w:trPr>
        <w:tc>
          <w:tcPr>
            <w:tcW w:w="1321" w:type="dxa"/>
            <w:tcBorders>
              <w:top w:val="outset" w:sz="6" w:space="0" w:color="auto"/>
              <w:left w:val="single" w:sz="4" w:space="0" w:color="auto"/>
              <w:bottom w:val="outset" w:sz="6" w:space="0" w:color="auto"/>
              <w:right w:val="outset" w:sz="6" w:space="0" w:color="auto"/>
            </w:tcBorders>
            <w:hideMark/>
          </w:tcPr>
          <w:p w:rsidR="0006328F" w:rsidRPr="009A3C4B" w:rsidRDefault="0006328F" w:rsidP="0006328F">
            <w:pPr>
              <w:spacing w:before="75" w:after="75"/>
            </w:pPr>
            <w:r w:rsidRPr="009A3C4B">
              <w:lastRenderedPageBreak/>
              <w:t> 2.</w:t>
            </w:r>
          </w:p>
        </w:tc>
        <w:tc>
          <w:tcPr>
            <w:tcW w:w="3885" w:type="dxa"/>
            <w:tcBorders>
              <w:top w:val="outset" w:sz="6" w:space="0" w:color="auto"/>
              <w:left w:val="outset" w:sz="6" w:space="0" w:color="auto"/>
              <w:bottom w:val="outset" w:sz="6" w:space="0" w:color="auto"/>
              <w:right w:val="outset" w:sz="6" w:space="0" w:color="auto"/>
            </w:tcBorders>
            <w:hideMark/>
          </w:tcPr>
          <w:p w:rsidR="0006328F" w:rsidRPr="009A3C4B" w:rsidRDefault="0006328F" w:rsidP="0006328F">
            <w:pPr>
              <w:spacing w:before="75" w:after="75"/>
            </w:pPr>
            <w:r w:rsidRPr="009A3C4B">
              <w:t> Citas starptautiskās saistības</w:t>
            </w:r>
          </w:p>
        </w:tc>
        <w:tc>
          <w:tcPr>
            <w:tcW w:w="4576" w:type="dxa"/>
            <w:tcBorders>
              <w:top w:val="outset" w:sz="6" w:space="0" w:color="auto"/>
              <w:left w:val="outset" w:sz="6" w:space="0" w:color="auto"/>
              <w:bottom w:val="outset" w:sz="6" w:space="0" w:color="auto"/>
              <w:right w:val="single" w:sz="4" w:space="0" w:color="auto"/>
            </w:tcBorders>
            <w:hideMark/>
          </w:tcPr>
          <w:p w:rsidR="00CD0952" w:rsidRPr="00CD0952" w:rsidRDefault="00CD0952" w:rsidP="00CD0952">
            <w:pPr>
              <w:spacing w:before="75" w:after="75"/>
            </w:pPr>
            <w:r w:rsidRPr="00CD0952">
              <w:t>Noteikumu projekts šo jautājumu neskar</w:t>
            </w:r>
          </w:p>
          <w:p w:rsidR="0006328F" w:rsidRPr="003220E9" w:rsidRDefault="0006328F" w:rsidP="0006328F">
            <w:pPr>
              <w:spacing w:before="75" w:after="75"/>
              <w:rPr>
                <w:i/>
              </w:rPr>
            </w:pPr>
          </w:p>
        </w:tc>
      </w:tr>
      <w:tr w:rsidR="0006328F" w:rsidRPr="009A3C4B" w:rsidTr="0006328F">
        <w:trPr>
          <w:tblCellSpacing w:w="0" w:type="dxa"/>
        </w:trPr>
        <w:tc>
          <w:tcPr>
            <w:tcW w:w="1321" w:type="dxa"/>
            <w:tcBorders>
              <w:top w:val="outset" w:sz="6" w:space="0" w:color="auto"/>
              <w:left w:val="single" w:sz="4" w:space="0" w:color="auto"/>
              <w:bottom w:val="single" w:sz="4" w:space="0" w:color="auto"/>
              <w:right w:val="outset" w:sz="6" w:space="0" w:color="auto"/>
            </w:tcBorders>
            <w:hideMark/>
          </w:tcPr>
          <w:p w:rsidR="0006328F" w:rsidRPr="009A3C4B" w:rsidRDefault="0006328F" w:rsidP="0006328F">
            <w:pPr>
              <w:spacing w:before="75" w:after="75"/>
            </w:pPr>
            <w:r w:rsidRPr="009A3C4B">
              <w:t> 3.</w:t>
            </w:r>
          </w:p>
        </w:tc>
        <w:tc>
          <w:tcPr>
            <w:tcW w:w="3885" w:type="dxa"/>
            <w:tcBorders>
              <w:top w:val="outset" w:sz="6" w:space="0" w:color="auto"/>
              <w:left w:val="outset" w:sz="6" w:space="0" w:color="auto"/>
              <w:bottom w:val="single" w:sz="4" w:space="0" w:color="auto"/>
              <w:right w:val="outset" w:sz="6" w:space="0" w:color="auto"/>
            </w:tcBorders>
            <w:hideMark/>
          </w:tcPr>
          <w:p w:rsidR="0006328F" w:rsidRPr="009A3C4B" w:rsidRDefault="0006328F" w:rsidP="0006328F">
            <w:pPr>
              <w:spacing w:before="75" w:after="75"/>
            </w:pPr>
            <w:r w:rsidRPr="009A3C4B">
              <w:t> Cita informācija</w:t>
            </w:r>
          </w:p>
        </w:tc>
        <w:tc>
          <w:tcPr>
            <w:tcW w:w="4576" w:type="dxa"/>
            <w:tcBorders>
              <w:top w:val="outset" w:sz="6" w:space="0" w:color="auto"/>
              <w:left w:val="outset" w:sz="6" w:space="0" w:color="auto"/>
              <w:bottom w:val="single" w:sz="4" w:space="0" w:color="auto"/>
              <w:right w:val="single" w:sz="4" w:space="0" w:color="auto"/>
            </w:tcBorders>
            <w:hideMark/>
          </w:tcPr>
          <w:p w:rsidR="0006328F" w:rsidRPr="009A3C4B" w:rsidRDefault="0006328F" w:rsidP="002964ED">
            <w:pPr>
              <w:spacing w:before="75" w:after="75"/>
              <w:jc w:val="both"/>
            </w:pPr>
            <w:r w:rsidRPr="00CC0A87">
              <w:t xml:space="preserve"> </w:t>
            </w:r>
            <w:r w:rsidR="00CD0952">
              <w:t>Nav</w:t>
            </w:r>
          </w:p>
        </w:tc>
      </w:tr>
    </w:tbl>
    <w:p w:rsidR="0006328F" w:rsidRDefault="0006328F" w:rsidP="0006328F">
      <w:pPr>
        <w:spacing w:before="75" w:after="75"/>
        <w:ind w:firstLine="375"/>
        <w:jc w:val="both"/>
      </w:pPr>
      <w:r w:rsidRPr="009A3C4B">
        <w:t> </w:t>
      </w: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5"/>
        <w:gridCol w:w="1970"/>
        <w:gridCol w:w="2668"/>
        <w:gridCol w:w="3099"/>
      </w:tblGrid>
      <w:tr w:rsidR="0006328F" w:rsidRPr="009A3C4B" w:rsidTr="0006328F">
        <w:trPr>
          <w:trHeight w:val="523"/>
          <w:tblCellSpacing w:w="0" w:type="dxa"/>
        </w:trPr>
        <w:tc>
          <w:tcPr>
            <w:tcW w:w="9782" w:type="dxa"/>
            <w:gridSpan w:val="4"/>
            <w:tcBorders>
              <w:top w:val="single" w:sz="4" w:space="0" w:color="auto"/>
              <w:left w:val="single" w:sz="4" w:space="0" w:color="auto"/>
              <w:bottom w:val="outset" w:sz="6" w:space="0" w:color="auto"/>
              <w:right w:val="single" w:sz="4" w:space="0" w:color="auto"/>
            </w:tcBorders>
            <w:vAlign w:val="center"/>
            <w:hideMark/>
          </w:tcPr>
          <w:p w:rsidR="0006328F" w:rsidRPr="009A3C4B" w:rsidRDefault="0006328F" w:rsidP="0006328F">
            <w:pPr>
              <w:spacing w:before="150" w:after="150"/>
              <w:jc w:val="center"/>
              <w:rPr>
                <w:b/>
                <w:bCs/>
              </w:rPr>
            </w:pPr>
            <w:r w:rsidRPr="009A3C4B">
              <w:rPr>
                <w:b/>
                <w:bCs/>
              </w:rPr>
              <w:t>1.tabula</w:t>
            </w:r>
          </w:p>
          <w:p w:rsidR="0006328F" w:rsidRPr="009A3C4B" w:rsidRDefault="0006328F" w:rsidP="0006328F">
            <w:pPr>
              <w:spacing w:before="150" w:after="150"/>
              <w:jc w:val="center"/>
              <w:rPr>
                <w:b/>
                <w:bCs/>
              </w:rPr>
            </w:pPr>
            <w:r w:rsidRPr="009A3C4B">
              <w:rPr>
                <w:b/>
                <w:bCs/>
              </w:rPr>
              <w:t>Tiesību akta projekta atbilstība ES tiesību aktiem</w:t>
            </w:r>
          </w:p>
        </w:tc>
      </w:tr>
      <w:tr w:rsidR="0006328F" w:rsidRPr="009A3C4B" w:rsidTr="00C32EC4">
        <w:trPr>
          <w:trHeight w:val="1252"/>
          <w:tblCellSpacing w:w="0" w:type="dxa"/>
        </w:trPr>
        <w:tc>
          <w:tcPr>
            <w:tcW w:w="2046" w:type="dxa"/>
            <w:tcBorders>
              <w:top w:val="outset" w:sz="6" w:space="0" w:color="auto"/>
              <w:left w:val="single" w:sz="4" w:space="0" w:color="auto"/>
              <w:bottom w:val="outset" w:sz="6" w:space="0" w:color="auto"/>
              <w:right w:val="outset" w:sz="6" w:space="0" w:color="auto"/>
            </w:tcBorders>
            <w:vAlign w:val="center"/>
            <w:hideMark/>
          </w:tcPr>
          <w:p w:rsidR="0006328F" w:rsidRPr="009A3C4B" w:rsidRDefault="0006328F" w:rsidP="0006328F">
            <w:pPr>
              <w:spacing w:before="75" w:after="75"/>
              <w:jc w:val="center"/>
            </w:pPr>
            <w:r w:rsidRPr="009A3C4B">
              <w:t> Attiecīgā ES tiesību akta datums, numurs un nosaukums</w:t>
            </w:r>
          </w:p>
        </w:tc>
        <w:tc>
          <w:tcPr>
            <w:tcW w:w="7736" w:type="dxa"/>
            <w:gridSpan w:val="3"/>
            <w:tcBorders>
              <w:top w:val="outset" w:sz="6" w:space="0" w:color="auto"/>
              <w:left w:val="outset" w:sz="6" w:space="0" w:color="auto"/>
              <w:bottom w:val="outset" w:sz="6" w:space="0" w:color="auto"/>
              <w:right w:val="single" w:sz="4" w:space="0" w:color="auto"/>
            </w:tcBorders>
            <w:vAlign w:val="center"/>
            <w:hideMark/>
          </w:tcPr>
          <w:p w:rsidR="0006328F" w:rsidRPr="009A3C4B" w:rsidRDefault="0006328F" w:rsidP="0006328F">
            <w:pPr>
              <w:spacing w:before="75" w:after="75"/>
              <w:jc w:val="center"/>
            </w:pPr>
            <w:r w:rsidRPr="009A3C4B">
              <w:t> Aizpilda, ja ar projektu tiek pārņemts vai ieviests vairāk nekā viens ES tiesību akts – jānorāda tā pati informācija, kas prasīta instrukcijas 55.1.apakšpunktā un jau tikusi norādīta arī V sadaļas 1.punkta ietvaros</w:t>
            </w:r>
          </w:p>
        </w:tc>
      </w:tr>
      <w:tr w:rsidR="0006328F" w:rsidRPr="009A3C4B" w:rsidTr="0006328F">
        <w:trPr>
          <w:trHeight w:val="163"/>
          <w:tblCellSpacing w:w="0" w:type="dxa"/>
        </w:trPr>
        <w:tc>
          <w:tcPr>
            <w:tcW w:w="9782" w:type="dxa"/>
            <w:gridSpan w:val="4"/>
            <w:tcBorders>
              <w:top w:val="outset" w:sz="6" w:space="0" w:color="auto"/>
              <w:left w:val="single" w:sz="4" w:space="0" w:color="auto"/>
              <w:bottom w:val="outset" w:sz="6" w:space="0" w:color="auto"/>
              <w:right w:val="single" w:sz="4" w:space="0" w:color="auto"/>
            </w:tcBorders>
            <w:vAlign w:val="center"/>
            <w:hideMark/>
          </w:tcPr>
          <w:p w:rsidR="0006328F" w:rsidRPr="009A3C4B" w:rsidRDefault="0006328F" w:rsidP="0006328F">
            <w:pPr>
              <w:spacing w:before="75" w:after="75" w:line="163" w:lineRule="atLeast"/>
            </w:pPr>
            <w:r w:rsidRPr="009A3C4B">
              <w:t>  </w:t>
            </w:r>
          </w:p>
        </w:tc>
      </w:tr>
      <w:tr w:rsidR="0006328F" w:rsidRPr="009A3C4B" w:rsidTr="00C32EC4">
        <w:trPr>
          <w:trHeight w:val="165"/>
          <w:tblCellSpacing w:w="0" w:type="dxa"/>
        </w:trPr>
        <w:tc>
          <w:tcPr>
            <w:tcW w:w="2046" w:type="dxa"/>
            <w:tcBorders>
              <w:top w:val="outset" w:sz="6" w:space="0" w:color="auto"/>
              <w:left w:val="single" w:sz="4" w:space="0" w:color="auto"/>
              <w:bottom w:val="outset" w:sz="6" w:space="0" w:color="auto"/>
              <w:right w:val="outset" w:sz="6" w:space="0" w:color="auto"/>
            </w:tcBorders>
            <w:vAlign w:val="center"/>
            <w:hideMark/>
          </w:tcPr>
          <w:p w:rsidR="0006328F" w:rsidRPr="009A3C4B" w:rsidRDefault="0006328F" w:rsidP="0006328F">
            <w:pPr>
              <w:spacing w:before="75" w:after="75" w:line="165" w:lineRule="atLeast"/>
              <w:jc w:val="center"/>
            </w:pPr>
            <w:r w:rsidRPr="009A3C4B">
              <w:t> A</w:t>
            </w:r>
          </w:p>
        </w:tc>
        <w:tc>
          <w:tcPr>
            <w:tcW w:w="1957" w:type="dxa"/>
            <w:tcBorders>
              <w:top w:val="outset" w:sz="6" w:space="0" w:color="auto"/>
              <w:left w:val="outset" w:sz="6" w:space="0" w:color="auto"/>
              <w:bottom w:val="outset" w:sz="6" w:space="0" w:color="auto"/>
              <w:right w:val="outset" w:sz="6" w:space="0" w:color="auto"/>
            </w:tcBorders>
            <w:vAlign w:val="center"/>
            <w:hideMark/>
          </w:tcPr>
          <w:p w:rsidR="0006328F" w:rsidRPr="009A3C4B" w:rsidRDefault="0006328F" w:rsidP="0006328F">
            <w:pPr>
              <w:spacing w:before="75" w:after="75" w:line="165" w:lineRule="atLeast"/>
              <w:jc w:val="center"/>
            </w:pPr>
            <w:r w:rsidRPr="009A3C4B">
              <w:t> B</w:t>
            </w:r>
          </w:p>
        </w:tc>
        <w:tc>
          <w:tcPr>
            <w:tcW w:w="2673" w:type="dxa"/>
            <w:tcBorders>
              <w:top w:val="outset" w:sz="6" w:space="0" w:color="auto"/>
              <w:left w:val="outset" w:sz="6" w:space="0" w:color="auto"/>
              <w:bottom w:val="outset" w:sz="6" w:space="0" w:color="auto"/>
              <w:right w:val="outset" w:sz="6" w:space="0" w:color="auto"/>
            </w:tcBorders>
            <w:vAlign w:val="center"/>
            <w:hideMark/>
          </w:tcPr>
          <w:p w:rsidR="0006328F" w:rsidRPr="009A3C4B" w:rsidRDefault="0006328F" w:rsidP="0006328F">
            <w:pPr>
              <w:spacing w:before="75" w:after="75" w:line="165" w:lineRule="atLeast"/>
              <w:jc w:val="center"/>
            </w:pPr>
            <w:r w:rsidRPr="009A3C4B">
              <w:t> C</w:t>
            </w:r>
          </w:p>
        </w:tc>
        <w:tc>
          <w:tcPr>
            <w:tcW w:w="3106" w:type="dxa"/>
            <w:tcBorders>
              <w:top w:val="outset" w:sz="6" w:space="0" w:color="auto"/>
              <w:left w:val="outset" w:sz="6" w:space="0" w:color="auto"/>
              <w:bottom w:val="outset" w:sz="6" w:space="0" w:color="auto"/>
              <w:right w:val="single" w:sz="4" w:space="0" w:color="auto"/>
            </w:tcBorders>
            <w:vAlign w:val="center"/>
            <w:hideMark/>
          </w:tcPr>
          <w:p w:rsidR="0006328F" w:rsidRPr="009A3C4B" w:rsidRDefault="0006328F" w:rsidP="0006328F">
            <w:pPr>
              <w:spacing w:before="75" w:after="75" w:line="165" w:lineRule="atLeast"/>
              <w:jc w:val="center"/>
            </w:pPr>
            <w:r w:rsidRPr="009A3C4B">
              <w:t> D</w:t>
            </w:r>
          </w:p>
        </w:tc>
      </w:tr>
      <w:tr w:rsidR="0006328F" w:rsidRPr="009A3C4B" w:rsidTr="00C32EC4">
        <w:trPr>
          <w:trHeight w:val="4708"/>
          <w:tblCellSpacing w:w="0" w:type="dxa"/>
        </w:trPr>
        <w:tc>
          <w:tcPr>
            <w:tcW w:w="2046" w:type="dxa"/>
            <w:tcBorders>
              <w:top w:val="outset" w:sz="6" w:space="0" w:color="auto"/>
              <w:left w:val="single" w:sz="4" w:space="0" w:color="auto"/>
              <w:bottom w:val="outset" w:sz="6" w:space="0" w:color="auto"/>
              <w:right w:val="outset" w:sz="6" w:space="0" w:color="auto"/>
            </w:tcBorders>
            <w:hideMark/>
          </w:tcPr>
          <w:p w:rsidR="0006328F" w:rsidRDefault="0006328F" w:rsidP="0006328F">
            <w:pPr>
              <w:spacing w:before="75" w:after="75"/>
              <w:rPr>
                <w:i/>
              </w:rPr>
            </w:pPr>
            <w:r w:rsidRPr="009A3C4B">
              <w:t> </w:t>
            </w:r>
            <w:r w:rsidRPr="002B7548">
              <w:rPr>
                <w:i/>
              </w:rPr>
              <w:t>Attiecīgā ES tiesību akta panta numurs (uzskaitot katru tiesību akta</w:t>
            </w:r>
            <w:r w:rsidRPr="002B7548">
              <w:rPr>
                <w:i/>
              </w:rPr>
              <w:br/>
              <w:t>vienību – pantu, daļu, punktu, apakšpunktu)</w:t>
            </w:r>
          </w:p>
          <w:p w:rsidR="0006328F" w:rsidRPr="003211D1" w:rsidRDefault="0006328F" w:rsidP="0006328F">
            <w:pPr>
              <w:spacing w:before="75" w:after="75"/>
              <w:rPr>
                <w:b/>
              </w:rPr>
            </w:pPr>
          </w:p>
        </w:tc>
        <w:tc>
          <w:tcPr>
            <w:tcW w:w="1957" w:type="dxa"/>
            <w:tcBorders>
              <w:top w:val="outset" w:sz="6" w:space="0" w:color="auto"/>
              <w:left w:val="outset" w:sz="6" w:space="0" w:color="auto"/>
              <w:bottom w:val="outset" w:sz="6" w:space="0" w:color="auto"/>
              <w:right w:val="outset" w:sz="6" w:space="0" w:color="auto"/>
            </w:tcBorders>
            <w:hideMark/>
          </w:tcPr>
          <w:p w:rsidR="0006328F" w:rsidRDefault="0006328F" w:rsidP="0006328F">
            <w:pPr>
              <w:spacing w:before="75" w:after="75"/>
            </w:pPr>
            <w:r w:rsidRPr="00D176BF">
              <w:t>Projekta vienība, kas pārņem vai ievieš katru šīs tabulas A ailē minēto ES tiesību akta vienību, vai tiesību akts, kur attiecīgā ES tiesību akta vienība pārņemta vai ieviesta</w:t>
            </w:r>
          </w:p>
          <w:p w:rsidR="0006328F" w:rsidRPr="003211D1" w:rsidRDefault="0006328F" w:rsidP="0006328F">
            <w:pPr>
              <w:spacing w:before="75" w:after="75"/>
              <w:rPr>
                <w:b/>
              </w:rPr>
            </w:pPr>
          </w:p>
        </w:tc>
        <w:tc>
          <w:tcPr>
            <w:tcW w:w="2673" w:type="dxa"/>
            <w:tcBorders>
              <w:top w:val="outset" w:sz="6" w:space="0" w:color="auto"/>
              <w:left w:val="outset" w:sz="6" w:space="0" w:color="auto"/>
              <w:bottom w:val="outset" w:sz="6" w:space="0" w:color="auto"/>
              <w:right w:val="outset" w:sz="6" w:space="0" w:color="auto"/>
            </w:tcBorders>
            <w:hideMark/>
          </w:tcPr>
          <w:p w:rsidR="0006328F" w:rsidRPr="00D176BF" w:rsidRDefault="0006328F" w:rsidP="0006328F">
            <w:r w:rsidRPr="009A3C4B">
              <w:t> </w:t>
            </w:r>
            <w:r w:rsidRPr="00D176BF">
              <w:t xml:space="preserve">Informācija par to, vai šīs tabulas A ailē minētās ES tiesību akta vienības tiek pārņemtas vai ieviestas pilnībā vai daļēji. </w:t>
            </w:r>
          </w:p>
          <w:p w:rsidR="0006328F" w:rsidRPr="00D176BF" w:rsidRDefault="0006328F" w:rsidP="0006328F">
            <w:pPr>
              <w:spacing w:before="75" w:after="75"/>
              <w:ind w:firstLine="375"/>
              <w:jc w:val="both"/>
            </w:pPr>
            <w:r w:rsidRPr="00D176BF">
              <w:t>Ja attiecīgā ES tiesību akta vienība tiek pārņemta vai ieviesta daļēji, sniedz attiecīgu skaidrojumu, kā arī precīzi norāda, kad un kādā veidā ES tiesību akta vienība tiks pārņemta vai ieviesta pilnībā.</w:t>
            </w:r>
          </w:p>
          <w:p w:rsidR="0006328F" w:rsidRPr="003211D1" w:rsidRDefault="0006328F" w:rsidP="0006328F">
            <w:pPr>
              <w:spacing w:before="75" w:after="75"/>
              <w:rPr>
                <w:b/>
              </w:rPr>
            </w:pPr>
            <w:r w:rsidRPr="00D176BF">
              <w:t>Norāda institūciju, kas ir atbildīga par šo saistību izpildi pilnībā</w:t>
            </w:r>
          </w:p>
        </w:tc>
        <w:tc>
          <w:tcPr>
            <w:tcW w:w="3106" w:type="dxa"/>
            <w:tcBorders>
              <w:top w:val="outset" w:sz="6" w:space="0" w:color="auto"/>
              <w:left w:val="outset" w:sz="6" w:space="0" w:color="auto"/>
              <w:bottom w:val="outset" w:sz="6" w:space="0" w:color="auto"/>
              <w:right w:val="single" w:sz="4" w:space="0" w:color="auto"/>
            </w:tcBorders>
            <w:hideMark/>
          </w:tcPr>
          <w:p w:rsidR="0006328F" w:rsidRPr="009A3C4B" w:rsidRDefault="0006328F" w:rsidP="0006328F">
            <w:pPr>
              <w:spacing w:before="75" w:after="75"/>
            </w:pPr>
            <w:r w:rsidRPr="009A3C4B">
              <w:t> Informācija par to, vai šīs tabulas B ailē minētās projekta vienības paredz stingrākas prasības nekā šīs tabulas A ailē minētās ES tiesību akta vienības.</w:t>
            </w:r>
          </w:p>
          <w:p w:rsidR="0006328F" w:rsidRPr="009A3C4B" w:rsidRDefault="0006328F" w:rsidP="0006328F">
            <w:pPr>
              <w:spacing w:before="75" w:after="75"/>
            </w:pPr>
            <w:r w:rsidRPr="009A3C4B">
              <w:t> </w:t>
            </w:r>
          </w:p>
          <w:p w:rsidR="0006328F" w:rsidRPr="009A3C4B" w:rsidRDefault="0006328F" w:rsidP="0006328F">
            <w:pPr>
              <w:spacing w:before="75" w:after="75"/>
            </w:pPr>
            <w:r w:rsidRPr="009A3C4B">
              <w:t>Ja projekts satur stingrākas prasības nekā attiecīgais ES tiesību akts, – norāda pamatojumu un samērīgumu.</w:t>
            </w:r>
          </w:p>
          <w:p w:rsidR="0006328F" w:rsidRPr="009A3C4B" w:rsidRDefault="0006328F" w:rsidP="0006328F">
            <w:pPr>
              <w:spacing w:before="75" w:after="75"/>
            </w:pPr>
            <w:r w:rsidRPr="009A3C4B">
              <w:t> </w:t>
            </w:r>
          </w:p>
          <w:p w:rsidR="0006328F" w:rsidRDefault="0006328F" w:rsidP="0006328F">
            <w:pPr>
              <w:spacing w:before="75" w:after="75"/>
            </w:pPr>
            <w:r w:rsidRPr="009A3C4B">
              <w:t>Norāda iespējamās alternatīvas (t.sk. alternatīvas, kas neparedz tiesiskā regulējuma izstrādi) – kādos gadījumos būtu iespējams izvairīties no stingrāku prasību noteikšanas, nekā paredzēts attiecīgajos ES tiesību aktos</w:t>
            </w:r>
          </w:p>
          <w:p w:rsidR="0006328F" w:rsidRPr="009A3C4B" w:rsidRDefault="0006328F" w:rsidP="0006328F">
            <w:pPr>
              <w:spacing w:before="75" w:after="75"/>
            </w:pPr>
          </w:p>
        </w:tc>
      </w:tr>
      <w:tr w:rsidR="00C32EC4" w:rsidRPr="009A3C4B" w:rsidTr="00C32EC4">
        <w:trPr>
          <w:trHeight w:val="4708"/>
          <w:tblCellSpacing w:w="0" w:type="dxa"/>
        </w:trPr>
        <w:tc>
          <w:tcPr>
            <w:tcW w:w="2046" w:type="dxa"/>
            <w:tcBorders>
              <w:top w:val="outset" w:sz="6" w:space="0" w:color="auto"/>
              <w:left w:val="single" w:sz="4" w:space="0" w:color="auto"/>
              <w:bottom w:val="outset" w:sz="6" w:space="0" w:color="auto"/>
              <w:right w:val="outset" w:sz="6" w:space="0" w:color="auto"/>
            </w:tcBorders>
            <w:hideMark/>
          </w:tcPr>
          <w:p w:rsidR="00C32EC4" w:rsidRPr="003B71C2" w:rsidRDefault="00C32EC4" w:rsidP="00C32EC4">
            <w:pPr>
              <w:spacing w:before="75" w:after="75"/>
              <w:rPr>
                <w:color w:val="000000"/>
              </w:rPr>
            </w:pPr>
            <w:r>
              <w:lastRenderedPageBreak/>
              <w:t xml:space="preserve">1. </w:t>
            </w:r>
            <w:r w:rsidRPr="00281848">
              <w:t xml:space="preserve">Eiropas Parlamenta un Padomes 2004.gada 31.marta Regula (EK) Nr. </w:t>
            </w:r>
            <w:hyperlink r:id="rId18" w:tgtFrame="_blank" w:tooltip="Atvērt regulas konsolidēto versiju" w:history="1">
              <w:r w:rsidRPr="00CD0952">
                <w:rPr>
                  <w:rStyle w:val="Hipersaite"/>
                  <w:b/>
                  <w:color w:val="auto"/>
                  <w:u w:val="none"/>
                </w:rPr>
                <w:t>726/2004</w:t>
              </w:r>
            </w:hyperlink>
            <w:r w:rsidRPr="00CD0952">
              <w:t>,</w:t>
            </w:r>
            <w:r w:rsidRPr="00281848">
              <w:t xml:space="preserve"> ar ko nosaka cilvēkiem paredzēto un veterināro zāļu reģistrēšanas un uzraudzības Kopienas procedūras un izveido Eiropas Zāļu aģentūru</w:t>
            </w:r>
            <w:r w:rsidRPr="003B71C2">
              <w:rPr>
                <w:color w:val="000000"/>
              </w:rPr>
              <w:t xml:space="preserve"> </w:t>
            </w:r>
          </w:p>
          <w:p w:rsidR="00C32EC4" w:rsidRPr="009A3C4B" w:rsidRDefault="00E903C4" w:rsidP="00E903C4">
            <w:pPr>
              <w:spacing w:before="75" w:after="75"/>
            </w:pPr>
            <w:r>
              <w:rPr>
                <w:rFonts w:eastAsia="Calibri"/>
              </w:rPr>
              <w:t xml:space="preserve">5., </w:t>
            </w:r>
            <w:r w:rsidR="00C32EC4" w:rsidRPr="004313EA">
              <w:rPr>
                <w:rFonts w:eastAsia="Calibri"/>
              </w:rPr>
              <w:t>16., 18., 19., 20., 22., 23., 24., 25., 28.,</w:t>
            </w:r>
            <w:r>
              <w:rPr>
                <w:rFonts w:eastAsia="Calibri"/>
              </w:rPr>
              <w:t xml:space="preserve"> 30., </w:t>
            </w:r>
            <w:r w:rsidR="00C32EC4" w:rsidRPr="004313EA">
              <w:rPr>
                <w:rFonts w:eastAsia="Calibri"/>
              </w:rPr>
              <w:t>41., 43., 44., 45., 47., 48., 49., 50., 53.</w:t>
            </w:r>
            <w:r>
              <w:rPr>
                <w:rFonts w:eastAsia="Calibri"/>
              </w:rPr>
              <w:t xml:space="preserve">, 56., </w:t>
            </w:r>
            <w:r w:rsidRPr="004313EA">
              <w:rPr>
                <w:rFonts w:eastAsia="Calibri"/>
              </w:rPr>
              <w:t>61., 65., 87.</w:t>
            </w:r>
            <w:r w:rsidR="00C32EC4" w:rsidRPr="004313EA">
              <w:rPr>
                <w:rFonts w:eastAsia="Calibri"/>
              </w:rPr>
              <w:t>pants</w:t>
            </w:r>
          </w:p>
        </w:tc>
        <w:tc>
          <w:tcPr>
            <w:tcW w:w="1957" w:type="dxa"/>
            <w:tcBorders>
              <w:top w:val="outset" w:sz="6" w:space="0" w:color="auto"/>
              <w:left w:val="outset" w:sz="6" w:space="0" w:color="auto"/>
              <w:bottom w:val="outset" w:sz="6" w:space="0" w:color="auto"/>
              <w:right w:val="outset" w:sz="6" w:space="0" w:color="auto"/>
            </w:tcBorders>
            <w:hideMark/>
          </w:tcPr>
          <w:p w:rsidR="00CD0952" w:rsidRPr="00C32EC4" w:rsidRDefault="00C32EC4" w:rsidP="00CD0952">
            <w:pPr>
              <w:rPr>
                <w:rFonts w:eastAsia="Calibri"/>
                <w:i/>
              </w:rPr>
            </w:pPr>
            <w:r w:rsidRPr="004313EA">
              <w:rPr>
                <w:rFonts w:eastAsia="Calibri"/>
              </w:rPr>
              <w:t xml:space="preserve">Noteikumu projekta </w:t>
            </w:r>
          </w:p>
          <w:p w:rsidR="00C32EC4" w:rsidRPr="00E903C4" w:rsidRDefault="00E903C4" w:rsidP="00290AD3">
            <w:pPr>
              <w:spacing w:before="75" w:after="75"/>
            </w:pPr>
            <w:r>
              <w:rPr>
                <w:rFonts w:eastAsia="Calibri"/>
              </w:rPr>
              <w:t>3.</w:t>
            </w:r>
            <w:r w:rsidR="00290AD3">
              <w:rPr>
                <w:rFonts w:eastAsia="Calibri"/>
              </w:rPr>
              <w:t>14</w:t>
            </w:r>
            <w:r w:rsidRPr="00E903C4">
              <w:rPr>
                <w:rFonts w:eastAsia="Calibri"/>
              </w:rPr>
              <w:t>.1.</w:t>
            </w:r>
            <w:r w:rsidR="00C32EC4" w:rsidRPr="00E903C4">
              <w:rPr>
                <w:rFonts w:eastAsia="Calibri"/>
              </w:rPr>
              <w:t>apakšpunkts</w:t>
            </w:r>
          </w:p>
        </w:tc>
        <w:tc>
          <w:tcPr>
            <w:tcW w:w="2673" w:type="dxa"/>
            <w:tcBorders>
              <w:top w:val="outset" w:sz="6" w:space="0" w:color="auto"/>
              <w:left w:val="outset" w:sz="6" w:space="0" w:color="auto"/>
              <w:bottom w:val="outset" w:sz="6" w:space="0" w:color="auto"/>
              <w:right w:val="outset" w:sz="6" w:space="0" w:color="auto"/>
            </w:tcBorders>
            <w:hideMark/>
          </w:tcPr>
          <w:p w:rsidR="00C32EC4" w:rsidRPr="003B71C2" w:rsidRDefault="00C32EC4" w:rsidP="00C32EC4">
            <w:pPr>
              <w:spacing w:before="75" w:after="75"/>
            </w:pPr>
            <w:r w:rsidRPr="003B71C2">
              <w:t>Noteikumu projekts pārņem regulu pilnībā</w:t>
            </w:r>
          </w:p>
        </w:tc>
        <w:tc>
          <w:tcPr>
            <w:tcW w:w="3106" w:type="dxa"/>
            <w:tcBorders>
              <w:top w:val="outset" w:sz="6" w:space="0" w:color="auto"/>
              <w:left w:val="outset" w:sz="6" w:space="0" w:color="auto"/>
              <w:bottom w:val="outset" w:sz="6" w:space="0" w:color="auto"/>
              <w:right w:val="single" w:sz="4" w:space="0" w:color="auto"/>
            </w:tcBorders>
            <w:hideMark/>
          </w:tcPr>
          <w:p w:rsidR="00C32EC4" w:rsidRPr="003B71C2" w:rsidRDefault="00C32EC4" w:rsidP="00C32EC4">
            <w:pPr>
              <w:spacing w:before="75" w:after="75"/>
            </w:pPr>
            <w:r w:rsidRPr="003B71C2">
              <w:t>Attiecīgais noteikumu punkts neparedz stingrākas prasības kā ES aktā</w:t>
            </w:r>
          </w:p>
        </w:tc>
      </w:tr>
      <w:tr w:rsidR="00C32EC4" w:rsidRPr="009A3C4B" w:rsidTr="00C32EC4">
        <w:trPr>
          <w:trHeight w:val="4708"/>
          <w:tblCellSpacing w:w="0" w:type="dxa"/>
        </w:trPr>
        <w:tc>
          <w:tcPr>
            <w:tcW w:w="2046" w:type="dxa"/>
            <w:tcBorders>
              <w:top w:val="outset" w:sz="6" w:space="0" w:color="auto"/>
              <w:left w:val="single" w:sz="4" w:space="0" w:color="auto"/>
              <w:bottom w:val="outset" w:sz="6" w:space="0" w:color="auto"/>
              <w:right w:val="outset" w:sz="6" w:space="0" w:color="auto"/>
            </w:tcBorders>
            <w:hideMark/>
          </w:tcPr>
          <w:p w:rsidR="00C32EC4" w:rsidRPr="00CD0952" w:rsidRDefault="00C32EC4" w:rsidP="00C32EC4">
            <w:pPr>
              <w:spacing w:before="75" w:after="75"/>
              <w:jc w:val="both"/>
            </w:pPr>
            <w:r w:rsidRPr="00281848">
              <w:t>2. Eiropas Parlamenta un Padomes 2006.gada 12.decembra Regula (EK) Nr</w:t>
            </w:r>
            <w:r w:rsidRPr="00161849">
              <w:rPr>
                <w:b/>
              </w:rPr>
              <w:t xml:space="preserve">. </w:t>
            </w:r>
            <w:hyperlink r:id="rId19" w:tgtFrame="_blank" w:tooltip="Atvērt regulas konsolidēto versiju" w:history="1">
              <w:r w:rsidRPr="00CD0952">
                <w:rPr>
                  <w:rStyle w:val="Hipersaite"/>
                  <w:b/>
                  <w:color w:val="auto"/>
                  <w:u w:val="none"/>
                </w:rPr>
                <w:t>1901/2006</w:t>
              </w:r>
            </w:hyperlink>
            <w:r w:rsidRPr="00CD0952">
              <w:t xml:space="preserve"> par pediatrijā lietojamām zālēm un par grozījumiem Regulā (EEK) Nr. </w:t>
            </w:r>
            <w:hyperlink r:id="rId20" w:tgtFrame="_blank" w:tooltip="Atvērt regulas konsolidēto versiju" w:history="1">
              <w:r w:rsidRPr="00CD0952">
                <w:rPr>
                  <w:rStyle w:val="Hipersaite"/>
                  <w:color w:val="auto"/>
                  <w:u w:val="none"/>
                </w:rPr>
                <w:t>1768/92</w:t>
              </w:r>
            </w:hyperlink>
            <w:r w:rsidRPr="00CD0952">
              <w:t xml:space="preserve">, Direktīvā </w:t>
            </w:r>
            <w:hyperlink r:id="rId21" w:tgtFrame="_blank" w:tooltip="Atvērt direktīvas konsolidēto versiju" w:history="1">
              <w:r w:rsidRPr="00CD0952">
                <w:rPr>
                  <w:rStyle w:val="Hipersaite"/>
                  <w:color w:val="auto"/>
                  <w:u w:val="none"/>
                </w:rPr>
                <w:t>2001/20/EK</w:t>
              </w:r>
            </w:hyperlink>
            <w:r w:rsidRPr="00CD0952">
              <w:t xml:space="preserve">, Direktīvā </w:t>
            </w:r>
            <w:hyperlink r:id="rId22" w:tgtFrame="_blank" w:tooltip="Atvērt direktīvas konsolidēto versiju" w:history="1">
              <w:r w:rsidRPr="00CD0952">
                <w:rPr>
                  <w:rStyle w:val="Hipersaite"/>
                  <w:color w:val="auto"/>
                  <w:u w:val="none"/>
                </w:rPr>
                <w:t>2001/83/EK</w:t>
              </w:r>
            </w:hyperlink>
            <w:r w:rsidRPr="00CD0952">
              <w:t xml:space="preserve"> un Regulā (EK) Nr. </w:t>
            </w:r>
            <w:hyperlink r:id="rId23" w:tgtFrame="_blank" w:tooltip="Atvērt regulas konsolidēto versiju" w:history="1">
              <w:r w:rsidRPr="00CD0952">
                <w:rPr>
                  <w:rStyle w:val="Hipersaite"/>
                  <w:color w:val="auto"/>
                  <w:u w:val="none"/>
                </w:rPr>
                <w:t>726/2004</w:t>
              </w:r>
            </w:hyperlink>
            <w:r w:rsidRPr="00CD0952">
              <w:t>.</w:t>
            </w:r>
          </w:p>
          <w:p w:rsidR="00C32EC4" w:rsidRPr="009A3C4B" w:rsidRDefault="00C32EC4" w:rsidP="00161849">
            <w:pPr>
              <w:spacing w:before="75" w:after="75"/>
            </w:pPr>
            <w:r w:rsidRPr="004313EA">
              <w:rPr>
                <w:rFonts w:eastAsia="Calibri"/>
                <w:bCs/>
              </w:rPr>
              <w:t>23., 24., 28., 34., 41., 45., 46.pants</w:t>
            </w:r>
          </w:p>
        </w:tc>
        <w:tc>
          <w:tcPr>
            <w:tcW w:w="1957" w:type="dxa"/>
            <w:tcBorders>
              <w:top w:val="outset" w:sz="6" w:space="0" w:color="auto"/>
              <w:left w:val="outset" w:sz="6" w:space="0" w:color="auto"/>
              <w:bottom w:val="outset" w:sz="6" w:space="0" w:color="auto"/>
              <w:right w:val="outset" w:sz="6" w:space="0" w:color="auto"/>
            </w:tcBorders>
            <w:hideMark/>
          </w:tcPr>
          <w:p w:rsidR="00CD0952" w:rsidRPr="004313EA" w:rsidRDefault="00767DD8" w:rsidP="00CD0952">
            <w:pPr>
              <w:rPr>
                <w:rFonts w:eastAsia="Calibri"/>
              </w:rPr>
            </w:pPr>
            <w:r w:rsidRPr="004313EA">
              <w:rPr>
                <w:rFonts w:eastAsia="Calibri"/>
              </w:rPr>
              <w:t xml:space="preserve">Noteikumu projekta </w:t>
            </w:r>
          </w:p>
          <w:p w:rsidR="00C32EC4" w:rsidRPr="009A3C4B" w:rsidRDefault="00E903C4" w:rsidP="00290AD3">
            <w:pPr>
              <w:spacing w:before="75" w:after="75"/>
            </w:pPr>
            <w:r>
              <w:rPr>
                <w:rFonts w:eastAsia="Calibri"/>
              </w:rPr>
              <w:t>3</w:t>
            </w:r>
            <w:r w:rsidR="00767DD8" w:rsidRPr="004313EA">
              <w:rPr>
                <w:rFonts w:eastAsia="Calibri"/>
              </w:rPr>
              <w:t>.</w:t>
            </w:r>
            <w:r w:rsidR="00290AD3">
              <w:rPr>
                <w:rFonts w:eastAsia="Calibri"/>
              </w:rPr>
              <w:t>14</w:t>
            </w:r>
            <w:r>
              <w:rPr>
                <w:rFonts w:eastAsia="Calibri"/>
              </w:rPr>
              <w:t>.2</w:t>
            </w:r>
            <w:r w:rsidR="00767DD8" w:rsidRPr="004313EA">
              <w:rPr>
                <w:rFonts w:eastAsia="Calibri"/>
              </w:rPr>
              <w:t>.apakšpunkts</w:t>
            </w:r>
          </w:p>
        </w:tc>
        <w:tc>
          <w:tcPr>
            <w:tcW w:w="2673" w:type="dxa"/>
            <w:tcBorders>
              <w:top w:val="outset" w:sz="6" w:space="0" w:color="auto"/>
              <w:left w:val="outset" w:sz="6" w:space="0" w:color="auto"/>
              <w:bottom w:val="outset" w:sz="6" w:space="0" w:color="auto"/>
              <w:right w:val="outset" w:sz="6" w:space="0" w:color="auto"/>
            </w:tcBorders>
            <w:hideMark/>
          </w:tcPr>
          <w:p w:rsidR="00C32EC4" w:rsidRPr="003B71C2" w:rsidRDefault="00C32EC4" w:rsidP="0006328F">
            <w:pPr>
              <w:spacing w:before="75" w:after="75"/>
            </w:pPr>
            <w:r w:rsidRPr="003B71C2">
              <w:t>Noteikumu projekts pārņem regulu pilnībā</w:t>
            </w:r>
          </w:p>
        </w:tc>
        <w:tc>
          <w:tcPr>
            <w:tcW w:w="3106" w:type="dxa"/>
            <w:tcBorders>
              <w:top w:val="outset" w:sz="6" w:space="0" w:color="auto"/>
              <w:left w:val="outset" w:sz="6" w:space="0" w:color="auto"/>
              <w:bottom w:val="outset" w:sz="6" w:space="0" w:color="auto"/>
              <w:right w:val="single" w:sz="4" w:space="0" w:color="auto"/>
            </w:tcBorders>
            <w:hideMark/>
          </w:tcPr>
          <w:p w:rsidR="00C32EC4" w:rsidRPr="003B71C2" w:rsidRDefault="00C32EC4" w:rsidP="0006328F">
            <w:pPr>
              <w:spacing w:before="75" w:after="75"/>
            </w:pPr>
            <w:r w:rsidRPr="003B71C2">
              <w:t>Attiecīgais noteikumu punkts neparedz stingrākas prasības kā ES aktā</w:t>
            </w:r>
          </w:p>
        </w:tc>
      </w:tr>
      <w:tr w:rsidR="00C32EC4" w:rsidRPr="009A3C4B" w:rsidTr="00C32EC4">
        <w:trPr>
          <w:trHeight w:val="4708"/>
          <w:tblCellSpacing w:w="0" w:type="dxa"/>
        </w:trPr>
        <w:tc>
          <w:tcPr>
            <w:tcW w:w="2046" w:type="dxa"/>
            <w:tcBorders>
              <w:top w:val="outset" w:sz="6" w:space="0" w:color="auto"/>
              <w:left w:val="single" w:sz="4" w:space="0" w:color="auto"/>
              <w:bottom w:val="outset" w:sz="6" w:space="0" w:color="auto"/>
              <w:right w:val="outset" w:sz="6" w:space="0" w:color="auto"/>
            </w:tcBorders>
            <w:hideMark/>
          </w:tcPr>
          <w:p w:rsidR="00C32EC4" w:rsidRPr="00CD0952" w:rsidRDefault="00C32EC4" w:rsidP="00C32EC4">
            <w:pPr>
              <w:spacing w:before="75" w:after="75"/>
            </w:pPr>
            <w:r w:rsidRPr="00281848">
              <w:lastRenderedPageBreak/>
              <w:t>3. Eiropas Parlamenta un Padomes 2007.gada 13.novembra Regula (EK) Nr</w:t>
            </w:r>
            <w:r w:rsidRPr="00CD0952">
              <w:t xml:space="preserve">. </w:t>
            </w:r>
            <w:hyperlink r:id="rId24" w:tgtFrame="_blank" w:tooltip="Atvērt regulas konsolidēto versiju" w:history="1">
              <w:r w:rsidRPr="00CD0952">
                <w:rPr>
                  <w:rStyle w:val="Hipersaite"/>
                  <w:b/>
                  <w:color w:val="auto"/>
                  <w:u w:val="none"/>
                </w:rPr>
                <w:t>1394/2007</w:t>
              </w:r>
            </w:hyperlink>
            <w:r w:rsidRPr="00CD0952">
              <w:t xml:space="preserve"> par uzlabotas terapijas zālēm, un ar ko groza Direktīvu </w:t>
            </w:r>
            <w:hyperlink r:id="rId25" w:tgtFrame="_blank" w:tooltip="Atvērt direktīvas konsolidēto versiju" w:history="1">
              <w:r w:rsidRPr="00CD0952">
                <w:rPr>
                  <w:rStyle w:val="Hipersaite"/>
                  <w:color w:val="auto"/>
                  <w:u w:val="none"/>
                </w:rPr>
                <w:t>2001/83/EK</w:t>
              </w:r>
            </w:hyperlink>
            <w:r w:rsidRPr="00CD0952">
              <w:t xml:space="preserve"> un Regulu (EK) Nr. </w:t>
            </w:r>
            <w:hyperlink r:id="rId26" w:tgtFrame="_blank" w:tooltip="Atvērt regulas konsolidēto versiju" w:history="1">
              <w:r w:rsidRPr="00CD0952">
                <w:rPr>
                  <w:rStyle w:val="Hipersaite"/>
                  <w:color w:val="auto"/>
                  <w:u w:val="none"/>
                </w:rPr>
                <w:t>726/2004</w:t>
              </w:r>
            </w:hyperlink>
          </w:p>
          <w:p w:rsidR="00C32EC4" w:rsidRPr="00281848" w:rsidRDefault="00E903C4" w:rsidP="00C32EC4">
            <w:pPr>
              <w:spacing w:before="75" w:after="75"/>
              <w:jc w:val="both"/>
            </w:pPr>
            <w:r>
              <w:rPr>
                <w:rFonts w:eastAsia="EUAlbertina-Bold-Identity-H"/>
                <w:bCs/>
              </w:rPr>
              <w:t xml:space="preserve">14., </w:t>
            </w:r>
            <w:r w:rsidR="00767DD8" w:rsidRPr="004313EA">
              <w:rPr>
                <w:rFonts w:eastAsia="EUAlbertina-Bold-Identity-H"/>
                <w:bCs/>
              </w:rPr>
              <w:t>20.</w:t>
            </w:r>
            <w:r w:rsidR="00A8575E">
              <w:rPr>
                <w:rFonts w:eastAsia="EUAlbertina-Bold-Identity-H"/>
                <w:bCs/>
              </w:rPr>
              <w:t>,</w:t>
            </w:r>
            <w:r>
              <w:rPr>
                <w:rFonts w:eastAsia="EUAlbertina-Bold-Identity-H"/>
                <w:bCs/>
              </w:rPr>
              <w:t>21., 28.</w:t>
            </w:r>
            <w:r w:rsidR="00767DD8" w:rsidRPr="004313EA">
              <w:rPr>
                <w:rFonts w:eastAsia="EUAlbertina-Bold-Identity-H"/>
                <w:bCs/>
              </w:rPr>
              <w:t>pants</w:t>
            </w:r>
          </w:p>
        </w:tc>
        <w:tc>
          <w:tcPr>
            <w:tcW w:w="1957" w:type="dxa"/>
            <w:tcBorders>
              <w:top w:val="outset" w:sz="6" w:space="0" w:color="auto"/>
              <w:left w:val="outset" w:sz="6" w:space="0" w:color="auto"/>
              <w:bottom w:val="outset" w:sz="6" w:space="0" w:color="auto"/>
              <w:right w:val="outset" w:sz="6" w:space="0" w:color="auto"/>
            </w:tcBorders>
            <w:hideMark/>
          </w:tcPr>
          <w:p w:rsidR="00CD0952" w:rsidRPr="004313EA" w:rsidRDefault="00767DD8" w:rsidP="00CD0952">
            <w:pPr>
              <w:rPr>
                <w:rFonts w:eastAsia="Calibri"/>
              </w:rPr>
            </w:pPr>
            <w:r w:rsidRPr="004313EA">
              <w:rPr>
                <w:rFonts w:eastAsia="Calibri"/>
              </w:rPr>
              <w:t xml:space="preserve">Noteikumu projekta </w:t>
            </w:r>
          </w:p>
          <w:p w:rsidR="00C32EC4" w:rsidRPr="009A3C4B" w:rsidRDefault="00E903C4" w:rsidP="004F3683">
            <w:pPr>
              <w:spacing w:before="75" w:after="75"/>
            </w:pPr>
            <w:r>
              <w:rPr>
                <w:rFonts w:eastAsia="Calibri"/>
              </w:rPr>
              <w:t>3.</w:t>
            </w:r>
            <w:r w:rsidR="00290AD3">
              <w:rPr>
                <w:rFonts w:eastAsia="Calibri"/>
              </w:rPr>
              <w:t>14</w:t>
            </w:r>
            <w:r>
              <w:rPr>
                <w:rFonts w:eastAsia="Calibri"/>
              </w:rPr>
              <w:t>.3.</w:t>
            </w:r>
            <w:r w:rsidR="00767DD8" w:rsidRPr="004313EA">
              <w:rPr>
                <w:rFonts w:eastAsia="Calibri"/>
              </w:rPr>
              <w:t>apakšpunkts</w:t>
            </w:r>
          </w:p>
        </w:tc>
        <w:tc>
          <w:tcPr>
            <w:tcW w:w="2673" w:type="dxa"/>
            <w:tcBorders>
              <w:top w:val="outset" w:sz="6" w:space="0" w:color="auto"/>
              <w:left w:val="outset" w:sz="6" w:space="0" w:color="auto"/>
              <w:bottom w:val="outset" w:sz="6" w:space="0" w:color="auto"/>
              <w:right w:val="outset" w:sz="6" w:space="0" w:color="auto"/>
            </w:tcBorders>
            <w:hideMark/>
          </w:tcPr>
          <w:p w:rsidR="00C32EC4" w:rsidRPr="003B71C2" w:rsidRDefault="00C32EC4" w:rsidP="0006328F">
            <w:pPr>
              <w:spacing w:before="75" w:after="75"/>
            </w:pPr>
            <w:r w:rsidRPr="003B71C2">
              <w:t>Noteikumu projekts pārņem regulu pilnībā</w:t>
            </w:r>
          </w:p>
        </w:tc>
        <w:tc>
          <w:tcPr>
            <w:tcW w:w="3106" w:type="dxa"/>
            <w:tcBorders>
              <w:top w:val="outset" w:sz="6" w:space="0" w:color="auto"/>
              <w:left w:val="outset" w:sz="6" w:space="0" w:color="auto"/>
              <w:bottom w:val="outset" w:sz="6" w:space="0" w:color="auto"/>
              <w:right w:val="single" w:sz="4" w:space="0" w:color="auto"/>
            </w:tcBorders>
            <w:hideMark/>
          </w:tcPr>
          <w:p w:rsidR="00C32EC4" w:rsidRPr="003B71C2" w:rsidRDefault="00C32EC4" w:rsidP="0006328F">
            <w:pPr>
              <w:spacing w:before="75" w:after="75"/>
            </w:pPr>
            <w:r w:rsidRPr="003B71C2">
              <w:t>Attiecīgais noteikumu punkts neparedz stingrākas prasības kā ES aktā</w:t>
            </w:r>
          </w:p>
        </w:tc>
      </w:tr>
      <w:tr w:rsidR="00C32EC4" w:rsidRPr="009A3C4B" w:rsidTr="00C32EC4">
        <w:trPr>
          <w:trHeight w:val="4708"/>
          <w:tblCellSpacing w:w="0" w:type="dxa"/>
        </w:trPr>
        <w:tc>
          <w:tcPr>
            <w:tcW w:w="2046" w:type="dxa"/>
            <w:tcBorders>
              <w:top w:val="outset" w:sz="6" w:space="0" w:color="auto"/>
              <w:left w:val="single" w:sz="4" w:space="0" w:color="auto"/>
              <w:bottom w:val="outset" w:sz="6" w:space="0" w:color="auto"/>
              <w:right w:val="outset" w:sz="6" w:space="0" w:color="auto"/>
            </w:tcBorders>
            <w:hideMark/>
          </w:tcPr>
          <w:p w:rsidR="00C32EC4" w:rsidRDefault="00C32EC4" w:rsidP="00C32EC4">
            <w:pPr>
              <w:spacing w:before="75" w:after="75"/>
            </w:pPr>
            <w:r w:rsidRPr="00281848">
              <w:t xml:space="preserve">4. Eiropas Komisijas 2008.gada 24.novembra Regula (EK) Nr. </w:t>
            </w:r>
            <w:hyperlink r:id="rId27" w:tgtFrame="_blank" w:tooltip="Atvērt regulu latviešu valodā" w:history="1">
              <w:r w:rsidRPr="00CD0952">
                <w:rPr>
                  <w:rStyle w:val="Hipersaite"/>
                  <w:b/>
                  <w:color w:val="auto"/>
                  <w:u w:val="none"/>
                </w:rPr>
                <w:t>1234/2008</w:t>
              </w:r>
            </w:hyperlink>
            <w:r w:rsidRPr="00CD0952">
              <w:t xml:space="preserve"> </w:t>
            </w:r>
            <w:r w:rsidRPr="00281848">
              <w:t>par izmaiņu izskatīšanu cilvēkiem paredzētu zāļu un veterināro zāļu tirdzniecības atļauju nosacījumos</w:t>
            </w:r>
          </w:p>
          <w:p w:rsidR="00C32EC4" w:rsidRPr="00281848" w:rsidRDefault="00767DD8" w:rsidP="00767DD8">
            <w:pPr>
              <w:spacing w:before="75" w:after="75"/>
            </w:pPr>
            <w:r w:rsidRPr="004313EA">
              <w:rPr>
                <w:rFonts w:eastAsia="Calibri"/>
                <w:color w:val="000000"/>
                <w:lang w:eastAsia="en-US"/>
              </w:rPr>
              <w:t>3., 5., 7., 9., 10., 11., 12., 13., 20., 21., 24., 25.pants</w:t>
            </w:r>
          </w:p>
        </w:tc>
        <w:tc>
          <w:tcPr>
            <w:tcW w:w="1957" w:type="dxa"/>
            <w:tcBorders>
              <w:top w:val="outset" w:sz="6" w:space="0" w:color="auto"/>
              <w:left w:val="outset" w:sz="6" w:space="0" w:color="auto"/>
              <w:bottom w:val="outset" w:sz="6" w:space="0" w:color="auto"/>
              <w:right w:val="outset" w:sz="6" w:space="0" w:color="auto"/>
            </w:tcBorders>
            <w:hideMark/>
          </w:tcPr>
          <w:p w:rsidR="00CD0952" w:rsidRPr="004313EA" w:rsidRDefault="006C7919" w:rsidP="00CD0952">
            <w:pPr>
              <w:rPr>
                <w:rFonts w:eastAsia="Calibri"/>
              </w:rPr>
            </w:pPr>
            <w:r w:rsidRPr="004313EA">
              <w:rPr>
                <w:rFonts w:eastAsia="Calibri"/>
              </w:rPr>
              <w:t xml:space="preserve">Noteikumu projekta </w:t>
            </w:r>
          </w:p>
          <w:p w:rsidR="00C32EC4" w:rsidRPr="009A3C4B" w:rsidRDefault="00A8575E" w:rsidP="002E7E6F">
            <w:pPr>
              <w:spacing w:before="75" w:after="75"/>
            </w:pPr>
            <w:r>
              <w:rPr>
                <w:rFonts w:eastAsia="Calibri"/>
              </w:rPr>
              <w:t>3.</w:t>
            </w:r>
            <w:r w:rsidR="00290AD3">
              <w:rPr>
                <w:rFonts w:eastAsia="Calibri"/>
              </w:rPr>
              <w:t>14</w:t>
            </w:r>
            <w:r>
              <w:rPr>
                <w:rFonts w:eastAsia="Calibri"/>
              </w:rPr>
              <w:t>.4</w:t>
            </w:r>
            <w:r w:rsidR="006C7919" w:rsidRPr="004313EA">
              <w:rPr>
                <w:rFonts w:eastAsia="Calibri"/>
              </w:rPr>
              <w:t>.apakšpunkts</w:t>
            </w:r>
          </w:p>
        </w:tc>
        <w:tc>
          <w:tcPr>
            <w:tcW w:w="2673" w:type="dxa"/>
            <w:tcBorders>
              <w:top w:val="outset" w:sz="6" w:space="0" w:color="auto"/>
              <w:left w:val="outset" w:sz="6" w:space="0" w:color="auto"/>
              <w:bottom w:val="outset" w:sz="6" w:space="0" w:color="auto"/>
              <w:right w:val="outset" w:sz="6" w:space="0" w:color="auto"/>
            </w:tcBorders>
            <w:hideMark/>
          </w:tcPr>
          <w:p w:rsidR="00C32EC4" w:rsidRPr="003B71C2" w:rsidRDefault="00C32EC4" w:rsidP="0006328F">
            <w:pPr>
              <w:spacing w:before="75" w:after="75"/>
            </w:pPr>
            <w:r w:rsidRPr="003B71C2">
              <w:t>Noteikumu projekts pārņem regulu pilnībā</w:t>
            </w:r>
          </w:p>
        </w:tc>
        <w:tc>
          <w:tcPr>
            <w:tcW w:w="3106" w:type="dxa"/>
            <w:tcBorders>
              <w:top w:val="outset" w:sz="6" w:space="0" w:color="auto"/>
              <w:left w:val="outset" w:sz="6" w:space="0" w:color="auto"/>
              <w:bottom w:val="outset" w:sz="6" w:space="0" w:color="auto"/>
              <w:right w:val="single" w:sz="4" w:space="0" w:color="auto"/>
            </w:tcBorders>
            <w:hideMark/>
          </w:tcPr>
          <w:p w:rsidR="00C32EC4" w:rsidRPr="003B71C2" w:rsidRDefault="00C32EC4" w:rsidP="0006328F">
            <w:pPr>
              <w:spacing w:before="75" w:after="75"/>
            </w:pPr>
            <w:r w:rsidRPr="003B71C2">
              <w:t>Attiecīgais noteikumu punkts neparedz stingrākas prasības kā ES aktā</w:t>
            </w:r>
          </w:p>
        </w:tc>
      </w:tr>
      <w:tr w:rsidR="00C32EC4" w:rsidRPr="009A3C4B" w:rsidTr="00C32EC4">
        <w:trPr>
          <w:trHeight w:val="4708"/>
          <w:tblCellSpacing w:w="0" w:type="dxa"/>
        </w:trPr>
        <w:tc>
          <w:tcPr>
            <w:tcW w:w="2046" w:type="dxa"/>
            <w:tcBorders>
              <w:top w:val="outset" w:sz="6" w:space="0" w:color="auto"/>
              <w:left w:val="single" w:sz="4" w:space="0" w:color="auto"/>
              <w:bottom w:val="outset" w:sz="6" w:space="0" w:color="auto"/>
              <w:right w:val="outset" w:sz="6" w:space="0" w:color="auto"/>
            </w:tcBorders>
            <w:hideMark/>
          </w:tcPr>
          <w:p w:rsidR="00C32EC4" w:rsidRDefault="00C32EC4" w:rsidP="00C32EC4">
            <w:pPr>
              <w:spacing w:before="75" w:after="75"/>
              <w:jc w:val="both"/>
              <w:rPr>
                <w:color w:val="000000"/>
              </w:rPr>
            </w:pPr>
            <w:r w:rsidRPr="00281848">
              <w:t>5.</w:t>
            </w:r>
            <w:r w:rsidRPr="00281848">
              <w:rPr>
                <w:color w:val="000000"/>
              </w:rPr>
              <w:t xml:space="preserve">Eiropas Parlamenta un Padomes 2010.gada 15.decembra Regula (ES) Nr. </w:t>
            </w:r>
            <w:r w:rsidRPr="00161849">
              <w:rPr>
                <w:b/>
                <w:color w:val="000000"/>
              </w:rPr>
              <w:t>1235/2010</w:t>
            </w:r>
            <w:r w:rsidR="007E41D8">
              <w:rPr>
                <w:b/>
                <w:color w:val="000000"/>
              </w:rPr>
              <w:t>,</w:t>
            </w:r>
            <w:r w:rsidRPr="00281848">
              <w:rPr>
                <w:color w:val="000000"/>
              </w:rPr>
              <w:t xml:space="preserve"> ar kuru attiecībā uz cilvēkiem paredzēto zāļu </w:t>
            </w:r>
            <w:proofErr w:type="spellStart"/>
            <w:r w:rsidRPr="00281848">
              <w:rPr>
                <w:color w:val="000000"/>
              </w:rPr>
              <w:t>farmakovigilanci</w:t>
            </w:r>
            <w:proofErr w:type="spellEnd"/>
            <w:r w:rsidRPr="00281848">
              <w:rPr>
                <w:color w:val="000000"/>
              </w:rPr>
              <w:t xml:space="preserve"> groza Regulu (EK) Nr. 726/2004, ar ko nosaka cilvēkiem paredzēto un veterināro zāļu reģistrēšanas un uzraudzības </w:t>
            </w:r>
            <w:r w:rsidRPr="00281848">
              <w:rPr>
                <w:color w:val="000000"/>
              </w:rPr>
              <w:lastRenderedPageBreak/>
              <w:t>Kopienas procedūras un izveido Eiropas Zāļu aģentūru, un Regulu (EK) Nr. 1394/2007 par uzlabotas terapijas zālēm</w:t>
            </w:r>
          </w:p>
          <w:p w:rsidR="00C32EC4" w:rsidRDefault="00161849" w:rsidP="00C32EC4">
            <w:pPr>
              <w:spacing w:before="75" w:after="75"/>
              <w:rPr>
                <w:bCs/>
              </w:rPr>
            </w:pPr>
            <w:r>
              <w:rPr>
                <w:bCs/>
              </w:rPr>
              <w:t xml:space="preserve">1.panta 8.punkta c)apakšpunkts; </w:t>
            </w:r>
          </w:p>
          <w:p w:rsidR="00161849" w:rsidRDefault="00161849" w:rsidP="00161849">
            <w:pPr>
              <w:spacing w:before="75" w:after="75"/>
              <w:rPr>
                <w:bCs/>
              </w:rPr>
            </w:pPr>
            <w:r>
              <w:rPr>
                <w:bCs/>
              </w:rPr>
              <w:t xml:space="preserve">1.panta 9.punkta a)apakšpunkts; </w:t>
            </w:r>
          </w:p>
          <w:p w:rsidR="00161849" w:rsidRDefault="00161849" w:rsidP="00161849">
            <w:pPr>
              <w:spacing w:before="75" w:after="75"/>
              <w:rPr>
                <w:bCs/>
              </w:rPr>
            </w:pPr>
            <w:r>
              <w:rPr>
                <w:bCs/>
              </w:rPr>
              <w:t xml:space="preserve">1.panta 9.punkta b)apakšpunkts; </w:t>
            </w:r>
          </w:p>
          <w:p w:rsidR="00694178" w:rsidRDefault="00694178" w:rsidP="00694178">
            <w:pPr>
              <w:spacing w:before="75" w:after="75"/>
              <w:rPr>
                <w:bCs/>
              </w:rPr>
            </w:pPr>
            <w:r>
              <w:rPr>
                <w:bCs/>
              </w:rPr>
              <w:t xml:space="preserve">1.panta 11.punkts (regulas (EK) Nr.726/2004 23.panta 1.punkts b)apakšpunkts; </w:t>
            </w:r>
          </w:p>
          <w:p w:rsidR="00694178" w:rsidRDefault="00694178" w:rsidP="00694178">
            <w:pPr>
              <w:spacing w:before="75" w:after="75"/>
              <w:rPr>
                <w:bCs/>
              </w:rPr>
            </w:pPr>
            <w:r>
              <w:rPr>
                <w:bCs/>
              </w:rPr>
              <w:t>1.panta 11.punkts (regulas (EK) Nr.726/2004 24.panta 1.punkta pirmā daļa;</w:t>
            </w:r>
          </w:p>
          <w:p w:rsidR="00694178" w:rsidRDefault="00694178" w:rsidP="00694178">
            <w:pPr>
              <w:spacing w:before="75" w:after="75"/>
              <w:rPr>
                <w:bCs/>
              </w:rPr>
            </w:pPr>
            <w:r>
              <w:rPr>
                <w:bCs/>
              </w:rPr>
              <w:t>1.panta 11.punkts (regulas (EK) Nr.726/2004 24.panta 2.punkta pirmā daļa;</w:t>
            </w:r>
          </w:p>
          <w:p w:rsidR="00694178" w:rsidRDefault="00694178" w:rsidP="00694178">
            <w:pPr>
              <w:spacing w:before="75" w:after="75"/>
              <w:rPr>
                <w:bCs/>
              </w:rPr>
            </w:pPr>
            <w:r>
              <w:rPr>
                <w:bCs/>
              </w:rPr>
              <w:t>1.panta 11.punkts (regulas (EK) Nr.726/2004 25.pants;</w:t>
            </w:r>
          </w:p>
          <w:p w:rsidR="00694178" w:rsidRDefault="00694178" w:rsidP="00694178">
            <w:pPr>
              <w:spacing w:before="75" w:after="75"/>
              <w:rPr>
                <w:bCs/>
              </w:rPr>
            </w:pPr>
            <w:r>
              <w:rPr>
                <w:bCs/>
              </w:rPr>
              <w:t>1.panta 11.punkts (regulas (EK) Nr.726/2004 25.a pants;</w:t>
            </w:r>
          </w:p>
          <w:p w:rsidR="00694178" w:rsidRDefault="00694178" w:rsidP="00694178">
            <w:pPr>
              <w:spacing w:before="75" w:after="75"/>
              <w:rPr>
                <w:bCs/>
              </w:rPr>
            </w:pPr>
            <w:r>
              <w:rPr>
                <w:bCs/>
              </w:rPr>
              <w:t>1.panta 11.punkts (regulas (EK) Nr.726/2004 26.pants;</w:t>
            </w:r>
          </w:p>
          <w:p w:rsidR="00694178" w:rsidRDefault="00694178" w:rsidP="00694178">
            <w:pPr>
              <w:spacing w:before="75" w:after="75"/>
              <w:rPr>
                <w:bCs/>
              </w:rPr>
            </w:pPr>
            <w:r>
              <w:rPr>
                <w:bCs/>
              </w:rPr>
              <w:t>1.panta 11.punkts (regulas (EK) Nr.726/2004 28.panta 1.punkts;</w:t>
            </w:r>
          </w:p>
          <w:p w:rsidR="00694178" w:rsidRDefault="00694178" w:rsidP="00694178">
            <w:pPr>
              <w:spacing w:before="75" w:after="75"/>
              <w:rPr>
                <w:bCs/>
              </w:rPr>
            </w:pPr>
            <w:r>
              <w:rPr>
                <w:bCs/>
              </w:rPr>
              <w:t>1.panta 11.punkts (regulas (EK) Nr.726/2004 28 a .panta 1.punkts;</w:t>
            </w:r>
          </w:p>
          <w:p w:rsidR="00694178" w:rsidRDefault="00694178" w:rsidP="00694178">
            <w:pPr>
              <w:spacing w:before="75" w:after="75"/>
              <w:rPr>
                <w:bCs/>
              </w:rPr>
            </w:pPr>
            <w:r>
              <w:rPr>
                <w:bCs/>
              </w:rPr>
              <w:lastRenderedPageBreak/>
              <w:t>1.panta 11.punkts (regulas (EK) Nr.726/2004 28. A .panta 3.punkts;</w:t>
            </w:r>
          </w:p>
          <w:p w:rsidR="00C32EC4" w:rsidRPr="00281848" w:rsidRDefault="00694178" w:rsidP="00694178">
            <w:pPr>
              <w:spacing w:before="75" w:after="75"/>
            </w:pPr>
            <w:r>
              <w:rPr>
                <w:bCs/>
              </w:rPr>
              <w:t xml:space="preserve">1.panta 11.punkts (regulas (EK) Nr.726/2004 28 </w:t>
            </w:r>
            <w:proofErr w:type="spellStart"/>
            <w:r>
              <w:rPr>
                <w:bCs/>
              </w:rPr>
              <w:t>e.pants</w:t>
            </w:r>
            <w:proofErr w:type="spellEnd"/>
            <w:r>
              <w:rPr>
                <w:bCs/>
              </w:rPr>
              <w:t>;</w:t>
            </w:r>
          </w:p>
        </w:tc>
        <w:tc>
          <w:tcPr>
            <w:tcW w:w="1957" w:type="dxa"/>
            <w:tcBorders>
              <w:top w:val="outset" w:sz="6" w:space="0" w:color="auto"/>
              <w:left w:val="outset" w:sz="6" w:space="0" w:color="auto"/>
              <w:bottom w:val="outset" w:sz="6" w:space="0" w:color="auto"/>
              <w:right w:val="outset" w:sz="6" w:space="0" w:color="auto"/>
            </w:tcBorders>
            <w:hideMark/>
          </w:tcPr>
          <w:p w:rsidR="00C32EC4" w:rsidRPr="009A3C4B" w:rsidRDefault="002F41C5" w:rsidP="00290AD3">
            <w:pPr>
              <w:spacing w:before="75" w:after="75"/>
            </w:pPr>
            <w:r>
              <w:lastRenderedPageBreak/>
              <w:t xml:space="preserve">Noteikumu projekta </w:t>
            </w:r>
            <w:r w:rsidR="002E7E6F">
              <w:t>3.</w:t>
            </w:r>
            <w:r w:rsidR="00290AD3">
              <w:t>14</w:t>
            </w:r>
            <w:r w:rsidR="00161849">
              <w:t>.5.apakšpunkts</w:t>
            </w:r>
          </w:p>
        </w:tc>
        <w:tc>
          <w:tcPr>
            <w:tcW w:w="2673" w:type="dxa"/>
            <w:tcBorders>
              <w:top w:val="outset" w:sz="6" w:space="0" w:color="auto"/>
              <w:left w:val="outset" w:sz="6" w:space="0" w:color="auto"/>
              <w:bottom w:val="outset" w:sz="6" w:space="0" w:color="auto"/>
              <w:right w:val="outset" w:sz="6" w:space="0" w:color="auto"/>
            </w:tcBorders>
            <w:hideMark/>
          </w:tcPr>
          <w:p w:rsidR="00C32EC4" w:rsidRPr="003B71C2" w:rsidRDefault="00C32EC4" w:rsidP="0006328F">
            <w:pPr>
              <w:spacing w:before="75" w:after="75"/>
            </w:pPr>
            <w:r w:rsidRPr="003B71C2">
              <w:t>Noteikumu projekts pārņem regulu pilnībā</w:t>
            </w:r>
          </w:p>
        </w:tc>
        <w:tc>
          <w:tcPr>
            <w:tcW w:w="3106" w:type="dxa"/>
            <w:tcBorders>
              <w:top w:val="outset" w:sz="6" w:space="0" w:color="auto"/>
              <w:left w:val="outset" w:sz="6" w:space="0" w:color="auto"/>
              <w:bottom w:val="outset" w:sz="6" w:space="0" w:color="auto"/>
              <w:right w:val="single" w:sz="4" w:space="0" w:color="auto"/>
            </w:tcBorders>
            <w:hideMark/>
          </w:tcPr>
          <w:p w:rsidR="00C32EC4" w:rsidRPr="003B71C2" w:rsidRDefault="00C32EC4" w:rsidP="0006328F">
            <w:pPr>
              <w:spacing w:before="75" w:after="75"/>
            </w:pPr>
            <w:r w:rsidRPr="003B71C2">
              <w:t>Attiecīgais noteikumu punkts neparedz stingrākas prasības kā ES aktā</w:t>
            </w:r>
          </w:p>
        </w:tc>
      </w:tr>
      <w:tr w:rsidR="00C32EC4" w:rsidRPr="009A3C4B" w:rsidTr="00C32EC4">
        <w:trPr>
          <w:trHeight w:val="4708"/>
          <w:tblCellSpacing w:w="0" w:type="dxa"/>
        </w:trPr>
        <w:tc>
          <w:tcPr>
            <w:tcW w:w="2046" w:type="dxa"/>
            <w:tcBorders>
              <w:top w:val="outset" w:sz="6" w:space="0" w:color="auto"/>
              <w:left w:val="single" w:sz="4" w:space="0" w:color="auto"/>
              <w:bottom w:val="outset" w:sz="6" w:space="0" w:color="auto"/>
              <w:right w:val="outset" w:sz="6" w:space="0" w:color="auto"/>
            </w:tcBorders>
            <w:hideMark/>
          </w:tcPr>
          <w:p w:rsidR="00C32EC4" w:rsidRDefault="00694178" w:rsidP="00281848">
            <w:pPr>
              <w:spacing w:before="75" w:after="75"/>
              <w:rPr>
                <w:rFonts w:ascii="Tms Rmn" w:hAnsi="Tms Rmn" w:cs="Tms Rmn"/>
                <w:color w:val="000000"/>
              </w:rPr>
            </w:pPr>
            <w:r>
              <w:rPr>
                <w:color w:val="000000"/>
              </w:rPr>
              <w:lastRenderedPageBreak/>
              <w:t>6</w:t>
            </w:r>
            <w:r w:rsidR="00C32EC4" w:rsidRPr="00281848">
              <w:rPr>
                <w:color w:val="000000"/>
              </w:rPr>
              <w:t xml:space="preserve">. </w:t>
            </w:r>
            <w:r w:rsidR="00C32EC4" w:rsidRPr="00281848">
              <w:t xml:space="preserve">Eiropas </w:t>
            </w:r>
            <w:r w:rsidR="00C32EC4" w:rsidRPr="00281848">
              <w:rPr>
                <w:rFonts w:ascii="Tms Rmn" w:hAnsi="Tms Rmn" w:cs="Tms Rmn"/>
                <w:color w:val="000000"/>
              </w:rPr>
              <w:t xml:space="preserve">Komisijas 2012. gada 19. jūnija Īstenošanas regula (ES) Nr. 520/2012 par Eiropas Parlamenta un Padomes Regulā (EK) Nr. 726/2004 un Eiropas Parlamenta un Padomes Direktīvā 2001/83/EK noteikto </w:t>
            </w:r>
            <w:proofErr w:type="spellStart"/>
            <w:r w:rsidR="00C32EC4" w:rsidRPr="00281848">
              <w:rPr>
                <w:rFonts w:ascii="Tms Rmn" w:hAnsi="Tms Rmn" w:cs="Tms Rmn"/>
                <w:color w:val="000000"/>
              </w:rPr>
              <w:t>farmakovigilances</w:t>
            </w:r>
            <w:proofErr w:type="spellEnd"/>
            <w:r w:rsidR="00C32EC4" w:rsidRPr="00281848">
              <w:rPr>
                <w:rFonts w:ascii="Tms Rmn" w:hAnsi="Tms Rmn" w:cs="Tms Rmn"/>
                <w:color w:val="000000"/>
              </w:rPr>
              <w:t xml:space="preserve"> darbību izpildi</w:t>
            </w:r>
          </w:p>
          <w:p w:rsidR="00C32EC4" w:rsidRDefault="00C32EC4" w:rsidP="00281848">
            <w:pPr>
              <w:spacing w:before="75" w:after="75"/>
              <w:rPr>
                <w:rFonts w:ascii="Tms Rmn" w:hAnsi="Tms Rmn" w:cs="Tms Rmn"/>
                <w:color w:val="000000"/>
              </w:rPr>
            </w:pPr>
          </w:p>
          <w:p w:rsidR="00C32EC4" w:rsidRPr="003B71C2" w:rsidRDefault="00736E35" w:rsidP="00281848">
            <w:pPr>
              <w:spacing w:before="75" w:after="75"/>
              <w:rPr>
                <w:bCs/>
              </w:rPr>
            </w:pPr>
            <w:r>
              <w:rPr>
                <w:bCs/>
              </w:rPr>
              <w:t>8.panta 1.punkts</w:t>
            </w:r>
            <w:r w:rsidR="002F41C5">
              <w:rPr>
                <w:bCs/>
              </w:rPr>
              <w:t>;</w:t>
            </w:r>
          </w:p>
          <w:p w:rsidR="00C32EC4" w:rsidRPr="003B71C2" w:rsidRDefault="00CD0952" w:rsidP="00281848">
            <w:pPr>
              <w:spacing w:before="75" w:after="75"/>
              <w:rPr>
                <w:bCs/>
              </w:rPr>
            </w:pPr>
            <w:r>
              <w:rPr>
                <w:bCs/>
              </w:rPr>
              <w:t>14</w:t>
            </w:r>
            <w:r w:rsidR="00C32EC4" w:rsidRPr="003B71C2">
              <w:rPr>
                <w:bCs/>
              </w:rPr>
              <w:t>.pants</w:t>
            </w:r>
            <w:r w:rsidR="002F41C5">
              <w:rPr>
                <w:bCs/>
              </w:rPr>
              <w:t>;</w:t>
            </w:r>
          </w:p>
          <w:p w:rsidR="00C32EC4" w:rsidRDefault="00CD0952" w:rsidP="00281848">
            <w:pPr>
              <w:spacing w:before="75" w:after="75"/>
              <w:rPr>
                <w:bCs/>
              </w:rPr>
            </w:pPr>
            <w:r>
              <w:rPr>
                <w:bCs/>
              </w:rPr>
              <w:t>15</w:t>
            </w:r>
            <w:r w:rsidR="00C32EC4" w:rsidRPr="003B71C2">
              <w:rPr>
                <w:bCs/>
              </w:rPr>
              <w:t>.pant</w:t>
            </w:r>
            <w:r>
              <w:rPr>
                <w:bCs/>
              </w:rPr>
              <w:t>a 1.punkts</w:t>
            </w:r>
            <w:r w:rsidR="002F41C5">
              <w:rPr>
                <w:bCs/>
              </w:rPr>
              <w:t>;</w:t>
            </w:r>
          </w:p>
          <w:p w:rsidR="00736E35" w:rsidRPr="003B71C2" w:rsidRDefault="00CD0952" w:rsidP="00736E35">
            <w:pPr>
              <w:spacing w:before="75" w:after="75"/>
              <w:rPr>
                <w:bCs/>
              </w:rPr>
            </w:pPr>
            <w:r>
              <w:rPr>
                <w:bCs/>
              </w:rPr>
              <w:t>15</w:t>
            </w:r>
            <w:r w:rsidR="00736E35" w:rsidRPr="003B71C2">
              <w:rPr>
                <w:bCs/>
              </w:rPr>
              <w:t>.pant</w:t>
            </w:r>
            <w:r>
              <w:rPr>
                <w:bCs/>
              </w:rPr>
              <w:t>a 2.punkts</w:t>
            </w:r>
            <w:r w:rsidR="002F41C5">
              <w:rPr>
                <w:bCs/>
              </w:rPr>
              <w:t>;</w:t>
            </w:r>
          </w:p>
          <w:p w:rsidR="00736E35" w:rsidRDefault="00CD0952" w:rsidP="00736E35">
            <w:pPr>
              <w:spacing w:before="75" w:after="75"/>
              <w:rPr>
                <w:bCs/>
              </w:rPr>
            </w:pPr>
            <w:r>
              <w:rPr>
                <w:bCs/>
              </w:rPr>
              <w:t>16</w:t>
            </w:r>
            <w:r w:rsidR="00736E35" w:rsidRPr="003B71C2">
              <w:rPr>
                <w:bCs/>
              </w:rPr>
              <w:t>.pants</w:t>
            </w:r>
            <w:r w:rsidR="002F41C5">
              <w:rPr>
                <w:bCs/>
              </w:rPr>
              <w:t>;</w:t>
            </w:r>
          </w:p>
          <w:p w:rsidR="00736E35" w:rsidRPr="003B71C2" w:rsidRDefault="00CD0952" w:rsidP="00736E35">
            <w:pPr>
              <w:spacing w:before="75" w:after="75"/>
              <w:rPr>
                <w:bCs/>
              </w:rPr>
            </w:pPr>
            <w:r>
              <w:rPr>
                <w:bCs/>
              </w:rPr>
              <w:t>17</w:t>
            </w:r>
            <w:r w:rsidR="00736E35" w:rsidRPr="003B71C2">
              <w:rPr>
                <w:bCs/>
              </w:rPr>
              <w:t>.pants</w:t>
            </w:r>
            <w:r w:rsidR="002F41C5">
              <w:rPr>
                <w:bCs/>
              </w:rPr>
              <w:t>;</w:t>
            </w:r>
          </w:p>
          <w:p w:rsidR="00736E35" w:rsidRDefault="00CD0952" w:rsidP="00736E35">
            <w:pPr>
              <w:spacing w:before="75" w:after="75"/>
              <w:rPr>
                <w:bCs/>
              </w:rPr>
            </w:pPr>
            <w:r>
              <w:rPr>
                <w:bCs/>
              </w:rPr>
              <w:t>18.panta 1.punkts</w:t>
            </w:r>
            <w:r w:rsidR="002F41C5">
              <w:rPr>
                <w:bCs/>
              </w:rPr>
              <w:t>;</w:t>
            </w:r>
          </w:p>
          <w:p w:rsidR="00736E35" w:rsidRPr="003B71C2" w:rsidRDefault="00CD0952" w:rsidP="00736E35">
            <w:pPr>
              <w:spacing w:before="75" w:after="75"/>
              <w:rPr>
                <w:bCs/>
              </w:rPr>
            </w:pPr>
            <w:r>
              <w:rPr>
                <w:bCs/>
              </w:rPr>
              <w:t>18.panta 3.punkts</w:t>
            </w:r>
            <w:r w:rsidR="002F41C5">
              <w:rPr>
                <w:bCs/>
              </w:rPr>
              <w:t>;</w:t>
            </w:r>
            <w:r>
              <w:rPr>
                <w:bCs/>
              </w:rPr>
              <w:t xml:space="preserve"> </w:t>
            </w:r>
          </w:p>
          <w:p w:rsidR="00736E35" w:rsidRDefault="00CD0952" w:rsidP="00736E35">
            <w:pPr>
              <w:spacing w:before="75" w:after="75"/>
              <w:rPr>
                <w:bCs/>
              </w:rPr>
            </w:pPr>
            <w:r>
              <w:rPr>
                <w:bCs/>
              </w:rPr>
              <w:t>18.panta 4.punkts;</w:t>
            </w:r>
          </w:p>
          <w:p w:rsidR="00736E35" w:rsidRPr="003B71C2" w:rsidRDefault="00CD0952" w:rsidP="00736E35">
            <w:pPr>
              <w:spacing w:before="75" w:after="75"/>
              <w:rPr>
                <w:bCs/>
              </w:rPr>
            </w:pPr>
            <w:r>
              <w:rPr>
                <w:bCs/>
              </w:rPr>
              <w:t>20.panta 1.punkts</w:t>
            </w:r>
            <w:r w:rsidR="002F41C5">
              <w:rPr>
                <w:bCs/>
              </w:rPr>
              <w:t>;</w:t>
            </w:r>
          </w:p>
          <w:p w:rsidR="00736E35" w:rsidRDefault="00CD0952" w:rsidP="00736E35">
            <w:pPr>
              <w:spacing w:before="75" w:after="75"/>
              <w:rPr>
                <w:bCs/>
              </w:rPr>
            </w:pPr>
            <w:r>
              <w:rPr>
                <w:bCs/>
              </w:rPr>
              <w:t>20.panta 2.punkts</w:t>
            </w:r>
            <w:r w:rsidR="002F41C5">
              <w:rPr>
                <w:bCs/>
              </w:rPr>
              <w:t>;</w:t>
            </w:r>
          </w:p>
          <w:p w:rsidR="00736E35" w:rsidRPr="003B71C2" w:rsidRDefault="00CD0952" w:rsidP="00736E35">
            <w:pPr>
              <w:spacing w:before="75" w:after="75"/>
              <w:rPr>
                <w:bCs/>
              </w:rPr>
            </w:pPr>
            <w:r>
              <w:rPr>
                <w:bCs/>
              </w:rPr>
              <w:t>21</w:t>
            </w:r>
            <w:r w:rsidR="00736E35" w:rsidRPr="003B71C2">
              <w:rPr>
                <w:bCs/>
              </w:rPr>
              <w:t>.pants</w:t>
            </w:r>
            <w:r w:rsidR="002F41C5">
              <w:rPr>
                <w:bCs/>
              </w:rPr>
              <w:t>;</w:t>
            </w:r>
          </w:p>
          <w:p w:rsidR="00736E35" w:rsidRDefault="00CD0952" w:rsidP="00736E35">
            <w:pPr>
              <w:spacing w:before="75" w:after="75"/>
              <w:rPr>
                <w:bCs/>
              </w:rPr>
            </w:pPr>
            <w:r>
              <w:rPr>
                <w:bCs/>
              </w:rPr>
              <w:t>22.panta 1.punkts;</w:t>
            </w:r>
          </w:p>
          <w:p w:rsidR="00736E35" w:rsidRDefault="00CD0952" w:rsidP="00736E35">
            <w:pPr>
              <w:spacing w:before="75" w:after="75"/>
              <w:rPr>
                <w:bCs/>
              </w:rPr>
            </w:pPr>
            <w:r>
              <w:rPr>
                <w:bCs/>
              </w:rPr>
              <w:t>22.panta 4.punkts;</w:t>
            </w:r>
          </w:p>
          <w:p w:rsidR="00736E35" w:rsidRDefault="00CD0952" w:rsidP="00736E35">
            <w:pPr>
              <w:spacing w:before="75" w:after="75"/>
              <w:rPr>
                <w:bCs/>
              </w:rPr>
            </w:pPr>
            <w:r>
              <w:rPr>
                <w:bCs/>
              </w:rPr>
              <w:lastRenderedPageBreak/>
              <w:t>24</w:t>
            </w:r>
            <w:r w:rsidR="00736E35" w:rsidRPr="003B71C2">
              <w:rPr>
                <w:bCs/>
              </w:rPr>
              <w:t>.pants</w:t>
            </w:r>
            <w:r>
              <w:rPr>
                <w:bCs/>
              </w:rPr>
              <w:t>;</w:t>
            </w:r>
          </w:p>
          <w:p w:rsidR="00C32EC4" w:rsidRPr="003B71C2" w:rsidRDefault="00CD0952" w:rsidP="00A8575E">
            <w:pPr>
              <w:spacing w:before="75" w:after="75"/>
            </w:pPr>
            <w:r>
              <w:rPr>
                <w:bCs/>
              </w:rPr>
              <w:t>25</w:t>
            </w:r>
            <w:r w:rsidR="00736E35" w:rsidRPr="003B71C2">
              <w:rPr>
                <w:bCs/>
              </w:rPr>
              <w:t>.pants</w:t>
            </w:r>
            <w:r>
              <w:rPr>
                <w:bCs/>
              </w:rPr>
              <w:t>;</w:t>
            </w:r>
          </w:p>
        </w:tc>
        <w:tc>
          <w:tcPr>
            <w:tcW w:w="1957" w:type="dxa"/>
            <w:tcBorders>
              <w:top w:val="outset" w:sz="6" w:space="0" w:color="auto"/>
              <w:left w:val="outset" w:sz="6" w:space="0" w:color="auto"/>
              <w:bottom w:val="outset" w:sz="6" w:space="0" w:color="auto"/>
              <w:right w:val="outset" w:sz="6" w:space="0" w:color="auto"/>
            </w:tcBorders>
            <w:hideMark/>
          </w:tcPr>
          <w:p w:rsidR="00C32EC4" w:rsidRPr="003B71C2" w:rsidRDefault="00A8575E" w:rsidP="00290AD3">
            <w:pPr>
              <w:spacing w:before="75" w:after="75"/>
            </w:pPr>
            <w:r>
              <w:lastRenderedPageBreak/>
              <w:t>Noteikumu projekta 3.</w:t>
            </w:r>
            <w:r w:rsidR="00290AD3">
              <w:t>14</w:t>
            </w:r>
            <w:r>
              <w:t>.6.apakšpunkts</w:t>
            </w:r>
            <w:r w:rsidR="00C32EC4" w:rsidRPr="003B71C2">
              <w:t>s</w:t>
            </w:r>
          </w:p>
        </w:tc>
        <w:tc>
          <w:tcPr>
            <w:tcW w:w="2673" w:type="dxa"/>
            <w:tcBorders>
              <w:top w:val="outset" w:sz="6" w:space="0" w:color="auto"/>
              <w:left w:val="outset" w:sz="6" w:space="0" w:color="auto"/>
              <w:bottom w:val="outset" w:sz="6" w:space="0" w:color="auto"/>
              <w:right w:val="outset" w:sz="6" w:space="0" w:color="auto"/>
            </w:tcBorders>
            <w:hideMark/>
          </w:tcPr>
          <w:p w:rsidR="00C32EC4" w:rsidRPr="003B71C2" w:rsidRDefault="00C32EC4" w:rsidP="0006328F">
            <w:pPr>
              <w:spacing w:before="75" w:after="75"/>
            </w:pPr>
            <w:r w:rsidRPr="003B71C2">
              <w:t>Noteikumu projekts pārņem regulu pilnībā</w:t>
            </w:r>
          </w:p>
        </w:tc>
        <w:tc>
          <w:tcPr>
            <w:tcW w:w="3106" w:type="dxa"/>
            <w:tcBorders>
              <w:top w:val="outset" w:sz="6" w:space="0" w:color="auto"/>
              <w:left w:val="outset" w:sz="6" w:space="0" w:color="auto"/>
              <w:bottom w:val="outset" w:sz="6" w:space="0" w:color="auto"/>
              <w:right w:val="single" w:sz="4" w:space="0" w:color="auto"/>
            </w:tcBorders>
            <w:hideMark/>
          </w:tcPr>
          <w:p w:rsidR="00C32EC4" w:rsidRPr="003B71C2" w:rsidRDefault="00C32EC4" w:rsidP="0006328F">
            <w:pPr>
              <w:spacing w:before="75" w:after="75"/>
            </w:pPr>
            <w:r w:rsidRPr="003B71C2">
              <w:t>Attiecīgais noteikumu punkts neparedz stingrākas prasības kā ES aktā</w:t>
            </w:r>
          </w:p>
        </w:tc>
      </w:tr>
      <w:tr w:rsidR="00C32EC4" w:rsidRPr="009A3C4B" w:rsidTr="00C32EC4">
        <w:trPr>
          <w:trHeight w:val="281"/>
          <w:tblCellSpacing w:w="0" w:type="dxa"/>
        </w:trPr>
        <w:tc>
          <w:tcPr>
            <w:tcW w:w="2046" w:type="dxa"/>
            <w:tcBorders>
              <w:top w:val="outset" w:sz="6" w:space="0" w:color="auto"/>
              <w:left w:val="single" w:sz="4" w:space="0" w:color="auto"/>
              <w:bottom w:val="outset" w:sz="6" w:space="0" w:color="auto"/>
              <w:right w:val="outset" w:sz="6" w:space="0" w:color="auto"/>
            </w:tcBorders>
            <w:vAlign w:val="center"/>
            <w:hideMark/>
          </w:tcPr>
          <w:p w:rsidR="00C32EC4" w:rsidRPr="009A3C4B" w:rsidRDefault="00C32EC4" w:rsidP="0006328F">
            <w:pPr>
              <w:spacing w:before="75" w:after="75"/>
            </w:pPr>
            <w:r w:rsidRPr="009A3C4B">
              <w:lastRenderedPageBreak/>
              <w:t> Kā ir izmantota ES tiesību aktā paredzētā rīcības brīvība dalībvalstij pārņemt vai ieviest noteiktas ES tiesību akta normas.</w:t>
            </w:r>
          </w:p>
          <w:p w:rsidR="00C32EC4" w:rsidRPr="009A3C4B" w:rsidRDefault="00C32EC4" w:rsidP="0006328F">
            <w:pPr>
              <w:spacing w:before="75" w:after="75"/>
            </w:pPr>
            <w:r w:rsidRPr="009A3C4B">
              <w:t>Kādēļ?</w:t>
            </w:r>
          </w:p>
        </w:tc>
        <w:tc>
          <w:tcPr>
            <w:tcW w:w="7736" w:type="dxa"/>
            <w:gridSpan w:val="3"/>
            <w:tcBorders>
              <w:top w:val="outset" w:sz="6" w:space="0" w:color="auto"/>
              <w:left w:val="outset" w:sz="6" w:space="0" w:color="auto"/>
              <w:bottom w:val="outset" w:sz="6" w:space="0" w:color="auto"/>
              <w:right w:val="single" w:sz="4" w:space="0" w:color="auto"/>
            </w:tcBorders>
            <w:hideMark/>
          </w:tcPr>
          <w:p w:rsidR="00CD0952" w:rsidRPr="00CD0952" w:rsidRDefault="00CD0952" w:rsidP="00CD0952">
            <w:pPr>
              <w:spacing w:before="75" w:after="75"/>
            </w:pPr>
            <w:r w:rsidRPr="00CD0952">
              <w:t>Noteikumu projekts šo jautājumu neskar</w:t>
            </w:r>
          </w:p>
          <w:p w:rsidR="00C32EC4" w:rsidRPr="00A344DD" w:rsidRDefault="00C32EC4" w:rsidP="0006328F">
            <w:pPr>
              <w:spacing w:before="75" w:after="75"/>
            </w:pPr>
          </w:p>
        </w:tc>
      </w:tr>
      <w:tr w:rsidR="00C32EC4" w:rsidRPr="009A3C4B" w:rsidTr="00C32EC4">
        <w:trPr>
          <w:trHeight w:val="913"/>
          <w:tblCellSpacing w:w="0" w:type="dxa"/>
        </w:trPr>
        <w:tc>
          <w:tcPr>
            <w:tcW w:w="2046" w:type="dxa"/>
            <w:tcBorders>
              <w:top w:val="outset" w:sz="6" w:space="0" w:color="auto"/>
              <w:left w:val="single" w:sz="4" w:space="0" w:color="auto"/>
              <w:bottom w:val="outset" w:sz="6" w:space="0" w:color="auto"/>
              <w:right w:val="outset" w:sz="6" w:space="0" w:color="auto"/>
            </w:tcBorders>
            <w:vAlign w:val="center"/>
            <w:hideMark/>
          </w:tcPr>
          <w:p w:rsidR="00C32EC4" w:rsidRPr="009A3C4B" w:rsidRDefault="00C32EC4" w:rsidP="0006328F">
            <w:pPr>
              <w:spacing w:before="75" w:after="75"/>
            </w:pPr>
            <w:r w:rsidRPr="009A3C4B">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736" w:type="dxa"/>
            <w:gridSpan w:val="3"/>
            <w:tcBorders>
              <w:top w:val="outset" w:sz="6" w:space="0" w:color="auto"/>
              <w:left w:val="outset" w:sz="6" w:space="0" w:color="auto"/>
              <w:bottom w:val="outset" w:sz="6" w:space="0" w:color="auto"/>
              <w:right w:val="single" w:sz="4" w:space="0" w:color="auto"/>
            </w:tcBorders>
            <w:hideMark/>
          </w:tcPr>
          <w:p w:rsidR="00CD0952" w:rsidRPr="00CD0952" w:rsidRDefault="00C32EC4" w:rsidP="00CD0952">
            <w:pPr>
              <w:spacing w:before="75" w:after="75"/>
            </w:pPr>
            <w:r w:rsidRPr="009A3C4B">
              <w:t> </w:t>
            </w:r>
            <w:r w:rsidR="00CD0952" w:rsidRPr="00CD0952">
              <w:t>Noteikumu projekts šo jautājumu neskar</w:t>
            </w:r>
          </w:p>
          <w:p w:rsidR="00C32EC4" w:rsidRPr="00A344DD" w:rsidRDefault="00C32EC4" w:rsidP="00CD0952">
            <w:pPr>
              <w:spacing w:before="75" w:after="75"/>
            </w:pPr>
          </w:p>
        </w:tc>
      </w:tr>
      <w:tr w:rsidR="00C32EC4" w:rsidRPr="009A3C4B" w:rsidTr="00C32EC4">
        <w:trPr>
          <w:trHeight w:val="579"/>
          <w:tblCellSpacing w:w="0" w:type="dxa"/>
        </w:trPr>
        <w:tc>
          <w:tcPr>
            <w:tcW w:w="2046" w:type="dxa"/>
            <w:tcBorders>
              <w:top w:val="outset" w:sz="6" w:space="0" w:color="auto"/>
              <w:left w:val="single" w:sz="4" w:space="0" w:color="auto"/>
              <w:bottom w:val="single" w:sz="4" w:space="0" w:color="auto"/>
              <w:right w:val="outset" w:sz="6" w:space="0" w:color="auto"/>
            </w:tcBorders>
            <w:hideMark/>
          </w:tcPr>
          <w:p w:rsidR="00C32EC4" w:rsidRPr="009A3C4B" w:rsidRDefault="00C32EC4" w:rsidP="0006328F">
            <w:pPr>
              <w:spacing w:before="75" w:after="75"/>
            </w:pPr>
            <w:r w:rsidRPr="009A3C4B">
              <w:t> Cita informācija</w:t>
            </w:r>
          </w:p>
        </w:tc>
        <w:tc>
          <w:tcPr>
            <w:tcW w:w="7736" w:type="dxa"/>
            <w:gridSpan w:val="3"/>
            <w:tcBorders>
              <w:top w:val="outset" w:sz="6" w:space="0" w:color="auto"/>
              <w:left w:val="outset" w:sz="6" w:space="0" w:color="auto"/>
              <w:bottom w:val="single" w:sz="4" w:space="0" w:color="auto"/>
              <w:right w:val="single" w:sz="4" w:space="0" w:color="auto"/>
            </w:tcBorders>
            <w:hideMark/>
          </w:tcPr>
          <w:p w:rsidR="00C32EC4" w:rsidRPr="009A3C4B" w:rsidRDefault="00CD0952" w:rsidP="00F82737">
            <w:pPr>
              <w:spacing w:before="75" w:after="75"/>
              <w:jc w:val="both"/>
            </w:pPr>
            <w:r>
              <w:t xml:space="preserve"> Nav</w:t>
            </w:r>
          </w:p>
        </w:tc>
      </w:tr>
    </w:tbl>
    <w:p w:rsidR="0006328F" w:rsidRPr="009A3C4B" w:rsidRDefault="0006328F" w:rsidP="0006328F">
      <w:pPr>
        <w:spacing w:before="75" w:after="75"/>
        <w:ind w:firstLine="375"/>
        <w:jc w:val="both"/>
      </w:pPr>
      <w:r w:rsidRPr="009A3C4B">
        <w:t> </w:t>
      </w: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08"/>
        <w:gridCol w:w="3108"/>
        <w:gridCol w:w="4366"/>
      </w:tblGrid>
      <w:tr w:rsidR="0006328F" w:rsidRPr="009A3C4B" w:rsidTr="0006328F">
        <w:trPr>
          <w:trHeight w:val="792"/>
          <w:tblCellSpacing w:w="0" w:type="dxa"/>
        </w:trPr>
        <w:tc>
          <w:tcPr>
            <w:tcW w:w="9782" w:type="dxa"/>
            <w:gridSpan w:val="3"/>
            <w:tcBorders>
              <w:top w:val="single" w:sz="4" w:space="0" w:color="auto"/>
              <w:left w:val="single" w:sz="4" w:space="0" w:color="auto"/>
              <w:bottom w:val="outset" w:sz="6" w:space="0" w:color="auto"/>
              <w:right w:val="single" w:sz="4" w:space="0" w:color="auto"/>
            </w:tcBorders>
            <w:vAlign w:val="center"/>
            <w:hideMark/>
          </w:tcPr>
          <w:p w:rsidR="0006328F" w:rsidRPr="009A3C4B" w:rsidRDefault="0006328F" w:rsidP="0006328F">
            <w:pPr>
              <w:spacing w:before="150" w:after="150"/>
              <w:jc w:val="center"/>
              <w:rPr>
                <w:b/>
                <w:bCs/>
              </w:rPr>
            </w:pPr>
            <w:r w:rsidRPr="009A3C4B">
              <w:rPr>
                <w:b/>
                <w:bCs/>
              </w:rPr>
              <w:t> 2.tabula</w:t>
            </w:r>
          </w:p>
          <w:p w:rsidR="0006328F" w:rsidRPr="009A3C4B" w:rsidRDefault="0006328F" w:rsidP="0006328F">
            <w:pPr>
              <w:spacing w:before="150" w:after="150"/>
              <w:jc w:val="center"/>
              <w:rPr>
                <w:b/>
                <w:bCs/>
              </w:rPr>
            </w:pPr>
            <w:r w:rsidRPr="009A3C4B">
              <w:rPr>
                <w:b/>
                <w:bCs/>
              </w:rPr>
              <w:t>Ar tiesību akta projektu uzņemtās saistības, kas izriet no starptautiskajiem tiesību aktiem vai starptautiskas institūcijas vai organizācijas dokumentiem</w:t>
            </w:r>
          </w:p>
          <w:p w:rsidR="0006328F" w:rsidRPr="009A3C4B" w:rsidRDefault="0006328F" w:rsidP="0006328F">
            <w:pPr>
              <w:spacing w:before="150" w:after="150"/>
              <w:jc w:val="center"/>
              <w:rPr>
                <w:b/>
                <w:bCs/>
              </w:rPr>
            </w:pPr>
            <w:r w:rsidRPr="009A3C4B">
              <w:rPr>
                <w:b/>
                <w:bCs/>
              </w:rPr>
              <w:lastRenderedPageBreak/>
              <w:t>Pasākumi šo saistību izpildei</w:t>
            </w:r>
          </w:p>
        </w:tc>
      </w:tr>
      <w:tr w:rsidR="0006328F" w:rsidRPr="009A3C4B" w:rsidTr="0006328F">
        <w:trPr>
          <w:trHeight w:val="1596"/>
          <w:tblCellSpacing w:w="0" w:type="dxa"/>
        </w:trPr>
        <w:tc>
          <w:tcPr>
            <w:tcW w:w="2308" w:type="dxa"/>
            <w:tcBorders>
              <w:top w:val="outset" w:sz="6" w:space="0" w:color="auto"/>
              <w:left w:val="single" w:sz="4" w:space="0" w:color="auto"/>
              <w:bottom w:val="outset" w:sz="6" w:space="0" w:color="auto"/>
              <w:right w:val="outset" w:sz="6" w:space="0" w:color="auto"/>
            </w:tcBorders>
            <w:vAlign w:val="center"/>
            <w:hideMark/>
          </w:tcPr>
          <w:p w:rsidR="0006328F" w:rsidRPr="009A3C4B" w:rsidRDefault="0006328F" w:rsidP="0006328F">
            <w:pPr>
              <w:spacing w:before="75" w:after="75"/>
            </w:pPr>
            <w:r w:rsidRPr="009A3C4B">
              <w:lastRenderedPageBreak/>
              <w:t> Attiecīgā starptautiskā tiesību akta vai starptautiskas institūcijas vai organizācijas dokumenta (turpmāk – starptautiskais dokuments) datums, numurs un nosaukums</w:t>
            </w:r>
          </w:p>
        </w:tc>
        <w:tc>
          <w:tcPr>
            <w:tcW w:w="7474" w:type="dxa"/>
            <w:gridSpan w:val="2"/>
            <w:tcBorders>
              <w:top w:val="outset" w:sz="6" w:space="0" w:color="auto"/>
              <w:left w:val="outset" w:sz="6" w:space="0" w:color="auto"/>
              <w:bottom w:val="outset" w:sz="6" w:space="0" w:color="auto"/>
              <w:right w:val="single" w:sz="4" w:space="0" w:color="auto"/>
            </w:tcBorders>
            <w:hideMark/>
          </w:tcPr>
          <w:p w:rsidR="0006328F" w:rsidRDefault="0006328F" w:rsidP="0006328F">
            <w:pPr>
              <w:spacing w:before="75" w:after="75"/>
            </w:pPr>
            <w:r w:rsidRPr="009A3C4B">
              <w:t> </w:t>
            </w:r>
          </w:p>
          <w:p w:rsidR="0006328F" w:rsidRPr="0067558B" w:rsidRDefault="0006328F" w:rsidP="007E41D8">
            <w:pPr>
              <w:spacing w:before="75" w:after="75"/>
              <w:rPr>
                <w:i/>
              </w:rPr>
            </w:pPr>
            <w:r>
              <w:rPr>
                <w:b/>
              </w:rPr>
              <w:t xml:space="preserve"> </w:t>
            </w:r>
            <w:r w:rsidR="00CD0952" w:rsidRPr="00CD0952">
              <w:t>Noteikumu projekts šo jautājumu neskar</w:t>
            </w:r>
          </w:p>
        </w:tc>
      </w:tr>
      <w:tr w:rsidR="0006328F" w:rsidRPr="009A3C4B" w:rsidTr="0006328F">
        <w:trPr>
          <w:trHeight w:val="163"/>
          <w:tblCellSpacing w:w="0" w:type="dxa"/>
        </w:trPr>
        <w:tc>
          <w:tcPr>
            <w:tcW w:w="9782" w:type="dxa"/>
            <w:gridSpan w:val="3"/>
            <w:tcBorders>
              <w:top w:val="outset" w:sz="6" w:space="0" w:color="auto"/>
              <w:left w:val="single" w:sz="4" w:space="0" w:color="auto"/>
              <w:bottom w:val="outset" w:sz="6" w:space="0" w:color="auto"/>
              <w:right w:val="single" w:sz="4" w:space="0" w:color="auto"/>
            </w:tcBorders>
            <w:vAlign w:val="center"/>
            <w:hideMark/>
          </w:tcPr>
          <w:p w:rsidR="0006328F" w:rsidRPr="009A3C4B" w:rsidRDefault="0006328F" w:rsidP="0006328F">
            <w:pPr>
              <w:spacing w:before="75" w:after="75" w:line="163" w:lineRule="atLeast"/>
            </w:pPr>
            <w:r w:rsidRPr="009A3C4B">
              <w:t>  </w:t>
            </w:r>
          </w:p>
        </w:tc>
      </w:tr>
      <w:tr w:rsidR="0006328F" w:rsidRPr="009A3C4B" w:rsidTr="0006328F">
        <w:trPr>
          <w:trHeight w:val="341"/>
          <w:tblCellSpacing w:w="0" w:type="dxa"/>
        </w:trPr>
        <w:tc>
          <w:tcPr>
            <w:tcW w:w="2308" w:type="dxa"/>
            <w:tcBorders>
              <w:top w:val="outset" w:sz="6" w:space="0" w:color="auto"/>
              <w:left w:val="single" w:sz="4" w:space="0" w:color="auto"/>
              <w:bottom w:val="outset" w:sz="6" w:space="0" w:color="auto"/>
              <w:right w:val="outset" w:sz="6" w:space="0" w:color="auto"/>
            </w:tcBorders>
            <w:vAlign w:val="center"/>
            <w:hideMark/>
          </w:tcPr>
          <w:p w:rsidR="0006328F" w:rsidRPr="009A3C4B" w:rsidRDefault="0006328F" w:rsidP="0006328F">
            <w:pPr>
              <w:spacing w:before="75" w:after="75"/>
              <w:jc w:val="center"/>
            </w:pPr>
            <w:r w:rsidRPr="009A3C4B">
              <w:t> A</w:t>
            </w:r>
          </w:p>
        </w:tc>
        <w:tc>
          <w:tcPr>
            <w:tcW w:w="3108" w:type="dxa"/>
            <w:tcBorders>
              <w:top w:val="outset" w:sz="6" w:space="0" w:color="auto"/>
              <w:left w:val="outset" w:sz="6" w:space="0" w:color="auto"/>
              <w:bottom w:val="outset" w:sz="6" w:space="0" w:color="auto"/>
              <w:right w:val="outset" w:sz="6" w:space="0" w:color="auto"/>
            </w:tcBorders>
            <w:vAlign w:val="center"/>
            <w:hideMark/>
          </w:tcPr>
          <w:p w:rsidR="0006328F" w:rsidRPr="009A3C4B" w:rsidRDefault="0006328F" w:rsidP="0006328F">
            <w:pPr>
              <w:spacing w:before="75" w:after="75"/>
              <w:jc w:val="center"/>
            </w:pPr>
            <w:r w:rsidRPr="009A3C4B">
              <w:t> B</w:t>
            </w:r>
          </w:p>
        </w:tc>
        <w:tc>
          <w:tcPr>
            <w:tcW w:w="4366" w:type="dxa"/>
            <w:tcBorders>
              <w:top w:val="outset" w:sz="6" w:space="0" w:color="auto"/>
              <w:left w:val="outset" w:sz="6" w:space="0" w:color="auto"/>
              <w:bottom w:val="outset" w:sz="6" w:space="0" w:color="auto"/>
              <w:right w:val="single" w:sz="4" w:space="0" w:color="auto"/>
            </w:tcBorders>
            <w:vAlign w:val="center"/>
            <w:hideMark/>
          </w:tcPr>
          <w:p w:rsidR="0006328F" w:rsidRPr="009A3C4B" w:rsidRDefault="0006328F" w:rsidP="0006328F">
            <w:pPr>
              <w:spacing w:before="75" w:after="75"/>
              <w:jc w:val="center"/>
            </w:pPr>
            <w:r w:rsidRPr="009A3C4B">
              <w:t> C</w:t>
            </w:r>
          </w:p>
        </w:tc>
      </w:tr>
      <w:tr w:rsidR="0006328F" w:rsidRPr="009A3C4B" w:rsidTr="0006328F">
        <w:trPr>
          <w:trHeight w:val="341"/>
          <w:tblCellSpacing w:w="0" w:type="dxa"/>
        </w:trPr>
        <w:tc>
          <w:tcPr>
            <w:tcW w:w="2308" w:type="dxa"/>
            <w:tcBorders>
              <w:top w:val="outset" w:sz="6" w:space="0" w:color="auto"/>
              <w:left w:val="single" w:sz="4" w:space="0" w:color="auto"/>
              <w:bottom w:val="outset" w:sz="6" w:space="0" w:color="auto"/>
              <w:right w:val="outset" w:sz="6" w:space="0" w:color="auto"/>
            </w:tcBorders>
            <w:hideMark/>
          </w:tcPr>
          <w:p w:rsidR="0006328F" w:rsidRPr="009A3C4B" w:rsidRDefault="0006328F" w:rsidP="0006328F">
            <w:pPr>
              <w:spacing w:before="75" w:after="75"/>
            </w:pPr>
            <w:r w:rsidRPr="009A3C4B">
              <w:t> Starptautiskās saistības (pēc būtības), kas izriet no norādītā starptautiskā dokumenta.</w:t>
            </w:r>
          </w:p>
          <w:p w:rsidR="0006328F" w:rsidRPr="009A3C4B" w:rsidRDefault="0006328F" w:rsidP="0006328F">
            <w:pPr>
              <w:spacing w:before="75" w:after="75"/>
            </w:pPr>
            <w:r w:rsidRPr="009A3C4B">
              <w:t> </w:t>
            </w:r>
          </w:p>
          <w:p w:rsidR="0006328F" w:rsidRPr="009A3C4B" w:rsidRDefault="0006328F" w:rsidP="0006328F">
            <w:pPr>
              <w:spacing w:before="75" w:after="75"/>
            </w:pPr>
            <w:r w:rsidRPr="009A3C4B">
              <w:t>Konkrēti veicamie pasākumi vai uzdevumi, kas nepieciešami šo starptautisko saistību izpildei</w:t>
            </w:r>
          </w:p>
        </w:tc>
        <w:tc>
          <w:tcPr>
            <w:tcW w:w="3108" w:type="dxa"/>
            <w:tcBorders>
              <w:top w:val="outset" w:sz="6" w:space="0" w:color="auto"/>
              <w:left w:val="outset" w:sz="6" w:space="0" w:color="auto"/>
              <w:bottom w:val="outset" w:sz="6" w:space="0" w:color="auto"/>
              <w:right w:val="outset" w:sz="6" w:space="0" w:color="auto"/>
            </w:tcBorders>
            <w:hideMark/>
          </w:tcPr>
          <w:p w:rsidR="0006328F" w:rsidRPr="009A3C4B" w:rsidRDefault="0006328F" w:rsidP="0006328F">
            <w:pPr>
              <w:spacing w:before="75" w:after="75"/>
            </w:pPr>
            <w:r w:rsidRPr="009A3C4B">
              <w:t> Ja pasākumi vai uzdevumi, ar ko tiks izpildītas starptautiskās saistības, tiek noteikti projektā, norāda attiecīgo projekta vienību.</w:t>
            </w:r>
          </w:p>
          <w:p w:rsidR="0006328F" w:rsidRPr="009A3C4B" w:rsidRDefault="0006328F" w:rsidP="0006328F">
            <w:pPr>
              <w:spacing w:before="75" w:after="75"/>
            </w:pPr>
            <w:r w:rsidRPr="009A3C4B">
              <w:t> </w:t>
            </w:r>
          </w:p>
          <w:p w:rsidR="0006328F" w:rsidRPr="009A3C4B" w:rsidRDefault="0006328F" w:rsidP="0006328F">
            <w:pPr>
              <w:spacing w:before="75" w:after="75"/>
            </w:pPr>
            <w:r w:rsidRPr="009A3C4B">
              <w:t>Vai arī norāda dokumentu, kurā sniegts izvērsts skaidrojums, kādā veidā tiks nodrošināta starptautisko saistību izpilde</w:t>
            </w:r>
          </w:p>
        </w:tc>
        <w:tc>
          <w:tcPr>
            <w:tcW w:w="4366" w:type="dxa"/>
            <w:tcBorders>
              <w:top w:val="outset" w:sz="6" w:space="0" w:color="auto"/>
              <w:left w:val="outset" w:sz="6" w:space="0" w:color="auto"/>
              <w:bottom w:val="outset" w:sz="6" w:space="0" w:color="auto"/>
              <w:right w:val="single" w:sz="4" w:space="0" w:color="auto"/>
            </w:tcBorders>
            <w:hideMark/>
          </w:tcPr>
          <w:p w:rsidR="0006328F" w:rsidRPr="009A3C4B" w:rsidRDefault="0006328F" w:rsidP="0006328F">
            <w:pPr>
              <w:spacing w:before="75" w:after="75"/>
            </w:pPr>
            <w:r w:rsidRPr="009A3C4B">
              <w:t> Informācija par to, vai starptautiskās saistības, kas minētas šīs tabulas A ailē, tiek izpildītas pilnībā vai daļēji.</w:t>
            </w:r>
          </w:p>
          <w:p w:rsidR="0006328F" w:rsidRPr="009A3C4B" w:rsidRDefault="0006328F" w:rsidP="0006328F">
            <w:pPr>
              <w:spacing w:before="75" w:after="75"/>
            </w:pPr>
            <w:r w:rsidRPr="009A3C4B">
              <w:t> </w:t>
            </w:r>
          </w:p>
          <w:p w:rsidR="0006328F" w:rsidRPr="009A3C4B" w:rsidRDefault="0006328F" w:rsidP="0006328F">
            <w:pPr>
              <w:spacing w:before="75" w:after="75"/>
            </w:pPr>
            <w:r w:rsidRPr="009A3C4B">
              <w:t>Ja attiecīgās starptautiskās saistības tiek izpildītas daļēji, sniedz attiecīgu skaidrojumu, kā arī precīzi norāda, kad un kādā veidā starptautiskās saistības tiks izpildītas pilnībā.</w:t>
            </w:r>
          </w:p>
          <w:p w:rsidR="0006328F" w:rsidRPr="009A3C4B" w:rsidRDefault="0006328F" w:rsidP="0006328F">
            <w:pPr>
              <w:spacing w:before="75" w:after="75"/>
            </w:pPr>
            <w:r w:rsidRPr="009A3C4B">
              <w:t> </w:t>
            </w:r>
          </w:p>
          <w:p w:rsidR="0006328F" w:rsidRPr="009A3C4B" w:rsidRDefault="0006328F" w:rsidP="0006328F">
            <w:pPr>
              <w:spacing w:before="75" w:after="75"/>
            </w:pPr>
            <w:r w:rsidRPr="009A3C4B">
              <w:t>Norāda institūciju, kas ir atbildīga par šo saistību izpildi pilnībā</w:t>
            </w:r>
          </w:p>
        </w:tc>
      </w:tr>
      <w:tr w:rsidR="0006328F" w:rsidRPr="009A3C4B" w:rsidTr="0006328F">
        <w:trPr>
          <w:trHeight w:val="1425"/>
          <w:tblCellSpacing w:w="0" w:type="dxa"/>
        </w:trPr>
        <w:tc>
          <w:tcPr>
            <w:tcW w:w="2308" w:type="dxa"/>
            <w:tcBorders>
              <w:top w:val="outset" w:sz="6" w:space="0" w:color="auto"/>
              <w:left w:val="single" w:sz="4" w:space="0" w:color="auto"/>
              <w:bottom w:val="outset" w:sz="6" w:space="0" w:color="auto"/>
              <w:right w:val="outset" w:sz="6" w:space="0" w:color="auto"/>
            </w:tcBorders>
            <w:hideMark/>
          </w:tcPr>
          <w:p w:rsidR="0006328F" w:rsidRPr="009A3C4B" w:rsidRDefault="0006328F" w:rsidP="0006328F">
            <w:pPr>
              <w:spacing w:before="75" w:after="75"/>
            </w:pPr>
            <w:r>
              <w:t>Nav attiecināms</w:t>
            </w:r>
          </w:p>
        </w:tc>
        <w:tc>
          <w:tcPr>
            <w:tcW w:w="3108" w:type="dxa"/>
            <w:tcBorders>
              <w:top w:val="outset" w:sz="6" w:space="0" w:color="auto"/>
              <w:left w:val="outset" w:sz="6" w:space="0" w:color="auto"/>
              <w:bottom w:val="outset" w:sz="6" w:space="0" w:color="auto"/>
              <w:right w:val="outset" w:sz="6" w:space="0" w:color="auto"/>
            </w:tcBorders>
            <w:hideMark/>
          </w:tcPr>
          <w:p w:rsidR="0006328F" w:rsidRPr="009A3C4B" w:rsidRDefault="0006328F" w:rsidP="00CD0952">
            <w:pPr>
              <w:spacing w:before="75" w:after="75"/>
            </w:pPr>
            <w:r w:rsidRPr="009A3C4B">
              <w:t> </w:t>
            </w:r>
          </w:p>
        </w:tc>
        <w:tc>
          <w:tcPr>
            <w:tcW w:w="4366" w:type="dxa"/>
            <w:tcBorders>
              <w:top w:val="outset" w:sz="6" w:space="0" w:color="auto"/>
              <w:left w:val="outset" w:sz="6" w:space="0" w:color="auto"/>
              <w:bottom w:val="outset" w:sz="6" w:space="0" w:color="auto"/>
              <w:right w:val="single" w:sz="4" w:space="0" w:color="auto"/>
            </w:tcBorders>
            <w:hideMark/>
          </w:tcPr>
          <w:p w:rsidR="0006328F" w:rsidRPr="009A3C4B" w:rsidRDefault="0006328F" w:rsidP="0006328F">
            <w:pPr>
              <w:spacing w:before="75" w:after="75"/>
            </w:pPr>
            <w:r w:rsidRPr="009A3C4B">
              <w:t> </w:t>
            </w:r>
            <w:r>
              <w:t xml:space="preserve"> Nav attiecināms</w:t>
            </w:r>
          </w:p>
          <w:p w:rsidR="0006328F" w:rsidRPr="009A3C4B" w:rsidRDefault="0006328F" w:rsidP="0006328F">
            <w:pPr>
              <w:spacing w:before="75" w:after="75"/>
            </w:pPr>
          </w:p>
        </w:tc>
      </w:tr>
      <w:tr w:rsidR="0006328F" w:rsidRPr="009A3C4B" w:rsidTr="0006328F">
        <w:trPr>
          <w:trHeight w:val="161"/>
          <w:tblCellSpacing w:w="0" w:type="dxa"/>
        </w:trPr>
        <w:tc>
          <w:tcPr>
            <w:tcW w:w="2308" w:type="dxa"/>
            <w:tcBorders>
              <w:top w:val="outset" w:sz="6" w:space="0" w:color="auto"/>
              <w:left w:val="single" w:sz="4" w:space="0" w:color="auto"/>
              <w:bottom w:val="outset" w:sz="6" w:space="0" w:color="auto"/>
              <w:right w:val="outset" w:sz="6" w:space="0" w:color="auto"/>
            </w:tcBorders>
            <w:vAlign w:val="center"/>
            <w:hideMark/>
          </w:tcPr>
          <w:p w:rsidR="0006328F" w:rsidRPr="009A3C4B" w:rsidRDefault="0006328F" w:rsidP="0006328F">
            <w:pPr>
              <w:spacing w:before="75" w:after="75" w:line="161" w:lineRule="atLeast"/>
              <w:jc w:val="center"/>
            </w:pPr>
            <w:r w:rsidRPr="009A3C4B">
              <w:t>  </w:t>
            </w:r>
          </w:p>
        </w:tc>
        <w:tc>
          <w:tcPr>
            <w:tcW w:w="3108" w:type="dxa"/>
            <w:tcBorders>
              <w:top w:val="outset" w:sz="6" w:space="0" w:color="auto"/>
              <w:left w:val="outset" w:sz="6" w:space="0" w:color="auto"/>
              <w:bottom w:val="outset" w:sz="6" w:space="0" w:color="auto"/>
              <w:right w:val="outset" w:sz="6" w:space="0" w:color="auto"/>
            </w:tcBorders>
            <w:vAlign w:val="center"/>
            <w:hideMark/>
          </w:tcPr>
          <w:p w:rsidR="0006328F" w:rsidRPr="009A3C4B" w:rsidRDefault="0006328F" w:rsidP="0006328F">
            <w:pPr>
              <w:spacing w:before="75" w:after="75" w:line="161" w:lineRule="atLeast"/>
              <w:jc w:val="center"/>
            </w:pPr>
            <w:r w:rsidRPr="009A3C4B">
              <w:t>  </w:t>
            </w:r>
          </w:p>
        </w:tc>
        <w:tc>
          <w:tcPr>
            <w:tcW w:w="4366" w:type="dxa"/>
            <w:tcBorders>
              <w:top w:val="outset" w:sz="6" w:space="0" w:color="auto"/>
              <w:left w:val="outset" w:sz="6" w:space="0" w:color="auto"/>
              <w:bottom w:val="outset" w:sz="6" w:space="0" w:color="auto"/>
              <w:right w:val="single" w:sz="4" w:space="0" w:color="auto"/>
            </w:tcBorders>
            <w:vAlign w:val="center"/>
            <w:hideMark/>
          </w:tcPr>
          <w:p w:rsidR="0006328F" w:rsidRPr="009A3C4B" w:rsidRDefault="0006328F" w:rsidP="0006328F">
            <w:pPr>
              <w:spacing w:before="75" w:after="75" w:line="161" w:lineRule="atLeast"/>
              <w:jc w:val="center"/>
            </w:pPr>
            <w:r w:rsidRPr="009A3C4B">
              <w:t>  </w:t>
            </w:r>
          </w:p>
        </w:tc>
      </w:tr>
      <w:tr w:rsidR="0006328F" w:rsidRPr="009A3C4B" w:rsidTr="0006328F">
        <w:trPr>
          <w:trHeight w:val="161"/>
          <w:tblCellSpacing w:w="0" w:type="dxa"/>
        </w:trPr>
        <w:tc>
          <w:tcPr>
            <w:tcW w:w="2308" w:type="dxa"/>
            <w:tcBorders>
              <w:top w:val="outset" w:sz="6" w:space="0" w:color="auto"/>
              <w:left w:val="single" w:sz="4" w:space="0" w:color="auto"/>
              <w:bottom w:val="outset" w:sz="6" w:space="0" w:color="auto"/>
              <w:right w:val="outset" w:sz="6" w:space="0" w:color="auto"/>
            </w:tcBorders>
            <w:vAlign w:val="center"/>
            <w:hideMark/>
          </w:tcPr>
          <w:p w:rsidR="0006328F" w:rsidRPr="009A3C4B" w:rsidRDefault="0006328F" w:rsidP="0006328F">
            <w:pPr>
              <w:spacing w:before="75" w:after="75" w:line="161" w:lineRule="atLeast"/>
            </w:pPr>
            <w:r w:rsidRPr="009A3C4B">
              <w:t> Vai starptautiskajā dokumentā paredzētās saistības nav pretrunā ar jau esošajām Latvijas Republikas starptautiskajām saistībām</w:t>
            </w:r>
          </w:p>
        </w:tc>
        <w:tc>
          <w:tcPr>
            <w:tcW w:w="7474" w:type="dxa"/>
            <w:gridSpan w:val="2"/>
            <w:tcBorders>
              <w:top w:val="outset" w:sz="6" w:space="0" w:color="auto"/>
              <w:left w:val="outset" w:sz="6" w:space="0" w:color="auto"/>
              <w:bottom w:val="outset" w:sz="6" w:space="0" w:color="auto"/>
              <w:right w:val="single" w:sz="4" w:space="0" w:color="auto"/>
            </w:tcBorders>
            <w:hideMark/>
          </w:tcPr>
          <w:p w:rsidR="0006328F" w:rsidRPr="009A3C4B" w:rsidRDefault="0006328F" w:rsidP="00CD0952">
            <w:pPr>
              <w:spacing w:before="75" w:after="75" w:line="161" w:lineRule="atLeast"/>
            </w:pPr>
            <w:r w:rsidRPr="009A3C4B">
              <w:t> </w:t>
            </w:r>
          </w:p>
        </w:tc>
      </w:tr>
      <w:tr w:rsidR="0006328F" w:rsidRPr="009A3C4B" w:rsidTr="0006328F">
        <w:trPr>
          <w:trHeight w:val="709"/>
          <w:tblCellSpacing w:w="0" w:type="dxa"/>
        </w:trPr>
        <w:tc>
          <w:tcPr>
            <w:tcW w:w="2308" w:type="dxa"/>
            <w:tcBorders>
              <w:top w:val="outset" w:sz="6" w:space="0" w:color="auto"/>
              <w:left w:val="single" w:sz="4" w:space="0" w:color="auto"/>
              <w:bottom w:val="single" w:sz="4" w:space="0" w:color="auto"/>
              <w:right w:val="outset" w:sz="6" w:space="0" w:color="auto"/>
            </w:tcBorders>
            <w:hideMark/>
          </w:tcPr>
          <w:p w:rsidR="0006328F" w:rsidRPr="009A3C4B" w:rsidRDefault="0006328F" w:rsidP="0006328F">
            <w:pPr>
              <w:spacing w:before="75" w:after="75"/>
            </w:pPr>
            <w:r w:rsidRPr="009A3C4B">
              <w:t> Cita informācija</w:t>
            </w:r>
          </w:p>
        </w:tc>
        <w:tc>
          <w:tcPr>
            <w:tcW w:w="7474" w:type="dxa"/>
            <w:gridSpan w:val="2"/>
            <w:tcBorders>
              <w:top w:val="outset" w:sz="6" w:space="0" w:color="auto"/>
              <w:left w:val="outset" w:sz="6" w:space="0" w:color="auto"/>
              <w:bottom w:val="single" w:sz="4" w:space="0" w:color="auto"/>
              <w:right w:val="single" w:sz="4" w:space="0" w:color="auto"/>
            </w:tcBorders>
            <w:hideMark/>
          </w:tcPr>
          <w:p w:rsidR="0006328F" w:rsidRPr="009A3C4B" w:rsidRDefault="0006328F" w:rsidP="00CD0952">
            <w:pPr>
              <w:spacing w:before="75" w:after="75"/>
            </w:pPr>
            <w:r w:rsidRPr="009A3C4B">
              <w:t> </w:t>
            </w:r>
          </w:p>
        </w:tc>
      </w:tr>
    </w:tbl>
    <w:p w:rsidR="00AB1B1C" w:rsidRDefault="00AB1B1C" w:rsidP="008B0DFB"/>
    <w:p w:rsidR="00582CBC" w:rsidRDefault="00582CBC" w:rsidP="008B0DFB"/>
    <w:p w:rsidR="00582CBC" w:rsidRDefault="00582CBC" w:rsidP="008B0DFB"/>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6318"/>
      </w:tblGrid>
      <w:tr w:rsidR="005064B7" w:rsidRPr="002922DC" w:rsidTr="0006328F">
        <w:trPr>
          <w:trHeight w:val="279"/>
        </w:trPr>
        <w:tc>
          <w:tcPr>
            <w:tcW w:w="9782" w:type="dxa"/>
            <w:gridSpan w:val="2"/>
          </w:tcPr>
          <w:p w:rsidR="005064B7" w:rsidRPr="002922DC" w:rsidRDefault="005064B7" w:rsidP="00291F9F">
            <w:pPr>
              <w:jc w:val="center"/>
              <w:rPr>
                <w:b/>
              </w:rPr>
            </w:pPr>
            <w:r w:rsidRPr="002922DC">
              <w:rPr>
                <w:b/>
              </w:rPr>
              <w:t>VII. Tiesību akta projekta izpildes nodrošināšana un tās ietekme uz institūcijām</w:t>
            </w:r>
          </w:p>
        </w:tc>
      </w:tr>
      <w:tr w:rsidR="005064B7" w:rsidRPr="002922DC" w:rsidTr="0006328F">
        <w:trPr>
          <w:trHeight w:val="279"/>
        </w:trPr>
        <w:tc>
          <w:tcPr>
            <w:tcW w:w="3464" w:type="dxa"/>
          </w:tcPr>
          <w:p w:rsidR="005064B7" w:rsidRPr="002922DC" w:rsidRDefault="005064B7" w:rsidP="00291F9F">
            <w:pPr>
              <w:jc w:val="both"/>
            </w:pPr>
            <w:r w:rsidRPr="002922DC">
              <w:rPr>
                <w:sz w:val="22"/>
                <w:szCs w:val="22"/>
              </w:rPr>
              <w:lastRenderedPageBreak/>
              <w:t>Projekta izpildē iesaistītās institūcijas</w:t>
            </w:r>
          </w:p>
        </w:tc>
        <w:tc>
          <w:tcPr>
            <w:tcW w:w="6318" w:type="dxa"/>
          </w:tcPr>
          <w:p w:rsidR="005064B7" w:rsidRPr="002922DC" w:rsidRDefault="005064B7" w:rsidP="00291F9F">
            <w:pPr>
              <w:pStyle w:val="naisnod"/>
              <w:spacing w:before="0" w:after="0"/>
              <w:ind w:right="57"/>
              <w:jc w:val="left"/>
              <w:rPr>
                <w:b w:val="0"/>
              </w:rPr>
            </w:pPr>
            <w:r w:rsidRPr="002922DC">
              <w:rPr>
                <w:b w:val="0"/>
              </w:rPr>
              <w:t>Zāļu valsts aģentūra</w:t>
            </w:r>
          </w:p>
        </w:tc>
      </w:tr>
      <w:tr w:rsidR="005064B7" w:rsidRPr="002922DC" w:rsidTr="0006328F">
        <w:trPr>
          <w:trHeight w:val="279"/>
        </w:trPr>
        <w:tc>
          <w:tcPr>
            <w:tcW w:w="3464" w:type="dxa"/>
          </w:tcPr>
          <w:p w:rsidR="005064B7" w:rsidRPr="002922DC" w:rsidRDefault="005064B7" w:rsidP="00291F9F">
            <w:r w:rsidRPr="002922DC">
              <w:rPr>
                <w:sz w:val="22"/>
                <w:szCs w:val="22"/>
              </w:rPr>
              <w:t>Projekta izpildes ietekme uz pārvaldes funkcijām</w:t>
            </w:r>
          </w:p>
        </w:tc>
        <w:tc>
          <w:tcPr>
            <w:tcW w:w="6318" w:type="dxa"/>
          </w:tcPr>
          <w:p w:rsidR="005064B7" w:rsidRPr="002922DC" w:rsidRDefault="005064B7" w:rsidP="003B2916">
            <w:r w:rsidRPr="002922DC">
              <w:t>Zāļu valsts aģentūra turpina pildīt</w:t>
            </w:r>
            <w:r w:rsidR="002E7E6F">
              <w:t xml:space="preserve"> funkcijas</w:t>
            </w:r>
            <w:r w:rsidRPr="002922DC">
              <w:t xml:space="preserve">, kas </w:t>
            </w:r>
            <w:r>
              <w:t xml:space="preserve">tai </w:t>
            </w:r>
            <w:r w:rsidRPr="002922DC">
              <w:t>de</w:t>
            </w:r>
            <w:r>
              <w:t>leģēt</w:t>
            </w:r>
            <w:r w:rsidR="00AA4364">
              <w:t>as</w:t>
            </w:r>
            <w:r>
              <w:t xml:space="preserve"> ar normatīvajiem aktiem. </w:t>
            </w:r>
            <w:r w:rsidR="002F41C5">
              <w:t xml:space="preserve">Noteikumu projekts nepaplašina un nesašaurina aģentūras </w:t>
            </w:r>
            <w:r w:rsidR="002E7E6F">
              <w:t>funkcijas</w:t>
            </w:r>
            <w:r w:rsidR="002F41C5">
              <w:t>.</w:t>
            </w:r>
            <w:r w:rsidR="00B42EF8">
              <w:t xml:space="preserve"> Pakalpojumu sniegšanas jomā.</w:t>
            </w:r>
          </w:p>
        </w:tc>
      </w:tr>
      <w:tr w:rsidR="005064B7" w:rsidRPr="002922DC" w:rsidTr="0006328F">
        <w:trPr>
          <w:trHeight w:val="279"/>
        </w:trPr>
        <w:tc>
          <w:tcPr>
            <w:tcW w:w="3464" w:type="dxa"/>
          </w:tcPr>
          <w:p w:rsidR="005064B7" w:rsidRPr="002922DC" w:rsidRDefault="005064B7" w:rsidP="00291F9F">
            <w:pPr>
              <w:ind w:right="57"/>
            </w:pPr>
            <w:r w:rsidRPr="002922DC">
              <w:rPr>
                <w:sz w:val="22"/>
                <w:szCs w:val="22"/>
              </w:rPr>
              <w:t>Projekta izpildes ietekme uz pārvaldes institucionālo struktūru.</w:t>
            </w:r>
          </w:p>
          <w:p w:rsidR="005064B7" w:rsidRPr="002922DC" w:rsidRDefault="005064B7" w:rsidP="00291F9F">
            <w:r w:rsidRPr="002922DC">
              <w:rPr>
                <w:sz w:val="22"/>
                <w:szCs w:val="22"/>
              </w:rPr>
              <w:t>Jaunu institūciju izveide</w:t>
            </w:r>
          </w:p>
        </w:tc>
        <w:tc>
          <w:tcPr>
            <w:tcW w:w="6318" w:type="dxa"/>
          </w:tcPr>
          <w:p w:rsidR="005064B7" w:rsidRPr="002922DC" w:rsidRDefault="00E03D8E" w:rsidP="00E03D8E">
            <w:r>
              <w:t>Noteikumu p</w:t>
            </w:r>
            <w:r w:rsidR="005064B7">
              <w:t>rojekts šo jautājumu neskar</w:t>
            </w:r>
          </w:p>
        </w:tc>
      </w:tr>
      <w:tr w:rsidR="005064B7" w:rsidRPr="002922DC" w:rsidTr="0006328F">
        <w:trPr>
          <w:trHeight w:val="279"/>
        </w:trPr>
        <w:tc>
          <w:tcPr>
            <w:tcW w:w="3464" w:type="dxa"/>
          </w:tcPr>
          <w:p w:rsidR="005064B7" w:rsidRPr="002922DC" w:rsidRDefault="005064B7" w:rsidP="00291F9F">
            <w:pPr>
              <w:ind w:right="57"/>
            </w:pPr>
            <w:r w:rsidRPr="002922DC">
              <w:rPr>
                <w:sz w:val="22"/>
                <w:szCs w:val="22"/>
              </w:rPr>
              <w:t>Projekta izpildes ietekme uz pārvaldes institucionālo struktūru.</w:t>
            </w:r>
          </w:p>
          <w:p w:rsidR="005064B7" w:rsidRPr="002922DC" w:rsidRDefault="005064B7" w:rsidP="00291F9F">
            <w:r w:rsidRPr="002922DC">
              <w:rPr>
                <w:sz w:val="22"/>
                <w:szCs w:val="22"/>
              </w:rPr>
              <w:t>Esošu institūciju likvidācija</w:t>
            </w:r>
          </w:p>
        </w:tc>
        <w:tc>
          <w:tcPr>
            <w:tcW w:w="6318" w:type="dxa"/>
          </w:tcPr>
          <w:p w:rsidR="005064B7" w:rsidRPr="002922DC" w:rsidRDefault="00E03D8E" w:rsidP="00E03D8E">
            <w:r>
              <w:t>Noteikumu p</w:t>
            </w:r>
            <w:r w:rsidR="005064B7">
              <w:t>rojekts šo jautājumu neskar</w:t>
            </w:r>
          </w:p>
        </w:tc>
      </w:tr>
      <w:tr w:rsidR="005064B7" w:rsidRPr="002922DC" w:rsidTr="0006328F">
        <w:trPr>
          <w:trHeight w:val="279"/>
        </w:trPr>
        <w:tc>
          <w:tcPr>
            <w:tcW w:w="3464" w:type="dxa"/>
          </w:tcPr>
          <w:p w:rsidR="005064B7" w:rsidRPr="002922DC" w:rsidRDefault="005064B7" w:rsidP="00291F9F">
            <w:pPr>
              <w:ind w:right="57"/>
            </w:pPr>
            <w:r w:rsidRPr="002922DC">
              <w:rPr>
                <w:sz w:val="22"/>
                <w:szCs w:val="22"/>
              </w:rPr>
              <w:t>Projekta izpildes ietekme uz pārvaldes institucionālo struktūru.</w:t>
            </w:r>
          </w:p>
          <w:p w:rsidR="005064B7" w:rsidRPr="002922DC" w:rsidRDefault="005064B7" w:rsidP="00291F9F">
            <w:r w:rsidRPr="002922DC">
              <w:rPr>
                <w:sz w:val="22"/>
                <w:szCs w:val="22"/>
              </w:rPr>
              <w:t>Esošu institūciju reorganizācija</w:t>
            </w:r>
          </w:p>
        </w:tc>
        <w:tc>
          <w:tcPr>
            <w:tcW w:w="6318" w:type="dxa"/>
          </w:tcPr>
          <w:p w:rsidR="005064B7" w:rsidRPr="002922DC" w:rsidRDefault="00E03D8E" w:rsidP="00E03D8E">
            <w:r>
              <w:t>Noteikumu p</w:t>
            </w:r>
            <w:r w:rsidR="005064B7">
              <w:t>rojekts šo jautājumu neskar</w:t>
            </w:r>
          </w:p>
        </w:tc>
      </w:tr>
      <w:tr w:rsidR="005064B7" w:rsidRPr="002922DC" w:rsidTr="0006328F">
        <w:trPr>
          <w:trHeight w:val="279"/>
        </w:trPr>
        <w:tc>
          <w:tcPr>
            <w:tcW w:w="3464" w:type="dxa"/>
          </w:tcPr>
          <w:p w:rsidR="005064B7" w:rsidRPr="002922DC" w:rsidRDefault="005064B7" w:rsidP="00291F9F">
            <w:pPr>
              <w:jc w:val="both"/>
            </w:pPr>
            <w:r w:rsidRPr="002922DC">
              <w:rPr>
                <w:sz w:val="22"/>
                <w:szCs w:val="22"/>
              </w:rPr>
              <w:t>Cita informācija</w:t>
            </w:r>
          </w:p>
        </w:tc>
        <w:tc>
          <w:tcPr>
            <w:tcW w:w="6318" w:type="dxa"/>
          </w:tcPr>
          <w:p w:rsidR="005064B7" w:rsidRPr="002922DC" w:rsidRDefault="005064B7" w:rsidP="00291F9F">
            <w:pPr>
              <w:pStyle w:val="naiskr"/>
              <w:spacing w:before="0" w:after="0"/>
              <w:ind w:left="57" w:right="57"/>
            </w:pPr>
            <w:r w:rsidRPr="002922DC">
              <w:t>Nav</w:t>
            </w:r>
          </w:p>
        </w:tc>
      </w:tr>
    </w:tbl>
    <w:p w:rsidR="005064B7" w:rsidRPr="002922DC" w:rsidRDefault="005064B7" w:rsidP="008B0DFB"/>
    <w:p w:rsidR="00201F53" w:rsidRPr="002922DC" w:rsidRDefault="00201F53" w:rsidP="00201F53">
      <w:r w:rsidRPr="002922DC">
        <w:t xml:space="preserve">Anotācijas </w:t>
      </w:r>
      <w:r w:rsidR="002F41C5">
        <w:t>V</w:t>
      </w:r>
      <w:r w:rsidR="00A82AC7">
        <w:t>I</w:t>
      </w:r>
      <w:r w:rsidR="002F41C5">
        <w:t xml:space="preserve"> </w:t>
      </w:r>
      <w:r w:rsidRPr="002922DC">
        <w:t xml:space="preserve">sadaļa – </w:t>
      </w:r>
      <w:r w:rsidR="00E03D8E">
        <w:t xml:space="preserve">noteikumu </w:t>
      </w:r>
      <w:r w:rsidRPr="002922DC">
        <w:t>projekts š</w:t>
      </w:r>
      <w:r w:rsidR="00290AD3">
        <w:t>o</w:t>
      </w:r>
      <w:r w:rsidRPr="002922DC">
        <w:t xml:space="preserve"> jom</w:t>
      </w:r>
      <w:r w:rsidR="00290AD3">
        <w:t>u</w:t>
      </w:r>
      <w:r w:rsidRPr="002922DC">
        <w:t xml:space="preserve"> neskar.</w:t>
      </w:r>
    </w:p>
    <w:p w:rsidR="00571CFE" w:rsidRDefault="00571CFE" w:rsidP="00201F53">
      <w:pPr>
        <w:jc w:val="both"/>
        <w:rPr>
          <w:sz w:val="28"/>
          <w:szCs w:val="28"/>
        </w:rPr>
      </w:pPr>
    </w:p>
    <w:p w:rsidR="008F6745" w:rsidRDefault="008F6745" w:rsidP="00201F53">
      <w:pPr>
        <w:jc w:val="both"/>
        <w:rPr>
          <w:sz w:val="28"/>
          <w:szCs w:val="28"/>
        </w:rPr>
      </w:pPr>
    </w:p>
    <w:p w:rsidR="005064B7" w:rsidRDefault="005064B7" w:rsidP="00201F53">
      <w:pPr>
        <w:jc w:val="both"/>
        <w:rPr>
          <w:sz w:val="28"/>
          <w:szCs w:val="28"/>
        </w:rPr>
      </w:pPr>
      <w:r w:rsidRPr="002922DC">
        <w:rPr>
          <w:sz w:val="28"/>
          <w:szCs w:val="28"/>
        </w:rPr>
        <w:t>Veselības ministre</w:t>
      </w:r>
      <w:r w:rsidRPr="002922DC">
        <w:rPr>
          <w:sz w:val="28"/>
          <w:szCs w:val="28"/>
        </w:rPr>
        <w:tab/>
      </w:r>
      <w:r w:rsidRPr="002922DC">
        <w:rPr>
          <w:sz w:val="28"/>
          <w:szCs w:val="28"/>
        </w:rPr>
        <w:tab/>
      </w:r>
      <w:r w:rsidRPr="002922DC">
        <w:rPr>
          <w:sz w:val="28"/>
          <w:szCs w:val="28"/>
        </w:rPr>
        <w:tab/>
      </w:r>
      <w:r w:rsidRPr="002922DC">
        <w:rPr>
          <w:sz w:val="28"/>
          <w:szCs w:val="28"/>
        </w:rPr>
        <w:tab/>
      </w:r>
      <w:r w:rsidR="00201F53">
        <w:rPr>
          <w:sz w:val="28"/>
          <w:szCs w:val="28"/>
        </w:rPr>
        <w:tab/>
      </w:r>
      <w:r w:rsidR="00201F53">
        <w:rPr>
          <w:sz w:val="28"/>
          <w:szCs w:val="28"/>
        </w:rPr>
        <w:tab/>
      </w:r>
      <w:r w:rsidR="00201F53">
        <w:rPr>
          <w:sz w:val="28"/>
          <w:szCs w:val="28"/>
        </w:rPr>
        <w:tab/>
      </w:r>
      <w:r w:rsidR="00201F53">
        <w:rPr>
          <w:sz w:val="28"/>
          <w:szCs w:val="28"/>
        </w:rPr>
        <w:tab/>
      </w:r>
      <w:r w:rsidRPr="002922DC">
        <w:rPr>
          <w:sz w:val="28"/>
          <w:szCs w:val="28"/>
        </w:rPr>
        <w:tab/>
        <w:t>I.Circene</w:t>
      </w:r>
    </w:p>
    <w:p w:rsidR="002A5C62" w:rsidRDefault="002A5C62" w:rsidP="00201F53">
      <w:pPr>
        <w:jc w:val="both"/>
        <w:rPr>
          <w:sz w:val="28"/>
          <w:szCs w:val="28"/>
        </w:rPr>
      </w:pPr>
    </w:p>
    <w:p w:rsidR="008F6745" w:rsidRDefault="008F6745" w:rsidP="00201F53">
      <w:pPr>
        <w:jc w:val="both"/>
        <w:rPr>
          <w:sz w:val="28"/>
          <w:szCs w:val="28"/>
        </w:rPr>
      </w:pPr>
    </w:p>
    <w:p w:rsidR="00AA4364" w:rsidRDefault="00AA4364"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B42EF8" w:rsidRDefault="00B42EF8" w:rsidP="00201F53">
      <w:pPr>
        <w:jc w:val="both"/>
        <w:rPr>
          <w:sz w:val="28"/>
          <w:szCs w:val="28"/>
        </w:rPr>
      </w:pPr>
    </w:p>
    <w:p w:rsidR="004F3683" w:rsidRDefault="008664C4" w:rsidP="002A5C62">
      <w:r>
        <w:t>2</w:t>
      </w:r>
      <w:r w:rsidR="00DF26F5">
        <w:t>6</w:t>
      </w:r>
      <w:r w:rsidR="002A5C62" w:rsidRPr="002A5C62">
        <w:t>.0</w:t>
      </w:r>
      <w:r w:rsidR="009B1EA4">
        <w:t>7</w:t>
      </w:r>
      <w:r w:rsidR="002A5C62" w:rsidRPr="002A5C62">
        <w:t xml:space="preserve">.12 </w:t>
      </w:r>
      <w:r w:rsidR="003B2916">
        <w:tab/>
      </w:r>
      <w:r w:rsidR="002A5C62" w:rsidRPr="002A5C62">
        <w:t xml:space="preserve"> </w:t>
      </w:r>
      <w:r w:rsidR="00290AD3">
        <w:t>11</w:t>
      </w:r>
      <w:r w:rsidR="00B3584C">
        <w:t>:</w:t>
      </w:r>
      <w:r w:rsidR="004F3683">
        <w:t>37</w:t>
      </w:r>
    </w:p>
    <w:p w:rsidR="002A5C62" w:rsidRDefault="003B2916" w:rsidP="002A5C62">
      <w:r>
        <w:t>5</w:t>
      </w:r>
      <w:r w:rsidR="00B42EF8">
        <w:t>1</w:t>
      </w:r>
      <w:r w:rsidR="00DF26F5">
        <w:t>91</w:t>
      </w:r>
    </w:p>
    <w:p w:rsidR="002A5C62" w:rsidRPr="002A5C62" w:rsidRDefault="002A5C62" w:rsidP="002A5C62">
      <w:pPr>
        <w:jc w:val="both"/>
      </w:pPr>
      <w:proofErr w:type="spellStart"/>
      <w:r w:rsidRPr="002A5C62">
        <w:t>I.Brūvere</w:t>
      </w:r>
      <w:proofErr w:type="spellEnd"/>
      <w:r w:rsidRPr="002A5C62">
        <w:t>, 67876061</w:t>
      </w:r>
    </w:p>
    <w:p w:rsidR="002A5C62" w:rsidRPr="003B2916" w:rsidRDefault="002A5C62" w:rsidP="002A5C62">
      <w:pPr>
        <w:jc w:val="both"/>
        <w:rPr>
          <w:u w:val="single"/>
        </w:rPr>
      </w:pPr>
      <w:r w:rsidRPr="003B2916">
        <w:rPr>
          <w:u w:val="single"/>
        </w:rPr>
        <w:t>Ieva.Bruvere@vm.gov.lv</w:t>
      </w:r>
    </w:p>
    <w:p w:rsidR="004F1FDB" w:rsidRDefault="004F1FDB" w:rsidP="004F1FDB">
      <w:r>
        <w:t>Ž.Zvaigzne, 67876041</w:t>
      </w:r>
    </w:p>
    <w:p w:rsidR="004F1FDB" w:rsidRPr="003B2916" w:rsidRDefault="004F1FDB" w:rsidP="004F1FDB">
      <w:pPr>
        <w:jc w:val="both"/>
        <w:rPr>
          <w:u w:val="single"/>
        </w:rPr>
      </w:pPr>
      <w:r w:rsidRPr="003B2916">
        <w:rPr>
          <w:u w:val="single"/>
        </w:rPr>
        <w:t>Z</w:t>
      </w:r>
      <w:r w:rsidR="00D322C9" w:rsidRPr="003B2916">
        <w:rPr>
          <w:u w:val="single"/>
        </w:rPr>
        <w:t>anete</w:t>
      </w:r>
      <w:r w:rsidRPr="003B2916">
        <w:rPr>
          <w:u w:val="single"/>
        </w:rPr>
        <w:t>.Zvaigzne@vm.gov.lv</w:t>
      </w:r>
    </w:p>
    <w:p w:rsidR="002A5C62" w:rsidRPr="002A5C62" w:rsidRDefault="002A5C62" w:rsidP="002A5C62">
      <w:pPr>
        <w:rPr>
          <w:color w:val="000000"/>
        </w:rPr>
      </w:pPr>
      <w:proofErr w:type="spellStart"/>
      <w:r w:rsidRPr="002A5C62">
        <w:t>V.Logina</w:t>
      </w:r>
      <w:proofErr w:type="spellEnd"/>
      <w:r w:rsidRPr="002A5C62">
        <w:t xml:space="preserve">, </w:t>
      </w:r>
      <w:r w:rsidRPr="002A5C62">
        <w:rPr>
          <w:color w:val="000000"/>
        </w:rPr>
        <w:t>67078448</w:t>
      </w:r>
    </w:p>
    <w:p w:rsidR="004F1FDB" w:rsidRPr="002A5C62" w:rsidRDefault="0013599A" w:rsidP="002A5C62">
      <w:pPr>
        <w:rPr>
          <w:b/>
        </w:rPr>
      </w:pPr>
      <w:hyperlink r:id="rId28" w:history="1">
        <w:r w:rsidR="004F1FDB" w:rsidRPr="000E6870">
          <w:rPr>
            <w:rStyle w:val="Hipersaite"/>
          </w:rPr>
          <w:t>Vineta.Logina@zva.gov.lv</w:t>
        </w:r>
      </w:hyperlink>
    </w:p>
    <w:sectPr w:rsidR="004F1FDB" w:rsidRPr="002A5C62" w:rsidSect="00291F9F">
      <w:headerReference w:type="even" r:id="rId29"/>
      <w:headerReference w:type="default" r:id="rId30"/>
      <w:footerReference w:type="default" r:id="rId31"/>
      <w:footerReference w:type="first" r:id="rId3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C7" w:rsidRDefault="00A82AC7">
      <w:r>
        <w:separator/>
      </w:r>
    </w:p>
  </w:endnote>
  <w:endnote w:type="continuationSeparator" w:id="0">
    <w:p w:rsidR="00A82AC7" w:rsidRDefault="00A82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C7" w:rsidRPr="0061452A" w:rsidRDefault="00DF26F5" w:rsidP="0061452A">
    <w:pPr>
      <w:rPr>
        <w:szCs w:val="20"/>
      </w:rPr>
    </w:pPr>
    <w:r>
      <w:rPr>
        <w:sz w:val="20"/>
      </w:rPr>
      <w:t>VMAnot_26</w:t>
    </w:r>
    <w:r w:rsidR="00A82AC7">
      <w:rPr>
        <w:sz w:val="20"/>
      </w:rPr>
      <w:t>0712</w:t>
    </w:r>
    <w:r w:rsidR="00A82AC7">
      <w:t xml:space="preserve">_zva ; </w:t>
    </w:r>
    <w:r w:rsidR="00A82AC7" w:rsidRPr="008C2C8E">
      <w:rPr>
        <w:sz w:val="20"/>
        <w:szCs w:val="20"/>
      </w:rPr>
      <w:t xml:space="preserve">Ministru kabineta </w:t>
    </w:r>
    <w:r w:rsidR="00A82AC7">
      <w:rPr>
        <w:sz w:val="20"/>
        <w:szCs w:val="20"/>
      </w:rPr>
      <w:t>noteikumu projekta „</w:t>
    </w:r>
    <w:r w:rsidR="00A82AC7" w:rsidRPr="008C2C8E">
      <w:rPr>
        <w:sz w:val="20"/>
        <w:szCs w:val="20"/>
      </w:rPr>
      <w:t>Zāļu valsts aģentūr</w:t>
    </w:r>
    <w:r w:rsidR="00A82AC7">
      <w:rPr>
        <w:sz w:val="20"/>
        <w:szCs w:val="20"/>
      </w:rPr>
      <w:t>as nolikums</w:t>
    </w:r>
    <w:r w:rsidR="00A82AC7" w:rsidRPr="008C2C8E">
      <w:rPr>
        <w:sz w:val="20"/>
        <w:szCs w:val="20"/>
      </w:rPr>
      <w:t>”</w:t>
    </w:r>
    <w:r w:rsidR="00A82AC7">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C7" w:rsidRPr="004A00AF" w:rsidRDefault="00DF26F5" w:rsidP="008B716A">
    <w:pPr>
      <w:rPr>
        <w:sz w:val="20"/>
        <w:szCs w:val="20"/>
      </w:rPr>
    </w:pPr>
    <w:r>
      <w:rPr>
        <w:sz w:val="20"/>
      </w:rPr>
      <w:t>VMAnot_26</w:t>
    </w:r>
    <w:r w:rsidR="00A82AC7">
      <w:rPr>
        <w:sz w:val="20"/>
      </w:rPr>
      <w:t>0712</w:t>
    </w:r>
    <w:r w:rsidR="00A82AC7">
      <w:t xml:space="preserve">_zva ; </w:t>
    </w:r>
    <w:r w:rsidR="00A82AC7" w:rsidRPr="008C2C8E">
      <w:rPr>
        <w:sz w:val="20"/>
        <w:szCs w:val="20"/>
      </w:rPr>
      <w:t xml:space="preserve">Ministru kabineta </w:t>
    </w:r>
    <w:r w:rsidR="00A82AC7">
      <w:rPr>
        <w:sz w:val="20"/>
        <w:szCs w:val="20"/>
      </w:rPr>
      <w:t>noteikumu projekta „</w:t>
    </w:r>
    <w:r w:rsidR="00A82AC7" w:rsidRPr="008C2C8E">
      <w:rPr>
        <w:sz w:val="20"/>
        <w:szCs w:val="20"/>
      </w:rPr>
      <w:t>Zāļu valsts aģentūr</w:t>
    </w:r>
    <w:r w:rsidR="00A82AC7">
      <w:rPr>
        <w:sz w:val="20"/>
        <w:szCs w:val="20"/>
      </w:rPr>
      <w:t>as nolikums</w:t>
    </w:r>
    <w:r w:rsidR="00A82AC7" w:rsidRPr="008C2C8E">
      <w:rPr>
        <w:sz w:val="20"/>
        <w:szCs w:val="20"/>
      </w:rPr>
      <w:t>”</w:t>
    </w:r>
    <w:r w:rsidR="00A82AC7">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C7" w:rsidRDefault="00A82AC7">
      <w:r>
        <w:separator/>
      </w:r>
    </w:p>
  </w:footnote>
  <w:footnote w:type="continuationSeparator" w:id="0">
    <w:p w:rsidR="00A82AC7" w:rsidRDefault="00A82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C7" w:rsidRDefault="0013599A" w:rsidP="00291F9F">
    <w:pPr>
      <w:pStyle w:val="Galvene"/>
      <w:framePr w:wrap="around" w:vAnchor="text" w:hAnchor="margin" w:xAlign="center" w:y="1"/>
      <w:rPr>
        <w:rStyle w:val="Lappusesnumurs"/>
      </w:rPr>
    </w:pPr>
    <w:r>
      <w:rPr>
        <w:rStyle w:val="Lappusesnumurs"/>
      </w:rPr>
      <w:fldChar w:fldCharType="begin"/>
    </w:r>
    <w:r w:rsidR="00A82AC7">
      <w:rPr>
        <w:rStyle w:val="Lappusesnumurs"/>
      </w:rPr>
      <w:instrText xml:space="preserve">PAGE  </w:instrText>
    </w:r>
    <w:r>
      <w:rPr>
        <w:rStyle w:val="Lappusesnumurs"/>
      </w:rPr>
      <w:fldChar w:fldCharType="end"/>
    </w:r>
  </w:p>
  <w:p w:rsidR="00A82AC7" w:rsidRDefault="00A82AC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C7" w:rsidRDefault="0013599A" w:rsidP="00291F9F">
    <w:pPr>
      <w:pStyle w:val="Galvene"/>
      <w:framePr w:wrap="around" w:vAnchor="text" w:hAnchor="margin" w:xAlign="center" w:y="1"/>
      <w:rPr>
        <w:rStyle w:val="Lappusesnumurs"/>
      </w:rPr>
    </w:pPr>
    <w:r>
      <w:rPr>
        <w:rStyle w:val="Lappusesnumurs"/>
      </w:rPr>
      <w:fldChar w:fldCharType="begin"/>
    </w:r>
    <w:r w:rsidR="00A82AC7">
      <w:rPr>
        <w:rStyle w:val="Lappusesnumurs"/>
      </w:rPr>
      <w:instrText xml:space="preserve">PAGE  </w:instrText>
    </w:r>
    <w:r>
      <w:rPr>
        <w:rStyle w:val="Lappusesnumurs"/>
      </w:rPr>
      <w:fldChar w:fldCharType="separate"/>
    </w:r>
    <w:r w:rsidR="004F3683">
      <w:rPr>
        <w:rStyle w:val="Lappusesnumurs"/>
        <w:noProof/>
      </w:rPr>
      <w:t>20</w:t>
    </w:r>
    <w:r>
      <w:rPr>
        <w:rStyle w:val="Lappusesnumurs"/>
      </w:rPr>
      <w:fldChar w:fldCharType="end"/>
    </w:r>
  </w:p>
  <w:p w:rsidR="00A82AC7" w:rsidRDefault="00A82AC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744A"/>
    <w:multiLevelType w:val="hybridMultilevel"/>
    <w:tmpl w:val="6BD8DD0A"/>
    <w:lvl w:ilvl="0" w:tplc="53E2790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31F65DAD"/>
    <w:multiLevelType w:val="hybridMultilevel"/>
    <w:tmpl w:val="D57C7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D1A4C54"/>
    <w:multiLevelType w:val="hybridMultilevel"/>
    <w:tmpl w:val="9ED6294A"/>
    <w:lvl w:ilvl="0" w:tplc="F2A07A6A">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736704B5"/>
    <w:multiLevelType w:val="hybridMultilevel"/>
    <w:tmpl w:val="4E58D8E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8B0DFB"/>
    <w:rsid w:val="00010102"/>
    <w:rsid w:val="00011A6D"/>
    <w:rsid w:val="00016660"/>
    <w:rsid w:val="00021140"/>
    <w:rsid w:val="00024BA7"/>
    <w:rsid w:val="0002720D"/>
    <w:rsid w:val="00033306"/>
    <w:rsid w:val="00044DC1"/>
    <w:rsid w:val="0006043E"/>
    <w:rsid w:val="0006328F"/>
    <w:rsid w:val="000753BC"/>
    <w:rsid w:val="00076D55"/>
    <w:rsid w:val="00083DB5"/>
    <w:rsid w:val="00097749"/>
    <w:rsid w:val="00097E03"/>
    <w:rsid w:val="000B78F4"/>
    <w:rsid w:val="000C6FBE"/>
    <w:rsid w:val="000D30C5"/>
    <w:rsid w:val="000E4000"/>
    <w:rsid w:val="000E6B18"/>
    <w:rsid w:val="000F5144"/>
    <w:rsid w:val="000F7E02"/>
    <w:rsid w:val="00102C1A"/>
    <w:rsid w:val="00107B83"/>
    <w:rsid w:val="00134A9F"/>
    <w:rsid w:val="0013599A"/>
    <w:rsid w:val="00137765"/>
    <w:rsid w:val="001409E5"/>
    <w:rsid w:val="00146C3D"/>
    <w:rsid w:val="00161849"/>
    <w:rsid w:val="00164FCA"/>
    <w:rsid w:val="001676D9"/>
    <w:rsid w:val="001812B0"/>
    <w:rsid w:val="001B05DB"/>
    <w:rsid w:val="001C3B55"/>
    <w:rsid w:val="001D2F18"/>
    <w:rsid w:val="001E3C63"/>
    <w:rsid w:val="001E4DD7"/>
    <w:rsid w:val="001F5FA6"/>
    <w:rsid w:val="00201861"/>
    <w:rsid w:val="00201F53"/>
    <w:rsid w:val="00207FCE"/>
    <w:rsid w:val="00213B85"/>
    <w:rsid w:val="00214CF0"/>
    <w:rsid w:val="0022202F"/>
    <w:rsid w:val="002538EF"/>
    <w:rsid w:val="0027555D"/>
    <w:rsid w:val="00281848"/>
    <w:rsid w:val="00287CD6"/>
    <w:rsid w:val="00290AD3"/>
    <w:rsid w:val="00291F9F"/>
    <w:rsid w:val="002922DC"/>
    <w:rsid w:val="00292DF9"/>
    <w:rsid w:val="002964ED"/>
    <w:rsid w:val="002A5C62"/>
    <w:rsid w:val="002A7CDD"/>
    <w:rsid w:val="002B023A"/>
    <w:rsid w:val="002B5450"/>
    <w:rsid w:val="002B6BF6"/>
    <w:rsid w:val="002C714E"/>
    <w:rsid w:val="002E58C0"/>
    <w:rsid w:val="002E7E6F"/>
    <w:rsid w:val="002F3F5F"/>
    <w:rsid w:val="002F41C5"/>
    <w:rsid w:val="003033B4"/>
    <w:rsid w:val="0030390E"/>
    <w:rsid w:val="00345517"/>
    <w:rsid w:val="00356423"/>
    <w:rsid w:val="00357128"/>
    <w:rsid w:val="003760CF"/>
    <w:rsid w:val="0039121F"/>
    <w:rsid w:val="00392704"/>
    <w:rsid w:val="00393E8D"/>
    <w:rsid w:val="003A0B01"/>
    <w:rsid w:val="003A1A68"/>
    <w:rsid w:val="003A3811"/>
    <w:rsid w:val="003A6EB1"/>
    <w:rsid w:val="003B2916"/>
    <w:rsid w:val="003B64D1"/>
    <w:rsid w:val="003D112E"/>
    <w:rsid w:val="00400F10"/>
    <w:rsid w:val="00415E46"/>
    <w:rsid w:val="00431A5B"/>
    <w:rsid w:val="00436A48"/>
    <w:rsid w:val="004405EE"/>
    <w:rsid w:val="00456798"/>
    <w:rsid w:val="00482D1E"/>
    <w:rsid w:val="0049185F"/>
    <w:rsid w:val="004A00AF"/>
    <w:rsid w:val="004A12F7"/>
    <w:rsid w:val="004B2744"/>
    <w:rsid w:val="004B357C"/>
    <w:rsid w:val="004C4870"/>
    <w:rsid w:val="004C4FB4"/>
    <w:rsid w:val="004F1FDB"/>
    <w:rsid w:val="004F3683"/>
    <w:rsid w:val="004F5016"/>
    <w:rsid w:val="005064B7"/>
    <w:rsid w:val="00516B71"/>
    <w:rsid w:val="005265AD"/>
    <w:rsid w:val="0055304B"/>
    <w:rsid w:val="005553AE"/>
    <w:rsid w:val="00562BC1"/>
    <w:rsid w:val="005643D2"/>
    <w:rsid w:val="00571CFE"/>
    <w:rsid w:val="00581966"/>
    <w:rsid w:val="00582CBC"/>
    <w:rsid w:val="00585974"/>
    <w:rsid w:val="005865A7"/>
    <w:rsid w:val="005A632F"/>
    <w:rsid w:val="005B5912"/>
    <w:rsid w:val="005B724E"/>
    <w:rsid w:val="005D70A2"/>
    <w:rsid w:val="00601B70"/>
    <w:rsid w:val="00603C36"/>
    <w:rsid w:val="006143F2"/>
    <w:rsid w:val="0061452A"/>
    <w:rsid w:val="0062189B"/>
    <w:rsid w:val="00623D8D"/>
    <w:rsid w:val="0062582D"/>
    <w:rsid w:val="00626CC8"/>
    <w:rsid w:val="00653C5B"/>
    <w:rsid w:val="006566ED"/>
    <w:rsid w:val="00657415"/>
    <w:rsid w:val="006630E2"/>
    <w:rsid w:val="00666C4D"/>
    <w:rsid w:val="006900F2"/>
    <w:rsid w:val="00694178"/>
    <w:rsid w:val="006A3FD1"/>
    <w:rsid w:val="006A7AD8"/>
    <w:rsid w:val="006B42E1"/>
    <w:rsid w:val="006C7919"/>
    <w:rsid w:val="006E3680"/>
    <w:rsid w:val="007008B1"/>
    <w:rsid w:val="00702377"/>
    <w:rsid w:val="007064EC"/>
    <w:rsid w:val="007155F9"/>
    <w:rsid w:val="0072503F"/>
    <w:rsid w:val="00727A32"/>
    <w:rsid w:val="00736E35"/>
    <w:rsid w:val="00744A95"/>
    <w:rsid w:val="00745B3D"/>
    <w:rsid w:val="00760F78"/>
    <w:rsid w:val="00767DD8"/>
    <w:rsid w:val="00770381"/>
    <w:rsid w:val="00776635"/>
    <w:rsid w:val="00777908"/>
    <w:rsid w:val="007B78B1"/>
    <w:rsid w:val="007C16C0"/>
    <w:rsid w:val="007C2A58"/>
    <w:rsid w:val="007C7619"/>
    <w:rsid w:val="007D0BE8"/>
    <w:rsid w:val="007D2A86"/>
    <w:rsid w:val="007D4A55"/>
    <w:rsid w:val="007D502B"/>
    <w:rsid w:val="007D72A9"/>
    <w:rsid w:val="007E41D8"/>
    <w:rsid w:val="007F70E7"/>
    <w:rsid w:val="00800D9A"/>
    <w:rsid w:val="008039A1"/>
    <w:rsid w:val="00831935"/>
    <w:rsid w:val="008448C8"/>
    <w:rsid w:val="00854FB2"/>
    <w:rsid w:val="00862037"/>
    <w:rsid w:val="0086418A"/>
    <w:rsid w:val="008664C4"/>
    <w:rsid w:val="00873901"/>
    <w:rsid w:val="00881ACC"/>
    <w:rsid w:val="00883536"/>
    <w:rsid w:val="008A13B2"/>
    <w:rsid w:val="008A3D83"/>
    <w:rsid w:val="008A4B35"/>
    <w:rsid w:val="008B0DFB"/>
    <w:rsid w:val="008B716A"/>
    <w:rsid w:val="008C2C8E"/>
    <w:rsid w:val="008E09C8"/>
    <w:rsid w:val="008E5DED"/>
    <w:rsid w:val="008F058B"/>
    <w:rsid w:val="008F0DF3"/>
    <w:rsid w:val="008F29AC"/>
    <w:rsid w:val="008F6745"/>
    <w:rsid w:val="009068EB"/>
    <w:rsid w:val="0091042E"/>
    <w:rsid w:val="009104C0"/>
    <w:rsid w:val="00925B56"/>
    <w:rsid w:val="00926C28"/>
    <w:rsid w:val="00927F61"/>
    <w:rsid w:val="00927F71"/>
    <w:rsid w:val="0094314E"/>
    <w:rsid w:val="009509A0"/>
    <w:rsid w:val="0095405A"/>
    <w:rsid w:val="00972EC2"/>
    <w:rsid w:val="009A5848"/>
    <w:rsid w:val="009B0896"/>
    <w:rsid w:val="009B1EA4"/>
    <w:rsid w:val="009B5C87"/>
    <w:rsid w:val="009D1F2C"/>
    <w:rsid w:val="009D6524"/>
    <w:rsid w:val="009E2085"/>
    <w:rsid w:val="009F164A"/>
    <w:rsid w:val="009F172C"/>
    <w:rsid w:val="009F3E65"/>
    <w:rsid w:val="00A12354"/>
    <w:rsid w:val="00A24544"/>
    <w:rsid w:val="00A3462C"/>
    <w:rsid w:val="00A42529"/>
    <w:rsid w:val="00A519F9"/>
    <w:rsid w:val="00A57353"/>
    <w:rsid w:val="00A70392"/>
    <w:rsid w:val="00A73FF0"/>
    <w:rsid w:val="00A80E05"/>
    <w:rsid w:val="00A825DA"/>
    <w:rsid w:val="00A82AC7"/>
    <w:rsid w:val="00A8575E"/>
    <w:rsid w:val="00AA4364"/>
    <w:rsid w:val="00AB0E96"/>
    <w:rsid w:val="00AB1B1C"/>
    <w:rsid w:val="00AB4F05"/>
    <w:rsid w:val="00AC2CA1"/>
    <w:rsid w:val="00AC7313"/>
    <w:rsid w:val="00AD1BA3"/>
    <w:rsid w:val="00AD3027"/>
    <w:rsid w:val="00AD50E2"/>
    <w:rsid w:val="00AF220A"/>
    <w:rsid w:val="00B3584C"/>
    <w:rsid w:val="00B41292"/>
    <w:rsid w:val="00B41C26"/>
    <w:rsid w:val="00B42EF8"/>
    <w:rsid w:val="00B52FF2"/>
    <w:rsid w:val="00B61F3F"/>
    <w:rsid w:val="00B625BA"/>
    <w:rsid w:val="00B7770B"/>
    <w:rsid w:val="00B82156"/>
    <w:rsid w:val="00B82433"/>
    <w:rsid w:val="00B82921"/>
    <w:rsid w:val="00B82B35"/>
    <w:rsid w:val="00BA0D6F"/>
    <w:rsid w:val="00BA778F"/>
    <w:rsid w:val="00BB2DAC"/>
    <w:rsid w:val="00BB7EF9"/>
    <w:rsid w:val="00BC2458"/>
    <w:rsid w:val="00BD6318"/>
    <w:rsid w:val="00BD6C83"/>
    <w:rsid w:val="00BE529D"/>
    <w:rsid w:val="00BF2450"/>
    <w:rsid w:val="00C22DB5"/>
    <w:rsid w:val="00C23DE7"/>
    <w:rsid w:val="00C27336"/>
    <w:rsid w:val="00C32EC4"/>
    <w:rsid w:val="00C336B6"/>
    <w:rsid w:val="00C336E5"/>
    <w:rsid w:val="00C3406F"/>
    <w:rsid w:val="00C42E76"/>
    <w:rsid w:val="00C44C92"/>
    <w:rsid w:val="00C53763"/>
    <w:rsid w:val="00C62AC0"/>
    <w:rsid w:val="00C71428"/>
    <w:rsid w:val="00C74FFF"/>
    <w:rsid w:val="00C818DC"/>
    <w:rsid w:val="00CA3493"/>
    <w:rsid w:val="00CB766C"/>
    <w:rsid w:val="00CD0952"/>
    <w:rsid w:val="00CF6089"/>
    <w:rsid w:val="00D1039E"/>
    <w:rsid w:val="00D13AAF"/>
    <w:rsid w:val="00D2104F"/>
    <w:rsid w:val="00D322C9"/>
    <w:rsid w:val="00D3588E"/>
    <w:rsid w:val="00D367D8"/>
    <w:rsid w:val="00D44311"/>
    <w:rsid w:val="00D52796"/>
    <w:rsid w:val="00D53FCE"/>
    <w:rsid w:val="00D552C0"/>
    <w:rsid w:val="00D61C4A"/>
    <w:rsid w:val="00D642B8"/>
    <w:rsid w:val="00D727EE"/>
    <w:rsid w:val="00D733E3"/>
    <w:rsid w:val="00D736B9"/>
    <w:rsid w:val="00D77663"/>
    <w:rsid w:val="00D77FB5"/>
    <w:rsid w:val="00DA3EE2"/>
    <w:rsid w:val="00DA5EC9"/>
    <w:rsid w:val="00DA78AF"/>
    <w:rsid w:val="00DB0D36"/>
    <w:rsid w:val="00DB1276"/>
    <w:rsid w:val="00DB1878"/>
    <w:rsid w:val="00DB503B"/>
    <w:rsid w:val="00DD3527"/>
    <w:rsid w:val="00DE06DB"/>
    <w:rsid w:val="00DE07B7"/>
    <w:rsid w:val="00DE22BA"/>
    <w:rsid w:val="00DE2501"/>
    <w:rsid w:val="00DF26F5"/>
    <w:rsid w:val="00DF7702"/>
    <w:rsid w:val="00E03D8E"/>
    <w:rsid w:val="00E10616"/>
    <w:rsid w:val="00E1290B"/>
    <w:rsid w:val="00E2545F"/>
    <w:rsid w:val="00E32AC4"/>
    <w:rsid w:val="00E421A8"/>
    <w:rsid w:val="00E51D39"/>
    <w:rsid w:val="00E602FE"/>
    <w:rsid w:val="00E6077E"/>
    <w:rsid w:val="00E752C4"/>
    <w:rsid w:val="00E761BB"/>
    <w:rsid w:val="00E903C4"/>
    <w:rsid w:val="00E95108"/>
    <w:rsid w:val="00EB3085"/>
    <w:rsid w:val="00EC05A7"/>
    <w:rsid w:val="00EC51DE"/>
    <w:rsid w:val="00ED6DC9"/>
    <w:rsid w:val="00EE2FD8"/>
    <w:rsid w:val="00EE5DAB"/>
    <w:rsid w:val="00F07293"/>
    <w:rsid w:val="00F07CA0"/>
    <w:rsid w:val="00F10FC4"/>
    <w:rsid w:val="00F13CF1"/>
    <w:rsid w:val="00F14661"/>
    <w:rsid w:val="00F163A2"/>
    <w:rsid w:val="00F35068"/>
    <w:rsid w:val="00F46BEA"/>
    <w:rsid w:val="00F73A02"/>
    <w:rsid w:val="00F77ECD"/>
    <w:rsid w:val="00F82737"/>
    <w:rsid w:val="00F85BD0"/>
    <w:rsid w:val="00F94B7F"/>
    <w:rsid w:val="00FA3EFF"/>
    <w:rsid w:val="00FA6545"/>
    <w:rsid w:val="00FA6F75"/>
    <w:rsid w:val="00FB6CAC"/>
    <w:rsid w:val="00FC44E4"/>
    <w:rsid w:val="00FC69E7"/>
    <w:rsid w:val="00FD2E98"/>
    <w:rsid w:val="00FD4C03"/>
    <w:rsid w:val="00FD5FC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0DFB"/>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8B0DFB"/>
    <w:pPr>
      <w:autoSpaceDE w:val="0"/>
      <w:autoSpaceDN w:val="0"/>
      <w:adjustRightInd w:val="0"/>
    </w:pPr>
    <w:rPr>
      <w:color w:val="000000"/>
      <w:sz w:val="24"/>
      <w:szCs w:val="24"/>
      <w:lang w:val="lv-LV" w:eastAsia="lv-LV"/>
    </w:rPr>
  </w:style>
  <w:style w:type="paragraph" w:customStyle="1" w:styleId="naislab">
    <w:name w:val="naislab"/>
    <w:basedOn w:val="Parastais"/>
    <w:uiPriority w:val="99"/>
    <w:rsid w:val="008B0DFB"/>
    <w:pPr>
      <w:spacing w:before="75" w:after="75"/>
      <w:jc w:val="right"/>
    </w:pPr>
  </w:style>
  <w:style w:type="paragraph" w:customStyle="1" w:styleId="naiskr">
    <w:name w:val="naiskr"/>
    <w:basedOn w:val="Parastais"/>
    <w:rsid w:val="008B0DFB"/>
    <w:pPr>
      <w:spacing w:before="75" w:after="75"/>
    </w:pPr>
  </w:style>
  <w:style w:type="paragraph" w:styleId="Galvene">
    <w:name w:val="header"/>
    <w:basedOn w:val="Parastais"/>
    <w:link w:val="GalveneRakstz"/>
    <w:uiPriority w:val="99"/>
    <w:rsid w:val="008B0DFB"/>
    <w:pPr>
      <w:tabs>
        <w:tab w:val="center" w:pos="4153"/>
        <w:tab w:val="right" w:pos="8306"/>
      </w:tabs>
    </w:pPr>
  </w:style>
  <w:style w:type="character" w:customStyle="1" w:styleId="GalveneRakstz">
    <w:name w:val="Galvene Rakstz."/>
    <w:basedOn w:val="Noklusjumarindkopasfonts"/>
    <w:link w:val="Galvene"/>
    <w:uiPriority w:val="99"/>
    <w:semiHidden/>
    <w:locked/>
    <w:rsid w:val="008B0DFB"/>
    <w:rPr>
      <w:rFonts w:cs="Times New Roman"/>
      <w:sz w:val="24"/>
      <w:szCs w:val="24"/>
      <w:lang w:val="lv-LV" w:eastAsia="lv-LV" w:bidi="ar-SA"/>
    </w:rPr>
  </w:style>
  <w:style w:type="character" w:styleId="Lappusesnumurs">
    <w:name w:val="page number"/>
    <w:basedOn w:val="Noklusjumarindkopasfonts"/>
    <w:uiPriority w:val="99"/>
    <w:rsid w:val="008B0DFB"/>
    <w:rPr>
      <w:rFonts w:cs="Times New Roman"/>
    </w:rPr>
  </w:style>
  <w:style w:type="paragraph" w:customStyle="1" w:styleId="naisnod">
    <w:name w:val="naisnod"/>
    <w:basedOn w:val="Parastais"/>
    <w:rsid w:val="008B0DFB"/>
    <w:pPr>
      <w:spacing w:before="150" w:after="150"/>
      <w:jc w:val="center"/>
    </w:pPr>
    <w:rPr>
      <w:b/>
      <w:bCs/>
    </w:rPr>
  </w:style>
  <w:style w:type="paragraph" w:customStyle="1" w:styleId="naisf">
    <w:name w:val="naisf"/>
    <w:basedOn w:val="Parastais"/>
    <w:uiPriority w:val="99"/>
    <w:rsid w:val="008B0DFB"/>
    <w:pPr>
      <w:spacing w:before="75" w:after="75"/>
      <w:ind w:firstLine="375"/>
      <w:jc w:val="both"/>
    </w:pPr>
  </w:style>
  <w:style w:type="paragraph" w:styleId="Kjene">
    <w:name w:val="footer"/>
    <w:basedOn w:val="Parastais"/>
    <w:link w:val="KjeneRakstz"/>
    <w:uiPriority w:val="99"/>
    <w:rsid w:val="008B0DFB"/>
    <w:pPr>
      <w:tabs>
        <w:tab w:val="center" w:pos="4153"/>
        <w:tab w:val="right" w:pos="8306"/>
      </w:tabs>
    </w:pPr>
  </w:style>
  <w:style w:type="character" w:customStyle="1" w:styleId="KjeneRakstz">
    <w:name w:val="Kājene Rakstz."/>
    <w:basedOn w:val="Noklusjumarindkopasfonts"/>
    <w:link w:val="Kjene"/>
    <w:uiPriority w:val="99"/>
    <w:semiHidden/>
    <w:locked/>
    <w:rsid w:val="008B0DFB"/>
    <w:rPr>
      <w:rFonts w:cs="Times New Roman"/>
      <w:sz w:val="24"/>
      <w:szCs w:val="24"/>
      <w:lang w:val="lv-LV" w:eastAsia="lv-LV" w:bidi="ar-SA"/>
    </w:rPr>
  </w:style>
  <w:style w:type="paragraph" w:styleId="Pamattekstaatkpe2">
    <w:name w:val="Body Text Indent 2"/>
    <w:basedOn w:val="Parastais"/>
    <w:link w:val="Pamattekstaatkpe2Rakstz"/>
    <w:uiPriority w:val="99"/>
    <w:rsid w:val="008B0DFB"/>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semiHidden/>
    <w:locked/>
    <w:rsid w:val="008B0DFB"/>
    <w:rPr>
      <w:rFonts w:cs="Times New Roman"/>
      <w:sz w:val="24"/>
      <w:lang w:val="lv-LV" w:eastAsia="en-US" w:bidi="ar-SA"/>
    </w:rPr>
  </w:style>
  <w:style w:type="paragraph" w:styleId="ParastaisWeb">
    <w:name w:val="Normal (Web)"/>
    <w:basedOn w:val="Parastais"/>
    <w:uiPriority w:val="99"/>
    <w:rsid w:val="008B0DFB"/>
    <w:pPr>
      <w:spacing w:before="100" w:beforeAutospacing="1" w:after="100" w:afterAutospacing="1"/>
    </w:pPr>
    <w:rPr>
      <w:szCs w:val="20"/>
      <w:lang w:eastAsia="en-US"/>
    </w:rPr>
  </w:style>
  <w:style w:type="paragraph" w:customStyle="1" w:styleId="naisc">
    <w:name w:val="naisc"/>
    <w:basedOn w:val="Parastais"/>
    <w:uiPriority w:val="99"/>
    <w:rsid w:val="008B0DFB"/>
    <w:pPr>
      <w:spacing w:before="75" w:after="75"/>
      <w:jc w:val="center"/>
    </w:pPr>
  </w:style>
  <w:style w:type="paragraph" w:styleId="Pamattekstsaratkpi">
    <w:name w:val="Body Text Indent"/>
    <w:basedOn w:val="Parastais"/>
    <w:link w:val="PamattekstsaratkpiRakstz"/>
    <w:uiPriority w:val="99"/>
    <w:rsid w:val="008B0DFB"/>
    <w:pPr>
      <w:spacing w:after="120"/>
      <w:ind w:left="283"/>
    </w:pPr>
  </w:style>
  <w:style w:type="character" w:customStyle="1" w:styleId="PamattekstsaratkpiRakstz">
    <w:name w:val="Pamatteksts ar atkāpi Rakstz."/>
    <w:basedOn w:val="Noklusjumarindkopasfonts"/>
    <w:link w:val="Pamattekstsaratkpi"/>
    <w:uiPriority w:val="99"/>
    <w:locked/>
    <w:rsid w:val="008B0DFB"/>
    <w:rPr>
      <w:rFonts w:cs="Times New Roman"/>
      <w:sz w:val="24"/>
      <w:szCs w:val="24"/>
      <w:lang w:val="lv-LV" w:eastAsia="lv-LV" w:bidi="ar-SA"/>
    </w:rPr>
  </w:style>
  <w:style w:type="character" w:styleId="Izteiksmgs">
    <w:name w:val="Strong"/>
    <w:basedOn w:val="Noklusjumarindkopasfonts"/>
    <w:uiPriority w:val="99"/>
    <w:qFormat/>
    <w:rsid w:val="005A632F"/>
    <w:rPr>
      <w:rFonts w:cs="Times New Roman"/>
      <w:b/>
      <w:bCs/>
    </w:rPr>
  </w:style>
  <w:style w:type="character" w:customStyle="1" w:styleId="apple-style-span">
    <w:name w:val="apple-style-span"/>
    <w:basedOn w:val="Noklusjumarindkopasfonts"/>
    <w:uiPriority w:val="99"/>
    <w:rsid w:val="005A632F"/>
    <w:rPr>
      <w:rFonts w:cs="Times New Roman"/>
    </w:rPr>
  </w:style>
  <w:style w:type="paragraph" w:customStyle="1" w:styleId="CharChar">
    <w:name w:val="Char Char"/>
    <w:basedOn w:val="Parastais"/>
    <w:uiPriority w:val="99"/>
    <w:rsid w:val="00D3588E"/>
    <w:pPr>
      <w:spacing w:before="40"/>
    </w:pPr>
    <w:rPr>
      <w:lang w:val="pl-PL" w:eastAsia="pl-PL"/>
    </w:rPr>
  </w:style>
  <w:style w:type="character" w:styleId="Hipersaite">
    <w:name w:val="Hyperlink"/>
    <w:basedOn w:val="Noklusjumarindkopasfonts"/>
    <w:uiPriority w:val="99"/>
    <w:rsid w:val="00010102"/>
    <w:rPr>
      <w:rFonts w:cs="Times New Roman"/>
      <w:color w:val="0000FF"/>
      <w:u w:val="single"/>
    </w:rPr>
  </w:style>
  <w:style w:type="paragraph" w:styleId="Sarakstarindkopa">
    <w:name w:val="List Paragraph"/>
    <w:basedOn w:val="Parastais"/>
    <w:uiPriority w:val="99"/>
    <w:qFormat/>
    <w:rsid w:val="0030390E"/>
    <w:pPr>
      <w:ind w:left="720"/>
    </w:pPr>
  </w:style>
  <w:style w:type="paragraph" w:styleId="Vresteksts">
    <w:name w:val="footnote text"/>
    <w:basedOn w:val="Parastais"/>
    <w:link w:val="VrestekstsRakstz"/>
    <w:uiPriority w:val="99"/>
    <w:rsid w:val="003D112E"/>
    <w:rPr>
      <w:sz w:val="20"/>
      <w:szCs w:val="20"/>
    </w:rPr>
  </w:style>
  <w:style w:type="character" w:customStyle="1" w:styleId="VrestekstsRakstz">
    <w:name w:val="Vēres teksts Rakstz."/>
    <w:basedOn w:val="Noklusjumarindkopasfonts"/>
    <w:link w:val="Vresteksts"/>
    <w:uiPriority w:val="99"/>
    <w:locked/>
    <w:rsid w:val="003D112E"/>
    <w:rPr>
      <w:rFonts w:cs="Times New Roman"/>
      <w:lang w:val="lv-LV" w:eastAsia="lv-LV" w:bidi="ar-SA"/>
    </w:rPr>
  </w:style>
  <w:style w:type="character" w:styleId="Vresatsauce">
    <w:name w:val="footnote reference"/>
    <w:basedOn w:val="Noklusjumarindkopasfonts"/>
    <w:uiPriority w:val="99"/>
    <w:rsid w:val="003D112E"/>
    <w:rPr>
      <w:rFonts w:cs="Times New Roman"/>
      <w:vertAlign w:val="superscript"/>
    </w:rPr>
  </w:style>
  <w:style w:type="paragraph" w:styleId="Komentrateksts">
    <w:name w:val="annotation text"/>
    <w:basedOn w:val="Parastais"/>
    <w:link w:val="KomentratekstsRakstz"/>
    <w:uiPriority w:val="99"/>
    <w:rsid w:val="003D112E"/>
    <w:rPr>
      <w:sz w:val="20"/>
      <w:szCs w:val="20"/>
      <w:lang w:val="en-US" w:eastAsia="en-US"/>
    </w:rPr>
  </w:style>
  <w:style w:type="character" w:customStyle="1" w:styleId="KomentratekstsRakstz">
    <w:name w:val="Komentāra teksts Rakstz."/>
    <w:basedOn w:val="Noklusjumarindkopasfonts"/>
    <w:link w:val="Komentrateksts"/>
    <w:uiPriority w:val="99"/>
    <w:locked/>
    <w:rsid w:val="003D112E"/>
    <w:rPr>
      <w:rFonts w:cs="Times New Roman"/>
      <w:lang w:val="en-US" w:eastAsia="en-US" w:bidi="ar-SA"/>
    </w:rPr>
  </w:style>
  <w:style w:type="character" w:customStyle="1" w:styleId="A2">
    <w:name w:val="A2"/>
    <w:rsid w:val="00D13AAF"/>
    <w:rPr>
      <w:color w:val="000000"/>
      <w:sz w:val="20"/>
    </w:rPr>
  </w:style>
</w:styles>
</file>

<file path=word/webSettings.xml><?xml version="1.0" encoding="utf-8"?>
<w:webSettings xmlns:r="http://schemas.openxmlformats.org/officeDocument/2006/relationships" xmlns:w="http://schemas.openxmlformats.org/wordprocessingml/2006/main">
  <w:divs>
    <w:div w:id="1278219178">
      <w:bodyDiv w:val="1"/>
      <w:marLeft w:val="0"/>
      <w:marRight w:val="0"/>
      <w:marTop w:val="0"/>
      <w:marBottom w:val="0"/>
      <w:divBdr>
        <w:top w:val="none" w:sz="0" w:space="0" w:color="auto"/>
        <w:left w:val="none" w:sz="0" w:space="0" w:color="auto"/>
        <w:bottom w:val="none" w:sz="0" w:space="0" w:color="auto"/>
        <w:right w:val="none" w:sz="0" w:space="0" w:color="auto"/>
      </w:divBdr>
    </w:div>
    <w:div w:id="17188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R0726:20090706:LV:HTML" TargetMode="External"/><Relationship Id="rId13" Type="http://schemas.openxmlformats.org/officeDocument/2006/relationships/hyperlink" Target="http://eur-lex.europa.eu/LexUriServ/LexUriServ.do?uri=CONSLEG:2004R0726:20090706:LV:HTML" TargetMode="External"/><Relationship Id="rId18" Type="http://schemas.openxmlformats.org/officeDocument/2006/relationships/hyperlink" Target="http://eur-lex.europa.eu/LexUriServ/LexUriServ.do?uri=CONSLEG:2004R0726:20090706:LV:HTML" TargetMode="External"/><Relationship Id="rId26" Type="http://schemas.openxmlformats.org/officeDocument/2006/relationships/hyperlink" Target="http://eur-lex.europa.eu/LexUriServ/LexUriServ.do?uri=CONSLEG:2004R0726:20090706:LV:HTML" TargetMode="External"/><Relationship Id="rId3" Type="http://schemas.openxmlformats.org/officeDocument/2006/relationships/styles" Target="styles.xml"/><Relationship Id="rId21" Type="http://schemas.openxmlformats.org/officeDocument/2006/relationships/hyperlink" Target="http://eur-lex.europa.eu/LexUriServ/LexUriServ.do?uri=CONSLEG:2001L0020:20090807:LV: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xUriServ/LexUriServ.do?uri=CONSLEG:2001L0083:20091005:LV:HTML" TargetMode="External"/><Relationship Id="rId17" Type="http://schemas.openxmlformats.org/officeDocument/2006/relationships/hyperlink" Target="http://eur-lex.europa.eu/LexUriServ/LexUriServ.do?uri=OJ:L:2008:334:0007:01:LV:HTML" TargetMode="External"/><Relationship Id="rId25" Type="http://schemas.openxmlformats.org/officeDocument/2006/relationships/hyperlink" Target="http://eur-lex.europa.eu/LexUriServ/LexUriServ.do?uri=CONSLEG:2001L0083:20091005:LV: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xUriServ/LexUriServ.do?uri=CONSLEG:2004R0726:20090706:LV:HTML" TargetMode="External"/><Relationship Id="rId20" Type="http://schemas.openxmlformats.org/officeDocument/2006/relationships/hyperlink" Target="http://eur-lex.europa.eu/LexUriServ/LexUriServ.do?uri=CONSLEG:1992R1768:20070126:LV: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1L0020:20090807:LV:HTML" TargetMode="External"/><Relationship Id="rId24" Type="http://schemas.openxmlformats.org/officeDocument/2006/relationships/hyperlink" Target="http://eur-lex.europa.eu/LexUriServ/LexUriServ.do?uri=CONSLEG:2007R1394:20071230:LV: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xUriServ/LexUriServ.do?uri=CONSLEG:2001L0083:20091005:LV:HTML" TargetMode="External"/><Relationship Id="rId23" Type="http://schemas.openxmlformats.org/officeDocument/2006/relationships/hyperlink" Target="http://eur-lex.europa.eu/LexUriServ/LexUriServ.do?uri=CONSLEG:2004R0726:20090706:LV:HTML" TargetMode="External"/><Relationship Id="rId28" Type="http://schemas.openxmlformats.org/officeDocument/2006/relationships/hyperlink" Target="mailto:Vineta.Logina@zva.gov.lv" TargetMode="External"/><Relationship Id="rId10" Type="http://schemas.openxmlformats.org/officeDocument/2006/relationships/hyperlink" Target="http://eur-lex.europa.eu/LexUriServ/LexUriServ.do?uri=CONSLEG:1992R1768:20070126:LV:HTML" TargetMode="External"/><Relationship Id="rId19" Type="http://schemas.openxmlformats.org/officeDocument/2006/relationships/hyperlink" Target="http://eur-lex.europa.eu/LexUriServ/LexUriServ.do?uri=CONSLEG:2006R1901:20070126:LV: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LexUriServ.do?uri=CONSLEG:2006R1901:20070126:LV:HTML" TargetMode="External"/><Relationship Id="rId14" Type="http://schemas.openxmlformats.org/officeDocument/2006/relationships/hyperlink" Target="http://eur-lex.europa.eu/LexUriServ/LexUriServ.do?uri=CONSLEG:2007R1394:20071230:LV:HTML" TargetMode="External"/><Relationship Id="rId22" Type="http://schemas.openxmlformats.org/officeDocument/2006/relationships/hyperlink" Target="http://eur-lex.europa.eu/LexUriServ/LexUriServ.do?uri=CONSLEG:2001L0083:20091005:LV:HTML" TargetMode="External"/><Relationship Id="rId27" Type="http://schemas.openxmlformats.org/officeDocument/2006/relationships/hyperlink" Target="http://eur-lex.europa.eu/LexUriServ/LexUriServ.do?uri=OJ:L:2008:334:0007:01:LV:HTM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B9953-3CD3-42B9-94F9-34D83FC5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5191</Words>
  <Characters>38882</Characters>
  <Application>Microsoft Office Word</Application>
  <DocSecurity>0</DocSecurity>
  <Lines>324</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Zāļu valsts aģentūras nolikums</vt:lpstr>
      <vt:lpstr>Zāļu valsts aģentūras nolikums</vt:lpstr>
    </vt:vector>
  </TitlesOfParts>
  <Company>Veselības ministrija</Company>
  <LinksUpToDate>false</LinksUpToDate>
  <CharactersWithSpaces>43986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valsts aģentūras nolikums</dc:title>
  <dc:subject>Ministru kabineta noteikumu projekta anotācija</dc:subject>
  <dc:creator>Ieva Bruvere</dc:creator>
  <dc:description>67876061, fakss 6787002; Ieva.Bruvere@vm.gov.lv;  67078448, Vineta.Logina@zva.gov.lv</dc:description>
  <cp:lastModifiedBy>ibruvere</cp:lastModifiedBy>
  <cp:revision>11</cp:revision>
  <cp:lastPrinted>2012-07-26T08:37:00Z</cp:lastPrinted>
  <dcterms:created xsi:type="dcterms:W3CDTF">2012-07-24T13:32:00Z</dcterms:created>
  <dcterms:modified xsi:type="dcterms:W3CDTF">2012-07-26T08:37:00Z</dcterms:modified>
</cp:coreProperties>
</file>